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4E" w:rsidRDefault="000F184E">
      <w:pPr>
        <w:tabs>
          <w:tab w:val="left" w:pos="1418"/>
        </w:tabs>
        <w:ind w:right="91"/>
        <w:rPr>
          <w:sz w:val="28"/>
          <w:szCs w:val="28"/>
          <w:highlight w:val="yellow"/>
        </w:rPr>
      </w:pPr>
    </w:p>
    <w:p w:rsidR="000F184E" w:rsidRDefault="000F184E">
      <w:pPr>
        <w:tabs>
          <w:tab w:val="right" w:pos="8931"/>
        </w:tabs>
        <w:spacing w:line="240" w:lineRule="exact"/>
        <w:ind w:right="91"/>
        <w:jc w:val="center"/>
      </w:pPr>
      <w:r>
        <w:rPr>
          <w:b/>
        </w:rPr>
        <w:t>EXPLANATORY STATEMENT</w:t>
      </w:r>
    </w:p>
    <w:p w:rsidR="000F184E" w:rsidRDefault="000F184E">
      <w:pPr>
        <w:pStyle w:val="Heading6"/>
        <w:jc w:val="center"/>
        <w:rPr>
          <w:u w:val="none"/>
        </w:rPr>
      </w:pPr>
    </w:p>
    <w:p w:rsidR="000F184E" w:rsidRPr="00886E78" w:rsidRDefault="000F184E">
      <w:pPr>
        <w:pStyle w:val="Heading6"/>
        <w:jc w:val="center"/>
        <w:rPr>
          <w:b/>
          <w:u w:val="none"/>
        </w:rPr>
      </w:pPr>
      <w:r w:rsidRPr="00886E78">
        <w:rPr>
          <w:b/>
          <w:u w:val="none"/>
        </w:rPr>
        <w:t xml:space="preserve">SELECT LEGISLATIVE INSTRUMENT </w:t>
      </w:r>
      <w:r w:rsidRPr="00886E78">
        <w:rPr>
          <w:b/>
          <w:szCs w:val="20"/>
          <w:u w:val="none"/>
        </w:rPr>
        <w:t xml:space="preserve">No. </w:t>
      </w:r>
      <w:r w:rsidR="00886E78" w:rsidRPr="00886E78">
        <w:rPr>
          <w:b/>
          <w:szCs w:val="20"/>
          <w:u w:val="none"/>
        </w:rPr>
        <w:t>219</w:t>
      </w:r>
      <w:r w:rsidRPr="00886E78">
        <w:rPr>
          <w:b/>
          <w:szCs w:val="20"/>
          <w:u w:val="none"/>
        </w:rPr>
        <w:t>, 2015</w:t>
      </w:r>
    </w:p>
    <w:p w:rsidR="000F184E" w:rsidRDefault="000F184E">
      <w:pPr>
        <w:pStyle w:val="Heading6"/>
        <w:jc w:val="center"/>
        <w:rPr>
          <w:u w:val="none"/>
        </w:rPr>
      </w:pPr>
    </w:p>
    <w:p w:rsidR="000F184E" w:rsidRDefault="000F184E">
      <w:pPr>
        <w:pStyle w:val="BodyText10"/>
      </w:pPr>
    </w:p>
    <w:p w:rsidR="000F184E" w:rsidRDefault="000F184E">
      <w:pPr>
        <w:tabs>
          <w:tab w:val="left" w:pos="1418"/>
        </w:tabs>
        <w:ind w:right="91"/>
        <w:jc w:val="center"/>
        <w:rPr>
          <w:b/>
          <w:sz w:val="28"/>
          <w:szCs w:val="28"/>
        </w:rPr>
      </w:pPr>
      <w:r>
        <w:rPr>
          <w:b/>
          <w:sz w:val="28"/>
          <w:szCs w:val="28"/>
        </w:rPr>
        <w:t>AGRICU</w:t>
      </w:r>
      <w:bookmarkStart w:id="0" w:name="_GoBack"/>
      <w:bookmarkEnd w:id="0"/>
      <w:r>
        <w:rPr>
          <w:b/>
          <w:sz w:val="28"/>
          <w:szCs w:val="28"/>
        </w:rPr>
        <w:t>LTURAL AND VETERINARY CHEMICALS LEGISLATION AMENDMENT (SIMPLIFIED FORMULATION VARIATIONS AND OTHER MEASURES) REGULATION 2015</w:t>
      </w:r>
    </w:p>
    <w:p w:rsidR="000F184E" w:rsidRDefault="000F184E">
      <w:pPr>
        <w:pStyle w:val="Heading6"/>
        <w:jc w:val="center"/>
        <w:rPr>
          <w:b/>
        </w:rPr>
      </w:pPr>
    </w:p>
    <w:p w:rsidR="00F05F0B" w:rsidRDefault="00F05F0B">
      <w:pPr>
        <w:pStyle w:val="Heading6"/>
        <w:jc w:val="center"/>
        <w:rPr>
          <w:u w:val="none"/>
        </w:rPr>
      </w:pPr>
    </w:p>
    <w:p w:rsidR="000F184E" w:rsidRDefault="000F184E">
      <w:pPr>
        <w:pStyle w:val="Heading6"/>
        <w:jc w:val="center"/>
        <w:rPr>
          <w:u w:val="none"/>
        </w:rPr>
      </w:pPr>
      <w:r w:rsidRPr="00F05F0B">
        <w:rPr>
          <w:u w:val="none"/>
        </w:rPr>
        <w:t>Issued by the authority of the Minister for Agriculture</w:t>
      </w:r>
      <w:r w:rsidR="007D6E0D" w:rsidRPr="00F05F0B">
        <w:rPr>
          <w:u w:val="none"/>
        </w:rPr>
        <w:t xml:space="preserve"> and Water Resources</w:t>
      </w:r>
    </w:p>
    <w:p w:rsidR="00F05F0B" w:rsidRPr="00F05F0B" w:rsidRDefault="00F05F0B" w:rsidP="00F05F0B"/>
    <w:p w:rsidR="000F184E" w:rsidRDefault="000F184E"/>
    <w:p w:rsidR="000F184E" w:rsidRDefault="000F184E">
      <w:pPr>
        <w:pStyle w:val="Heading5noTC"/>
        <w:spacing w:before="0"/>
        <w:jc w:val="center"/>
      </w:pPr>
      <w:r>
        <w:t>Agricultural and Veterinary Chemicals Code Act 1994</w:t>
      </w:r>
    </w:p>
    <w:p w:rsidR="000F184E" w:rsidRDefault="000F184E">
      <w:pPr>
        <w:pStyle w:val="Heading5noTC"/>
        <w:spacing w:before="0"/>
        <w:jc w:val="center"/>
      </w:pPr>
    </w:p>
    <w:p w:rsidR="000F184E" w:rsidRDefault="000F184E">
      <w:pPr>
        <w:pStyle w:val="Heading5noTC"/>
        <w:spacing w:before="0"/>
        <w:jc w:val="center"/>
      </w:pPr>
      <w:r>
        <w:t>Agricultural and Veterinary Chemicals (Administration) Act 1992</w:t>
      </w:r>
    </w:p>
    <w:p w:rsidR="000F184E" w:rsidRDefault="000F184E">
      <w:pPr>
        <w:rPr>
          <w:lang w:val="en-US" w:eastAsia="en-US"/>
        </w:rPr>
      </w:pPr>
    </w:p>
    <w:p w:rsidR="000F184E" w:rsidRDefault="000F184E">
      <w:pPr>
        <w:tabs>
          <w:tab w:val="right" w:pos="8931"/>
        </w:tabs>
        <w:spacing w:line="240" w:lineRule="exact"/>
        <w:ind w:right="91"/>
        <w:jc w:val="center"/>
        <w:rPr>
          <w:b/>
          <w:u w:val="single"/>
        </w:rPr>
      </w:pPr>
    </w:p>
    <w:p w:rsidR="000F184E" w:rsidRDefault="000F184E">
      <w:pPr>
        <w:tabs>
          <w:tab w:val="right" w:pos="8931"/>
        </w:tabs>
        <w:spacing w:line="240" w:lineRule="exact"/>
        <w:ind w:right="91"/>
        <w:jc w:val="center"/>
        <w:rPr>
          <w:b/>
          <w:u w:val="single"/>
        </w:rPr>
      </w:pPr>
    </w:p>
    <w:p w:rsidR="000F184E" w:rsidRDefault="000F184E">
      <w:pPr>
        <w:tabs>
          <w:tab w:val="right" w:pos="8931"/>
        </w:tabs>
        <w:spacing w:line="240" w:lineRule="exact"/>
        <w:ind w:right="91"/>
        <w:jc w:val="center"/>
        <w:rPr>
          <w:b/>
          <w:u w:val="single"/>
        </w:rPr>
      </w:pPr>
    </w:p>
    <w:p w:rsidR="000F184E" w:rsidRDefault="000F184E">
      <w:pPr>
        <w:tabs>
          <w:tab w:val="right" w:pos="8931"/>
        </w:tabs>
        <w:spacing w:line="240" w:lineRule="exact"/>
        <w:ind w:right="91"/>
        <w:jc w:val="center"/>
        <w:rPr>
          <w:b/>
          <w:u w:val="single"/>
        </w:rPr>
      </w:pPr>
    </w:p>
    <w:p w:rsidR="000F184E" w:rsidRDefault="000F184E">
      <w:pPr>
        <w:tabs>
          <w:tab w:val="right" w:pos="8931"/>
        </w:tabs>
        <w:spacing w:line="240" w:lineRule="exact"/>
        <w:ind w:right="91"/>
        <w:jc w:val="center"/>
        <w:rPr>
          <w:b/>
          <w:u w:val="single"/>
        </w:rPr>
      </w:pPr>
    </w:p>
    <w:p w:rsidR="000F184E" w:rsidRDefault="000F184E">
      <w:pPr>
        <w:tabs>
          <w:tab w:val="right" w:pos="8931"/>
        </w:tabs>
        <w:spacing w:line="240" w:lineRule="exact"/>
        <w:ind w:right="91"/>
        <w:jc w:val="center"/>
        <w:rPr>
          <w:b/>
          <w:u w:val="single"/>
        </w:rPr>
      </w:pPr>
    </w:p>
    <w:p w:rsidR="000F184E" w:rsidRDefault="000F184E">
      <w:pPr>
        <w:tabs>
          <w:tab w:val="right" w:pos="8931"/>
        </w:tabs>
        <w:spacing w:line="240" w:lineRule="exact"/>
        <w:ind w:right="91"/>
        <w:jc w:val="center"/>
        <w:rPr>
          <w:b/>
          <w:u w:val="single"/>
        </w:rPr>
      </w:pPr>
    </w:p>
    <w:p w:rsidR="000F184E" w:rsidRDefault="000F184E">
      <w:pPr>
        <w:rPr>
          <w:lang w:val="en-US" w:eastAsia="en-US"/>
        </w:rPr>
      </w:pPr>
    </w:p>
    <w:p w:rsidR="000F184E" w:rsidRDefault="000F184E">
      <w:pPr>
        <w:rPr>
          <w:lang w:val="en-US" w:eastAsia="en-US"/>
        </w:rPr>
      </w:pPr>
    </w:p>
    <w:p w:rsidR="000F184E" w:rsidRDefault="000F184E">
      <w:pPr>
        <w:rPr>
          <w:lang w:val="en-US" w:eastAsia="en-US"/>
        </w:rPr>
      </w:pPr>
    </w:p>
    <w:p w:rsidR="000F184E" w:rsidRDefault="000F184E">
      <w:pPr>
        <w:rPr>
          <w:lang w:val="en-US" w:eastAsia="en-US"/>
        </w:rPr>
      </w:pPr>
    </w:p>
    <w:p w:rsidR="000F184E" w:rsidRDefault="000F184E">
      <w:pPr>
        <w:rPr>
          <w:lang w:val="en-US" w:eastAsia="en-US"/>
        </w:rPr>
      </w:pPr>
    </w:p>
    <w:p w:rsidR="000F184E" w:rsidRDefault="000F184E">
      <w:pPr>
        <w:rPr>
          <w:lang w:val="en-US" w:eastAsia="en-US"/>
        </w:rPr>
      </w:pPr>
    </w:p>
    <w:p w:rsidR="000F184E" w:rsidRDefault="000F184E">
      <w:pPr>
        <w:rPr>
          <w:lang w:val="en-US" w:eastAsia="en-US"/>
        </w:rPr>
      </w:pPr>
    </w:p>
    <w:p w:rsidR="000F184E" w:rsidRDefault="000F184E"/>
    <w:p w:rsidR="000F184E" w:rsidRDefault="000F184E">
      <w:pPr>
        <w:pStyle w:val="Heading2noTC"/>
      </w:pPr>
      <w:r>
        <w:br w:type="page"/>
      </w:r>
      <w:r>
        <w:lastRenderedPageBreak/>
        <w:t>Table of Contents</w:t>
      </w:r>
    </w:p>
    <w:sdt>
      <w:sdtPr>
        <w:id w:val="-1908760687"/>
        <w:docPartObj>
          <w:docPartGallery w:val="Table of Contents"/>
          <w:docPartUnique/>
        </w:docPartObj>
      </w:sdtPr>
      <w:sdtEndPr>
        <w:rPr>
          <w:b/>
          <w:bCs/>
          <w:noProof/>
        </w:rPr>
      </w:sdtEndPr>
      <w:sdtContent>
        <w:p w:rsidR="00F05F0B" w:rsidRDefault="00F9578E" w:rsidP="00D86467">
          <w:pPr>
            <w:pStyle w:val="TOC2"/>
            <w:rPr>
              <w:rFonts w:asciiTheme="minorHAnsi" w:eastAsiaTheme="minorEastAsia" w:hAnsiTheme="minorHAnsi" w:cstheme="minorBidi"/>
              <w:noProof/>
              <w:sz w:val="22"/>
              <w:szCs w:val="22"/>
            </w:rPr>
          </w:pPr>
          <w:r>
            <w:fldChar w:fldCharType="begin"/>
          </w:r>
          <w:r w:rsidR="00F05F0B">
            <w:instrText xml:space="preserve"> TOC \o "1-4" \h \z \u </w:instrText>
          </w:r>
          <w:r>
            <w:fldChar w:fldCharType="separate"/>
          </w:r>
          <w:hyperlink w:anchor="_Toc435450473" w:history="1">
            <w:r w:rsidR="00F05F0B" w:rsidRPr="00622C70">
              <w:rPr>
                <w:rStyle w:val="Hyperlink"/>
                <w:noProof/>
              </w:rPr>
              <w:t>Legislative authority for regulation</w:t>
            </w:r>
            <w:r w:rsidR="00F05F0B">
              <w:rPr>
                <w:noProof/>
                <w:webHidden/>
              </w:rPr>
              <w:tab/>
            </w:r>
            <w:r>
              <w:rPr>
                <w:noProof/>
                <w:webHidden/>
              </w:rPr>
              <w:fldChar w:fldCharType="begin"/>
            </w:r>
            <w:r w:rsidR="00F05F0B">
              <w:rPr>
                <w:noProof/>
                <w:webHidden/>
              </w:rPr>
              <w:instrText xml:space="preserve"> PAGEREF _Toc435450473 \h </w:instrText>
            </w:r>
            <w:r>
              <w:rPr>
                <w:noProof/>
                <w:webHidden/>
              </w:rPr>
            </w:r>
            <w:r>
              <w:rPr>
                <w:noProof/>
                <w:webHidden/>
              </w:rPr>
              <w:fldChar w:fldCharType="separate"/>
            </w:r>
            <w:r w:rsidR="00D86467">
              <w:rPr>
                <w:noProof/>
                <w:webHidden/>
              </w:rPr>
              <w:t>3</w:t>
            </w:r>
            <w:r>
              <w:rPr>
                <w:noProof/>
                <w:webHidden/>
              </w:rPr>
              <w:fldChar w:fldCharType="end"/>
            </w:r>
          </w:hyperlink>
        </w:p>
        <w:p w:rsidR="00F05F0B" w:rsidRDefault="00886E78" w:rsidP="00D86467">
          <w:pPr>
            <w:pStyle w:val="TOC2"/>
            <w:rPr>
              <w:rFonts w:asciiTheme="minorHAnsi" w:eastAsiaTheme="minorEastAsia" w:hAnsiTheme="minorHAnsi" w:cstheme="minorBidi"/>
              <w:noProof/>
              <w:sz w:val="22"/>
              <w:szCs w:val="22"/>
            </w:rPr>
          </w:pPr>
          <w:hyperlink w:anchor="_Toc435450474" w:history="1">
            <w:r w:rsidR="00F05F0B" w:rsidRPr="00622C70">
              <w:rPr>
                <w:rStyle w:val="Hyperlink"/>
                <w:noProof/>
              </w:rPr>
              <w:t>Glossary</w:t>
            </w:r>
            <w:r w:rsidR="00F05F0B">
              <w:rPr>
                <w:noProof/>
                <w:webHidden/>
              </w:rPr>
              <w:tab/>
            </w:r>
            <w:r w:rsidR="00F9578E">
              <w:rPr>
                <w:noProof/>
                <w:webHidden/>
              </w:rPr>
              <w:fldChar w:fldCharType="begin"/>
            </w:r>
            <w:r w:rsidR="00F05F0B">
              <w:rPr>
                <w:noProof/>
                <w:webHidden/>
              </w:rPr>
              <w:instrText xml:space="preserve"> PAGEREF _Toc435450474 \h </w:instrText>
            </w:r>
            <w:r w:rsidR="00F9578E">
              <w:rPr>
                <w:noProof/>
                <w:webHidden/>
              </w:rPr>
            </w:r>
            <w:r w:rsidR="00F9578E">
              <w:rPr>
                <w:noProof/>
                <w:webHidden/>
              </w:rPr>
              <w:fldChar w:fldCharType="separate"/>
            </w:r>
            <w:r w:rsidR="00D86467">
              <w:rPr>
                <w:noProof/>
                <w:webHidden/>
              </w:rPr>
              <w:t>3</w:t>
            </w:r>
            <w:r w:rsidR="00F9578E">
              <w:rPr>
                <w:noProof/>
                <w:webHidden/>
              </w:rPr>
              <w:fldChar w:fldCharType="end"/>
            </w:r>
          </w:hyperlink>
        </w:p>
        <w:p w:rsidR="00F05F0B" w:rsidRDefault="00886E78" w:rsidP="00D86467">
          <w:pPr>
            <w:pStyle w:val="TOC2"/>
            <w:rPr>
              <w:rFonts w:asciiTheme="minorHAnsi" w:eastAsiaTheme="minorEastAsia" w:hAnsiTheme="minorHAnsi" w:cstheme="minorBidi"/>
              <w:noProof/>
              <w:sz w:val="22"/>
              <w:szCs w:val="22"/>
            </w:rPr>
          </w:pPr>
          <w:hyperlink w:anchor="_Toc435450475" w:history="1">
            <w:r w:rsidR="00F05F0B" w:rsidRPr="00622C70">
              <w:rPr>
                <w:rStyle w:val="Hyperlink"/>
                <w:noProof/>
              </w:rPr>
              <w:t>OUTLINE</w:t>
            </w:r>
            <w:r w:rsidR="00F05F0B">
              <w:rPr>
                <w:noProof/>
                <w:webHidden/>
              </w:rPr>
              <w:tab/>
            </w:r>
            <w:r w:rsidR="00F9578E">
              <w:rPr>
                <w:noProof/>
                <w:webHidden/>
              </w:rPr>
              <w:fldChar w:fldCharType="begin"/>
            </w:r>
            <w:r w:rsidR="00F05F0B">
              <w:rPr>
                <w:noProof/>
                <w:webHidden/>
              </w:rPr>
              <w:instrText xml:space="preserve"> PAGEREF _Toc435450475 \h </w:instrText>
            </w:r>
            <w:r w:rsidR="00F9578E">
              <w:rPr>
                <w:noProof/>
                <w:webHidden/>
              </w:rPr>
            </w:r>
            <w:r w:rsidR="00F9578E">
              <w:rPr>
                <w:noProof/>
                <w:webHidden/>
              </w:rPr>
              <w:fldChar w:fldCharType="separate"/>
            </w:r>
            <w:r w:rsidR="00D86467">
              <w:rPr>
                <w:noProof/>
                <w:webHidden/>
              </w:rPr>
              <w:t>4</w:t>
            </w:r>
            <w:r w:rsidR="00F9578E">
              <w:rPr>
                <w:noProof/>
                <w:webHidden/>
              </w:rPr>
              <w:fldChar w:fldCharType="end"/>
            </w:r>
          </w:hyperlink>
        </w:p>
        <w:p w:rsidR="00F05F0B" w:rsidRDefault="00886E78" w:rsidP="00D86467">
          <w:pPr>
            <w:pStyle w:val="TOC3"/>
            <w:rPr>
              <w:rFonts w:asciiTheme="minorHAnsi" w:eastAsiaTheme="minorEastAsia" w:hAnsiTheme="minorHAnsi" w:cstheme="minorBidi"/>
              <w:noProof/>
              <w:szCs w:val="22"/>
            </w:rPr>
          </w:pPr>
          <w:hyperlink w:anchor="_Toc435450476" w:history="1">
            <w:r w:rsidR="00F05F0B" w:rsidRPr="00622C70">
              <w:rPr>
                <w:rStyle w:val="Hyperlink"/>
                <w:noProof/>
              </w:rPr>
              <w:t>Amendments made</w:t>
            </w:r>
            <w:r w:rsidR="00F05F0B">
              <w:rPr>
                <w:noProof/>
                <w:webHidden/>
              </w:rPr>
              <w:tab/>
            </w:r>
            <w:r w:rsidR="00F9578E">
              <w:rPr>
                <w:noProof/>
                <w:webHidden/>
              </w:rPr>
              <w:fldChar w:fldCharType="begin"/>
            </w:r>
            <w:r w:rsidR="00F05F0B">
              <w:rPr>
                <w:noProof/>
                <w:webHidden/>
              </w:rPr>
              <w:instrText xml:space="preserve"> PAGEREF _Toc435450476 \h </w:instrText>
            </w:r>
            <w:r w:rsidR="00F9578E">
              <w:rPr>
                <w:noProof/>
                <w:webHidden/>
              </w:rPr>
            </w:r>
            <w:r w:rsidR="00F9578E">
              <w:rPr>
                <w:noProof/>
                <w:webHidden/>
              </w:rPr>
              <w:fldChar w:fldCharType="separate"/>
            </w:r>
            <w:r w:rsidR="00D86467">
              <w:rPr>
                <w:noProof/>
                <w:webHidden/>
              </w:rPr>
              <w:t>4</w:t>
            </w:r>
            <w:r w:rsidR="00F9578E">
              <w:rPr>
                <w:noProof/>
                <w:webHidden/>
              </w:rPr>
              <w:fldChar w:fldCharType="end"/>
            </w:r>
          </w:hyperlink>
        </w:p>
        <w:p w:rsidR="00F05F0B" w:rsidRDefault="00886E78" w:rsidP="00D86467">
          <w:pPr>
            <w:pStyle w:val="TOC3"/>
            <w:rPr>
              <w:rFonts w:asciiTheme="minorHAnsi" w:eastAsiaTheme="minorEastAsia" w:hAnsiTheme="minorHAnsi" w:cstheme="minorBidi"/>
              <w:noProof/>
              <w:szCs w:val="22"/>
            </w:rPr>
          </w:pPr>
          <w:hyperlink w:anchor="_Toc435450477" w:history="1">
            <w:r w:rsidR="00F05F0B" w:rsidRPr="00622C70">
              <w:rPr>
                <w:rStyle w:val="Hyperlink"/>
                <w:noProof/>
              </w:rPr>
              <w:t>Purpose of amendments</w:t>
            </w:r>
            <w:r w:rsidR="00F05F0B">
              <w:rPr>
                <w:noProof/>
                <w:webHidden/>
              </w:rPr>
              <w:tab/>
            </w:r>
            <w:r w:rsidR="00F9578E">
              <w:rPr>
                <w:noProof/>
                <w:webHidden/>
              </w:rPr>
              <w:fldChar w:fldCharType="begin"/>
            </w:r>
            <w:r w:rsidR="00F05F0B">
              <w:rPr>
                <w:noProof/>
                <w:webHidden/>
              </w:rPr>
              <w:instrText xml:space="preserve"> PAGEREF _Toc435450477 \h </w:instrText>
            </w:r>
            <w:r w:rsidR="00F9578E">
              <w:rPr>
                <w:noProof/>
                <w:webHidden/>
              </w:rPr>
            </w:r>
            <w:r w:rsidR="00F9578E">
              <w:rPr>
                <w:noProof/>
                <w:webHidden/>
              </w:rPr>
              <w:fldChar w:fldCharType="separate"/>
            </w:r>
            <w:r w:rsidR="00D86467">
              <w:rPr>
                <w:noProof/>
                <w:webHidden/>
              </w:rPr>
              <w:t>4</w:t>
            </w:r>
            <w:r w:rsidR="00F9578E">
              <w:rPr>
                <w:noProof/>
                <w:webHidden/>
              </w:rPr>
              <w:fldChar w:fldCharType="end"/>
            </w:r>
          </w:hyperlink>
        </w:p>
        <w:p w:rsidR="00F05F0B" w:rsidRDefault="00886E78" w:rsidP="00D86467">
          <w:pPr>
            <w:pStyle w:val="TOC3"/>
            <w:rPr>
              <w:rFonts w:asciiTheme="minorHAnsi" w:eastAsiaTheme="minorEastAsia" w:hAnsiTheme="minorHAnsi" w:cstheme="minorBidi"/>
              <w:noProof/>
              <w:szCs w:val="22"/>
            </w:rPr>
          </w:pPr>
          <w:hyperlink w:anchor="_Toc435450478" w:history="1">
            <w:r w:rsidR="00F05F0B" w:rsidRPr="00622C70">
              <w:rPr>
                <w:rStyle w:val="Hyperlink"/>
                <w:noProof/>
              </w:rPr>
              <w:t>Background</w:t>
            </w:r>
            <w:r w:rsidR="00F05F0B">
              <w:rPr>
                <w:noProof/>
                <w:webHidden/>
              </w:rPr>
              <w:tab/>
            </w:r>
            <w:r w:rsidR="00F9578E">
              <w:rPr>
                <w:noProof/>
                <w:webHidden/>
              </w:rPr>
              <w:fldChar w:fldCharType="begin"/>
            </w:r>
            <w:r w:rsidR="00F05F0B">
              <w:rPr>
                <w:noProof/>
                <w:webHidden/>
              </w:rPr>
              <w:instrText xml:space="preserve"> PAGEREF _Toc435450478 \h </w:instrText>
            </w:r>
            <w:r w:rsidR="00F9578E">
              <w:rPr>
                <w:noProof/>
                <w:webHidden/>
              </w:rPr>
            </w:r>
            <w:r w:rsidR="00F9578E">
              <w:rPr>
                <w:noProof/>
                <w:webHidden/>
              </w:rPr>
              <w:fldChar w:fldCharType="separate"/>
            </w:r>
            <w:r w:rsidR="00D86467">
              <w:rPr>
                <w:noProof/>
                <w:webHidden/>
              </w:rPr>
              <w:t>4</w:t>
            </w:r>
            <w:r w:rsidR="00F9578E">
              <w:rPr>
                <w:noProof/>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79" w:history="1">
            <w:r w:rsidR="00F05F0B" w:rsidRPr="00622C70">
              <w:rPr>
                <w:rStyle w:val="Hyperlink"/>
              </w:rPr>
              <w:t>National Registration Scheme</w:t>
            </w:r>
            <w:r w:rsidR="00F05F0B">
              <w:rPr>
                <w:webHidden/>
              </w:rPr>
              <w:tab/>
            </w:r>
            <w:r w:rsidR="00F9578E">
              <w:rPr>
                <w:webHidden/>
              </w:rPr>
              <w:fldChar w:fldCharType="begin"/>
            </w:r>
            <w:r w:rsidR="00F05F0B">
              <w:rPr>
                <w:webHidden/>
              </w:rPr>
              <w:instrText xml:space="preserve"> PAGEREF _Toc435450479 \h </w:instrText>
            </w:r>
            <w:r w:rsidR="00F9578E">
              <w:rPr>
                <w:webHidden/>
              </w:rPr>
            </w:r>
            <w:r w:rsidR="00F9578E">
              <w:rPr>
                <w:webHidden/>
              </w:rPr>
              <w:fldChar w:fldCharType="separate"/>
            </w:r>
            <w:r w:rsidR="00D86467">
              <w:rPr>
                <w:webHidden/>
              </w:rPr>
              <w:t>4</w:t>
            </w:r>
            <w:r w:rsidR="00F9578E">
              <w:rPr>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80" w:history="1">
            <w:r w:rsidR="00F05F0B" w:rsidRPr="00622C70">
              <w:rPr>
                <w:rStyle w:val="Hyperlink"/>
              </w:rPr>
              <w:t>Roles and responsibilities of the APVMA</w:t>
            </w:r>
            <w:r w:rsidR="00F05F0B">
              <w:rPr>
                <w:webHidden/>
              </w:rPr>
              <w:tab/>
            </w:r>
            <w:r w:rsidR="00F9578E">
              <w:rPr>
                <w:webHidden/>
              </w:rPr>
              <w:fldChar w:fldCharType="begin"/>
            </w:r>
            <w:r w:rsidR="00F05F0B">
              <w:rPr>
                <w:webHidden/>
              </w:rPr>
              <w:instrText xml:space="preserve"> PAGEREF _Toc435450480 \h </w:instrText>
            </w:r>
            <w:r w:rsidR="00F9578E">
              <w:rPr>
                <w:webHidden/>
              </w:rPr>
            </w:r>
            <w:r w:rsidR="00F9578E">
              <w:rPr>
                <w:webHidden/>
              </w:rPr>
              <w:fldChar w:fldCharType="separate"/>
            </w:r>
            <w:r w:rsidR="00D86467">
              <w:rPr>
                <w:webHidden/>
              </w:rPr>
              <w:t>5</w:t>
            </w:r>
            <w:r w:rsidR="00F9578E">
              <w:rPr>
                <w:webHidden/>
              </w:rPr>
              <w:fldChar w:fldCharType="end"/>
            </w:r>
          </w:hyperlink>
        </w:p>
        <w:p w:rsidR="00F05F0B" w:rsidRDefault="00886E78" w:rsidP="00D86467">
          <w:pPr>
            <w:pStyle w:val="TOC2"/>
            <w:rPr>
              <w:rFonts w:asciiTheme="minorHAnsi" w:eastAsiaTheme="minorEastAsia" w:hAnsiTheme="minorHAnsi" w:cstheme="minorBidi"/>
              <w:noProof/>
              <w:sz w:val="22"/>
              <w:szCs w:val="22"/>
            </w:rPr>
          </w:pPr>
          <w:hyperlink w:anchor="_Toc435450481" w:history="1">
            <w:r w:rsidR="00F05F0B" w:rsidRPr="00622C70">
              <w:rPr>
                <w:rStyle w:val="Hyperlink"/>
                <w:noProof/>
              </w:rPr>
              <w:t>PUBLIC CONSULTATION</w:t>
            </w:r>
            <w:r w:rsidR="00F05F0B">
              <w:rPr>
                <w:noProof/>
                <w:webHidden/>
              </w:rPr>
              <w:tab/>
            </w:r>
            <w:r w:rsidR="00F9578E">
              <w:rPr>
                <w:noProof/>
                <w:webHidden/>
              </w:rPr>
              <w:fldChar w:fldCharType="begin"/>
            </w:r>
            <w:r w:rsidR="00F05F0B">
              <w:rPr>
                <w:noProof/>
                <w:webHidden/>
              </w:rPr>
              <w:instrText xml:space="preserve"> PAGEREF _Toc435450481 \h </w:instrText>
            </w:r>
            <w:r w:rsidR="00F9578E">
              <w:rPr>
                <w:noProof/>
                <w:webHidden/>
              </w:rPr>
            </w:r>
            <w:r w:rsidR="00F9578E">
              <w:rPr>
                <w:noProof/>
                <w:webHidden/>
              </w:rPr>
              <w:fldChar w:fldCharType="separate"/>
            </w:r>
            <w:r w:rsidR="00D86467">
              <w:rPr>
                <w:noProof/>
                <w:webHidden/>
              </w:rPr>
              <w:t>5</w:t>
            </w:r>
            <w:r w:rsidR="00F9578E">
              <w:rPr>
                <w:noProof/>
                <w:webHidden/>
              </w:rPr>
              <w:fldChar w:fldCharType="end"/>
            </w:r>
          </w:hyperlink>
        </w:p>
        <w:p w:rsidR="00F05F0B" w:rsidRDefault="00886E78" w:rsidP="00D86467">
          <w:pPr>
            <w:pStyle w:val="TOC2"/>
            <w:rPr>
              <w:rFonts w:asciiTheme="minorHAnsi" w:eastAsiaTheme="minorEastAsia" w:hAnsiTheme="minorHAnsi" w:cstheme="minorBidi"/>
              <w:noProof/>
              <w:sz w:val="22"/>
              <w:szCs w:val="22"/>
            </w:rPr>
          </w:pPr>
          <w:hyperlink w:anchor="_Toc435450482" w:history="1">
            <w:r w:rsidR="00F05F0B" w:rsidRPr="00622C70">
              <w:rPr>
                <w:rStyle w:val="Hyperlink"/>
                <w:noProof/>
              </w:rPr>
              <w:t>REGULATORY IMPACT ANALYSIS</w:t>
            </w:r>
            <w:r w:rsidR="00F05F0B">
              <w:rPr>
                <w:noProof/>
                <w:webHidden/>
              </w:rPr>
              <w:tab/>
            </w:r>
            <w:r w:rsidR="00F9578E">
              <w:rPr>
                <w:noProof/>
                <w:webHidden/>
              </w:rPr>
              <w:fldChar w:fldCharType="begin"/>
            </w:r>
            <w:r w:rsidR="00F05F0B">
              <w:rPr>
                <w:noProof/>
                <w:webHidden/>
              </w:rPr>
              <w:instrText xml:space="preserve"> PAGEREF _Toc435450482 \h </w:instrText>
            </w:r>
            <w:r w:rsidR="00F9578E">
              <w:rPr>
                <w:noProof/>
                <w:webHidden/>
              </w:rPr>
            </w:r>
            <w:r w:rsidR="00F9578E">
              <w:rPr>
                <w:noProof/>
                <w:webHidden/>
              </w:rPr>
              <w:fldChar w:fldCharType="separate"/>
            </w:r>
            <w:r w:rsidR="00D86467">
              <w:rPr>
                <w:noProof/>
                <w:webHidden/>
              </w:rPr>
              <w:t>5</w:t>
            </w:r>
            <w:r w:rsidR="00F9578E">
              <w:rPr>
                <w:noProof/>
                <w:webHidden/>
              </w:rPr>
              <w:fldChar w:fldCharType="end"/>
            </w:r>
          </w:hyperlink>
        </w:p>
        <w:p w:rsidR="00F05F0B" w:rsidRDefault="00886E78" w:rsidP="00D86467">
          <w:pPr>
            <w:pStyle w:val="TOC2"/>
            <w:rPr>
              <w:rFonts w:asciiTheme="minorHAnsi" w:eastAsiaTheme="minorEastAsia" w:hAnsiTheme="minorHAnsi" w:cstheme="minorBidi"/>
              <w:noProof/>
              <w:sz w:val="22"/>
              <w:szCs w:val="22"/>
            </w:rPr>
          </w:pPr>
          <w:hyperlink w:anchor="_Toc435450483" w:history="1">
            <w:r w:rsidR="00F05F0B" w:rsidRPr="00622C70">
              <w:rPr>
                <w:rStyle w:val="Hyperlink"/>
                <w:noProof/>
              </w:rPr>
              <w:t>HUMAN RIGHTS COMPATIBILITY ASSESSMENT</w:t>
            </w:r>
            <w:r w:rsidR="00F05F0B">
              <w:rPr>
                <w:noProof/>
                <w:webHidden/>
              </w:rPr>
              <w:tab/>
            </w:r>
            <w:r w:rsidR="00F9578E">
              <w:rPr>
                <w:noProof/>
                <w:webHidden/>
              </w:rPr>
              <w:fldChar w:fldCharType="begin"/>
            </w:r>
            <w:r w:rsidR="00F05F0B">
              <w:rPr>
                <w:noProof/>
                <w:webHidden/>
              </w:rPr>
              <w:instrText xml:space="preserve"> PAGEREF _Toc435450483 \h </w:instrText>
            </w:r>
            <w:r w:rsidR="00F9578E">
              <w:rPr>
                <w:noProof/>
                <w:webHidden/>
              </w:rPr>
            </w:r>
            <w:r w:rsidR="00F9578E">
              <w:rPr>
                <w:noProof/>
                <w:webHidden/>
              </w:rPr>
              <w:fldChar w:fldCharType="separate"/>
            </w:r>
            <w:r w:rsidR="00D86467">
              <w:rPr>
                <w:noProof/>
                <w:webHidden/>
              </w:rPr>
              <w:t>6</w:t>
            </w:r>
            <w:r w:rsidR="00F9578E">
              <w:rPr>
                <w:noProof/>
                <w:webHidden/>
              </w:rPr>
              <w:fldChar w:fldCharType="end"/>
            </w:r>
          </w:hyperlink>
        </w:p>
        <w:p w:rsidR="00F05F0B" w:rsidRDefault="00886E78" w:rsidP="00D86467">
          <w:pPr>
            <w:pStyle w:val="TOC2"/>
            <w:rPr>
              <w:rFonts w:asciiTheme="minorHAnsi" w:eastAsiaTheme="minorEastAsia" w:hAnsiTheme="minorHAnsi" w:cstheme="minorBidi"/>
              <w:noProof/>
              <w:sz w:val="22"/>
              <w:szCs w:val="22"/>
            </w:rPr>
          </w:pPr>
          <w:hyperlink w:anchor="_Toc435450484" w:history="1">
            <w:r w:rsidR="00F05F0B" w:rsidRPr="00622C70">
              <w:rPr>
                <w:rStyle w:val="Hyperlink"/>
                <w:noProof/>
              </w:rPr>
              <w:t>DETAILS OF THE AMENDMENT REGULATION</w:t>
            </w:r>
            <w:r w:rsidR="00F05F0B">
              <w:rPr>
                <w:noProof/>
                <w:webHidden/>
              </w:rPr>
              <w:tab/>
            </w:r>
            <w:r w:rsidR="00F9578E">
              <w:rPr>
                <w:noProof/>
                <w:webHidden/>
              </w:rPr>
              <w:fldChar w:fldCharType="begin"/>
            </w:r>
            <w:r w:rsidR="00F05F0B">
              <w:rPr>
                <w:noProof/>
                <w:webHidden/>
              </w:rPr>
              <w:instrText xml:space="preserve"> PAGEREF _Toc435450484 \h </w:instrText>
            </w:r>
            <w:r w:rsidR="00F9578E">
              <w:rPr>
                <w:noProof/>
                <w:webHidden/>
              </w:rPr>
            </w:r>
            <w:r w:rsidR="00F9578E">
              <w:rPr>
                <w:noProof/>
                <w:webHidden/>
              </w:rPr>
              <w:fldChar w:fldCharType="separate"/>
            </w:r>
            <w:r w:rsidR="00D86467">
              <w:rPr>
                <w:noProof/>
                <w:webHidden/>
              </w:rPr>
              <w:t>7</w:t>
            </w:r>
            <w:r w:rsidR="00F9578E">
              <w:rPr>
                <w:noProof/>
                <w:webHidden/>
              </w:rPr>
              <w:fldChar w:fldCharType="end"/>
            </w:r>
          </w:hyperlink>
        </w:p>
        <w:p w:rsidR="00F05F0B" w:rsidRDefault="00886E78" w:rsidP="00D86467">
          <w:pPr>
            <w:pStyle w:val="TOC3"/>
            <w:rPr>
              <w:rFonts w:asciiTheme="minorHAnsi" w:eastAsiaTheme="minorEastAsia" w:hAnsiTheme="minorHAnsi" w:cstheme="minorBidi"/>
              <w:noProof/>
              <w:szCs w:val="22"/>
            </w:rPr>
          </w:pPr>
          <w:hyperlink w:anchor="_Toc435450485" w:history="1">
            <w:r w:rsidR="00F05F0B" w:rsidRPr="00622C70">
              <w:rPr>
                <w:rStyle w:val="Hyperlink"/>
                <w:noProof/>
              </w:rPr>
              <w:t>Schedule 1 – Amendments commencing the day after registration</w:t>
            </w:r>
            <w:r w:rsidR="00F05F0B">
              <w:rPr>
                <w:noProof/>
                <w:webHidden/>
              </w:rPr>
              <w:tab/>
            </w:r>
            <w:r w:rsidR="00F9578E">
              <w:rPr>
                <w:noProof/>
                <w:webHidden/>
              </w:rPr>
              <w:fldChar w:fldCharType="begin"/>
            </w:r>
            <w:r w:rsidR="00F05F0B">
              <w:rPr>
                <w:noProof/>
                <w:webHidden/>
              </w:rPr>
              <w:instrText xml:space="preserve"> PAGEREF _Toc435450485 \h </w:instrText>
            </w:r>
            <w:r w:rsidR="00F9578E">
              <w:rPr>
                <w:noProof/>
                <w:webHidden/>
              </w:rPr>
            </w:r>
            <w:r w:rsidR="00F9578E">
              <w:rPr>
                <w:noProof/>
                <w:webHidden/>
              </w:rPr>
              <w:fldChar w:fldCharType="separate"/>
            </w:r>
            <w:r w:rsidR="00D86467">
              <w:rPr>
                <w:noProof/>
                <w:webHidden/>
              </w:rPr>
              <w:t>7</w:t>
            </w:r>
            <w:r w:rsidR="00F9578E">
              <w:rPr>
                <w:noProof/>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86" w:history="1">
            <w:r w:rsidR="00F05F0B" w:rsidRPr="00622C70">
              <w:rPr>
                <w:rStyle w:val="Hyperlink"/>
              </w:rPr>
              <w:t>Agricultural and Veterinary Chemicals (Administration) Regulations 1995</w:t>
            </w:r>
            <w:r w:rsidR="00F05F0B">
              <w:rPr>
                <w:webHidden/>
              </w:rPr>
              <w:tab/>
            </w:r>
            <w:r w:rsidR="00F9578E">
              <w:rPr>
                <w:webHidden/>
              </w:rPr>
              <w:fldChar w:fldCharType="begin"/>
            </w:r>
            <w:r w:rsidR="00F05F0B">
              <w:rPr>
                <w:webHidden/>
              </w:rPr>
              <w:instrText xml:space="preserve"> PAGEREF _Toc435450486 \h </w:instrText>
            </w:r>
            <w:r w:rsidR="00F9578E">
              <w:rPr>
                <w:webHidden/>
              </w:rPr>
            </w:r>
            <w:r w:rsidR="00F9578E">
              <w:rPr>
                <w:webHidden/>
              </w:rPr>
              <w:fldChar w:fldCharType="separate"/>
            </w:r>
            <w:r w:rsidR="00D86467">
              <w:rPr>
                <w:webHidden/>
              </w:rPr>
              <w:t>7</w:t>
            </w:r>
            <w:r w:rsidR="00F9578E">
              <w:rPr>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87" w:history="1">
            <w:r w:rsidR="00F05F0B" w:rsidRPr="00622C70">
              <w:rPr>
                <w:rStyle w:val="Hyperlink"/>
              </w:rPr>
              <w:t>Agricultural and Veterinary Chemicals Code Regulations 1995</w:t>
            </w:r>
            <w:r w:rsidR="00F05F0B">
              <w:rPr>
                <w:webHidden/>
              </w:rPr>
              <w:tab/>
            </w:r>
            <w:r w:rsidR="00F9578E">
              <w:rPr>
                <w:webHidden/>
              </w:rPr>
              <w:fldChar w:fldCharType="begin"/>
            </w:r>
            <w:r w:rsidR="00F05F0B">
              <w:rPr>
                <w:webHidden/>
              </w:rPr>
              <w:instrText xml:space="preserve"> PAGEREF _Toc435450487 \h </w:instrText>
            </w:r>
            <w:r w:rsidR="00F9578E">
              <w:rPr>
                <w:webHidden/>
              </w:rPr>
            </w:r>
            <w:r w:rsidR="00F9578E">
              <w:rPr>
                <w:webHidden/>
              </w:rPr>
              <w:fldChar w:fldCharType="separate"/>
            </w:r>
            <w:r w:rsidR="00D86467">
              <w:rPr>
                <w:webHidden/>
              </w:rPr>
              <w:t>7</w:t>
            </w:r>
            <w:r w:rsidR="00F9578E">
              <w:rPr>
                <w:webHidden/>
              </w:rPr>
              <w:fldChar w:fldCharType="end"/>
            </w:r>
          </w:hyperlink>
        </w:p>
        <w:p w:rsidR="00F05F0B" w:rsidRDefault="00886E78" w:rsidP="00D86467">
          <w:pPr>
            <w:pStyle w:val="TOC3"/>
            <w:rPr>
              <w:rFonts w:asciiTheme="minorHAnsi" w:eastAsiaTheme="minorEastAsia" w:hAnsiTheme="minorHAnsi" w:cstheme="minorBidi"/>
              <w:noProof/>
              <w:szCs w:val="22"/>
            </w:rPr>
          </w:pPr>
          <w:hyperlink w:anchor="_Toc435450488" w:history="1">
            <w:r w:rsidR="00F05F0B" w:rsidRPr="00622C70">
              <w:rPr>
                <w:rStyle w:val="Hyperlink"/>
                <w:noProof/>
              </w:rPr>
              <w:t>Schedule 2 – Amendments commencing 1 March 2016</w:t>
            </w:r>
            <w:r w:rsidR="00F05F0B">
              <w:rPr>
                <w:noProof/>
                <w:webHidden/>
              </w:rPr>
              <w:tab/>
            </w:r>
            <w:r w:rsidR="00F9578E">
              <w:rPr>
                <w:noProof/>
                <w:webHidden/>
              </w:rPr>
              <w:fldChar w:fldCharType="begin"/>
            </w:r>
            <w:r w:rsidR="00F05F0B">
              <w:rPr>
                <w:noProof/>
                <w:webHidden/>
              </w:rPr>
              <w:instrText xml:space="preserve"> PAGEREF _Toc435450488 \h </w:instrText>
            </w:r>
            <w:r w:rsidR="00F9578E">
              <w:rPr>
                <w:noProof/>
                <w:webHidden/>
              </w:rPr>
            </w:r>
            <w:r w:rsidR="00F9578E">
              <w:rPr>
                <w:noProof/>
                <w:webHidden/>
              </w:rPr>
              <w:fldChar w:fldCharType="separate"/>
            </w:r>
            <w:r w:rsidR="00D86467">
              <w:rPr>
                <w:noProof/>
                <w:webHidden/>
              </w:rPr>
              <w:t>8</w:t>
            </w:r>
            <w:r w:rsidR="00F9578E">
              <w:rPr>
                <w:noProof/>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89" w:history="1">
            <w:r w:rsidR="00F05F0B" w:rsidRPr="00622C70">
              <w:rPr>
                <w:rStyle w:val="Hyperlink"/>
              </w:rPr>
              <w:t>Part 1 – Amendments relating to chemical product registration renewals</w:t>
            </w:r>
            <w:r w:rsidR="00F05F0B">
              <w:rPr>
                <w:webHidden/>
              </w:rPr>
              <w:tab/>
            </w:r>
            <w:r w:rsidR="00F9578E">
              <w:rPr>
                <w:webHidden/>
              </w:rPr>
              <w:fldChar w:fldCharType="begin"/>
            </w:r>
            <w:r w:rsidR="00F05F0B">
              <w:rPr>
                <w:webHidden/>
              </w:rPr>
              <w:instrText xml:space="preserve"> PAGEREF _Toc435450489 \h </w:instrText>
            </w:r>
            <w:r w:rsidR="00F9578E">
              <w:rPr>
                <w:webHidden/>
              </w:rPr>
            </w:r>
            <w:r w:rsidR="00F9578E">
              <w:rPr>
                <w:webHidden/>
              </w:rPr>
              <w:fldChar w:fldCharType="separate"/>
            </w:r>
            <w:r w:rsidR="00D86467">
              <w:rPr>
                <w:webHidden/>
              </w:rPr>
              <w:t>8</w:t>
            </w:r>
            <w:r w:rsidR="00F9578E">
              <w:rPr>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90" w:history="1">
            <w:r w:rsidR="00F05F0B" w:rsidRPr="00622C70">
              <w:rPr>
                <w:rStyle w:val="Hyperlink"/>
              </w:rPr>
              <w:t>Agricultural and Veterinary Chemicals Code Regulations 1995</w:t>
            </w:r>
            <w:r w:rsidR="00F05F0B">
              <w:rPr>
                <w:webHidden/>
              </w:rPr>
              <w:tab/>
            </w:r>
            <w:r w:rsidR="00F9578E">
              <w:rPr>
                <w:webHidden/>
              </w:rPr>
              <w:fldChar w:fldCharType="begin"/>
            </w:r>
            <w:r w:rsidR="00F05F0B">
              <w:rPr>
                <w:webHidden/>
              </w:rPr>
              <w:instrText xml:space="preserve"> PAGEREF _Toc435450490 \h </w:instrText>
            </w:r>
            <w:r w:rsidR="00F9578E">
              <w:rPr>
                <w:webHidden/>
              </w:rPr>
            </w:r>
            <w:r w:rsidR="00F9578E">
              <w:rPr>
                <w:webHidden/>
              </w:rPr>
              <w:fldChar w:fldCharType="separate"/>
            </w:r>
            <w:r w:rsidR="00D86467">
              <w:rPr>
                <w:webHidden/>
              </w:rPr>
              <w:t>8</w:t>
            </w:r>
            <w:r w:rsidR="00F9578E">
              <w:rPr>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91" w:history="1">
            <w:r w:rsidR="00F05F0B" w:rsidRPr="00622C70">
              <w:rPr>
                <w:rStyle w:val="Hyperlink"/>
              </w:rPr>
              <w:t>Part 2 – Other amendments</w:t>
            </w:r>
            <w:r w:rsidR="00F05F0B">
              <w:rPr>
                <w:webHidden/>
              </w:rPr>
              <w:tab/>
            </w:r>
            <w:r w:rsidR="00F9578E">
              <w:rPr>
                <w:webHidden/>
              </w:rPr>
              <w:fldChar w:fldCharType="begin"/>
            </w:r>
            <w:r w:rsidR="00F05F0B">
              <w:rPr>
                <w:webHidden/>
              </w:rPr>
              <w:instrText xml:space="preserve"> PAGEREF _Toc435450491 \h </w:instrText>
            </w:r>
            <w:r w:rsidR="00F9578E">
              <w:rPr>
                <w:webHidden/>
              </w:rPr>
            </w:r>
            <w:r w:rsidR="00F9578E">
              <w:rPr>
                <w:webHidden/>
              </w:rPr>
              <w:fldChar w:fldCharType="separate"/>
            </w:r>
            <w:r w:rsidR="00D86467">
              <w:rPr>
                <w:webHidden/>
              </w:rPr>
              <w:t>9</w:t>
            </w:r>
            <w:r w:rsidR="00F9578E">
              <w:rPr>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92" w:history="1">
            <w:r w:rsidR="00F05F0B" w:rsidRPr="00622C70">
              <w:rPr>
                <w:rStyle w:val="Hyperlink"/>
              </w:rPr>
              <w:t>Agricultural and Veterinary Chemicals Code Regulations 1995</w:t>
            </w:r>
            <w:r w:rsidR="00F05F0B">
              <w:rPr>
                <w:webHidden/>
              </w:rPr>
              <w:tab/>
            </w:r>
            <w:r w:rsidR="00F9578E">
              <w:rPr>
                <w:webHidden/>
              </w:rPr>
              <w:fldChar w:fldCharType="begin"/>
            </w:r>
            <w:r w:rsidR="00F05F0B">
              <w:rPr>
                <w:webHidden/>
              </w:rPr>
              <w:instrText xml:space="preserve"> PAGEREF _Toc435450492 \h </w:instrText>
            </w:r>
            <w:r w:rsidR="00F9578E">
              <w:rPr>
                <w:webHidden/>
              </w:rPr>
            </w:r>
            <w:r w:rsidR="00F9578E">
              <w:rPr>
                <w:webHidden/>
              </w:rPr>
              <w:fldChar w:fldCharType="separate"/>
            </w:r>
            <w:r w:rsidR="00D86467">
              <w:rPr>
                <w:webHidden/>
              </w:rPr>
              <w:t>9</w:t>
            </w:r>
            <w:r w:rsidR="00F9578E">
              <w:rPr>
                <w:webHidden/>
              </w:rPr>
              <w:fldChar w:fldCharType="end"/>
            </w:r>
          </w:hyperlink>
        </w:p>
        <w:p w:rsidR="00F05F0B" w:rsidRDefault="00886E78" w:rsidP="00D86467">
          <w:pPr>
            <w:pStyle w:val="TOC3"/>
            <w:rPr>
              <w:rFonts w:asciiTheme="minorHAnsi" w:eastAsiaTheme="minorEastAsia" w:hAnsiTheme="minorHAnsi" w:cstheme="minorBidi"/>
              <w:noProof/>
              <w:szCs w:val="22"/>
            </w:rPr>
          </w:pPr>
          <w:hyperlink w:anchor="_Toc435450493" w:history="1">
            <w:r w:rsidR="00F05F0B" w:rsidRPr="00622C70">
              <w:rPr>
                <w:rStyle w:val="Hyperlink"/>
                <w:noProof/>
              </w:rPr>
              <w:t>Schedule 3 – Amendments commencing 1 July 2016</w:t>
            </w:r>
            <w:r w:rsidR="00F05F0B">
              <w:rPr>
                <w:noProof/>
                <w:webHidden/>
              </w:rPr>
              <w:tab/>
            </w:r>
            <w:r w:rsidR="00F9578E">
              <w:rPr>
                <w:noProof/>
                <w:webHidden/>
              </w:rPr>
              <w:fldChar w:fldCharType="begin"/>
            </w:r>
            <w:r w:rsidR="00F05F0B">
              <w:rPr>
                <w:noProof/>
                <w:webHidden/>
              </w:rPr>
              <w:instrText xml:space="preserve"> PAGEREF _Toc435450493 \h </w:instrText>
            </w:r>
            <w:r w:rsidR="00F9578E">
              <w:rPr>
                <w:noProof/>
                <w:webHidden/>
              </w:rPr>
            </w:r>
            <w:r w:rsidR="00F9578E">
              <w:rPr>
                <w:noProof/>
                <w:webHidden/>
              </w:rPr>
              <w:fldChar w:fldCharType="separate"/>
            </w:r>
            <w:r w:rsidR="00D86467">
              <w:rPr>
                <w:noProof/>
                <w:webHidden/>
              </w:rPr>
              <w:t>11</w:t>
            </w:r>
            <w:r w:rsidR="00F9578E">
              <w:rPr>
                <w:noProof/>
                <w:webHidden/>
              </w:rPr>
              <w:fldChar w:fldCharType="end"/>
            </w:r>
          </w:hyperlink>
        </w:p>
        <w:p w:rsidR="00F05F0B" w:rsidRDefault="00886E78" w:rsidP="00D86467">
          <w:pPr>
            <w:pStyle w:val="TOC4"/>
            <w:rPr>
              <w:rFonts w:asciiTheme="minorHAnsi" w:eastAsiaTheme="minorEastAsia" w:hAnsiTheme="minorHAnsi" w:cstheme="minorBidi"/>
              <w:szCs w:val="22"/>
            </w:rPr>
          </w:pPr>
          <w:hyperlink w:anchor="_Toc435450494" w:history="1">
            <w:r w:rsidR="00F05F0B" w:rsidRPr="00622C70">
              <w:rPr>
                <w:rStyle w:val="Hyperlink"/>
              </w:rPr>
              <w:t>Agricultural and Veterinary Chemicals Code Regulations 1995</w:t>
            </w:r>
            <w:r w:rsidR="00F05F0B">
              <w:rPr>
                <w:webHidden/>
              </w:rPr>
              <w:tab/>
            </w:r>
            <w:r w:rsidR="00F9578E">
              <w:rPr>
                <w:webHidden/>
              </w:rPr>
              <w:fldChar w:fldCharType="begin"/>
            </w:r>
            <w:r w:rsidR="00F05F0B">
              <w:rPr>
                <w:webHidden/>
              </w:rPr>
              <w:instrText xml:space="preserve"> PAGEREF _Toc435450494 \h </w:instrText>
            </w:r>
            <w:r w:rsidR="00F9578E">
              <w:rPr>
                <w:webHidden/>
              </w:rPr>
            </w:r>
            <w:r w:rsidR="00F9578E">
              <w:rPr>
                <w:webHidden/>
              </w:rPr>
              <w:fldChar w:fldCharType="separate"/>
            </w:r>
            <w:r w:rsidR="00D86467">
              <w:rPr>
                <w:webHidden/>
              </w:rPr>
              <w:t>12</w:t>
            </w:r>
            <w:r w:rsidR="00F9578E">
              <w:rPr>
                <w:webHidden/>
              </w:rPr>
              <w:fldChar w:fldCharType="end"/>
            </w:r>
          </w:hyperlink>
        </w:p>
        <w:p w:rsidR="00F05F0B" w:rsidRDefault="00F9578E" w:rsidP="00D86467">
          <w:pPr>
            <w:tabs>
              <w:tab w:val="right" w:leader="dot" w:pos="9736"/>
            </w:tabs>
          </w:pPr>
          <w:r>
            <w:fldChar w:fldCharType="end"/>
          </w:r>
        </w:p>
      </w:sdtContent>
    </w:sdt>
    <w:p w:rsidR="00F05F0B" w:rsidRDefault="00F05F0B" w:rsidP="00F05F0B"/>
    <w:p w:rsidR="000F184E" w:rsidRDefault="000F184E">
      <w:pPr>
        <w:pStyle w:val="Heading2"/>
        <w:jc w:val="both"/>
      </w:pPr>
      <w:bookmarkStart w:id="1" w:name="_Toc340506950"/>
      <w:bookmarkStart w:id="2" w:name="_Toc360284715"/>
      <w:bookmarkStart w:id="3" w:name="_Toc360284656"/>
      <w:r>
        <w:br w:type="page"/>
      </w:r>
      <w:bookmarkStart w:id="4" w:name="_Toc360450052"/>
      <w:bookmarkStart w:id="5" w:name="_Toc360450256"/>
      <w:bookmarkStart w:id="6" w:name="_Toc435450344"/>
      <w:bookmarkStart w:id="7" w:name="_Toc435450473"/>
      <w:r>
        <w:lastRenderedPageBreak/>
        <w:t>Legislative authority for regulation</w:t>
      </w:r>
      <w:bookmarkEnd w:id="4"/>
      <w:bookmarkEnd w:id="5"/>
      <w:bookmarkEnd w:id="6"/>
      <w:bookmarkEnd w:id="7"/>
    </w:p>
    <w:p w:rsidR="000F184E" w:rsidRDefault="000F184E">
      <w:pPr>
        <w:pStyle w:val="BodyText10"/>
        <w:rPr>
          <w:highlight w:val="yellow"/>
        </w:rPr>
      </w:pPr>
      <w:r>
        <w:t xml:space="preserve">Subsection 6(1) of the </w:t>
      </w:r>
      <w:r>
        <w:rPr>
          <w:i/>
        </w:rPr>
        <w:t xml:space="preserve">Agricultural and Veterinary Chemicals Code Act 1994 </w:t>
      </w:r>
      <w:r>
        <w:t>(Code Act)</w:t>
      </w:r>
      <w:r>
        <w:rPr>
          <w:i/>
        </w:rPr>
        <w:t xml:space="preserve"> </w:t>
      </w:r>
      <w:r>
        <w:t>provides, in part, that the Governor-General may make regulations prescribing matters</w:t>
      </w:r>
      <w:r w:rsidR="00A308BC">
        <w:t>:</w:t>
      </w:r>
      <w:r>
        <w:t xml:space="preserve"> required or permitted by the Schedule to the Code Act (the </w:t>
      </w:r>
      <w:proofErr w:type="spellStart"/>
      <w:r>
        <w:t>Agvet</w:t>
      </w:r>
      <w:proofErr w:type="spellEnd"/>
      <w:r>
        <w:t xml:space="preserve"> Code) to be prescribed by regulations within the meaning of the </w:t>
      </w:r>
      <w:proofErr w:type="spellStart"/>
      <w:r>
        <w:t>Agvet</w:t>
      </w:r>
      <w:proofErr w:type="spellEnd"/>
      <w:r>
        <w:t xml:space="preserve"> Code; or necessary or convenient to be prescribed by such regulations for carrying out or giving effect to the </w:t>
      </w:r>
      <w:proofErr w:type="spellStart"/>
      <w:r>
        <w:t>Agvet</w:t>
      </w:r>
      <w:proofErr w:type="spellEnd"/>
      <w:r>
        <w:t xml:space="preserve"> Code. The </w:t>
      </w:r>
      <w:proofErr w:type="spellStart"/>
      <w:r>
        <w:t>Agvet</w:t>
      </w:r>
      <w:proofErr w:type="spellEnd"/>
      <w:r>
        <w:t xml:space="preserve"> Code includes provision for </w:t>
      </w:r>
      <w:r w:rsidR="00A308BC">
        <w:t xml:space="preserve">certain </w:t>
      </w:r>
      <w:r>
        <w:t xml:space="preserve">matters to be prescribed in regulations. These </w:t>
      </w:r>
      <w:r w:rsidR="00A308BC">
        <w:t xml:space="preserve">provisions are described for each of the relevant amending items </w:t>
      </w:r>
      <w:r>
        <w:t xml:space="preserve">in </w:t>
      </w:r>
      <w:r w:rsidR="00A308BC">
        <w:t xml:space="preserve">the ‘details of the amendment regulation’ part of this </w:t>
      </w:r>
      <w:r>
        <w:t xml:space="preserve">explanatory statement. </w:t>
      </w:r>
    </w:p>
    <w:p w:rsidR="000F184E" w:rsidRDefault="00305C4E">
      <w:pPr>
        <w:pStyle w:val="BodyText10"/>
      </w:pPr>
      <w:r w:rsidRPr="00305C4E">
        <w:t xml:space="preserve">Paragraph 61(b) of the </w:t>
      </w:r>
      <w:r w:rsidRPr="00305C4E">
        <w:rPr>
          <w:i/>
        </w:rPr>
        <w:t>Agricultural and Veterinary Chemicals (Administration) Act 1992</w:t>
      </w:r>
      <w:r w:rsidRPr="00305C4E">
        <w:t xml:space="preserve"> (Administration Act) provides for regulations to prescribe performance indicators for inclusion in the </w:t>
      </w:r>
      <w:r w:rsidR="00A308BC">
        <w:rPr>
          <w:iCs/>
        </w:rPr>
        <w:t>Australian Pesticides and Veterinary Medicines Authority’s</w:t>
      </w:r>
      <w:r w:rsidR="00A308BC" w:rsidRPr="00305C4E">
        <w:t xml:space="preserve"> </w:t>
      </w:r>
      <w:r w:rsidRPr="00305C4E">
        <w:t xml:space="preserve">annual report. </w:t>
      </w:r>
      <w:r w:rsidR="000F184E">
        <w:t xml:space="preserve"> </w:t>
      </w:r>
    </w:p>
    <w:p w:rsidR="000F184E" w:rsidRDefault="000F184E">
      <w:pPr>
        <w:pStyle w:val="Heading3noTC"/>
      </w:pPr>
      <w:bookmarkStart w:id="8" w:name="_Toc360450053"/>
      <w:bookmarkStart w:id="9" w:name="_Toc360450257"/>
      <w:r>
        <w:t>Disallowance of Regulation</w:t>
      </w:r>
      <w:bookmarkEnd w:id="8"/>
      <w:bookmarkEnd w:id="9"/>
    </w:p>
    <w:p w:rsidR="000F184E" w:rsidRDefault="000F184E">
      <w:pPr>
        <w:pStyle w:val="BodyText10"/>
      </w:pPr>
      <w:r>
        <w:t xml:space="preserve">The Amendment Regulation is a disallowable legislative instrument for the purposes of the </w:t>
      </w:r>
      <w:r>
        <w:rPr>
          <w:i/>
        </w:rPr>
        <w:t xml:space="preserve">Legislative Instruments Act 2003 </w:t>
      </w:r>
      <w:r>
        <w:t xml:space="preserve">(LI Act). Section 54 of the LI Act means that the Amendment Regulation is not subject to </w:t>
      </w:r>
      <w:proofErr w:type="spellStart"/>
      <w:r>
        <w:t>sunsetting</w:t>
      </w:r>
      <w:proofErr w:type="spellEnd"/>
      <w:r>
        <w:t xml:space="preserve"> as the amendments to regulations in the Amendment Regulation are enabled by legislation that facilitates the establishment and operation of a scheme involving the Commonwealth and one or more states.</w:t>
      </w:r>
    </w:p>
    <w:p w:rsidR="000E5261" w:rsidRPr="000E5261" w:rsidRDefault="000E5261">
      <w:pPr>
        <w:pStyle w:val="BodyText10"/>
      </w:pPr>
    </w:p>
    <w:p w:rsidR="000F184E" w:rsidRDefault="000F184E">
      <w:pPr>
        <w:pStyle w:val="Heading2"/>
      </w:pPr>
      <w:bookmarkStart w:id="10" w:name="_Toc360450054"/>
      <w:bookmarkStart w:id="11" w:name="_Toc360450258"/>
      <w:bookmarkStart w:id="12" w:name="_Toc435450345"/>
      <w:bookmarkStart w:id="13" w:name="_Toc435450474"/>
      <w:r>
        <w:t>Glossary</w:t>
      </w:r>
      <w:bookmarkEnd w:id="1"/>
      <w:bookmarkEnd w:id="2"/>
      <w:bookmarkEnd w:id="10"/>
      <w:bookmarkEnd w:id="11"/>
      <w:bookmarkEnd w:id="12"/>
      <w:bookmarkEnd w:id="13"/>
    </w:p>
    <w:p w:rsidR="000F184E" w:rsidRDefault="000F184E">
      <w:pPr>
        <w:pStyle w:val="BodyText10"/>
      </w:pPr>
      <w:r>
        <w:t>The following abbreviations and acronyms are used throughout this explanatory statement.</w:t>
      </w:r>
    </w:p>
    <w:p w:rsidR="000F184E" w:rsidRDefault="000F184E"/>
    <w:tbl>
      <w:tblPr>
        <w:tblW w:w="9747" w:type="dxa"/>
        <w:tblBorders>
          <w:top w:val="single" w:sz="4" w:space="0" w:color="auto"/>
          <w:bottom w:val="single" w:sz="4" w:space="0" w:color="auto"/>
        </w:tblBorders>
        <w:tblLook w:val="01E0" w:firstRow="1" w:lastRow="1" w:firstColumn="1" w:lastColumn="1" w:noHBand="0" w:noVBand="0"/>
      </w:tblPr>
      <w:tblGrid>
        <w:gridCol w:w="2127"/>
        <w:gridCol w:w="7620"/>
      </w:tblGrid>
      <w:tr w:rsidR="000F184E" w:rsidTr="00A308BC">
        <w:trPr>
          <w:cantSplit/>
          <w:tblHeader/>
        </w:trPr>
        <w:tc>
          <w:tcPr>
            <w:tcW w:w="2127" w:type="dxa"/>
            <w:tcBorders>
              <w:top w:val="single" w:sz="4" w:space="0" w:color="auto"/>
              <w:bottom w:val="single" w:sz="4" w:space="0" w:color="auto"/>
            </w:tcBorders>
          </w:tcPr>
          <w:p w:rsidR="000F184E" w:rsidRDefault="000F184E">
            <w:pPr>
              <w:pStyle w:val="TableHeading"/>
              <w:rPr>
                <w:rFonts w:ascii="Times New Roman" w:hAnsi="Times New Roman"/>
                <w:sz w:val="24"/>
              </w:rPr>
            </w:pPr>
            <w:r>
              <w:rPr>
                <w:rFonts w:ascii="Times New Roman" w:hAnsi="Times New Roman"/>
                <w:sz w:val="24"/>
              </w:rPr>
              <w:t>Abbreviation</w:t>
            </w:r>
          </w:p>
        </w:tc>
        <w:tc>
          <w:tcPr>
            <w:tcW w:w="7620" w:type="dxa"/>
            <w:tcBorders>
              <w:top w:val="single" w:sz="4" w:space="0" w:color="auto"/>
              <w:bottom w:val="single" w:sz="4" w:space="0" w:color="auto"/>
            </w:tcBorders>
          </w:tcPr>
          <w:p w:rsidR="000F184E" w:rsidRDefault="000F184E">
            <w:pPr>
              <w:pStyle w:val="TableHeading"/>
              <w:rPr>
                <w:rFonts w:ascii="Times New Roman" w:hAnsi="Times New Roman"/>
                <w:sz w:val="24"/>
              </w:rPr>
            </w:pPr>
            <w:r>
              <w:rPr>
                <w:rFonts w:ascii="Times New Roman" w:hAnsi="Times New Roman"/>
                <w:sz w:val="24"/>
              </w:rPr>
              <w:t>Definition</w:t>
            </w:r>
          </w:p>
        </w:tc>
      </w:tr>
      <w:tr w:rsidR="000F184E" w:rsidTr="00FD422C">
        <w:trPr>
          <w:cantSplit/>
        </w:trPr>
        <w:tc>
          <w:tcPr>
            <w:tcW w:w="2127" w:type="dxa"/>
            <w:tcBorders>
              <w:top w:val="single" w:sz="4" w:space="0" w:color="auto"/>
              <w:bottom w:val="nil"/>
            </w:tcBorders>
          </w:tcPr>
          <w:p w:rsidR="000F184E" w:rsidRDefault="000F184E">
            <w:pPr>
              <w:pStyle w:val="TableText"/>
              <w:rPr>
                <w:rFonts w:ascii="Times New Roman" w:hAnsi="Times New Roman"/>
                <w:sz w:val="24"/>
              </w:rPr>
            </w:pPr>
            <w:r>
              <w:rPr>
                <w:rFonts w:ascii="Times New Roman" w:hAnsi="Times New Roman"/>
                <w:sz w:val="24"/>
              </w:rPr>
              <w:t>Admin</w:t>
            </w:r>
            <w:r w:rsidR="00A22B05">
              <w:rPr>
                <w:rFonts w:ascii="Times New Roman" w:hAnsi="Times New Roman"/>
                <w:sz w:val="24"/>
              </w:rPr>
              <w:t>istration</w:t>
            </w:r>
            <w:r>
              <w:rPr>
                <w:rFonts w:ascii="Times New Roman" w:hAnsi="Times New Roman"/>
                <w:sz w:val="24"/>
              </w:rPr>
              <w:t xml:space="preserve"> Act </w:t>
            </w:r>
          </w:p>
        </w:tc>
        <w:tc>
          <w:tcPr>
            <w:tcW w:w="7620" w:type="dxa"/>
            <w:tcBorders>
              <w:top w:val="single" w:sz="4" w:space="0" w:color="auto"/>
              <w:bottom w:val="nil"/>
            </w:tcBorders>
          </w:tcPr>
          <w:p w:rsidR="000F184E" w:rsidRDefault="000F184E">
            <w:pPr>
              <w:pStyle w:val="TableText"/>
              <w:rPr>
                <w:rFonts w:ascii="Times New Roman" w:hAnsi="Times New Roman"/>
                <w:i/>
                <w:sz w:val="24"/>
              </w:rPr>
            </w:pPr>
            <w:r>
              <w:rPr>
                <w:rFonts w:ascii="Times New Roman" w:hAnsi="Times New Roman"/>
                <w:i/>
                <w:sz w:val="24"/>
              </w:rPr>
              <w:t>Agricultural and Veterinary Chemicals (Administration) Act 1992</w:t>
            </w:r>
          </w:p>
        </w:tc>
      </w:tr>
      <w:tr w:rsidR="000F184E" w:rsidTr="00A308BC">
        <w:trPr>
          <w:cantSplit/>
        </w:trPr>
        <w:tc>
          <w:tcPr>
            <w:tcW w:w="2127" w:type="dxa"/>
          </w:tcPr>
          <w:p w:rsidR="000F184E" w:rsidRDefault="000F184E">
            <w:pPr>
              <w:pStyle w:val="TableText"/>
              <w:rPr>
                <w:rFonts w:ascii="Times New Roman" w:hAnsi="Times New Roman"/>
                <w:sz w:val="24"/>
              </w:rPr>
            </w:pPr>
            <w:r>
              <w:rPr>
                <w:rFonts w:ascii="Times New Roman" w:hAnsi="Times New Roman"/>
                <w:sz w:val="24"/>
              </w:rPr>
              <w:t>Admin</w:t>
            </w:r>
            <w:r w:rsidR="00A22B05">
              <w:rPr>
                <w:rFonts w:ascii="Times New Roman" w:hAnsi="Times New Roman"/>
                <w:sz w:val="24"/>
              </w:rPr>
              <w:t>istration</w:t>
            </w:r>
            <w:r>
              <w:rPr>
                <w:rFonts w:ascii="Times New Roman" w:hAnsi="Times New Roman"/>
                <w:sz w:val="24"/>
              </w:rPr>
              <w:t xml:space="preserve"> Regulations</w:t>
            </w:r>
          </w:p>
        </w:tc>
        <w:tc>
          <w:tcPr>
            <w:tcW w:w="7620" w:type="dxa"/>
          </w:tcPr>
          <w:p w:rsidR="000F184E" w:rsidRDefault="000F184E">
            <w:pPr>
              <w:pStyle w:val="TableText"/>
              <w:rPr>
                <w:rFonts w:ascii="Times New Roman" w:hAnsi="Times New Roman"/>
                <w:iCs/>
                <w:sz w:val="24"/>
              </w:rPr>
            </w:pPr>
            <w:r>
              <w:rPr>
                <w:rFonts w:ascii="Times New Roman" w:hAnsi="Times New Roman"/>
                <w:sz w:val="24"/>
              </w:rPr>
              <w:t>Agricultural and Veterinary Chemicals (Administration) Regulations 1995</w:t>
            </w:r>
          </w:p>
        </w:tc>
      </w:tr>
      <w:tr w:rsidR="000F184E" w:rsidTr="00A308BC">
        <w:trPr>
          <w:cantSplit/>
        </w:trPr>
        <w:tc>
          <w:tcPr>
            <w:tcW w:w="2127" w:type="dxa"/>
          </w:tcPr>
          <w:p w:rsidR="000F184E" w:rsidRDefault="000F184E">
            <w:pPr>
              <w:pStyle w:val="TableText"/>
              <w:rPr>
                <w:rFonts w:ascii="Times New Roman" w:hAnsi="Times New Roman"/>
                <w:sz w:val="24"/>
              </w:rPr>
            </w:pPr>
            <w:proofErr w:type="spellStart"/>
            <w:r>
              <w:rPr>
                <w:rFonts w:ascii="Times New Roman" w:hAnsi="Times New Roman"/>
                <w:sz w:val="24"/>
              </w:rPr>
              <w:t>agvet</w:t>
            </w:r>
            <w:proofErr w:type="spellEnd"/>
            <w:r>
              <w:rPr>
                <w:rFonts w:ascii="Times New Roman" w:hAnsi="Times New Roman"/>
                <w:sz w:val="24"/>
              </w:rPr>
              <w:t xml:space="preserve"> chemical</w:t>
            </w:r>
            <w:r w:rsidR="00A308BC">
              <w:rPr>
                <w:rFonts w:ascii="Times New Roman" w:hAnsi="Times New Roman"/>
                <w:sz w:val="24"/>
              </w:rPr>
              <w:t>s</w:t>
            </w:r>
          </w:p>
        </w:tc>
        <w:tc>
          <w:tcPr>
            <w:tcW w:w="7620" w:type="dxa"/>
          </w:tcPr>
          <w:p w:rsidR="000F184E" w:rsidRDefault="000F184E">
            <w:pPr>
              <w:pStyle w:val="TableText"/>
              <w:rPr>
                <w:rFonts w:ascii="Times New Roman" w:hAnsi="Times New Roman"/>
                <w:iCs/>
                <w:sz w:val="24"/>
              </w:rPr>
            </w:pPr>
            <w:r>
              <w:rPr>
                <w:rFonts w:ascii="Times New Roman" w:hAnsi="Times New Roman"/>
                <w:iCs/>
                <w:sz w:val="24"/>
              </w:rPr>
              <w:t>agricultural chemical</w:t>
            </w:r>
            <w:r w:rsidR="00A308BC">
              <w:rPr>
                <w:rFonts w:ascii="Times New Roman" w:hAnsi="Times New Roman"/>
                <w:iCs/>
                <w:sz w:val="24"/>
              </w:rPr>
              <w:t>s and veterinary medicines</w:t>
            </w:r>
          </w:p>
        </w:tc>
      </w:tr>
      <w:tr w:rsidR="000F184E" w:rsidTr="00A308BC">
        <w:trPr>
          <w:cantSplit/>
        </w:trPr>
        <w:tc>
          <w:tcPr>
            <w:tcW w:w="2127" w:type="dxa"/>
          </w:tcPr>
          <w:p w:rsidR="000F184E" w:rsidRDefault="000F184E">
            <w:pPr>
              <w:pStyle w:val="TableText"/>
              <w:rPr>
                <w:rFonts w:ascii="Times New Roman" w:hAnsi="Times New Roman"/>
                <w:sz w:val="24"/>
              </w:rPr>
            </w:pPr>
            <w:proofErr w:type="spellStart"/>
            <w:r>
              <w:rPr>
                <w:rFonts w:ascii="Times New Roman" w:hAnsi="Times New Roman"/>
                <w:sz w:val="24"/>
              </w:rPr>
              <w:t>Agvet</w:t>
            </w:r>
            <w:proofErr w:type="spellEnd"/>
            <w:r>
              <w:rPr>
                <w:rFonts w:ascii="Times New Roman" w:hAnsi="Times New Roman"/>
                <w:sz w:val="24"/>
              </w:rPr>
              <w:t xml:space="preserve"> Code</w:t>
            </w:r>
          </w:p>
        </w:tc>
        <w:tc>
          <w:tcPr>
            <w:tcW w:w="7620" w:type="dxa"/>
          </w:tcPr>
          <w:p w:rsidR="000F184E" w:rsidRDefault="000F184E">
            <w:pPr>
              <w:pStyle w:val="TableText"/>
              <w:rPr>
                <w:rFonts w:ascii="Times New Roman" w:hAnsi="Times New Roman"/>
                <w:iCs/>
                <w:sz w:val="24"/>
              </w:rPr>
            </w:pPr>
            <w:r>
              <w:rPr>
                <w:rFonts w:ascii="Times New Roman" w:hAnsi="Times New Roman"/>
                <w:iCs/>
                <w:sz w:val="24"/>
              </w:rPr>
              <w:t>Schedule to the Code Act (see below)</w:t>
            </w:r>
          </w:p>
        </w:tc>
      </w:tr>
      <w:tr w:rsidR="000F184E" w:rsidTr="00A308BC">
        <w:trPr>
          <w:cantSplit/>
        </w:trPr>
        <w:tc>
          <w:tcPr>
            <w:tcW w:w="2127" w:type="dxa"/>
          </w:tcPr>
          <w:p w:rsidR="000F184E" w:rsidRDefault="000F184E">
            <w:pPr>
              <w:pStyle w:val="TableText"/>
              <w:rPr>
                <w:rFonts w:ascii="Times New Roman" w:hAnsi="Times New Roman"/>
                <w:sz w:val="24"/>
              </w:rPr>
            </w:pPr>
            <w:r>
              <w:rPr>
                <w:rFonts w:ascii="Times New Roman" w:hAnsi="Times New Roman"/>
                <w:sz w:val="24"/>
              </w:rPr>
              <w:t>Amendment Regulation</w:t>
            </w:r>
          </w:p>
        </w:tc>
        <w:tc>
          <w:tcPr>
            <w:tcW w:w="7620" w:type="dxa"/>
          </w:tcPr>
          <w:p w:rsidR="00A1565C" w:rsidRDefault="000F184E">
            <w:pPr>
              <w:pStyle w:val="TableText"/>
              <w:rPr>
                <w:rFonts w:ascii="Times New Roman" w:hAnsi="Times New Roman"/>
                <w:iCs/>
                <w:sz w:val="24"/>
              </w:rPr>
            </w:pPr>
            <w:r>
              <w:rPr>
                <w:rFonts w:ascii="Times New Roman" w:hAnsi="Times New Roman"/>
                <w:sz w:val="24"/>
              </w:rPr>
              <w:t>Agricultural and Veterinary Chemicals Legislation Amendment (</w:t>
            </w:r>
            <w:r w:rsidR="00A22B05">
              <w:rPr>
                <w:rFonts w:ascii="Times New Roman" w:hAnsi="Times New Roman"/>
                <w:sz w:val="24"/>
              </w:rPr>
              <w:t xml:space="preserve">Simplified Formulation Variations </w:t>
            </w:r>
            <w:r>
              <w:rPr>
                <w:rFonts w:ascii="Times New Roman" w:hAnsi="Times New Roman"/>
                <w:sz w:val="24"/>
              </w:rPr>
              <w:t>and Other Measures) Regulation 2015</w:t>
            </w:r>
          </w:p>
        </w:tc>
      </w:tr>
      <w:tr w:rsidR="000F184E" w:rsidTr="00A308BC">
        <w:trPr>
          <w:cantSplit/>
        </w:trPr>
        <w:tc>
          <w:tcPr>
            <w:tcW w:w="2127" w:type="dxa"/>
          </w:tcPr>
          <w:p w:rsidR="000F184E" w:rsidRDefault="000F184E">
            <w:pPr>
              <w:pStyle w:val="TableText"/>
              <w:rPr>
                <w:rFonts w:ascii="Times New Roman" w:hAnsi="Times New Roman"/>
                <w:sz w:val="24"/>
              </w:rPr>
            </w:pPr>
            <w:proofErr w:type="spellStart"/>
            <w:r>
              <w:rPr>
                <w:rFonts w:ascii="Times New Roman" w:hAnsi="Times New Roman"/>
                <w:sz w:val="24"/>
              </w:rPr>
              <w:t>APVMA</w:t>
            </w:r>
            <w:proofErr w:type="spellEnd"/>
          </w:p>
        </w:tc>
        <w:tc>
          <w:tcPr>
            <w:tcW w:w="7620" w:type="dxa"/>
          </w:tcPr>
          <w:p w:rsidR="000F184E" w:rsidRDefault="000F184E">
            <w:pPr>
              <w:pStyle w:val="TableText"/>
              <w:rPr>
                <w:rFonts w:ascii="Times New Roman" w:hAnsi="Times New Roman"/>
                <w:iCs/>
                <w:sz w:val="24"/>
              </w:rPr>
            </w:pPr>
            <w:r>
              <w:rPr>
                <w:rFonts w:ascii="Times New Roman" w:hAnsi="Times New Roman"/>
                <w:iCs/>
                <w:sz w:val="24"/>
              </w:rPr>
              <w:t>Australian Pesticides and Veterinary Medicines Authority</w:t>
            </w:r>
          </w:p>
        </w:tc>
      </w:tr>
      <w:tr w:rsidR="000F184E" w:rsidTr="00A308BC">
        <w:trPr>
          <w:cantSplit/>
        </w:trPr>
        <w:tc>
          <w:tcPr>
            <w:tcW w:w="2127" w:type="dxa"/>
          </w:tcPr>
          <w:p w:rsidR="000F184E" w:rsidRDefault="000F184E">
            <w:pPr>
              <w:pStyle w:val="TableText"/>
              <w:rPr>
                <w:rFonts w:ascii="Times New Roman" w:hAnsi="Times New Roman"/>
                <w:color w:val="FF0000"/>
                <w:sz w:val="24"/>
              </w:rPr>
            </w:pPr>
            <w:r>
              <w:rPr>
                <w:rFonts w:ascii="Times New Roman" w:hAnsi="Times New Roman"/>
                <w:sz w:val="24"/>
              </w:rPr>
              <w:t>Code Act</w:t>
            </w:r>
          </w:p>
        </w:tc>
        <w:tc>
          <w:tcPr>
            <w:tcW w:w="7620" w:type="dxa"/>
          </w:tcPr>
          <w:p w:rsidR="000F184E" w:rsidRDefault="000F184E">
            <w:pPr>
              <w:pStyle w:val="TableText"/>
              <w:rPr>
                <w:rFonts w:ascii="Times New Roman" w:hAnsi="Times New Roman"/>
                <w:i/>
                <w:color w:val="FF0000"/>
                <w:sz w:val="24"/>
              </w:rPr>
            </w:pPr>
            <w:r>
              <w:rPr>
                <w:rFonts w:ascii="Times New Roman" w:hAnsi="Times New Roman"/>
                <w:i/>
                <w:iCs/>
                <w:sz w:val="24"/>
              </w:rPr>
              <w:t>Agricultural and Veterinary Chemicals Code Act 1994</w:t>
            </w:r>
          </w:p>
        </w:tc>
      </w:tr>
      <w:tr w:rsidR="000F184E" w:rsidTr="00A308BC">
        <w:trPr>
          <w:cantSplit/>
        </w:trPr>
        <w:tc>
          <w:tcPr>
            <w:tcW w:w="2127" w:type="dxa"/>
          </w:tcPr>
          <w:p w:rsidR="000F184E" w:rsidRDefault="000F184E">
            <w:pPr>
              <w:pStyle w:val="TableText"/>
              <w:rPr>
                <w:rFonts w:ascii="Times New Roman" w:hAnsi="Times New Roman"/>
                <w:sz w:val="24"/>
              </w:rPr>
            </w:pPr>
            <w:r>
              <w:rPr>
                <w:rFonts w:ascii="Times New Roman" w:hAnsi="Times New Roman"/>
                <w:sz w:val="24"/>
              </w:rPr>
              <w:t>LI Act</w:t>
            </w:r>
          </w:p>
        </w:tc>
        <w:tc>
          <w:tcPr>
            <w:tcW w:w="7620" w:type="dxa"/>
          </w:tcPr>
          <w:p w:rsidR="000F184E" w:rsidRDefault="000F184E">
            <w:pPr>
              <w:pStyle w:val="TableText"/>
              <w:rPr>
                <w:rFonts w:ascii="Times New Roman" w:hAnsi="Times New Roman"/>
                <w:i/>
                <w:sz w:val="24"/>
              </w:rPr>
            </w:pPr>
            <w:r>
              <w:rPr>
                <w:rFonts w:ascii="Times New Roman" w:hAnsi="Times New Roman"/>
                <w:i/>
                <w:sz w:val="24"/>
              </w:rPr>
              <w:t>Legislative Instruments Act 2003</w:t>
            </w:r>
          </w:p>
        </w:tc>
      </w:tr>
      <w:tr w:rsidR="000F184E" w:rsidTr="00A308BC">
        <w:trPr>
          <w:cantSplit/>
        </w:trPr>
        <w:tc>
          <w:tcPr>
            <w:tcW w:w="2127" w:type="dxa"/>
          </w:tcPr>
          <w:p w:rsidR="000F184E" w:rsidRDefault="000F184E">
            <w:pPr>
              <w:pStyle w:val="TableText"/>
              <w:rPr>
                <w:rFonts w:ascii="Times New Roman" w:hAnsi="Times New Roman"/>
                <w:sz w:val="24"/>
              </w:rPr>
            </w:pPr>
            <w:proofErr w:type="spellStart"/>
            <w:r>
              <w:rPr>
                <w:rFonts w:ascii="Times New Roman" w:hAnsi="Times New Roman"/>
                <w:sz w:val="24"/>
              </w:rPr>
              <w:t>NRS</w:t>
            </w:r>
            <w:proofErr w:type="spellEnd"/>
          </w:p>
        </w:tc>
        <w:tc>
          <w:tcPr>
            <w:tcW w:w="7620" w:type="dxa"/>
          </w:tcPr>
          <w:p w:rsidR="000F184E" w:rsidRDefault="000F184E">
            <w:pPr>
              <w:pStyle w:val="TableText"/>
              <w:rPr>
                <w:rFonts w:ascii="Times New Roman" w:hAnsi="Times New Roman"/>
                <w:sz w:val="24"/>
              </w:rPr>
            </w:pPr>
            <w:r>
              <w:rPr>
                <w:rFonts w:ascii="Times New Roman" w:hAnsi="Times New Roman"/>
                <w:sz w:val="24"/>
              </w:rPr>
              <w:t>National Registration Scheme for Agricultural and Veterinary Chemicals</w:t>
            </w:r>
          </w:p>
        </w:tc>
      </w:tr>
      <w:tr w:rsidR="000F184E" w:rsidTr="00A308BC">
        <w:trPr>
          <w:cantSplit/>
        </w:trPr>
        <w:tc>
          <w:tcPr>
            <w:tcW w:w="2127" w:type="dxa"/>
          </w:tcPr>
          <w:p w:rsidR="000F184E" w:rsidRDefault="000F184E">
            <w:pPr>
              <w:pStyle w:val="TableText"/>
              <w:rPr>
                <w:rFonts w:ascii="Times New Roman" w:hAnsi="Times New Roman"/>
                <w:sz w:val="24"/>
              </w:rPr>
            </w:pPr>
            <w:proofErr w:type="spellStart"/>
            <w:r>
              <w:rPr>
                <w:rFonts w:ascii="Times New Roman" w:hAnsi="Times New Roman"/>
                <w:sz w:val="24"/>
              </w:rPr>
              <w:t>OBPR</w:t>
            </w:r>
            <w:proofErr w:type="spellEnd"/>
          </w:p>
        </w:tc>
        <w:tc>
          <w:tcPr>
            <w:tcW w:w="7620" w:type="dxa"/>
          </w:tcPr>
          <w:p w:rsidR="00A1565C" w:rsidRDefault="000F184E">
            <w:pPr>
              <w:pStyle w:val="ListParagraph"/>
              <w:widowControl w:val="0"/>
              <w:ind w:left="0"/>
            </w:pPr>
            <w:r>
              <w:t>Office of Best Practice Regulation</w:t>
            </w:r>
          </w:p>
        </w:tc>
      </w:tr>
      <w:tr w:rsidR="000F184E" w:rsidTr="00A308BC">
        <w:trPr>
          <w:cantSplit/>
        </w:trPr>
        <w:tc>
          <w:tcPr>
            <w:tcW w:w="2127" w:type="dxa"/>
          </w:tcPr>
          <w:p w:rsidR="000F184E" w:rsidRDefault="000F184E">
            <w:pPr>
              <w:pStyle w:val="TableText"/>
              <w:rPr>
                <w:rFonts w:ascii="Times New Roman" w:hAnsi="Times New Roman"/>
                <w:sz w:val="24"/>
              </w:rPr>
            </w:pPr>
            <w:r>
              <w:rPr>
                <w:rFonts w:ascii="Times New Roman" w:hAnsi="Times New Roman"/>
                <w:sz w:val="24"/>
              </w:rPr>
              <w:t>Principal Code Regulations</w:t>
            </w:r>
          </w:p>
        </w:tc>
        <w:tc>
          <w:tcPr>
            <w:tcW w:w="7620" w:type="dxa"/>
          </w:tcPr>
          <w:p w:rsidR="000F184E" w:rsidRDefault="000F184E">
            <w:pPr>
              <w:pStyle w:val="ListParagraph"/>
              <w:widowControl w:val="0"/>
              <w:ind w:left="0"/>
            </w:pPr>
            <w:r>
              <w:t>Agricultural and Veterinary Chemicals Code Regulations 1995</w:t>
            </w:r>
          </w:p>
        </w:tc>
      </w:tr>
    </w:tbl>
    <w:p w:rsidR="000F184E" w:rsidRDefault="000F184E">
      <w:pPr>
        <w:pStyle w:val="Heading2"/>
      </w:pPr>
      <w:r>
        <w:br w:type="page"/>
      </w:r>
      <w:bookmarkStart w:id="14" w:name="_Toc360284657"/>
      <w:bookmarkStart w:id="15" w:name="_Toc360450055"/>
      <w:bookmarkStart w:id="16" w:name="_Toc360450259"/>
      <w:bookmarkStart w:id="17" w:name="_Toc435450346"/>
      <w:bookmarkStart w:id="18" w:name="_Toc435450475"/>
      <w:bookmarkEnd w:id="3"/>
      <w:r>
        <w:t>OUTLINE</w:t>
      </w:r>
      <w:bookmarkEnd w:id="14"/>
      <w:bookmarkEnd w:id="15"/>
      <w:bookmarkEnd w:id="16"/>
      <w:bookmarkEnd w:id="17"/>
      <w:bookmarkEnd w:id="18"/>
    </w:p>
    <w:p w:rsidR="000F184E" w:rsidRDefault="000F184E">
      <w:pPr>
        <w:pStyle w:val="Heading3"/>
      </w:pPr>
      <w:bookmarkStart w:id="19" w:name="_Toc360450056"/>
      <w:bookmarkStart w:id="20" w:name="_Toc360450260"/>
      <w:bookmarkStart w:id="21" w:name="_Toc435450347"/>
      <w:bookmarkStart w:id="22" w:name="_Toc435450476"/>
      <w:r>
        <w:t>Amendments made</w:t>
      </w:r>
      <w:bookmarkEnd w:id="19"/>
      <w:bookmarkEnd w:id="20"/>
      <w:bookmarkEnd w:id="21"/>
      <w:bookmarkEnd w:id="22"/>
    </w:p>
    <w:p w:rsidR="000F184E" w:rsidRDefault="000F184E">
      <w:pPr>
        <w:pStyle w:val="BodyText10"/>
      </w:pPr>
      <w:r>
        <w:t>The Agricultural and Veterinary Chemicals Legislation</w:t>
      </w:r>
      <w:r w:rsidR="00BF0B08">
        <w:t xml:space="preserve"> </w:t>
      </w:r>
      <w:r>
        <w:t>Amendment (</w:t>
      </w:r>
      <w:r w:rsidR="00924CD5">
        <w:t xml:space="preserve">Simplified Formulation Variations </w:t>
      </w:r>
      <w:r>
        <w:t>and Other Measures) Regulation 2015 (Amendment Regulation) amends the Agricultural and Veterinary Chemicals Code Regulations 1995 (Principal Code Regulations) and the Agricultural and Veterinary Chemicals (Administration) Regulations 1995 (Admin</w:t>
      </w:r>
      <w:r w:rsidR="00924CD5">
        <w:t>istration</w:t>
      </w:r>
      <w:r>
        <w:t xml:space="preserve"> Regulations).</w:t>
      </w:r>
    </w:p>
    <w:p w:rsidR="000F184E" w:rsidRDefault="000F184E">
      <w:pPr>
        <w:pStyle w:val="Heading3"/>
      </w:pPr>
      <w:bookmarkStart w:id="23" w:name="_Toc435450348"/>
      <w:bookmarkStart w:id="24" w:name="_Toc435450477"/>
      <w:r>
        <w:t>Purpose</w:t>
      </w:r>
      <w:r w:rsidR="00380904">
        <w:t>, impact and effect</w:t>
      </w:r>
      <w:r>
        <w:t xml:space="preserve"> of amendments</w:t>
      </w:r>
      <w:bookmarkEnd w:id="23"/>
      <w:bookmarkEnd w:id="24"/>
    </w:p>
    <w:p w:rsidR="00FF33C2" w:rsidRPr="00903567" w:rsidRDefault="00305C4E" w:rsidP="00FF33C2">
      <w:pPr>
        <w:overflowPunct w:val="0"/>
        <w:autoSpaceDE w:val="0"/>
        <w:autoSpaceDN w:val="0"/>
        <w:adjustRightInd w:val="0"/>
        <w:spacing w:after="120"/>
      </w:pPr>
      <w:r w:rsidRPr="00305C4E">
        <w:t xml:space="preserve">The Australian Government has committed to </w:t>
      </w:r>
      <w:r w:rsidR="00A308BC">
        <w:t>improve</w:t>
      </w:r>
      <w:r w:rsidRPr="00305C4E">
        <w:t xml:space="preserve"> the efficiency of agricultural </w:t>
      </w:r>
      <w:r w:rsidR="00A308BC">
        <w:t xml:space="preserve">chemicals </w:t>
      </w:r>
      <w:r w:rsidRPr="00305C4E">
        <w:t xml:space="preserve">and veterinary </w:t>
      </w:r>
      <w:r w:rsidR="00A308BC">
        <w:t xml:space="preserve">medicines </w:t>
      </w:r>
      <w:r w:rsidRPr="00305C4E">
        <w:t>(</w:t>
      </w:r>
      <w:proofErr w:type="spellStart"/>
      <w:r w:rsidRPr="00305C4E">
        <w:t>agvet</w:t>
      </w:r>
      <w:proofErr w:type="spellEnd"/>
      <w:r w:rsidRPr="00305C4E">
        <w:t xml:space="preserve"> chemical</w:t>
      </w:r>
      <w:r w:rsidR="00A308BC">
        <w:t>s)</w:t>
      </w:r>
      <w:r w:rsidRPr="00305C4E">
        <w:t xml:space="preserve"> regulation. </w:t>
      </w:r>
    </w:p>
    <w:p w:rsidR="00FF33C2" w:rsidRDefault="00FF33C2" w:rsidP="00FF33C2">
      <w:pPr>
        <w:pStyle w:val="BodyText10"/>
      </w:pPr>
      <w:r>
        <w:t xml:space="preserve">The Amendment Regulation amends the Principal Code Regulations </w:t>
      </w:r>
      <w:r w:rsidR="00F9796B">
        <w:t xml:space="preserve">and the Administration Regulations </w:t>
      </w:r>
      <w:r>
        <w:t>to:</w:t>
      </w:r>
    </w:p>
    <w:p w:rsidR="00A1565C" w:rsidRPr="008C40D3" w:rsidRDefault="00A308BC" w:rsidP="00A308BC">
      <w:pPr>
        <w:pStyle w:val="Dotpoint1"/>
      </w:pPr>
      <w:r w:rsidRPr="00A308BC">
        <w:t>simplify</w:t>
      </w:r>
      <w:r>
        <w:t xml:space="preserve"> the process for varying the formulation of </w:t>
      </w:r>
      <w:r w:rsidR="006841D3">
        <w:t xml:space="preserve">a </w:t>
      </w:r>
      <w:r>
        <w:t xml:space="preserve">registered </w:t>
      </w:r>
      <w:proofErr w:type="spellStart"/>
      <w:r>
        <w:t>agvet</w:t>
      </w:r>
      <w:proofErr w:type="spellEnd"/>
      <w:r>
        <w:t xml:space="preserve"> chemical</w:t>
      </w:r>
      <w:r w:rsidR="006841D3">
        <w:t xml:space="preserve"> product</w:t>
      </w:r>
    </w:p>
    <w:p w:rsidR="00F92708" w:rsidRPr="008C40D3" w:rsidRDefault="00F92708" w:rsidP="00A308BC">
      <w:pPr>
        <w:pStyle w:val="Dotpoint1"/>
      </w:pPr>
      <w:r w:rsidRPr="008C40D3">
        <w:t>improve efficiency by simplifying the process for registering, or varying a suite of chemical products</w:t>
      </w:r>
    </w:p>
    <w:p w:rsidR="00F92708" w:rsidRPr="008C40D3" w:rsidRDefault="00F92708" w:rsidP="002861C1">
      <w:pPr>
        <w:pStyle w:val="Dotpoint1"/>
        <w:ind w:right="-171"/>
      </w:pPr>
      <w:r w:rsidRPr="008C40D3">
        <w:t xml:space="preserve">simplify the process for varying the name of </w:t>
      </w:r>
      <w:r w:rsidR="006841D3">
        <w:t xml:space="preserve">an </w:t>
      </w:r>
      <w:r w:rsidRPr="008C40D3">
        <w:t>overseas veterinar</w:t>
      </w:r>
      <w:r w:rsidR="006841D3">
        <w:t>y chemical product manufacturer</w:t>
      </w:r>
    </w:p>
    <w:p w:rsidR="00A1565C" w:rsidRPr="008C40D3" w:rsidRDefault="00305C4E" w:rsidP="00A308BC">
      <w:pPr>
        <w:pStyle w:val="Dotpoint1"/>
      </w:pPr>
      <w:r w:rsidRPr="008C40D3">
        <w:t xml:space="preserve">include another international list of animal feed ingredients to improve efficiencies in the regulation of </w:t>
      </w:r>
      <w:r w:rsidR="006841D3">
        <w:t xml:space="preserve">some </w:t>
      </w:r>
      <w:r w:rsidRPr="008C40D3">
        <w:t xml:space="preserve">animal feed products </w:t>
      </w:r>
    </w:p>
    <w:p w:rsidR="00722D56" w:rsidRPr="008C40D3" w:rsidRDefault="00305C4E" w:rsidP="00A308BC">
      <w:pPr>
        <w:pStyle w:val="Dotpoint1"/>
      </w:pPr>
      <w:r w:rsidRPr="008C40D3">
        <w:t xml:space="preserve">specify that bulk </w:t>
      </w:r>
      <w:r w:rsidR="006841D3">
        <w:t xml:space="preserve">feed </w:t>
      </w:r>
      <w:r w:rsidRPr="008C40D3">
        <w:t xml:space="preserve">that incorporates </w:t>
      </w:r>
      <w:r w:rsidR="006841D3">
        <w:t>an excluded animal feed product</w:t>
      </w:r>
      <w:r w:rsidRPr="008C40D3">
        <w:t xml:space="preserve"> is no</w:t>
      </w:r>
      <w:r w:rsidR="006841D3">
        <w:t>t a veterinary chemical product</w:t>
      </w:r>
      <w:r w:rsidRPr="008C40D3">
        <w:t xml:space="preserve"> to reduce the regulatory burden for these kinds of products</w:t>
      </w:r>
    </w:p>
    <w:p w:rsidR="00722D56" w:rsidRPr="008C40D3" w:rsidRDefault="00305C4E" w:rsidP="00A308BC">
      <w:pPr>
        <w:pStyle w:val="Dotpoint1"/>
      </w:pPr>
      <w:r w:rsidRPr="008C40D3">
        <w:t xml:space="preserve">declare chemical products containing </w:t>
      </w:r>
      <w:r w:rsidR="00DF353C">
        <w:t xml:space="preserve">4-aminopropiophenone (or </w:t>
      </w:r>
      <w:r w:rsidR="00DF353C" w:rsidRPr="00FD422C">
        <w:t>para-</w:t>
      </w:r>
      <w:proofErr w:type="spellStart"/>
      <w:r w:rsidR="00DF353C" w:rsidRPr="008C40D3">
        <w:t>aminopropiophenone</w:t>
      </w:r>
      <w:proofErr w:type="spellEnd"/>
      <w:r w:rsidR="00DF353C">
        <w:t>,</w:t>
      </w:r>
      <w:r w:rsidR="00DF353C" w:rsidRPr="008C40D3">
        <w:t xml:space="preserve"> </w:t>
      </w:r>
      <w:r w:rsidRPr="008C40D3">
        <w:t>PAPP) to be restricted chemical products to reflect recent safety assessments for the poison scheduling of these products</w:t>
      </w:r>
    </w:p>
    <w:p w:rsidR="001759FB" w:rsidRPr="008C40D3" w:rsidRDefault="00305C4E" w:rsidP="00A308BC">
      <w:pPr>
        <w:pStyle w:val="Dotpoint1"/>
      </w:pPr>
      <w:r w:rsidRPr="008C40D3">
        <w:t>reduce red tape by providing the option for renewing chemical product registration for five years instead of only for one year</w:t>
      </w:r>
    </w:p>
    <w:p w:rsidR="00FF33C2" w:rsidRPr="008C40D3" w:rsidRDefault="001759FB" w:rsidP="00A308BC">
      <w:pPr>
        <w:pStyle w:val="Dotpoint1"/>
      </w:pPr>
      <w:r w:rsidRPr="008C40D3">
        <w:t>remove spent provisions and correct some errors</w:t>
      </w:r>
      <w:r w:rsidR="00305C4E" w:rsidRPr="008C40D3">
        <w:t>.</w:t>
      </w:r>
    </w:p>
    <w:p w:rsidR="00A1565C" w:rsidRDefault="00305C4E">
      <w:pPr>
        <w:pStyle w:val="ListParagraph"/>
        <w:overflowPunct w:val="0"/>
        <w:autoSpaceDE w:val="0"/>
        <w:autoSpaceDN w:val="0"/>
        <w:adjustRightInd w:val="0"/>
        <w:ind w:left="414"/>
      </w:pPr>
      <w:r w:rsidRPr="00305C4E">
        <w:t xml:space="preserve"> </w:t>
      </w:r>
    </w:p>
    <w:p w:rsidR="00A1565C" w:rsidRDefault="000F184E">
      <w:pPr>
        <w:pStyle w:val="Heading4noTC"/>
        <w:spacing w:before="0"/>
      </w:pPr>
      <w:bookmarkStart w:id="25" w:name="_Toc382399925"/>
      <w:bookmarkStart w:id="26" w:name="_Toc382399927"/>
      <w:bookmarkStart w:id="27" w:name="_Toc382399928"/>
      <w:bookmarkEnd w:id="25"/>
      <w:bookmarkEnd w:id="26"/>
      <w:bookmarkEnd w:id="27"/>
      <w:r>
        <w:t xml:space="preserve">Documents incorporated by reference </w:t>
      </w:r>
    </w:p>
    <w:p w:rsidR="00A1565C" w:rsidRDefault="000F184E">
      <w:pPr>
        <w:pStyle w:val="BodyText10"/>
      </w:pPr>
      <w:r>
        <w:t xml:space="preserve">The Amendment Regulation includes measures that incorporate documents by reference. The </w:t>
      </w:r>
      <w:r w:rsidR="00602E4E">
        <w:t xml:space="preserve">incorporated </w:t>
      </w:r>
      <w:r>
        <w:t xml:space="preserve">documents are </w:t>
      </w:r>
      <w:r w:rsidR="00BF0B08">
        <w:t xml:space="preserve">referred to in </w:t>
      </w:r>
      <w:r>
        <w:t xml:space="preserve">new Division 3.2 of </w:t>
      </w:r>
      <w:r w:rsidR="00602E4E">
        <w:t xml:space="preserve">Part 3 of </w:t>
      </w:r>
      <w:r>
        <w:t>Schedule 3AA of the Principal Code Regulations</w:t>
      </w:r>
      <w:r w:rsidR="00BF0B08">
        <w:t xml:space="preserve">. These provisions </w:t>
      </w:r>
      <w:r w:rsidR="00305C4E" w:rsidRPr="00305C4E">
        <w:t xml:space="preserve">incorporate the standards and specifications in the </w:t>
      </w:r>
      <w:r w:rsidR="00305C4E" w:rsidRPr="00305C4E">
        <w:rPr>
          <w:i/>
        </w:rPr>
        <w:t>Feed Regulations 1983</w:t>
      </w:r>
      <w:r w:rsidR="00305C4E" w:rsidRPr="00305C4E">
        <w:t xml:space="preserve"> of Canada to improve efficiencies in the regulation of animal feed products.</w:t>
      </w:r>
    </w:p>
    <w:p w:rsidR="000F184E" w:rsidRDefault="000F184E">
      <w:pPr>
        <w:pStyle w:val="Heading3"/>
      </w:pPr>
      <w:bookmarkStart w:id="28" w:name="_Toc435450349"/>
      <w:bookmarkStart w:id="29" w:name="_Toc435450478"/>
      <w:r>
        <w:t>Background</w:t>
      </w:r>
      <w:bookmarkEnd w:id="28"/>
      <w:bookmarkEnd w:id="29"/>
    </w:p>
    <w:p w:rsidR="000F184E" w:rsidRDefault="000F184E">
      <w:pPr>
        <w:pStyle w:val="Heading4"/>
      </w:pPr>
      <w:bookmarkStart w:id="30" w:name="_Toc388602884"/>
      <w:bookmarkStart w:id="31" w:name="_Toc435450350"/>
      <w:bookmarkStart w:id="32" w:name="_Toc435450479"/>
      <w:r>
        <w:t>National Registration Scheme</w:t>
      </w:r>
      <w:bookmarkEnd w:id="30"/>
      <w:bookmarkEnd w:id="31"/>
      <w:bookmarkEnd w:id="32"/>
    </w:p>
    <w:p w:rsidR="000F184E" w:rsidRDefault="000F184E">
      <w:pPr>
        <w:pStyle w:val="BodyText10"/>
      </w:pPr>
      <w:r>
        <w:t xml:space="preserve">Agricultural chemicals and veterinary medicines (together, </w:t>
      </w:r>
      <w:proofErr w:type="spellStart"/>
      <w:r>
        <w:t>agvet</w:t>
      </w:r>
      <w:proofErr w:type="spellEnd"/>
      <w:r>
        <w:t xml:space="preserve"> chemicals) are regulated through a cooperative National Registration Scheme (</w:t>
      </w:r>
      <w:r w:rsidR="00DF353C">
        <w:t xml:space="preserve">the </w:t>
      </w:r>
      <w:proofErr w:type="spellStart"/>
      <w:r>
        <w:t>NRS</w:t>
      </w:r>
      <w:proofErr w:type="spellEnd"/>
      <w:r>
        <w:t xml:space="preserve">). The </w:t>
      </w:r>
      <w:proofErr w:type="spellStart"/>
      <w:r>
        <w:t>NRS</w:t>
      </w:r>
      <w:proofErr w:type="spellEnd"/>
      <w:r>
        <w:t xml:space="preserve"> is a partnership between the Commonwealth and the states and territories with an agreed division of responsibilities. Assessment and registration of </w:t>
      </w:r>
      <w:proofErr w:type="spellStart"/>
      <w:r>
        <w:t>agvet</w:t>
      </w:r>
      <w:proofErr w:type="spellEnd"/>
      <w:r>
        <w:t xml:space="preserve"> chemicals, as well as control of supply activities up to the point of retail sale, is undertaken by the Australian Pesticides and Veterinary Medicines Authority</w:t>
      </w:r>
      <w:r>
        <w:rPr>
          <w:noProof/>
        </w:rPr>
        <w:t xml:space="preserve"> (APVMA)</w:t>
      </w:r>
      <w:r w:rsidR="00DF353C">
        <w:rPr>
          <w:noProof/>
        </w:rPr>
        <w:t xml:space="preserve"> (a Commonwealth statutory authority)</w:t>
      </w:r>
      <w:r>
        <w:t xml:space="preserve">. </w:t>
      </w:r>
      <w:r w:rsidR="005139A0">
        <w:t>The c</w:t>
      </w:r>
      <w:r>
        <w:t xml:space="preserve">ontrol of use of </w:t>
      </w:r>
      <w:proofErr w:type="spellStart"/>
      <w:r>
        <w:t>agvet</w:t>
      </w:r>
      <w:proofErr w:type="spellEnd"/>
      <w:r>
        <w:t xml:space="preserve"> chemicals after sale is the responsibility of individual states and territories. </w:t>
      </w:r>
    </w:p>
    <w:p w:rsidR="000F184E" w:rsidRDefault="000F184E">
      <w:pPr>
        <w:pStyle w:val="BodyText10"/>
      </w:pPr>
      <w:r>
        <w:t xml:space="preserve">The Code Act contains, as a schedule, the </w:t>
      </w:r>
      <w:proofErr w:type="spellStart"/>
      <w:r>
        <w:t>Agvet</w:t>
      </w:r>
      <w:proofErr w:type="spellEnd"/>
      <w:r>
        <w:t xml:space="preserve"> Code. </w:t>
      </w:r>
      <w:r w:rsidR="00DF353C">
        <w:t>T</w:t>
      </w:r>
      <w:r>
        <w:t xml:space="preserve">he </w:t>
      </w:r>
      <w:proofErr w:type="spellStart"/>
      <w:r>
        <w:t>Agvet</w:t>
      </w:r>
      <w:proofErr w:type="spellEnd"/>
      <w:r>
        <w:t xml:space="preserve"> Code operates</w:t>
      </w:r>
      <w:r w:rsidR="00DF353C">
        <w:t xml:space="preserve"> in </w:t>
      </w:r>
      <w:r>
        <w:t xml:space="preserve">each State, the Northern Territory and each participating territory (the Australian Capital Territory) to constitute a single national </w:t>
      </w:r>
      <w:proofErr w:type="spellStart"/>
      <w:r>
        <w:t>Agvet</w:t>
      </w:r>
      <w:proofErr w:type="spellEnd"/>
      <w:r>
        <w:t xml:space="preserve"> Code applying throughout Australia.</w:t>
      </w:r>
    </w:p>
    <w:p w:rsidR="000F184E" w:rsidRDefault="000F184E">
      <w:pPr>
        <w:pStyle w:val="BodyText10"/>
      </w:pPr>
      <w:r>
        <w:t xml:space="preserve">The </w:t>
      </w:r>
      <w:proofErr w:type="spellStart"/>
      <w:r>
        <w:t>Agvet</w:t>
      </w:r>
      <w:proofErr w:type="spellEnd"/>
      <w:r>
        <w:t xml:space="preserve"> Code, among other things, contains detailed provisions allowing the </w:t>
      </w:r>
      <w:proofErr w:type="spellStart"/>
      <w:r>
        <w:t>APVMA</w:t>
      </w:r>
      <w:proofErr w:type="spellEnd"/>
      <w:r>
        <w:t xml:space="preserve"> to evaluate, approve or register and reconsider active constituents and </w:t>
      </w:r>
      <w:proofErr w:type="spellStart"/>
      <w:r>
        <w:t>agvet</w:t>
      </w:r>
      <w:proofErr w:type="spellEnd"/>
      <w:r>
        <w:t xml:space="preserve"> chemical products (and their associated labels). The provisions also allow the </w:t>
      </w:r>
      <w:proofErr w:type="spellStart"/>
      <w:r>
        <w:t>APVMA</w:t>
      </w:r>
      <w:proofErr w:type="spellEnd"/>
      <w:r>
        <w:t xml:space="preserve"> to issue permits and to licence the manufacture of chemical products. Other provisions in the </w:t>
      </w:r>
      <w:proofErr w:type="spellStart"/>
      <w:r>
        <w:t>Agvet</w:t>
      </w:r>
      <w:proofErr w:type="spellEnd"/>
      <w:r>
        <w:t xml:space="preserve"> Code provide for controls to regulate the supply of chemical products; and ensure compliance with and enforcement of the </w:t>
      </w:r>
      <w:proofErr w:type="spellStart"/>
      <w:r>
        <w:t>Agvet</w:t>
      </w:r>
      <w:proofErr w:type="spellEnd"/>
      <w:r>
        <w:t xml:space="preserve"> Code. </w:t>
      </w:r>
    </w:p>
    <w:p w:rsidR="000F184E" w:rsidRDefault="000F184E">
      <w:pPr>
        <w:pStyle w:val="Heading4"/>
      </w:pPr>
      <w:bookmarkStart w:id="33" w:name="_Toc388602885"/>
      <w:bookmarkStart w:id="34" w:name="_Toc435450351"/>
      <w:bookmarkStart w:id="35" w:name="_Toc435450480"/>
      <w:r>
        <w:t xml:space="preserve">Roles and responsibilities of the </w:t>
      </w:r>
      <w:proofErr w:type="spellStart"/>
      <w:r>
        <w:t>APVMA</w:t>
      </w:r>
      <w:bookmarkEnd w:id="33"/>
      <w:bookmarkEnd w:id="34"/>
      <w:bookmarkEnd w:id="35"/>
      <w:proofErr w:type="spellEnd"/>
    </w:p>
    <w:p w:rsidR="000F184E" w:rsidRDefault="000F184E">
      <w:pPr>
        <w:pStyle w:val="BodyText10"/>
      </w:pPr>
      <w:r>
        <w:t xml:space="preserve">The </w:t>
      </w:r>
      <w:proofErr w:type="spellStart"/>
      <w:r>
        <w:t>APVMA</w:t>
      </w:r>
      <w:proofErr w:type="spellEnd"/>
      <w:r>
        <w:t xml:space="preserve"> is responsible for administering and managing the parts of the </w:t>
      </w:r>
      <w:proofErr w:type="spellStart"/>
      <w:r>
        <w:t>NRS</w:t>
      </w:r>
      <w:proofErr w:type="spellEnd"/>
      <w:r>
        <w:t xml:space="preserve"> that oversee registration, quality assurance and compliance of </w:t>
      </w:r>
      <w:proofErr w:type="spellStart"/>
      <w:r>
        <w:t>agvet</w:t>
      </w:r>
      <w:proofErr w:type="spellEnd"/>
      <w:r>
        <w:t xml:space="preserve"> chemicals up to and including the point of retail sale. With input from other </w:t>
      </w:r>
      <w:r w:rsidR="00DF353C">
        <w:t xml:space="preserve">Commonwealth </w:t>
      </w:r>
      <w:r>
        <w:t xml:space="preserve">agencies, the </w:t>
      </w:r>
      <w:proofErr w:type="spellStart"/>
      <w:r>
        <w:t>APVMA</w:t>
      </w:r>
      <w:proofErr w:type="spellEnd"/>
      <w:r>
        <w:t xml:space="preserve"> approves active constituents and registers chemical products, undertakes reconsiderations (reviews) of existing approvals and registrations and monitors compliance with legislative requirements for </w:t>
      </w:r>
      <w:proofErr w:type="spellStart"/>
      <w:r>
        <w:t>agvet</w:t>
      </w:r>
      <w:proofErr w:type="spellEnd"/>
      <w:r>
        <w:t xml:space="preserve"> chemicals up to and including the point of retail sale. The </w:t>
      </w:r>
      <w:proofErr w:type="spellStart"/>
      <w:r>
        <w:t>APVMA’s</w:t>
      </w:r>
      <w:proofErr w:type="spellEnd"/>
      <w:r>
        <w:t xml:space="preserve"> regulatory functions are defined by the Administration Act which establishes the </w:t>
      </w:r>
      <w:proofErr w:type="spellStart"/>
      <w:r>
        <w:t>APVMA</w:t>
      </w:r>
      <w:proofErr w:type="spellEnd"/>
      <w:r>
        <w:t xml:space="preserve"> and the </w:t>
      </w:r>
      <w:proofErr w:type="spellStart"/>
      <w:r>
        <w:t>Agvet</w:t>
      </w:r>
      <w:proofErr w:type="spellEnd"/>
      <w:r>
        <w:t xml:space="preserve"> Code.</w:t>
      </w:r>
    </w:p>
    <w:p w:rsidR="000F184E" w:rsidRPr="00765C4C" w:rsidRDefault="00305C4E">
      <w:pPr>
        <w:pStyle w:val="Heading2"/>
      </w:pPr>
      <w:bookmarkStart w:id="36" w:name="_Toc340506973"/>
      <w:bookmarkStart w:id="37" w:name="_Toc360284661"/>
      <w:bookmarkStart w:id="38" w:name="_Toc360450063"/>
      <w:bookmarkStart w:id="39" w:name="_Toc360450267"/>
      <w:bookmarkStart w:id="40" w:name="_Toc435450352"/>
      <w:bookmarkStart w:id="41" w:name="_Toc435450481"/>
      <w:bookmarkStart w:id="42" w:name="_Toc327863112"/>
      <w:bookmarkStart w:id="43" w:name="_Toc360284660"/>
      <w:r w:rsidRPr="00765C4C">
        <w:rPr>
          <w:caps w:val="0"/>
        </w:rPr>
        <w:t>PUBLIC CONSULTATION</w:t>
      </w:r>
      <w:bookmarkEnd w:id="36"/>
      <w:bookmarkEnd w:id="37"/>
      <w:bookmarkEnd w:id="38"/>
      <w:bookmarkEnd w:id="39"/>
      <w:bookmarkEnd w:id="40"/>
      <w:bookmarkEnd w:id="41"/>
    </w:p>
    <w:p w:rsidR="00716E51" w:rsidRPr="00765C4C" w:rsidRDefault="00305C4E">
      <w:pPr>
        <w:pStyle w:val="bodytext1"/>
        <w:shd w:val="clear" w:color="auto" w:fill="FFFFFF"/>
        <w:rPr>
          <w:color w:val="auto"/>
        </w:rPr>
      </w:pPr>
      <w:r w:rsidRPr="00765C4C">
        <w:rPr>
          <w:color w:val="auto"/>
          <w:lang w:val="en-US"/>
        </w:rPr>
        <w:t xml:space="preserve">The </w:t>
      </w:r>
      <w:r w:rsidR="003373CF" w:rsidRPr="00765C4C">
        <w:rPr>
          <w:color w:val="auto"/>
          <w:lang w:val="en-US"/>
        </w:rPr>
        <w:t xml:space="preserve">Amendment Regulation implement </w:t>
      </w:r>
      <w:r w:rsidRPr="00765C4C">
        <w:rPr>
          <w:color w:val="auto"/>
          <w:lang w:val="en-US"/>
        </w:rPr>
        <w:t xml:space="preserve">reforms </w:t>
      </w:r>
      <w:r w:rsidR="003373CF" w:rsidRPr="00765C4C">
        <w:rPr>
          <w:color w:val="auto"/>
          <w:lang w:val="en-US"/>
        </w:rPr>
        <w:t xml:space="preserve">that </w:t>
      </w:r>
      <w:r w:rsidRPr="00765C4C">
        <w:rPr>
          <w:color w:val="auto"/>
          <w:lang w:val="en-US"/>
        </w:rPr>
        <w:t xml:space="preserve">have been informed by </w:t>
      </w:r>
      <w:r w:rsidR="00716E51" w:rsidRPr="00765C4C">
        <w:rPr>
          <w:color w:val="auto"/>
        </w:rPr>
        <w:t>stakeholder</w:t>
      </w:r>
      <w:r w:rsidR="004261AA" w:rsidRPr="00765C4C">
        <w:rPr>
          <w:color w:val="auto"/>
        </w:rPr>
        <w:t xml:space="preserve"> consultation that has occurred through industry consultation forums, as well as various discussion papers that the department released during 2014 and 2015. </w:t>
      </w:r>
      <w:r w:rsidR="003373CF" w:rsidRPr="00765C4C">
        <w:rPr>
          <w:color w:val="auto"/>
        </w:rPr>
        <w:t xml:space="preserve">A number of the reforms were suggested by stakeholders to improve the efficiency </w:t>
      </w:r>
      <w:proofErr w:type="spellStart"/>
      <w:r w:rsidR="003373CF" w:rsidRPr="00765C4C">
        <w:rPr>
          <w:color w:val="auto"/>
        </w:rPr>
        <w:t>agvet</w:t>
      </w:r>
      <w:proofErr w:type="spellEnd"/>
      <w:r w:rsidR="003373CF" w:rsidRPr="00765C4C">
        <w:rPr>
          <w:color w:val="auto"/>
        </w:rPr>
        <w:t xml:space="preserve"> chemical legislation. </w:t>
      </w:r>
    </w:p>
    <w:p w:rsidR="003373CF" w:rsidRPr="00533CF6" w:rsidRDefault="00F9578E">
      <w:pPr>
        <w:pStyle w:val="bodytext1"/>
        <w:shd w:val="clear" w:color="auto" w:fill="FFFFFF"/>
        <w:rPr>
          <w:color w:val="auto"/>
        </w:rPr>
      </w:pPr>
      <w:r>
        <w:rPr>
          <w:color w:val="auto"/>
        </w:rPr>
        <w:t xml:space="preserve">The prospective holder of registration for chemical products containing 4-aminopropiophenone was consulted about the declaration of these products as restricted chemical products. </w:t>
      </w:r>
    </w:p>
    <w:p w:rsidR="000F184E" w:rsidRPr="00724CCD" w:rsidRDefault="00F9578E">
      <w:pPr>
        <w:pStyle w:val="bodytext1"/>
        <w:shd w:val="clear" w:color="auto" w:fill="FFFFFF"/>
        <w:rPr>
          <w:color w:val="auto"/>
          <w:lang w:val="en-US"/>
        </w:rPr>
      </w:pPr>
      <w:r w:rsidRPr="00724CCD">
        <w:rPr>
          <w:color w:val="auto"/>
        </w:rPr>
        <w:t xml:space="preserve">An exposure draft of the Amendment Regulation was made available for public consultation from 23 October to 5 November 2015. Four </w:t>
      </w:r>
      <w:r w:rsidRPr="00724CCD">
        <w:rPr>
          <w:color w:val="auto"/>
          <w:lang w:val="en-US"/>
        </w:rPr>
        <w:t xml:space="preserve">submissions were received on the exposure draft of the Amendment Regulation. These submitters supported the measures in the Amendment Regulation, although one submitter requested more flexibility for one of the measures. This additional flexibility could not be provided at this time because of the </w:t>
      </w:r>
      <w:proofErr w:type="spellStart"/>
      <w:r w:rsidRPr="00724CCD">
        <w:rPr>
          <w:color w:val="auto"/>
          <w:lang w:val="en-US"/>
        </w:rPr>
        <w:t>APVMA’s</w:t>
      </w:r>
      <w:proofErr w:type="spellEnd"/>
      <w:r w:rsidRPr="00724CCD">
        <w:rPr>
          <w:color w:val="auto"/>
          <w:lang w:val="en-US"/>
        </w:rPr>
        <w:t xml:space="preserve"> existing system and business processes. This will be reviewed in the next three years to resolve the system and business processes that will provide the additional flexibility. </w:t>
      </w:r>
      <w:r w:rsidR="008F4E54" w:rsidRPr="00724CCD">
        <w:rPr>
          <w:color w:val="auto"/>
          <w:lang w:val="en-US"/>
        </w:rPr>
        <w:t xml:space="preserve"> </w:t>
      </w:r>
    </w:p>
    <w:p w:rsidR="000F184E" w:rsidRPr="00765C4C" w:rsidRDefault="00305C4E">
      <w:pPr>
        <w:pStyle w:val="BodyText10"/>
      </w:pPr>
      <w:r w:rsidRPr="00765C4C">
        <w:t xml:space="preserve">The </w:t>
      </w:r>
      <w:proofErr w:type="spellStart"/>
      <w:r w:rsidRPr="00765C4C">
        <w:t>APVMA</w:t>
      </w:r>
      <w:proofErr w:type="spellEnd"/>
      <w:r w:rsidRPr="00765C4C">
        <w:t xml:space="preserve"> was consulted closely over the requirements for and content of the Amendment Regulation. Relevant state and territory agencies were also consulted on the regulations as part of the public consultation and comments provided were taken into account in preparing these regulations.</w:t>
      </w:r>
    </w:p>
    <w:p w:rsidR="000F184E" w:rsidRDefault="000F184E">
      <w:pPr>
        <w:pStyle w:val="Heading2"/>
      </w:pPr>
      <w:bookmarkStart w:id="44" w:name="_Toc360450064"/>
      <w:bookmarkStart w:id="45" w:name="_Toc360450268"/>
      <w:bookmarkStart w:id="46" w:name="_Toc435450353"/>
      <w:bookmarkStart w:id="47" w:name="_Toc435450482"/>
      <w:r>
        <w:rPr>
          <w:caps w:val="0"/>
        </w:rPr>
        <w:t>REGULATORY IMPACT ANALYSIS</w:t>
      </w:r>
      <w:bookmarkEnd w:id="42"/>
      <w:bookmarkEnd w:id="43"/>
      <w:bookmarkEnd w:id="44"/>
      <w:bookmarkEnd w:id="45"/>
      <w:bookmarkEnd w:id="46"/>
      <w:bookmarkEnd w:id="47"/>
    </w:p>
    <w:p w:rsidR="000F184E" w:rsidRDefault="000F184E">
      <w:pPr>
        <w:pStyle w:val="BodyText10"/>
      </w:pPr>
      <w:r>
        <w:t>The Office of Best Practice Regulation (</w:t>
      </w:r>
      <w:proofErr w:type="spellStart"/>
      <w:r>
        <w:t>OBPR</w:t>
      </w:r>
      <w:proofErr w:type="spellEnd"/>
      <w:r>
        <w:t xml:space="preserve">) was consulted about the measures </w:t>
      </w:r>
      <w:r w:rsidR="0067064E">
        <w:t xml:space="preserve">in the Amendment Regulation </w:t>
      </w:r>
      <w:r>
        <w:t xml:space="preserve">and has advised that </w:t>
      </w:r>
      <w:r w:rsidR="004D0800">
        <w:t xml:space="preserve">a Regulation Impact Statement is not required </w:t>
      </w:r>
      <w:r>
        <w:t>(ID number </w:t>
      </w:r>
      <w:r>
        <w:rPr>
          <w:bCs/>
        </w:rPr>
        <w:t>1</w:t>
      </w:r>
      <w:r w:rsidR="008C4B70">
        <w:rPr>
          <w:bCs/>
        </w:rPr>
        <w:t>8523</w:t>
      </w:r>
      <w:r w:rsidR="00716E51">
        <w:rPr>
          <w:bCs/>
        </w:rPr>
        <w:t>,</w:t>
      </w:r>
      <w:r w:rsidR="00F341FE">
        <w:rPr>
          <w:bCs/>
        </w:rPr>
        <w:t xml:space="preserve"> </w:t>
      </w:r>
      <w:r w:rsidR="004D0800">
        <w:rPr>
          <w:bCs/>
        </w:rPr>
        <w:t>18614</w:t>
      </w:r>
      <w:r w:rsidR="00716E51">
        <w:rPr>
          <w:bCs/>
        </w:rPr>
        <w:t>, 19403, 19624, 19656, 19697 and 19747</w:t>
      </w:r>
      <w:r w:rsidR="004D0800">
        <w:rPr>
          <w:bCs/>
        </w:rPr>
        <w:t>)</w:t>
      </w:r>
      <w:r>
        <w:t>.</w:t>
      </w:r>
    </w:p>
    <w:p w:rsidR="00724CCD" w:rsidRDefault="00724CCD">
      <w:pPr>
        <w:pStyle w:val="BodyText10"/>
      </w:pPr>
    </w:p>
    <w:p w:rsidR="000F184E" w:rsidRDefault="000F184E">
      <w:pPr>
        <w:pStyle w:val="Heading2"/>
      </w:pPr>
      <w:bookmarkStart w:id="48" w:name="_Toc360284663"/>
      <w:bookmarkStart w:id="49" w:name="_Toc360450065"/>
      <w:bookmarkStart w:id="50" w:name="_Toc360450269"/>
      <w:bookmarkStart w:id="51" w:name="_Toc435450354"/>
      <w:bookmarkStart w:id="52" w:name="_Toc435450483"/>
      <w:bookmarkStart w:id="53" w:name="_Toc360284662"/>
      <w:bookmarkStart w:id="54" w:name="_Toc327863115"/>
      <w:r>
        <w:t>HUMAN RIGHTS COMPATIBILITY ASSESSMENT</w:t>
      </w:r>
      <w:bookmarkEnd w:id="48"/>
      <w:bookmarkEnd w:id="49"/>
      <w:bookmarkEnd w:id="50"/>
      <w:bookmarkEnd w:id="51"/>
      <w:bookmarkEnd w:id="52"/>
    </w:p>
    <w:p w:rsidR="000F184E" w:rsidRDefault="000F184E">
      <w:pPr>
        <w:pStyle w:val="BodyText10"/>
      </w:pPr>
      <w:r>
        <w:t>Agricultural and Veterinary Chemicals Legislation Amendment (</w:t>
      </w:r>
      <w:r w:rsidR="004D0800">
        <w:t xml:space="preserve">Simplified Formulation Variations </w:t>
      </w:r>
      <w:r>
        <w:t xml:space="preserve">and Other Measures) Regulation 2015 (Amendment Regulation) is compatible with the human rights and freedoms recognised or declared under section 3 of the </w:t>
      </w:r>
      <w:r>
        <w:rPr>
          <w:i/>
        </w:rPr>
        <w:t>Human Rights (Parliamentary Scrutiny) Act 2011</w:t>
      </w:r>
      <w:r>
        <w:t xml:space="preserve">. </w:t>
      </w:r>
      <w:bookmarkEnd w:id="53"/>
    </w:p>
    <w:p w:rsidR="000F184E" w:rsidRDefault="000F184E">
      <w:pPr>
        <w:pStyle w:val="Heading4noTC"/>
      </w:pPr>
      <w:r>
        <w:t>Overview of the Legislative Instrument</w:t>
      </w:r>
    </w:p>
    <w:p w:rsidR="000F184E" w:rsidRDefault="000F184E">
      <w:pPr>
        <w:pStyle w:val="BodyText10"/>
      </w:pPr>
      <w:r>
        <w:t xml:space="preserve">The Amendment Regulation amends the Principal Code Regulations </w:t>
      </w:r>
      <w:r w:rsidR="004D0800">
        <w:t xml:space="preserve">and the Administration Regulations </w:t>
      </w:r>
      <w:r>
        <w:t>to:</w:t>
      </w:r>
    </w:p>
    <w:p w:rsidR="002861C1" w:rsidRPr="008C40D3" w:rsidRDefault="002861C1" w:rsidP="002861C1">
      <w:pPr>
        <w:pStyle w:val="Dotpoint1"/>
      </w:pPr>
      <w:r w:rsidRPr="00A308BC">
        <w:t>simplify</w:t>
      </w:r>
      <w:r>
        <w:t xml:space="preserve"> the process for varying the formulation of a registered </w:t>
      </w:r>
      <w:proofErr w:type="spellStart"/>
      <w:r>
        <w:t>agvet</w:t>
      </w:r>
      <w:proofErr w:type="spellEnd"/>
      <w:r>
        <w:t xml:space="preserve"> chemical product</w:t>
      </w:r>
    </w:p>
    <w:p w:rsidR="002861C1" w:rsidRPr="008C40D3" w:rsidRDefault="002861C1" w:rsidP="002861C1">
      <w:pPr>
        <w:pStyle w:val="Dotpoint1"/>
      </w:pPr>
      <w:r w:rsidRPr="008C40D3">
        <w:t>improve efficiency by simplifying the process for registering, or varying, a suite of chemical products</w:t>
      </w:r>
    </w:p>
    <w:p w:rsidR="002861C1" w:rsidRPr="008C40D3" w:rsidRDefault="002861C1" w:rsidP="002861C1">
      <w:pPr>
        <w:pStyle w:val="Dotpoint1"/>
        <w:ind w:right="-313"/>
      </w:pPr>
      <w:r w:rsidRPr="008C40D3">
        <w:t xml:space="preserve">simplify the process for varying the name of </w:t>
      </w:r>
      <w:r>
        <w:t xml:space="preserve">an </w:t>
      </w:r>
      <w:r w:rsidRPr="008C40D3">
        <w:t>overseas veterinar</w:t>
      </w:r>
      <w:r>
        <w:t>y chemical product manufacturer</w:t>
      </w:r>
    </w:p>
    <w:p w:rsidR="002861C1" w:rsidRPr="008C40D3" w:rsidRDefault="002861C1" w:rsidP="002861C1">
      <w:pPr>
        <w:pStyle w:val="Dotpoint1"/>
      </w:pPr>
      <w:r w:rsidRPr="008C40D3">
        <w:t xml:space="preserve">include another international list of animal feed ingredients to improve efficiencies in the regulation of </w:t>
      </w:r>
      <w:r>
        <w:t xml:space="preserve">some </w:t>
      </w:r>
      <w:r w:rsidRPr="008C40D3">
        <w:t xml:space="preserve">animal feed products </w:t>
      </w:r>
    </w:p>
    <w:p w:rsidR="002861C1" w:rsidRPr="008C40D3" w:rsidRDefault="002861C1" w:rsidP="002861C1">
      <w:pPr>
        <w:pStyle w:val="Dotpoint1"/>
      </w:pPr>
      <w:r w:rsidRPr="008C40D3">
        <w:t xml:space="preserve">specify that bulk </w:t>
      </w:r>
      <w:r>
        <w:t xml:space="preserve">feed </w:t>
      </w:r>
      <w:r w:rsidRPr="008C40D3">
        <w:t xml:space="preserve">that incorporates </w:t>
      </w:r>
      <w:r>
        <w:t>an excluded animal feed product</w:t>
      </w:r>
      <w:r w:rsidRPr="008C40D3">
        <w:t xml:space="preserve"> is no</w:t>
      </w:r>
      <w:r>
        <w:t>t a veterinary chemical product</w:t>
      </w:r>
      <w:r w:rsidRPr="008C40D3">
        <w:t xml:space="preserve"> to reduce the regulatory burden for these kinds of products</w:t>
      </w:r>
    </w:p>
    <w:p w:rsidR="002861C1" w:rsidRPr="008C40D3" w:rsidRDefault="002861C1" w:rsidP="002861C1">
      <w:pPr>
        <w:pStyle w:val="Dotpoint1"/>
      </w:pPr>
      <w:r w:rsidRPr="008C40D3">
        <w:t xml:space="preserve">declare chemical products containing </w:t>
      </w:r>
      <w:r>
        <w:t xml:space="preserve">4-aminopropiophenone (or </w:t>
      </w:r>
      <w:r w:rsidRPr="00FD422C">
        <w:t>para-</w:t>
      </w:r>
      <w:proofErr w:type="spellStart"/>
      <w:r w:rsidRPr="008C40D3">
        <w:t>aminopropiophenone</w:t>
      </w:r>
      <w:proofErr w:type="spellEnd"/>
      <w:r>
        <w:t>,</w:t>
      </w:r>
      <w:r w:rsidRPr="008C40D3">
        <w:t xml:space="preserve"> PAPP) to be restricted chemical products to reflect recent safety assessments for the poison scheduling of these products</w:t>
      </w:r>
    </w:p>
    <w:p w:rsidR="002861C1" w:rsidRPr="008C40D3" w:rsidRDefault="002861C1" w:rsidP="002861C1">
      <w:pPr>
        <w:pStyle w:val="Dotpoint1"/>
      </w:pPr>
      <w:r w:rsidRPr="008C40D3">
        <w:t>reduce red tape by providing the option for renewing chemical product registration for five years instead of only for one year</w:t>
      </w:r>
    </w:p>
    <w:p w:rsidR="002861C1" w:rsidRPr="008C40D3" w:rsidRDefault="002861C1" w:rsidP="002861C1">
      <w:pPr>
        <w:pStyle w:val="Dotpoint1"/>
      </w:pPr>
      <w:r w:rsidRPr="008C40D3">
        <w:t>remove spent provisions and correct some errors.</w:t>
      </w:r>
    </w:p>
    <w:p w:rsidR="000F184E" w:rsidRDefault="000F184E">
      <w:pPr>
        <w:pStyle w:val="Heading4noTC"/>
        <w:rPr>
          <w:lang w:val="en-US"/>
        </w:rPr>
      </w:pPr>
      <w:r>
        <w:rPr>
          <w:lang w:val="en-US"/>
        </w:rPr>
        <w:t>Human rights implications</w:t>
      </w:r>
    </w:p>
    <w:p w:rsidR="000F184E" w:rsidRDefault="000F184E">
      <w:pPr>
        <w:pStyle w:val="bodytext1"/>
        <w:shd w:val="clear" w:color="auto" w:fill="FFFFFF"/>
        <w:rPr>
          <w:color w:val="auto"/>
        </w:rPr>
      </w:pPr>
      <w:r>
        <w:rPr>
          <w:color w:val="auto"/>
          <w:lang w:val="en-US"/>
        </w:rPr>
        <w:t xml:space="preserve">The Amendment Regulation engages the </w:t>
      </w:r>
      <w:r>
        <w:rPr>
          <w:color w:val="auto"/>
        </w:rPr>
        <w:t xml:space="preserve">right to health and a healthy environment (Article 12) in the </w:t>
      </w:r>
      <w:r>
        <w:rPr>
          <w:i/>
          <w:iCs/>
          <w:color w:val="auto"/>
        </w:rPr>
        <w:t>International Covenant on Economic, Social and Cultural Rights</w:t>
      </w:r>
      <w:r>
        <w:rPr>
          <w:color w:val="auto"/>
        </w:rPr>
        <w:t xml:space="preserve"> (</w:t>
      </w:r>
      <w:proofErr w:type="spellStart"/>
      <w:r>
        <w:rPr>
          <w:color w:val="auto"/>
        </w:rPr>
        <w:t>ICESCR</w:t>
      </w:r>
      <w:proofErr w:type="spellEnd"/>
      <w:r>
        <w:rPr>
          <w:color w:val="auto"/>
        </w:rPr>
        <w:t>).</w:t>
      </w:r>
      <w:r>
        <w:rPr>
          <w:color w:val="auto"/>
          <w:lang w:val="en-US"/>
        </w:rPr>
        <w:t xml:space="preserve"> The United Nations Committee on Economic, Social and Cultural Rights has interpreted Article 12 to extend to the underlying determinants of health, including a healthy environment.</w:t>
      </w:r>
    </w:p>
    <w:p w:rsidR="000F184E" w:rsidRDefault="000F184E">
      <w:pPr>
        <w:pStyle w:val="heading4notc0"/>
        <w:shd w:val="clear" w:color="auto" w:fill="FFFFFF"/>
        <w:rPr>
          <w:b/>
          <w:color w:val="auto"/>
          <w:lang w:val="en-US"/>
        </w:rPr>
      </w:pPr>
      <w:r>
        <w:rPr>
          <w:b/>
          <w:color w:val="auto"/>
          <w:lang w:val="en-US"/>
        </w:rPr>
        <w:t>The right to health and a healthy environment</w:t>
      </w:r>
    </w:p>
    <w:p w:rsidR="002C3EFA" w:rsidRDefault="002C3EFA">
      <w:pPr>
        <w:pStyle w:val="bodytext1"/>
        <w:shd w:val="clear" w:color="auto" w:fill="FFFFFF"/>
        <w:rPr>
          <w:color w:val="auto"/>
          <w:lang w:val="en-US"/>
        </w:rPr>
      </w:pPr>
      <w:r>
        <w:rPr>
          <w:color w:val="auto"/>
        </w:rPr>
        <w:t>T</w:t>
      </w:r>
      <w:r w:rsidR="000F184E">
        <w:rPr>
          <w:color w:val="auto"/>
        </w:rPr>
        <w:t xml:space="preserve">he Amendment Regulation </w:t>
      </w:r>
      <w:r w:rsidR="000F184E">
        <w:rPr>
          <w:color w:val="auto"/>
          <w:lang w:val="en-US"/>
        </w:rPr>
        <w:t xml:space="preserve">engages and promotes the right to health in Article 12 of the </w:t>
      </w:r>
      <w:proofErr w:type="spellStart"/>
      <w:r w:rsidR="000F184E">
        <w:rPr>
          <w:color w:val="auto"/>
          <w:lang w:val="en-US"/>
        </w:rPr>
        <w:t>ICESCR</w:t>
      </w:r>
      <w:proofErr w:type="spellEnd"/>
      <w:r w:rsidR="000F184E">
        <w:rPr>
          <w:color w:val="auto"/>
          <w:lang w:val="en-US"/>
        </w:rPr>
        <w:t xml:space="preserve"> by restricting the substances that may be included as </w:t>
      </w:r>
      <w:r w:rsidR="0067064E">
        <w:rPr>
          <w:color w:val="auto"/>
          <w:lang w:val="en-US"/>
        </w:rPr>
        <w:t xml:space="preserve">constituents </w:t>
      </w:r>
      <w:r w:rsidR="000F184E">
        <w:rPr>
          <w:color w:val="auto"/>
          <w:lang w:val="en-US"/>
        </w:rPr>
        <w:t xml:space="preserve">of </w:t>
      </w:r>
      <w:r w:rsidR="0067064E">
        <w:rPr>
          <w:color w:val="auto"/>
          <w:lang w:val="en-US"/>
        </w:rPr>
        <w:t xml:space="preserve">chemical </w:t>
      </w:r>
      <w:r w:rsidR="000F184E">
        <w:rPr>
          <w:color w:val="auto"/>
          <w:lang w:val="en-US"/>
        </w:rPr>
        <w:t>products</w:t>
      </w:r>
      <w:r w:rsidR="0067064E">
        <w:rPr>
          <w:color w:val="auto"/>
          <w:lang w:val="en-US"/>
        </w:rPr>
        <w:t>.</w:t>
      </w:r>
      <w:r w:rsidR="000F184E">
        <w:rPr>
          <w:color w:val="auto"/>
          <w:lang w:val="en-US"/>
        </w:rPr>
        <w:t xml:space="preserve"> The restriction</w:t>
      </w:r>
      <w:r w:rsidR="0067064E">
        <w:rPr>
          <w:color w:val="auto"/>
          <w:lang w:val="en-US"/>
        </w:rPr>
        <w:t>s</w:t>
      </w:r>
      <w:r w:rsidR="000F184E">
        <w:rPr>
          <w:color w:val="auto"/>
          <w:lang w:val="en-US"/>
        </w:rPr>
        <w:t xml:space="preserve"> limit </w:t>
      </w:r>
      <w:r w:rsidR="0067064E">
        <w:rPr>
          <w:color w:val="auto"/>
          <w:lang w:val="en-US"/>
        </w:rPr>
        <w:t xml:space="preserve">the constituents </w:t>
      </w:r>
      <w:r w:rsidR="000F184E">
        <w:rPr>
          <w:color w:val="auto"/>
          <w:lang w:val="en-US"/>
        </w:rPr>
        <w:t xml:space="preserve">to </w:t>
      </w:r>
      <w:r w:rsidR="0067064E">
        <w:rPr>
          <w:color w:val="auto"/>
          <w:lang w:val="en-US"/>
        </w:rPr>
        <w:t xml:space="preserve">those that are </w:t>
      </w:r>
      <w:r w:rsidR="000F184E">
        <w:rPr>
          <w:color w:val="auto"/>
          <w:lang w:val="en-US"/>
        </w:rPr>
        <w:t>appropriate</w:t>
      </w:r>
      <w:r w:rsidR="0067064E">
        <w:rPr>
          <w:color w:val="auto"/>
          <w:lang w:val="en-US"/>
        </w:rPr>
        <w:t xml:space="preserve">, </w:t>
      </w:r>
      <w:r w:rsidR="000F184E">
        <w:rPr>
          <w:color w:val="auto"/>
          <w:lang w:val="en-US"/>
        </w:rPr>
        <w:t xml:space="preserve">having regard to the likelihood that </w:t>
      </w:r>
      <w:r w:rsidR="0067064E">
        <w:rPr>
          <w:color w:val="auto"/>
          <w:lang w:val="en-US"/>
        </w:rPr>
        <w:t xml:space="preserve">the constituents </w:t>
      </w:r>
      <w:r w:rsidR="000F184E">
        <w:rPr>
          <w:color w:val="auto"/>
          <w:lang w:val="en-US"/>
        </w:rPr>
        <w:t>may impact human health.</w:t>
      </w:r>
    </w:p>
    <w:p w:rsidR="000F184E" w:rsidRPr="0067064E" w:rsidRDefault="00305C4E">
      <w:pPr>
        <w:pStyle w:val="heading4notc0"/>
        <w:shd w:val="clear" w:color="auto" w:fill="FFFFFF"/>
        <w:rPr>
          <w:b/>
          <w:color w:val="auto"/>
          <w:lang w:val="en-US"/>
        </w:rPr>
      </w:pPr>
      <w:r w:rsidRPr="0067064E">
        <w:rPr>
          <w:b/>
          <w:color w:val="auto"/>
          <w:lang w:val="en-US"/>
        </w:rPr>
        <w:t>Other provisions</w:t>
      </w:r>
    </w:p>
    <w:p w:rsidR="000F184E" w:rsidRDefault="00305C4E">
      <w:pPr>
        <w:pStyle w:val="bodytext1"/>
        <w:shd w:val="clear" w:color="auto" w:fill="FFFFFF"/>
        <w:rPr>
          <w:color w:val="auto"/>
          <w:lang w:val="en-US"/>
        </w:rPr>
      </w:pPr>
      <w:r w:rsidRPr="0067064E">
        <w:rPr>
          <w:color w:val="auto"/>
          <w:lang w:val="en-US"/>
        </w:rPr>
        <w:t xml:space="preserve">The Amendment Regulation includes </w:t>
      </w:r>
      <w:r w:rsidR="0067064E" w:rsidRPr="0067064E">
        <w:rPr>
          <w:color w:val="auto"/>
          <w:lang w:val="en-US"/>
        </w:rPr>
        <w:t xml:space="preserve">other </w:t>
      </w:r>
      <w:r w:rsidRPr="0067064E">
        <w:rPr>
          <w:color w:val="auto"/>
          <w:lang w:val="en-US"/>
        </w:rPr>
        <w:t>provision</w:t>
      </w:r>
      <w:r w:rsidR="0067064E" w:rsidRPr="0067064E">
        <w:rPr>
          <w:color w:val="auto"/>
          <w:lang w:val="en-US"/>
        </w:rPr>
        <w:t>s</w:t>
      </w:r>
      <w:r w:rsidR="00F341FE">
        <w:rPr>
          <w:color w:val="auto"/>
          <w:lang w:val="en-US"/>
        </w:rPr>
        <w:t>, including</w:t>
      </w:r>
      <w:r w:rsidRPr="0067064E">
        <w:rPr>
          <w:color w:val="auto"/>
          <w:lang w:val="en-US"/>
        </w:rPr>
        <w:t xml:space="preserve"> </w:t>
      </w:r>
      <w:r w:rsidR="00F341FE">
        <w:rPr>
          <w:color w:val="auto"/>
          <w:lang w:val="en-US"/>
        </w:rPr>
        <w:t xml:space="preserve">measures about </w:t>
      </w:r>
      <w:r w:rsidR="0067064E" w:rsidRPr="0067064E">
        <w:rPr>
          <w:color w:val="auto"/>
          <w:lang w:val="en-US"/>
        </w:rPr>
        <w:t xml:space="preserve">registration renewal but these provisions do not </w:t>
      </w:r>
      <w:r w:rsidRPr="0067064E">
        <w:rPr>
          <w:color w:val="auto"/>
          <w:lang w:val="en-US"/>
        </w:rPr>
        <w:t>engage any rights.</w:t>
      </w:r>
    </w:p>
    <w:p w:rsidR="000F184E" w:rsidRDefault="000F184E">
      <w:pPr>
        <w:pStyle w:val="Heading4noTC"/>
        <w:rPr>
          <w:lang w:val="en-US"/>
        </w:rPr>
      </w:pPr>
      <w:r>
        <w:rPr>
          <w:lang w:val="en-US"/>
        </w:rPr>
        <w:t>Conclusion</w:t>
      </w:r>
    </w:p>
    <w:p w:rsidR="000F184E" w:rsidRDefault="000F184E">
      <w:pPr>
        <w:pStyle w:val="bodytext1"/>
        <w:shd w:val="clear" w:color="auto" w:fill="FFFFFF"/>
        <w:rPr>
          <w:color w:val="auto"/>
          <w:lang w:val="en-US"/>
        </w:rPr>
      </w:pPr>
      <w:r>
        <w:rPr>
          <w:color w:val="auto"/>
          <w:lang w:val="en-US"/>
        </w:rPr>
        <w:t xml:space="preserve">The Amendment Regulation is compatible with human rights because </w:t>
      </w:r>
      <w:r>
        <w:rPr>
          <w:color w:val="auto"/>
          <w:lang w:val="en-GB"/>
        </w:rPr>
        <w:t xml:space="preserve">it is promoting the right to health and a healthy environment through controlling </w:t>
      </w:r>
      <w:r w:rsidR="0067064E">
        <w:rPr>
          <w:color w:val="auto"/>
          <w:lang w:val="en-GB"/>
        </w:rPr>
        <w:t xml:space="preserve">constituents of </w:t>
      </w:r>
      <w:proofErr w:type="spellStart"/>
      <w:r w:rsidR="00F341FE">
        <w:rPr>
          <w:color w:val="auto"/>
          <w:lang w:val="en-GB"/>
        </w:rPr>
        <w:t>agvet</w:t>
      </w:r>
      <w:proofErr w:type="spellEnd"/>
      <w:r w:rsidR="00F341FE">
        <w:rPr>
          <w:color w:val="auto"/>
          <w:lang w:val="en-GB"/>
        </w:rPr>
        <w:t xml:space="preserve"> </w:t>
      </w:r>
      <w:r w:rsidR="0067064E">
        <w:rPr>
          <w:color w:val="auto"/>
          <w:lang w:val="en-GB"/>
        </w:rPr>
        <w:t>chemical products</w:t>
      </w:r>
      <w:r>
        <w:rPr>
          <w:color w:val="auto"/>
          <w:lang w:val="en-US"/>
        </w:rPr>
        <w:t>.</w:t>
      </w:r>
    </w:p>
    <w:p w:rsidR="000F184E" w:rsidRDefault="000F184E">
      <w:pPr>
        <w:pStyle w:val="bodytext1"/>
        <w:shd w:val="clear" w:color="auto" w:fill="FFFFFF"/>
        <w:rPr>
          <w:color w:val="auto"/>
          <w:lang w:val="en-US"/>
        </w:rPr>
      </w:pPr>
      <w:r>
        <w:rPr>
          <w:color w:val="auto"/>
          <w:lang w:val="en-US"/>
        </w:rPr>
        <w:t> </w:t>
      </w:r>
    </w:p>
    <w:p w:rsidR="000F184E" w:rsidRDefault="000F184E">
      <w:pPr>
        <w:pStyle w:val="bodytext1"/>
        <w:shd w:val="clear" w:color="auto" w:fill="FFFFFF"/>
        <w:rPr>
          <w:color w:val="auto"/>
          <w:lang w:val="en-US"/>
        </w:rPr>
      </w:pPr>
      <w:r>
        <w:rPr>
          <w:b/>
          <w:bCs/>
          <w:color w:val="auto"/>
          <w:lang w:val="en-US"/>
        </w:rPr>
        <w:t>The Hon. Barnaby Joyce MP, Minister for Agriculture</w:t>
      </w:r>
      <w:r w:rsidR="007D6E0D">
        <w:rPr>
          <w:b/>
          <w:bCs/>
          <w:color w:val="auto"/>
          <w:lang w:val="en-US"/>
        </w:rPr>
        <w:t xml:space="preserve"> and Water Resources</w:t>
      </w:r>
    </w:p>
    <w:p w:rsidR="000F184E" w:rsidRDefault="000F184E">
      <w:pPr>
        <w:pStyle w:val="Heading2noTC"/>
        <w:jc w:val="center"/>
      </w:pPr>
      <w:r>
        <w:rPr>
          <w:szCs w:val="24"/>
        </w:rPr>
        <w:br w:type="page"/>
      </w:r>
      <w:bookmarkStart w:id="55" w:name="_Toc360284674"/>
      <w:r>
        <w:t>Agricultural and Veterinary Chemicals Legislation Amendment (</w:t>
      </w:r>
      <w:r w:rsidR="00161E93">
        <w:t>simplified formulation variations</w:t>
      </w:r>
      <w:r>
        <w:t xml:space="preserve"> and other measures) Regulation </w:t>
      </w:r>
      <w:bookmarkEnd w:id="54"/>
      <w:bookmarkEnd w:id="55"/>
      <w:r>
        <w:t>2015</w:t>
      </w:r>
    </w:p>
    <w:p w:rsidR="000F184E" w:rsidRDefault="000F184E">
      <w:pPr>
        <w:pStyle w:val="Heading2"/>
      </w:pPr>
      <w:bookmarkStart w:id="56" w:name="_Toc360450066"/>
      <w:bookmarkStart w:id="57" w:name="_Toc360450270"/>
      <w:bookmarkStart w:id="58" w:name="_Toc435450355"/>
      <w:bookmarkStart w:id="59" w:name="_Toc435450484"/>
      <w:r>
        <w:t>DETAILS OF THE AMENDMENT REGULATION</w:t>
      </w:r>
      <w:bookmarkEnd w:id="56"/>
      <w:bookmarkEnd w:id="57"/>
      <w:bookmarkEnd w:id="58"/>
      <w:bookmarkEnd w:id="59"/>
    </w:p>
    <w:p w:rsidR="000F184E" w:rsidRDefault="000F184E">
      <w:pPr>
        <w:pStyle w:val="Itemheader"/>
      </w:pPr>
      <w:r>
        <w:t>Section 1 – Name of Regulation</w:t>
      </w:r>
    </w:p>
    <w:p w:rsidR="000F184E" w:rsidRDefault="000F184E">
      <w:pPr>
        <w:pStyle w:val="BodyText10"/>
      </w:pPr>
      <w:r>
        <w:t xml:space="preserve">This section provides that the name of the regulation is the </w:t>
      </w:r>
      <w:r>
        <w:rPr>
          <w:i/>
        </w:rPr>
        <w:t xml:space="preserve">Agricultural and Veterinary Chemicals </w:t>
      </w:r>
      <w:r w:rsidR="00380904">
        <w:rPr>
          <w:i/>
        </w:rPr>
        <w:t>Legislation</w:t>
      </w:r>
      <w:r>
        <w:rPr>
          <w:i/>
        </w:rPr>
        <w:t xml:space="preserve"> Amendment (</w:t>
      </w:r>
      <w:r w:rsidR="00161E93">
        <w:rPr>
          <w:i/>
        </w:rPr>
        <w:t xml:space="preserve">Simplified Formulation Variations </w:t>
      </w:r>
      <w:r>
        <w:rPr>
          <w:i/>
        </w:rPr>
        <w:t xml:space="preserve">and Other Measures) Regulation 2015 </w:t>
      </w:r>
      <w:r>
        <w:t>(Amendment Regulation).</w:t>
      </w:r>
    </w:p>
    <w:p w:rsidR="000F184E" w:rsidRDefault="000F184E">
      <w:pPr>
        <w:pStyle w:val="Itemheader"/>
      </w:pPr>
      <w:r>
        <w:t>Section 2 – Commencement</w:t>
      </w:r>
    </w:p>
    <w:p w:rsidR="000F184E" w:rsidRDefault="000F184E">
      <w:pPr>
        <w:pStyle w:val="BodyText11"/>
        <w:ind w:firstLine="0"/>
      </w:pPr>
      <w:r>
        <w:t xml:space="preserve">This section provides that Sections 1 to 4 </w:t>
      </w:r>
      <w:r w:rsidR="00D40761">
        <w:t xml:space="preserve">and Schedule 1 </w:t>
      </w:r>
      <w:r>
        <w:t>commence the day after th</w:t>
      </w:r>
      <w:r w:rsidR="0067064E">
        <w:t>e Amendment</w:t>
      </w:r>
      <w:r>
        <w:t xml:space="preserve"> Regulation is registered. This section </w:t>
      </w:r>
      <w:r w:rsidR="0067064E">
        <w:t xml:space="preserve">also </w:t>
      </w:r>
      <w:r>
        <w:t xml:space="preserve">provides that the measures in Schedule </w:t>
      </w:r>
      <w:r w:rsidR="00D40761">
        <w:t>2</w:t>
      </w:r>
      <w:r>
        <w:t xml:space="preserve"> commence on </w:t>
      </w:r>
      <w:r w:rsidR="00D40761">
        <w:t>1</w:t>
      </w:r>
      <w:r w:rsidR="00275457">
        <w:t> </w:t>
      </w:r>
      <w:r w:rsidR="00D40761">
        <w:t xml:space="preserve">March </w:t>
      </w:r>
      <w:r>
        <w:t>201</w:t>
      </w:r>
      <w:r w:rsidR="00D40761">
        <w:t>6 and the measures in Schedule 3 commence on 1 July 2016</w:t>
      </w:r>
      <w:r>
        <w:t xml:space="preserve">. </w:t>
      </w:r>
    </w:p>
    <w:p w:rsidR="000F184E" w:rsidRDefault="000F184E">
      <w:pPr>
        <w:pStyle w:val="Itemheader"/>
      </w:pPr>
      <w:r>
        <w:t>Section 3 – Authority</w:t>
      </w:r>
    </w:p>
    <w:p w:rsidR="000F184E" w:rsidRDefault="000F184E">
      <w:pPr>
        <w:spacing w:before="120"/>
      </w:pPr>
      <w:r>
        <w:t>This section specifies that th</w:t>
      </w:r>
      <w:r w:rsidR="006E4EF3">
        <w:t xml:space="preserve">e Amendment </w:t>
      </w:r>
      <w:r>
        <w:t>Regulation is made under the authorit</w:t>
      </w:r>
      <w:r w:rsidR="006E4EF3">
        <w:t>ies</w:t>
      </w:r>
      <w:r>
        <w:t xml:space="preserve"> in the </w:t>
      </w:r>
      <w:r>
        <w:rPr>
          <w:i/>
        </w:rPr>
        <w:t>Agricultural and Veterinary Chemicals Code Act 1994</w:t>
      </w:r>
      <w:r>
        <w:t xml:space="preserve"> (Code Act) and the </w:t>
      </w:r>
      <w:r>
        <w:rPr>
          <w:i/>
        </w:rPr>
        <w:t xml:space="preserve">Agricultural and Veterinary Chemicals (Administration) Act 1992 </w:t>
      </w:r>
      <w:r>
        <w:t>(Admin</w:t>
      </w:r>
      <w:r w:rsidR="009D6373">
        <w:t>istration</w:t>
      </w:r>
      <w:r>
        <w:t xml:space="preserve"> Act).</w:t>
      </w:r>
    </w:p>
    <w:p w:rsidR="000F184E" w:rsidRDefault="000F184E">
      <w:pPr>
        <w:pStyle w:val="Itemheader"/>
      </w:pPr>
      <w:r>
        <w:t>Section 4 – Schedules</w:t>
      </w:r>
    </w:p>
    <w:p w:rsidR="000F184E" w:rsidRDefault="000F184E">
      <w:pPr>
        <w:pStyle w:val="BodyText10"/>
      </w:pPr>
      <w:r>
        <w:t>This section provides that each instrument in a Schedule to th</w:t>
      </w:r>
      <w:r w:rsidR="001C31FE">
        <w:t>e Amendment</w:t>
      </w:r>
      <w:r>
        <w:t xml:space="preserve"> Regulation is amended as described in the Schedule. </w:t>
      </w:r>
    </w:p>
    <w:p w:rsidR="009D6373" w:rsidRDefault="000F184E">
      <w:pPr>
        <w:pStyle w:val="Heading3"/>
      </w:pPr>
      <w:bookmarkStart w:id="60" w:name="_Toc435450356"/>
      <w:bookmarkStart w:id="61" w:name="_Toc435450485"/>
      <w:bookmarkStart w:id="62" w:name="_Toc360284683"/>
      <w:bookmarkStart w:id="63" w:name="_Toc360450075"/>
      <w:bookmarkStart w:id="64" w:name="_Toc360450279"/>
      <w:r>
        <w:t xml:space="preserve">Schedule 1 – Amendments </w:t>
      </w:r>
      <w:r w:rsidR="009D6373">
        <w:t>commencing the day after registration</w:t>
      </w:r>
      <w:bookmarkEnd w:id="60"/>
      <w:bookmarkEnd w:id="61"/>
    </w:p>
    <w:p w:rsidR="00A1565C" w:rsidRDefault="009D6373">
      <w:pPr>
        <w:pStyle w:val="Heading4"/>
      </w:pPr>
      <w:bookmarkStart w:id="65" w:name="_Toc435450357"/>
      <w:bookmarkStart w:id="66" w:name="_Toc435450486"/>
      <w:r>
        <w:t>A</w:t>
      </w:r>
      <w:r w:rsidR="000F184E">
        <w:t xml:space="preserve">gricultural and Veterinary Chemicals </w:t>
      </w:r>
      <w:r>
        <w:t xml:space="preserve">(Administration) </w:t>
      </w:r>
      <w:r w:rsidR="000F184E">
        <w:t>Regulations 1995</w:t>
      </w:r>
      <w:bookmarkEnd w:id="65"/>
      <w:bookmarkEnd w:id="66"/>
    </w:p>
    <w:p w:rsidR="00AB2BCF" w:rsidRDefault="00AB2BCF" w:rsidP="009D6373">
      <w:pPr>
        <w:spacing w:before="240"/>
      </w:pPr>
      <w:r>
        <w:rPr>
          <w:b/>
        </w:rPr>
        <w:t>Items 1 and 3 – Regulations 1A.1 and 1A.3</w:t>
      </w:r>
    </w:p>
    <w:p w:rsidR="00056406" w:rsidRDefault="009D6373" w:rsidP="009D6373">
      <w:pPr>
        <w:spacing w:before="240"/>
      </w:pPr>
      <w:r>
        <w:t>Items 1 and 3</w:t>
      </w:r>
      <w:r w:rsidR="00854F9C">
        <w:t xml:space="preserve"> </w:t>
      </w:r>
      <w:r w:rsidR="00056406">
        <w:t xml:space="preserve">amend regulations 1A.1 and 1A.3 to replace the </w:t>
      </w:r>
      <w:r w:rsidR="00854F9C" w:rsidRPr="00854F9C">
        <w:t xml:space="preserve">term ‘year’ </w:t>
      </w:r>
      <w:r w:rsidR="00056406">
        <w:t xml:space="preserve">with </w:t>
      </w:r>
      <w:r w:rsidR="00854F9C" w:rsidRPr="00854F9C">
        <w:t>‘period’</w:t>
      </w:r>
      <w:r w:rsidR="00056406">
        <w:t xml:space="preserve"> to reflect the terms used in section 61 of the Administration Act</w:t>
      </w:r>
      <w:r w:rsidR="006E4EF3">
        <w:t xml:space="preserve"> (the authorising section)</w:t>
      </w:r>
      <w:r w:rsidR="00854F9C" w:rsidRPr="00854F9C">
        <w:t>.</w:t>
      </w:r>
      <w:r w:rsidR="00056406">
        <w:t xml:space="preserve"> Section 61 of the Administration Act specifies the annual reporting requirements</w:t>
      </w:r>
      <w:r w:rsidR="00AB2BCF">
        <w:t xml:space="preserve"> for the </w:t>
      </w:r>
      <w:proofErr w:type="spellStart"/>
      <w:r w:rsidR="00AB2BCF">
        <w:t>APVMA</w:t>
      </w:r>
      <w:proofErr w:type="spellEnd"/>
      <w:r w:rsidR="00056406">
        <w:t xml:space="preserve">. </w:t>
      </w:r>
    </w:p>
    <w:p w:rsidR="00AB2BCF" w:rsidRDefault="00AB2BCF" w:rsidP="00AB2BCF">
      <w:pPr>
        <w:spacing w:before="240"/>
      </w:pPr>
      <w:r>
        <w:rPr>
          <w:b/>
        </w:rPr>
        <w:t>Item 2 – Regulation 1A.3</w:t>
      </w:r>
    </w:p>
    <w:p w:rsidR="009D6373" w:rsidRDefault="009D6373" w:rsidP="009D6373">
      <w:pPr>
        <w:spacing w:before="240"/>
      </w:pPr>
      <w:r>
        <w:t xml:space="preserve">Item </w:t>
      </w:r>
      <w:r w:rsidR="00AB2BCF">
        <w:t>2</w:t>
      </w:r>
      <w:r>
        <w:t xml:space="preserve"> </w:t>
      </w:r>
      <w:r w:rsidR="00056406">
        <w:t xml:space="preserve">replaces the incorrect reference to subparagraph 61(2)(c)(ii) of the Administration Act with the correct reference of subparagraph 61(b)(ii). This is a consequential amendment arising from the </w:t>
      </w:r>
      <w:r w:rsidR="00056406">
        <w:rPr>
          <w:i/>
        </w:rPr>
        <w:t>Public Governance, Performance and Accountability (Consequential and Transitional Provisions) Act 2014</w:t>
      </w:r>
      <w:r w:rsidR="00056406">
        <w:t>.</w:t>
      </w:r>
    </w:p>
    <w:p w:rsidR="000F184E" w:rsidRDefault="009D6373">
      <w:pPr>
        <w:pStyle w:val="Heading4"/>
      </w:pPr>
      <w:bookmarkStart w:id="67" w:name="_Toc435450358"/>
      <w:bookmarkStart w:id="68" w:name="_Toc435450487"/>
      <w:r>
        <w:t>Agricultural and Veterinary Chemicals Code Regulations 1995</w:t>
      </w:r>
      <w:bookmarkEnd w:id="67"/>
      <w:bookmarkEnd w:id="68"/>
      <w:r>
        <w:t xml:space="preserve"> </w:t>
      </w:r>
    </w:p>
    <w:p w:rsidR="00605581" w:rsidRDefault="00492154" w:rsidP="006E4EF3">
      <w:pPr>
        <w:spacing w:before="240"/>
        <w:rPr>
          <w:b/>
        </w:rPr>
      </w:pPr>
      <w:r>
        <w:rPr>
          <w:b/>
        </w:rPr>
        <w:t>Items 4, 5</w:t>
      </w:r>
      <w:r w:rsidR="00FC6F25">
        <w:rPr>
          <w:b/>
        </w:rPr>
        <w:t xml:space="preserve"> and </w:t>
      </w:r>
      <w:r w:rsidR="00EA475D">
        <w:rPr>
          <w:b/>
        </w:rPr>
        <w:t>7</w:t>
      </w:r>
      <w:r>
        <w:rPr>
          <w:b/>
        </w:rPr>
        <w:t xml:space="preserve"> – </w:t>
      </w:r>
      <w:proofErr w:type="spellStart"/>
      <w:r>
        <w:rPr>
          <w:b/>
        </w:rPr>
        <w:t>Subregulations</w:t>
      </w:r>
      <w:proofErr w:type="spellEnd"/>
      <w:r>
        <w:rPr>
          <w:b/>
        </w:rPr>
        <w:t xml:space="preserve"> 70A(3) and 77(1)</w:t>
      </w:r>
      <w:r w:rsidR="00FC6F25">
        <w:rPr>
          <w:b/>
        </w:rPr>
        <w:t xml:space="preserve"> and Schedule 7</w:t>
      </w:r>
    </w:p>
    <w:p w:rsidR="00A1565C" w:rsidRDefault="00FC6F25" w:rsidP="006E4EF3">
      <w:pPr>
        <w:pStyle w:val="BodyText10"/>
        <w:spacing w:before="240"/>
      </w:pPr>
      <w:r>
        <w:t xml:space="preserve">Item </w:t>
      </w:r>
      <w:r w:rsidR="00EA475D">
        <w:t>7</w:t>
      </w:r>
      <w:r>
        <w:t xml:space="preserve"> replaces Schedule 7</w:t>
      </w:r>
      <w:r w:rsidR="00747EFD">
        <w:t xml:space="preserve"> to remove the spent 1 July 2014 fee provisions and correct errors in the fees for item</w:t>
      </w:r>
      <w:r w:rsidR="001F3267">
        <w:t>s 5.6</w:t>
      </w:r>
      <w:r w:rsidR="00ED695D">
        <w:t xml:space="preserve"> </w:t>
      </w:r>
      <w:r w:rsidR="00747EFD">
        <w:t xml:space="preserve">and 6.3. </w:t>
      </w:r>
      <w:r>
        <w:t xml:space="preserve"> </w:t>
      </w:r>
      <w:r w:rsidR="007C0A75">
        <w:t xml:space="preserve">The fee in item 5.6 has been reduced so that it is the same as the fee in item 5.1. </w:t>
      </w:r>
      <w:r w:rsidR="00ED695D">
        <w:t>The fee in item 6.3 has been reduced</w:t>
      </w:r>
      <w:r w:rsidR="002469B1">
        <w:t xml:space="preserve"> to correct an error</w:t>
      </w:r>
      <w:r w:rsidR="00B01C22">
        <w:t xml:space="preserve">. </w:t>
      </w:r>
      <w:r>
        <w:t xml:space="preserve">Item 4 </w:t>
      </w:r>
      <w:r w:rsidR="008E1401">
        <w:t xml:space="preserve">is </w:t>
      </w:r>
      <w:r>
        <w:t>a consequential amendment arising from the removal of the spent fee provisions in Schedule 7</w:t>
      </w:r>
      <w:r w:rsidR="008E1401">
        <w:t xml:space="preserve"> and item 5 amends </w:t>
      </w:r>
      <w:proofErr w:type="spellStart"/>
      <w:r w:rsidR="008E1401">
        <w:t>subregulation</w:t>
      </w:r>
      <w:proofErr w:type="spellEnd"/>
      <w:r w:rsidR="008E1401">
        <w:t xml:space="preserve"> 77(1) so it refers to the correct column in Schedule 7</w:t>
      </w:r>
      <w:r>
        <w:t xml:space="preserve">. </w:t>
      </w:r>
      <w:r w:rsidR="00780882">
        <w:t xml:space="preserve">Section 164 of the </w:t>
      </w:r>
      <w:proofErr w:type="spellStart"/>
      <w:r w:rsidR="00780882">
        <w:t>Agvet</w:t>
      </w:r>
      <w:proofErr w:type="spellEnd"/>
      <w:r w:rsidR="00780882">
        <w:t xml:space="preserve"> Code </w:t>
      </w:r>
      <w:r w:rsidR="005700BA">
        <w:t>provides specific authority for fees to be prescribed in regulations, including the manner and</w:t>
      </w:r>
      <w:r w:rsidR="00B01C22">
        <w:t xml:space="preserve"> the</w:t>
      </w:r>
      <w:r w:rsidR="005700BA">
        <w:t xml:space="preserve"> time in which they are due and payable.</w:t>
      </w:r>
    </w:p>
    <w:p w:rsidR="002D5BF7" w:rsidRDefault="002D5BF7">
      <w:pPr>
        <w:rPr>
          <w:b/>
        </w:rPr>
      </w:pPr>
    </w:p>
    <w:p w:rsidR="00D754BB" w:rsidRDefault="00D754BB" w:rsidP="00D754BB">
      <w:pPr>
        <w:rPr>
          <w:b/>
        </w:rPr>
      </w:pPr>
      <w:r>
        <w:rPr>
          <w:b/>
        </w:rPr>
        <w:t xml:space="preserve">Item </w:t>
      </w:r>
      <w:r w:rsidR="00AC18FF">
        <w:rPr>
          <w:b/>
        </w:rPr>
        <w:t>6</w:t>
      </w:r>
      <w:r>
        <w:rPr>
          <w:b/>
        </w:rPr>
        <w:t xml:space="preserve"> – Schedule 4</w:t>
      </w:r>
    </w:p>
    <w:p w:rsidR="00E703B3" w:rsidRDefault="00E703B3" w:rsidP="00E703B3">
      <w:pPr>
        <w:spacing w:after="60" w:line="252" w:lineRule="auto"/>
      </w:pPr>
    </w:p>
    <w:p w:rsidR="00915B7D" w:rsidRPr="00193ADA" w:rsidRDefault="000A6421" w:rsidP="00915B7D">
      <w:pPr>
        <w:spacing w:after="60" w:line="252" w:lineRule="auto"/>
      </w:pPr>
      <w:r>
        <w:t xml:space="preserve">For the authority in section 93 of the </w:t>
      </w:r>
      <w:proofErr w:type="spellStart"/>
      <w:r>
        <w:t>Agvet</w:t>
      </w:r>
      <w:proofErr w:type="spellEnd"/>
      <w:r>
        <w:t xml:space="preserve"> Code, i</w:t>
      </w:r>
      <w:r w:rsidR="00490569">
        <w:t xml:space="preserve">tem </w:t>
      </w:r>
      <w:r w:rsidR="002469B1">
        <w:t>6</w:t>
      </w:r>
      <w:r w:rsidR="00490569">
        <w:t xml:space="preserve"> amends Schedule 4 </w:t>
      </w:r>
      <w:r w:rsidR="00E703B3" w:rsidRPr="00193ADA">
        <w:t xml:space="preserve">of the </w:t>
      </w:r>
      <w:r w:rsidR="00490569">
        <w:t xml:space="preserve">Principal Code </w:t>
      </w:r>
      <w:r w:rsidR="00E703B3">
        <w:t xml:space="preserve">Regulations </w:t>
      </w:r>
      <w:r w:rsidR="00490569">
        <w:t xml:space="preserve">to provide that </w:t>
      </w:r>
      <w:r w:rsidR="00E703B3" w:rsidRPr="00193ADA">
        <w:t xml:space="preserve">4-aminopropiophenone (also known as </w:t>
      </w:r>
      <w:r w:rsidR="00FD422C" w:rsidRPr="00FD422C">
        <w:t>para</w:t>
      </w:r>
      <w:r w:rsidR="00E703B3">
        <w:rPr>
          <w:i/>
        </w:rPr>
        <w:t>-</w:t>
      </w:r>
      <w:proofErr w:type="spellStart"/>
      <w:r w:rsidR="00E703B3">
        <w:t>aminopropiophenone</w:t>
      </w:r>
      <w:proofErr w:type="spellEnd"/>
      <w:r w:rsidR="00E703B3">
        <w:t xml:space="preserve"> or</w:t>
      </w:r>
      <w:r w:rsidR="00E703B3">
        <w:rPr>
          <w:i/>
        </w:rPr>
        <w:t xml:space="preserve"> </w:t>
      </w:r>
      <w:r w:rsidR="00E703B3" w:rsidRPr="00193ADA">
        <w:t>PAPP) is a restricted chemical product</w:t>
      </w:r>
      <w:r w:rsidR="00305C4E" w:rsidRPr="00305C4E">
        <w:t xml:space="preserve">. PAPP is an active constituent intended to act as a lethal agent for vertebrates such as foxes and wild dogs. Due to the acute toxicity to humans and non-target species and as </w:t>
      </w:r>
      <w:r w:rsidR="00F124B2">
        <w:t xml:space="preserve">specified </w:t>
      </w:r>
      <w:r w:rsidR="00305C4E" w:rsidRPr="00305C4E">
        <w:t xml:space="preserve">by subsection 93(2) of the </w:t>
      </w:r>
      <w:proofErr w:type="spellStart"/>
      <w:r w:rsidR="00305C4E" w:rsidRPr="00305C4E">
        <w:t>Agvet</w:t>
      </w:r>
      <w:proofErr w:type="spellEnd"/>
      <w:r w:rsidR="00305C4E" w:rsidRPr="00305C4E">
        <w:t xml:space="preserve"> Code, the </w:t>
      </w:r>
      <w:proofErr w:type="spellStart"/>
      <w:r w:rsidR="00305C4E" w:rsidRPr="00305C4E">
        <w:t>APVMA</w:t>
      </w:r>
      <w:proofErr w:type="spellEnd"/>
      <w:r w:rsidR="00305C4E" w:rsidRPr="00305C4E">
        <w:t xml:space="preserve"> has certified that it is in the public interest to declare products incorporating PAPP as restricted chemical products. This</w:t>
      </w:r>
      <w:r w:rsidR="00915B7D" w:rsidRPr="00193ADA">
        <w:t xml:space="preserve"> is based on the decision to list PAPP as a Schedule 7 Poison</w:t>
      </w:r>
      <w:r w:rsidR="00667ABA">
        <w:t xml:space="preserve"> in the current </w:t>
      </w:r>
      <w:r w:rsidR="00667ABA" w:rsidRPr="00B17CD6">
        <w:t>Poisons Standard (</w:t>
      </w:r>
      <w:r w:rsidR="00667ABA">
        <w:t>another Commonwealth legislative instrument)</w:t>
      </w:r>
      <w:r w:rsidR="00915B7D" w:rsidRPr="00193ADA">
        <w:t xml:space="preserve">. </w:t>
      </w:r>
      <w:r w:rsidR="00E832FA">
        <w:t>This amendment mean</w:t>
      </w:r>
      <w:r w:rsidR="004A696F">
        <w:t>s</w:t>
      </w:r>
      <w:r w:rsidR="00E832FA">
        <w:t xml:space="preserve"> that chemical products containing PAPP must only be supplied by authorised persons and </w:t>
      </w:r>
      <w:r w:rsidR="00667ABA">
        <w:t xml:space="preserve">that these products </w:t>
      </w:r>
      <w:r w:rsidR="00E832FA">
        <w:t xml:space="preserve">must </w:t>
      </w:r>
      <w:r w:rsidR="002861C1">
        <w:t xml:space="preserve">meet certain </w:t>
      </w:r>
      <w:r w:rsidR="00E832FA">
        <w:t>labelling requirements (</w:t>
      </w:r>
      <w:r w:rsidR="002469B1">
        <w:t xml:space="preserve">as specified in </w:t>
      </w:r>
      <w:r w:rsidR="00E832FA">
        <w:t xml:space="preserve">Division 4 of Part 4 of the </w:t>
      </w:r>
      <w:proofErr w:type="spellStart"/>
      <w:r w:rsidR="00E832FA">
        <w:t>Agvet</w:t>
      </w:r>
      <w:proofErr w:type="spellEnd"/>
      <w:r w:rsidR="00E832FA">
        <w:t xml:space="preserve"> Code).</w:t>
      </w:r>
    </w:p>
    <w:p w:rsidR="00880502" w:rsidRDefault="00880502" w:rsidP="00880502">
      <w:pPr>
        <w:pStyle w:val="Heading3"/>
      </w:pPr>
      <w:bookmarkStart w:id="69" w:name="_Toc435450359"/>
      <w:bookmarkStart w:id="70" w:name="_Toc435450488"/>
      <w:r>
        <w:t>Schedule 2 – Amendments commencing 1 March 2016</w:t>
      </w:r>
      <w:bookmarkEnd w:id="69"/>
      <w:bookmarkEnd w:id="70"/>
    </w:p>
    <w:p w:rsidR="00032BF9" w:rsidRPr="00552803" w:rsidRDefault="00032BF9" w:rsidP="00032BF9">
      <w:pPr>
        <w:pStyle w:val="Heading4"/>
        <w:rPr>
          <w:i w:val="0"/>
        </w:rPr>
      </w:pPr>
      <w:bookmarkStart w:id="71" w:name="_Toc435450360"/>
      <w:bookmarkStart w:id="72" w:name="_Toc435450489"/>
      <w:r w:rsidRPr="00552803">
        <w:rPr>
          <w:i w:val="0"/>
        </w:rPr>
        <w:t xml:space="preserve">Part </w:t>
      </w:r>
      <w:r>
        <w:rPr>
          <w:i w:val="0"/>
        </w:rPr>
        <w:t>1</w:t>
      </w:r>
      <w:r w:rsidRPr="00552803">
        <w:rPr>
          <w:i w:val="0"/>
        </w:rPr>
        <w:t xml:space="preserve"> – Amendments relating to </w:t>
      </w:r>
      <w:r>
        <w:rPr>
          <w:i w:val="0"/>
        </w:rPr>
        <w:t>chemical product registration renewals</w:t>
      </w:r>
      <w:bookmarkEnd w:id="71"/>
      <w:bookmarkEnd w:id="72"/>
    </w:p>
    <w:p w:rsidR="00032BF9" w:rsidRDefault="00032BF9" w:rsidP="00032BF9">
      <w:pPr>
        <w:pStyle w:val="Heading4"/>
      </w:pPr>
      <w:bookmarkStart w:id="73" w:name="_Toc435450361"/>
      <w:bookmarkStart w:id="74" w:name="_Toc435450490"/>
      <w:r>
        <w:t>Agricultural and Veterinary Chemicals Code Regulations 1995</w:t>
      </w:r>
      <w:bookmarkEnd w:id="73"/>
      <w:bookmarkEnd w:id="74"/>
      <w:r>
        <w:t xml:space="preserve"> </w:t>
      </w:r>
    </w:p>
    <w:p w:rsidR="00032BF9" w:rsidRDefault="00032BF9" w:rsidP="00032BF9">
      <w:pPr>
        <w:rPr>
          <w:b/>
        </w:rPr>
      </w:pPr>
      <w:r>
        <w:rPr>
          <w:b/>
        </w:rPr>
        <w:t xml:space="preserve">Items </w:t>
      </w:r>
      <w:r w:rsidR="001E3B1B">
        <w:rPr>
          <w:b/>
        </w:rPr>
        <w:t>1</w:t>
      </w:r>
      <w:r>
        <w:rPr>
          <w:b/>
        </w:rPr>
        <w:t xml:space="preserve"> to 7 – New regulation 8AFA, </w:t>
      </w:r>
      <w:proofErr w:type="spellStart"/>
      <w:r>
        <w:rPr>
          <w:b/>
        </w:rPr>
        <w:t>subregulation</w:t>
      </w:r>
      <w:proofErr w:type="spellEnd"/>
      <w:r>
        <w:rPr>
          <w:b/>
        </w:rPr>
        <w:t xml:space="preserve"> 23(1), new regulation 23A, regulation 71A, new division 10.5. </w:t>
      </w:r>
    </w:p>
    <w:p w:rsidR="00032BF9" w:rsidRDefault="00032BF9" w:rsidP="00032BF9">
      <w:pPr>
        <w:rPr>
          <w:b/>
        </w:rPr>
      </w:pPr>
    </w:p>
    <w:p w:rsidR="00032BF9" w:rsidRDefault="00032BF9" w:rsidP="00032BF9">
      <w:pPr>
        <w:tabs>
          <w:tab w:val="left" w:pos="1755"/>
        </w:tabs>
      </w:pPr>
      <w:r w:rsidRPr="00305C4E">
        <w:t xml:space="preserve">Together </w:t>
      </w:r>
      <w:r w:rsidRPr="001E3B1B">
        <w:t xml:space="preserve">items </w:t>
      </w:r>
      <w:r w:rsidR="001E3B1B" w:rsidRPr="001E3B1B">
        <w:t>1</w:t>
      </w:r>
      <w:r w:rsidRPr="001E3B1B">
        <w:t xml:space="preserve"> to 7 amend</w:t>
      </w:r>
      <w:r>
        <w:t xml:space="preserve"> the Principal Code Regulations to </w:t>
      </w:r>
      <w:r w:rsidRPr="00305C4E">
        <w:t>reduce red tape by providing the option for renewing chemical product registration</w:t>
      </w:r>
      <w:r>
        <w:t>s</w:t>
      </w:r>
      <w:r w:rsidRPr="00305C4E">
        <w:t xml:space="preserve"> for five years instead of only for one year.</w:t>
      </w:r>
      <w:r w:rsidRPr="00F463C7">
        <w:t xml:space="preserve"> </w:t>
      </w:r>
    </w:p>
    <w:p w:rsidR="00032BF9" w:rsidRDefault="00032BF9" w:rsidP="00032BF9"/>
    <w:p w:rsidR="00032BF9" w:rsidRDefault="00032BF9" w:rsidP="00032BF9">
      <w:pPr>
        <w:tabs>
          <w:tab w:val="left" w:pos="1755"/>
        </w:tabs>
      </w:pPr>
      <w:r>
        <w:t xml:space="preserve">The </w:t>
      </w:r>
      <w:proofErr w:type="spellStart"/>
      <w:r>
        <w:t>Agvet</w:t>
      </w:r>
      <w:proofErr w:type="spellEnd"/>
      <w:r>
        <w:t xml:space="preserve"> Code provides that the date a chemical product registration ends is to be worked out in accordance with the method prescribed by the regulations (paragraph 50(2)(b)). Previously, only a </w:t>
      </w:r>
      <w:r w:rsidR="00CE4B86">
        <w:t>one-year</w:t>
      </w:r>
      <w:r>
        <w:t xml:space="preserve"> period of registration applied because a method had not been prescribed (see subsection 50(3) of the </w:t>
      </w:r>
      <w:proofErr w:type="spellStart"/>
      <w:r>
        <w:t>Agvet</w:t>
      </w:r>
      <w:proofErr w:type="spellEnd"/>
      <w:r>
        <w:t xml:space="preserve"> Code). The amendments provide for holders of chemical product registration to be able to nominate either a one-year or a five-year registration renewal period. This option does not apply to a</w:t>
      </w:r>
      <w:r w:rsidRPr="00305C4E">
        <w:t xml:space="preserve"> registration that is subject to the condition mentioned in </w:t>
      </w:r>
      <w:r>
        <w:t xml:space="preserve">subsection </w:t>
      </w:r>
      <w:r w:rsidRPr="00305C4E">
        <w:t xml:space="preserve">23(2) </w:t>
      </w:r>
      <w:r>
        <w:t xml:space="preserve">of the </w:t>
      </w:r>
      <w:proofErr w:type="spellStart"/>
      <w:r>
        <w:t>Agvet</w:t>
      </w:r>
      <w:proofErr w:type="spellEnd"/>
      <w:r>
        <w:t xml:space="preserve"> Code (where a registration is for a </w:t>
      </w:r>
      <w:r w:rsidR="00CE4B86">
        <w:t>one-year</w:t>
      </w:r>
      <w:r>
        <w:t xml:space="preserve"> period). </w:t>
      </w:r>
    </w:p>
    <w:p w:rsidR="00032BF9" w:rsidRDefault="00032BF9" w:rsidP="00032BF9"/>
    <w:p w:rsidR="00764EAF" w:rsidRDefault="00032BF9" w:rsidP="00032BF9">
      <w:pPr>
        <w:tabs>
          <w:tab w:val="left" w:pos="1755"/>
        </w:tabs>
      </w:pPr>
      <w:r>
        <w:t xml:space="preserve">For the authority in </w:t>
      </w:r>
      <w:r w:rsidR="00C929A0">
        <w:t>sub</w:t>
      </w:r>
      <w:r>
        <w:t xml:space="preserve">paragraph 8A(a)(v) of the </w:t>
      </w:r>
      <w:proofErr w:type="spellStart"/>
      <w:r>
        <w:t>Agvet</w:t>
      </w:r>
      <w:proofErr w:type="spellEnd"/>
      <w:r>
        <w:t xml:space="preserve"> Code, item </w:t>
      </w:r>
      <w:r w:rsidR="001E3B1B">
        <w:t>1</w:t>
      </w:r>
      <w:r>
        <w:t xml:space="preserve"> inserts new regulation 8AF</w:t>
      </w:r>
      <w:r w:rsidR="001E3B1B">
        <w:t>A</w:t>
      </w:r>
      <w:r>
        <w:t xml:space="preserve"> to require an applicant for renewal of registration to nominate whether the renewal is for a period of one year or five years.</w:t>
      </w:r>
      <w:r w:rsidRPr="000719DF">
        <w:t xml:space="preserve"> </w:t>
      </w:r>
    </w:p>
    <w:p w:rsidR="00764EAF" w:rsidRDefault="00764EAF" w:rsidP="00032BF9">
      <w:pPr>
        <w:tabs>
          <w:tab w:val="left" w:pos="1755"/>
        </w:tabs>
      </w:pPr>
    </w:p>
    <w:p w:rsidR="00764EAF" w:rsidRDefault="00032BF9" w:rsidP="00764EAF">
      <w:r w:rsidRPr="008E6B64">
        <w:t xml:space="preserve">Item </w:t>
      </w:r>
      <w:r w:rsidR="001E3B1B" w:rsidRPr="008E6B64">
        <w:t>2</w:t>
      </w:r>
      <w:r w:rsidRPr="008E6B64">
        <w:t xml:space="preserve"> amends regulation </w:t>
      </w:r>
      <w:r w:rsidR="00E62C53" w:rsidRPr="008E6B64">
        <w:t xml:space="preserve">paragraph </w:t>
      </w:r>
      <w:r w:rsidRPr="008E6B64">
        <w:t>23(1)</w:t>
      </w:r>
      <w:r w:rsidR="00E62C53" w:rsidRPr="008E6B64">
        <w:t>(b)</w:t>
      </w:r>
      <w:r w:rsidRPr="008E6B64">
        <w:t xml:space="preserve"> to clarify </w:t>
      </w:r>
      <w:r w:rsidR="008E6B64" w:rsidRPr="008E6B64">
        <w:t xml:space="preserve">the circumstance where </w:t>
      </w:r>
      <w:r w:rsidR="009A3723" w:rsidRPr="008E6B64">
        <w:t xml:space="preserve">the fee for </w:t>
      </w:r>
      <w:r w:rsidRPr="008E6B64">
        <w:t xml:space="preserve">a late application for renewal of registration </w:t>
      </w:r>
      <w:r w:rsidR="00764EAF" w:rsidRPr="008E6B64">
        <w:t xml:space="preserve">in </w:t>
      </w:r>
      <w:proofErr w:type="spellStart"/>
      <w:r w:rsidR="00764EAF" w:rsidRPr="008E6B64">
        <w:t>subregulation</w:t>
      </w:r>
      <w:proofErr w:type="spellEnd"/>
      <w:r w:rsidR="00764EAF" w:rsidRPr="008E6B64">
        <w:t xml:space="preserve"> 23(2) applies</w:t>
      </w:r>
      <w:r w:rsidR="008E6B64" w:rsidRPr="008E6B64">
        <w:t xml:space="preserve">. The fee applies </w:t>
      </w:r>
      <w:r w:rsidR="00764EAF" w:rsidRPr="008E6B64">
        <w:t>to a late application where</w:t>
      </w:r>
      <w:r w:rsidR="00D33B38" w:rsidRPr="008E6B64">
        <w:t xml:space="preserve"> the applicant requests the </w:t>
      </w:r>
      <w:proofErr w:type="spellStart"/>
      <w:r w:rsidR="00D33B38" w:rsidRPr="008E6B64">
        <w:t>APVMA</w:t>
      </w:r>
      <w:proofErr w:type="spellEnd"/>
      <w:r w:rsidR="00D33B38" w:rsidRPr="008E6B64">
        <w:t xml:space="preserve"> to accept a late application </w:t>
      </w:r>
      <w:r w:rsidR="00764EAF" w:rsidRPr="008E6B64">
        <w:rPr>
          <w:u w:val="single"/>
        </w:rPr>
        <w:t>after</w:t>
      </w:r>
      <w:r w:rsidR="00764EAF" w:rsidRPr="008E6B64">
        <w:t xml:space="preserve"> the </w:t>
      </w:r>
      <w:r w:rsidR="008E6B64" w:rsidRPr="008E6B64">
        <w:t xml:space="preserve">end of the </w:t>
      </w:r>
      <w:r w:rsidR="00764EAF" w:rsidRPr="008E6B64">
        <w:t>period for making an application referred to in subsection 48(2) of the Code</w:t>
      </w:r>
      <w:r w:rsidR="00D33B38" w:rsidRPr="008E6B64">
        <w:t xml:space="preserve">, </w:t>
      </w:r>
      <w:r w:rsidR="008E6B64" w:rsidRPr="008E6B64">
        <w:t xml:space="preserve">and before the registration ends, </w:t>
      </w:r>
      <w:r w:rsidR="00D33B38" w:rsidRPr="008E6B64">
        <w:t xml:space="preserve">and </w:t>
      </w:r>
      <w:r w:rsidR="008E6B64" w:rsidRPr="008E6B64">
        <w:t xml:space="preserve">if </w:t>
      </w:r>
      <w:r w:rsidR="00D33B38" w:rsidRPr="008E6B64">
        <w:t xml:space="preserve">the </w:t>
      </w:r>
      <w:proofErr w:type="spellStart"/>
      <w:r w:rsidR="00D33B38" w:rsidRPr="008E6B64">
        <w:t>APVMA</w:t>
      </w:r>
      <w:proofErr w:type="spellEnd"/>
      <w:r w:rsidR="00D33B38" w:rsidRPr="008E6B64">
        <w:t xml:space="preserve"> agrees to that request. </w:t>
      </w:r>
    </w:p>
    <w:p w:rsidR="00032BF9" w:rsidRDefault="00032BF9" w:rsidP="00032BF9">
      <w:pPr>
        <w:tabs>
          <w:tab w:val="left" w:pos="1755"/>
        </w:tabs>
      </w:pPr>
    </w:p>
    <w:p w:rsidR="00032BF9" w:rsidRDefault="00032BF9" w:rsidP="00032BF9">
      <w:pPr>
        <w:tabs>
          <w:tab w:val="left" w:pos="1755"/>
        </w:tabs>
      </w:pPr>
      <w:r>
        <w:t xml:space="preserve">For the authority in paragraph 50(2)(b) of the </w:t>
      </w:r>
      <w:proofErr w:type="spellStart"/>
      <w:r>
        <w:t>Agvet</w:t>
      </w:r>
      <w:proofErr w:type="spellEnd"/>
      <w:r>
        <w:t xml:space="preserve"> Code, item </w:t>
      </w:r>
      <w:r w:rsidR="001E3B1B">
        <w:t>3</w:t>
      </w:r>
      <w:r>
        <w:t xml:space="preserve"> inserts new regulation 23A that specifies the method for working out when renewed registration ends. Depending on what renewal period the applicant has nominated in the application for renewal of registration, the method provides for the registration to end either five years or 12 months after the date on which the registration would otherwise end. </w:t>
      </w:r>
    </w:p>
    <w:p w:rsidR="00032BF9" w:rsidRDefault="00032BF9" w:rsidP="00032BF9">
      <w:pPr>
        <w:tabs>
          <w:tab w:val="left" w:pos="1755"/>
        </w:tabs>
      </w:pPr>
    </w:p>
    <w:p w:rsidR="00032BF9" w:rsidRDefault="00032BF9" w:rsidP="00032BF9">
      <w:pPr>
        <w:tabs>
          <w:tab w:val="left" w:pos="1755"/>
        </w:tabs>
      </w:pPr>
      <w:r>
        <w:t xml:space="preserve">For the authority in subsection 164(1) of the </w:t>
      </w:r>
      <w:proofErr w:type="spellStart"/>
      <w:r>
        <w:t>Agvet</w:t>
      </w:r>
      <w:proofErr w:type="spellEnd"/>
      <w:r>
        <w:t xml:space="preserve"> Code, item </w:t>
      </w:r>
      <w:r w:rsidR="00830B09">
        <w:t>5</w:t>
      </w:r>
      <w:r>
        <w:t xml:space="preserve"> amends </w:t>
      </w:r>
      <w:proofErr w:type="spellStart"/>
      <w:r>
        <w:t>subregulation</w:t>
      </w:r>
      <w:proofErr w:type="spellEnd"/>
      <w:r>
        <w:t xml:space="preserve"> 71A(1) to provide that the fee for an application for renewal of registration is $430 where the applicant nominates a </w:t>
      </w:r>
      <w:r w:rsidR="00CE4B86">
        <w:t>one-year</w:t>
      </w:r>
      <w:r>
        <w:t xml:space="preserve"> renewal period and $2150 where the applicant nominates a five</w:t>
      </w:r>
      <w:r w:rsidR="00C06161">
        <w:t>-</w:t>
      </w:r>
      <w:r>
        <w:t xml:space="preserve">year renewal period. The fee for a </w:t>
      </w:r>
      <w:r w:rsidR="00CE4B86">
        <w:t>one-year</w:t>
      </w:r>
      <w:r>
        <w:t xml:space="preserve"> renewal period is unchanged and the fee for the five</w:t>
      </w:r>
      <w:r w:rsidR="00C06161">
        <w:t>-</w:t>
      </w:r>
      <w:r>
        <w:t xml:space="preserve">year renewal period is five times the fee payable for a </w:t>
      </w:r>
      <w:r w:rsidR="00CE4B86">
        <w:t>one-year</w:t>
      </w:r>
      <w:r>
        <w:t xml:space="preserve"> renewal.</w:t>
      </w:r>
      <w:r w:rsidR="00830B09" w:rsidRPr="00830B09">
        <w:t xml:space="preserve"> </w:t>
      </w:r>
      <w:r w:rsidR="00830B09">
        <w:t>Item 4 amends the heading for regulation 71A because the fees in the regulation for renewal are not necessarily ‘annual’ fees.</w:t>
      </w:r>
    </w:p>
    <w:p w:rsidR="00032BF9" w:rsidRDefault="00032BF9" w:rsidP="00032BF9">
      <w:pPr>
        <w:tabs>
          <w:tab w:val="left" w:pos="1755"/>
        </w:tabs>
      </w:pPr>
    </w:p>
    <w:p w:rsidR="00032BF9" w:rsidRDefault="00032BF9" w:rsidP="00032BF9">
      <w:pPr>
        <w:pStyle w:val="Default"/>
      </w:pPr>
      <w:r w:rsidRPr="00386FCA">
        <w:t xml:space="preserve">For the authority in subsection 164(1) of the </w:t>
      </w:r>
      <w:proofErr w:type="spellStart"/>
      <w:r w:rsidRPr="00386FCA">
        <w:t>Agvet</w:t>
      </w:r>
      <w:proofErr w:type="spellEnd"/>
      <w:r w:rsidRPr="00386FCA">
        <w:t xml:space="preserve"> Code, item </w:t>
      </w:r>
      <w:r w:rsidR="00677A35" w:rsidRPr="00386FCA">
        <w:t>6</w:t>
      </w:r>
      <w:r w:rsidRPr="00386FCA">
        <w:t xml:space="preserve"> </w:t>
      </w:r>
      <w:r w:rsidR="009A41CB">
        <w:t>substitutes</w:t>
      </w:r>
      <w:r w:rsidRPr="00386FCA">
        <w:t xml:space="preserve"> </w:t>
      </w:r>
      <w:proofErr w:type="spellStart"/>
      <w:r w:rsidRPr="00386FCA">
        <w:t>subregulation</w:t>
      </w:r>
      <w:proofErr w:type="spellEnd"/>
      <w:r w:rsidRPr="00386FCA">
        <w:t xml:space="preserve"> 71A(5) to provide that the overseas </w:t>
      </w:r>
      <w:proofErr w:type="spellStart"/>
      <w:r w:rsidRPr="00386FCA">
        <w:t>GMP</w:t>
      </w:r>
      <w:proofErr w:type="spellEnd"/>
      <w:r w:rsidRPr="00386FCA">
        <w:t xml:space="preserve"> compliance assessment fee is payable </w:t>
      </w:r>
      <w:r w:rsidR="00677A35" w:rsidRPr="00386FCA">
        <w:t>on</w:t>
      </w:r>
      <w:r w:rsidR="00215446">
        <w:t>,</w:t>
      </w:r>
      <w:r w:rsidR="00677A35" w:rsidRPr="00386FCA">
        <w:t xml:space="preserve"> </w:t>
      </w:r>
      <w:r w:rsidR="00386FCA" w:rsidRPr="00386FCA">
        <w:t>or before</w:t>
      </w:r>
      <w:r w:rsidR="00215446">
        <w:t>,</w:t>
      </w:r>
      <w:r w:rsidR="00386FCA" w:rsidRPr="00386FCA">
        <w:t xml:space="preserve"> the last day for payment of the fee shown on an invoice issued for the fee by the </w:t>
      </w:r>
      <w:proofErr w:type="spellStart"/>
      <w:r w:rsidR="00386FCA" w:rsidRPr="00386FCA">
        <w:t>APVMA</w:t>
      </w:r>
      <w:proofErr w:type="spellEnd"/>
      <w:r w:rsidR="00386FCA" w:rsidRPr="00386FCA">
        <w:t xml:space="preserve"> for the financial year</w:t>
      </w:r>
      <w:r w:rsidR="00677A35" w:rsidRPr="00386FCA">
        <w:t xml:space="preserve">. This approach is administratively simple and is consistent with the licence fee approach in </w:t>
      </w:r>
      <w:proofErr w:type="spellStart"/>
      <w:r w:rsidR="00677A35" w:rsidRPr="00386FCA">
        <w:t>subregulation</w:t>
      </w:r>
      <w:proofErr w:type="spellEnd"/>
      <w:r w:rsidR="00677A35" w:rsidRPr="00386FCA">
        <w:t xml:space="preserve"> 72A(7). </w:t>
      </w:r>
      <w:r w:rsidRPr="00386FCA">
        <w:t>The</w:t>
      </w:r>
      <w:r w:rsidRPr="00AC2003">
        <w:t xml:space="preserve"> amendment is necessary to allow the overseas </w:t>
      </w:r>
      <w:proofErr w:type="spellStart"/>
      <w:r w:rsidRPr="00AC2003">
        <w:t>GMP</w:t>
      </w:r>
      <w:proofErr w:type="spellEnd"/>
      <w:r w:rsidRPr="00AC2003">
        <w:t xml:space="preserve"> compliance fee to continue to be paid annually, even though renewal of registration may be for a period of either one year or five years. The amount of the overseas </w:t>
      </w:r>
      <w:proofErr w:type="spellStart"/>
      <w:r w:rsidRPr="00AC2003">
        <w:t>GMP</w:t>
      </w:r>
      <w:proofErr w:type="spellEnd"/>
      <w:r w:rsidRPr="00AC2003">
        <w:t xml:space="preserve"> compliance assessment fee is unchanged. The overseas </w:t>
      </w:r>
      <w:proofErr w:type="spellStart"/>
      <w:r w:rsidRPr="00AC2003">
        <w:t>GMP</w:t>
      </w:r>
      <w:proofErr w:type="spellEnd"/>
      <w:r w:rsidRPr="00AC2003">
        <w:t xml:space="preserve"> compliance assessment fee continues to be payable for each site outside of Australia at which the registered veterinary chemical product </w:t>
      </w:r>
      <w:r w:rsidR="00B82BE8">
        <w:t xml:space="preserve">is </w:t>
      </w:r>
      <w:r w:rsidRPr="00AC2003">
        <w:t>manufactured or each site outside of Australia at which a step in the manufacture of the registered veterinary chemical product occur</w:t>
      </w:r>
      <w:r w:rsidR="00B82BE8">
        <w:t>s</w:t>
      </w:r>
      <w:r w:rsidRPr="00AC2003">
        <w:t>.</w:t>
      </w:r>
    </w:p>
    <w:p w:rsidR="00032BF9" w:rsidRDefault="00032BF9" w:rsidP="00032BF9">
      <w:pPr>
        <w:pStyle w:val="Default"/>
      </w:pPr>
    </w:p>
    <w:p w:rsidR="007B4E07" w:rsidRDefault="00032BF9" w:rsidP="00032BF9">
      <w:r>
        <w:t xml:space="preserve">Item </w:t>
      </w:r>
      <w:r w:rsidR="00AC2003">
        <w:t>6 also i</w:t>
      </w:r>
      <w:r>
        <w:t xml:space="preserve">nserts a new provision </w:t>
      </w:r>
      <w:r w:rsidR="00A818B5">
        <w:t>(</w:t>
      </w:r>
      <w:proofErr w:type="spellStart"/>
      <w:r w:rsidR="00A818B5">
        <w:t>subregulation</w:t>
      </w:r>
      <w:proofErr w:type="spellEnd"/>
      <w:r w:rsidR="00A818B5">
        <w:t xml:space="preserve"> 71A(6)</w:t>
      </w:r>
      <w:r w:rsidR="00C929A0">
        <w:t>)</w:t>
      </w:r>
      <w:r w:rsidR="00A818B5">
        <w:t xml:space="preserve"> </w:t>
      </w:r>
      <w:r>
        <w:t xml:space="preserve">to clarify that holders of registrations that are suspended or cancelled (on the initiative of either the </w:t>
      </w:r>
      <w:proofErr w:type="spellStart"/>
      <w:r>
        <w:t>APVMA</w:t>
      </w:r>
      <w:proofErr w:type="spellEnd"/>
      <w:r>
        <w:t xml:space="preserve"> or the holder of registration) are not eligible for any rebate of any renewal application fee. </w:t>
      </w:r>
    </w:p>
    <w:p w:rsidR="007B4E07" w:rsidRDefault="007B4E07" w:rsidP="00032BF9"/>
    <w:p w:rsidR="00032BF9" w:rsidRDefault="00032BF9" w:rsidP="00032BF9">
      <w:r>
        <w:t xml:space="preserve">Item </w:t>
      </w:r>
      <w:r w:rsidR="00AC2003">
        <w:t>7</w:t>
      </w:r>
      <w:r>
        <w:t xml:space="preserve"> inserts new Division 10.5 </w:t>
      </w:r>
      <w:r w:rsidR="00F51411">
        <w:t xml:space="preserve">(and new regulations 90 and 91) </w:t>
      </w:r>
      <w:r>
        <w:t xml:space="preserve">to specify that the amendments in items </w:t>
      </w:r>
      <w:r w:rsidR="00AC2003">
        <w:t>1</w:t>
      </w:r>
      <w:r>
        <w:t xml:space="preserve"> to 6 apply to renewal, or further renewal of, a product registration where the registration of the product is to end on</w:t>
      </w:r>
      <w:r w:rsidR="005354D8">
        <w:t>,</w:t>
      </w:r>
      <w:r>
        <w:t xml:space="preserve"> or after</w:t>
      </w:r>
      <w:r w:rsidR="005354D8">
        <w:t>,</w:t>
      </w:r>
      <w:r>
        <w:t xml:space="preserve"> 30 June 2017. This new division is no longer required after 30</w:t>
      </w:r>
      <w:r w:rsidR="00C25B1E">
        <w:t> </w:t>
      </w:r>
      <w:r>
        <w:t>June</w:t>
      </w:r>
      <w:r w:rsidR="00C25B1E">
        <w:t> </w:t>
      </w:r>
      <w:r>
        <w:t>2017 and regulation 91 repeals the division</w:t>
      </w:r>
      <w:r w:rsidR="00AC2003">
        <w:t xml:space="preserve"> on 1 July 2017</w:t>
      </w:r>
      <w:r>
        <w:t xml:space="preserve">. </w:t>
      </w:r>
      <w:r w:rsidR="00830B09">
        <w:t xml:space="preserve"> </w:t>
      </w:r>
    </w:p>
    <w:p w:rsidR="00B4678D" w:rsidRPr="00552803" w:rsidRDefault="00830B09" w:rsidP="00B4678D">
      <w:pPr>
        <w:pStyle w:val="Heading4"/>
        <w:rPr>
          <w:i w:val="0"/>
        </w:rPr>
      </w:pPr>
      <w:r>
        <w:rPr>
          <w:i w:val="0"/>
        </w:rPr>
        <w:t xml:space="preserve"> </w:t>
      </w:r>
      <w:bookmarkStart w:id="75" w:name="_Toc435450362"/>
      <w:bookmarkStart w:id="76" w:name="_Toc435450491"/>
      <w:r w:rsidR="00B4678D" w:rsidRPr="00305C4E">
        <w:rPr>
          <w:i w:val="0"/>
        </w:rPr>
        <w:t xml:space="preserve">Part </w:t>
      </w:r>
      <w:r w:rsidR="00B4678D">
        <w:rPr>
          <w:i w:val="0"/>
        </w:rPr>
        <w:t>2</w:t>
      </w:r>
      <w:r w:rsidR="00B4678D" w:rsidRPr="00305C4E">
        <w:rPr>
          <w:i w:val="0"/>
        </w:rPr>
        <w:t xml:space="preserve"> – </w:t>
      </w:r>
      <w:r w:rsidR="00B4678D">
        <w:rPr>
          <w:i w:val="0"/>
        </w:rPr>
        <w:t>Other a</w:t>
      </w:r>
      <w:r w:rsidR="00B4678D" w:rsidRPr="00305C4E">
        <w:rPr>
          <w:i w:val="0"/>
        </w:rPr>
        <w:t>mendments</w:t>
      </w:r>
      <w:bookmarkEnd w:id="75"/>
      <w:bookmarkEnd w:id="76"/>
    </w:p>
    <w:p w:rsidR="00880502" w:rsidRDefault="00880502" w:rsidP="00880502">
      <w:pPr>
        <w:pStyle w:val="Heading4"/>
      </w:pPr>
      <w:bookmarkStart w:id="77" w:name="_Toc435450363"/>
      <w:bookmarkStart w:id="78" w:name="_Toc435450492"/>
      <w:r>
        <w:t>Agricultural and Veterinary Chemicals Code Regulations 1995</w:t>
      </w:r>
      <w:bookmarkEnd w:id="77"/>
      <w:bookmarkEnd w:id="78"/>
      <w:r>
        <w:t xml:space="preserve"> </w:t>
      </w:r>
    </w:p>
    <w:p w:rsidR="00880502" w:rsidRDefault="00880502" w:rsidP="00880502">
      <w:pPr>
        <w:rPr>
          <w:b/>
        </w:rPr>
      </w:pPr>
      <w:r>
        <w:rPr>
          <w:b/>
        </w:rPr>
        <w:t xml:space="preserve">Item </w:t>
      </w:r>
      <w:r w:rsidR="00B4678D">
        <w:rPr>
          <w:b/>
        </w:rPr>
        <w:t>8</w:t>
      </w:r>
      <w:r>
        <w:rPr>
          <w:b/>
        </w:rPr>
        <w:t xml:space="preserve"> – </w:t>
      </w:r>
      <w:r w:rsidR="00B14040">
        <w:rPr>
          <w:b/>
        </w:rPr>
        <w:t>Regulation 19AF</w:t>
      </w:r>
    </w:p>
    <w:p w:rsidR="00880502" w:rsidRDefault="00880502" w:rsidP="00880502">
      <w:pPr>
        <w:spacing w:after="60" w:line="252" w:lineRule="auto"/>
      </w:pPr>
    </w:p>
    <w:p w:rsidR="00A1565C" w:rsidRDefault="00880502">
      <w:pPr>
        <w:spacing w:line="252" w:lineRule="auto"/>
      </w:pPr>
      <w:r>
        <w:t xml:space="preserve">Item </w:t>
      </w:r>
      <w:r w:rsidR="00B4678D">
        <w:t>8</w:t>
      </w:r>
      <w:r>
        <w:t xml:space="preserve"> amends </w:t>
      </w:r>
      <w:r w:rsidR="00B14040">
        <w:t>the table to regulation 19AF</w:t>
      </w:r>
      <w:r w:rsidR="00F124B2" w:rsidRPr="00F124B2">
        <w:t xml:space="preserve"> </w:t>
      </w:r>
      <w:r w:rsidR="00F124B2">
        <w:t xml:space="preserve">to </w:t>
      </w:r>
      <w:r w:rsidR="00615576">
        <w:t xml:space="preserve">add a new kind of prescribed variation that will </w:t>
      </w:r>
      <w:r w:rsidR="00F124B2">
        <w:t>simplify the process for varying the name of a chemical product manufacturer</w:t>
      </w:r>
      <w:r w:rsidR="00B14040">
        <w:t xml:space="preserve">. </w:t>
      </w:r>
      <w:r w:rsidR="00583D64">
        <w:t xml:space="preserve">For the authority in paragraph 26B(4)(b) of the </w:t>
      </w:r>
      <w:proofErr w:type="spellStart"/>
      <w:r w:rsidR="00583D64">
        <w:t>Agvet</w:t>
      </w:r>
      <w:proofErr w:type="spellEnd"/>
      <w:r w:rsidR="00583D64">
        <w:t xml:space="preserve"> Code, r</w:t>
      </w:r>
      <w:r w:rsidR="00B14040">
        <w:t xml:space="preserve">egulation 19AF specifies the prescribed variations for which Division 2A of the </w:t>
      </w:r>
      <w:proofErr w:type="spellStart"/>
      <w:r w:rsidR="00B14040">
        <w:t>Agvet</w:t>
      </w:r>
      <w:proofErr w:type="spellEnd"/>
      <w:r w:rsidR="00B14040">
        <w:t xml:space="preserve"> Code applies</w:t>
      </w:r>
      <w:r w:rsidR="00667ABA">
        <w:t xml:space="preserve">. Division 2A of the </w:t>
      </w:r>
      <w:proofErr w:type="spellStart"/>
      <w:r w:rsidR="00667ABA">
        <w:t>Agvet</w:t>
      </w:r>
      <w:proofErr w:type="spellEnd"/>
      <w:r w:rsidR="00667ABA">
        <w:t xml:space="preserve"> Code </w:t>
      </w:r>
      <w:r w:rsidR="00B14040">
        <w:t xml:space="preserve">is a simplified process for </w:t>
      </w:r>
      <w:r w:rsidR="00667ABA">
        <w:t xml:space="preserve">holders to apply to </w:t>
      </w:r>
      <w:r w:rsidR="00B14040">
        <w:t>vary</w:t>
      </w:r>
      <w:r w:rsidR="00667ABA">
        <w:t xml:space="preserve"> </w:t>
      </w:r>
      <w:r w:rsidR="00B82BE8">
        <w:t xml:space="preserve">prescribed </w:t>
      </w:r>
      <w:r w:rsidR="00B14040">
        <w:t>relevant particulars of approval and registration.</w:t>
      </w:r>
      <w:r w:rsidR="005B66DA">
        <w:t xml:space="preserve"> </w:t>
      </w:r>
    </w:p>
    <w:p w:rsidR="00A1565C" w:rsidRDefault="00A1565C">
      <w:pPr>
        <w:spacing w:line="252" w:lineRule="auto"/>
      </w:pPr>
    </w:p>
    <w:p w:rsidR="00A1565C" w:rsidRDefault="005B66DA">
      <w:pPr>
        <w:spacing w:line="252" w:lineRule="auto"/>
      </w:pPr>
      <w:r>
        <w:t>The amendment provides that the variation to the particulars of the name of a manufacturer of a chemical product is a prescribed variation if the address of the manufacturer is located outside of Australia.</w:t>
      </w:r>
      <w:r w:rsidRPr="005B66DA">
        <w:t xml:space="preserve"> </w:t>
      </w:r>
      <w:r>
        <w:t xml:space="preserve">This does not apply to a chemical product prescribed under </w:t>
      </w:r>
      <w:proofErr w:type="spellStart"/>
      <w:r>
        <w:t>subregulation</w:t>
      </w:r>
      <w:proofErr w:type="spellEnd"/>
      <w:r>
        <w:t xml:space="preserve"> 59(1) as variations to the name of the manufacturer for these products are already provided for as notifiable variations in regulation 19AE. This additional prescribed variation </w:t>
      </w:r>
      <w:r w:rsidR="00B82BE8">
        <w:t>for chemical products</w:t>
      </w:r>
      <w:r w:rsidR="002F1455">
        <w:t>, which are</w:t>
      </w:r>
      <w:r w:rsidR="00B82BE8">
        <w:t xml:space="preserve"> not prescribed under </w:t>
      </w:r>
      <w:proofErr w:type="spellStart"/>
      <w:r w:rsidR="00B82BE8">
        <w:t>subregulation</w:t>
      </w:r>
      <w:proofErr w:type="spellEnd"/>
      <w:r w:rsidR="00B82BE8">
        <w:t xml:space="preserve"> 59(1)</w:t>
      </w:r>
      <w:r w:rsidR="002F1455">
        <w:t>,</w:t>
      </w:r>
      <w:r w:rsidR="00B82BE8">
        <w:t xml:space="preserve"> </w:t>
      </w:r>
      <w:r>
        <w:t xml:space="preserve">is similar to existing prescribed variations of </w:t>
      </w:r>
      <w:r w:rsidRPr="001A4C8A">
        <w:t xml:space="preserve">the name of each Australian manufacturer for </w:t>
      </w:r>
      <w:r w:rsidR="00B82BE8">
        <w:t xml:space="preserve">the same </w:t>
      </w:r>
      <w:r w:rsidRPr="001A4C8A">
        <w:t>chemical product</w:t>
      </w:r>
      <w:r w:rsidR="00B82BE8">
        <w:t>s</w:t>
      </w:r>
      <w:r w:rsidRPr="001A4C8A">
        <w:t>.</w:t>
      </w:r>
      <w:r>
        <w:t xml:space="preserve"> </w:t>
      </w:r>
    </w:p>
    <w:p w:rsidR="00A1565C" w:rsidRDefault="00A1565C">
      <w:pPr>
        <w:spacing w:line="252" w:lineRule="auto"/>
      </w:pPr>
    </w:p>
    <w:p w:rsidR="00A1565C" w:rsidRDefault="005B66DA">
      <w:pPr>
        <w:spacing w:line="252" w:lineRule="auto"/>
      </w:pPr>
      <w:r>
        <w:t xml:space="preserve">Where the only particular to be changed is the name of the manufacturer, it is possible to establish continued quality assurance through a review of international regulatory material that accompanies the application. This </w:t>
      </w:r>
      <w:r w:rsidR="004A696F">
        <w:t xml:space="preserve">is </w:t>
      </w:r>
      <w:r>
        <w:t xml:space="preserve">controlled by the </w:t>
      </w:r>
      <w:proofErr w:type="spellStart"/>
      <w:r>
        <w:t>APVMA</w:t>
      </w:r>
      <w:proofErr w:type="spellEnd"/>
      <w:r>
        <w:t xml:space="preserve"> under </w:t>
      </w:r>
      <w:r w:rsidR="002F1455">
        <w:t>subparagraph</w:t>
      </w:r>
      <w:r>
        <w:t xml:space="preserve"> 8A(a)(v) of the </w:t>
      </w:r>
      <w:proofErr w:type="spellStart"/>
      <w:r>
        <w:t>Agvet</w:t>
      </w:r>
      <w:proofErr w:type="spellEnd"/>
      <w:r>
        <w:t xml:space="preserve"> Code</w:t>
      </w:r>
      <w:r w:rsidR="002F1455">
        <w:t xml:space="preserve"> (application requirements)</w:t>
      </w:r>
      <w:r>
        <w:t xml:space="preserve">, and the related instrument </w:t>
      </w:r>
      <w:r w:rsidR="002F1455">
        <w:t xml:space="preserve">for </w:t>
      </w:r>
      <w:r>
        <w:t>s</w:t>
      </w:r>
      <w:r w:rsidR="002F1455">
        <w:t>ection</w:t>
      </w:r>
      <w:r>
        <w:t xml:space="preserve"> 8B of the </w:t>
      </w:r>
      <w:proofErr w:type="spellStart"/>
      <w:r>
        <w:t>Agvet</w:t>
      </w:r>
      <w:proofErr w:type="spellEnd"/>
      <w:r>
        <w:t xml:space="preserve"> Code</w:t>
      </w:r>
      <w:r w:rsidR="002F1455">
        <w:t xml:space="preserve"> (information to be provided with applications)</w:t>
      </w:r>
      <w:r>
        <w:t>.</w:t>
      </w:r>
      <w:r w:rsidR="00BF2281" w:rsidRPr="00BF2281">
        <w:t xml:space="preserve"> </w:t>
      </w:r>
      <w:r w:rsidR="00BF2281">
        <w:t>Prescribing this kind of variation improves efficiency by simplifying the processes for varying this particular.</w:t>
      </w:r>
    </w:p>
    <w:p w:rsidR="00A1565C" w:rsidRDefault="00A1565C">
      <w:pPr>
        <w:spacing w:line="252" w:lineRule="auto"/>
      </w:pPr>
    </w:p>
    <w:p w:rsidR="00913DE3" w:rsidRDefault="00913DE3" w:rsidP="00913DE3">
      <w:pPr>
        <w:rPr>
          <w:b/>
        </w:rPr>
      </w:pPr>
      <w:r>
        <w:rPr>
          <w:b/>
        </w:rPr>
        <w:t xml:space="preserve">Item </w:t>
      </w:r>
      <w:r w:rsidR="00B4678D">
        <w:rPr>
          <w:b/>
        </w:rPr>
        <w:t>9</w:t>
      </w:r>
      <w:r>
        <w:rPr>
          <w:b/>
        </w:rPr>
        <w:t xml:space="preserve"> – </w:t>
      </w:r>
      <w:r w:rsidR="00F2746C">
        <w:rPr>
          <w:b/>
        </w:rPr>
        <w:t xml:space="preserve">new </w:t>
      </w:r>
      <w:proofErr w:type="spellStart"/>
      <w:r w:rsidR="00F2746C">
        <w:rPr>
          <w:b/>
        </w:rPr>
        <w:t>s</w:t>
      </w:r>
      <w:r>
        <w:rPr>
          <w:b/>
        </w:rPr>
        <w:t>ubregulation</w:t>
      </w:r>
      <w:proofErr w:type="spellEnd"/>
      <w:r>
        <w:rPr>
          <w:b/>
        </w:rPr>
        <w:t xml:space="preserve"> 76(1</w:t>
      </w:r>
      <w:r w:rsidR="00F2746C">
        <w:rPr>
          <w:b/>
        </w:rPr>
        <w:t>B</w:t>
      </w:r>
      <w:r>
        <w:rPr>
          <w:b/>
        </w:rPr>
        <w:t>)</w:t>
      </w:r>
    </w:p>
    <w:p w:rsidR="00404F2A" w:rsidRDefault="00404F2A" w:rsidP="00913DE3">
      <w:pPr>
        <w:spacing w:after="60" w:line="252" w:lineRule="auto"/>
      </w:pPr>
    </w:p>
    <w:p w:rsidR="00BF2281" w:rsidRDefault="003D1186">
      <w:pPr>
        <w:spacing w:line="252" w:lineRule="auto"/>
      </w:pPr>
      <w:r>
        <w:t>For the authorit</w:t>
      </w:r>
      <w:r w:rsidR="00B8705E">
        <w:t>y</w:t>
      </w:r>
      <w:r>
        <w:t xml:space="preserve"> in subsection 165(1) of the </w:t>
      </w:r>
      <w:proofErr w:type="spellStart"/>
      <w:r>
        <w:t>Agvet</w:t>
      </w:r>
      <w:proofErr w:type="spellEnd"/>
      <w:r>
        <w:t xml:space="preserve"> Code, i</w:t>
      </w:r>
      <w:r w:rsidR="00305C4E" w:rsidRPr="00305C4E">
        <w:t xml:space="preserve">tem </w:t>
      </w:r>
      <w:r w:rsidR="00B4678D">
        <w:t>9</w:t>
      </w:r>
      <w:r w:rsidR="00305C4E" w:rsidRPr="00305C4E">
        <w:t xml:space="preserve"> inserts a new </w:t>
      </w:r>
      <w:proofErr w:type="spellStart"/>
      <w:r w:rsidR="00305C4E" w:rsidRPr="00305C4E">
        <w:t>subregulation</w:t>
      </w:r>
      <w:proofErr w:type="spellEnd"/>
      <w:r w:rsidR="00305C4E" w:rsidRPr="00305C4E">
        <w:t xml:space="preserve"> 76(1</w:t>
      </w:r>
      <w:r w:rsidR="00FD4D19">
        <w:t>B</w:t>
      </w:r>
      <w:r w:rsidR="00305C4E" w:rsidRPr="00305C4E">
        <w:t>) to improve efficiency by simplifying the process for registering</w:t>
      </w:r>
      <w:r w:rsidR="005E0511">
        <w:t>,</w:t>
      </w:r>
      <w:r w:rsidR="00305C4E" w:rsidRPr="00305C4E">
        <w:t xml:space="preserve"> or varying </w:t>
      </w:r>
      <w:r w:rsidR="00AD1CA4">
        <w:t>the particulars of</w:t>
      </w:r>
      <w:r w:rsidR="005E0511">
        <w:t>,</w:t>
      </w:r>
      <w:r w:rsidR="00AD1CA4">
        <w:t xml:space="preserve"> </w:t>
      </w:r>
      <w:r w:rsidR="00305C4E" w:rsidRPr="00305C4E">
        <w:t>a suite of chemical products.</w:t>
      </w:r>
      <w:r w:rsidR="00404F2A" w:rsidRPr="00404F2A">
        <w:t xml:space="preserve"> </w:t>
      </w:r>
      <w:r w:rsidR="00305C4E" w:rsidRPr="00305C4E">
        <w:t>This reform provide</w:t>
      </w:r>
      <w:r w:rsidR="004A696F">
        <w:t>s</w:t>
      </w:r>
      <w:r w:rsidR="00305C4E" w:rsidRPr="00305C4E">
        <w:t xml:space="preserve"> applicants with the ability to link applications and decision dates </w:t>
      </w:r>
      <w:r w:rsidR="007D00B7">
        <w:t xml:space="preserve">on those applications </w:t>
      </w:r>
      <w:r w:rsidR="00305C4E" w:rsidRPr="00305C4E">
        <w:t>to concurrent decisions o</w:t>
      </w:r>
      <w:r w:rsidR="00F55EE0">
        <w:t>n</w:t>
      </w:r>
      <w:r w:rsidR="00305C4E" w:rsidRPr="00305C4E">
        <w:t xml:space="preserve"> registration</w:t>
      </w:r>
      <w:r w:rsidR="00F55EE0">
        <w:t>,</w:t>
      </w:r>
      <w:r w:rsidR="00305C4E" w:rsidRPr="00305C4E">
        <w:t xml:space="preserve"> or variation</w:t>
      </w:r>
      <w:r w:rsidR="00F55EE0">
        <w:t>s</w:t>
      </w:r>
      <w:r w:rsidR="00305C4E" w:rsidRPr="00305C4E">
        <w:t xml:space="preserve"> of </w:t>
      </w:r>
      <w:r w:rsidR="00F55EE0">
        <w:t xml:space="preserve">particulars, of </w:t>
      </w:r>
      <w:r w:rsidR="00305C4E" w:rsidRPr="00305C4E">
        <w:t xml:space="preserve">a suite of products. </w:t>
      </w:r>
    </w:p>
    <w:p w:rsidR="00BF2281" w:rsidRDefault="00BF2281">
      <w:pPr>
        <w:spacing w:line="252" w:lineRule="auto"/>
      </w:pPr>
    </w:p>
    <w:p w:rsidR="00BF2281" w:rsidRDefault="00BF2281" w:rsidP="001144EB">
      <w:pPr>
        <w:spacing w:line="252" w:lineRule="auto"/>
      </w:pPr>
      <w:r>
        <w:t xml:space="preserve">Industry may make several applications for a suite of products containing the same chemical in different concentrations. </w:t>
      </w:r>
      <w:r w:rsidR="001144EB" w:rsidRPr="001144EB">
        <w:t xml:space="preserve">Examples of suites of </w:t>
      </w:r>
      <w:proofErr w:type="spellStart"/>
      <w:r w:rsidR="001144EB" w:rsidRPr="001144EB">
        <w:t>agvet</w:t>
      </w:r>
      <w:proofErr w:type="spellEnd"/>
      <w:r w:rsidR="001144EB" w:rsidRPr="001144EB">
        <w:t xml:space="preserve"> chemical products are products with the same active constituent but different formulation types (granule, powder and concentrate) or a product range for large, medium and small dogs.</w:t>
      </w:r>
      <w:r w:rsidR="001144EB">
        <w:t xml:space="preserve"> </w:t>
      </w:r>
      <w:r>
        <w:t>For efficiency, the data for these applications are assessed once with the primary application and not reassessed for the related applications (secondary applications).</w:t>
      </w:r>
    </w:p>
    <w:p w:rsidR="00A1565C" w:rsidRDefault="00A1565C">
      <w:pPr>
        <w:spacing w:line="252" w:lineRule="auto"/>
      </w:pPr>
    </w:p>
    <w:p w:rsidR="00BF2281" w:rsidRDefault="00404F2A">
      <w:pPr>
        <w:spacing w:line="252" w:lineRule="auto"/>
      </w:pPr>
      <w:proofErr w:type="spellStart"/>
      <w:r>
        <w:t>APVMA</w:t>
      </w:r>
      <w:proofErr w:type="spellEnd"/>
      <w:r>
        <w:t xml:space="preserve"> application </w:t>
      </w:r>
      <w:r w:rsidRPr="001801CE">
        <w:t>timeframes and fees</w:t>
      </w:r>
      <w:r w:rsidRPr="001801CE" w:rsidDel="00C26E8A">
        <w:t xml:space="preserve"> </w:t>
      </w:r>
      <w:r w:rsidR="004A696F">
        <w:t>a</w:t>
      </w:r>
      <w:r w:rsidRPr="001801CE">
        <w:t>re proportionate to the assessment effort required</w:t>
      </w:r>
      <w:r w:rsidRPr="009A60C2">
        <w:t>.</w:t>
      </w:r>
      <w:r>
        <w:t xml:space="preserve"> </w:t>
      </w:r>
      <w:r w:rsidRPr="009A60C2">
        <w:t xml:space="preserve">In circumstances where a </w:t>
      </w:r>
      <w:r>
        <w:t xml:space="preserve">secondary </w:t>
      </w:r>
      <w:r w:rsidRPr="001801CE">
        <w:t>application</w:t>
      </w:r>
      <w:r w:rsidRPr="009A60C2">
        <w:t xml:space="preserve"> relie</w:t>
      </w:r>
      <w:r w:rsidR="004A696F">
        <w:t>d</w:t>
      </w:r>
      <w:r w:rsidRPr="009A60C2">
        <w:t xml:space="preserve"> on data contained in a primary application</w:t>
      </w:r>
      <w:r>
        <w:t>, and</w:t>
      </w:r>
      <w:r w:rsidRPr="009A60C2">
        <w:t xml:space="preserve"> where satisfaction </w:t>
      </w:r>
      <w:r>
        <w:t xml:space="preserve">about the secondary application </w:t>
      </w:r>
      <w:r w:rsidR="004A696F">
        <w:t>wa</w:t>
      </w:r>
      <w:r w:rsidRPr="009A60C2">
        <w:t xml:space="preserve">s being drawn from the primary application, </w:t>
      </w:r>
      <w:r w:rsidR="00F55EE0">
        <w:t xml:space="preserve">then </w:t>
      </w:r>
      <w:r w:rsidRPr="009A60C2">
        <w:t xml:space="preserve">the determination timeframe </w:t>
      </w:r>
      <w:r w:rsidR="004A696F">
        <w:t>wa</w:t>
      </w:r>
      <w:r w:rsidRPr="009A60C2">
        <w:t xml:space="preserve">s less for the related </w:t>
      </w:r>
      <w:r w:rsidR="00897626">
        <w:t>secondary application</w:t>
      </w:r>
      <w:r w:rsidRPr="009A60C2">
        <w:t>.</w:t>
      </w:r>
      <w:r w:rsidR="00897626">
        <w:t xml:space="preserve"> </w:t>
      </w:r>
      <w:r w:rsidR="00AD1CA4">
        <w:t>However, t</w:t>
      </w:r>
      <w:r w:rsidRPr="009A60C2">
        <w:t xml:space="preserve">his </w:t>
      </w:r>
      <w:r w:rsidR="00F55EE0">
        <w:t xml:space="preserve">process </w:t>
      </w:r>
      <w:r w:rsidR="00897626">
        <w:t>mean</w:t>
      </w:r>
      <w:r w:rsidR="004A696F">
        <w:t>t</w:t>
      </w:r>
      <w:r w:rsidR="00897626">
        <w:t xml:space="preserve"> </w:t>
      </w:r>
      <w:r w:rsidRPr="009A60C2">
        <w:t xml:space="preserve">that the </w:t>
      </w:r>
      <w:proofErr w:type="spellStart"/>
      <w:r w:rsidRPr="009A60C2">
        <w:t>APVMA</w:t>
      </w:r>
      <w:proofErr w:type="spellEnd"/>
      <w:r w:rsidRPr="009A60C2">
        <w:t xml:space="preserve"> </w:t>
      </w:r>
      <w:r w:rsidR="00F55EE0">
        <w:t xml:space="preserve">must </w:t>
      </w:r>
      <w:r w:rsidRPr="009A60C2">
        <w:t xml:space="preserve">either exceed a statutory timeframe or refuse </w:t>
      </w:r>
      <w:r w:rsidR="00F55EE0">
        <w:t xml:space="preserve">the second </w:t>
      </w:r>
      <w:r w:rsidRPr="009A60C2">
        <w:t xml:space="preserve">application as it </w:t>
      </w:r>
      <w:r w:rsidR="004A696F">
        <w:t xml:space="preserve">could not </w:t>
      </w:r>
      <w:r w:rsidRPr="009A60C2">
        <w:t xml:space="preserve">be satisfied of the statutory criteria </w:t>
      </w:r>
      <w:r w:rsidR="008F256B">
        <w:t xml:space="preserve">until the </w:t>
      </w:r>
      <w:r w:rsidRPr="009A60C2">
        <w:t>assessment of the primary application</w:t>
      </w:r>
      <w:r w:rsidR="008F256B">
        <w:t xml:space="preserve"> </w:t>
      </w:r>
      <w:r w:rsidR="004A696F">
        <w:t>wa</w:t>
      </w:r>
      <w:r w:rsidR="008F256B">
        <w:t>s complete</w:t>
      </w:r>
      <w:r w:rsidRPr="009A60C2">
        <w:t>.</w:t>
      </w:r>
      <w:r w:rsidR="008C4812">
        <w:t xml:space="preserve"> </w:t>
      </w:r>
    </w:p>
    <w:p w:rsidR="00BF2281" w:rsidRDefault="00BF2281">
      <w:pPr>
        <w:spacing w:line="252" w:lineRule="auto"/>
      </w:pPr>
    </w:p>
    <w:p w:rsidR="00A1565C" w:rsidRDefault="00404F2A" w:rsidP="007F65B0">
      <w:pPr>
        <w:spacing w:line="252" w:lineRule="auto"/>
      </w:pPr>
      <w:r>
        <w:t xml:space="preserve">The new measure </w:t>
      </w:r>
      <w:r w:rsidR="004A696F">
        <w:t xml:space="preserve">in </w:t>
      </w:r>
      <w:proofErr w:type="spellStart"/>
      <w:r w:rsidR="004A696F">
        <w:t>subregulation</w:t>
      </w:r>
      <w:proofErr w:type="spellEnd"/>
      <w:r w:rsidR="004A696F">
        <w:t xml:space="preserve"> 76(1B) </w:t>
      </w:r>
      <w:r w:rsidR="00AD1CA4">
        <w:t xml:space="preserve">addresses this problem by </w:t>
      </w:r>
      <w:r>
        <w:t>provid</w:t>
      </w:r>
      <w:r w:rsidR="00AD1CA4">
        <w:t>ing</w:t>
      </w:r>
      <w:r>
        <w:t xml:space="preserve"> for applicants to nominate an application </w:t>
      </w:r>
      <w:r w:rsidR="00897626">
        <w:t xml:space="preserve">(a secondary application) </w:t>
      </w:r>
      <w:r>
        <w:t>as a related application to another application</w:t>
      </w:r>
      <w:r w:rsidR="00897626">
        <w:t xml:space="preserve"> (the primary application)</w:t>
      </w:r>
      <w:r w:rsidR="00AD1CA4">
        <w:t xml:space="preserve"> and </w:t>
      </w:r>
      <w:r w:rsidR="005D0A27">
        <w:t xml:space="preserve">so to </w:t>
      </w:r>
      <w:r w:rsidR="00AD1CA4">
        <w:t xml:space="preserve">align the </w:t>
      </w:r>
      <w:r>
        <w:t xml:space="preserve">period within which the </w:t>
      </w:r>
      <w:r w:rsidR="00897626">
        <w:t xml:space="preserve">secondary </w:t>
      </w:r>
      <w:r>
        <w:t xml:space="preserve">application is to be determined with the timeframe for the </w:t>
      </w:r>
      <w:r w:rsidR="00897626">
        <w:t xml:space="preserve">primary </w:t>
      </w:r>
      <w:r>
        <w:t xml:space="preserve">application. </w:t>
      </w:r>
      <w:r w:rsidR="00BF2281" w:rsidRPr="00305C4E">
        <w:t xml:space="preserve">The </w:t>
      </w:r>
      <w:r w:rsidR="00BF2281">
        <w:t xml:space="preserve">amendment means that the </w:t>
      </w:r>
      <w:r w:rsidR="00BF2281" w:rsidRPr="00305C4E">
        <w:t>period for determining the second</w:t>
      </w:r>
      <w:r w:rsidR="00BF2281">
        <w:t>ary</w:t>
      </w:r>
      <w:r w:rsidR="00BF2281" w:rsidRPr="00305C4E">
        <w:t xml:space="preserve"> application</w:t>
      </w:r>
      <w:r w:rsidR="00BF2281">
        <w:t>s</w:t>
      </w:r>
      <w:r w:rsidR="00BF2281" w:rsidRPr="00305C4E">
        <w:t xml:space="preserve"> </w:t>
      </w:r>
      <w:r w:rsidR="00160ECC">
        <w:t>is</w:t>
      </w:r>
      <w:r w:rsidR="00BF2281" w:rsidRPr="00305C4E">
        <w:t xml:space="preserve"> coupled to that of the </w:t>
      </w:r>
      <w:r w:rsidR="00BF2281">
        <w:t>primary application</w:t>
      </w:r>
      <w:r w:rsidR="00BF2281" w:rsidRPr="00305C4E">
        <w:t xml:space="preserve">, nullifying the period that </w:t>
      </w:r>
      <w:r w:rsidR="005D0A27">
        <w:t xml:space="preserve">would otherwise </w:t>
      </w:r>
      <w:r w:rsidR="00BF2281" w:rsidRPr="00305C4E">
        <w:t>appl</w:t>
      </w:r>
      <w:r w:rsidR="005D0A27">
        <w:t>y</w:t>
      </w:r>
      <w:r w:rsidR="00BF2281" w:rsidRPr="00305C4E">
        <w:t xml:space="preserve"> to th</w:t>
      </w:r>
      <w:r w:rsidR="00BF2281">
        <w:t xml:space="preserve">ose secondary </w:t>
      </w:r>
      <w:r w:rsidR="00BF2281" w:rsidRPr="00305C4E">
        <w:t>application</w:t>
      </w:r>
      <w:r w:rsidR="00BF2281">
        <w:t>s</w:t>
      </w:r>
      <w:r w:rsidR="00BF2281" w:rsidRPr="00305C4E">
        <w:t xml:space="preserve"> if </w:t>
      </w:r>
      <w:r w:rsidR="00BF2281">
        <w:t xml:space="preserve">they </w:t>
      </w:r>
      <w:r w:rsidR="00BF2281" w:rsidRPr="00305C4E">
        <w:t xml:space="preserve">stood alone. </w:t>
      </w:r>
      <w:r w:rsidR="005D0A27">
        <w:t>B</w:t>
      </w:r>
      <w:r>
        <w:t xml:space="preserve">oth applications can </w:t>
      </w:r>
      <w:r w:rsidR="005D0A27">
        <w:t xml:space="preserve">then </w:t>
      </w:r>
      <w:r>
        <w:t xml:space="preserve">be determined by the same date. </w:t>
      </w:r>
      <w:r w:rsidR="00BF2281" w:rsidRPr="00305C4E">
        <w:t xml:space="preserve">The date for </w:t>
      </w:r>
      <w:r w:rsidR="005D0A27">
        <w:t xml:space="preserve">determining </w:t>
      </w:r>
      <w:r w:rsidR="00BF2281">
        <w:t xml:space="preserve">secondary applications </w:t>
      </w:r>
      <w:r w:rsidR="00BF2281" w:rsidRPr="00305C4E">
        <w:t>remain</w:t>
      </w:r>
      <w:r w:rsidR="004A696F">
        <w:t>s</w:t>
      </w:r>
      <w:r w:rsidR="00BF2281" w:rsidRPr="00305C4E">
        <w:t xml:space="preserve"> coupled </w:t>
      </w:r>
      <w:r w:rsidR="005D0A27">
        <w:t xml:space="preserve">to that of the primary application </w:t>
      </w:r>
      <w:r w:rsidR="00BF2281" w:rsidRPr="00305C4E">
        <w:t xml:space="preserve">if an extended assessment period is applied to the </w:t>
      </w:r>
      <w:r w:rsidR="00BF2281">
        <w:t xml:space="preserve">primary </w:t>
      </w:r>
      <w:r w:rsidR="00BF2281" w:rsidRPr="00305C4E">
        <w:t>application.</w:t>
      </w:r>
      <w:r w:rsidR="004B38E6">
        <w:t xml:space="preserve"> </w:t>
      </w:r>
      <w:r w:rsidR="00AD1A82">
        <w:t xml:space="preserve">An applicant may only nominate an application as a related application if both the related and primary applications have the same particulars recorded in the Register of Chemical </w:t>
      </w:r>
      <w:r w:rsidR="00AD1CA4">
        <w:t>P</w:t>
      </w:r>
      <w:r w:rsidR="00AD1A82">
        <w:t>roducts</w:t>
      </w:r>
      <w:r w:rsidR="00F2746C">
        <w:t xml:space="preserve"> as set in paragraph 76(1B)(e</w:t>
      </w:r>
      <w:r w:rsidR="00F2746C" w:rsidRPr="00765C4C">
        <w:t>).</w:t>
      </w:r>
      <w:r w:rsidR="007F65B0" w:rsidRPr="00765C4C">
        <w:t xml:space="preserve"> In addition, </w:t>
      </w:r>
      <w:r w:rsidR="009427DB" w:rsidRPr="00765C4C">
        <w:t xml:space="preserve">the primary application and the related application must be the same kind of application, that is, made under the same section of the </w:t>
      </w:r>
      <w:proofErr w:type="spellStart"/>
      <w:r w:rsidR="009427DB" w:rsidRPr="00765C4C">
        <w:t>Agvet</w:t>
      </w:r>
      <w:proofErr w:type="spellEnd"/>
      <w:r w:rsidR="009427DB" w:rsidRPr="00765C4C">
        <w:t xml:space="preserve"> Code. For example, this provision does not apply if a person makes a primary application mentioned under section 27 and a related application under section 10. </w:t>
      </w:r>
    </w:p>
    <w:p w:rsidR="00B4678D" w:rsidRDefault="00B4678D">
      <w:pPr>
        <w:spacing w:line="252" w:lineRule="auto"/>
      </w:pPr>
    </w:p>
    <w:p w:rsidR="00AC18FF" w:rsidRPr="00B4678D" w:rsidRDefault="00AC18FF" w:rsidP="00AC18FF">
      <w:pPr>
        <w:rPr>
          <w:b/>
        </w:rPr>
      </w:pPr>
      <w:r>
        <w:rPr>
          <w:b/>
        </w:rPr>
        <w:t xml:space="preserve">Items 10 and </w:t>
      </w:r>
      <w:r w:rsidRPr="00B4678D">
        <w:rPr>
          <w:b/>
        </w:rPr>
        <w:t>11 – Part 3 of Schedule 3AA</w:t>
      </w:r>
    </w:p>
    <w:p w:rsidR="00AC18FF" w:rsidRPr="002D5BF7" w:rsidRDefault="00AC18FF" w:rsidP="00AC18FF">
      <w:pPr>
        <w:rPr>
          <w:b/>
          <w:highlight w:val="yellow"/>
        </w:rPr>
      </w:pPr>
    </w:p>
    <w:p w:rsidR="00AC18FF" w:rsidRDefault="00AC18FF" w:rsidP="00AC18FF">
      <w:pPr>
        <w:tabs>
          <w:tab w:val="left" w:pos="1701"/>
          <w:tab w:val="right" w:pos="9072"/>
        </w:tabs>
        <w:ind w:right="91"/>
        <w:contextualSpacing/>
      </w:pPr>
      <w:r w:rsidRPr="00305C4E">
        <w:t xml:space="preserve">Item </w:t>
      </w:r>
      <w:r>
        <w:t>10</w:t>
      </w:r>
      <w:r w:rsidRPr="00305C4E">
        <w:t xml:space="preserve"> inserts a new item 1 in the table to clause 3 of Part 3 of Schedule 3AA. Paragraph 5(4)(b)</w:t>
      </w:r>
      <w:r w:rsidR="00232FC0">
        <w:t xml:space="preserve"> </w:t>
      </w:r>
      <w:r w:rsidRPr="00305C4E">
        <w:t xml:space="preserve">of the </w:t>
      </w:r>
      <w:proofErr w:type="spellStart"/>
      <w:r w:rsidRPr="00305C4E">
        <w:t>Agvet</w:t>
      </w:r>
      <w:proofErr w:type="spellEnd"/>
      <w:r w:rsidRPr="00305C4E">
        <w:t xml:space="preserve"> Code provides for a substance or mixture of substances to be declared by the regulations not to be a veterinary chemical product. </w:t>
      </w:r>
      <w:r>
        <w:t xml:space="preserve">For this authority and as specified by </w:t>
      </w:r>
      <w:proofErr w:type="spellStart"/>
      <w:r>
        <w:t>subregulation</w:t>
      </w:r>
      <w:proofErr w:type="spellEnd"/>
      <w:r>
        <w:t xml:space="preserve"> 8(2), the s</w:t>
      </w:r>
      <w:r w:rsidRPr="00305C4E">
        <w:t xml:space="preserve">ubstances listed in </w:t>
      </w:r>
      <w:r>
        <w:t xml:space="preserve">Division 3.1 of </w:t>
      </w:r>
      <w:r w:rsidRPr="00305C4E">
        <w:t xml:space="preserve">Part 3 of Schedule 3AA are substances declared not to be veterinary chemical products. These ‘excluded substances’ are not subject to the requirements in the </w:t>
      </w:r>
      <w:proofErr w:type="spellStart"/>
      <w:r w:rsidRPr="00305C4E">
        <w:t>Agvet</w:t>
      </w:r>
      <w:proofErr w:type="spellEnd"/>
      <w:r w:rsidRPr="00305C4E">
        <w:t xml:space="preserve"> Code. </w:t>
      </w:r>
    </w:p>
    <w:p w:rsidR="00AC18FF" w:rsidRDefault="00AC18FF" w:rsidP="00AC18FF">
      <w:pPr>
        <w:tabs>
          <w:tab w:val="left" w:pos="1701"/>
          <w:tab w:val="right" w:pos="9072"/>
        </w:tabs>
        <w:ind w:right="91"/>
        <w:contextualSpacing/>
      </w:pPr>
      <w:r w:rsidRPr="00305C4E">
        <w:t xml:space="preserve">  </w:t>
      </w:r>
    </w:p>
    <w:p w:rsidR="001613A1" w:rsidRDefault="00AC18FF" w:rsidP="00AC18FF">
      <w:pPr>
        <w:spacing w:line="252" w:lineRule="auto"/>
      </w:pPr>
      <w:r w:rsidRPr="00305C4E">
        <w:t xml:space="preserve">The new </w:t>
      </w:r>
      <w:r>
        <w:t xml:space="preserve">table </w:t>
      </w:r>
      <w:r w:rsidRPr="00305C4E">
        <w:t xml:space="preserve">item </w:t>
      </w:r>
      <w:r>
        <w:t xml:space="preserve">inserted by item 10 </w:t>
      </w:r>
      <w:r w:rsidRPr="00305C4E">
        <w:t xml:space="preserve">relates to an animal feed product that incorporates a nutritional or digestive product that is an excluded </w:t>
      </w:r>
      <w:r>
        <w:t xml:space="preserve">nutritional or digestive </w:t>
      </w:r>
      <w:r w:rsidRPr="00305C4E">
        <w:t xml:space="preserve">substance (see Division 3.2 of Part 3 of Schedule 3AA). This new measure means that animal feed products that incorporate these excluded nutritional or digestive substances are also excluded substances and therefore not subject to the </w:t>
      </w:r>
      <w:proofErr w:type="spellStart"/>
      <w:r w:rsidRPr="00305C4E">
        <w:t>Agvet</w:t>
      </w:r>
      <w:proofErr w:type="spellEnd"/>
      <w:r w:rsidRPr="00305C4E">
        <w:t xml:space="preserve"> Code. This measure ensures that the regulatory burden experienced for </w:t>
      </w:r>
      <w:r>
        <w:t xml:space="preserve">these </w:t>
      </w:r>
      <w:r w:rsidRPr="00305C4E">
        <w:t>products is proportional to their risk. Where</w:t>
      </w:r>
      <w:r>
        <w:t xml:space="preserve"> a substance is excluded then subsequent products are also excluded if they incorporate that substance and have claims consistent with that substance. </w:t>
      </w:r>
      <w:r w:rsidRPr="00305C4E">
        <w:t>This exclusion only applies if:</w:t>
      </w:r>
    </w:p>
    <w:p w:rsidR="00AC18FF" w:rsidRDefault="00AC18FF" w:rsidP="005D0A27">
      <w:pPr>
        <w:pStyle w:val="Dotpoint1"/>
      </w:pPr>
      <w:r w:rsidRPr="00305C4E">
        <w:t xml:space="preserve">the </w:t>
      </w:r>
      <w:r>
        <w:t xml:space="preserve">animal feed </w:t>
      </w:r>
      <w:r w:rsidRPr="00305C4E">
        <w:t>product is labelled in accordance with the instructions on the label for the container for the nutritional or digestive product; and</w:t>
      </w:r>
    </w:p>
    <w:p w:rsidR="00AC18FF" w:rsidRDefault="00AC18FF" w:rsidP="005D0A27">
      <w:pPr>
        <w:pStyle w:val="Dotpoint1"/>
      </w:pPr>
      <w:r w:rsidRPr="00305C4E">
        <w:t>the nutritional or digestive product has been incorporated at a rate of use in accordance with the label for the container for the nutritional or digestive product; and</w:t>
      </w:r>
    </w:p>
    <w:p w:rsidR="00AC18FF" w:rsidRDefault="00AC18FF" w:rsidP="005D0A27">
      <w:pPr>
        <w:pStyle w:val="Dotpoint1"/>
      </w:pPr>
      <w:r w:rsidRPr="00305C4E">
        <w:t xml:space="preserve">the claims for the </w:t>
      </w:r>
      <w:r>
        <w:t xml:space="preserve">animal feed </w:t>
      </w:r>
      <w:r w:rsidRPr="00305C4E">
        <w:t xml:space="preserve">product do not exceed those made for the incorporated nutritional or digestive product.    </w:t>
      </w:r>
    </w:p>
    <w:p w:rsidR="00AC18FF" w:rsidRDefault="00AC18FF" w:rsidP="00AC18FF">
      <w:pPr>
        <w:pStyle w:val="BodyText10"/>
        <w:spacing w:before="0"/>
      </w:pPr>
    </w:p>
    <w:p w:rsidR="00AC18FF" w:rsidRDefault="00AC18FF" w:rsidP="00AC18FF">
      <w:pPr>
        <w:tabs>
          <w:tab w:val="left" w:pos="1701"/>
          <w:tab w:val="right" w:pos="9072"/>
        </w:tabs>
        <w:ind w:right="91"/>
        <w:contextualSpacing/>
      </w:pPr>
      <w:r w:rsidRPr="00305C4E">
        <w:t xml:space="preserve">Item </w:t>
      </w:r>
      <w:r>
        <w:t>11</w:t>
      </w:r>
      <w:r w:rsidRPr="00305C4E">
        <w:t xml:space="preserve"> inserts a new entry in the table to subclause 5(3) of Part 3 of Schedule 3AA to include an additional reference for ingredients that are permitted in excluded nutritional or digestive substances. These ‘excluded substances’ are not subject to the requirements in the </w:t>
      </w:r>
      <w:proofErr w:type="spellStart"/>
      <w:r w:rsidRPr="00305C4E">
        <w:t>Agvet</w:t>
      </w:r>
      <w:proofErr w:type="spellEnd"/>
      <w:r w:rsidRPr="00305C4E">
        <w:t xml:space="preserve"> Code. </w:t>
      </w:r>
    </w:p>
    <w:p w:rsidR="00AC18FF" w:rsidRDefault="00AC18FF" w:rsidP="00AC18FF">
      <w:pPr>
        <w:pStyle w:val="BodyText10"/>
        <w:spacing w:before="0"/>
      </w:pPr>
      <w:r w:rsidRPr="00305C4E">
        <w:t xml:space="preserve">This reference </w:t>
      </w:r>
      <w:r>
        <w:t xml:space="preserve">is in </w:t>
      </w:r>
      <w:r w:rsidRPr="00305C4E">
        <w:t xml:space="preserve">addition to the eight prescribed lists of ingredients that are currently permitted in excluded nutritional or digestive substances. The new reference is for the substances listed in Part 1 of Schedules IV and V to the Feeds Regulations of Canada, as at the time of the supply of the substance. The effect of this amendment is to specify additional ingredients (those in Part 1 of Schedules IV and V to the Feeds Regulations of Canada) that may be present in these excluded nutritional and digestive substances, so that substances containing only these ingredients are not subject to the </w:t>
      </w:r>
      <w:proofErr w:type="spellStart"/>
      <w:r w:rsidRPr="00305C4E">
        <w:t>Agvet</w:t>
      </w:r>
      <w:proofErr w:type="spellEnd"/>
      <w:r w:rsidRPr="00305C4E">
        <w:t xml:space="preserve"> Code. As authorised by subsection 6(3) of the </w:t>
      </w:r>
      <w:r w:rsidRPr="00305C4E">
        <w:rPr>
          <w:i/>
        </w:rPr>
        <w:t>Agricultural and Veterinary Chemicals Code Act 1994</w:t>
      </w:r>
      <w:r w:rsidRPr="00305C4E">
        <w:t xml:space="preserve">, and as specified in </w:t>
      </w:r>
      <w:proofErr w:type="spellStart"/>
      <w:r w:rsidRPr="00305C4E">
        <w:t>subregulation</w:t>
      </w:r>
      <w:proofErr w:type="spellEnd"/>
      <w:r w:rsidRPr="00305C4E">
        <w:t xml:space="preserve"> 3(2), the reference to ingredients in Part 1 of Schedules IV and V to the Feeds Regulations of Canada applies as modified</w:t>
      </w:r>
      <w:r w:rsidR="005D0A27">
        <w:t xml:space="preserve"> or amended from time to time.</w:t>
      </w:r>
    </w:p>
    <w:p w:rsidR="00552803" w:rsidRDefault="00552803" w:rsidP="00552803">
      <w:pPr>
        <w:pStyle w:val="Heading3"/>
      </w:pPr>
      <w:bookmarkStart w:id="79" w:name="_Toc435450364"/>
      <w:bookmarkStart w:id="80" w:name="_Toc435450493"/>
      <w:r>
        <w:t>Schedule 3 – Amendments commencing 1 July 2016</w:t>
      </w:r>
      <w:bookmarkEnd w:id="79"/>
      <w:bookmarkEnd w:id="80"/>
    </w:p>
    <w:p w:rsidR="00C23ACB" w:rsidRDefault="00C23ACB" w:rsidP="00C23ACB">
      <w:r w:rsidRPr="00C23ACB">
        <w:t xml:space="preserve">Chemical manufacturers have advised that significant effort is expended in making routine applications to the </w:t>
      </w:r>
      <w:proofErr w:type="spellStart"/>
      <w:r w:rsidRPr="00C23ACB">
        <w:t>APVMA</w:t>
      </w:r>
      <w:proofErr w:type="spellEnd"/>
      <w:r w:rsidRPr="00C23ACB">
        <w:t xml:space="preserve"> to amend mundane information about the constituents of products. Often changes are made only to respond to changes in supply arrangements for chemical manufacturers and have no effect on the safety or efficacy of the product.</w:t>
      </w:r>
      <w:r>
        <w:t xml:space="preserve"> The measures in this Schedule </w:t>
      </w:r>
      <w:r w:rsidRPr="00C23ACB">
        <w:t xml:space="preserve">provide a streamlined mechanism to allow substitution of non-active constituents in </w:t>
      </w:r>
      <w:r w:rsidR="00C929A0">
        <w:t xml:space="preserve">the </w:t>
      </w:r>
      <w:r w:rsidRPr="00C23ACB">
        <w:t>formulation of a registered chemical product in limited circumstances.</w:t>
      </w:r>
      <w:r>
        <w:t xml:space="preserve"> This is achieved through prescribing an additional ‘notifiable variation’ and a new kind of ‘prescribed variation’, so that the simplified processes in Division 2AA and Division 2A of the </w:t>
      </w:r>
      <w:proofErr w:type="spellStart"/>
      <w:r>
        <w:t>Agvet</w:t>
      </w:r>
      <w:proofErr w:type="spellEnd"/>
      <w:r>
        <w:t xml:space="preserve"> Code apply to these variations. </w:t>
      </w:r>
    </w:p>
    <w:p w:rsidR="00C23ACB" w:rsidRDefault="00C23ACB" w:rsidP="00C23ACB">
      <w:pPr>
        <w:pStyle w:val="Heading4"/>
      </w:pPr>
      <w:bookmarkStart w:id="81" w:name="_Toc435450365"/>
      <w:bookmarkStart w:id="82" w:name="_Toc435450494"/>
      <w:r>
        <w:t>Agricultural and Veterinary Chemicals Code Regulations 1995</w:t>
      </w:r>
      <w:bookmarkEnd w:id="81"/>
      <w:bookmarkEnd w:id="82"/>
      <w:r>
        <w:t xml:space="preserve"> </w:t>
      </w:r>
    </w:p>
    <w:p w:rsidR="0081414C" w:rsidRDefault="0081414C" w:rsidP="005D0A27">
      <w:pPr>
        <w:keepNext/>
        <w:spacing w:before="240"/>
        <w:rPr>
          <w:b/>
        </w:rPr>
      </w:pPr>
      <w:r>
        <w:rPr>
          <w:b/>
        </w:rPr>
        <w:t xml:space="preserve">Items 1, 3, 4, 6, 7 – </w:t>
      </w:r>
      <w:proofErr w:type="spellStart"/>
      <w:r>
        <w:rPr>
          <w:b/>
        </w:rPr>
        <w:t>Subregulation</w:t>
      </w:r>
      <w:proofErr w:type="spellEnd"/>
      <w:r>
        <w:rPr>
          <w:b/>
        </w:rPr>
        <w:t xml:space="preserve"> 3(1), </w:t>
      </w:r>
      <w:proofErr w:type="spellStart"/>
      <w:r>
        <w:rPr>
          <w:b/>
        </w:rPr>
        <w:t>subregulation</w:t>
      </w:r>
      <w:proofErr w:type="spellEnd"/>
      <w:r>
        <w:rPr>
          <w:b/>
        </w:rPr>
        <w:t xml:space="preserve"> 19AE, new regulations 19AEA, 19AEB, 19AEC, paragraph 78C(c), Part 2 of Schedule 6 </w:t>
      </w:r>
    </w:p>
    <w:p w:rsidR="005D0A27" w:rsidRDefault="005D0A27" w:rsidP="005D0A27">
      <w:pPr>
        <w:keepNext/>
        <w:spacing w:line="252" w:lineRule="auto"/>
      </w:pPr>
    </w:p>
    <w:p w:rsidR="00A1565C" w:rsidRDefault="0081414C">
      <w:pPr>
        <w:spacing w:line="252" w:lineRule="auto"/>
      </w:pPr>
      <w:r w:rsidRPr="00380A94">
        <w:t>Item</w:t>
      </w:r>
      <w:r w:rsidR="009D4F3A">
        <w:t>s</w:t>
      </w:r>
      <w:r>
        <w:t xml:space="preserve"> 1,</w:t>
      </w:r>
      <w:r w:rsidR="009D4F3A">
        <w:t xml:space="preserve"> </w:t>
      </w:r>
      <w:r>
        <w:t>3</w:t>
      </w:r>
      <w:r w:rsidR="009D4F3A">
        <w:t>,</w:t>
      </w:r>
      <w:r>
        <w:t xml:space="preserve"> 4, 6 and 7 insert new measures </w:t>
      </w:r>
      <w:r w:rsidR="00667F90">
        <w:t xml:space="preserve">into the Principal Code Regulations </w:t>
      </w:r>
      <w:r>
        <w:t xml:space="preserve">to </w:t>
      </w:r>
      <w:r w:rsidR="00F1586C">
        <w:t xml:space="preserve">provide </w:t>
      </w:r>
      <w:r w:rsidR="00305C4E" w:rsidRPr="00305C4E">
        <w:t>for simplified formulation variations. For</w:t>
      </w:r>
      <w:r w:rsidR="005961ED">
        <w:t xml:space="preserve"> the authority in paragraph 26A</w:t>
      </w:r>
      <w:r w:rsidR="00FB7B85">
        <w:t>B</w:t>
      </w:r>
      <w:r w:rsidR="005961ED">
        <w:t>(</w:t>
      </w:r>
      <w:r w:rsidR="00FB7B85">
        <w:t>3</w:t>
      </w:r>
      <w:r w:rsidR="005961ED">
        <w:t>)(</w:t>
      </w:r>
      <w:r w:rsidR="00FB7B85">
        <w:t>a</w:t>
      </w:r>
      <w:r w:rsidR="005961ED">
        <w:t>)</w:t>
      </w:r>
      <w:r w:rsidR="00FB7B85">
        <w:t>(ii)</w:t>
      </w:r>
      <w:r w:rsidR="005961ED">
        <w:t xml:space="preserve"> of the </w:t>
      </w:r>
      <w:proofErr w:type="spellStart"/>
      <w:r w:rsidR="005961ED">
        <w:t>Agvet</w:t>
      </w:r>
      <w:proofErr w:type="spellEnd"/>
      <w:r w:rsidR="005961ED">
        <w:t xml:space="preserve"> Code, t</w:t>
      </w:r>
      <w:r w:rsidR="00461C6F">
        <w:t xml:space="preserve">his is achieved by introducing </w:t>
      </w:r>
      <w:r w:rsidR="005961ED">
        <w:t xml:space="preserve">a </w:t>
      </w:r>
      <w:r w:rsidR="00461C6F">
        <w:t xml:space="preserve">new </w:t>
      </w:r>
      <w:r w:rsidR="00C50BF2">
        <w:t xml:space="preserve">kind of </w:t>
      </w:r>
      <w:r w:rsidR="006052C7">
        <w:t>‘</w:t>
      </w:r>
      <w:r w:rsidR="00461C6F" w:rsidRPr="006052C7">
        <w:t>notifiable variation</w:t>
      </w:r>
      <w:r w:rsidR="006052C7">
        <w:t>’</w:t>
      </w:r>
      <w:r w:rsidR="00461C6F">
        <w:t xml:space="preserve"> </w:t>
      </w:r>
      <w:r w:rsidR="00403835">
        <w:t xml:space="preserve">for </w:t>
      </w:r>
      <w:r w:rsidR="00461C6F">
        <w:t xml:space="preserve">some particulars of a chemical product registration. </w:t>
      </w:r>
      <w:r w:rsidR="00E1266B">
        <w:t xml:space="preserve">Division 2AA of the </w:t>
      </w:r>
      <w:proofErr w:type="spellStart"/>
      <w:r w:rsidR="00E1266B">
        <w:t>Agvet</w:t>
      </w:r>
      <w:proofErr w:type="spellEnd"/>
      <w:r w:rsidR="00E1266B">
        <w:t xml:space="preserve"> Code specifies how notifiable variations of relevant particulars are made</w:t>
      </w:r>
      <w:r w:rsidR="00C50BF2">
        <w:t xml:space="preserve"> and is a simplified process for varying the particulars of an approval or registration</w:t>
      </w:r>
      <w:r w:rsidR="00E1266B">
        <w:t xml:space="preserve">. </w:t>
      </w:r>
      <w:r w:rsidR="00461C6F">
        <w:t xml:space="preserve">The </w:t>
      </w:r>
      <w:r w:rsidR="00C50BF2">
        <w:t xml:space="preserve">prescribed notifiable </w:t>
      </w:r>
      <w:r w:rsidR="00461C6F">
        <w:t xml:space="preserve">variations allow for formulation changes </w:t>
      </w:r>
      <w:r w:rsidR="00E1266B">
        <w:t xml:space="preserve">to be made </w:t>
      </w:r>
      <w:r w:rsidR="00C50BF2">
        <w:t xml:space="preserve">to a chemical product </w:t>
      </w:r>
      <w:r w:rsidR="00E1266B">
        <w:t xml:space="preserve">where these </w:t>
      </w:r>
      <w:r w:rsidR="00C50BF2">
        <w:t>changes</w:t>
      </w:r>
      <w:r w:rsidR="00E1266B">
        <w:t xml:space="preserve"> </w:t>
      </w:r>
      <w:r w:rsidR="00461C6F">
        <w:t xml:space="preserve">do not require an assessment by </w:t>
      </w:r>
      <w:proofErr w:type="spellStart"/>
      <w:r w:rsidR="00461C6F">
        <w:t>APVMA</w:t>
      </w:r>
      <w:proofErr w:type="spellEnd"/>
      <w:r w:rsidR="00461C6F">
        <w:t xml:space="preserve">. The permitted formulation changes relate to the substitution of </w:t>
      </w:r>
      <w:r w:rsidR="00E1266B">
        <w:t xml:space="preserve">certain </w:t>
      </w:r>
      <w:r w:rsidR="00461C6F">
        <w:t>non-active constituents only</w:t>
      </w:r>
      <w:r w:rsidR="00E1266B">
        <w:t xml:space="preserve"> and only for a certain number of constituents</w:t>
      </w:r>
      <w:r w:rsidR="00461C6F">
        <w:t xml:space="preserve">. </w:t>
      </w:r>
    </w:p>
    <w:p w:rsidR="00A1565C" w:rsidRDefault="00A1565C">
      <w:pPr>
        <w:spacing w:line="252" w:lineRule="auto"/>
      </w:pPr>
    </w:p>
    <w:p w:rsidR="00A1565C" w:rsidRDefault="00461C6F">
      <w:r>
        <w:t xml:space="preserve">The variations </w:t>
      </w:r>
      <w:r w:rsidR="00C50BF2">
        <w:t xml:space="preserve">are </w:t>
      </w:r>
      <w:r>
        <w:t xml:space="preserve">implemented through the </w:t>
      </w:r>
      <w:proofErr w:type="spellStart"/>
      <w:r>
        <w:t>APVMA</w:t>
      </w:r>
      <w:proofErr w:type="spellEnd"/>
      <w:r>
        <w:t xml:space="preserve"> maintaining a list of interchangeable constituents – interchangeable constituent determinations – which allow</w:t>
      </w:r>
      <w:r w:rsidR="004A696F">
        <w:t>s</w:t>
      </w:r>
      <w:r>
        <w:t xml:space="preserve"> holders of registration to substitute constituents according to this list and notify the </w:t>
      </w:r>
      <w:proofErr w:type="spellStart"/>
      <w:r>
        <w:t>APVMA</w:t>
      </w:r>
      <w:proofErr w:type="spellEnd"/>
      <w:r>
        <w:t xml:space="preserve"> of the change</w:t>
      </w:r>
      <w:r w:rsidR="007E62C5">
        <w:t xml:space="preserve"> through a notifiable variation under </w:t>
      </w:r>
      <w:r w:rsidR="00C50BF2">
        <w:t xml:space="preserve">the simplified processes for variation in Division 2AA of the </w:t>
      </w:r>
      <w:proofErr w:type="spellStart"/>
      <w:r w:rsidR="00C50BF2">
        <w:t>Agvet</w:t>
      </w:r>
      <w:proofErr w:type="spellEnd"/>
      <w:r w:rsidR="00C50BF2">
        <w:t xml:space="preserve"> Code</w:t>
      </w:r>
      <w:r>
        <w:t>.</w:t>
      </w:r>
    </w:p>
    <w:p w:rsidR="00A1565C" w:rsidRDefault="00A1565C"/>
    <w:p w:rsidR="00A1565C" w:rsidRDefault="00461C6F">
      <w:r>
        <w:t xml:space="preserve">Item 1 inserts a new definition of ‘interchangeable constituent determination’. </w:t>
      </w:r>
      <w:r w:rsidR="00E1266B">
        <w:t xml:space="preserve">Item 3 inserts a new kind of notifiable variation in the table to regulation 19AE to allow the variation of one or more constituents of a chemical product. The constituents to be varied must be </w:t>
      </w:r>
      <w:r w:rsidR="00954131">
        <w:t xml:space="preserve">listed </w:t>
      </w:r>
      <w:r w:rsidR="00E1266B">
        <w:t xml:space="preserve">in an interchangeable constituent determination made by the </w:t>
      </w:r>
      <w:proofErr w:type="spellStart"/>
      <w:r w:rsidR="00E1266B">
        <w:t>APVMA</w:t>
      </w:r>
      <w:proofErr w:type="spellEnd"/>
      <w:r w:rsidR="00E1266B">
        <w:t xml:space="preserve">. In addition, the number of constituents that can be varied is limited to </w:t>
      </w:r>
      <w:r w:rsidR="003C0DA1">
        <w:t>two</w:t>
      </w:r>
      <w:r w:rsidR="00E1266B">
        <w:t xml:space="preserve"> in the case of products containing less than </w:t>
      </w:r>
      <w:r w:rsidR="003C0DA1">
        <w:t>nine</w:t>
      </w:r>
      <w:r w:rsidR="00E1266B">
        <w:t xml:space="preserve"> constituents</w:t>
      </w:r>
      <w:r w:rsidR="004B2F01">
        <w:t>,</w:t>
      </w:r>
      <w:r w:rsidR="00E1266B">
        <w:t xml:space="preserve"> or a number that is no more than 25</w:t>
      </w:r>
      <w:r w:rsidR="00DC2BC8">
        <w:t xml:space="preserve"> per cent</w:t>
      </w:r>
      <w:r w:rsidR="00E1266B">
        <w:t xml:space="preserve"> of the number of constituents in the case of products containing </w:t>
      </w:r>
      <w:r w:rsidR="003C0DA1">
        <w:t>nine</w:t>
      </w:r>
      <w:r w:rsidR="00E1266B">
        <w:t xml:space="preserve"> or more constituents. </w:t>
      </w:r>
      <w:r w:rsidR="00E27AA6">
        <w:t xml:space="preserve">This restriction is to prevent a large number of constituents being varied and to ensure that these notifiable variations do not affect the </w:t>
      </w:r>
      <w:proofErr w:type="spellStart"/>
      <w:r w:rsidR="00E27AA6">
        <w:t>APVMA’s</w:t>
      </w:r>
      <w:proofErr w:type="spellEnd"/>
      <w:r w:rsidR="00E27AA6">
        <w:t xml:space="preserve"> satisfaction about whether the product continues to meet the safety criteria, trade criteria, efficacy criteria and labelling criteria. </w:t>
      </w:r>
      <w:r w:rsidR="00E1266B">
        <w:t xml:space="preserve"> </w:t>
      </w:r>
    </w:p>
    <w:p w:rsidR="00A1565C" w:rsidRDefault="00A1565C"/>
    <w:p w:rsidR="00A1565C" w:rsidRDefault="003C6546">
      <w:pPr>
        <w:spacing w:line="252" w:lineRule="auto"/>
      </w:pPr>
      <w:r>
        <w:t>Item 4 inserts new regulations 19AEA, 19AEB and 19AEC</w:t>
      </w:r>
      <w:r w:rsidR="00667F90">
        <w:t xml:space="preserve"> into the Principal Code Regulations</w:t>
      </w:r>
      <w:r>
        <w:t>. Collectively</w:t>
      </w:r>
      <w:r w:rsidR="0001310B">
        <w:t>,</w:t>
      </w:r>
      <w:r>
        <w:t xml:space="preserve"> these new regulations provide for the making, varying and revoking of interchangeable constituent determinations, including on application from any person, as well as limits on the </w:t>
      </w:r>
      <w:r w:rsidR="00CA4E1C">
        <w:t>information used for interchangeable constituent determinations.</w:t>
      </w:r>
      <w:r w:rsidR="00E96A8F">
        <w:t xml:space="preserve"> </w:t>
      </w:r>
      <w:r w:rsidR="00DD7A59">
        <w:t>These determinations are relevant for the new prescribed kind of notifiable variation</w:t>
      </w:r>
      <w:r w:rsidR="007E62C5">
        <w:t xml:space="preserve"> that streamline formulation changes</w:t>
      </w:r>
      <w:r w:rsidR="00532423">
        <w:t xml:space="preserve"> (item 3 above)</w:t>
      </w:r>
      <w:r w:rsidR="00DD7A59">
        <w:t>.</w:t>
      </w:r>
    </w:p>
    <w:p w:rsidR="00A1565C" w:rsidRDefault="00A1565C">
      <w:pPr>
        <w:spacing w:line="252" w:lineRule="auto"/>
      </w:pPr>
    </w:p>
    <w:p w:rsidR="00532423" w:rsidRDefault="00E96A8F">
      <w:pPr>
        <w:autoSpaceDE w:val="0"/>
        <w:autoSpaceDN w:val="0"/>
        <w:adjustRightInd w:val="0"/>
      </w:pPr>
      <w:r>
        <w:t xml:space="preserve">Regulation 19AEA provides that the </w:t>
      </w:r>
      <w:proofErr w:type="spellStart"/>
      <w:r>
        <w:t>APVMA</w:t>
      </w:r>
      <w:proofErr w:type="spellEnd"/>
      <w:r>
        <w:t xml:space="preserve"> </w:t>
      </w:r>
      <w:r w:rsidR="00C31DC7">
        <w:t xml:space="preserve">may </w:t>
      </w:r>
      <w:r w:rsidR="00C31DC7" w:rsidRPr="00B47BA3">
        <w:t>determine</w:t>
      </w:r>
      <w:r w:rsidR="007E62C5" w:rsidRPr="00B47BA3">
        <w:t xml:space="preserve">, </w:t>
      </w:r>
      <w:r w:rsidR="00305C4E" w:rsidRPr="00B47BA3">
        <w:t>by legislative instrument</w:t>
      </w:r>
      <w:r w:rsidR="007E62C5" w:rsidRPr="00B47BA3">
        <w:t>,</w:t>
      </w:r>
      <w:r w:rsidR="00C31DC7" w:rsidRPr="00B47BA3">
        <w:t xml:space="preserve"> that</w:t>
      </w:r>
      <w:r w:rsidR="00C31DC7">
        <w:t xml:space="preserve"> one or more constituents of a chemical product or class of chemical products may be interchanged with another c</w:t>
      </w:r>
      <w:r w:rsidR="00DC2BC8">
        <w:t>onstituent. Under subsection 33</w:t>
      </w:r>
      <w:r w:rsidR="00C31DC7">
        <w:t xml:space="preserve">(3) of the </w:t>
      </w:r>
      <w:r w:rsidR="00C31DC7">
        <w:rPr>
          <w:i/>
          <w:iCs/>
        </w:rPr>
        <w:t>Acts Interpretation Act 1901</w:t>
      </w:r>
      <w:r w:rsidR="00C31DC7">
        <w:t>, where an Act confers a power to make, grant or issue any instrument of a legislative or administrative character (including rules, regulations or by-laws), the power shall be construed as including a power exercisable in the like manner and</w:t>
      </w:r>
      <w:r w:rsidR="008C4812">
        <w:t xml:space="preserve"> </w:t>
      </w:r>
      <w:r w:rsidR="00C31DC7">
        <w:t xml:space="preserve">subject to the like conditions (if any) to repeal, rescind, revoke, amend, or vary any such instrument. Regulation 19AEA therefore provides for the </w:t>
      </w:r>
      <w:proofErr w:type="spellStart"/>
      <w:r w:rsidR="00C31DC7">
        <w:t>APVM</w:t>
      </w:r>
      <w:r w:rsidR="00AF5A99">
        <w:t>A</w:t>
      </w:r>
      <w:proofErr w:type="spellEnd"/>
      <w:r w:rsidR="00C31DC7">
        <w:t xml:space="preserve"> to</w:t>
      </w:r>
      <w:r>
        <w:t xml:space="preserve"> make, vary or revoke interchangeable constituent determinations, including requirements that apply where a constituent is being interchanged. </w:t>
      </w:r>
    </w:p>
    <w:p w:rsidR="00532423" w:rsidRDefault="00532423">
      <w:pPr>
        <w:autoSpaceDE w:val="0"/>
        <w:autoSpaceDN w:val="0"/>
        <w:adjustRightInd w:val="0"/>
      </w:pPr>
    </w:p>
    <w:p w:rsidR="00A1565C" w:rsidRDefault="00532423">
      <w:pPr>
        <w:autoSpaceDE w:val="0"/>
        <w:autoSpaceDN w:val="0"/>
        <w:adjustRightInd w:val="0"/>
      </w:pPr>
      <w:r>
        <w:t>In an interchangeable constituent determination</w:t>
      </w:r>
      <w:r w:rsidR="00C929A0">
        <w:t>,</w:t>
      </w:r>
      <w:r>
        <w:t xml:space="preserve"> t</w:t>
      </w:r>
      <w:r w:rsidR="003277D1">
        <w:t xml:space="preserve">he </w:t>
      </w:r>
      <w:proofErr w:type="spellStart"/>
      <w:r w:rsidR="003277D1">
        <w:t>APVMA</w:t>
      </w:r>
      <w:proofErr w:type="spellEnd"/>
      <w:r w:rsidR="003277D1">
        <w:t xml:space="preserve"> may specify conditions on </w:t>
      </w:r>
      <w:r w:rsidR="00C85B96">
        <w:t xml:space="preserve">the </w:t>
      </w:r>
      <w:r w:rsidR="003277D1">
        <w:t xml:space="preserve">interchange of the constituents (for example, to restrict the interchange to constituents fulfilling a particular purpose in the product) if that is reasonably necessary to ensure the chemical product continues to meet the safety, efficacy, trade and labelling criteria. </w:t>
      </w:r>
      <w:r w:rsidR="00E96A8F">
        <w:t xml:space="preserve">The </w:t>
      </w:r>
      <w:proofErr w:type="spellStart"/>
      <w:r w:rsidR="00E96A8F">
        <w:t>APVMA</w:t>
      </w:r>
      <w:proofErr w:type="spellEnd"/>
      <w:r w:rsidR="00E96A8F">
        <w:t xml:space="preserve"> must be satisfied of certain matters before making or varying an interchangeable determination and these are specified in </w:t>
      </w:r>
      <w:proofErr w:type="spellStart"/>
      <w:r w:rsidR="00E96A8F">
        <w:t>subregulation</w:t>
      </w:r>
      <w:proofErr w:type="spellEnd"/>
      <w:r w:rsidR="00E96A8F">
        <w:t xml:space="preserve"> 19AEA(5). Where the </w:t>
      </w:r>
      <w:proofErr w:type="spellStart"/>
      <w:r w:rsidR="00E96A8F">
        <w:t>APVMA</w:t>
      </w:r>
      <w:proofErr w:type="spellEnd"/>
      <w:r w:rsidR="00E96A8F">
        <w:t xml:space="preserve"> proposes to vary or revoke an interchangeable constituent determination, the </w:t>
      </w:r>
      <w:proofErr w:type="spellStart"/>
      <w:r w:rsidR="00E96A8F">
        <w:t>APVMA</w:t>
      </w:r>
      <w:proofErr w:type="spellEnd"/>
      <w:r w:rsidR="00E96A8F">
        <w:t xml:space="preserve"> must publish a notice about the variation or revocation, and seek and consider any submissions. </w:t>
      </w:r>
      <w:r w:rsidR="00685B90">
        <w:t>R</w:t>
      </w:r>
      <w:r w:rsidR="00E96A8F">
        <w:t xml:space="preserve">egulation 19AEA specifies the publication requirements when the </w:t>
      </w:r>
      <w:proofErr w:type="spellStart"/>
      <w:r w:rsidR="00E96A8F">
        <w:t>APVMA</w:t>
      </w:r>
      <w:proofErr w:type="spellEnd"/>
      <w:r w:rsidR="00E96A8F">
        <w:t xml:space="preserve"> makes, varies or revokes an interchangeable constituent determination.    </w:t>
      </w:r>
    </w:p>
    <w:p w:rsidR="00A1565C" w:rsidRDefault="00A1565C"/>
    <w:p w:rsidR="00A1565C" w:rsidRDefault="00E96A8F">
      <w:pPr>
        <w:spacing w:line="252" w:lineRule="auto"/>
      </w:pPr>
      <w:r>
        <w:t xml:space="preserve">Regulation 19AEB </w:t>
      </w:r>
      <w:r w:rsidR="004736D9">
        <w:t xml:space="preserve">provides for any person to apply to the </w:t>
      </w:r>
      <w:proofErr w:type="spellStart"/>
      <w:r w:rsidR="004736D9">
        <w:t>APVMA</w:t>
      </w:r>
      <w:proofErr w:type="spellEnd"/>
      <w:r w:rsidR="004736D9">
        <w:t xml:space="preserve"> for the making of an interchangeable constituent determination, and specifies the application requirements for these applications. The</w:t>
      </w:r>
      <w:r w:rsidR="00F55EE0">
        <w:t>se application</w:t>
      </w:r>
      <w:r w:rsidR="004736D9">
        <w:t xml:space="preserve"> requirements are in addition to those in the </w:t>
      </w:r>
      <w:proofErr w:type="spellStart"/>
      <w:r w:rsidR="004736D9">
        <w:t>Agvet</w:t>
      </w:r>
      <w:proofErr w:type="spellEnd"/>
      <w:r w:rsidR="004736D9">
        <w:t xml:space="preserve"> Code and a note has been included at the end of </w:t>
      </w:r>
      <w:proofErr w:type="spellStart"/>
      <w:r w:rsidR="004D4B32">
        <w:t>sub</w:t>
      </w:r>
      <w:r w:rsidR="004736D9">
        <w:t>regulation</w:t>
      </w:r>
      <w:proofErr w:type="spellEnd"/>
      <w:r w:rsidR="004736D9">
        <w:t xml:space="preserve"> 19AEB</w:t>
      </w:r>
      <w:r w:rsidR="004D4B32">
        <w:t>(5)</w:t>
      </w:r>
      <w:r w:rsidR="004736D9">
        <w:t xml:space="preserve"> to inform potential applicants of these </w:t>
      </w:r>
      <w:proofErr w:type="spellStart"/>
      <w:r w:rsidR="00F55EE0">
        <w:t>A</w:t>
      </w:r>
      <w:r w:rsidR="00FF6D1F">
        <w:t>gvet</w:t>
      </w:r>
      <w:proofErr w:type="spellEnd"/>
      <w:r w:rsidR="00F55EE0">
        <w:t xml:space="preserve"> Code application </w:t>
      </w:r>
      <w:r w:rsidR="004736D9">
        <w:t xml:space="preserve">requirements. Regulation 19AEB also specifies </w:t>
      </w:r>
      <w:r w:rsidR="004D4B32">
        <w:t xml:space="preserve">that the applicant must be notified of the interchangeable constituent determination within 14 days of the </w:t>
      </w:r>
      <w:proofErr w:type="spellStart"/>
      <w:r w:rsidR="004D4B32">
        <w:t>APVMA</w:t>
      </w:r>
      <w:proofErr w:type="spellEnd"/>
      <w:r w:rsidR="004D4B32">
        <w:t xml:space="preserve"> making the determination.  </w:t>
      </w:r>
    </w:p>
    <w:p w:rsidR="00A1565C" w:rsidRDefault="00A1565C">
      <w:pPr>
        <w:spacing w:line="252" w:lineRule="auto"/>
      </w:pPr>
    </w:p>
    <w:p w:rsidR="00A1565C" w:rsidRDefault="00E96A8F">
      <w:pPr>
        <w:spacing w:line="252" w:lineRule="auto"/>
      </w:pPr>
      <w:r>
        <w:t>Regulation 19AEC</w:t>
      </w:r>
      <w:r w:rsidR="004D4B32">
        <w:t xml:space="preserve"> provides for limits on the use of information for the making, variation and revocation of interchangeable constituent determinations. These measures provide for</w:t>
      </w:r>
      <w:r w:rsidR="00EB2E02">
        <w:t xml:space="preserve"> </w:t>
      </w:r>
      <w:r w:rsidR="00F65B5E">
        <w:t xml:space="preserve">the </w:t>
      </w:r>
      <w:proofErr w:type="spellStart"/>
      <w:r w:rsidR="00F65B5E">
        <w:t>APVMA</w:t>
      </w:r>
      <w:proofErr w:type="spellEnd"/>
      <w:r w:rsidR="00F65B5E">
        <w:t xml:space="preserve"> to require information to be provided </w:t>
      </w:r>
      <w:r w:rsidR="00C929A0">
        <w:t xml:space="preserve">so that it may </w:t>
      </w:r>
      <w:r w:rsidR="00F65B5E">
        <w:t xml:space="preserve">determine an application under regulation 19AEB, as well as </w:t>
      </w:r>
      <w:r w:rsidR="00F11AC5">
        <w:t xml:space="preserve">authorising the </w:t>
      </w:r>
      <w:proofErr w:type="spellStart"/>
      <w:r w:rsidR="00F11AC5">
        <w:t>APVMA</w:t>
      </w:r>
      <w:proofErr w:type="spellEnd"/>
      <w:r w:rsidR="00F11AC5">
        <w:t xml:space="preserve"> to take into account results, decisions an</w:t>
      </w:r>
      <w:r w:rsidR="00FF6D1F">
        <w:t>d</w:t>
      </w:r>
      <w:r w:rsidR="00F11AC5">
        <w:t xml:space="preserve"> information in </w:t>
      </w:r>
      <w:r w:rsidR="00F65B5E">
        <w:t xml:space="preserve">overseas trials and experiments. The measures </w:t>
      </w:r>
      <w:r w:rsidR="00501461">
        <w:t xml:space="preserve">in Regulation 19AEC </w:t>
      </w:r>
      <w:r w:rsidR="00F65B5E">
        <w:t xml:space="preserve">also limit the </w:t>
      </w:r>
      <w:proofErr w:type="spellStart"/>
      <w:r w:rsidR="00F65B5E">
        <w:t>APVMA</w:t>
      </w:r>
      <w:proofErr w:type="spellEnd"/>
      <w:r w:rsidR="00F65B5E">
        <w:t xml:space="preserve"> to considering information given in connection with the application or </w:t>
      </w:r>
      <w:r w:rsidR="00FF6D1F">
        <w:t xml:space="preserve">a </w:t>
      </w:r>
      <w:r w:rsidR="00F65B5E">
        <w:t xml:space="preserve">decision made on the application. These measures are similar to those that apply for other applications under the </w:t>
      </w:r>
      <w:proofErr w:type="spellStart"/>
      <w:r w:rsidR="00F65B5E">
        <w:t>Agvet</w:t>
      </w:r>
      <w:proofErr w:type="spellEnd"/>
      <w:r w:rsidR="00F65B5E">
        <w:t xml:space="preserve"> Code. </w:t>
      </w:r>
      <w:r w:rsidR="00800477">
        <w:t>In addition, the measures</w:t>
      </w:r>
      <w:r w:rsidR="00501461">
        <w:t xml:space="preserve"> provide for a limitation period of three years to apply to certain information if that information is used to make, vary or revoke an interchangeable constituent determination. </w:t>
      </w:r>
      <w:r w:rsidR="00800477">
        <w:t xml:space="preserve">  </w:t>
      </w:r>
    </w:p>
    <w:p w:rsidR="00A1565C" w:rsidRDefault="00A1565C">
      <w:pPr>
        <w:spacing w:line="252" w:lineRule="auto"/>
      </w:pPr>
    </w:p>
    <w:p w:rsidR="00A1565C" w:rsidRDefault="00026F15">
      <w:pPr>
        <w:spacing w:line="252" w:lineRule="auto"/>
      </w:pPr>
      <w:r>
        <w:t>For the authority in paragraph 167(1)(y)</w:t>
      </w:r>
      <w:r w:rsidR="00C929A0">
        <w:t xml:space="preserve"> of the </w:t>
      </w:r>
      <w:proofErr w:type="spellStart"/>
      <w:r w:rsidR="00C929A0">
        <w:t>Agvet</w:t>
      </w:r>
      <w:proofErr w:type="spellEnd"/>
      <w:r w:rsidR="00C929A0">
        <w:t xml:space="preserve"> Code</w:t>
      </w:r>
      <w:r>
        <w:t>, i</w:t>
      </w:r>
      <w:r w:rsidR="009D28DB">
        <w:t xml:space="preserve">tem 6 </w:t>
      </w:r>
      <w:r w:rsidR="00667F90">
        <w:t xml:space="preserve">amends regulation 78C to </w:t>
      </w:r>
      <w:r w:rsidR="009D28DB">
        <w:t xml:space="preserve">provide that the </w:t>
      </w:r>
      <w:r w:rsidR="00BB1B17">
        <w:t xml:space="preserve">refusal of </w:t>
      </w:r>
      <w:r w:rsidR="009D28DB">
        <w:t xml:space="preserve">an </w:t>
      </w:r>
      <w:r w:rsidR="00BB1B17">
        <w:t xml:space="preserve">application </w:t>
      </w:r>
      <w:r w:rsidR="009D28DB">
        <w:t xml:space="preserve">under regulation 19AEB </w:t>
      </w:r>
      <w:r w:rsidR="00F11AC5">
        <w:t xml:space="preserve">(for an interchangeable constituent determination) </w:t>
      </w:r>
      <w:r w:rsidR="009D28DB">
        <w:t>is a reviewable decision</w:t>
      </w:r>
      <w:r w:rsidR="000B4711">
        <w:t xml:space="preserve"> (both internally by the </w:t>
      </w:r>
      <w:proofErr w:type="spellStart"/>
      <w:r w:rsidR="000B4711">
        <w:t>APVMA</w:t>
      </w:r>
      <w:proofErr w:type="spellEnd"/>
      <w:r w:rsidR="000B4711">
        <w:t xml:space="preserve"> and by the Administrative Appeals Tribunal)</w:t>
      </w:r>
      <w:r w:rsidR="009D28DB">
        <w:t>.</w:t>
      </w:r>
    </w:p>
    <w:p w:rsidR="00A1565C" w:rsidRDefault="00A1565C">
      <w:pPr>
        <w:spacing w:line="252" w:lineRule="auto"/>
      </w:pPr>
    </w:p>
    <w:p w:rsidR="00A1565C" w:rsidRDefault="00F1323E">
      <w:pPr>
        <w:spacing w:line="252" w:lineRule="auto"/>
      </w:pPr>
      <w:r>
        <w:t>For the authorit</w:t>
      </w:r>
      <w:r w:rsidR="00403835">
        <w:t>ies</w:t>
      </w:r>
      <w:r>
        <w:t xml:space="preserve"> in subsection</w:t>
      </w:r>
      <w:r w:rsidR="00403835">
        <w:t>s</w:t>
      </w:r>
      <w:r>
        <w:t xml:space="preserve"> </w:t>
      </w:r>
      <w:r w:rsidR="00403835">
        <w:t xml:space="preserve">164(1) and </w:t>
      </w:r>
      <w:r>
        <w:t xml:space="preserve">165(1) of the </w:t>
      </w:r>
      <w:proofErr w:type="spellStart"/>
      <w:r>
        <w:t>Agvet</w:t>
      </w:r>
      <w:proofErr w:type="spellEnd"/>
      <w:r>
        <w:t xml:space="preserve"> Code, </w:t>
      </w:r>
      <w:r w:rsidR="00403835">
        <w:t>i</w:t>
      </w:r>
      <w:r w:rsidR="002337F1">
        <w:t xml:space="preserve">tem 7 </w:t>
      </w:r>
      <w:r w:rsidR="00667F90">
        <w:t xml:space="preserve">amends the table </w:t>
      </w:r>
      <w:r w:rsidR="00B47BA3">
        <w:t xml:space="preserve">in </w:t>
      </w:r>
      <w:r w:rsidR="00667F90">
        <w:t xml:space="preserve">Part 2 of Schedule 6 to </w:t>
      </w:r>
      <w:r w:rsidR="002337F1">
        <w:t xml:space="preserve">specify that the assessment period for an application under regulation 19AEB is the modular assessment period, and the fee is the modular assessment fee. </w:t>
      </w:r>
      <w:r w:rsidR="00667F90">
        <w:t xml:space="preserve">The amendment </w:t>
      </w:r>
      <w:r w:rsidR="002337F1">
        <w:t xml:space="preserve">also provides that the extended assessment period </w:t>
      </w:r>
      <w:r w:rsidR="00FF6D1F">
        <w:t xml:space="preserve">is </w:t>
      </w:r>
      <w:r w:rsidR="002337F1">
        <w:t>one and one third of the modular assessment period, rounded up to the nearest whole month, plus a month (similar to the existing item 28). There is no rebate for pre-application assistance.</w:t>
      </w:r>
    </w:p>
    <w:p w:rsidR="00A1565C" w:rsidRDefault="00A1565C">
      <w:pPr>
        <w:spacing w:line="252" w:lineRule="auto"/>
      </w:pPr>
    </w:p>
    <w:p w:rsidR="0081414C" w:rsidRDefault="00954131" w:rsidP="00913DE3">
      <w:pPr>
        <w:spacing w:after="60" w:line="252" w:lineRule="auto"/>
      </w:pPr>
      <w:r>
        <w:rPr>
          <w:b/>
        </w:rPr>
        <w:t>Items 2 and 5 – Regulation 19AF, new regulation 8AF</w:t>
      </w:r>
      <w:r w:rsidR="00032BF9">
        <w:rPr>
          <w:b/>
        </w:rPr>
        <w:t>B</w:t>
      </w:r>
    </w:p>
    <w:p w:rsidR="00A1565C" w:rsidRDefault="00E27B50">
      <w:pPr>
        <w:spacing w:line="252" w:lineRule="auto"/>
      </w:pPr>
      <w:r>
        <w:t>For the authorit</w:t>
      </w:r>
      <w:r w:rsidR="00E4299B">
        <w:t>ies</w:t>
      </w:r>
      <w:r>
        <w:t xml:space="preserve"> in </w:t>
      </w:r>
      <w:r w:rsidR="00E4299B">
        <w:t xml:space="preserve">subparagraph 8(a)(v) and </w:t>
      </w:r>
      <w:r>
        <w:t xml:space="preserve">paragraph 26B(4)(b) of the </w:t>
      </w:r>
      <w:proofErr w:type="spellStart"/>
      <w:r>
        <w:t>Agvet</w:t>
      </w:r>
      <w:proofErr w:type="spellEnd"/>
      <w:r>
        <w:t xml:space="preserve"> Code, i</w:t>
      </w:r>
      <w:r w:rsidR="00954131">
        <w:t xml:space="preserve">tems 2 and 5 insert a new kind of </w:t>
      </w:r>
      <w:r w:rsidR="00DC2BC8">
        <w:t>‘</w:t>
      </w:r>
      <w:r w:rsidR="00954131" w:rsidRPr="00DC2BC8">
        <w:t>prescribed variation</w:t>
      </w:r>
      <w:r w:rsidR="00DC2BC8">
        <w:t>’</w:t>
      </w:r>
      <w:r w:rsidR="00954131">
        <w:t xml:space="preserve"> in regulation 19AF and specify an additional application requirement that applies to applications for these prescribed variations. </w:t>
      </w:r>
      <w:r w:rsidR="00650E52">
        <w:t xml:space="preserve">For the authority in paragraph 26B(4)(b) of the </w:t>
      </w:r>
      <w:proofErr w:type="spellStart"/>
      <w:r w:rsidR="00650E52">
        <w:t>Agvet</w:t>
      </w:r>
      <w:proofErr w:type="spellEnd"/>
      <w:r w:rsidR="00650E52">
        <w:t xml:space="preserve"> Code, r</w:t>
      </w:r>
      <w:r w:rsidR="00954131">
        <w:t xml:space="preserve">egulation 19AF specifies the prescribed variations for which Division 2A of the </w:t>
      </w:r>
      <w:proofErr w:type="spellStart"/>
      <w:r w:rsidR="00954131">
        <w:t>Agvet</w:t>
      </w:r>
      <w:proofErr w:type="spellEnd"/>
      <w:r w:rsidR="00954131">
        <w:t xml:space="preserve"> Code applies</w:t>
      </w:r>
      <w:r w:rsidR="00667F90">
        <w:t>.</w:t>
      </w:r>
      <w:r w:rsidR="00954131">
        <w:t xml:space="preserve"> </w:t>
      </w:r>
      <w:r w:rsidR="00667F90">
        <w:t xml:space="preserve">Division 2A of the </w:t>
      </w:r>
      <w:proofErr w:type="spellStart"/>
      <w:r w:rsidR="00667F90">
        <w:t>Agvet</w:t>
      </w:r>
      <w:proofErr w:type="spellEnd"/>
      <w:r w:rsidR="00667F90">
        <w:t xml:space="preserve"> Code </w:t>
      </w:r>
      <w:r w:rsidR="00954131">
        <w:t>is a simplified process for varying relevant particulars of approval and registrations. The insertion of the new kind of prescribed variation means that a simplified process appl</w:t>
      </w:r>
      <w:r w:rsidR="004A696F">
        <w:t>ies</w:t>
      </w:r>
      <w:r w:rsidR="00954131">
        <w:t xml:space="preserve"> for varying </w:t>
      </w:r>
      <w:r w:rsidR="00667F90">
        <w:t xml:space="preserve">(replacing) </w:t>
      </w:r>
      <w:r w:rsidR="009D4F3A">
        <w:t xml:space="preserve">certain </w:t>
      </w:r>
      <w:r w:rsidR="00954131">
        <w:t>constituents in chemical products.</w:t>
      </w:r>
    </w:p>
    <w:p w:rsidR="00A1565C" w:rsidRDefault="00A1565C">
      <w:pPr>
        <w:spacing w:line="252" w:lineRule="auto"/>
      </w:pPr>
    </w:p>
    <w:p w:rsidR="00A1565C" w:rsidRDefault="003C0DA1">
      <w:r>
        <w:t xml:space="preserve">Item 5 </w:t>
      </w:r>
      <w:r w:rsidR="00667F90">
        <w:t xml:space="preserve">amends regulation 19AF to </w:t>
      </w:r>
      <w:r>
        <w:t xml:space="preserve">insert </w:t>
      </w:r>
      <w:r w:rsidR="00667F90">
        <w:t xml:space="preserve">a </w:t>
      </w:r>
      <w:r w:rsidR="009D4F3A">
        <w:t xml:space="preserve">new </w:t>
      </w:r>
      <w:r>
        <w:t xml:space="preserve">kind of </w:t>
      </w:r>
      <w:r w:rsidR="009D4F3A">
        <w:t>prescribed variation</w:t>
      </w:r>
      <w:r>
        <w:t xml:space="preserve"> that allow</w:t>
      </w:r>
      <w:r w:rsidR="004A696F">
        <w:t>s</w:t>
      </w:r>
      <w:r>
        <w:t xml:space="preserve"> constituents in a chemical product to be replaced if the original and replacement constituents meet certain requirements. These requirements include that these constituents are not active constituents, have the same purpose in the product and meet certain technical </w:t>
      </w:r>
      <w:r w:rsidR="006D4E0B">
        <w:t xml:space="preserve">or compositional </w:t>
      </w:r>
      <w:r>
        <w:t xml:space="preserve">requirements. In addition, the prescribed variation </w:t>
      </w:r>
      <w:r w:rsidR="00160ECC">
        <w:t>does</w:t>
      </w:r>
      <w:r>
        <w:t xml:space="preserve"> not apply where the replacement of the original constituent require</w:t>
      </w:r>
      <w:r w:rsidR="00160ECC">
        <w:t>s</w:t>
      </w:r>
      <w:r>
        <w:t xml:space="preserve"> the signal words required by the current Poisons Standard for the product to be varied. Furthermore, the number of constituents that can be replaced is limited to two in the case of products containing less than nine constituents</w:t>
      </w:r>
      <w:r w:rsidR="005753BC">
        <w:t>,</w:t>
      </w:r>
      <w:r>
        <w:t xml:space="preserve"> or a number that is no more than 25</w:t>
      </w:r>
      <w:r w:rsidR="00DC2BC8">
        <w:t xml:space="preserve"> per cent</w:t>
      </w:r>
      <w:r>
        <w:t xml:space="preserve"> of the number of constituents in the case of products containing nine or more constituents. This restriction is to prevent a large number of constituents being varied and to ensure that these prescribed variations do not affect the </w:t>
      </w:r>
      <w:proofErr w:type="spellStart"/>
      <w:r>
        <w:t>APVMA’s</w:t>
      </w:r>
      <w:proofErr w:type="spellEnd"/>
      <w:r>
        <w:t xml:space="preserve"> satisfaction about whether the product continues to meet the safety criteria, trade criteria, efficacy criteria and labelling criteria. </w:t>
      </w:r>
      <w:r w:rsidR="006D4E0B">
        <w:t xml:space="preserve">The prescribed variation does not apply if the chemical product is an </w:t>
      </w:r>
      <w:proofErr w:type="spellStart"/>
      <w:r w:rsidR="006D4E0B">
        <w:t>immunobiological</w:t>
      </w:r>
      <w:proofErr w:type="spellEnd"/>
      <w:r w:rsidR="006D4E0B">
        <w:t xml:space="preserve"> or antibiotic product or the product is to be administered through direct injection into an animal.</w:t>
      </w:r>
    </w:p>
    <w:p w:rsidR="00A1565C" w:rsidRDefault="00A1565C"/>
    <w:p w:rsidR="00A1565C" w:rsidRDefault="003C10E0">
      <w:pPr>
        <w:rPr>
          <w:b/>
        </w:rPr>
      </w:pPr>
      <w:r>
        <w:t xml:space="preserve">For the authority in </w:t>
      </w:r>
      <w:r w:rsidR="00E4299B">
        <w:t>sub</w:t>
      </w:r>
      <w:r>
        <w:t xml:space="preserve">paragraph 8A(a)(v) of the </w:t>
      </w:r>
      <w:proofErr w:type="spellStart"/>
      <w:r>
        <w:t>Agvet</w:t>
      </w:r>
      <w:proofErr w:type="spellEnd"/>
      <w:r>
        <w:t xml:space="preserve"> Code, </w:t>
      </w:r>
      <w:r w:rsidR="00E27B50">
        <w:t xml:space="preserve">item 2 inserts </w:t>
      </w:r>
      <w:r>
        <w:t>n</w:t>
      </w:r>
      <w:r w:rsidR="009D4F3A">
        <w:t>ew regulation 8AF</w:t>
      </w:r>
      <w:r w:rsidR="00032BF9">
        <w:t>B</w:t>
      </w:r>
      <w:r w:rsidR="009D4F3A">
        <w:t xml:space="preserve"> </w:t>
      </w:r>
      <w:r w:rsidR="00E27B50">
        <w:t xml:space="preserve">to </w:t>
      </w:r>
      <w:r w:rsidR="009D4F3A">
        <w:t>specif</w:t>
      </w:r>
      <w:r w:rsidR="00E27B50">
        <w:t>y</w:t>
      </w:r>
      <w:r w:rsidR="009D4F3A">
        <w:t xml:space="preserve"> the additional application requirements that apply for the new kind of prescribed variation.</w:t>
      </w:r>
      <w:r w:rsidR="006D4E0B">
        <w:t xml:space="preserve"> These </w:t>
      </w:r>
      <w:r w:rsidR="00F149FF">
        <w:t xml:space="preserve">requirements specify that the applicant must hold certain evidence about the product, including its storage stability and physical properties. </w:t>
      </w:r>
      <w:r w:rsidR="003C0DA1">
        <w:t xml:space="preserve">This information is relevant to </w:t>
      </w:r>
      <w:r w:rsidR="00F149FF">
        <w:t xml:space="preserve">managing </w:t>
      </w:r>
      <w:r w:rsidR="003C0DA1">
        <w:t xml:space="preserve">the risks of the </w:t>
      </w:r>
      <w:r w:rsidR="00F149FF">
        <w:t xml:space="preserve">replacement constituent to the </w:t>
      </w:r>
      <w:r w:rsidR="003C0DA1">
        <w:t>safety to people, animals, plants or the environment or Australia’s trade or the product efficacy.</w:t>
      </w:r>
      <w:bookmarkEnd w:id="62"/>
      <w:bookmarkEnd w:id="63"/>
      <w:bookmarkEnd w:id="64"/>
    </w:p>
    <w:sectPr w:rsidR="00A1565C" w:rsidSect="00305C4E">
      <w:headerReference w:type="even" r:id="rId9"/>
      <w:headerReference w:type="default" r:id="rId10"/>
      <w:footerReference w:type="default" r:id="rId11"/>
      <w:pgSz w:w="11906" w:h="16838"/>
      <w:pgMar w:top="1134" w:right="1077" w:bottom="1276" w:left="107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C1" w:rsidRDefault="002861C1">
      <w:r>
        <w:separator/>
      </w:r>
    </w:p>
  </w:endnote>
  <w:endnote w:type="continuationSeparator" w:id="0">
    <w:p w:rsidR="002861C1" w:rsidRDefault="0028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altName w:val="Tahoma"/>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C1" w:rsidRDefault="00F9578E">
    <w:pPr>
      <w:pStyle w:val="Footer"/>
      <w:jc w:val="center"/>
    </w:pPr>
    <w:r>
      <w:fldChar w:fldCharType="begin"/>
    </w:r>
    <w:r w:rsidR="002861C1">
      <w:instrText xml:space="preserve"> PAGE   \* MERGEFORMAT </w:instrText>
    </w:r>
    <w:r>
      <w:fldChar w:fldCharType="separate"/>
    </w:r>
    <w:r w:rsidR="00886E78">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C1" w:rsidRDefault="002861C1">
      <w:r>
        <w:separator/>
      </w:r>
    </w:p>
  </w:footnote>
  <w:footnote w:type="continuationSeparator" w:id="0">
    <w:p w:rsidR="002861C1" w:rsidRDefault="00286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C1" w:rsidRDefault="00F9578E">
    <w:pPr>
      <w:pStyle w:val="Header"/>
      <w:framePr w:wrap="around" w:vAnchor="text" w:hAnchor="margin" w:xAlign="center" w:y="1"/>
      <w:rPr>
        <w:rStyle w:val="PageNumber"/>
      </w:rPr>
    </w:pPr>
    <w:r>
      <w:rPr>
        <w:rStyle w:val="PageNumber"/>
      </w:rPr>
      <w:fldChar w:fldCharType="begin"/>
    </w:r>
    <w:r w:rsidR="002861C1">
      <w:rPr>
        <w:rStyle w:val="PageNumber"/>
      </w:rPr>
      <w:instrText xml:space="preserve">PAGE  </w:instrText>
    </w:r>
    <w:r>
      <w:rPr>
        <w:rStyle w:val="PageNumber"/>
      </w:rPr>
      <w:fldChar w:fldCharType="end"/>
    </w:r>
  </w:p>
  <w:p w:rsidR="002861C1" w:rsidRDefault="00286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C1" w:rsidRDefault="002861C1" w:rsidP="007D00B7">
    <w:pPr>
      <w:pStyle w:val="Header"/>
      <w:jc w:val="center"/>
      <w:rPr>
        <w:color w:val="FF0000"/>
        <w:sz w:val="20"/>
        <w:szCs w:val="20"/>
      </w:rPr>
    </w:pPr>
  </w:p>
  <w:p w:rsidR="002861C1" w:rsidRDefault="002861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AD7"/>
    <w:multiLevelType w:val="hybridMultilevel"/>
    <w:tmpl w:val="0256168E"/>
    <w:lvl w:ilvl="0" w:tplc="D0BC418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B50344"/>
    <w:multiLevelType w:val="hybridMultilevel"/>
    <w:tmpl w:val="E2D6D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6A08BF"/>
    <w:multiLevelType w:val="hybridMultilevel"/>
    <w:tmpl w:val="801AC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D93B37"/>
    <w:multiLevelType w:val="hybridMultilevel"/>
    <w:tmpl w:val="823010AE"/>
    <w:lvl w:ilvl="0" w:tplc="E1DAE40E">
      <w:start w:val="1"/>
      <w:numFmt w:val="lowerRoman"/>
      <w:lvlText w:val="(%1)"/>
      <w:lvlJc w:val="left"/>
      <w:pPr>
        <w:ind w:left="720" w:hanging="360"/>
      </w:pPr>
      <w:rPr>
        <w:rFonts w:hint="default"/>
        <w:b w:val="0"/>
        <w:bCs w:val="0"/>
        <w:i w:val="0"/>
        <w:iCs w:val="0"/>
        <w:caps w:val="0"/>
        <w:smallCaps w:val="0"/>
        <w:strike w:val="0"/>
        <w:dstrike w:val="0"/>
        <w:vanish w:val="0"/>
        <w:spacing w:val="0"/>
        <w:kern w:val="0"/>
        <w:position w:val="0"/>
        <w:u w:val="none"/>
        <w:vertAlign w:val="baseline"/>
        <w:em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03710E"/>
    <w:multiLevelType w:val="multilevel"/>
    <w:tmpl w:val="18AA90EA"/>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bullet"/>
      <w:pStyle w:val="BodySubPara"/>
      <w:lvlText w:val="o"/>
      <w:lvlJc w:val="left"/>
      <w:pPr>
        <w:tabs>
          <w:tab w:val="num" w:pos="2160"/>
        </w:tabs>
        <w:ind w:left="2160" w:hanging="72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F250C29"/>
    <w:multiLevelType w:val="hybridMultilevel"/>
    <w:tmpl w:val="71D0B990"/>
    <w:lvl w:ilvl="0" w:tplc="4A02A3B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ED2ABC"/>
    <w:multiLevelType w:val="hybridMultilevel"/>
    <w:tmpl w:val="E012B8EE"/>
    <w:lvl w:ilvl="0" w:tplc="4C5838E2">
      <w:start w:val="1"/>
      <w:numFmt w:val="bullet"/>
      <w:pStyle w:val="Tabledotpoint"/>
      <w:lvlText w:val=""/>
      <w:lvlJc w:val="left"/>
      <w:pPr>
        <w:ind w:left="394" w:hanging="360"/>
      </w:pPr>
      <w:rPr>
        <w:rFonts w:ascii="Symbol" w:hAnsi="Symbol"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7">
    <w:nsid w:val="241207E2"/>
    <w:multiLevelType w:val="hybridMultilevel"/>
    <w:tmpl w:val="30C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0903FE"/>
    <w:multiLevelType w:val="hybridMultilevel"/>
    <w:tmpl w:val="2B62CC7E"/>
    <w:lvl w:ilvl="0" w:tplc="0C090001">
      <w:start w:val="1"/>
      <w:numFmt w:val="bullet"/>
      <w:lvlText w:val=""/>
      <w:lvlJc w:val="left"/>
      <w:pPr>
        <w:ind w:left="774" w:hanging="360"/>
      </w:pPr>
      <w:rPr>
        <w:rFonts w:ascii="Symbol" w:hAnsi="Symbol"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9">
    <w:nsid w:val="30C117B3"/>
    <w:multiLevelType w:val="hybridMultilevel"/>
    <w:tmpl w:val="9126CDB0"/>
    <w:lvl w:ilvl="0" w:tplc="4392B6E8">
      <w:start w:val="1"/>
      <w:numFmt w:val="lowerLetter"/>
      <w:lvlText w:val="(%1)"/>
      <w:lvlJc w:val="left"/>
      <w:pPr>
        <w:ind w:left="360" w:hanging="360"/>
      </w:pPr>
      <w:rPr>
        <w:rFonts w:hint="default"/>
        <w:b w:val="0"/>
        <w:bCs w:val="0"/>
        <w:i w:val="0"/>
        <w:iCs w:val="0"/>
        <w:caps w:val="0"/>
        <w:smallCaps w:val="0"/>
        <w:strike w:val="0"/>
        <w:dstrike w:val="0"/>
        <w:vanish w:val="0"/>
        <w:spacing w:val="0"/>
        <w:kern w:val="0"/>
        <w:position w:val="0"/>
        <w:u w:val="none"/>
        <w:vertAlign w:val="baseline"/>
        <w:em w:val="none"/>
      </w:rPr>
    </w:lvl>
    <w:lvl w:ilvl="1" w:tplc="9B300340" w:tentative="1">
      <w:start w:val="1"/>
      <w:numFmt w:val="bullet"/>
      <w:lvlText w:val="o"/>
      <w:lvlJc w:val="left"/>
      <w:pPr>
        <w:ind w:left="1080" w:hanging="360"/>
      </w:pPr>
      <w:rPr>
        <w:rFonts w:ascii="Courier New" w:hAnsi="Courier New" w:cs="Courier New" w:hint="default"/>
      </w:rPr>
    </w:lvl>
    <w:lvl w:ilvl="2" w:tplc="04C66FC4" w:tentative="1">
      <w:start w:val="1"/>
      <w:numFmt w:val="bullet"/>
      <w:lvlText w:val=""/>
      <w:lvlJc w:val="left"/>
      <w:pPr>
        <w:ind w:left="1800" w:hanging="360"/>
      </w:pPr>
      <w:rPr>
        <w:rFonts w:ascii="Wingdings" w:hAnsi="Wingdings" w:hint="default"/>
      </w:rPr>
    </w:lvl>
    <w:lvl w:ilvl="3" w:tplc="24041458" w:tentative="1">
      <w:start w:val="1"/>
      <w:numFmt w:val="bullet"/>
      <w:lvlText w:val=""/>
      <w:lvlJc w:val="left"/>
      <w:pPr>
        <w:ind w:left="2520" w:hanging="360"/>
      </w:pPr>
      <w:rPr>
        <w:rFonts w:ascii="Symbol" w:hAnsi="Symbol" w:hint="default"/>
      </w:rPr>
    </w:lvl>
    <w:lvl w:ilvl="4" w:tplc="C3729B6E" w:tentative="1">
      <w:start w:val="1"/>
      <w:numFmt w:val="bullet"/>
      <w:lvlText w:val="o"/>
      <w:lvlJc w:val="left"/>
      <w:pPr>
        <w:ind w:left="3240" w:hanging="360"/>
      </w:pPr>
      <w:rPr>
        <w:rFonts w:ascii="Courier New" w:hAnsi="Courier New" w:cs="Courier New" w:hint="default"/>
      </w:rPr>
    </w:lvl>
    <w:lvl w:ilvl="5" w:tplc="6964B086" w:tentative="1">
      <w:start w:val="1"/>
      <w:numFmt w:val="bullet"/>
      <w:lvlText w:val=""/>
      <w:lvlJc w:val="left"/>
      <w:pPr>
        <w:ind w:left="3960" w:hanging="360"/>
      </w:pPr>
      <w:rPr>
        <w:rFonts w:ascii="Wingdings" w:hAnsi="Wingdings" w:hint="default"/>
      </w:rPr>
    </w:lvl>
    <w:lvl w:ilvl="6" w:tplc="8124AA62" w:tentative="1">
      <w:start w:val="1"/>
      <w:numFmt w:val="bullet"/>
      <w:lvlText w:val=""/>
      <w:lvlJc w:val="left"/>
      <w:pPr>
        <w:ind w:left="4680" w:hanging="360"/>
      </w:pPr>
      <w:rPr>
        <w:rFonts w:ascii="Symbol" w:hAnsi="Symbol" w:hint="default"/>
      </w:rPr>
    </w:lvl>
    <w:lvl w:ilvl="7" w:tplc="016E59BE" w:tentative="1">
      <w:start w:val="1"/>
      <w:numFmt w:val="bullet"/>
      <w:lvlText w:val="o"/>
      <w:lvlJc w:val="left"/>
      <w:pPr>
        <w:ind w:left="5400" w:hanging="360"/>
      </w:pPr>
      <w:rPr>
        <w:rFonts w:ascii="Courier New" w:hAnsi="Courier New" w:cs="Courier New" w:hint="default"/>
      </w:rPr>
    </w:lvl>
    <w:lvl w:ilvl="8" w:tplc="3432EDF8" w:tentative="1">
      <w:start w:val="1"/>
      <w:numFmt w:val="bullet"/>
      <w:lvlText w:val=""/>
      <w:lvlJc w:val="left"/>
      <w:pPr>
        <w:ind w:left="6120" w:hanging="360"/>
      </w:pPr>
      <w:rPr>
        <w:rFonts w:ascii="Wingdings" w:hAnsi="Wingdings" w:hint="default"/>
      </w:rPr>
    </w:lvl>
  </w:abstractNum>
  <w:abstractNum w:abstractNumId="10">
    <w:nsid w:val="30FF5DE5"/>
    <w:multiLevelType w:val="hybridMultilevel"/>
    <w:tmpl w:val="D86AF23C"/>
    <w:lvl w:ilvl="0" w:tplc="B0E846E0">
      <w:numFmt w:val="bullet"/>
      <w:lvlText w:val="•"/>
      <w:lvlJc w:val="left"/>
      <w:pPr>
        <w:ind w:left="1260" w:hanging="54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55B20B0"/>
    <w:multiLevelType w:val="hybridMultilevel"/>
    <w:tmpl w:val="F2FAEFFE"/>
    <w:lvl w:ilvl="0" w:tplc="BE94C37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7205A5"/>
    <w:multiLevelType w:val="hybridMultilevel"/>
    <w:tmpl w:val="8A80ED5E"/>
    <w:lvl w:ilvl="0" w:tplc="4A02A3B6">
      <w:start w:val="1"/>
      <w:numFmt w:val="bullet"/>
      <w:lvlText w:val=""/>
      <w:lvlJc w:val="left"/>
      <w:pPr>
        <w:ind w:left="360" w:hanging="360"/>
      </w:pPr>
      <w:rPr>
        <w:rFonts w:ascii="Symbol" w:hAnsi="Symbol" w:hint="default"/>
        <w:sz w:val="16"/>
      </w:rPr>
    </w:lvl>
    <w:lvl w:ilvl="1" w:tplc="E06C3BFC">
      <w:start w:val="1"/>
      <w:numFmt w:val="bullet"/>
      <w:lvlText w:val="­"/>
      <w:lvlJc w:val="left"/>
      <w:pPr>
        <w:ind w:left="1080" w:hanging="360"/>
      </w:pPr>
      <w:rPr>
        <w:rFonts w:ascii="Courier New" w:hAnsi="Courier New" w:hint="default"/>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90C4152"/>
    <w:multiLevelType w:val="hybridMultilevel"/>
    <w:tmpl w:val="0F348EF4"/>
    <w:lvl w:ilvl="0" w:tplc="495A6DDC">
      <w:numFmt w:val="bullet"/>
      <w:lvlText w:val="·"/>
      <w:lvlJc w:val="left"/>
      <w:pPr>
        <w:ind w:left="900" w:hanging="54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5">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F983AFD"/>
    <w:multiLevelType w:val="hybridMultilevel"/>
    <w:tmpl w:val="6B7007F6"/>
    <w:lvl w:ilvl="0" w:tplc="0C090001">
      <w:start w:val="1"/>
      <w:numFmt w:val="decimal"/>
      <w:pStyle w:val="ListNumber"/>
      <w:lvlText w:val="%1."/>
      <w:lvlJc w:val="left"/>
      <w:pPr>
        <w:tabs>
          <w:tab w:val="num" w:pos="709"/>
        </w:tabs>
        <w:ind w:left="709" w:hanging="709"/>
      </w:pPr>
      <w:rPr>
        <w:rFonts w:hint="default"/>
        <w:b w:val="0"/>
        <w:i w:val="0"/>
      </w:rPr>
    </w:lvl>
    <w:lvl w:ilvl="1" w:tplc="0C090003">
      <w:start w:val="1"/>
      <w:numFmt w:val="lowerLetter"/>
      <w:lvlText w:val="(%2)"/>
      <w:lvlJc w:val="left"/>
      <w:pPr>
        <w:tabs>
          <w:tab w:val="num" w:pos="720"/>
        </w:tabs>
        <w:ind w:left="720" w:hanging="720"/>
      </w:pPr>
    </w:lvl>
    <w:lvl w:ilvl="2" w:tplc="0C090005">
      <w:start w:val="1"/>
      <w:numFmt w:val="none"/>
      <w:lvlText w:val="(a)"/>
      <w:lvlJc w:val="left"/>
      <w:pPr>
        <w:tabs>
          <w:tab w:val="num" w:pos="1080"/>
        </w:tabs>
        <w:ind w:left="1080" w:hanging="360"/>
      </w:pPr>
      <w:rPr>
        <w:rFonts w:hint="default"/>
      </w:rPr>
    </w:lvl>
    <w:lvl w:ilvl="3" w:tplc="0C090001">
      <w:start w:val="1"/>
      <w:numFmt w:val="decimal"/>
      <w:lvlText w:val="%4."/>
      <w:lvlJc w:val="left"/>
      <w:pPr>
        <w:tabs>
          <w:tab w:val="num" w:pos="1800"/>
        </w:tabs>
        <w:ind w:left="1800" w:hanging="360"/>
      </w:pPr>
    </w:lvl>
    <w:lvl w:ilvl="4" w:tplc="0C090003">
      <w:start w:val="1"/>
      <w:numFmt w:val="decimal"/>
      <w:lvlText w:val="%5."/>
      <w:lvlJc w:val="left"/>
      <w:pPr>
        <w:tabs>
          <w:tab w:val="num" w:pos="2520"/>
        </w:tabs>
        <w:ind w:left="2520" w:hanging="360"/>
      </w:pPr>
    </w:lvl>
    <w:lvl w:ilvl="5" w:tplc="0C090005">
      <w:start w:val="1"/>
      <w:numFmt w:val="decimal"/>
      <w:lvlText w:val="%6."/>
      <w:lvlJc w:val="left"/>
      <w:pPr>
        <w:tabs>
          <w:tab w:val="num" w:pos="3240"/>
        </w:tabs>
        <w:ind w:left="3240" w:hanging="360"/>
      </w:pPr>
    </w:lvl>
    <w:lvl w:ilvl="6" w:tplc="0C090001">
      <w:start w:val="1"/>
      <w:numFmt w:val="decimal"/>
      <w:lvlText w:val="%7."/>
      <w:lvlJc w:val="left"/>
      <w:pPr>
        <w:tabs>
          <w:tab w:val="num" w:pos="3960"/>
        </w:tabs>
        <w:ind w:left="3960" w:hanging="360"/>
      </w:pPr>
    </w:lvl>
    <w:lvl w:ilvl="7" w:tplc="0C090003">
      <w:start w:val="1"/>
      <w:numFmt w:val="decimal"/>
      <w:lvlText w:val="%8."/>
      <w:lvlJc w:val="left"/>
      <w:pPr>
        <w:tabs>
          <w:tab w:val="num" w:pos="4680"/>
        </w:tabs>
        <w:ind w:left="4680" w:hanging="360"/>
      </w:pPr>
    </w:lvl>
    <w:lvl w:ilvl="8" w:tplc="0C090005">
      <w:start w:val="1"/>
      <w:numFmt w:val="decimal"/>
      <w:lvlText w:val="%9."/>
      <w:lvlJc w:val="left"/>
      <w:pPr>
        <w:tabs>
          <w:tab w:val="num" w:pos="5400"/>
        </w:tabs>
        <w:ind w:left="5400" w:hanging="360"/>
      </w:pPr>
    </w:lvl>
  </w:abstractNum>
  <w:abstractNum w:abstractNumId="17">
    <w:nsid w:val="517008A8"/>
    <w:multiLevelType w:val="hybridMultilevel"/>
    <w:tmpl w:val="69A68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9D7E85"/>
    <w:multiLevelType w:val="hybridMultilevel"/>
    <w:tmpl w:val="B4465AE2"/>
    <w:lvl w:ilvl="0" w:tplc="02469080">
      <w:start w:val="1"/>
      <w:numFmt w:val="lowerRoman"/>
      <w:pStyle w:val="Numberpoint1"/>
      <w:lvlText w:val="%1."/>
      <w:lvlJc w:val="left"/>
      <w:pPr>
        <w:ind w:left="360" w:hanging="360"/>
      </w:pPr>
      <w:rPr>
        <w:rFonts w:hint="default"/>
        <w:sz w:val="24"/>
      </w:rPr>
    </w:lvl>
    <w:lvl w:ilvl="1" w:tplc="E06C3BFC">
      <w:start w:val="1"/>
      <w:numFmt w:val="bullet"/>
      <w:lvlText w:val="­"/>
      <w:lvlJc w:val="left"/>
      <w:pPr>
        <w:ind w:left="1080" w:hanging="360"/>
      </w:pPr>
      <w:rPr>
        <w:rFonts w:ascii="Courier New" w:hAnsi="Courier New" w:hint="default"/>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9153B85"/>
    <w:multiLevelType w:val="hybridMultilevel"/>
    <w:tmpl w:val="869C8736"/>
    <w:lvl w:ilvl="0" w:tplc="0C090001">
      <w:start w:val="1"/>
      <w:numFmt w:val="lowerLetter"/>
      <w:lvlText w:val="(%1)"/>
      <w:lvlJc w:val="left"/>
      <w:pPr>
        <w:ind w:left="360" w:hanging="360"/>
      </w:pPr>
      <w:rPr>
        <w:rFonts w:hint="default"/>
        <w:b w:val="0"/>
        <w:bCs w:val="0"/>
        <w:i w:val="0"/>
        <w:iCs w:val="0"/>
        <w:caps w:val="0"/>
        <w:smallCaps w:val="0"/>
        <w:strike w:val="0"/>
        <w:dstrike w:val="0"/>
        <w:vanish w:val="0"/>
        <w:spacing w:val="0"/>
        <w:kern w:val="0"/>
        <w:position w:val="0"/>
        <w:u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ADF64E5"/>
    <w:multiLevelType w:val="hybridMultilevel"/>
    <w:tmpl w:val="FCB8A704"/>
    <w:lvl w:ilvl="0" w:tplc="0C090001">
      <w:start w:val="1"/>
      <w:numFmt w:val="bullet"/>
      <w:lvlText w:val=""/>
      <w:lvlJc w:val="left"/>
      <w:pPr>
        <w:ind w:left="1260" w:hanging="54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D7A62B1"/>
    <w:multiLevelType w:val="hybridMultilevel"/>
    <w:tmpl w:val="2B76D306"/>
    <w:lvl w:ilvl="0" w:tplc="0C090001">
      <w:start w:val="1"/>
      <w:numFmt w:val="lowerRoman"/>
      <w:pStyle w:val="Romannumbered"/>
      <w:lvlText w:val="(%1)"/>
      <w:lvlJc w:val="left"/>
      <w:pPr>
        <w:ind w:left="360" w:hanging="360"/>
      </w:pPr>
      <w:rPr>
        <w:rFonts w:hint="default"/>
        <w:b w:val="0"/>
        <w:bCs w:val="0"/>
        <w:i w:val="0"/>
        <w:iCs w:val="0"/>
        <w:caps w:val="0"/>
        <w:smallCaps w:val="0"/>
        <w:strike w:val="0"/>
        <w:dstrike w:val="0"/>
        <w:vanish w:val="0"/>
        <w:spacing w:val="0"/>
        <w:kern w:val="0"/>
        <w:position w:val="0"/>
        <w:sz w:val="24"/>
        <w:u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32E1C7B"/>
    <w:multiLevelType w:val="hybridMultilevel"/>
    <w:tmpl w:val="234A3B1E"/>
    <w:lvl w:ilvl="0" w:tplc="5436FC3E">
      <w:start w:val="1"/>
      <w:numFmt w:val="bullet"/>
      <w:pStyle w:val="Dotpoint1"/>
      <w:lvlText w:val=""/>
      <w:lvlJc w:val="left"/>
      <w:pPr>
        <w:ind w:left="360" w:hanging="360"/>
      </w:pPr>
      <w:rPr>
        <w:rFonts w:ascii="Symbol" w:hAnsi="Symbol" w:hint="default"/>
        <w:sz w:val="16"/>
      </w:rPr>
    </w:lvl>
    <w:lvl w:ilvl="1" w:tplc="E06C3BFC">
      <w:start w:val="1"/>
      <w:numFmt w:val="bullet"/>
      <w:pStyle w:val="Dashpoint1"/>
      <w:lvlText w:val="­"/>
      <w:lvlJc w:val="left"/>
      <w:pPr>
        <w:ind w:left="1080" w:hanging="360"/>
      </w:pPr>
      <w:rPr>
        <w:rFonts w:ascii="Courier New" w:hAnsi="Courier New" w:hint="default"/>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47954DB"/>
    <w:multiLevelType w:val="hybridMultilevel"/>
    <w:tmpl w:val="3974789C"/>
    <w:lvl w:ilvl="0" w:tplc="495A6DDC">
      <w:numFmt w:val="bullet"/>
      <w:lvlText w:val="·"/>
      <w:lvlJc w:val="left"/>
      <w:pPr>
        <w:ind w:left="1260" w:hanging="54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9F17E41"/>
    <w:multiLevelType w:val="hybridMultilevel"/>
    <w:tmpl w:val="869C8736"/>
    <w:lvl w:ilvl="0" w:tplc="3942EFF6">
      <w:start w:val="1"/>
      <w:numFmt w:val="lowerLetter"/>
      <w:lvlText w:val="(%1)"/>
      <w:lvlJc w:val="left"/>
      <w:pPr>
        <w:ind w:left="360" w:hanging="360"/>
      </w:pPr>
      <w:rPr>
        <w:rFonts w:hint="default"/>
        <w:b w:val="0"/>
        <w:bCs w:val="0"/>
        <w:i w:val="0"/>
        <w:iCs w:val="0"/>
        <w:caps w:val="0"/>
        <w:smallCaps w:val="0"/>
        <w:strike w:val="0"/>
        <w:dstrike w:val="0"/>
        <w:vanish w:val="0"/>
        <w:spacing w:val="0"/>
        <w:kern w:val="0"/>
        <w:position w:val="0"/>
        <w:u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F82304A"/>
    <w:multiLevelType w:val="hybridMultilevel"/>
    <w:tmpl w:val="817A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F01BAC"/>
    <w:multiLevelType w:val="hybridMultilevel"/>
    <w:tmpl w:val="B0821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B8C0AAB"/>
    <w:multiLevelType w:val="multilevel"/>
    <w:tmpl w:val="9AE6D7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4"/>
  </w:num>
  <w:num w:numId="4">
    <w:abstractNumId w:val="2"/>
  </w:num>
  <w:num w:numId="5">
    <w:abstractNumId w:val="22"/>
  </w:num>
  <w:num w:numId="6">
    <w:abstractNumId w:val="18"/>
  </w:num>
  <w:num w:numId="7">
    <w:abstractNumId w:val="17"/>
  </w:num>
  <w:num w:numId="8">
    <w:abstractNumId w:val="13"/>
  </w:num>
  <w:num w:numId="9">
    <w:abstractNumId w:val="23"/>
  </w:num>
  <w:num w:numId="10">
    <w:abstractNumId w:val="20"/>
  </w:num>
  <w:num w:numId="11">
    <w:abstractNumId w:val="10"/>
  </w:num>
  <w:num w:numId="12">
    <w:abstractNumId w:val="25"/>
  </w:num>
  <w:num w:numId="13">
    <w:abstractNumId w:val="0"/>
  </w:num>
  <w:num w:numId="14">
    <w:abstractNumId w:val="5"/>
  </w:num>
  <w:num w:numId="15">
    <w:abstractNumId w:val="22"/>
  </w:num>
  <w:num w:numId="16">
    <w:abstractNumId w:val="22"/>
  </w:num>
  <w:num w:numId="17">
    <w:abstractNumId w:val="12"/>
  </w:num>
  <w:num w:numId="18">
    <w:abstractNumId w:val="7"/>
  </w:num>
  <w:num w:numId="19">
    <w:abstractNumId w:val="22"/>
  </w:num>
  <w:num w:numId="20">
    <w:abstractNumId w:val="27"/>
  </w:num>
  <w:num w:numId="21">
    <w:abstractNumId w:val="8"/>
  </w:num>
  <w:num w:numId="22">
    <w:abstractNumId w:val="16"/>
  </w:num>
  <w:num w:numId="23">
    <w:abstractNumId w:val="11"/>
  </w:num>
  <w:num w:numId="24">
    <w:abstractNumId w:val="26"/>
  </w:num>
  <w:num w:numId="25">
    <w:abstractNumId w:val="6"/>
  </w:num>
  <w:num w:numId="26">
    <w:abstractNumId w:val="19"/>
  </w:num>
  <w:num w:numId="27">
    <w:abstractNumId w:val="24"/>
  </w:num>
  <w:num w:numId="28">
    <w:abstractNumId w:val="9"/>
  </w:num>
  <w:num w:numId="29">
    <w:abstractNumId w:val="3"/>
  </w:num>
  <w:num w:numId="30">
    <w:abstractNumId w:val="21"/>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AC"/>
    <w:rsid w:val="00000DC2"/>
    <w:rsid w:val="0001310B"/>
    <w:rsid w:val="00026F15"/>
    <w:rsid w:val="00032BF9"/>
    <w:rsid w:val="0003362C"/>
    <w:rsid w:val="00056406"/>
    <w:rsid w:val="00062EA2"/>
    <w:rsid w:val="00063601"/>
    <w:rsid w:val="000719DF"/>
    <w:rsid w:val="00072E59"/>
    <w:rsid w:val="00073AFE"/>
    <w:rsid w:val="0008085C"/>
    <w:rsid w:val="000844A0"/>
    <w:rsid w:val="00093544"/>
    <w:rsid w:val="000A6421"/>
    <w:rsid w:val="000B1CB5"/>
    <w:rsid w:val="000B4711"/>
    <w:rsid w:val="000B6F33"/>
    <w:rsid w:val="000C4A78"/>
    <w:rsid w:val="000C7F1A"/>
    <w:rsid w:val="000D0B3E"/>
    <w:rsid w:val="000E3AB1"/>
    <w:rsid w:val="000E5261"/>
    <w:rsid w:val="000E6263"/>
    <w:rsid w:val="000F184E"/>
    <w:rsid w:val="00106AB6"/>
    <w:rsid w:val="001144EB"/>
    <w:rsid w:val="00120FAE"/>
    <w:rsid w:val="00133B29"/>
    <w:rsid w:val="00160ECC"/>
    <w:rsid w:val="001613A1"/>
    <w:rsid w:val="001616D0"/>
    <w:rsid w:val="00161E93"/>
    <w:rsid w:val="00165419"/>
    <w:rsid w:val="00172DE0"/>
    <w:rsid w:val="001759FB"/>
    <w:rsid w:val="001775C4"/>
    <w:rsid w:val="0019615F"/>
    <w:rsid w:val="001A7D74"/>
    <w:rsid w:val="001C21D5"/>
    <w:rsid w:val="001C31FE"/>
    <w:rsid w:val="001D070E"/>
    <w:rsid w:val="001D43BA"/>
    <w:rsid w:val="001E1F87"/>
    <w:rsid w:val="001E3B1B"/>
    <w:rsid w:val="001F0B61"/>
    <w:rsid w:val="001F3267"/>
    <w:rsid w:val="001F58A6"/>
    <w:rsid w:val="0020449C"/>
    <w:rsid w:val="002068C7"/>
    <w:rsid w:val="00215446"/>
    <w:rsid w:val="00232FC0"/>
    <w:rsid w:val="002337F1"/>
    <w:rsid w:val="002456AF"/>
    <w:rsid w:val="002469B1"/>
    <w:rsid w:val="00263127"/>
    <w:rsid w:val="00264EB1"/>
    <w:rsid w:val="00275457"/>
    <w:rsid w:val="00283F0F"/>
    <w:rsid w:val="002861C1"/>
    <w:rsid w:val="002A1197"/>
    <w:rsid w:val="002A4920"/>
    <w:rsid w:val="002B6AB9"/>
    <w:rsid w:val="002B7A36"/>
    <w:rsid w:val="002C119C"/>
    <w:rsid w:val="002C3EFA"/>
    <w:rsid w:val="002D22FC"/>
    <w:rsid w:val="002D5BF7"/>
    <w:rsid w:val="002E108C"/>
    <w:rsid w:val="002F1455"/>
    <w:rsid w:val="002F5267"/>
    <w:rsid w:val="00302ACC"/>
    <w:rsid w:val="00305C4E"/>
    <w:rsid w:val="00312082"/>
    <w:rsid w:val="003229A4"/>
    <w:rsid w:val="003277D1"/>
    <w:rsid w:val="003350FE"/>
    <w:rsid w:val="003373CF"/>
    <w:rsid w:val="003467E3"/>
    <w:rsid w:val="003551AC"/>
    <w:rsid w:val="00380904"/>
    <w:rsid w:val="00380A94"/>
    <w:rsid w:val="00386637"/>
    <w:rsid w:val="00386FCA"/>
    <w:rsid w:val="003A4502"/>
    <w:rsid w:val="003C0DA1"/>
    <w:rsid w:val="003C10E0"/>
    <w:rsid w:val="003C6546"/>
    <w:rsid w:val="003D1186"/>
    <w:rsid w:val="003E6354"/>
    <w:rsid w:val="003E68C8"/>
    <w:rsid w:val="003E7608"/>
    <w:rsid w:val="00403835"/>
    <w:rsid w:val="00404F2A"/>
    <w:rsid w:val="00412723"/>
    <w:rsid w:val="0042249C"/>
    <w:rsid w:val="004256FB"/>
    <w:rsid w:val="00425A74"/>
    <w:rsid w:val="004261AA"/>
    <w:rsid w:val="004305A9"/>
    <w:rsid w:val="00454F0C"/>
    <w:rsid w:val="00461C6F"/>
    <w:rsid w:val="004736D9"/>
    <w:rsid w:val="004758DC"/>
    <w:rsid w:val="00490569"/>
    <w:rsid w:val="00492154"/>
    <w:rsid w:val="00495DF6"/>
    <w:rsid w:val="004A0103"/>
    <w:rsid w:val="004A315D"/>
    <w:rsid w:val="004A696F"/>
    <w:rsid w:val="004A6D16"/>
    <w:rsid w:val="004B2F01"/>
    <w:rsid w:val="004B38E6"/>
    <w:rsid w:val="004D0800"/>
    <w:rsid w:val="004D4B32"/>
    <w:rsid w:val="004D55CB"/>
    <w:rsid w:val="00501461"/>
    <w:rsid w:val="005139A0"/>
    <w:rsid w:val="00530008"/>
    <w:rsid w:val="00532423"/>
    <w:rsid w:val="00533CF6"/>
    <w:rsid w:val="005354D8"/>
    <w:rsid w:val="00552319"/>
    <w:rsid w:val="00552803"/>
    <w:rsid w:val="0056168A"/>
    <w:rsid w:val="005700BA"/>
    <w:rsid w:val="005753BC"/>
    <w:rsid w:val="00580BA6"/>
    <w:rsid w:val="00582726"/>
    <w:rsid w:val="00583D64"/>
    <w:rsid w:val="00594490"/>
    <w:rsid w:val="005961ED"/>
    <w:rsid w:val="00597421"/>
    <w:rsid w:val="005B020F"/>
    <w:rsid w:val="005B5D7F"/>
    <w:rsid w:val="005B66DA"/>
    <w:rsid w:val="005C2AC7"/>
    <w:rsid w:val="005C43A9"/>
    <w:rsid w:val="005D0A27"/>
    <w:rsid w:val="005D0E12"/>
    <w:rsid w:val="005D6AE5"/>
    <w:rsid w:val="005E0511"/>
    <w:rsid w:val="005E7F72"/>
    <w:rsid w:val="005F5B2C"/>
    <w:rsid w:val="00602E4E"/>
    <w:rsid w:val="006052C7"/>
    <w:rsid w:val="00605581"/>
    <w:rsid w:val="00606A9A"/>
    <w:rsid w:val="00607AF6"/>
    <w:rsid w:val="00615576"/>
    <w:rsid w:val="006241CD"/>
    <w:rsid w:val="006359D5"/>
    <w:rsid w:val="006365D3"/>
    <w:rsid w:val="006428B0"/>
    <w:rsid w:val="00650E52"/>
    <w:rsid w:val="00656171"/>
    <w:rsid w:val="00667ABA"/>
    <w:rsid w:val="00667F90"/>
    <w:rsid w:val="0067064E"/>
    <w:rsid w:val="0067303A"/>
    <w:rsid w:val="006730CA"/>
    <w:rsid w:val="006752CE"/>
    <w:rsid w:val="00677A35"/>
    <w:rsid w:val="006841D3"/>
    <w:rsid w:val="00685B90"/>
    <w:rsid w:val="00690E29"/>
    <w:rsid w:val="006D4E0B"/>
    <w:rsid w:val="006E2926"/>
    <w:rsid w:val="006E4EF3"/>
    <w:rsid w:val="006F5D08"/>
    <w:rsid w:val="00702EAC"/>
    <w:rsid w:val="00714AE9"/>
    <w:rsid w:val="00716E51"/>
    <w:rsid w:val="00722D56"/>
    <w:rsid w:val="00724CCD"/>
    <w:rsid w:val="00730AD7"/>
    <w:rsid w:val="00735946"/>
    <w:rsid w:val="00747EFD"/>
    <w:rsid w:val="007561BA"/>
    <w:rsid w:val="00764EAF"/>
    <w:rsid w:val="00765C4C"/>
    <w:rsid w:val="00780882"/>
    <w:rsid w:val="007936BC"/>
    <w:rsid w:val="007B41A5"/>
    <w:rsid w:val="007B4E07"/>
    <w:rsid w:val="007C0A75"/>
    <w:rsid w:val="007D00B7"/>
    <w:rsid w:val="007D6E0D"/>
    <w:rsid w:val="007E62C5"/>
    <w:rsid w:val="007F65B0"/>
    <w:rsid w:val="00800477"/>
    <w:rsid w:val="0081309E"/>
    <w:rsid w:val="0081414C"/>
    <w:rsid w:val="0081426F"/>
    <w:rsid w:val="0082657B"/>
    <w:rsid w:val="00830B09"/>
    <w:rsid w:val="00854F9C"/>
    <w:rsid w:val="008728C3"/>
    <w:rsid w:val="00875146"/>
    <w:rsid w:val="00880502"/>
    <w:rsid w:val="008831BF"/>
    <w:rsid w:val="00886E78"/>
    <w:rsid w:val="008903E2"/>
    <w:rsid w:val="00894EC3"/>
    <w:rsid w:val="00897626"/>
    <w:rsid w:val="008C0CE8"/>
    <w:rsid w:val="008C40D3"/>
    <w:rsid w:val="008C4812"/>
    <w:rsid w:val="008C4B70"/>
    <w:rsid w:val="008D4F7F"/>
    <w:rsid w:val="008E086A"/>
    <w:rsid w:val="008E0B22"/>
    <w:rsid w:val="008E1401"/>
    <w:rsid w:val="008E6B64"/>
    <w:rsid w:val="008F256B"/>
    <w:rsid w:val="008F4E54"/>
    <w:rsid w:val="008F4FF7"/>
    <w:rsid w:val="00903567"/>
    <w:rsid w:val="00904EF6"/>
    <w:rsid w:val="00913DE3"/>
    <w:rsid w:val="00915B7D"/>
    <w:rsid w:val="00924CD5"/>
    <w:rsid w:val="00933883"/>
    <w:rsid w:val="00933E7C"/>
    <w:rsid w:val="009427DB"/>
    <w:rsid w:val="00954131"/>
    <w:rsid w:val="00983B88"/>
    <w:rsid w:val="00995779"/>
    <w:rsid w:val="009A3723"/>
    <w:rsid w:val="009A41CB"/>
    <w:rsid w:val="009A53C9"/>
    <w:rsid w:val="009C3F53"/>
    <w:rsid w:val="009D1D96"/>
    <w:rsid w:val="009D28BC"/>
    <w:rsid w:val="009D28DB"/>
    <w:rsid w:val="009D4F3A"/>
    <w:rsid w:val="009D6373"/>
    <w:rsid w:val="009E7442"/>
    <w:rsid w:val="00A030CC"/>
    <w:rsid w:val="00A06058"/>
    <w:rsid w:val="00A1565C"/>
    <w:rsid w:val="00A22B05"/>
    <w:rsid w:val="00A308BC"/>
    <w:rsid w:val="00A42ABA"/>
    <w:rsid w:val="00A50575"/>
    <w:rsid w:val="00A67C92"/>
    <w:rsid w:val="00A818B5"/>
    <w:rsid w:val="00AA7425"/>
    <w:rsid w:val="00AB08F2"/>
    <w:rsid w:val="00AB2BCF"/>
    <w:rsid w:val="00AC18FF"/>
    <w:rsid w:val="00AC2003"/>
    <w:rsid w:val="00AD1A82"/>
    <w:rsid w:val="00AD1CA4"/>
    <w:rsid w:val="00AD42B8"/>
    <w:rsid w:val="00AF4EDA"/>
    <w:rsid w:val="00AF5A99"/>
    <w:rsid w:val="00B01C22"/>
    <w:rsid w:val="00B028BB"/>
    <w:rsid w:val="00B14040"/>
    <w:rsid w:val="00B17CD6"/>
    <w:rsid w:val="00B20521"/>
    <w:rsid w:val="00B21495"/>
    <w:rsid w:val="00B46447"/>
    <w:rsid w:val="00B4678D"/>
    <w:rsid w:val="00B47BA3"/>
    <w:rsid w:val="00B82BE8"/>
    <w:rsid w:val="00B8705E"/>
    <w:rsid w:val="00BA107A"/>
    <w:rsid w:val="00BA2E35"/>
    <w:rsid w:val="00BB1B17"/>
    <w:rsid w:val="00BC2CE6"/>
    <w:rsid w:val="00BE55E4"/>
    <w:rsid w:val="00BF0B08"/>
    <w:rsid w:val="00BF2281"/>
    <w:rsid w:val="00C009E9"/>
    <w:rsid w:val="00C06161"/>
    <w:rsid w:val="00C235DF"/>
    <w:rsid w:val="00C23ACB"/>
    <w:rsid w:val="00C25B1E"/>
    <w:rsid w:val="00C31DC7"/>
    <w:rsid w:val="00C32F78"/>
    <w:rsid w:val="00C50BF2"/>
    <w:rsid w:val="00C539B9"/>
    <w:rsid w:val="00C54FFD"/>
    <w:rsid w:val="00C66CC2"/>
    <w:rsid w:val="00C72B27"/>
    <w:rsid w:val="00C85B96"/>
    <w:rsid w:val="00C929A0"/>
    <w:rsid w:val="00CA4E1C"/>
    <w:rsid w:val="00CE4B86"/>
    <w:rsid w:val="00CF76BB"/>
    <w:rsid w:val="00D33B38"/>
    <w:rsid w:val="00D40761"/>
    <w:rsid w:val="00D618B2"/>
    <w:rsid w:val="00D72B45"/>
    <w:rsid w:val="00D754BB"/>
    <w:rsid w:val="00D842DC"/>
    <w:rsid w:val="00D86467"/>
    <w:rsid w:val="00D90FF0"/>
    <w:rsid w:val="00D97D2B"/>
    <w:rsid w:val="00DC2BC8"/>
    <w:rsid w:val="00DD7A59"/>
    <w:rsid w:val="00DF353C"/>
    <w:rsid w:val="00E011DC"/>
    <w:rsid w:val="00E1266B"/>
    <w:rsid w:val="00E13740"/>
    <w:rsid w:val="00E27AA6"/>
    <w:rsid w:val="00E27B50"/>
    <w:rsid w:val="00E315AB"/>
    <w:rsid w:val="00E4299B"/>
    <w:rsid w:val="00E46650"/>
    <w:rsid w:val="00E62C53"/>
    <w:rsid w:val="00E703B3"/>
    <w:rsid w:val="00E724D1"/>
    <w:rsid w:val="00E736CF"/>
    <w:rsid w:val="00E832FA"/>
    <w:rsid w:val="00E91034"/>
    <w:rsid w:val="00E9576A"/>
    <w:rsid w:val="00E96A8F"/>
    <w:rsid w:val="00EA475D"/>
    <w:rsid w:val="00EB29ED"/>
    <w:rsid w:val="00EB2E02"/>
    <w:rsid w:val="00EB47B8"/>
    <w:rsid w:val="00ED695D"/>
    <w:rsid w:val="00ED78FF"/>
    <w:rsid w:val="00EE2A40"/>
    <w:rsid w:val="00EF52E7"/>
    <w:rsid w:val="00F03418"/>
    <w:rsid w:val="00F05F0B"/>
    <w:rsid w:val="00F061D4"/>
    <w:rsid w:val="00F11AC5"/>
    <w:rsid w:val="00F124B2"/>
    <w:rsid w:val="00F1323E"/>
    <w:rsid w:val="00F149FF"/>
    <w:rsid w:val="00F1586C"/>
    <w:rsid w:val="00F20359"/>
    <w:rsid w:val="00F21030"/>
    <w:rsid w:val="00F25E7B"/>
    <w:rsid w:val="00F2746C"/>
    <w:rsid w:val="00F31D7E"/>
    <w:rsid w:val="00F33710"/>
    <w:rsid w:val="00F341FE"/>
    <w:rsid w:val="00F36185"/>
    <w:rsid w:val="00F45BFE"/>
    <w:rsid w:val="00F463C7"/>
    <w:rsid w:val="00F51411"/>
    <w:rsid w:val="00F55EE0"/>
    <w:rsid w:val="00F57F56"/>
    <w:rsid w:val="00F65B5E"/>
    <w:rsid w:val="00F76002"/>
    <w:rsid w:val="00F92708"/>
    <w:rsid w:val="00F9578E"/>
    <w:rsid w:val="00F9796B"/>
    <w:rsid w:val="00FB0F48"/>
    <w:rsid w:val="00FB1CA2"/>
    <w:rsid w:val="00FB7B85"/>
    <w:rsid w:val="00FC6F25"/>
    <w:rsid w:val="00FD0C15"/>
    <w:rsid w:val="00FD422C"/>
    <w:rsid w:val="00FD4D19"/>
    <w:rsid w:val="00FE283A"/>
    <w:rsid w:val="00FF33C2"/>
    <w:rsid w:val="00FF3C36"/>
    <w:rsid w:val="00FF6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99"/>
    <w:lsdException w:name="header" w:uiPriority="99"/>
    <w:lsdException w:name="footer" w:uiPriority="99"/>
    <w:lsdException w:name="caption" w:qFormat="1"/>
    <w:lsdException w:name="List Number" w:semiHidden="0" w:unhideWhenUsed="0" w:qFormat="1"/>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5C4E"/>
    <w:rPr>
      <w:sz w:val="24"/>
      <w:szCs w:val="24"/>
    </w:rPr>
  </w:style>
  <w:style w:type="paragraph" w:styleId="Heading1">
    <w:name w:val="heading 1"/>
    <w:basedOn w:val="Normal"/>
    <w:next w:val="Normal"/>
    <w:link w:val="Heading1Char"/>
    <w:rsid w:val="00305C4E"/>
    <w:pPr>
      <w:keepNext/>
      <w:spacing w:before="240" w:after="60"/>
      <w:outlineLvl w:val="0"/>
    </w:pPr>
    <w:rPr>
      <w:rFonts w:cs="Arial"/>
      <w:b/>
      <w:bCs/>
      <w:kern w:val="32"/>
      <w:sz w:val="28"/>
      <w:szCs w:val="32"/>
    </w:rPr>
  </w:style>
  <w:style w:type="paragraph" w:styleId="Heading2">
    <w:name w:val="heading 2"/>
    <w:basedOn w:val="Normal"/>
    <w:next w:val="Normal"/>
    <w:link w:val="Heading2Char"/>
    <w:unhideWhenUsed/>
    <w:qFormat/>
    <w:rsid w:val="00305C4E"/>
    <w:pPr>
      <w:keepNext/>
      <w:spacing w:before="360" w:after="120"/>
      <w:outlineLvl w:val="1"/>
    </w:pPr>
    <w:rPr>
      <w:b/>
      <w:bCs/>
      <w:iCs/>
      <w:caps/>
      <w:sz w:val="28"/>
      <w:szCs w:val="28"/>
    </w:rPr>
  </w:style>
  <w:style w:type="paragraph" w:styleId="Heading3">
    <w:name w:val="heading 3"/>
    <w:basedOn w:val="Normal"/>
    <w:next w:val="Normal"/>
    <w:link w:val="Heading3Char"/>
    <w:qFormat/>
    <w:rsid w:val="00305C4E"/>
    <w:pPr>
      <w:keepNext/>
      <w:spacing w:before="360" w:after="60"/>
      <w:outlineLvl w:val="2"/>
    </w:pPr>
    <w:rPr>
      <w:b/>
      <w:bCs/>
      <w:sz w:val="28"/>
      <w:szCs w:val="26"/>
    </w:rPr>
  </w:style>
  <w:style w:type="paragraph" w:styleId="Heading4">
    <w:name w:val="heading 4"/>
    <w:basedOn w:val="dotpoint"/>
    <w:next w:val="Normal"/>
    <w:link w:val="Heading4Char"/>
    <w:unhideWhenUsed/>
    <w:qFormat/>
    <w:rsid w:val="00305C4E"/>
    <w:pPr>
      <w:keepNext/>
      <w:numPr>
        <w:numId w:val="0"/>
      </w:numPr>
      <w:spacing w:before="360"/>
      <w:outlineLvl w:val="3"/>
    </w:pPr>
    <w:rPr>
      <w:b/>
      <w:i/>
      <w:sz w:val="24"/>
    </w:rPr>
  </w:style>
  <w:style w:type="paragraph" w:styleId="Heading5">
    <w:name w:val="heading 5"/>
    <w:basedOn w:val="Normal"/>
    <w:next w:val="Normal"/>
    <w:link w:val="Heading5Char"/>
    <w:unhideWhenUsed/>
    <w:qFormat/>
    <w:rsid w:val="00305C4E"/>
    <w:pPr>
      <w:keepNext/>
      <w:spacing w:before="200"/>
      <w:outlineLvl w:val="4"/>
    </w:pPr>
    <w:rPr>
      <w:i/>
    </w:rPr>
  </w:style>
  <w:style w:type="paragraph" w:styleId="Heading6">
    <w:name w:val="heading 6"/>
    <w:basedOn w:val="Normal"/>
    <w:next w:val="Normal"/>
    <w:link w:val="Heading6Char"/>
    <w:uiPriority w:val="9"/>
    <w:qFormat/>
    <w:rsid w:val="00305C4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05C4E"/>
    <w:rPr>
      <w:rFonts w:ascii="Calibri" w:eastAsia="Times New Roman" w:hAnsi="Calibri" w:cs="Times New Roman"/>
      <w:b/>
      <w:bCs/>
      <w:sz w:val="22"/>
      <w:szCs w:val="22"/>
    </w:rPr>
  </w:style>
  <w:style w:type="paragraph" w:customStyle="1" w:styleId="Appendix">
    <w:name w:val="Appendix"/>
    <w:basedOn w:val="Normal"/>
    <w:link w:val="AppendixCharChar"/>
    <w:rsid w:val="00305C4E"/>
    <w:pPr>
      <w:jc w:val="right"/>
    </w:pPr>
    <w:rPr>
      <w:b/>
    </w:rPr>
  </w:style>
  <w:style w:type="character" w:customStyle="1" w:styleId="AppendixCharChar">
    <w:name w:val="Appendix Char Char"/>
    <w:basedOn w:val="DefaultParagraphFont"/>
    <w:link w:val="Appendix"/>
    <w:locked/>
    <w:rsid w:val="00305C4E"/>
    <w:rPr>
      <w:rFonts w:cs="Times New Roman"/>
      <w:b/>
      <w:sz w:val="24"/>
      <w:lang w:val="en-AU" w:eastAsia="en-AU" w:bidi="ar-SA"/>
    </w:rPr>
  </w:style>
  <w:style w:type="paragraph" w:customStyle="1" w:styleId="HB-dotpoint">
    <w:name w:val="HB - dotpoint"/>
    <w:basedOn w:val="Normal"/>
    <w:rsid w:val="00305C4E"/>
    <w:pPr>
      <w:numPr>
        <w:numId w:val="1"/>
      </w:numPr>
      <w:spacing w:before="180"/>
    </w:pPr>
  </w:style>
  <w:style w:type="paragraph" w:customStyle="1" w:styleId="bodytext1">
    <w:name w:val="bodytext1"/>
    <w:basedOn w:val="Normal"/>
    <w:rsid w:val="00305C4E"/>
    <w:pPr>
      <w:spacing w:before="180" w:after="180"/>
    </w:pPr>
    <w:rPr>
      <w:color w:val="444444"/>
    </w:rPr>
  </w:style>
  <w:style w:type="paragraph" w:styleId="BalloonText">
    <w:name w:val="Balloon Text"/>
    <w:basedOn w:val="Normal"/>
    <w:link w:val="BalloonTextChar"/>
    <w:uiPriority w:val="99"/>
    <w:semiHidden/>
    <w:rsid w:val="00305C4E"/>
    <w:rPr>
      <w:rFonts w:ascii="Tahoma" w:hAnsi="Tahoma" w:cs="Tahoma"/>
      <w:sz w:val="16"/>
      <w:szCs w:val="16"/>
    </w:rPr>
  </w:style>
  <w:style w:type="character" w:customStyle="1" w:styleId="BalloonTextChar">
    <w:name w:val="Balloon Text Char"/>
    <w:basedOn w:val="DefaultParagraphFont"/>
    <w:link w:val="BalloonText"/>
    <w:uiPriority w:val="99"/>
    <w:semiHidden/>
    <w:rsid w:val="00305C4E"/>
    <w:rPr>
      <w:sz w:val="0"/>
      <w:szCs w:val="0"/>
    </w:rPr>
  </w:style>
  <w:style w:type="character" w:styleId="CommentReference">
    <w:name w:val="annotation reference"/>
    <w:basedOn w:val="DefaultParagraphFont"/>
    <w:rsid w:val="00305C4E"/>
    <w:rPr>
      <w:rFonts w:cs="Times New Roman"/>
      <w:sz w:val="16"/>
      <w:szCs w:val="16"/>
    </w:rPr>
  </w:style>
  <w:style w:type="paragraph" w:styleId="CommentText">
    <w:name w:val="annotation text"/>
    <w:basedOn w:val="Normal"/>
    <w:link w:val="CommentTextChar"/>
    <w:uiPriority w:val="99"/>
    <w:rsid w:val="00305C4E"/>
    <w:rPr>
      <w:sz w:val="20"/>
      <w:szCs w:val="20"/>
    </w:rPr>
  </w:style>
  <w:style w:type="character" w:customStyle="1" w:styleId="CommentTextChar">
    <w:name w:val="Comment Text Char"/>
    <w:basedOn w:val="DefaultParagraphFont"/>
    <w:link w:val="CommentText"/>
    <w:uiPriority w:val="99"/>
    <w:rsid w:val="00305C4E"/>
  </w:style>
  <w:style w:type="paragraph" w:styleId="CommentSubject">
    <w:name w:val="annotation subject"/>
    <w:basedOn w:val="CommentText"/>
    <w:next w:val="CommentText"/>
    <w:link w:val="CommentSubjectChar"/>
    <w:uiPriority w:val="99"/>
    <w:semiHidden/>
    <w:rsid w:val="00305C4E"/>
    <w:rPr>
      <w:b/>
      <w:bCs/>
    </w:rPr>
  </w:style>
  <w:style w:type="character" w:customStyle="1" w:styleId="CommentSubjectChar">
    <w:name w:val="Comment Subject Char"/>
    <w:basedOn w:val="CommentTextChar"/>
    <w:link w:val="CommentSubject"/>
    <w:uiPriority w:val="99"/>
    <w:semiHidden/>
    <w:rsid w:val="00305C4E"/>
    <w:rPr>
      <w:b/>
      <w:bCs/>
    </w:rPr>
  </w:style>
  <w:style w:type="paragraph" w:styleId="Header">
    <w:name w:val="header"/>
    <w:basedOn w:val="Normal"/>
    <w:link w:val="HeaderChar"/>
    <w:uiPriority w:val="99"/>
    <w:rsid w:val="00305C4E"/>
    <w:pPr>
      <w:tabs>
        <w:tab w:val="center" w:pos="4153"/>
        <w:tab w:val="right" w:pos="8306"/>
      </w:tabs>
    </w:pPr>
  </w:style>
  <w:style w:type="character" w:customStyle="1" w:styleId="HeaderChar">
    <w:name w:val="Header Char"/>
    <w:basedOn w:val="DefaultParagraphFont"/>
    <w:link w:val="Header"/>
    <w:uiPriority w:val="99"/>
    <w:rsid w:val="00305C4E"/>
    <w:rPr>
      <w:sz w:val="24"/>
      <w:szCs w:val="24"/>
    </w:rPr>
  </w:style>
  <w:style w:type="character" w:styleId="PageNumber">
    <w:name w:val="page number"/>
    <w:basedOn w:val="DefaultParagraphFont"/>
    <w:rsid w:val="00305C4E"/>
  </w:style>
  <w:style w:type="paragraph" w:styleId="Footer">
    <w:name w:val="footer"/>
    <w:basedOn w:val="Normal"/>
    <w:link w:val="FooterChar"/>
    <w:uiPriority w:val="99"/>
    <w:rsid w:val="00305C4E"/>
    <w:pPr>
      <w:tabs>
        <w:tab w:val="center" w:pos="4153"/>
        <w:tab w:val="right" w:pos="8306"/>
      </w:tabs>
    </w:pPr>
  </w:style>
  <w:style w:type="character" w:customStyle="1" w:styleId="FooterChar">
    <w:name w:val="Footer Char"/>
    <w:basedOn w:val="DefaultParagraphFont"/>
    <w:link w:val="Footer"/>
    <w:uiPriority w:val="99"/>
    <w:rsid w:val="00305C4E"/>
    <w:rPr>
      <w:sz w:val="24"/>
    </w:rPr>
  </w:style>
  <w:style w:type="paragraph" w:styleId="BodyText">
    <w:name w:val="Body Text"/>
    <w:basedOn w:val="Normal"/>
    <w:link w:val="BodyTextChar"/>
    <w:uiPriority w:val="99"/>
    <w:rsid w:val="00305C4E"/>
    <w:pPr>
      <w:tabs>
        <w:tab w:val="left" w:pos="709"/>
      </w:tabs>
    </w:pPr>
    <w:rPr>
      <w:lang w:eastAsia="en-US"/>
    </w:rPr>
  </w:style>
  <w:style w:type="character" w:customStyle="1" w:styleId="BodyTextChar">
    <w:name w:val="Body Text Char"/>
    <w:basedOn w:val="DefaultParagraphFont"/>
    <w:link w:val="BodyText"/>
    <w:uiPriority w:val="99"/>
    <w:locked/>
    <w:rsid w:val="00305C4E"/>
    <w:rPr>
      <w:rFonts w:cs="Times New Roman"/>
      <w:sz w:val="24"/>
      <w:lang w:eastAsia="en-US"/>
    </w:rPr>
  </w:style>
  <w:style w:type="paragraph" w:styleId="Revision">
    <w:name w:val="Revision"/>
    <w:hidden/>
    <w:uiPriority w:val="99"/>
    <w:semiHidden/>
    <w:rsid w:val="00305C4E"/>
    <w:rPr>
      <w:sz w:val="24"/>
    </w:rPr>
  </w:style>
  <w:style w:type="paragraph" w:customStyle="1" w:styleId="AFMANormal">
    <w:name w:val="AFMA Normal"/>
    <w:rsid w:val="00305C4E"/>
    <w:pPr>
      <w:spacing w:before="240"/>
      <w:jc w:val="both"/>
    </w:pPr>
    <w:rPr>
      <w:snapToGrid w:val="0"/>
      <w:kern w:val="20"/>
      <w:sz w:val="24"/>
      <w:lang w:eastAsia="en-US"/>
    </w:rPr>
  </w:style>
  <w:style w:type="paragraph" w:customStyle="1" w:styleId="Default">
    <w:name w:val="Default"/>
    <w:rsid w:val="00305C4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05C4E"/>
    <w:pPr>
      <w:ind w:left="720"/>
    </w:pPr>
  </w:style>
  <w:style w:type="character" w:customStyle="1" w:styleId="Heading1Char">
    <w:name w:val="Heading 1 Char"/>
    <w:basedOn w:val="DefaultParagraphFont"/>
    <w:link w:val="Heading1"/>
    <w:rsid w:val="00305C4E"/>
    <w:rPr>
      <w:rFonts w:cs="Arial"/>
      <w:b/>
      <w:bCs/>
      <w:kern w:val="32"/>
      <w:sz w:val="28"/>
      <w:szCs w:val="32"/>
    </w:rPr>
  </w:style>
  <w:style w:type="character" w:styleId="Emphasis">
    <w:name w:val="Emphasis"/>
    <w:basedOn w:val="DefaultParagraphFont"/>
    <w:uiPriority w:val="20"/>
    <w:qFormat/>
    <w:rsid w:val="00305C4E"/>
    <w:rPr>
      <w:i/>
      <w:iCs/>
    </w:rPr>
  </w:style>
  <w:style w:type="paragraph" w:customStyle="1" w:styleId="BodyText10">
    <w:name w:val="Body Text1"/>
    <w:basedOn w:val="ListParagraph"/>
    <w:link w:val="BodytextChar0"/>
    <w:qFormat/>
    <w:rsid w:val="00305C4E"/>
    <w:pPr>
      <w:spacing w:before="120"/>
      <w:ind w:left="0"/>
    </w:pPr>
  </w:style>
  <w:style w:type="character" w:customStyle="1" w:styleId="BodytextChar0">
    <w:name w:val="Body text Char"/>
    <w:link w:val="BodyText10"/>
    <w:rsid w:val="00305C4E"/>
    <w:rPr>
      <w:sz w:val="24"/>
      <w:szCs w:val="24"/>
    </w:rPr>
  </w:style>
  <w:style w:type="paragraph" w:customStyle="1" w:styleId="dotpoint">
    <w:name w:val="dot point"/>
    <w:basedOn w:val="Normal"/>
    <w:rsid w:val="00305C4E"/>
    <w:pPr>
      <w:numPr>
        <w:numId w:val="2"/>
      </w:numPr>
      <w:spacing w:before="120" w:after="120"/>
    </w:pPr>
    <w:rPr>
      <w:sz w:val="22"/>
    </w:rPr>
  </w:style>
  <w:style w:type="paragraph" w:customStyle="1" w:styleId="dotpoint2">
    <w:name w:val="dot point 2"/>
    <w:basedOn w:val="Normal"/>
    <w:rsid w:val="00305C4E"/>
    <w:pPr>
      <w:numPr>
        <w:ilvl w:val="1"/>
        <w:numId w:val="2"/>
      </w:numPr>
      <w:spacing w:before="120" w:after="120"/>
    </w:pPr>
    <w:rPr>
      <w:sz w:val="22"/>
    </w:rPr>
  </w:style>
  <w:style w:type="numbering" w:customStyle="1" w:styleId="DotPointList">
    <w:name w:val="Dot Point List"/>
    <w:uiPriority w:val="99"/>
    <w:rsid w:val="00305C4E"/>
    <w:pPr>
      <w:numPr>
        <w:numId w:val="2"/>
      </w:numPr>
    </w:pPr>
  </w:style>
  <w:style w:type="paragraph" w:styleId="NormalWeb">
    <w:name w:val="Normal (Web)"/>
    <w:basedOn w:val="Normal"/>
    <w:uiPriority w:val="99"/>
    <w:unhideWhenUsed/>
    <w:rsid w:val="00305C4E"/>
    <w:pPr>
      <w:spacing w:before="100" w:beforeAutospacing="1" w:after="100" w:afterAutospacing="1"/>
    </w:pPr>
  </w:style>
  <w:style w:type="character" w:customStyle="1" w:styleId="Heading2Char">
    <w:name w:val="Heading 2 Char"/>
    <w:basedOn w:val="DefaultParagraphFont"/>
    <w:link w:val="Heading2"/>
    <w:rsid w:val="00305C4E"/>
    <w:rPr>
      <w:b/>
      <w:bCs/>
      <w:iCs/>
      <w:caps/>
      <w:sz w:val="28"/>
      <w:szCs w:val="28"/>
    </w:rPr>
  </w:style>
  <w:style w:type="paragraph" w:styleId="TOCHeading">
    <w:name w:val="TOC Heading"/>
    <w:basedOn w:val="Heading1"/>
    <w:next w:val="Normal"/>
    <w:uiPriority w:val="39"/>
    <w:unhideWhenUsed/>
    <w:qFormat/>
    <w:rsid w:val="00305C4E"/>
    <w:pPr>
      <w:keepLines/>
      <w:spacing w:before="480" w:after="0" w:line="276" w:lineRule="auto"/>
      <w:outlineLvl w:val="9"/>
    </w:pPr>
    <w:rPr>
      <w:rFonts w:ascii="Cambria" w:hAnsi="Cambria" w:cs="Times New Roman"/>
      <w:color w:val="365F91"/>
      <w:kern w:val="0"/>
      <w:szCs w:val="28"/>
      <w:lang w:val="en-US" w:eastAsia="en-US"/>
    </w:rPr>
  </w:style>
  <w:style w:type="paragraph" w:styleId="TOC1">
    <w:name w:val="toc 1"/>
    <w:basedOn w:val="Normal"/>
    <w:next w:val="Normal"/>
    <w:autoRedefine/>
    <w:uiPriority w:val="39"/>
    <w:rsid w:val="00305C4E"/>
    <w:pPr>
      <w:spacing w:before="120" w:after="120"/>
    </w:pPr>
    <w:rPr>
      <w:b/>
      <w:sz w:val="22"/>
    </w:rPr>
  </w:style>
  <w:style w:type="paragraph" w:styleId="TOC2">
    <w:name w:val="toc 2"/>
    <w:basedOn w:val="Normal"/>
    <w:next w:val="Normal"/>
    <w:autoRedefine/>
    <w:uiPriority w:val="39"/>
    <w:rsid w:val="00F05F0B"/>
    <w:pPr>
      <w:keepNext/>
      <w:tabs>
        <w:tab w:val="right" w:leader="dot" w:pos="9736"/>
      </w:tabs>
      <w:spacing w:before="40" w:after="40"/>
      <w:ind w:right="-624"/>
    </w:pPr>
  </w:style>
  <w:style w:type="character" w:styleId="Hyperlink">
    <w:name w:val="Hyperlink"/>
    <w:basedOn w:val="DefaultParagraphFont"/>
    <w:uiPriority w:val="99"/>
    <w:unhideWhenUsed/>
    <w:rsid w:val="00305C4E"/>
    <w:rPr>
      <w:color w:val="0000FF"/>
      <w:u w:val="single"/>
    </w:rPr>
  </w:style>
  <w:style w:type="paragraph" w:styleId="TOC3">
    <w:name w:val="toc 3"/>
    <w:basedOn w:val="Normal"/>
    <w:next w:val="Normal"/>
    <w:autoRedefine/>
    <w:uiPriority w:val="39"/>
    <w:rsid w:val="00D86467"/>
    <w:pPr>
      <w:tabs>
        <w:tab w:val="right" w:leader="dot" w:pos="9736"/>
      </w:tabs>
      <w:ind w:left="284" w:hanging="142"/>
    </w:pPr>
    <w:rPr>
      <w:sz w:val="22"/>
    </w:rPr>
  </w:style>
  <w:style w:type="paragraph" w:customStyle="1" w:styleId="Contents">
    <w:name w:val="Contents"/>
    <w:basedOn w:val="Normal"/>
    <w:next w:val="Normal"/>
    <w:rsid w:val="00305C4E"/>
    <w:pPr>
      <w:spacing w:after="60"/>
    </w:pPr>
    <w:rPr>
      <w:rFonts w:ascii="Verdana" w:hAnsi="Verdana" w:cs="Arial"/>
      <w:b/>
      <w:iCs/>
      <w:kern w:val="32"/>
      <w:sz w:val="32"/>
      <w:szCs w:val="32"/>
    </w:rPr>
  </w:style>
  <w:style w:type="paragraph" w:customStyle="1" w:styleId="Body">
    <w:name w:val="Body"/>
    <w:aliases w:val="b"/>
    <w:basedOn w:val="Normal"/>
    <w:rsid w:val="00305C4E"/>
  </w:style>
  <w:style w:type="paragraph" w:customStyle="1" w:styleId="BodyNum">
    <w:name w:val="BodyNum"/>
    <w:aliases w:val="b1"/>
    <w:basedOn w:val="Normal"/>
    <w:rsid w:val="00305C4E"/>
    <w:pPr>
      <w:numPr>
        <w:numId w:val="3"/>
      </w:numPr>
    </w:pPr>
  </w:style>
  <w:style w:type="paragraph" w:customStyle="1" w:styleId="BodyPara">
    <w:name w:val="BodyPara"/>
    <w:aliases w:val="ba"/>
    <w:basedOn w:val="Normal"/>
    <w:rsid w:val="00305C4E"/>
    <w:pPr>
      <w:numPr>
        <w:ilvl w:val="1"/>
        <w:numId w:val="3"/>
      </w:numPr>
    </w:pPr>
  </w:style>
  <w:style w:type="paragraph" w:customStyle="1" w:styleId="BodyParaBullet">
    <w:name w:val="BodyParaBullet"/>
    <w:aliases w:val="bpb"/>
    <w:basedOn w:val="Normal"/>
    <w:rsid w:val="00305C4E"/>
    <w:pPr>
      <w:numPr>
        <w:ilvl w:val="2"/>
        <w:numId w:val="3"/>
      </w:numPr>
      <w:tabs>
        <w:tab w:val="left" w:pos="2160"/>
      </w:tabs>
    </w:pPr>
  </w:style>
  <w:style w:type="paragraph" w:customStyle="1" w:styleId="BodySubPara">
    <w:name w:val="BodySubPara"/>
    <w:aliases w:val="bi"/>
    <w:basedOn w:val="Normal"/>
    <w:rsid w:val="00305C4E"/>
    <w:pPr>
      <w:numPr>
        <w:ilvl w:val="3"/>
        <w:numId w:val="3"/>
      </w:numPr>
    </w:pPr>
  </w:style>
  <w:style w:type="numbering" w:customStyle="1" w:styleId="OPCBodyList">
    <w:name w:val="OPCBodyList"/>
    <w:uiPriority w:val="99"/>
    <w:rsid w:val="00305C4E"/>
    <w:pPr>
      <w:numPr>
        <w:numId w:val="3"/>
      </w:numPr>
    </w:pPr>
  </w:style>
  <w:style w:type="character" w:customStyle="1" w:styleId="Heading3Char">
    <w:name w:val="Heading 3 Char"/>
    <w:basedOn w:val="DefaultParagraphFont"/>
    <w:link w:val="Heading3"/>
    <w:rsid w:val="00305C4E"/>
    <w:rPr>
      <w:b/>
      <w:bCs/>
      <w:sz w:val="28"/>
      <w:szCs w:val="26"/>
    </w:rPr>
  </w:style>
  <w:style w:type="character" w:customStyle="1" w:styleId="Heading4Char">
    <w:name w:val="Heading 4 Char"/>
    <w:basedOn w:val="DefaultParagraphFont"/>
    <w:link w:val="Heading4"/>
    <w:rsid w:val="00305C4E"/>
    <w:rPr>
      <w:b/>
      <w:i/>
      <w:sz w:val="24"/>
      <w:szCs w:val="24"/>
    </w:rPr>
  </w:style>
  <w:style w:type="character" w:customStyle="1" w:styleId="Heading5Char">
    <w:name w:val="Heading 5 Char"/>
    <w:basedOn w:val="DefaultParagraphFont"/>
    <w:link w:val="Heading5"/>
    <w:rsid w:val="00305C4E"/>
    <w:rPr>
      <w:i/>
      <w:sz w:val="24"/>
      <w:szCs w:val="24"/>
    </w:rPr>
  </w:style>
  <w:style w:type="paragraph" w:customStyle="1" w:styleId="Dotpoint1">
    <w:name w:val="Dot point 1"/>
    <w:basedOn w:val="Normal"/>
    <w:link w:val="Dotpoint1Char"/>
    <w:qFormat/>
    <w:rsid w:val="00A308BC"/>
    <w:pPr>
      <w:numPr>
        <w:numId w:val="5"/>
      </w:numPr>
      <w:tabs>
        <w:tab w:val="left" w:pos="284"/>
      </w:tabs>
      <w:autoSpaceDE w:val="0"/>
      <w:autoSpaceDN w:val="0"/>
      <w:spacing w:before="60"/>
      <w:ind w:left="284" w:hanging="284"/>
    </w:pPr>
  </w:style>
  <w:style w:type="character" w:customStyle="1" w:styleId="Dotpoint1Char">
    <w:name w:val="Dot point 1 Char"/>
    <w:link w:val="Dotpoint1"/>
    <w:rsid w:val="00A308BC"/>
    <w:rPr>
      <w:sz w:val="24"/>
      <w:szCs w:val="24"/>
    </w:rPr>
  </w:style>
  <w:style w:type="paragraph" w:customStyle="1" w:styleId="Dashpoint1">
    <w:name w:val="Dash point 1"/>
    <w:basedOn w:val="Dotpoint1"/>
    <w:qFormat/>
    <w:rsid w:val="00305C4E"/>
    <w:pPr>
      <w:numPr>
        <w:ilvl w:val="1"/>
      </w:numPr>
      <w:tabs>
        <w:tab w:val="clear" w:pos="284"/>
        <w:tab w:val="left" w:pos="709"/>
      </w:tabs>
    </w:pPr>
  </w:style>
  <w:style w:type="paragraph" w:customStyle="1" w:styleId="Heading3noTC">
    <w:name w:val="Heading_3_no_TC"/>
    <w:link w:val="Heading3noTCChar"/>
    <w:qFormat/>
    <w:rsid w:val="00305C4E"/>
    <w:pPr>
      <w:spacing w:before="360" w:after="60"/>
    </w:pPr>
    <w:rPr>
      <w:b/>
      <w:bCs/>
      <w:sz w:val="28"/>
      <w:szCs w:val="26"/>
    </w:rPr>
  </w:style>
  <w:style w:type="paragraph" w:customStyle="1" w:styleId="Heading4noTC">
    <w:name w:val="Heading_4_no_TC"/>
    <w:link w:val="Heading4noTCChar"/>
    <w:qFormat/>
    <w:rsid w:val="00305C4E"/>
    <w:pPr>
      <w:keepNext/>
      <w:spacing w:before="240" w:after="120"/>
    </w:pPr>
    <w:rPr>
      <w:b/>
      <w:i/>
      <w:sz w:val="24"/>
      <w:szCs w:val="24"/>
    </w:rPr>
  </w:style>
  <w:style w:type="character" w:customStyle="1" w:styleId="Heading3noTCChar">
    <w:name w:val="Heading 3_no_TC Char"/>
    <w:basedOn w:val="Heading3Char"/>
    <w:link w:val="Heading3noTC"/>
    <w:rsid w:val="00305C4E"/>
    <w:rPr>
      <w:b/>
      <w:bCs/>
      <w:sz w:val="28"/>
      <w:szCs w:val="26"/>
      <w:lang w:val="en-AU" w:eastAsia="en-AU" w:bidi="ar-SA"/>
    </w:rPr>
  </w:style>
  <w:style w:type="paragraph" w:customStyle="1" w:styleId="Heading5noTC">
    <w:name w:val="Heading_5_no_TC"/>
    <w:link w:val="Heading5noTCChar"/>
    <w:qFormat/>
    <w:rsid w:val="00305C4E"/>
    <w:pPr>
      <w:keepNext/>
      <w:spacing w:before="200"/>
    </w:pPr>
    <w:rPr>
      <w:i/>
      <w:sz w:val="24"/>
      <w:szCs w:val="24"/>
    </w:rPr>
  </w:style>
  <w:style w:type="character" w:customStyle="1" w:styleId="Heading4noTCChar">
    <w:name w:val="Heading_4_no_TC Char"/>
    <w:basedOn w:val="Heading4Char"/>
    <w:link w:val="Heading4noTC"/>
    <w:rsid w:val="00305C4E"/>
    <w:rPr>
      <w:b/>
      <w:i/>
      <w:sz w:val="24"/>
      <w:szCs w:val="24"/>
      <w:lang w:val="en-AU" w:eastAsia="en-AU" w:bidi="ar-SA"/>
    </w:rPr>
  </w:style>
  <w:style w:type="character" w:customStyle="1" w:styleId="Heading5noTCChar">
    <w:name w:val="Heading_5_no_TC Char"/>
    <w:basedOn w:val="Heading5Char"/>
    <w:link w:val="Heading5noTC"/>
    <w:rsid w:val="00305C4E"/>
    <w:rPr>
      <w:i/>
      <w:sz w:val="24"/>
      <w:szCs w:val="24"/>
      <w:lang w:val="en-AU" w:eastAsia="en-AU" w:bidi="ar-SA"/>
    </w:rPr>
  </w:style>
  <w:style w:type="paragraph" w:customStyle="1" w:styleId="TableText">
    <w:name w:val="Table Text"/>
    <w:basedOn w:val="Normal"/>
    <w:rsid w:val="00305C4E"/>
    <w:pPr>
      <w:spacing w:before="80" w:after="80"/>
    </w:pPr>
    <w:rPr>
      <w:rFonts w:ascii="Verdana" w:hAnsi="Verdana"/>
      <w:sz w:val="20"/>
    </w:rPr>
  </w:style>
  <w:style w:type="paragraph" w:customStyle="1" w:styleId="TableHeading">
    <w:name w:val="Table Heading"/>
    <w:basedOn w:val="TableText"/>
    <w:rsid w:val="00305C4E"/>
    <w:pPr>
      <w:keepNext/>
    </w:pPr>
    <w:rPr>
      <w:b/>
    </w:rPr>
  </w:style>
  <w:style w:type="table" w:styleId="TableGrid">
    <w:name w:val="Table Grid"/>
    <w:basedOn w:val="TableNormal"/>
    <w:uiPriority w:val="59"/>
    <w:rsid w:val="00305C4E"/>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05C4E"/>
    <w:pPr>
      <w:tabs>
        <w:tab w:val="clear" w:pos="4153"/>
        <w:tab w:val="clear" w:pos="8306"/>
        <w:tab w:val="center" w:pos="4320"/>
        <w:tab w:val="right" w:pos="8640"/>
      </w:tabs>
    </w:pPr>
    <w:rPr>
      <w:rFonts w:ascii="Cambria" w:hAnsi="Cambria"/>
      <w:sz w:val="16"/>
      <w:lang w:eastAsia="en-US"/>
    </w:rPr>
  </w:style>
  <w:style w:type="paragraph" w:customStyle="1" w:styleId="dotpoint10">
    <w:name w:val="dotpoint1"/>
    <w:basedOn w:val="Normal"/>
    <w:rsid w:val="00305C4E"/>
    <w:pPr>
      <w:spacing w:before="180" w:after="180"/>
    </w:pPr>
    <w:rPr>
      <w:color w:val="444444"/>
    </w:rPr>
  </w:style>
  <w:style w:type="paragraph" w:styleId="Title">
    <w:name w:val="Title"/>
    <w:basedOn w:val="Normal"/>
    <w:link w:val="TitleChar"/>
    <w:uiPriority w:val="10"/>
    <w:qFormat/>
    <w:rsid w:val="00305C4E"/>
    <w:pPr>
      <w:jc w:val="center"/>
    </w:pPr>
    <w:rPr>
      <w:rFonts w:ascii="Arial Rounded MT Bold" w:hAnsi="Arial Rounded MT Bold"/>
      <w:b/>
      <w:lang w:eastAsia="en-US"/>
    </w:rPr>
  </w:style>
  <w:style w:type="character" w:customStyle="1" w:styleId="TitleChar">
    <w:name w:val="Title Char"/>
    <w:basedOn w:val="DefaultParagraphFont"/>
    <w:link w:val="Title"/>
    <w:uiPriority w:val="10"/>
    <w:rsid w:val="00305C4E"/>
    <w:rPr>
      <w:rFonts w:ascii="Arial Rounded MT Bold" w:hAnsi="Arial Rounded MT Bold"/>
      <w:b/>
      <w:sz w:val="24"/>
      <w:lang w:eastAsia="en-US"/>
    </w:rPr>
  </w:style>
  <w:style w:type="paragraph" w:customStyle="1" w:styleId="R2">
    <w:name w:val="R2"/>
    <w:aliases w:val="(2)"/>
    <w:basedOn w:val="Normal"/>
    <w:uiPriority w:val="99"/>
    <w:rsid w:val="00305C4E"/>
    <w:pPr>
      <w:spacing w:before="180" w:line="260" w:lineRule="exact"/>
      <w:ind w:left="964" w:hanging="964"/>
      <w:jc w:val="both"/>
    </w:pPr>
    <w:rPr>
      <w:rFonts w:eastAsia="Calibri"/>
    </w:rPr>
  </w:style>
  <w:style w:type="paragraph" w:customStyle="1" w:styleId="BodyText11">
    <w:name w:val="Body Text1"/>
    <w:basedOn w:val="ListParagraph"/>
    <w:qFormat/>
    <w:rsid w:val="00305C4E"/>
    <w:pPr>
      <w:spacing w:before="120"/>
      <w:ind w:left="0" w:hanging="567"/>
    </w:pPr>
  </w:style>
  <w:style w:type="character" w:styleId="FootnoteReference">
    <w:name w:val="footnote reference"/>
    <w:basedOn w:val="DefaultParagraphFont"/>
    <w:rsid w:val="00305C4E"/>
    <w:rPr>
      <w:vertAlign w:val="superscript"/>
    </w:rPr>
  </w:style>
  <w:style w:type="paragraph" w:styleId="FootnoteText">
    <w:name w:val="footnote text"/>
    <w:basedOn w:val="Normal"/>
    <w:link w:val="FootnoteTextChar"/>
    <w:rsid w:val="00305C4E"/>
    <w:pPr>
      <w:spacing w:before="200"/>
      <w:ind w:left="142" w:hanging="142"/>
    </w:pPr>
    <w:rPr>
      <w:rFonts w:eastAsia="SimSun"/>
      <w:sz w:val="20"/>
      <w:lang w:eastAsia="zh-CN"/>
    </w:rPr>
  </w:style>
  <w:style w:type="character" w:customStyle="1" w:styleId="FootnoteTextChar">
    <w:name w:val="Footnote Text Char"/>
    <w:basedOn w:val="DefaultParagraphFont"/>
    <w:link w:val="FootnoteText"/>
    <w:rsid w:val="00305C4E"/>
    <w:rPr>
      <w:rFonts w:eastAsia="SimSun"/>
      <w:szCs w:val="24"/>
      <w:lang w:eastAsia="zh-CN"/>
    </w:rPr>
  </w:style>
  <w:style w:type="paragraph" w:customStyle="1" w:styleId="APVMAText">
    <w:name w:val="APVMA_Text"/>
    <w:basedOn w:val="Normal"/>
    <w:rsid w:val="00305C4E"/>
    <w:pPr>
      <w:suppressAutoHyphens/>
      <w:spacing w:after="240" w:line="280" w:lineRule="exact"/>
    </w:pPr>
    <w:rPr>
      <w:rFonts w:ascii="Arial" w:hAnsi="Arial" w:cs="Arial"/>
      <w:sz w:val="20"/>
      <w:u w:color="000000"/>
      <w:lang w:eastAsia="en-US"/>
    </w:rPr>
  </w:style>
  <w:style w:type="paragraph" w:customStyle="1" w:styleId="Levelafo">
    <w:name w:val="Level (a)fo"/>
    <w:basedOn w:val="Normal"/>
    <w:rsid w:val="00305C4E"/>
    <w:pPr>
      <w:spacing w:before="200" w:line="240" w:lineRule="atLeast"/>
      <w:ind w:left="1440"/>
    </w:pPr>
    <w:rPr>
      <w:rFonts w:ascii="Arial" w:eastAsia="SimSun" w:hAnsi="Arial"/>
      <w:sz w:val="20"/>
      <w:lang w:eastAsia="zh-CN"/>
    </w:rPr>
  </w:style>
  <w:style w:type="paragraph" w:customStyle="1" w:styleId="dashpoint10">
    <w:name w:val="dashpoint1"/>
    <w:basedOn w:val="Normal"/>
    <w:rsid w:val="00305C4E"/>
    <w:pPr>
      <w:spacing w:before="180" w:after="180"/>
    </w:pPr>
    <w:rPr>
      <w:color w:val="444444"/>
    </w:rPr>
  </w:style>
  <w:style w:type="paragraph" w:customStyle="1" w:styleId="heading4notc0">
    <w:name w:val="heading4notc"/>
    <w:basedOn w:val="Normal"/>
    <w:rsid w:val="00305C4E"/>
    <w:pPr>
      <w:spacing w:before="180" w:after="180"/>
    </w:pPr>
    <w:rPr>
      <w:color w:val="444444"/>
    </w:rPr>
  </w:style>
  <w:style w:type="paragraph" w:customStyle="1" w:styleId="Itemheader">
    <w:name w:val="Item header"/>
    <w:basedOn w:val="Normal"/>
    <w:qFormat/>
    <w:rsid w:val="00305C4E"/>
    <w:pPr>
      <w:keepNext/>
      <w:spacing w:before="200"/>
    </w:pPr>
    <w:rPr>
      <w:b/>
      <w:szCs w:val="20"/>
    </w:rPr>
  </w:style>
  <w:style w:type="paragraph" w:customStyle="1" w:styleId="Heading2noTC">
    <w:name w:val="Heading_2_no_TC"/>
    <w:qFormat/>
    <w:rsid w:val="00305C4E"/>
    <w:pPr>
      <w:spacing w:before="240" w:after="120"/>
    </w:pPr>
    <w:rPr>
      <w:b/>
      <w:bCs/>
      <w:iCs/>
      <w:caps/>
      <w:sz w:val="28"/>
      <w:szCs w:val="28"/>
    </w:rPr>
  </w:style>
  <w:style w:type="paragraph" w:styleId="ListBullet">
    <w:name w:val="List Bullet"/>
    <w:basedOn w:val="Normal"/>
    <w:rsid w:val="00305C4E"/>
    <w:pPr>
      <w:tabs>
        <w:tab w:val="num" w:pos="567"/>
      </w:tabs>
      <w:spacing w:before="240"/>
      <w:ind w:left="567" w:hanging="567"/>
    </w:pPr>
    <w:rPr>
      <w:rFonts w:ascii="Verdana" w:hAnsi="Verdana"/>
      <w:sz w:val="20"/>
    </w:rPr>
  </w:style>
  <w:style w:type="paragraph" w:styleId="TOC4">
    <w:name w:val="toc 4"/>
    <w:basedOn w:val="Normal"/>
    <w:next w:val="Normal"/>
    <w:autoRedefine/>
    <w:uiPriority w:val="39"/>
    <w:rsid w:val="00D86467"/>
    <w:pPr>
      <w:tabs>
        <w:tab w:val="right" w:leader="dot" w:pos="9736"/>
      </w:tabs>
      <w:ind w:left="426"/>
    </w:pPr>
    <w:rPr>
      <w:i/>
      <w:noProof/>
      <w:sz w:val="22"/>
    </w:rPr>
  </w:style>
  <w:style w:type="paragraph" w:styleId="TOC5">
    <w:name w:val="toc 5"/>
    <w:basedOn w:val="Normal"/>
    <w:next w:val="Normal"/>
    <w:autoRedefine/>
    <w:uiPriority w:val="39"/>
    <w:rsid w:val="00305C4E"/>
    <w:pPr>
      <w:tabs>
        <w:tab w:val="left" w:pos="9356"/>
      </w:tabs>
      <w:ind w:left="960"/>
    </w:pPr>
    <w:rPr>
      <w:noProof/>
      <w:sz w:val="20"/>
    </w:rPr>
  </w:style>
  <w:style w:type="paragraph" w:customStyle="1" w:styleId="Numberpoint1">
    <w:name w:val="Number point 1"/>
    <w:basedOn w:val="Dotpoint1"/>
    <w:link w:val="Numberpoint1Char"/>
    <w:qFormat/>
    <w:rsid w:val="00305C4E"/>
    <w:pPr>
      <w:numPr>
        <w:numId w:val="6"/>
      </w:numPr>
      <w:tabs>
        <w:tab w:val="clear" w:pos="284"/>
        <w:tab w:val="left" w:pos="567"/>
      </w:tabs>
      <w:ind w:left="567" w:hanging="567"/>
    </w:pPr>
  </w:style>
  <w:style w:type="paragraph" w:styleId="BodyTextIndent">
    <w:name w:val="Body Text Indent"/>
    <w:basedOn w:val="Normal"/>
    <w:link w:val="BodyTextIndentChar"/>
    <w:rsid w:val="00305C4E"/>
    <w:pPr>
      <w:spacing w:after="120"/>
      <w:ind w:left="283"/>
    </w:pPr>
  </w:style>
  <w:style w:type="character" w:customStyle="1" w:styleId="Numberpoint1Char">
    <w:name w:val="Number point 1 Char"/>
    <w:basedOn w:val="Dotpoint1Char"/>
    <w:link w:val="Numberpoint1"/>
    <w:rsid w:val="00305C4E"/>
    <w:rPr>
      <w:sz w:val="24"/>
      <w:szCs w:val="24"/>
    </w:rPr>
  </w:style>
  <w:style w:type="character" w:customStyle="1" w:styleId="BodyTextIndentChar">
    <w:name w:val="Body Text Indent Char"/>
    <w:basedOn w:val="DefaultParagraphFont"/>
    <w:link w:val="BodyTextIndent"/>
    <w:rsid w:val="00305C4E"/>
    <w:rPr>
      <w:sz w:val="24"/>
      <w:szCs w:val="24"/>
    </w:rPr>
  </w:style>
  <w:style w:type="paragraph" w:styleId="ListNumber">
    <w:name w:val="List Number"/>
    <w:basedOn w:val="Normal"/>
    <w:autoRedefine/>
    <w:qFormat/>
    <w:rsid w:val="00FF33C2"/>
    <w:pPr>
      <w:numPr>
        <w:numId w:val="22"/>
      </w:numPr>
      <w:spacing w:after="200"/>
    </w:pPr>
    <w:rPr>
      <w:rFonts w:eastAsia="Calibri"/>
      <w:szCs w:val="22"/>
      <w:lang w:eastAsia="en-US"/>
    </w:rPr>
  </w:style>
  <w:style w:type="character" w:customStyle="1" w:styleId="ListParagraphChar">
    <w:name w:val="List Paragraph Char"/>
    <w:basedOn w:val="DefaultParagraphFont"/>
    <w:link w:val="ListParagraph"/>
    <w:uiPriority w:val="34"/>
    <w:rsid w:val="00C72B27"/>
    <w:rPr>
      <w:sz w:val="24"/>
      <w:szCs w:val="24"/>
    </w:rPr>
  </w:style>
  <w:style w:type="paragraph" w:customStyle="1" w:styleId="Tabledotpoint">
    <w:name w:val="Table dot point"/>
    <w:basedOn w:val="ListParagraph"/>
    <w:link w:val="TabledotpointChar"/>
    <w:qFormat/>
    <w:rsid w:val="003C0DA1"/>
    <w:pPr>
      <w:numPr>
        <w:numId w:val="25"/>
      </w:numPr>
      <w:spacing w:after="60"/>
      <w:contextualSpacing/>
    </w:pPr>
  </w:style>
  <w:style w:type="character" w:customStyle="1" w:styleId="TabledotpointChar">
    <w:name w:val="Table dot point Char"/>
    <w:basedOn w:val="ListParagraphChar"/>
    <w:link w:val="Tabledotpoint"/>
    <w:rsid w:val="003C0DA1"/>
    <w:rPr>
      <w:sz w:val="24"/>
      <w:szCs w:val="24"/>
    </w:rPr>
  </w:style>
  <w:style w:type="paragraph" w:customStyle="1" w:styleId="Dotpoint20">
    <w:name w:val="Dot point 2"/>
    <w:basedOn w:val="Dotpoint1"/>
    <w:link w:val="Dotpoint2Char"/>
    <w:qFormat/>
    <w:rsid w:val="003C0DA1"/>
    <w:pPr>
      <w:numPr>
        <w:numId w:val="0"/>
      </w:numPr>
      <w:tabs>
        <w:tab w:val="clear" w:pos="284"/>
        <w:tab w:val="left" w:pos="317"/>
        <w:tab w:val="num" w:pos="720"/>
      </w:tabs>
      <w:spacing w:before="40"/>
      <w:ind w:left="720" w:hanging="720"/>
    </w:pPr>
  </w:style>
  <w:style w:type="character" w:customStyle="1" w:styleId="Dotpoint2Char">
    <w:name w:val="Dot point 2 Char"/>
    <w:basedOn w:val="Dotpoint1Char"/>
    <w:link w:val="Dotpoint20"/>
    <w:rsid w:val="003C0DA1"/>
    <w:rPr>
      <w:sz w:val="24"/>
      <w:szCs w:val="24"/>
    </w:rPr>
  </w:style>
  <w:style w:type="paragraph" w:customStyle="1" w:styleId="Romannumbered">
    <w:name w:val="Roman numbered"/>
    <w:basedOn w:val="ListBullet"/>
    <w:link w:val="RomannumberedChar"/>
    <w:qFormat/>
    <w:rsid w:val="00000DC2"/>
    <w:pPr>
      <w:numPr>
        <w:numId w:val="30"/>
      </w:numPr>
      <w:spacing w:before="40"/>
      <w:ind w:left="459" w:hanging="425"/>
    </w:pPr>
    <w:rPr>
      <w:rFonts w:ascii="Times New Roman" w:eastAsia="Calibri" w:hAnsi="Times New Roman"/>
      <w:sz w:val="24"/>
      <w:szCs w:val="22"/>
      <w:lang w:eastAsia="en-US"/>
    </w:rPr>
  </w:style>
  <w:style w:type="character" w:customStyle="1" w:styleId="RomannumberedChar">
    <w:name w:val="Roman numbered Char"/>
    <w:basedOn w:val="DefaultParagraphFont"/>
    <w:link w:val="Romannumbered"/>
    <w:rsid w:val="00000DC2"/>
    <w:rPr>
      <w:rFonts w:eastAsia="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99"/>
    <w:lsdException w:name="header" w:uiPriority="99"/>
    <w:lsdException w:name="footer" w:uiPriority="99"/>
    <w:lsdException w:name="caption" w:qFormat="1"/>
    <w:lsdException w:name="List Number" w:semiHidden="0" w:unhideWhenUsed="0" w:qFormat="1"/>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5C4E"/>
    <w:rPr>
      <w:sz w:val="24"/>
      <w:szCs w:val="24"/>
    </w:rPr>
  </w:style>
  <w:style w:type="paragraph" w:styleId="Heading1">
    <w:name w:val="heading 1"/>
    <w:basedOn w:val="Normal"/>
    <w:next w:val="Normal"/>
    <w:link w:val="Heading1Char"/>
    <w:rsid w:val="00305C4E"/>
    <w:pPr>
      <w:keepNext/>
      <w:spacing w:before="240" w:after="60"/>
      <w:outlineLvl w:val="0"/>
    </w:pPr>
    <w:rPr>
      <w:rFonts w:cs="Arial"/>
      <w:b/>
      <w:bCs/>
      <w:kern w:val="32"/>
      <w:sz w:val="28"/>
      <w:szCs w:val="32"/>
    </w:rPr>
  </w:style>
  <w:style w:type="paragraph" w:styleId="Heading2">
    <w:name w:val="heading 2"/>
    <w:basedOn w:val="Normal"/>
    <w:next w:val="Normal"/>
    <w:link w:val="Heading2Char"/>
    <w:unhideWhenUsed/>
    <w:qFormat/>
    <w:rsid w:val="00305C4E"/>
    <w:pPr>
      <w:keepNext/>
      <w:spacing w:before="360" w:after="120"/>
      <w:outlineLvl w:val="1"/>
    </w:pPr>
    <w:rPr>
      <w:b/>
      <w:bCs/>
      <w:iCs/>
      <w:caps/>
      <w:sz w:val="28"/>
      <w:szCs w:val="28"/>
    </w:rPr>
  </w:style>
  <w:style w:type="paragraph" w:styleId="Heading3">
    <w:name w:val="heading 3"/>
    <w:basedOn w:val="Normal"/>
    <w:next w:val="Normal"/>
    <w:link w:val="Heading3Char"/>
    <w:qFormat/>
    <w:rsid w:val="00305C4E"/>
    <w:pPr>
      <w:keepNext/>
      <w:spacing w:before="360" w:after="60"/>
      <w:outlineLvl w:val="2"/>
    </w:pPr>
    <w:rPr>
      <w:b/>
      <w:bCs/>
      <w:sz w:val="28"/>
      <w:szCs w:val="26"/>
    </w:rPr>
  </w:style>
  <w:style w:type="paragraph" w:styleId="Heading4">
    <w:name w:val="heading 4"/>
    <w:basedOn w:val="dotpoint"/>
    <w:next w:val="Normal"/>
    <w:link w:val="Heading4Char"/>
    <w:unhideWhenUsed/>
    <w:qFormat/>
    <w:rsid w:val="00305C4E"/>
    <w:pPr>
      <w:keepNext/>
      <w:numPr>
        <w:numId w:val="0"/>
      </w:numPr>
      <w:spacing w:before="360"/>
      <w:outlineLvl w:val="3"/>
    </w:pPr>
    <w:rPr>
      <w:b/>
      <w:i/>
      <w:sz w:val="24"/>
    </w:rPr>
  </w:style>
  <w:style w:type="paragraph" w:styleId="Heading5">
    <w:name w:val="heading 5"/>
    <w:basedOn w:val="Normal"/>
    <w:next w:val="Normal"/>
    <w:link w:val="Heading5Char"/>
    <w:unhideWhenUsed/>
    <w:qFormat/>
    <w:rsid w:val="00305C4E"/>
    <w:pPr>
      <w:keepNext/>
      <w:spacing w:before="200"/>
      <w:outlineLvl w:val="4"/>
    </w:pPr>
    <w:rPr>
      <w:i/>
    </w:rPr>
  </w:style>
  <w:style w:type="paragraph" w:styleId="Heading6">
    <w:name w:val="heading 6"/>
    <w:basedOn w:val="Normal"/>
    <w:next w:val="Normal"/>
    <w:link w:val="Heading6Char"/>
    <w:uiPriority w:val="9"/>
    <w:qFormat/>
    <w:rsid w:val="00305C4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05C4E"/>
    <w:rPr>
      <w:rFonts w:ascii="Calibri" w:eastAsia="Times New Roman" w:hAnsi="Calibri" w:cs="Times New Roman"/>
      <w:b/>
      <w:bCs/>
      <w:sz w:val="22"/>
      <w:szCs w:val="22"/>
    </w:rPr>
  </w:style>
  <w:style w:type="paragraph" w:customStyle="1" w:styleId="Appendix">
    <w:name w:val="Appendix"/>
    <w:basedOn w:val="Normal"/>
    <w:link w:val="AppendixCharChar"/>
    <w:rsid w:val="00305C4E"/>
    <w:pPr>
      <w:jc w:val="right"/>
    </w:pPr>
    <w:rPr>
      <w:b/>
    </w:rPr>
  </w:style>
  <w:style w:type="character" w:customStyle="1" w:styleId="AppendixCharChar">
    <w:name w:val="Appendix Char Char"/>
    <w:basedOn w:val="DefaultParagraphFont"/>
    <w:link w:val="Appendix"/>
    <w:locked/>
    <w:rsid w:val="00305C4E"/>
    <w:rPr>
      <w:rFonts w:cs="Times New Roman"/>
      <w:b/>
      <w:sz w:val="24"/>
      <w:lang w:val="en-AU" w:eastAsia="en-AU" w:bidi="ar-SA"/>
    </w:rPr>
  </w:style>
  <w:style w:type="paragraph" w:customStyle="1" w:styleId="HB-dotpoint">
    <w:name w:val="HB - dotpoint"/>
    <w:basedOn w:val="Normal"/>
    <w:rsid w:val="00305C4E"/>
    <w:pPr>
      <w:numPr>
        <w:numId w:val="1"/>
      </w:numPr>
      <w:spacing w:before="180"/>
    </w:pPr>
  </w:style>
  <w:style w:type="paragraph" w:customStyle="1" w:styleId="bodytext1">
    <w:name w:val="bodytext1"/>
    <w:basedOn w:val="Normal"/>
    <w:rsid w:val="00305C4E"/>
    <w:pPr>
      <w:spacing w:before="180" w:after="180"/>
    </w:pPr>
    <w:rPr>
      <w:color w:val="444444"/>
    </w:rPr>
  </w:style>
  <w:style w:type="paragraph" w:styleId="BalloonText">
    <w:name w:val="Balloon Text"/>
    <w:basedOn w:val="Normal"/>
    <w:link w:val="BalloonTextChar"/>
    <w:uiPriority w:val="99"/>
    <w:semiHidden/>
    <w:rsid w:val="00305C4E"/>
    <w:rPr>
      <w:rFonts w:ascii="Tahoma" w:hAnsi="Tahoma" w:cs="Tahoma"/>
      <w:sz w:val="16"/>
      <w:szCs w:val="16"/>
    </w:rPr>
  </w:style>
  <w:style w:type="character" w:customStyle="1" w:styleId="BalloonTextChar">
    <w:name w:val="Balloon Text Char"/>
    <w:basedOn w:val="DefaultParagraphFont"/>
    <w:link w:val="BalloonText"/>
    <w:uiPriority w:val="99"/>
    <w:semiHidden/>
    <w:rsid w:val="00305C4E"/>
    <w:rPr>
      <w:sz w:val="0"/>
      <w:szCs w:val="0"/>
    </w:rPr>
  </w:style>
  <w:style w:type="character" w:styleId="CommentReference">
    <w:name w:val="annotation reference"/>
    <w:basedOn w:val="DefaultParagraphFont"/>
    <w:rsid w:val="00305C4E"/>
    <w:rPr>
      <w:rFonts w:cs="Times New Roman"/>
      <w:sz w:val="16"/>
      <w:szCs w:val="16"/>
    </w:rPr>
  </w:style>
  <w:style w:type="paragraph" w:styleId="CommentText">
    <w:name w:val="annotation text"/>
    <w:basedOn w:val="Normal"/>
    <w:link w:val="CommentTextChar"/>
    <w:uiPriority w:val="99"/>
    <w:rsid w:val="00305C4E"/>
    <w:rPr>
      <w:sz w:val="20"/>
      <w:szCs w:val="20"/>
    </w:rPr>
  </w:style>
  <w:style w:type="character" w:customStyle="1" w:styleId="CommentTextChar">
    <w:name w:val="Comment Text Char"/>
    <w:basedOn w:val="DefaultParagraphFont"/>
    <w:link w:val="CommentText"/>
    <w:uiPriority w:val="99"/>
    <w:rsid w:val="00305C4E"/>
  </w:style>
  <w:style w:type="paragraph" w:styleId="CommentSubject">
    <w:name w:val="annotation subject"/>
    <w:basedOn w:val="CommentText"/>
    <w:next w:val="CommentText"/>
    <w:link w:val="CommentSubjectChar"/>
    <w:uiPriority w:val="99"/>
    <w:semiHidden/>
    <w:rsid w:val="00305C4E"/>
    <w:rPr>
      <w:b/>
      <w:bCs/>
    </w:rPr>
  </w:style>
  <w:style w:type="character" w:customStyle="1" w:styleId="CommentSubjectChar">
    <w:name w:val="Comment Subject Char"/>
    <w:basedOn w:val="CommentTextChar"/>
    <w:link w:val="CommentSubject"/>
    <w:uiPriority w:val="99"/>
    <w:semiHidden/>
    <w:rsid w:val="00305C4E"/>
    <w:rPr>
      <w:b/>
      <w:bCs/>
    </w:rPr>
  </w:style>
  <w:style w:type="paragraph" w:styleId="Header">
    <w:name w:val="header"/>
    <w:basedOn w:val="Normal"/>
    <w:link w:val="HeaderChar"/>
    <w:uiPriority w:val="99"/>
    <w:rsid w:val="00305C4E"/>
    <w:pPr>
      <w:tabs>
        <w:tab w:val="center" w:pos="4153"/>
        <w:tab w:val="right" w:pos="8306"/>
      </w:tabs>
    </w:pPr>
  </w:style>
  <w:style w:type="character" w:customStyle="1" w:styleId="HeaderChar">
    <w:name w:val="Header Char"/>
    <w:basedOn w:val="DefaultParagraphFont"/>
    <w:link w:val="Header"/>
    <w:uiPriority w:val="99"/>
    <w:rsid w:val="00305C4E"/>
    <w:rPr>
      <w:sz w:val="24"/>
      <w:szCs w:val="24"/>
    </w:rPr>
  </w:style>
  <w:style w:type="character" w:styleId="PageNumber">
    <w:name w:val="page number"/>
    <w:basedOn w:val="DefaultParagraphFont"/>
    <w:rsid w:val="00305C4E"/>
  </w:style>
  <w:style w:type="paragraph" w:styleId="Footer">
    <w:name w:val="footer"/>
    <w:basedOn w:val="Normal"/>
    <w:link w:val="FooterChar"/>
    <w:uiPriority w:val="99"/>
    <w:rsid w:val="00305C4E"/>
    <w:pPr>
      <w:tabs>
        <w:tab w:val="center" w:pos="4153"/>
        <w:tab w:val="right" w:pos="8306"/>
      </w:tabs>
    </w:pPr>
  </w:style>
  <w:style w:type="character" w:customStyle="1" w:styleId="FooterChar">
    <w:name w:val="Footer Char"/>
    <w:basedOn w:val="DefaultParagraphFont"/>
    <w:link w:val="Footer"/>
    <w:uiPriority w:val="99"/>
    <w:rsid w:val="00305C4E"/>
    <w:rPr>
      <w:sz w:val="24"/>
    </w:rPr>
  </w:style>
  <w:style w:type="paragraph" w:styleId="BodyText">
    <w:name w:val="Body Text"/>
    <w:basedOn w:val="Normal"/>
    <w:link w:val="BodyTextChar"/>
    <w:uiPriority w:val="99"/>
    <w:rsid w:val="00305C4E"/>
    <w:pPr>
      <w:tabs>
        <w:tab w:val="left" w:pos="709"/>
      </w:tabs>
    </w:pPr>
    <w:rPr>
      <w:lang w:eastAsia="en-US"/>
    </w:rPr>
  </w:style>
  <w:style w:type="character" w:customStyle="1" w:styleId="BodyTextChar">
    <w:name w:val="Body Text Char"/>
    <w:basedOn w:val="DefaultParagraphFont"/>
    <w:link w:val="BodyText"/>
    <w:uiPriority w:val="99"/>
    <w:locked/>
    <w:rsid w:val="00305C4E"/>
    <w:rPr>
      <w:rFonts w:cs="Times New Roman"/>
      <w:sz w:val="24"/>
      <w:lang w:eastAsia="en-US"/>
    </w:rPr>
  </w:style>
  <w:style w:type="paragraph" w:styleId="Revision">
    <w:name w:val="Revision"/>
    <w:hidden/>
    <w:uiPriority w:val="99"/>
    <w:semiHidden/>
    <w:rsid w:val="00305C4E"/>
    <w:rPr>
      <w:sz w:val="24"/>
    </w:rPr>
  </w:style>
  <w:style w:type="paragraph" w:customStyle="1" w:styleId="AFMANormal">
    <w:name w:val="AFMA Normal"/>
    <w:rsid w:val="00305C4E"/>
    <w:pPr>
      <w:spacing w:before="240"/>
      <w:jc w:val="both"/>
    </w:pPr>
    <w:rPr>
      <w:snapToGrid w:val="0"/>
      <w:kern w:val="20"/>
      <w:sz w:val="24"/>
      <w:lang w:eastAsia="en-US"/>
    </w:rPr>
  </w:style>
  <w:style w:type="paragraph" w:customStyle="1" w:styleId="Default">
    <w:name w:val="Default"/>
    <w:rsid w:val="00305C4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05C4E"/>
    <w:pPr>
      <w:ind w:left="720"/>
    </w:pPr>
  </w:style>
  <w:style w:type="character" w:customStyle="1" w:styleId="Heading1Char">
    <w:name w:val="Heading 1 Char"/>
    <w:basedOn w:val="DefaultParagraphFont"/>
    <w:link w:val="Heading1"/>
    <w:rsid w:val="00305C4E"/>
    <w:rPr>
      <w:rFonts w:cs="Arial"/>
      <w:b/>
      <w:bCs/>
      <w:kern w:val="32"/>
      <w:sz w:val="28"/>
      <w:szCs w:val="32"/>
    </w:rPr>
  </w:style>
  <w:style w:type="character" w:styleId="Emphasis">
    <w:name w:val="Emphasis"/>
    <w:basedOn w:val="DefaultParagraphFont"/>
    <w:uiPriority w:val="20"/>
    <w:qFormat/>
    <w:rsid w:val="00305C4E"/>
    <w:rPr>
      <w:i/>
      <w:iCs/>
    </w:rPr>
  </w:style>
  <w:style w:type="paragraph" w:customStyle="1" w:styleId="BodyText10">
    <w:name w:val="Body Text1"/>
    <w:basedOn w:val="ListParagraph"/>
    <w:link w:val="BodytextChar0"/>
    <w:qFormat/>
    <w:rsid w:val="00305C4E"/>
    <w:pPr>
      <w:spacing w:before="120"/>
      <w:ind w:left="0"/>
    </w:pPr>
  </w:style>
  <w:style w:type="character" w:customStyle="1" w:styleId="BodytextChar0">
    <w:name w:val="Body text Char"/>
    <w:link w:val="BodyText10"/>
    <w:rsid w:val="00305C4E"/>
    <w:rPr>
      <w:sz w:val="24"/>
      <w:szCs w:val="24"/>
    </w:rPr>
  </w:style>
  <w:style w:type="paragraph" w:customStyle="1" w:styleId="dotpoint">
    <w:name w:val="dot point"/>
    <w:basedOn w:val="Normal"/>
    <w:rsid w:val="00305C4E"/>
    <w:pPr>
      <w:numPr>
        <w:numId w:val="2"/>
      </w:numPr>
      <w:spacing w:before="120" w:after="120"/>
    </w:pPr>
    <w:rPr>
      <w:sz w:val="22"/>
    </w:rPr>
  </w:style>
  <w:style w:type="paragraph" w:customStyle="1" w:styleId="dotpoint2">
    <w:name w:val="dot point 2"/>
    <w:basedOn w:val="Normal"/>
    <w:rsid w:val="00305C4E"/>
    <w:pPr>
      <w:numPr>
        <w:ilvl w:val="1"/>
        <w:numId w:val="2"/>
      </w:numPr>
      <w:spacing w:before="120" w:after="120"/>
    </w:pPr>
    <w:rPr>
      <w:sz w:val="22"/>
    </w:rPr>
  </w:style>
  <w:style w:type="numbering" w:customStyle="1" w:styleId="DotPointList">
    <w:name w:val="Dot Point List"/>
    <w:uiPriority w:val="99"/>
    <w:rsid w:val="00305C4E"/>
    <w:pPr>
      <w:numPr>
        <w:numId w:val="2"/>
      </w:numPr>
    </w:pPr>
  </w:style>
  <w:style w:type="paragraph" w:styleId="NormalWeb">
    <w:name w:val="Normal (Web)"/>
    <w:basedOn w:val="Normal"/>
    <w:uiPriority w:val="99"/>
    <w:unhideWhenUsed/>
    <w:rsid w:val="00305C4E"/>
    <w:pPr>
      <w:spacing w:before="100" w:beforeAutospacing="1" w:after="100" w:afterAutospacing="1"/>
    </w:pPr>
  </w:style>
  <w:style w:type="character" w:customStyle="1" w:styleId="Heading2Char">
    <w:name w:val="Heading 2 Char"/>
    <w:basedOn w:val="DefaultParagraphFont"/>
    <w:link w:val="Heading2"/>
    <w:rsid w:val="00305C4E"/>
    <w:rPr>
      <w:b/>
      <w:bCs/>
      <w:iCs/>
      <w:caps/>
      <w:sz w:val="28"/>
      <w:szCs w:val="28"/>
    </w:rPr>
  </w:style>
  <w:style w:type="paragraph" w:styleId="TOCHeading">
    <w:name w:val="TOC Heading"/>
    <w:basedOn w:val="Heading1"/>
    <w:next w:val="Normal"/>
    <w:uiPriority w:val="39"/>
    <w:unhideWhenUsed/>
    <w:qFormat/>
    <w:rsid w:val="00305C4E"/>
    <w:pPr>
      <w:keepLines/>
      <w:spacing w:before="480" w:after="0" w:line="276" w:lineRule="auto"/>
      <w:outlineLvl w:val="9"/>
    </w:pPr>
    <w:rPr>
      <w:rFonts w:ascii="Cambria" w:hAnsi="Cambria" w:cs="Times New Roman"/>
      <w:color w:val="365F91"/>
      <w:kern w:val="0"/>
      <w:szCs w:val="28"/>
      <w:lang w:val="en-US" w:eastAsia="en-US"/>
    </w:rPr>
  </w:style>
  <w:style w:type="paragraph" w:styleId="TOC1">
    <w:name w:val="toc 1"/>
    <w:basedOn w:val="Normal"/>
    <w:next w:val="Normal"/>
    <w:autoRedefine/>
    <w:uiPriority w:val="39"/>
    <w:rsid w:val="00305C4E"/>
    <w:pPr>
      <w:spacing w:before="120" w:after="120"/>
    </w:pPr>
    <w:rPr>
      <w:b/>
      <w:sz w:val="22"/>
    </w:rPr>
  </w:style>
  <w:style w:type="paragraph" w:styleId="TOC2">
    <w:name w:val="toc 2"/>
    <w:basedOn w:val="Normal"/>
    <w:next w:val="Normal"/>
    <w:autoRedefine/>
    <w:uiPriority w:val="39"/>
    <w:rsid w:val="00F05F0B"/>
    <w:pPr>
      <w:keepNext/>
      <w:tabs>
        <w:tab w:val="right" w:leader="dot" w:pos="9736"/>
      </w:tabs>
      <w:spacing w:before="40" w:after="40"/>
      <w:ind w:right="-624"/>
    </w:pPr>
  </w:style>
  <w:style w:type="character" w:styleId="Hyperlink">
    <w:name w:val="Hyperlink"/>
    <w:basedOn w:val="DefaultParagraphFont"/>
    <w:uiPriority w:val="99"/>
    <w:unhideWhenUsed/>
    <w:rsid w:val="00305C4E"/>
    <w:rPr>
      <w:color w:val="0000FF"/>
      <w:u w:val="single"/>
    </w:rPr>
  </w:style>
  <w:style w:type="paragraph" w:styleId="TOC3">
    <w:name w:val="toc 3"/>
    <w:basedOn w:val="Normal"/>
    <w:next w:val="Normal"/>
    <w:autoRedefine/>
    <w:uiPriority w:val="39"/>
    <w:rsid w:val="00D86467"/>
    <w:pPr>
      <w:tabs>
        <w:tab w:val="right" w:leader="dot" w:pos="9736"/>
      </w:tabs>
      <w:ind w:left="284" w:hanging="142"/>
    </w:pPr>
    <w:rPr>
      <w:sz w:val="22"/>
    </w:rPr>
  </w:style>
  <w:style w:type="paragraph" w:customStyle="1" w:styleId="Contents">
    <w:name w:val="Contents"/>
    <w:basedOn w:val="Normal"/>
    <w:next w:val="Normal"/>
    <w:rsid w:val="00305C4E"/>
    <w:pPr>
      <w:spacing w:after="60"/>
    </w:pPr>
    <w:rPr>
      <w:rFonts w:ascii="Verdana" w:hAnsi="Verdana" w:cs="Arial"/>
      <w:b/>
      <w:iCs/>
      <w:kern w:val="32"/>
      <w:sz w:val="32"/>
      <w:szCs w:val="32"/>
    </w:rPr>
  </w:style>
  <w:style w:type="paragraph" w:customStyle="1" w:styleId="Body">
    <w:name w:val="Body"/>
    <w:aliases w:val="b"/>
    <w:basedOn w:val="Normal"/>
    <w:rsid w:val="00305C4E"/>
  </w:style>
  <w:style w:type="paragraph" w:customStyle="1" w:styleId="BodyNum">
    <w:name w:val="BodyNum"/>
    <w:aliases w:val="b1"/>
    <w:basedOn w:val="Normal"/>
    <w:rsid w:val="00305C4E"/>
    <w:pPr>
      <w:numPr>
        <w:numId w:val="3"/>
      </w:numPr>
    </w:pPr>
  </w:style>
  <w:style w:type="paragraph" w:customStyle="1" w:styleId="BodyPara">
    <w:name w:val="BodyPara"/>
    <w:aliases w:val="ba"/>
    <w:basedOn w:val="Normal"/>
    <w:rsid w:val="00305C4E"/>
    <w:pPr>
      <w:numPr>
        <w:ilvl w:val="1"/>
        <w:numId w:val="3"/>
      </w:numPr>
    </w:pPr>
  </w:style>
  <w:style w:type="paragraph" w:customStyle="1" w:styleId="BodyParaBullet">
    <w:name w:val="BodyParaBullet"/>
    <w:aliases w:val="bpb"/>
    <w:basedOn w:val="Normal"/>
    <w:rsid w:val="00305C4E"/>
    <w:pPr>
      <w:numPr>
        <w:ilvl w:val="2"/>
        <w:numId w:val="3"/>
      </w:numPr>
      <w:tabs>
        <w:tab w:val="left" w:pos="2160"/>
      </w:tabs>
    </w:pPr>
  </w:style>
  <w:style w:type="paragraph" w:customStyle="1" w:styleId="BodySubPara">
    <w:name w:val="BodySubPara"/>
    <w:aliases w:val="bi"/>
    <w:basedOn w:val="Normal"/>
    <w:rsid w:val="00305C4E"/>
    <w:pPr>
      <w:numPr>
        <w:ilvl w:val="3"/>
        <w:numId w:val="3"/>
      </w:numPr>
    </w:pPr>
  </w:style>
  <w:style w:type="numbering" w:customStyle="1" w:styleId="OPCBodyList">
    <w:name w:val="OPCBodyList"/>
    <w:uiPriority w:val="99"/>
    <w:rsid w:val="00305C4E"/>
    <w:pPr>
      <w:numPr>
        <w:numId w:val="3"/>
      </w:numPr>
    </w:pPr>
  </w:style>
  <w:style w:type="character" w:customStyle="1" w:styleId="Heading3Char">
    <w:name w:val="Heading 3 Char"/>
    <w:basedOn w:val="DefaultParagraphFont"/>
    <w:link w:val="Heading3"/>
    <w:rsid w:val="00305C4E"/>
    <w:rPr>
      <w:b/>
      <w:bCs/>
      <w:sz w:val="28"/>
      <w:szCs w:val="26"/>
    </w:rPr>
  </w:style>
  <w:style w:type="character" w:customStyle="1" w:styleId="Heading4Char">
    <w:name w:val="Heading 4 Char"/>
    <w:basedOn w:val="DefaultParagraphFont"/>
    <w:link w:val="Heading4"/>
    <w:rsid w:val="00305C4E"/>
    <w:rPr>
      <w:b/>
      <w:i/>
      <w:sz w:val="24"/>
      <w:szCs w:val="24"/>
    </w:rPr>
  </w:style>
  <w:style w:type="character" w:customStyle="1" w:styleId="Heading5Char">
    <w:name w:val="Heading 5 Char"/>
    <w:basedOn w:val="DefaultParagraphFont"/>
    <w:link w:val="Heading5"/>
    <w:rsid w:val="00305C4E"/>
    <w:rPr>
      <w:i/>
      <w:sz w:val="24"/>
      <w:szCs w:val="24"/>
    </w:rPr>
  </w:style>
  <w:style w:type="paragraph" w:customStyle="1" w:styleId="Dotpoint1">
    <w:name w:val="Dot point 1"/>
    <w:basedOn w:val="Normal"/>
    <w:link w:val="Dotpoint1Char"/>
    <w:qFormat/>
    <w:rsid w:val="00A308BC"/>
    <w:pPr>
      <w:numPr>
        <w:numId w:val="5"/>
      </w:numPr>
      <w:tabs>
        <w:tab w:val="left" w:pos="284"/>
      </w:tabs>
      <w:autoSpaceDE w:val="0"/>
      <w:autoSpaceDN w:val="0"/>
      <w:spacing w:before="60"/>
      <w:ind w:left="284" w:hanging="284"/>
    </w:pPr>
  </w:style>
  <w:style w:type="character" w:customStyle="1" w:styleId="Dotpoint1Char">
    <w:name w:val="Dot point 1 Char"/>
    <w:link w:val="Dotpoint1"/>
    <w:rsid w:val="00A308BC"/>
    <w:rPr>
      <w:sz w:val="24"/>
      <w:szCs w:val="24"/>
    </w:rPr>
  </w:style>
  <w:style w:type="paragraph" w:customStyle="1" w:styleId="Dashpoint1">
    <w:name w:val="Dash point 1"/>
    <w:basedOn w:val="Dotpoint1"/>
    <w:qFormat/>
    <w:rsid w:val="00305C4E"/>
    <w:pPr>
      <w:numPr>
        <w:ilvl w:val="1"/>
      </w:numPr>
      <w:tabs>
        <w:tab w:val="clear" w:pos="284"/>
        <w:tab w:val="left" w:pos="709"/>
      </w:tabs>
    </w:pPr>
  </w:style>
  <w:style w:type="paragraph" w:customStyle="1" w:styleId="Heading3noTC">
    <w:name w:val="Heading_3_no_TC"/>
    <w:link w:val="Heading3noTCChar"/>
    <w:qFormat/>
    <w:rsid w:val="00305C4E"/>
    <w:pPr>
      <w:spacing w:before="360" w:after="60"/>
    </w:pPr>
    <w:rPr>
      <w:b/>
      <w:bCs/>
      <w:sz w:val="28"/>
      <w:szCs w:val="26"/>
    </w:rPr>
  </w:style>
  <w:style w:type="paragraph" w:customStyle="1" w:styleId="Heading4noTC">
    <w:name w:val="Heading_4_no_TC"/>
    <w:link w:val="Heading4noTCChar"/>
    <w:qFormat/>
    <w:rsid w:val="00305C4E"/>
    <w:pPr>
      <w:keepNext/>
      <w:spacing w:before="240" w:after="120"/>
    </w:pPr>
    <w:rPr>
      <w:b/>
      <w:i/>
      <w:sz w:val="24"/>
      <w:szCs w:val="24"/>
    </w:rPr>
  </w:style>
  <w:style w:type="character" w:customStyle="1" w:styleId="Heading3noTCChar">
    <w:name w:val="Heading 3_no_TC Char"/>
    <w:basedOn w:val="Heading3Char"/>
    <w:link w:val="Heading3noTC"/>
    <w:rsid w:val="00305C4E"/>
    <w:rPr>
      <w:b/>
      <w:bCs/>
      <w:sz w:val="28"/>
      <w:szCs w:val="26"/>
      <w:lang w:val="en-AU" w:eastAsia="en-AU" w:bidi="ar-SA"/>
    </w:rPr>
  </w:style>
  <w:style w:type="paragraph" w:customStyle="1" w:styleId="Heading5noTC">
    <w:name w:val="Heading_5_no_TC"/>
    <w:link w:val="Heading5noTCChar"/>
    <w:qFormat/>
    <w:rsid w:val="00305C4E"/>
    <w:pPr>
      <w:keepNext/>
      <w:spacing w:before="200"/>
    </w:pPr>
    <w:rPr>
      <w:i/>
      <w:sz w:val="24"/>
      <w:szCs w:val="24"/>
    </w:rPr>
  </w:style>
  <w:style w:type="character" w:customStyle="1" w:styleId="Heading4noTCChar">
    <w:name w:val="Heading_4_no_TC Char"/>
    <w:basedOn w:val="Heading4Char"/>
    <w:link w:val="Heading4noTC"/>
    <w:rsid w:val="00305C4E"/>
    <w:rPr>
      <w:b/>
      <w:i/>
      <w:sz w:val="24"/>
      <w:szCs w:val="24"/>
      <w:lang w:val="en-AU" w:eastAsia="en-AU" w:bidi="ar-SA"/>
    </w:rPr>
  </w:style>
  <w:style w:type="character" w:customStyle="1" w:styleId="Heading5noTCChar">
    <w:name w:val="Heading_5_no_TC Char"/>
    <w:basedOn w:val="Heading5Char"/>
    <w:link w:val="Heading5noTC"/>
    <w:rsid w:val="00305C4E"/>
    <w:rPr>
      <w:i/>
      <w:sz w:val="24"/>
      <w:szCs w:val="24"/>
      <w:lang w:val="en-AU" w:eastAsia="en-AU" w:bidi="ar-SA"/>
    </w:rPr>
  </w:style>
  <w:style w:type="paragraph" w:customStyle="1" w:styleId="TableText">
    <w:name w:val="Table Text"/>
    <w:basedOn w:val="Normal"/>
    <w:rsid w:val="00305C4E"/>
    <w:pPr>
      <w:spacing w:before="80" w:after="80"/>
    </w:pPr>
    <w:rPr>
      <w:rFonts w:ascii="Verdana" w:hAnsi="Verdana"/>
      <w:sz w:val="20"/>
    </w:rPr>
  </w:style>
  <w:style w:type="paragraph" w:customStyle="1" w:styleId="TableHeading">
    <w:name w:val="Table Heading"/>
    <w:basedOn w:val="TableText"/>
    <w:rsid w:val="00305C4E"/>
    <w:pPr>
      <w:keepNext/>
    </w:pPr>
    <w:rPr>
      <w:b/>
    </w:rPr>
  </w:style>
  <w:style w:type="table" w:styleId="TableGrid">
    <w:name w:val="Table Grid"/>
    <w:basedOn w:val="TableNormal"/>
    <w:uiPriority w:val="59"/>
    <w:rsid w:val="00305C4E"/>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05C4E"/>
    <w:pPr>
      <w:tabs>
        <w:tab w:val="clear" w:pos="4153"/>
        <w:tab w:val="clear" w:pos="8306"/>
        <w:tab w:val="center" w:pos="4320"/>
        <w:tab w:val="right" w:pos="8640"/>
      </w:tabs>
    </w:pPr>
    <w:rPr>
      <w:rFonts w:ascii="Cambria" w:hAnsi="Cambria"/>
      <w:sz w:val="16"/>
      <w:lang w:eastAsia="en-US"/>
    </w:rPr>
  </w:style>
  <w:style w:type="paragraph" w:customStyle="1" w:styleId="dotpoint10">
    <w:name w:val="dotpoint1"/>
    <w:basedOn w:val="Normal"/>
    <w:rsid w:val="00305C4E"/>
    <w:pPr>
      <w:spacing w:before="180" w:after="180"/>
    </w:pPr>
    <w:rPr>
      <w:color w:val="444444"/>
    </w:rPr>
  </w:style>
  <w:style w:type="paragraph" w:styleId="Title">
    <w:name w:val="Title"/>
    <w:basedOn w:val="Normal"/>
    <w:link w:val="TitleChar"/>
    <w:uiPriority w:val="10"/>
    <w:qFormat/>
    <w:rsid w:val="00305C4E"/>
    <w:pPr>
      <w:jc w:val="center"/>
    </w:pPr>
    <w:rPr>
      <w:rFonts w:ascii="Arial Rounded MT Bold" w:hAnsi="Arial Rounded MT Bold"/>
      <w:b/>
      <w:lang w:eastAsia="en-US"/>
    </w:rPr>
  </w:style>
  <w:style w:type="character" w:customStyle="1" w:styleId="TitleChar">
    <w:name w:val="Title Char"/>
    <w:basedOn w:val="DefaultParagraphFont"/>
    <w:link w:val="Title"/>
    <w:uiPriority w:val="10"/>
    <w:rsid w:val="00305C4E"/>
    <w:rPr>
      <w:rFonts w:ascii="Arial Rounded MT Bold" w:hAnsi="Arial Rounded MT Bold"/>
      <w:b/>
      <w:sz w:val="24"/>
      <w:lang w:eastAsia="en-US"/>
    </w:rPr>
  </w:style>
  <w:style w:type="paragraph" w:customStyle="1" w:styleId="R2">
    <w:name w:val="R2"/>
    <w:aliases w:val="(2)"/>
    <w:basedOn w:val="Normal"/>
    <w:uiPriority w:val="99"/>
    <w:rsid w:val="00305C4E"/>
    <w:pPr>
      <w:spacing w:before="180" w:line="260" w:lineRule="exact"/>
      <w:ind w:left="964" w:hanging="964"/>
      <w:jc w:val="both"/>
    </w:pPr>
    <w:rPr>
      <w:rFonts w:eastAsia="Calibri"/>
    </w:rPr>
  </w:style>
  <w:style w:type="paragraph" w:customStyle="1" w:styleId="BodyText11">
    <w:name w:val="Body Text1"/>
    <w:basedOn w:val="ListParagraph"/>
    <w:qFormat/>
    <w:rsid w:val="00305C4E"/>
    <w:pPr>
      <w:spacing w:before="120"/>
      <w:ind w:left="0" w:hanging="567"/>
    </w:pPr>
  </w:style>
  <w:style w:type="character" w:styleId="FootnoteReference">
    <w:name w:val="footnote reference"/>
    <w:basedOn w:val="DefaultParagraphFont"/>
    <w:rsid w:val="00305C4E"/>
    <w:rPr>
      <w:vertAlign w:val="superscript"/>
    </w:rPr>
  </w:style>
  <w:style w:type="paragraph" w:styleId="FootnoteText">
    <w:name w:val="footnote text"/>
    <w:basedOn w:val="Normal"/>
    <w:link w:val="FootnoteTextChar"/>
    <w:rsid w:val="00305C4E"/>
    <w:pPr>
      <w:spacing w:before="200"/>
      <w:ind w:left="142" w:hanging="142"/>
    </w:pPr>
    <w:rPr>
      <w:rFonts w:eastAsia="SimSun"/>
      <w:sz w:val="20"/>
      <w:lang w:eastAsia="zh-CN"/>
    </w:rPr>
  </w:style>
  <w:style w:type="character" w:customStyle="1" w:styleId="FootnoteTextChar">
    <w:name w:val="Footnote Text Char"/>
    <w:basedOn w:val="DefaultParagraphFont"/>
    <w:link w:val="FootnoteText"/>
    <w:rsid w:val="00305C4E"/>
    <w:rPr>
      <w:rFonts w:eastAsia="SimSun"/>
      <w:szCs w:val="24"/>
      <w:lang w:eastAsia="zh-CN"/>
    </w:rPr>
  </w:style>
  <w:style w:type="paragraph" w:customStyle="1" w:styleId="APVMAText">
    <w:name w:val="APVMA_Text"/>
    <w:basedOn w:val="Normal"/>
    <w:rsid w:val="00305C4E"/>
    <w:pPr>
      <w:suppressAutoHyphens/>
      <w:spacing w:after="240" w:line="280" w:lineRule="exact"/>
    </w:pPr>
    <w:rPr>
      <w:rFonts w:ascii="Arial" w:hAnsi="Arial" w:cs="Arial"/>
      <w:sz w:val="20"/>
      <w:u w:color="000000"/>
      <w:lang w:eastAsia="en-US"/>
    </w:rPr>
  </w:style>
  <w:style w:type="paragraph" w:customStyle="1" w:styleId="Levelafo">
    <w:name w:val="Level (a)fo"/>
    <w:basedOn w:val="Normal"/>
    <w:rsid w:val="00305C4E"/>
    <w:pPr>
      <w:spacing w:before="200" w:line="240" w:lineRule="atLeast"/>
      <w:ind w:left="1440"/>
    </w:pPr>
    <w:rPr>
      <w:rFonts w:ascii="Arial" w:eastAsia="SimSun" w:hAnsi="Arial"/>
      <w:sz w:val="20"/>
      <w:lang w:eastAsia="zh-CN"/>
    </w:rPr>
  </w:style>
  <w:style w:type="paragraph" w:customStyle="1" w:styleId="dashpoint10">
    <w:name w:val="dashpoint1"/>
    <w:basedOn w:val="Normal"/>
    <w:rsid w:val="00305C4E"/>
    <w:pPr>
      <w:spacing w:before="180" w:after="180"/>
    </w:pPr>
    <w:rPr>
      <w:color w:val="444444"/>
    </w:rPr>
  </w:style>
  <w:style w:type="paragraph" w:customStyle="1" w:styleId="heading4notc0">
    <w:name w:val="heading4notc"/>
    <w:basedOn w:val="Normal"/>
    <w:rsid w:val="00305C4E"/>
    <w:pPr>
      <w:spacing w:before="180" w:after="180"/>
    </w:pPr>
    <w:rPr>
      <w:color w:val="444444"/>
    </w:rPr>
  </w:style>
  <w:style w:type="paragraph" w:customStyle="1" w:styleId="Itemheader">
    <w:name w:val="Item header"/>
    <w:basedOn w:val="Normal"/>
    <w:qFormat/>
    <w:rsid w:val="00305C4E"/>
    <w:pPr>
      <w:keepNext/>
      <w:spacing w:before="200"/>
    </w:pPr>
    <w:rPr>
      <w:b/>
      <w:szCs w:val="20"/>
    </w:rPr>
  </w:style>
  <w:style w:type="paragraph" w:customStyle="1" w:styleId="Heading2noTC">
    <w:name w:val="Heading_2_no_TC"/>
    <w:qFormat/>
    <w:rsid w:val="00305C4E"/>
    <w:pPr>
      <w:spacing w:before="240" w:after="120"/>
    </w:pPr>
    <w:rPr>
      <w:b/>
      <w:bCs/>
      <w:iCs/>
      <w:caps/>
      <w:sz w:val="28"/>
      <w:szCs w:val="28"/>
    </w:rPr>
  </w:style>
  <w:style w:type="paragraph" w:styleId="ListBullet">
    <w:name w:val="List Bullet"/>
    <w:basedOn w:val="Normal"/>
    <w:rsid w:val="00305C4E"/>
    <w:pPr>
      <w:tabs>
        <w:tab w:val="num" w:pos="567"/>
      </w:tabs>
      <w:spacing w:before="240"/>
      <w:ind w:left="567" w:hanging="567"/>
    </w:pPr>
    <w:rPr>
      <w:rFonts w:ascii="Verdana" w:hAnsi="Verdana"/>
      <w:sz w:val="20"/>
    </w:rPr>
  </w:style>
  <w:style w:type="paragraph" w:styleId="TOC4">
    <w:name w:val="toc 4"/>
    <w:basedOn w:val="Normal"/>
    <w:next w:val="Normal"/>
    <w:autoRedefine/>
    <w:uiPriority w:val="39"/>
    <w:rsid w:val="00D86467"/>
    <w:pPr>
      <w:tabs>
        <w:tab w:val="right" w:leader="dot" w:pos="9736"/>
      </w:tabs>
      <w:ind w:left="426"/>
    </w:pPr>
    <w:rPr>
      <w:i/>
      <w:noProof/>
      <w:sz w:val="22"/>
    </w:rPr>
  </w:style>
  <w:style w:type="paragraph" w:styleId="TOC5">
    <w:name w:val="toc 5"/>
    <w:basedOn w:val="Normal"/>
    <w:next w:val="Normal"/>
    <w:autoRedefine/>
    <w:uiPriority w:val="39"/>
    <w:rsid w:val="00305C4E"/>
    <w:pPr>
      <w:tabs>
        <w:tab w:val="left" w:pos="9356"/>
      </w:tabs>
      <w:ind w:left="960"/>
    </w:pPr>
    <w:rPr>
      <w:noProof/>
      <w:sz w:val="20"/>
    </w:rPr>
  </w:style>
  <w:style w:type="paragraph" w:customStyle="1" w:styleId="Numberpoint1">
    <w:name w:val="Number point 1"/>
    <w:basedOn w:val="Dotpoint1"/>
    <w:link w:val="Numberpoint1Char"/>
    <w:qFormat/>
    <w:rsid w:val="00305C4E"/>
    <w:pPr>
      <w:numPr>
        <w:numId w:val="6"/>
      </w:numPr>
      <w:tabs>
        <w:tab w:val="clear" w:pos="284"/>
        <w:tab w:val="left" w:pos="567"/>
      </w:tabs>
      <w:ind w:left="567" w:hanging="567"/>
    </w:pPr>
  </w:style>
  <w:style w:type="paragraph" w:styleId="BodyTextIndent">
    <w:name w:val="Body Text Indent"/>
    <w:basedOn w:val="Normal"/>
    <w:link w:val="BodyTextIndentChar"/>
    <w:rsid w:val="00305C4E"/>
    <w:pPr>
      <w:spacing w:after="120"/>
      <w:ind w:left="283"/>
    </w:pPr>
  </w:style>
  <w:style w:type="character" w:customStyle="1" w:styleId="Numberpoint1Char">
    <w:name w:val="Number point 1 Char"/>
    <w:basedOn w:val="Dotpoint1Char"/>
    <w:link w:val="Numberpoint1"/>
    <w:rsid w:val="00305C4E"/>
    <w:rPr>
      <w:sz w:val="24"/>
      <w:szCs w:val="24"/>
    </w:rPr>
  </w:style>
  <w:style w:type="character" w:customStyle="1" w:styleId="BodyTextIndentChar">
    <w:name w:val="Body Text Indent Char"/>
    <w:basedOn w:val="DefaultParagraphFont"/>
    <w:link w:val="BodyTextIndent"/>
    <w:rsid w:val="00305C4E"/>
    <w:rPr>
      <w:sz w:val="24"/>
      <w:szCs w:val="24"/>
    </w:rPr>
  </w:style>
  <w:style w:type="paragraph" w:styleId="ListNumber">
    <w:name w:val="List Number"/>
    <w:basedOn w:val="Normal"/>
    <w:autoRedefine/>
    <w:qFormat/>
    <w:rsid w:val="00FF33C2"/>
    <w:pPr>
      <w:numPr>
        <w:numId w:val="22"/>
      </w:numPr>
      <w:spacing w:after="200"/>
    </w:pPr>
    <w:rPr>
      <w:rFonts w:eastAsia="Calibri"/>
      <w:szCs w:val="22"/>
      <w:lang w:eastAsia="en-US"/>
    </w:rPr>
  </w:style>
  <w:style w:type="character" w:customStyle="1" w:styleId="ListParagraphChar">
    <w:name w:val="List Paragraph Char"/>
    <w:basedOn w:val="DefaultParagraphFont"/>
    <w:link w:val="ListParagraph"/>
    <w:uiPriority w:val="34"/>
    <w:rsid w:val="00C72B27"/>
    <w:rPr>
      <w:sz w:val="24"/>
      <w:szCs w:val="24"/>
    </w:rPr>
  </w:style>
  <w:style w:type="paragraph" w:customStyle="1" w:styleId="Tabledotpoint">
    <w:name w:val="Table dot point"/>
    <w:basedOn w:val="ListParagraph"/>
    <w:link w:val="TabledotpointChar"/>
    <w:qFormat/>
    <w:rsid w:val="003C0DA1"/>
    <w:pPr>
      <w:numPr>
        <w:numId w:val="25"/>
      </w:numPr>
      <w:spacing w:after="60"/>
      <w:contextualSpacing/>
    </w:pPr>
  </w:style>
  <w:style w:type="character" w:customStyle="1" w:styleId="TabledotpointChar">
    <w:name w:val="Table dot point Char"/>
    <w:basedOn w:val="ListParagraphChar"/>
    <w:link w:val="Tabledotpoint"/>
    <w:rsid w:val="003C0DA1"/>
    <w:rPr>
      <w:sz w:val="24"/>
      <w:szCs w:val="24"/>
    </w:rPr>
  </w:style>
  <w:style w:type="paragraph" w:customStyle="1" w:styleId="Dotpoint20">
    <w:name w:val="Dot point 2"/>
    <w:basedOn w:val="Dotpoint1"/>
    <w:link w:val="Dotpoint2Char"/>
    <w:qFormat/>
    <w:rsid w:val="003C0DA1"/>
    <w:pPr>
      <w:numPr>
        <w:numId w:val="0"/>
      </w:numPr>
      <w:tabs>
        <w:tab w:val="clear" w:pos="284"/>
        <w:tab w:val="left" w:pos="317"/>
        <w:tab w:val="num" w:pos="720"/>
      </w:tabs>
      <w:spacing w:before="40"/>
      <w:ind w:left="720" w:hanging="720"/>
    </w:pPr>
  </w:style>
  <w:style w:type="character" w:customStyle="1" w:styleId="Dotpoint2Char">
    <w:name w:val="Dot point 2 Char"/>
    <w:basedOn w:val="Dotpoint1Char"/>
    <w:link w:val="Dotpoint20"/>
    <w:rsid w:val="003C0DA1"/>
    <w:rPr>
      <w:sz w:val="24"/>
      <w:szCs w:val="24"/>
    </w:rPr>
  </w:style>
  <w:style w:type="paragraph" w:customStyle="1" w:styleId="Romannumbered">
    <w:name w:val="Roman numbered"/>
    <w:basedOn w:val="ListBullet"/>
    <w:link w:val="RomannumberedChar"/>
    <w:qFormat/>
    <w:rsid w:val="00000DC2"/>
    <w:pPr>
      <w:numPr>
        <w:numId w:val="30"/>
      </w:numPr>
      <w:spacing w:before="40"/>
      <w:ind w:left="459" w:hanging="425"/>
    </w:pPr>
    <w:rPr>
      <w:rFonts w:ascii="Times New Roman" w:eastAsia="Calibri" w:hAnsi="Times New Roman"/>
      <w:sz w:val="24"/>
      <w:szCs w:val="22"/>
      <w:lang w:eastAsia="en-US"/>
    </w:rPr>
  </w:style>
  <w:style w:type="character" w:customStyle="1" w:styleId="RomannumberedChar">
    <w:name w:val="Roman numbered Char"/>
    <w:basedOn w:val="DefaultParagraphFont"/>
    <w:link w:val="Romannumbered"/>
    <w:rsid w:val="00000DC2"/>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3342">
      <w:bodyDiv w:val="1"/>
      <w:marLeft w:val="0"/>
      <w:marRight w:val="0"/>
      <w:marTop w:val="0"/>
      <w:marBottom w:val="0"/>
      <w:divBdr>
        <w:top w:val="none" w:sz="0" w:space="0" w:color="auto"/>
        <w:left w:val="none" w:sz="0" w:space="0" w:color="auto"/>
        <w:bottom w:val="none" w:sz="0" w:space="0" w:color="auto"/>
        <w:right w:val="none" w:sz="0" w:space="0" w:color="auto"/>
      </w:divBdr>
    </w:div>
    <w:div w:id="141847894">
      <w:bodyDiv w:val="1"/>
      <w:marLeft w:val="0"/>
      <w:marRight w:val="0"/>
      <w:marTop w:val="0"/>
      <w:marBottom w:val="0"/>
      <w:divBdr>
        <w:top w:val="none" w:sz="0" w:space="0" w:color="auto"/>
        <w:left w:val="none" w:sz="0" w:space="0" w:color="auto"/>
        <w:bottom w:val="none" w:sz="0" w:space="0" w:color="auto"/>
        <w:right w:val="none" w:sz="0" w:space="0" w:color="auto"/>
      </w:divBdr>
    </w:div>
    <w:div w:id="272441583">
      <w:bodyDiv w:val="1"/>
      <w:marLeft w:val="0"/>
      <w:marRight w:val="0"/>
      <w:marTop w:val="0"/>
      <w:marBottom w:val="0"/>
      <w:divBdr>
        <w:top w:val="none" w:sz="0" w:space="0" w:color="auto"/>
        <w:left w:val="none" w:sz="0" w:space="0" w:color="auto"/>
        <w:bottom w:val="none" w:sz="0" w:space="0" w:color="auto"/>
        <w:right w:val="none" w:sz="0" w:space="0" w:color="auto"/>
      </w:divBdr>
      <w:divsChild>
        <w:div w:id="2098206502">
          <w:marLeft w:val="0"/>
          <w:marRight w:val="0"/>
          <w:marTop w:val="0"/>
          <w:marBottom w:val="0"/>
          <w:divBdr>
            <w:top w:val="none" w:sz="0" w:space="0" w:color="auto"/>
            <w:left w:val="none" w:sz="0" w:space="0" w:color="auto"/>
            <w:bottom w:val="none" w:sz="0" w:space="0" w:color="auto"/>
            <w:right w:val="none" w:sz="0" w:space="0" w:color="auto"/>
          </w:divBdr>
          <w:divsChild>
            <w:div w:id="1860466806">
              <w:marLeft w:val="0"/>
              <w:marRight w:val="0"/>
              <w:marTop w:val="0"/>
              <w:marBottom w:val="0"/>
              <w:divBdr>
                <w:top w:val="none" w:sz="0" w:space="0" w:color="auto"/>
                <w:left w:val="none" w:sz="0" w:space="0" w:color="auto"/>
                <w:bottom w:val="none" w:sz="0" w:space="0" w:color="auto"/>
                <w:right w:val="none" w:sz="0" w:space="0" w:color="auto"/>
              </w:divBdr>
              <w:divsChild>
                <w:div w:id="155339594">
                  <w:marLeft w:val="0"/>
                  <w:marRight w:val="0"/>
                  <w:marTop w:val="0"/>
                  <w:marBottom w:val="0"/>
                  <w:divBdr>
                    <w:top w:val="none" w:sz="0" w:space="0" w:color="auto"/>
                    <w:left w:val="none" w:sz="0" w:space="0" w:color="auto"/>
                    <w:bottom w:val="none" w:sz="0" w:space="0" w:color="auto"/>
                    <w:right w:val="none" w:sz="0" w:space="0" w:color="auto"/>
                  </w:divBdr>
                  <w:divsChild>
                    <w:div w:id="1551377067">
                      <w:marLeft w:val="0"/>
                      <w:marRight w:val="0"/>
                      <w:marTop w:val="240"/>
                      <w:marBottom w:val="0"/>
                      <w:divBdr>
                        <w:top w:val="none" w:sz="0" w:space="0" w:color="auto"/>
                        <w:left w:val="none" w:sz="0" w:space="0" w:color="auto"/>
                        <w:bottom w:val="none" w:sz="0" w:space="0" w:color="auto"/>
                        <w:right w:val="none" w:sz="0" w:space="0" w:color="auto"/>
                      </w:divBdr>
                      <w:divsChild>
                        <w:div w:id="284317658">
                          <w:marLeft w:val="0"/>
                          <w:marRight w:val="0"/>
                          <w:marTop w:val="0"/>
                          <w:marBottom w:val="0"/>
                          <w:divBdr>
                            <w:top w:val="none" w:sz="0" w:space="0" w:color="auto"/>
                            <w:left w:val="none" w:sz="0" w:space="0" w:color="auto"/>
                            <w:bottom w:val="none" w:sz="0" w:space="0" w:color="auto"/>
                            <w:right w:val="none" w:sz="0" w:space="0" w:color="auto"/>
                          </w:divBdr>
                          <w:divsChild>
                            <w:div w:id="1572303760">
                              <w:marLeft w:val="0"/>
                              <w:marRight w:val="0"/>
                              <w:marTop w:val="0"/>
                              <w:marBottom w:val="0"/>
                              <w:divBdr>
                                <w:top w:val="none" w:sz="0" w:space="0" w:color="auto"/>
                                <w:left w:val="none" w:sz="0" w:space="0" w:color="auto"/>
                                <w:bottom w:val="none" w:sz="0" w:space="0" w:color="auto"/>
                                <w:right w:val="none" w:sz="0" w:space="0" w:color="auto"/>
                              </w:divBdr>
                              <w:divsChild>
                                <w:div w:id="763675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562898">
      <w:bodyDiv w:val="1"/>
      <w:marLeft w:val="0"/>
      <w:marRight w:val="0"/>
      <w:marTop w:val="0"/>
      <w:marBottom w:val="0"/>
      <w:divBdr>
        <w:top w:val="none" w:sz="0" w:space="0" w:color="auto"/>
        <w:left w:val="none" w:sz="0" w:space="0" w:color="auto"/>
        <w:bottom w:val="none" w:sz="0" w:space="0" w:color="auto"/>
        <w:right w:val="none" w:sz="0" w:space="0" w:color="auto"/>
      </w:divBdr>
    </w:div>
    <w:div w:id="722602367">
      <w:bodyDiv w:val="1"/>
      <w:marLeft w:val="0"/>
      <w:marRight w:val="0"/>
      <w:marTop w:val="0"/>
      <w:marBottom w:val="0"/>
      <w:divBdr>
        <w:top w:val="none" w:sz="0" w:space="0" w:color="auto"/>
        <w:left w:val="none" w:sz="0" w:space="0" w:color="auto"/>
        <w:bottom w:val="none" w:sz="0" w:space="0" w:color="auto"/>
        <w:right w:val="none" w:sz="0" w:space="0" w:color="auto"/>
      </w:divBdr>
    </w:div>
    <w:div w:id="856041221">
      <w:bodyDiv w:val="1"/>
      <w:marLeft w:val="0"/>
      <w:marRight w:val="0"/>
      <w:marTop w:val="0"/>
      <w:marBottom w:val="0"/>
      <w:divBdr>
        <w:top w:val="none" w:sz="0" w:space="0" w:color="auto"/>
        <w:left w:val="none" w:sz="0" w:space="0" w:color="auto"/>
        <w:bottom w:val="none" w:sz="0" w:space="0" w:color="auto"/>
        <w:right w:val="none" w:sz="0" w:space="0" w:color="auto"/>
      </w:divBdr>
    </w:div>
    <w:div w:id="919365109">
      <w:bodyDiv w:val="1"/>
      <w:marLeft w:val="0"/>
      <w:marRight w:val="0"/>
      <w:marTop w:val="0"/>
      <w:marBottom w:val="0"/>
      <w:divBdr>
        <w:top w:val="none" w:sz="0" w:space="0" w:color="auto"/>
        <w:left w:val="none" w:sz="0" w:space="0" w:color="auto"/>
        <w:bottom w:val="none" w:sz="0" w:space="0" w:color="auto"/>
        <w:right w:val="none" w:sz="0" w:space="0" w:color="auto"/>
      </w:divBdr>
      <w:divsChild>
        <w:div w:id="1465003239">
          <w:marLeft w:val="0"/>
          <w:marRight w:val="0"/>
          <w:marTop w:val="0"/>
          <w:marBottom w:val="0"/>
          <w:divBdr>
            <w:top w:val="none" w:sz="0" w:space="0" w:color="auto"/>
            <w:left w:val="none" w:sz="0" w:space="0" w:color="auto"/>
            <w:bottom w:val="none" w:sz="0" w:space="0" w:color="auto"/>
            <w:right w:val="none" w:sz="0" w:space="0" w:color="auto"/>
          </w:divBdr>
          <w:divsChild>
            <w:div w:id="1217013835">
              <w:marLeft w:val="0"/>
              <w:marRight w:val="0"/>
              <w:marTop w:val="0"/>
              <w:marBottom w:val="0"/>
              <w:divBdr>
                <w:top w:val="none" w:sz="0" w:space="0" w:color="auto"/>
                <w:left w:val="none" w:sz="0" w:space="0" w:color="auto"/>
                <w:bottom w:val="none" w:sz="0" w:space="0" w:color="auto"/>
                <w:right w:val="none" w:sz="0" w:space="0" w:color="auto"/>
              </w:divBdr>
              <w:divsChild>
                <w:div w:id="797142432">
                  <w:marLeft w:val="0"/>
                  <w:marRight w:val="0"/>
                  <w:marTop w:val="0"/>
                  <w:marBottom w:val="0"/>
                  <w:divBdr>
                    <w:top w:val="none" w:sz="0" w:space="0" w:color="auto"/>
                    <w:left w:val="none" w:sz="0" w:space="0" w:color="auto"/>
                    <w:bottom w:val="none" w:sz="0" w:space="0" w:color="auto"/>
                    <w:right w:val="none" w:sz="0" w:space="0" w:color="auto"/>
                  </w:divBdr>
                  <w:divsChild>
                    <w:div w:id="2050913793">
                      <w:marLeft w:val="0"/>
                      <w:marRight w:val="0"/>
                      <w:marTop w:val="240"/>
                      <w:marBottom w:val="0"/>
                      <w:divBdr>
                        <w:top w:val="none" w:sz="0" w:space="0" w:color="auto"/>
                        <w:left w:val="none" w:sz="0" w:space="0" w:color="auto"/>
                        <w:bottom w:val="none" w:sz="0" w:space="0" w:color="auto"/>
                        <w:right w:val="none" w:sz="0" w:space="0" w:color="auto"/>
                      </w:divBdr>
                      <w:divsChild>
                        <w:div w:id="1577977656">
                          <w:marLeft w:val="0"/>
                          <w:marRight w:val="0"/>
                          <w:marTop w:val="0"/>
                          <w:marBottom w:val="0"/>
                          <w:divBdr>
                            <w:top w:val="none" w:sz="0" w:space="0" w:color="auto"/>
                            <w:left w:val="none" w:sz="0" w:space="0" w:color="auto"/>
                            <w:bottom w:val="none" w:sz="0" w:space="0" w:color="auto"/>
                            <w:right w:val="none" w:sz="0" w:space="0" w:color="auto"/>
                          </w:divBdr>
                          <w:divsChild>
                            <w:div w:id="1006664875">
                              <w:marLeft w:val="0"/>
                              <w:marRight w:val="0"/>
                              <w:marTop w:val="0"/>
                              <w:marBottom w:val="0"/>
                              <w:divBdr>
                                <w:top w:val="none" w:sz="0" w:space="0" w:color="auto"/>
                                <w:left w:val="none" w:sz="0" w:space="0" w:color="auto"/>
                                <w:bottom w:val="none" w:sz="0" w:space="0" w:color="auto"/>
                                <w:right w:val="none" w:sz="0" w:space="0" w:color="auto"/>
                              </w:divBdr>
                              <w:divsChild>
                                <w:div w:id="817721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70521">
      <w:bodyDiv w:val="1"/>
      <w:marLeft w:val="0"/>
      <w:marRight w:val="0"/>
      <w:marTop w:val="0"/>
      <w:marBottom w:val="0"/>
      <w:divBdr>
        <w:top w:val="none" w:sz="0" w:space="0" w:color="auto"/>
        <w:left w:val="none" w:sz="0" w:space="0" w:color="auto"/>
        <w:bottom w:val="none" w:sz="0" w:space="0" w:color="auto"/>
        <w:right w:val="none" w:sz="0" w:space="0" w:color="auto"/>
      </w:divBdr>
      <w:divsChild>
        <w:div w:id="650862777">
          <w:marLeft w:val="0"/>
          <w:marRight w:val="0"/>
          <w:marTop w:val="0"/>
          <w:marBottom w:val="0"/>
          <w:divBdr>
            <w:top w:val="single" w:sz="4" w:space="6" w:color="B8B8B8"/>
            <w:left w:val="none" w:sz="0" w:space="0" w:color="auto"/>
            <w:bottom w:val="none" w:sz="0" w:space="0" w:color="auto"/>
            <w:right w:val="none" w:sz="0" w:space="0" w:color="auto"/>
          </w:divBdr>
          <w:divsChild>
            <w:div w:id="1306546032">
              <w:marLeft w:val="2"/>
              <w:marRight w:val="2"/>
              <w:marTop w:val="0"/>
              <w:marBottom w:val="0"/>
              <w:divBdr>
                <w:top w:val="single" w:sz="4" w:space="6" w:color="CDCCD4"/>
                <w:left w:val="single" w:sz="4" w:space="6" w:color="CDCCD4"/>
                <w:bottom w:val="single" w:sz="4" w:space="6" w:color="CDCCD4"/>
                <w:right w:val="single" w:sz="4" w:space="3" w:color="CDCCD4"/>
              </w:divBdr>
              <w:divsChild>
                <w:div w:id="1406339221">
                  <w:marLeft w:val="0"/>
                  <w:marRight w:val="0"/>
                  <w:marTop w:val="58"/>
                  <w:marBottom w:val="58"/>
                  <w:divBdr>
                    <w:top w:val="single" w:sz="4" w:space="6" w:color="CCCCD4"/>
                    <w:left w:val="single" w:sz="4" w:space="6" w:color="CCCCD4"/>
                    <w:bottom w:val="single" w:sz="4" w:space="6" w:color="CCCCD4"/>
                    <w:right w:val="single" w:sz="4" w:space="6" w:color="CCCCD4"/>
                  </w:divBdr>
                  <w:divsChild>
                    <w:div w:id="218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75860">
      <w:bodyDiv w:val="1"/>
      <w:marLeft w:val="0"/>
      <w:marRight w:val="0"/>
      <w:marTop w:val="0"/>
      <w:marBottom w:val="0"/>
      <w:divBdr>
        <w:top w:val="none" w:sz="0" w:space="0" w:color="auto"/>
        <w:left w:val="none" w:sz="0" w:space="0" w:color="auto"/>
        <w:bottom w:val="none" w:sz="0" w:space="0" w:color="auto"/>
        <w:right w:val="none" w:sz="0" w:space="0" w:color="auto"/>
      </w:divBdr>
      <w:divsChild>
        <w:div w:id="1587493186">
          <w:marLeft w:val="0"/>
          <w:marRight w:val="0"/>
          <w:marTop w:val="0"/>
          <w:marBottom w:val="0"/>
          <w:divBdr>
            <w:top w:val="single" w:sz="4" w:space="6" w:color="B8B8B8"/>
            <w:left w:val="none" w:sz="0" w:space="0" w:color="auto"/>
            <w:bottom w:val="none" w:sz="0" w:space="0" w:color="auto"/>
            <w:right w:val="none" w:sz="0" w:space="0" w:color="auto"/>
          </w:divBdr>
          <w:divsChild>
            <w:div w:id="846939200">
              <w:marLeft w:val="2"/>
              <w:marRight w:val="2"/>
              <w:marTop w:val="0"/>
              <w:marBottom w:val="0"/>
              <w:divBdr>
                <w:top w:val="single" w:sz="4" w:space="6" w:color="CDCCD4"/>
                <w:left w:val="single" w:sz="4" w:space="6" w:color="CDCCD4"/>
                <w:bottom w:val="single" w:sz="4" w:space="6" w:color="CDCCD4"/>
                <w:right w:val="single" w:sz="4" w:space="3" w:color="CDCCD4"/>
              </w:divBdr>
              <w:divsChild>
                <w:div w:id="959261170">
                  <w:marLeft w:val="0"/>
                  <w:marRight w:val="0"/>
                  <w:marTop w:val="58"/>
                  <w:marBottom w:val="58"/>
                  <w:divBdr>
                    <w:top w:val="single" w:sz="4" w:space="6" w:color="CCCCD4"/>
                    <w:left w:val="single" w:sz="4" w:space="6" w:color="CCCCD4"/>
                    <w:bottom w:val="single" w:sz="4" w:space="6" w:color="CCCCD4"/>
                    <w:right w:val="single" w:sz="4" w:space="6" w:color="CCCCD4"/>
                  </w:divBdr>
                  <w:divsChild>
                    <w:div w:id="7006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49170">
      <w:bodyDiv w:val="1"/>
      <w:marLeft w:val="0"/>
      <w:marRight w:val="0"/>
      <w:marTop w:val="0"/>
      <w:marBottom w:val="0"/>
      <w:divBdr>
        <w:top w:val="none" w:sz="0" w:space="0" w:color="auto"/>
        <w:left w:val="none" w:sz="0" w:space="0" w:color="auto"/>
        <w:bottom w:val="none" w:sz="0" w:space="0" w:color="auto"/>
        <w:right w:val="none" w:sz="0" w:space="0" w:color="auto"/>
      </w:divBdr>
      <w:divsChild>
        <w:div w:id="903446055">
          <w:marLeft w:val="0"/>
          <w:marRight w:val="0"/>
          <w:marTop w:val="0"/>
          <w:marBottom w:val="0"/>
          <w:divBdr>
            <w:top w:val="none" w:sz="0" w:space="0" w:color="auto"/>
            <w:left w:val="none" w:sz="0" w:space="0" w:color="auto"/>
            <w:bottom w:val="none" w:sz="0" w:space="0" w:color="auto"/>
            <w:right w:val="none" w:sz="0" w:space="0" w:color="auto"/>
          </w:divBdr>
          <w:divsChild>
            <w:div w:id="372772089">
              <w:marLeft w:val="0"/>
              <w:marRight w:val="0"/>
              <w:marTop w:val="0"/>
              <w:marBottom w:val="0"/>
              <w:divBdr>
                <w:top w:val="none" w:sz="0" w:space="0" w:color="auto"/>
                <w:left w:val="none" w:sz="0" w:space="0" w:color="auto"/>
                <w:bottom w:val="none" w:sz="0" w:space="0" w:color="auto"/>
                <w:right w:val="none" w:sz="0" w:space="0" w:color="auto"/>
              </w:divBdr>
              <w:divsChild>
                <w:div w:id="1319384592">
                  <w:marLeft w:val="0"/>
                  <w:marRight w:val="0"/>
                  <w:marTop w:val="0"/>
                  <w:marBottom w:val="0"/>
                  <w:divBdr>
                    <w:top w:val="none" w:sz="0" w:space="0" w:color="auto"/>
                    <w:left w:val="none" w:sz="0" w:space="0" w:color="auto"/>
                    <w:bottom w:val="none" w:sz="0" w:space="0" w:color="auto"/>
                    <w:right w:val="none" w:sz="0" w:space="0" w:color="auto"/>
                  </w:divBdr>
                  <w:divsChild>
                    <w:div w:id="1036586187">
                      <w:marLeft w:val="0"/>
                      <w:marRight w:val="0"/>
                      <w:marTop w:val="240"/>
                      <w:marBottom w:val="0"/>
                      <w:divBdr>
                        <w:top w:val="none" w:sz="0" w:space="0" w:color="auto"/>
                        <w:left w:val="none" w:sz="0" w:space="0" w:color="auto"/>
                        <w:bottom w:val="none" w:sz="0" w:space="0" w:color="auto"/>
                        <w:right w:val="none" w:sz="0" w:space="0" w:color="auto"/>
                      </w:divBdr>
                      <w:divsChild>
                        <w:div w:id="1956129470">
                          <w:marLeft w:val="0"/>
                          <w:marRight w:val="0"/>
                          <w:marTop w:val="0"/>
                          <w:marBottom w:val="0"/>
                          <w:divBdr>
                            <w:top w:val="none" w:sz="0" w:space="0" w:color="auto"/>
                            <w:left w:val="none" w:sz="0" w:space="0" w:color="auto"/>
                            <w:bottom w:val="none" w:sz="0" w:space="0" w:color="auto"/>
                            <w:right w:val="none" w:sz="0" w:space="0" w:color="auto"/>
                          </w:divBdr>
                          <w:divsChild>
                            <w:div w:id="53941382">
                              <w:marLeft w:val="0"/>
                              <w:marRight w:val="0"/>
                              <w:marTop w:val="0"/>
                              <w:marBottom w:val="0"/>
                              <w:divBdr>
                                <w:top w:val="none" w:sz="0" w:space="0" w:color="auto"/>
                                <w:left w:val="none" w:sz="0" w:space="0" w:color="auto"/>
                                <w:bottom w:val="none" w:sz="0" w:space="0" w:color="auto"/>
                                <w:right w:val="none" w:sz="0" w:space="0" w:color="auto"/>
                              </w:divBdr>
                              <w:divsChild>
                                <w:div w:id="2128424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09456">
      <w:bodyDiv w:val="1"/>
      <w:marLeft w:val="0"/>
      <w:marRight w:val="0"/>
      <w:marTop w:val="0"/>
      <w:marBottom w:val="0"/>
      <w:divBdr>
        <w:top w:val="none" w:sz="0" w:space="0" w:color="auto"/>
        <w:left w:val="none" w:sz="0" w:space="0" w:color="auto"/>
        <w:bottom w:val="none" w:sz="0" w:space="0" w:color="auto"/>
        <w:right w:val="none" w:sz="0" w:space="0" w:color="auto"/>
      </w:divBdr>
      <w:divsChild>
        <w:div w:id="518549707">
          <w:marLeft w:val="0"/>
          <w:marRight w:val="0"/>
          <w:marTop w:val="0"/>
          <w:marBottom w:val="0"/>
          <w:divBdr>
            <w:top w:val="none" w:sz="0" w:space="0" w:color="auto"/>
            <w:left w:val="none" w:sz="0" w:space="0" w:color="auto"/>
            <w:bottom w:val="none" w:sz="0" w:space="0" w:color="auto"/>
            <w:right w:val="none" w:sz="0" w:space="0" w:color="auto"/>
          </w:divBdr>
          <w:divsChild>
            <w:div w:id="101843902">
              <w:marLeft w:val="0"/>
              <w:marRight w:val="0"/>
              <w:marTop w:val="0"/>
              <w:marBottom w:val="0"/>
              <w:divBdr>
                <w:top w:val="none" w:sz="0" w:space="0" w:color="auto"/>
                <w:left w:val="none" w:sz="0" w:space="0" w:color="auto"/>
                <w:bottom w:val="none" w:sz="0" w:space="0" w:color="auto"/>
                <w:right w:val="none" w:sz="0" w:space="0" w:color="auto"/>
              </w:divBdr>
              <w:divsChild>
                <w:div w:id="1435902488">
                  <w:marLeft w:val="0"/>
                  <w:marRight w:val="0"/>
                  <w:marTop w:val="0"/>
                  <w:marBottom w:val="0"/>
                  <w:divBdr>
                    <w:top w:val="none" w:sz="0" w:space="0" w:color="auto"/>
                    <w:left w:val="none" w:sz="0" w:space="0" w:color="auto"/>
                    <w:bottom w:val="none" w:sz="0" w:space="0" w:color="auto"/>
                    <w:right w:val="none" w:sz="0" w:space="0" w:color="auto"/>
                  </w:divBdr>
                  <w:divsChild>
                    <w:div w:id="1034229217">
                      <w:marLeft w:val="0"/>
                      <w:marRight w:val="0"/>
                      <w:marTop w:val="240"/>
                      <w:marBottom w:val="0"/>
                      <w:divBdr>
                        <w:top w:val="none" w:sz="0" w:space="0" w:color="auto"/>
                        <w:left w:val="none" w:sz="0" w:space="0" w:color="auto"/>
                        <w:bottom w:val="none" w:sz="0" w:space="0" w:color="auto"/>
                        <w:right w:val="none" w:sz="0" w:space="0" w:color="auto"/>
                      </w:divBdr>
                      <w:divsChild>
                        <w:div w:id="1967155396">
                          <w:marLeft w:val="0"/>
                          <w:marRight w:val="0"/>
                          <w:marTop w:val="0"/>
                          <w:marBottom w:val="0"/>
                          <w:divBdr>
                            <w:top w:val="none" w:sz="0" w:space="0" w:color="auto"/>
                            <w:left w:val="none" w:sz="0" w:space="0" w:color="auto"/>
                            <w:bottom w:val="none" w:sz="0" w:space="0" w:color="auto"/>
                            <w:right w:val="none" w:sz="0" w:space="0" w:color="auto"/>
                          </w:divBdr>
                          <w:divsChild>
                            <w:div w:id="872382085">
                              <w:marLeft w:val="0"/>
                              <w:marRight w:val="0"/>
                              <w:marTop w:val="0"/>
                              <w:marBottom w:val="0"/>
                              <w:divBdr>
                                <w:top w:val="none" w:sz="0" w:space="0" w:color="auto"/>
                                <w:left w:val="none" w:sz="0" w:space="0" w:color="auto"/>
                                <w:bottom w:val="none" w:sz="0" w:space="0" w:color="auto"/>
                                <w:right w:val="none" w:sz="0" w:space="0" w:color="auto"/>
                              </w:divBdr>
                              <w:divsChild>
                                <w:div w:id="1705329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329575">
      <w:bodyDiv w:val="1"/>
      <w:marLeft w:val="0"/>
      <w:marRight w:val="0"/>
      <w:marTop w:val="0"/>
      <w:marBottom w:val="0"/>
      <w:divBdr>
        <w:top w:val="none" w:sz="0" w:space="0" w:color="auto"/>
        <w:left w:val="none" w:sz="0" w:space="0" w:color="auto"/>
        <w:bottom w:val="none" w:sz="0" w:space="0" w:color="auto"/>
        <w:right w:val="none" w:sz="0" w:space="0" w:color="auto"/>
      </w:divBdr>
    </w:div>
    <w:div w:id="1198397016">
      <w:bodyDiv w:val="1"/>
      <w:marLeft w:val="0"/>
      <w:marRight w:val="0"/>
      <w:marTop w:val="0"/>
      <w:marBottom w:val="0"/>
      <w:divBdr>
        <w:top w:val="none" w:sz="0" w:space="0" w:color="auto"/>
        <w:left w:val="none" w:sz="0" w:space="0" w:color="auto"/>
        <w:bottom w:val="none" w:sz="0" w:space="0" w:color="auto"/>
        <w:right w:val="none" w:sz="0" w:space="0" w:color="auto"/>
      </w:divBdr>
    </w:div>
    <w:div w:id="1276861948">
      <w:bodyDiv w:val="1"/>
      <w:marLeft w:val="0"/>
      <w:marRight w:val="0"/>
      <w:marTop w:val="0"/>
      <w:marBottom w:val="0"/>
      <w:divBdr>
        <w:top w:val="none" w:sz="0" w:space="0" w:color="auto"/>
        <w:left w:val="none" w:sz="0" w:space="0" w:color="auto"/>
        <w:bottom w:val="none" w:sz="0" w:space="0" w:color="auto"/>
        <w:right w:val="none" w:sz="0" w:space="0" w:color="auto"/>
      </w:divBdr>
    </w:div>
    <w:div w:id="1418211534">
      <w:bodyDiv w:val="1"/>
      <w:marLeft w:val="0"/>
      <w:marRight w:val="0"/>
      <w:marTop w:val="0"/>
      <w:marBottom w:val="0"/>
      <w:divBdr>
        <w:top w:val="none" w:sz="0" w:space="0" w:color="auto"/>
        <w:left w:val="none" w:sz="0" w:space="0" w:color="auto"/>
        <w:bottom w:val="none" w:sz="0" w:space="0" w:color="auto"/>
        <w:right w:val="none" w:sz="0" w:space="0" w:color="auto"/>
      </w:divBdr>
    </w:div>
    <w:div w:id="1450201981">
      <w:bodyDiv w:val="1"/>
      <w:marLeft w:val="0"/>
      <w:marRight w:val="0"/>
      <w:marTop w:val="0"/>
      <w:marBottom w:val="0"/>
      <w:divBdr>
        <w:top w:val="none" w:sz="0" w:space="0" w:color="auto"/>
        <w:left w:val="none" w:sz="0" w:space="0" w:color="auto"/>
        <w:bottom w:val="none" w:sz="0" w:space="0" w:color="auto"/>
        <w:right w:val="none" w:sz="0" w:space="0" w:color="auto"/>
      </w:divBdr>
    </w:div>
    <w:div w:id="1467814318">
      <w:bodyDiv w:val="1"/>
      <w:marLeft w:val="0"/>
      <w:marRight w:val="0"/>
      <w:marTop w:val="0"/>
      <w:marBottom w:val="0"/>
      <w:divBdr>
        <w:top w:val="none" w:sz="0" w:space="0" w:color="auto"/>
        <w:left w:val="none" w:sz="0" w:space="0" w:color="auto"/>
        <w:bottom w:val="none" w:sz="0" w:space="0" w:color="auto"/>
        <w:right w:val="none" w:sz="0" w:space="0" w:color="auto"/>
      </w:divBdr>
      <w:divsChild>
        <w:div w:id="543369041">
          <w:marLeft w:val="0"/>
          <w:marRight w:val="0"/>
          <w:marTop w:val="0"/>
          <w:marBottom w:val="0"/>
          <w:divBdr>
            <w:top w:val="none" w:sz="0" w:space="0" w:color="auto"/>
            <w:left w:val="none" w:sz="0" w:space="0" w:color="auto"/>
            <w:bottom w:val="none" w:sz="0" w:space="0" w:color="auto"/>
            <w:right w:val="none" w:sz="0" w:space="0" w:color="auto"/>
          </w:divBdr>
          <w:divsChild>
            <w:div w:id="1827281432">
              <w:marLeft w:val="0"/>
              <w:marRight w:val="0"/>
              <w:marTop w:val="0"/>
              <w:marBottom w:val="0"/>
              <w:divBdr>
                <w:top w:val="none" w:sz="0" w:space="0" w:color="auto"/>
                <w:left w:val="none" w:sz="0" w:space="0" w:color="auto"/>
                <w:bottom w:val="none" w:sz="0" w:space="0" w:color="auto"/>
                <w:right w:val="none" w:sz="0" w:space="0" w:color="auto"/>
              </w:divBdr>
              <w:divsChild>
                <w:div w:id="807864824">
                  <w:marLeft w:val="0"/>
                  <w:marRight w:val="0"/>
                  <w:marTop w:val="0"/>
                  <w:marBottom w:val="0"/>
                  <w:divBdr>
                    <w:top w:val="none" w:sz="0" w:space="0" w:color="auto"/>
                    <w:left w:val="none" w:sz="0" w:space="0" w:color="auto"/>
                    <w:bottom w:val="none" w:sz="0" w:space="0" w:color="auto"/>
                    <w:right w:val="none" w:sz="0" w:space="0" w:color="auto"/>
                  </w:divBdr>
                  <w:divsChild>
                    <w:div w:id="231698428">
                      <w:marLeft w:val="0"/>
                      <w:marRight w:val="0"/>
                      <w:marTop w:val="240"/>
                      <w:marBottom w:val="0"/>
                      <w:divBdr>
                        <w:top w:val="none" w:sz="0" w:space="0" w:color="auto"/>
                        <w:left w:val="none" w:sz="0" w:space="0" w:color="auto"/>
                        <w:bottom w:val="none" w:sz="0" w:space="0" w:color="auto"/>
                        <w:right w:val="none" w:sz="0" w:space="0" w:color="auto"/>
                      </w:divBdr>
                      <w:divsChild>
                        <w:div w:id="1273903141">
                          <w:marLeft w:val="0"/>
                          <w:marRight w:val="0"/>
                          <w:marTop w:val="0"/>
                          <w:marBottom w:val="0"/>
                          <w:divBdr>
                            <w:top w:val="none" w:sz="0" w:space="0" w:color="auto"/>
                            <w:left w:val="none" w:sz="0" w:space="0" w:color="auto"/>
                            <w:bottom w:val="none" w:sz="0" w:space="0" w:color="auto"/>
                            <w:right w:val="none" w:sz="0" w:space="0" w:color="auto"/>
                          </w:divBdr>
                          <w:divsChild>
                            <w:div w:id="1660504007">
                              <w:marLeft w:val="0"/>
                              <w:marRight w:val="0"/>
                              <w:marTop w:val="0"/>
                              <w:marBottom w:val="0"/>
                              <w:divBdr>
                                <w:top w:val="none" w:sz="0" w:space="0" w:color="auto"/>
                                <w:left w:val="none" w:sz="0" w:space="0" w:color="auto"/>
                                <w:bottom w:val="none" w:sz="0" w:space="0" w:color="auto"/>
                                <w:right w:val="none" w:sz="0" w:space="0" w:color="auto"/>
                              </w:divBdr>
                              <w:divsChild>
                                <w:div w:id="18861357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14833">
      <w:bodyDiv w:val="1"/>
      <w:marLeft w:val="0"/>
      <w:marRight w:val="0"/>
      <w:marTop w:val="0"/>
      <w:marBottom w:val="0"/>
      <w:divBdr>
        <w:top w:val="none" w:sz="0" w:space="0" w:color="auto"/>
        <w:left w:val="none" w:sz="0" w:space="0" w:color="auto"/>
        <w:bottom w:val="none" w:sz="0" w:space="0" w:color="auto"/>
        <w:right w:val="none" w:sz="0" w:space="0" w:color="auto"/>
      </w:divBdr>
    </w:div>
    <w:div w:id="1842163252">
      <w:bodyDiv w:val="1"/>
      <w:marLeft w:val="0"/>
      <w:marRight w:val="0"/>
      <w:marTop w:val="0"/>
      <w:marBottom w:val="0"/>
      <w:divBdr>
        <w:top w:val="none" w:sz="0" w:space="0" w:color="auto"/>
        <w:left w:val="none" w:sz="0" w:space="0" w:color="auto"/>
        <w:bottom w:val="none" w:sz="0" w:space="0" w:color="auto"/>
        <w:right w:val="none" w:sz="0" w:space="0" w:color="auto"/>
      </w:divBdr>
    </w:div>
    <w:div w:id="1849245023">
      <w:bodyDiv w:val="1"/>
      <w:marLeft w:val="0"/>
      <w:marRight w:val="0"/>
      <w:marTop w:val="0"/>
      <w:marBottom w:val="0"/>
      <w:divBdr>
        <w:top w:val="none" w:sz="0" w:space="0" w:color="auto"/>
        <w:left w:val="none" w:sz="0" w:space="0" w:color="auto"/>
        <w:bottom w:val="none" w:sz="0" w:space="0" w:color="auto"/>
        <w:right w:val="none" w:sz="0" w:space="0" w:color="auto"/>
      </w:divBdr>
    </w:div>
    <w:div w:id="1943341848">
      <w:bodyDiv w:val="1"/>
      <w:marLeft w:val="0"/>
      <w:marRight w:val="0"/>
      <w:marTop w:val="0"/>
      <w:marBottom w:val="0"/>
      <w:divBdr>
        <w:top w:val="none" w:sz="0" w:space="0" w:color="auto"/>
        <w:left w:val="none" w:sz="0" w:space="0" w:color="auto"/>
        <w:bottom w:val="none" w:sz="0" w:space="0" w:color="auto"/>
        <w:right w:val="none" w:sz="0" w:space="0" w:color="auto"/>
      </w:divBdr>
      <w:divsChild>
        <w:div w:id="998583015">
          <w:marLeft w:val="0"/>
          <w:marRight w:val="0"/>
          <w:marTop w:val="0"/>
          <w:marBottom w:val="0"/>
          <w:divBdr>
            <w:top w:val="single" w:sz="4" w:space="6" w:color="B8B8B8"/>
            <w:left w:val="none" w:sz="0" w:space="0" w:color="auto"/>
            <w:bottom w:val="none" w:sz="0" w:space="0" w:color="auto"/>
            <w:right w:val="none" w:sz="0" w:space="0" w:color="auto"/>
          </w:divBdr>
          <w:divsChild>
            <w:div w:id="1753353432">
              <w:marLeft w:val="2"/>
              <w:marRight w:val="2"/>
              <w:marTop w:val="0"/>
              <w:marBottom w:val="0"/>
              <w:divBdr>
                <w:top w:val="single" w:sz="4" w:space="6" w:color="CDCCD4"/>
                <w:left w:val="single" w:sz="4" w:space="6" w:color="CDCCD4"/>
                <w:bottom w:val="single" w:sz="4" w:space="6" w:color="CDCCD4"/>
                <w:right w:val="single" w:sz="4" w:space="3" w:color="CDCCD4"/>
              </w:divBdr>
              <w:divsChild>
                <w:div w:id="2132547632">
                  <w:marLeft w:val="0"/>
                  <w:marRight w:val="0"/>
                  <w:marTop w:val="58"/>
                  <w:marBottom w:val="58"/>
                  <w:divBdr>
                    <w:top w:val="single" w:sz="4" w:space="6" w:color="CCCCD4"/>
                    <w:left w:val="single" w:sz="4" w:space="6" w:color="CCCCD4"/>
                    <w:bottom w:val="single" w:sz="4" w:space="6" w:color="CCCCD4"/>
                    <w:right w:val="single" w:sz="4" w:space="6" w:color="CCCCD4"/>
                  </w:divBdr>
                  <w:divsChild>
                    <w:div w:id="11706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5637">
      <w:bodyDiv w:val="1"/>
      <w:marLeft w:val="0"/>
      <w:marRight w:val="0"/>
      <w:marTop w:val="0"/>
      <w:marBottom w:val="0"/>
      <w:divBdr>
        <w:top w:val="none" w:sz="0" w:space="0" w:color="auto"/>
        <w:left w:val="none" w:sz="0" w:space="0" w:color="auto"/>
        <w:bottom w:val="none" w:sz="0" w:space="0" w:color="auto"/>
        <w:right w:val="none" w:sz="0" w:space="0" w:color="auto"/>
      </w:divBdr>
      <w:divsChild>
        <w:div w:id="536240985">
          <w:marLeft w:val="0"/>
          <w:marRight w:val="0"/>
          <w:marTop w:val="0"/>
          <w:marBottom w:val="0"/>
          <w:divBdr>
            <w:top w:val="none" w:sz="0" w:space="0" w:color="auto"/>
            <w:left w:val="none" w:sz="0" w:space="0" w:color="auto"/>
            <w:bottom w:val="none" w:sz="0" w:space="0" w:color="auto"/>
            <w:right w:val="none" w:sz="0" w:space="0" w:color="auto"/>
          </w:divBdr>
          <w:divsChild>
            <w:div w:id="1441334516">
              <w:marLeft w:val="0"/>
              <w:marRight w:val="0"/>
              <w:marTop w:val="0"/>
              <w:marBottom w:val="0"/>
              <w:divBdr>
                <w:top w:val="none" w:sz="0" w:space="0" w:color="auto"/>
                <w:left w:val="none" w:sz="0" w:space="0" w:color="auto"/>
                <w:bottom w:val="none" w:sz="0" w:space="0" w:color="auto"/>
                <w:right w:val="none" w:sz="0" w:space="0" w:color="auto"/>
              </w:divBdr>
              <w:divsChild>
                <w:div w:id="955067027">
                  <w:marLeft w:val="15"/>
                  <w:marRight w:val="15"/>
                  <w:marTop w:val="0"/>
                  <w:marBottom w:val="0"/>
                  <w:divBdr>
                    <w:top w:val="single" w:sz="6" w:space="0" w:color="FFFFFF"/>
                    <w:left w:val="single" w:sz="6" w:space="0" w:color="FFFFFF"/>
                    <w:bottom w:val="single" w:sz="6" w:space="11" w:color="FFFFFF"/>
                    <w:right w:val="single" w:sz="6" w:space="0" w:color="FFFFFF"/>
                  </w:divBdr>
                  <w:divsChild>
                    <w:div w:id="1469322083">
                      <w:marLeft w:val="300"/>
                      <w:marRight w:val="300"/>
                      <w:marTop w:val="300"/>
                      <w:marBottom w:val="0"/>
                      <w:divBdr>
                        <w:top w:val="none" w:sz="0" w:space="0" w:color="auto"/>
                        <w:left w:val="none" w:sz="0" w:space="0" w:color="auto"/>
                        <w:bottom w:val="none" w:sz="0" w:space="0" w:color="auto"/>
                        <w:right w:val="none" w:sz="0" w:space="0" w:color="auto"/>
                      </w:divBdr>
                      <w:divsChild>
                        <w:div w:id="1690596532">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1979919176">
      <w:bodyDiv w:val="1"/>
      <w:marLeft w:val="0"/>
      <w:marRight w:val="0"/>
      <w:marTop w:val="0"/>
      <w:marBottom w:val="0"/>
      <w:divBdr>
        <w:top w:val="none" w:sz="0" w:space="0" w:color="auto"/>
        <w:left w:val="none" w:sz="0" w:space="0" w:color="auto"/>
        <w:bottom w:val="none" w:sz="0" w:space="0" w:color="auto"/>
        <w:right w:val="none" w:sz="0" w:space="0" w:color="auto"/>
      </w:divBdr>
      <w:divsChild>
        <w:div w:id="1879849898">
          <w:marLeft w:val="0"/>
          <w:marRight w:val="0"/>
          <w:marTop w:val="0"/>
          <w:marBottom w:val="0"/>
          <w:divBdr>
            <w:top w:val="single" w:sz="4" w:space="6" w:color="B8B8B8"/>
            <w:left w:val="none" w:sz="0" w:space="0" w:color="auto"/>
            <w:bottom w:val="none" w:sz="0" w:space="0" w:color="auto"/>
            <w:right w:val="none" w:sz="0" w:space="0" w:color="auto"/>
          </w:divBdr>
          <w:divsChild>
            <w:div w:id="1277370350">
              <w:marLeft w:val="2"/>
              <w:marRight w:val="2"/>
              <w:marTop w:val="0"/>
              <w:marBottom w:val="0"/>
              <w:divBdr>
                <w:top w:val="single" w:sz="4" w:space="6" w:color="CDCCD4"/>
                <w:left w:val="single" w:sz="4" w:space="6" w:color="CDCCD4"/>
                <w:bottom w:val="single" w:sz="4" w:space="6" w:color="CDCCD4"/>
                <w:right w:val="single" w:sz="4" w:space="3" w:color="CDCCD4"/>
              </w:divBdr>
              <w:divsChild>
                <w:div w:id="1529299404">
                  <w:marLeft w:val="0"/>
                  <w:marRight w:val="0"/>
                  <w:marTop w:val="58"/>
                  <w:marBottom w:val="58"/>
                  <w:divBdr>
                    <w:top w:val="single" w:sz="4" w:space="6" w:color="CCCCD4"/>
                    <w:left w:val="single" w:sz="4" w:space="6" w:color="CCCCD4"/>
                    <w:bottom w:val="single" w:sz="4" w:space="6" w:color="CCCCD4"/>
                    <w:right w:val="single" w:sz="4" w:space="6" w:color="CCCCD4"/>
                  </w:divBdr>
                  <w:divsChild>
                    <w:div w:id="1873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AAFC-51A4-4977-9FBB-5B5825C9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5709</Words>
  <Characters>33846</Characters>
  <Application>Microsoft Office Word</Application>
  <DocSecurity>4</DocSecurity>
  <Lines>282</Lines>
  <Paragraphs>78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39477</CharactersWithSpaces>
  <SharedDoc>false</SharedDoc>
  <HLinks>
    <vt:vector size="108" baseType="variant">
      <vt:variant>
        <vt:i4>1507377</vt:i4>
      </vt:variant>
      <vt:variant>
        <vt:i4>104</vt:i4>
      </vt:variant>
      <vt:variant>
        <vt:i4>0</vt:i4>
      </vt:variant>
      <vt:variant>
        <vt:i4>5</vt:i4>
      </vt:variant>
      <vt:variant>
        <vt:lpwstr/>
      </vt:variant>
      <vt:variant>
        <vt:lpwstr>_Toc404266746</vt:lpwstr>
      </vt:variant>
      <vt:variant>
        <vt:i4>1507377</vt:i4>
      </vt:variant>
      <vt:variant>
        <vt:i4>98</vt:i4>
      </vt:variant>
      <vt:variant>
        <vt:i4>0</vt:i4>
      </vt:variant>
      <vt:variant>
        <vt:i4>5</vt:i4>
      </vt:variant>
      <vt:variant>
        <vt:lpwstr/>
      </vt:variant>
      <vt:variant>
        <vt:lpwstr>_Toc404266745</vt:lpwstr>
      </vt:variant>
      <vt:variant>
        <vt:i4>1507377</vt:i4>
      </vt:variant>
      <vt:variant>
        <vt:i4>92</vt:i4>
      </vt:variant>
      <vt:variant>
        <vt:i4>0</vt:i4>
      </vt:variant>
      <vt:variant>
        <vt:i4>5</vt:i4>
      </vt:variant>
      <vt:variant>
        <vt:lpwstr/>
      </vt:variant>
      <vt:variant>
        <vt:lpwstr>_Toc404266744</vt:lpwstr>
      </vt:variant>
      <vt:variant>
        <vt:i4>1507377</vt:i4>
      </vt:variant>
      <vt:variant>
        <vt:i4>86</vt:i4>
      </vt:variant>
      <vt:variant>
        <vt:i4>0</vt:i4>
      </vt:variant>
      <vt:variant>
        <vt:i4>5</vt:i4>
      </vt:variant>
      <vt:variant>
        <vt:lpwstr/>
      </vt:variant>
      <vt:variant>
        <vt:lpwstr>_Toc404266743</vt:lpwstr>
      </vt:variant>
      <vt:variant>
        <vt:i4>1507377</vt:i4>
      </vt:variant>
      <vt:variant>
        <vt:i4>80</vt:i4>
      </vt:variant>
      <vt:variant>
        <vt:i4>0</vt:i4>
      </vt:variant>
      <vt:variant>
        <vt:i4>5</vt:i4>
      </vt:variant>
      <vt:variant>
        <vt:lpwstr/>
      </vt:variant>
      <vt:variant>
        <vt:lpwstr>_Toc404266742</vt:lpwstr>
      </vt:variant>
      <vt:variant>
        <vt:i4>1507377</vt:i4>
      </vt:variant>
      <vt:variant>
        <vt:i4>74</vt:i4>
      </vt:variant>
      <vt:variant>
        <vt:i4>0</vt:i4>
      </vt:variant>
      <vt:variant>
        <vt:i4>5</vt:i4>
      </vt:variant>
      <vt:variant>
        <vt:lpwstr/>
      </vt:variant>
      <vt:variant>
        <vt:lpwstr>_Toc404266741</vt:lpwstr>
      </vt:variant>
      <vt:variant>
        <vt:i4>1507377</vt:i4>
      </vt:variant>
      <vt:variant>
        <vt:i4>68</vt:i4>
      </vt:variant>
      <vt:variant>
        <vt:i4>0</vt:i4>
      </vt:variant>
      <vt:variant>
        <vt:i4>5</vt:i4>
      </vt:variant>
      <vt:variant>
        <vt:lpwstr/>
      </vt:variant>
      <vt:variant>
        <vt:lpwstr>_Toc404266740</vt:lpwstr>
      </vt:variant>
      <vt:variant>
        <vt:i4>1048625</vt:i4>
      </vt:variant>
      <vt:variant>
        <vt:i4>62</vt:i4>
      </vt:variant>
      <vt:variant>
        <vt:i4>0</vt:i4>
      </vt:variant>
      <vt:variant>
        <vt:i4>5</vt:i4>
      </vt:variant>
      <vt:variant>
        <vt:lpwstr/>
      </vt:variant>
      <vt:variant>
        <vt:lpwstr>_Toc404266739</vt:lpwstr>
      </vt:variant>
      <vt:variant>
        <vt:i4>1048625</vt:i4>
      </vt:variant>
      <vt:variant>
        <vt:i4>56</vt:i4>
      </vt:variant>
      <vt:variant>
        <vt:i4>0</vt:i4>
      </vt:variant>
      <vt:variant>
        <vt:i4>5</vt:i4>
      </vt:variant>
      <vt:variant>
        <vt:lpwstr/>
      </vt:variant>
      <vt:variant>
        <vt:lpwstr>_Toc404266738</vt:lpwstr>
      </vt:variant>
      <vt:variant>
        <vt:i4>1048625</vt:i4>
      </vt:variant>
      <vt:variant>
        <vt:i4>50</vt:i4>
      </vt:variant>
      <vt:variant>
        <vt:i4>0</vt:i4>
      </vt:variant>
      <vt:variant>
        <vt:i4>5</vt:i4>
      </vt:variant>
      <vt:variant>
        <vt:lpwstr/>
      </vt:variant>
      <vt:variant>
        <vt:lpwstr>_Toc404266737</vt:lpwstr>
      </vt:variant>
      <vt:variant>
        <vt:i4>1048625</vt:i4>
      </vt:variant>
      <vt:variant>
        <vt:i4>44</vt:i4>
      </vt:variant>
      <vt:variant>
        <vt:i4>0</vt:i4>
      </vt:variant>
      <vt:variant>
        <vt:i4>5</vt:i4>
      </vt:variant>
      <vt:variant>
        <vt:lpwstr/>
      </vt:variant>
      <vt:variant>
        <vt:lpwstr>_Toc404266736</vt:lpwstr>
      </vt:variant>
      <vt:variant>
        <vt:i4>1048625</vt:i4>
      </vt:variant>
      <vt:variant>
        <vt:i4>38</vt:i4>
      </vt:variant>
      <vt:variant>
        <vt:i4>0</vt:i4>
      </vt:variant>
      <vt:variant>
        <vt:i4>5</vt:i4>
      </vt:variant>
      <vt:variant>
        <vt:lpwstr/>
      </vt:variant>
      <vt:variant>
        <vt:lpwstr>_Toc404266735</vt:lpwstr>
      </vt:variant>
      <vt:variant>
        <vt:i4>1048625</vt:i4>
      </vt:variant>
      <vt:variant>
        <vt:i4>32</vt:i4>
      </vt:variant>
      <vt:variant>
        <vt:i4>0</vt:i4>
      </vt:variant>
      <vt:variant>
        <vt:i4>5</vt:i4>
      </vt:variant>
      <vt:variant>
        <vt:lpwstr/>
      </vt:variant>
      <vt:variant>
        <vt:lpwstr>_Toc404266734</vt:lpwstr>
      </vt:variant>
      <vt:variant>
        <vt:i4>1048625</vt:i4>
      </vt:variant>
      <vt:variant>
        <vt:i4>26</vt:i4>
      </vt:variant>
      <vt:variant>
        <vt:i4>0</vt:i4>
      </vt:variant>
      <vt:variant>
        <vt:i4>5</vt:i4>
      </vt:variant>
      <vt:variant>
        <vt:lpwstr/>
      </vt:variant>
      <vt:variant>
        <vt:lpwstr>_Toc404266733</vt:lpwstr>
      </vt:variant>
      <vt:variant>
        <vt:i4>1048625</vt:i4>
      </vt:variant>
      <vt:variant>
        <vt:i4>20</vt:i4>
      </vt:variant>
      <vt:variant>
        <vt:i4>0</vt:i4>
      </vt:variant>
      <vt:variant>
        <vt:i4>5</vt:i4>
      </vt:variant>
      <vt:variant>
        <vt:lpwstr/>
      </vt:variant>
      <vt:variant>
        <vt:lpwstr>_Toc404266732</vt:lpwstr>
      </vt:variant>
      <vt:variant>
        <vt:i4>1048625</vt:i4>
      </vt:variant>
      <vt:variant>
        <vt:i4>14</vt:i4>
      </vt:variant>
      <vt:variant>
        <vt:i4>0</vt:i4>
      </vt:variant>
      <vt:variant>
        <vt:i4>5</vt:i4>
      </vt:variant>
      <vt:variant>
        <vt:lpwstr/>
      </vt:variant>
      <vt:variant>
        <vt:lpwstr>_Toc404266731</vt:lpwstr>
      </vt:variant>
      <vt:variant>
        <vt:i4>1048625</vt:i4>
      </vt:variant>
      <vt:variant>
        <vt:i4>8</vt:i4>
      </vt:variant>
      <vt:variant>
        <vt:i4>0</vt:i4>
      </vt:variant>
      <vt:variant>
        <vt:i4>5</vt:i4>
      </vt:variant>
      <vt:variant>
        <vt:lpwstr/>
      </vt:variant>
      <vt:variant>
        <vt:lpwstr>_Toc404266730</vt:lpwstr>
      </vt:variant>
      <vt:variant>
        <vt:i4>1114161</vt:i4>
      </vt:variant>
      <vt:variant>
        <vt:i4>2</vt:i4>
      </vt:variant>
      <vt:variant>
        <vt:i4>0</vt:i4>
      </vt:variant>
      <vt:variant>
        <vt:i4>5</vt:i4>
      </vt:variant>
      <vt:variant>
        <vt:lpwstr/>
      </vt:variant>
      <vt:variant>
        <vt:lpwstr>_Toc404266729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2014-07-04T00:23:00Z</cp:lastPrinted>
  <dcterms:created xsi:type="dcterms:W3CDTF">2015-12-08T03:57:00Z</dcterms:created>
  <dcterms:modified xsi:type="dcterms:W3CDTF">2015-12-08T03:57:00Z</dcterms:modified>
</cp:coreProperties>
</file>