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C0505" w:rsidRDefault="00193461" w:rsidP="00C63713">
      <w:pPr>
        <w:rPr>
          <w:sz w:val="28"/>
        </w:rPr>
      </w:pPr>
      <w:r w:rsidRPr="005C0505">
        <w:rPr>
          <w:noProof/>
          <w:lang w:eastAsia="en-AU"/>
        </w:rPr>
        <w:drawing>
          <wp:inline distT="0" distB="0" distL="0" distR="0" wp14:anchorId="00B7F4B4" wp14:editId="2C33581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C0505" w:rsidRDefault="0048364F" w:rsidP="0048364F">
      <w:pPr>
        <w:rPr>
          <w:sz w:val="19"/>
        </w:rPr>
      </w:pPr>
    </w:p>
    <w:p w:rsidR="0048364F" w:rsidRPr="005C0505" w:rsidRDefault="0016241D" w:rsidP="0048364F">
      <w:pPr>
        <w:pStyle w:val="ShortT"/>
      </w:pPr>
      <w:r w:rsidRPr="005C0505">
        <w:t>Agricultural and Veterinary Chemicals Legislation Amendment (Simplified Formulation Variations</w:t>
      </w:r>
      <w:r w:rsidR="00505C61" w:rsidRPr="005C0505">
        <w:t xml:space="preserve"> and Other Measures</w:t>
      </w:r>
      <w:r w:rsidRPr="005C0505">
        <w:t>) Regulation</w:t>
      </w:r>
      <w:r w:rsidR="005C0505" w:rsidRPr="005C0505">
        <w:t> </w:t>
      </w:r>
      <w:r w:rsidRPr="005C0505">
        <w:t>2015</w:t>
      </w:r>
    </w:p>
    <w:p w:rsidR="0048364F" w:rsidRPr="005C0505" w:rsidRDefault="0048364F" w:rsidP="0048364F"/>
    <w:p w:rsidR="0048364F" w:rsidRPr="005C0505" w:rsidRDefault="00A4361F" w:rsidP="00680F17">
      <w:pPr>
        <w:pStyle w:val="InstNo"/>
      </w:pPr>
      <w:r w:rsidRPr="005C0505">
        <w:t>Select Legislative Instrument</w:t>
      </w:r>
      <w:r w:rsidR="00154EAC" w:rsidRPr="005C0505">
        <w:t xml:space="preserve"> </w:t>
      </w:r>
      <w:bookmarkStart w:id="0" w:name="BKCheck15B_1"/>
      <w:bookmarkEnd w:id="0"/>
      <w:r w:rsidR="00D0104A" w:rsidRPr="005C0505">
        <w:fldChar w:fldCharType="begin"/>
      </w:r>
      <w:r w:rsidR="00D0104A" w:rsidRPr="005C0505">
        <w:instrText xml:space="preserve"> DOCPROPERTY  ActNo </w:instrText>
      </w:r>
      <w:r w:rsidR="00D0104A" w:rsidRPr="005C0505">
        <w:fldChar w:fldCharType="separate"/>
      </w:r>
      <w:r w:rsidR="00C75C8D">
        <w:t>No. 219, 2015</w:t>
      </w:r>
      <w:r w:rsidR="00D0104A" w:rsidRPr="005C0505">
        <w:fldChar w:fldCharType="end"/>
      </w:r>
    </w:p>
    <w:p w:rsidR="00EE66BF" w:rsidRPr="005C0505" w:rsidRDefault="00EE66BF" w:rsidP="00E74580">
      <w:pPr>
        <w:pStyle w:val="SignCoverPageStart"/>
        <w:spacing w:before="240"/>
        <w:rPr>
          <w:szCs w:val="22"/>
        </w:rPr>
      </w:pPr>
      <w:r w:rsidRPr="005C0505">
        <w:rPr>
          <w:szCs w:val="22"/>
        </w:rPr>
        <w:t>I, General the Honourable Sir Peter Cosgrove AK MC (</w:t>
      </w:r>
      <w:proofErr w:type="spellStart"/>
      <w:r w:rsidRPr="005C0505">
        <w:rPr>
          <w:szCs w:val="22"/>
        </w:rPr>
        <w:t>Ret’d</w:t>
      </w:r>
      <w:proofErr w:type="spellEnd"/>
      <w:r w:rsidRPr="005C0505">
        <w:rPr>
          <w:szCs w:val="22"/>
        </w:rPr>
        <w:t xml:space="preserve">), </w:t>
      </w:r>
      <w:r w:rsidR="005C0505" w:rsidRPr="005C0505">
        <w:rPr>
          <w:szCs w:val="22"/>
        </w:rPr>
        <w:t>Governor</w:t>
      </w:r>
      <w:r w:rsidR="005C0505">
        <w:rPr>
          <w:szCs w:val="22"/>
        </w:rPr>
        <w:noBreakHyphen/>
      </w:r>
      <w:r w:rsidR="005C0505" w:rsidRPr="005C0505">
        <w:rPr>
          <w:szCs w:val="22"/>
        </w:rPr>
        <w:t>General</w:t>
      </w:r>
      <w:r w:rsidRPr="005C0505">
        <w:rPr>
          <w:szCs w:val="22"/>
        </w:rPr>
        <w:t xml:space="preserve"> of the Commonwealth of Australia, acting with the advice of the Federal Executive Council, make the following regulation.</w:t>
      </w:r>
    </w:p>
    <w:p w:rsidR="00EE66BF" w:rsidRPr="005C0505" w:rsidRDefault="00EE66BF" w:rsidP="00C91AFE">
      <w:pPr>
        <w:keepNext/>
        <w:spacing w:before="600" w:line="240" w:lineRule="atLeast"/>
        <w:ind w:right="397"/>
        <w:jc w:val="both"/>
        <w:rPr>
          <w:szCs w:val="22"/>
        </w:rPr>
      </w:pPr>
      <w:r w:rsidRPr="005C0505">
        <w:rPr>
          <w:szCs w:val="22"/>
        </w:rPr>
        <w:t xml:space="preserve">Dated </w:t>
      </w:r>
      <w:bookmarkStart w:id="1" w:name="BKCheck15B_2"/>
      <w:bookmarkEnd w:id="1"/>
      <w:r w:rsidRPr="005C0505">
        <w:rPr>
          <w:szCs w:val="22"/>
        </w:rPr>
        <w:fldChar w:fldCharType="begin"/>
      </w:r>
      <w:r w:rsidRPr="005C0505">
        <w:rPr>
          <w:szCs w:val="22"/>
        </w:rPr>
        <w:instrText xml:space="preserve"> DOCPROPERTY  DateMade </w:instrText>
      </w:r>
      <w:r w:rsidRPr="005C0505">
        <w:rPr>
          <w:szCs w:val="22"/>
        </w:rPr>
        <w:fldChar w:fldCharType="separate"/>
      </w:r>
      <w:r w:rsidR="00C75C8D">
        <w:rPr>
          <w:szCs w:val="22"/>
        </w:rPr>
        <w:t>10 December 2015</w:t>
      </w:r>
      <w:r w:rsidRPr="005C0505">
        <w:rPr>
          <w:szCs w:val="22"/>
        </w:rPr>
        <w:fldChar w:fldCharType="end"/>
      </w:r>
    </w:p>
    <w:p w:rsidR="00EE66BF" w:rsidRPr="005C0505" w:rsidRDefault="00EE66BF" w:rsidP="00E7458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C0505">
        <w:rPr>
          <w:szCs w:val="22"/>
        </w:rPr>
        <w:t>Peter Cosgrove</w:t>
      </w:r>
    </w:p>
    <w:p w:rsidR="00EE66BF" w:rsidRPr="005C0505" w:rsidRDefault="005C0505" w:rsidP="00E7458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C0505">
        <w:rPr>
          <w:szCs w:val="22"/>
        </w:rPr>
        <w:t>Governor</w:t>
      </w:r>
      <w:r>
        <w:rPr>
          <w:szCs w:val="22"/>
        </w:rPr>
        <w:noBreakHyphen/>
      </w:r>
      <w:r w:rsidRPr="005C0505">
        <w:rPr>
          <w:szCs w:val="22"/>
        </w:rPr>
        <w:t>General</w:t>
      </w:r>
    </w:p>
    <w:p w:rsidR="00EE66BF" w:rsidRPr="005C0505" w:rsidRDefault="00EE66BF" w:rsidP="00302908">
      <w:pPr>
        <w:keepNext/>
        <w:tabs>
          <w:tab w:val="left" w:pos="3402"/>
        </w:tabs>
        <w:spacing w:before="240" w:after="1080" w:line="300" w:lineRule="atLeast"/>
        <w:ind w:right="397"/>
        <w:rPr>
          <w:szCs w:val="22"/>
        </w:rPr>
      </w:pPr>
      <w:r w:rsidRPr="005C0505">
        <w:rPr>
          <w:szCs w:val="22"/>
        </w:rPr>
        <w:t>By His Excellency’s Command</w:t>
      </w:r>
    </w:p>
    <w:p w:rsidR="00EE66BF" w:rsidRPr="005C0505" w:rsidRDefault="00EE66BF" w:rsidP="00E7458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C0505">
        <w:rPr>
          <w:szCs w:val="22"/>
        </w:rPr>
        <w:t>Barnaby Joyce</w:t>
      </w:r>
    </w:p>
    <w:p w:rsidR="00EE66BF" w:rsidRPr="005C0505" w:rsidRDefault="00EE66BF" w:rsidP="00E74580">
      <w:pPr>
        <w:pStyle w:val="SignCoverPageEnd"/>
        <w:rPr>
          <w:szCs w:val="22"/>
        </w:rPr>
      </w:pPr>
      <w:r w:rsidRPr="005C0505">
        <w:rPr>
          <w:szCs w:val="22"/>
        </w:rPr>
        <w:t>Minister for Agriculture</w:t>
      </w:r>
      <w:r w:rsidR="00F74E4C" w:rsidRPr="005C0505">
        <w:rPr>
          <w:szCs w:val="22"/>
        </w:rPr>
        <w:t xml:space="preserve"> and Water Resources</w:t>
      </w:r>
    </w:p>
    <w:p w:rsidR="00EE66BF" w:rsidRPr="005C0505" w:rsidRDefault="00EE66BF" w:rsidP="00EE66BF"/>
    <w:p w:rsidR="0048364F" w:rsidRPr="005C0505" w:rsidRDefault="0048364F" w:rsidP="0048364F">
      <w:pPr>
        <w:pStyle w:val="Header"/>
        <w:tabs>
          <w:tab w:val="clear" w:pos="4150"/>
          <w:tab w:val="clear" w:pos="8307"/>
        </w:tabs>
      </w:pPr>
      <w:r w:rsidRPr="005C0505">
        <w:rPr>
          <w:rStyle w:val="CharAmSchNo"/>
        </w:rPr>
        <w:t xml:space="preserve"> </w:t>
      </w:r>
      <w:r w:rsidRPr="005C0505">
        <w:rPr>
          <w:rStyle w:val="CharAmSchText"/>
        </w:rPr>
        <w:t xml:space="preserve"> </w:t>
      </w:r>
    </w:p>
    <w:p w:rsidR="0048364F" w:rsidRPr="005C0505" w:rsidRDefault="0048364F" w:rsidP="0048364F">
      <w:pPr>
        <w:pStyle w:val="Header"/>
        <w:tabs>
          <w:tab w:val="clear" w:pos="4150"/>
          <w:tab w:val="clear" w:pos="8307"/>
        </w:tabs>
      </w:pPr>
      <w:r w:rsidRPr="005C0505">
        <w:rPr>
          <w:rStyle w:val="CharAmPartNo"/>
        </w:rPr>
        <w:t xml:space="preserve"> </w:t>
      </w:r>
      <w:r w:rsidRPr="005C0505">
        <w:rPr>
          <w:rStyle w:val="CharAmPartText"/>
        </w:rPr>
        <w:t xml:space="preserve"> </w:t>
      </w:r>
    </w:p>
    <w:p w:rsidR="0048364F" w:rsidRPr="005C0505" w:rsidRDefault="0048364F" w:rsidP="0048364F">
      <w:pPr>
        <w:sectPr w:rsidR="0048364F" w:rsidRPr="005C0505" w:rsidSect="000816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C0505" w:rsidRDefault="0048364F" w:rsidP="00055272">
      <w:pPr>
        <w:rPr>
          <w:sz w:val="36"/>
        </w:rPr>
      </w:pPr>
      <w:r w:rsidRPr="005C0505">
        <w:rPr>
          <w:sz w:val="36"/>
        </w:rPr>
        <w:lastRenderedPageBreak/>
        <w:t>Contents</w:t>
      </w:r>
    </w:p>
    <w:bookmarkStart w:id="2" w:name="BKCheck15B_3"/>
    <w:bookmarkEnd w:id="2"/>
    <w:p w:rsidR="002A4BAF" w:rsidRPr="005C0505" w:rsidRDefault="002A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505">
        <w:fldChar w:fldCharType="begin"/>
      </w:r>
      <w:r w:rsidRPr="005C0505">
        <w:instrText xml:space="preserve"> TOC \o "1-9" </w:instrText>
      </w:r>
      <w:r w:rsidRPr="005C0505">
        <w:fldChar w:fldCharType="separate"/>
      </w:r>
      <w:r w:rsidRPr="005C0505">
        <w:rPr>
          <w:noProof/>
        </w:rPr>
        <w:t>1</w:t>
      </w:r>
      <w:r w:rsidRPr="005C0505">
        <w:rPr>
          <w:noProof/>
        </w:rPr>
        <w:tab/>
        <w:t>Name</w:t>
      </w:r>
      <w:r w:rsidRPr="005C0505">
        <w:rPr>
          <w:noProof/>
        </w:rPr>
        <w:tab/>
      </w:r>
      <w:r w:rsidRPr="005C0505">
        <w:rPr>
          <w:noProof/>
        </w:rPr>
        <w:fldChar w:fldCharType="begin"/>
      </w:r>
      <w:r w:rsidRPr="005C0505">
        <w:rPr>
          <w:noProof/>
        </w:rPr>
        <w:instrText xml:space="preserve"> PAGEREF _Toc435616999 \h </w:instrText>
      </w:r>
      <w:r w:rsidRPr="005C0505">
        <w:rPr>
          <w:noProof/>
        </w:rPr>
      </w:r>
      <w:r w:rsidRPr="005C0505">
        <w:rPr>
          <w:noProof/>
        </w:rPr>
        <w:fldChar w:fldCharType="separate"/>
      </w:r>
      <w:r w:rsidR="00C75C8D">
        <w:rPr>
          <w:noProof/>
        </w:rPr>
        <w:t>1</w:t>
      </w:r>
      <w:r w:rsidRPr="005C0505">
        <w:rPr>
          <w:noProof/>
        </w:rPr>
        <w:fldChar w:fldCharType="end"/>
      </w:r>
    </w:p>
    <w:p w:rsidR="002A4BAF" w:rsidRPr="005C0505" w:rsidRDefault="002A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505">
        <w:rPr>
          <w:noProof/>
        </w:rPr>
        <w:t>2</w:t>
      </w:r>
      <w:r w:rsidRPr="005C0505">
        <w:rPr>
          <w:noProof/>
        </w:rPr>
        <w:tab/>
        <w:t>Commencement</w:t>
      </w:r>
      <w:r w:rsidRPr="005C0505">
        <w:rPr>
          <w:noProof/>
        </w:rPr>
        <w:tab/>
      </w:r>
      <w:r w:rsidRPr="005C0505">
        <w:rPr>
          <w:noProof/>
        </w:rPr>
        <w:fldChar w:fldCharType="begin"/>
      </w:r>
      <w:r w:rsidRPr="005C0505">
        <w:rPr>
          <w:noProof/>
        </w:rPr>
        <w:instrText xml:space="preserve"> PAGEREF _Toc435617000 \h </w:instrText>
      </w:r>
      <w:r w:rsidRPr="005C0505">
        <w:rPr>
          <w:noProof/>
        </w:rPr>
      </w:r>
      <w:r w:rsidRPr="005C0505">
        <w:rPr>
          <w:noProof/>
        </w:rPr>
        <w:fldChar w:fldCharType="separate"/>
      </w:r>
      <w:r w:rsidR="00C75C8D">
        <w:rPr>
          <w:noProof/>
        </w:rPr>
        <w:t>1</w:t>
      </w:r>
      <w:r w:rsidRPr="005C0505">
        <w:rPr>
          <w:noProof/>
        </w:rPr>
        <w:fldChar w:fldCharType="end"/>
      </w:r>
    </w:p>
    <w:p w:rsidR="002A4BAF" w:rsidRPr="005C0505" w:rsidRDefault="002A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505">
        <w:rPr>
          <w:noProof/>
        </w:rPr>
        <w:t>3</w:t>
      </w:r>
      <w:r w:rsidRPr="005C0505">
        <w:rPr>
          <w:noProof/>
        </w:rPr>
        <w:tab/>
        <w:t>Authority</w:t>
      </w:r>
      <w:r w:rsidRPr="005C0505">
        <w:rPr>
          <w:noProof/>
        </w:rPr>
        <w:tab/>
      </w:r>
      <w:r w:rsidRPr="005C0505">
        <w:rPr>
          <w:noProof/>
        </w:rPr>
        <w:fldChar w:fldCharType="begin"/>
      </w:r>
      <w:r w:rsidRPr="005C0505">
        <w:rPr>
          <w:noProof/>
        </w:rPr>
        <w:instrText xml:space="preserve"> PAGEREF _Toc435617001 \h </w:instrText>
      </w:r>
      <w:r w:rsidRPr="005C0505">
        <w:rPr>
          <w:noProof/>
        </w:rPr>
      </w:r>
      <w:r w:rsidRPr="005C0505">
        <w:rPr>
          <w:noProof/>
        </w:rPr>
        <w:fldChar w:fldCharType="separate"/>
      </w:r>
      <w:r w:rsidR="00C75C8D">
        <w:rPr>
          <w:noProof/>
        </w:rPr>
        <w:t>1</w:t>
      </w:r>
      <w:r w:rsidRPr="005C0505">
        <w:rPr>
          <w:noProof/>
        </w:rPr>
        <w:fldChar w:fldCharType="end"/>
      </w:r>
    </w:p>
    <w:p w:rsidR="002A4BAF" w:rsidRPr="005C0505" w:rsidRDefault="002A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505">
        <w:rPr>
          <w:noProof/>
        </w:rPr>
        <w:t>4</w:t>
      </w:r>
      <w:r w:rsidRPr="005C0505">
        <w:rPr>
          <w:noProof/>
        </w:rPr>
        <w:tab/>
        <w:t>Schedules</w:t>
      </w:r>
      <w:r w:rsidRPr="005C0505">
        <w:rPr>
          <w:noProof/>
        </w:rPr>
        <w:tab/>
      </w:r>
      <w:r w:rsidRPr="005C0505">
        <w:rPr>
          <w:noProof/>
        </w:rPr>
        <w:fldChar w:fldCharType="begin"/>
      </w:r>
      <w:r w:rsidRPr="005C0505">
        <w:rPr>
          <w:noProof/>
        </w:rPr>
        <w:instrText xml:space="preserve"> PAGEREF _Toc435617002 \h </w:instrText>
      </w:r>
      <w:r w:rsidRPr="005C0505">
        <w:rPr>
          <w:noProof/>
        </w:rPr>
      </w:r>
      <w:r w:rsidRPr="005C0505">
        <w:rPr>
          <w:noProof/>
        </w:rPr>
        <w:fldChar w:fldCharType="separate"/>
      </w:r>
      <w:r w:rsidR="00C75C8D">
        <w:rPr>
          <w:noProof/>
        </w:rPr>
        <w:t>2</w:t>
      </w:r>
      <w:r w:rsidRPr="005C0505">
        <w:rPr>
          <w:noProof/>
        </w:rPr>
        <w:fldChar w:fldCharType="end"/>
      </w:r>
    </w:p>
    <w:p w:rsidR="002A4BAF" w:rsidRPr="005C0505" w:rsidRDefault="002A4B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0505">
        <w:rPr>
          <w:noProof/>
        </w:rPr>
        <w:t>Schedule</w:t>
      </w:r>
      <w:r w:rsidR="005C0505" w:rsidRPr="005C0505">
        <w:rPr>
          <w:noProof/>
        </w:rPr>
        <w:t> </w:t>
      </w:r>
      <w:r w:rsidRPr="005C0505">
        <w:rPr>
          <w:noProof/>
        </w:rPr>
        <w:t>1—Amendments commencing day after registration</w:t>
      </w:r>
      <w:r w:rsidRPr="005C0505">
        <w:rPr>
          <w:b w:val="0"/>
          <w:noProof/>
          <w:sz w:val="18"/>
        </w:rPr>
        <w:tab/>
      </w:r>
      <w:r w:rsidRPr="005C0505">
        <w:rPr>
          <w:b w:val="0"/>
          <w:noProof/>
          <w:sz w:val="18"/>
        </w:rPr>
        <w:fldChar w:fldCharType="begin"/>
      </w:r>
      <w:r w:rsidRPr="005C0505">
        <w:rPr>
          <w:b w:val="0"/>
          <w:noProof/>
          <w:sz w:val="18"/>
        </w:rPr>
        <w:instrText xml:space="preserve"> PAGEREF _Toc435617003 \h </w:instrText>
      </w:r>
      <w:r w:rsidRPr="005C0505">
        <w:rPr>
          <w:b w:val="0"/>
          <w:noProof/>
          <w:sz w:val="18"/>
        </w:rPr>
      </w:r>
      <w:r w:rsidRPr="005C0505">
        <w:rPr>
          <w:b w:val="0"/>
          <w:noProof/>
          <w:sz w:val="18"/>
        </w:rPr>
        <w:fldChar w:fldCharType="separate"/>
      </w:r>
      <w:r w:rsidR="00C75C8D">
        <w:rPr>
          <w:b w:val="0"/>
          <w:noProof/>
          <w:sz w:val="18"/>
        </w:rPr>
        <w:t>3</w:t>
      </w:r>
      <w:r w:rsidRPr="005C0505">
        <w:rPr>
          <w:b w:val="0"/>
          <w:noProof/>
          <w:sz w:val="18"/>
        </w:rPr>
        <w:fldChar w:fldCharType="end"/>
      </w:r>
    </w:p>
    <w:p w:rsidR="002A4BAF" w:rsidRPr="005C0505" w:rsidRDefault="002A4B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0505">
        <w:rPr>
          <w:noProof/>
        </w:rPr>
        <w:t>Agricultural and Veterinary Chemicals (Administration) Regulations</w:t>
      </w:r>
      <w:r w:rsidR="005C0505" w:rsidRPr="005C0505">
        <w:rPr>
          <w:noProof/>
        </w:rPr>
        <w:t> </w:t>
      </w:r>
      <w:r w:rsidRPr="005C0505">
        <w:rPr>
          <w:noProof/>
        </w:rPr>
        <w:t>1995</w:t>
      </w:r>
      <w:r w:rsidRPr="005C0505">
        <w:rPr>
          <w:i w:val="0"/>
          <w:noProof/>
          <w:sz w:val="18"/>
        </w:rPr>
        <w:tab/>
      </w:r>
      <w:r w:rsidRPr="005C0505">
        <w:rPr>
          <w:i w:val="0"/>
          <w:noProof/>
          <w:sz w:val="18"/>
        </w:rPr>
        <w:fldChar w:fldCharType="begin"/>
      </w:r>
      <w:r w:rsidRPr="005C0505">
        <w:rPr>
          <w:i w:val="0"/>
          <w:noProof/>
          <w:sz w:val="18"/>
        </w:rPr>
        <w:instrText xml:space="preserve"> PAGEREF _Toc435617004 \h </w:instrText>
      </w:r>
      <w:r w:rsidRPr="005C0505">
        <w:rPr>
          <w:i w:val="0"/>
          <w:noProof/>
          <w:sz w:val="18"/>
        </w:rPr>
      </w:r>
      <w:r w:rsidRPr="005C0505">
        <w:rPr>
          <w:i w:val="0"/>
          <w:noProof/>
          <w:sz w:val="18"/>
        </w:rPr>
        <w:fldChar w:fldCharType="separate"/>
      </w:r>
      <w:r w:rsidR="00C75C8D">
        <w:rPr>
          <w:i w:val="0"/>
          <w:noProof/>
          <w:sz w:val="18"/>
        </w:rPr>
        <w:t>3</w:t>
      </w:r>
      <w:r w:rsidRPr="005C0505">
        <w:rPr>
          <w:i w:val="0"/>
          <w:noProof/>
          <w:sz w:val="18"/>
        </w:rPr>
        <w:fldChar w:fldCharType="end"/>
      </w:r>
    </w:p>
    <w:p w:rsidR="002A4BAF" w:rsidRPr="005C0505" w:rsidRDefault="002A4B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0505">
        <w:rPr>
          <w:noProof/>
        </w:rPr>
        <w:t>Agricultural and Veterinary Chemicals Code Regulations</w:t>
      </w:r>
      <w:r w:rsidR="005C0505" w:rsidRPr="005C0505">
        <w:rPr>
          <w:noProof/>
        </w:rPr>
        <w:t> </w:t>
      </w:r>
      <w:r w:rsidRPr="005C0505">
        <w:rPr>
          <w:noProof/>
        </w:rPr>
        <w:t>1995</w:t>
      </w:r>
      <w:r w:rsidRPr="005C0505">
        <w:rPr>
          <w:i w:val="0"/>
          <w:noProof/>
          <w:sz w:val="18"/>
        </w:rPr>
        <w:tab/>
      </w:r>
      <w:r w:rsidRPr="005C0505">
        <w:rPr>
          <w:i w:val="0"/>
          <w:noProof/>
          <w:sz w:val="18"/>
        </w:rPr>
        <w:fldChar w:fldCharType="begin"/>
      </w:r>
      <w:r w:rsidRPr="005C0505">
        <w:rPr>
          <w:i w:val="0"/>
          <w:noProof/>
          <w:sz w:val="18"/>
        </w:rPr>
        <w:instrText xml:space="preserve"> PAGEREF _Toc435617005 \h </w:instrText>
      </w:r>
      <w:r w:rsidRPr="005C0505">
        <w:rPr>
          <w:i w:val="0"/>
          <w:noProof/>
          <w:sz w:val="18"/>
        </w:rPr>
      </w:r>
      <w:r w:rsidRPr="005C0505">
        <w:rPr>
          <w:i w:val="0"/>
          <w:noProof/>
          <w:sz w:val="18"/>
        </w:rPr>
        <w:fldChar w:fldCharType="separate"/>
      </w:r>
      <w:r w:rsidR="00C75C8D">
        <w:rPr>
          <w:i w:val="0"/>
          <w:noProof/>
          <w:sz w:val="18"/>
        </w:rPr>
        <w:t>3</w:t>
      </w:r>
      <w:r w:rsidRPr="005C0505">
        <w:rPr>
          <w:i w:val="0"/>
          <w:noProof/>
          <w:sz w:val="18"/>
        </w:rPr>
        <w:fldChar w:fldCharType="end"/>
      </w:r>
    </w:p>
    <w:p w:rsidR="002A4BAF" w:rsidRPr="005C0505" w:rsidRDefault="002A4B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0505">
        <w:rPr>
          <w:noProof/>
        </w:rPr>
        <w:t>Schedule</w:t>
      </w:r>
      <w:r w:rsidR="005C0505" w:rsidRPr="005C0505">
        <w:rPr>
          <w:noProof/>
        </w:rPr>
        <w:t> </w:t>
      </w:r>
      <w:r w:rsidRPr="005C0505">
        <w:rPr>
          <w:noProof/>
        </w:rPr>
        <w:t>2—Amendments commencing 1</w:t>
      </w:r>
      <w:r w:rsidR="005C0505" w:rsidRPr="005C0505">
        <w:rPr>
          <w:noProof/>
        </w:rPr>
        <w:t> </w:t>
      </w:r>
      <w:r w:rsidRPr="005C0505">
        <w:rPr>
          <w:noProof/>
        </w:rPr>
        <w:t>March 2016</w:t>
      </w:r>
      <w:r w:rsidRPr="005C0505">
        <w:rPr>
          <w:b w:val="0"/>
          <w:noProof/>
          <w:sz w:val="18"/>
        </w:rPr>
        <w:tab/>
      </w:r>
      <w:r w:rsidRPr="005C0505">
        <w:rPr>
          <w:b w:val="0"/>
          <w:noProof/>
          <w:sz w:val="18"/>
        </w:rPr>
        <w:fldChar w:fldCharType="begin"/>
      </w:r>
      <w:r w:rsidRPr="005C0505">
        <w:rPr>
          <w:b w:val="0"/>
          <w:noProof/>
          <w:sz w:val="18"/>
        </w:rPr>
        <w:instrText xml:space="preserve"> PAGEREF _Toc435617006 \h </w:instrText>
      </w:r>
      <w:r w:rsidRPr="005C0505">
        <w:rPr>
          <w:b w:val="0"/>
          <w:noProof/>
          <w:sz w:val="18"/>
        </w:rPr>
      </w:r>
      <w:r w:rsidRPr="005C0505">
        <w:rPr>
          <w:b w:val="0"/>
          <w:noProof/>
          <w:sz w:val="18"/>
        </w:rPr>
        <w:fldChar w:fldCharType="separate"/>
      </w:r>
      <w:r w:rsidR="00C75C8D">
        <w:rPr>
          <w:b w:val="0"/>
          <w:noProof/>
          <w:sz w:val="18"/>
        </w:rPr>
        <w:t>6</w:t>
      </w:r>
      <w:r w:rsidRPr="005C0505">
        <w:rPr>
          <w:b w:val="0"/>
          <w:noProof/>
          <w:sz w:val="18"/>
        </w:rPr>
        <w:fldChar w:fldCharType="end"/>
      </w:r>
    </w:p>
    <w:p w:rsidR="002A4BAF" w:rsidRPr="005C0505" w:rsidRDefault="002A4BA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505">
        <w:rPr>
          <w:noProof/>
        </w:rPr>
        <w:t>Part</w:t>
      </w:r>
      <w:r w:rsidR="005C0505" w:rsidRPr="005C0505">
        <w:rPr>
          <w:noProof/>
        </w:rPr>
        <w:t> </w:t>
      </w:r>
      <w:r w:rsidRPr="005C0505">
        <w:rPr>
          <w:noProof/>
        </w:rPr>
        <w:t>1—Amendments relating to chemical product registration renewals</w:t>
      </w:r>
      <w:r w:rsidRPr="005C0505">
        <w:rPr>
          <w:noProof/>
          <w:sz w:val="18"/>
        </w:rPr>
        <w:tab/>
      </w:r>
      <w:r w:rsidRPr="005C0505">
        <w:rPr>
          <w:noProof/>
          <w:sz w:val="18"/>
        </w:rPr>
        <w:fldChar w:fldCharType="begin"/>
      </w:r>
      <w:r w:rsidRPr="005C0505">
        <w:rPr>
          <w:noProof/>
          <w:sz w:val="18"/>
        </w:rPr>
        <w:instrText xml:space="preserve"> PAGEREF _Toc435617007 \h </w:instrText>
      </w:r>
      <w:r w:rsidRPr="005C0505">
        <w:rPr>
          <w:noProof/>
          <w:sz w:val="18"/>
        </w:rPr>
      </w:r>
      <w:r w:rsidRPr="005C0505">
        <w:rPr>
          <w:noProof/>
          <w:sz w:val="18"/>
        </w:rPr>
        <w:fldChar w:fldCharType="separate"/>
      </w:r>
      <w:r w:rsidR="00C75C8D">
        <w:rPr>
          <w:noProof/>
          <w:sz w:val="18"/>
        </w:rPr>
        <w:t>6</w:t>
      </w:r>
      <w:r w:rsidRPr="005C0505">
        <w:rPr>
          <w:noProof/>
          <w:sz w:val="18"/>
        </w:rPr>
        <w:fldChar w:fldCharType="end"/>
      </w:r>
    </w:p>
    <w:p w:rsidR="002A4BAF" w:rsidRPr="005C0505" w:rsidRDefault="002A4B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0505">
        <w:rPr>
          <w:noProof/>
        </w:rPr>
        <w:t>Agricultural and Veterinary Chemicals Code Regulations</w:t>
      </w:r>
      <w:r w:rsidR="005C0505" w:rsidRPr="005C0505">
        <w:rPr>
          <w:noProof/>
        </w:rPr>
        <w:t> </w:t>
      </w:r>
      <w:r w:rsidRPr="005C0505">
        <w:rPr>
          <w:noProof/>
        </w:rPr>
        <w:t>1995</w:t>
      </w:r>
      <w:r w:rsidRPr="005C0505">
        <w:rPr>
          <w:i w:val="0"/>
          <w:noProof/>
          <w:sz w:val="18"/>
        </w:rPr>
        <w:tab/>
      </w:r>
      <w:r w:rsidRPr="005C0505">
        <w:rPr>
          <w:i w:val="0"/>
          <w:noProof/>
          <w:sz w:val="18"/>
        </w:rPr>
        <w:fldChar w:fldCharType="begin"/>
      </w:r>
      <w:r w:rsidRPr="005C0505">
        <w:rPr>
          <w:i w:val="0"/>
          <w:noProof/>
          <w:sz w:val="18"/>
        </w:rPr>
        <w:instrText xml:space="preserve"> PAGEREF _Toc435617008 \h </w:instrText>
      </w:r>
      <w:r w:rsidRPr="005C0505">
        <w:rPr>
          <w:i w:val="0"/>
          <w:noProof/>
          <w:sz w:val="18"/>
        </w:rPr>
      </w:r>
      <w:r w:rsidRPr="005C0505">
        <w:rPr>
          <w:i w:val="0"/>
          <w:noProof/>
          <w:sz w:val="18"/>
        </w:rPr>
        <w:fldChar w:fldCharType="separate"/>
      </w:r>
      <w:r w:rsidR="00C75C8D">
        <w:rPr>
          <w:i w:val="0"/>
          <w:noProof/>
          <w:sz w:val="18"/>
        </w:rPr>
        <w:t>6</w:t>
      </w:r>
      <w:r w:rsidRPr="005C0505">
        <w:rPr>
          <w:i w:val="0"/>
          <w:noProof/>
          <w:sz w:val="18"/>
        </w:rPr>
        <w:fldChar w:fldCharType="end"/>
      </w:r>
    </w:p>
    <w:p w:rsidR="002A4BAF" w:rsidRPr="005C0505" w:rsidRDefault="002A4BA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505">
        <w:rPr>
          <w:noProof/>
        </w:rPr>
        <w:t>Part</w:t>
      </w:r>
      <w:r w:rsidR="005C0505" w:rsidRPr="005C0505">
        <w:rPr>
          <w:noProof/>
        </w:rPr>
        <w:t> </w:t>
      </w:r>
      <w:r w:rsidRPr="005C0505">
        <w:rPr>
          <w:noProof/>
        </w:rPr>
        <w:t>2—Other amendments</w:t>
      </w:r>
      <w:r w:rsidRPr="005C0505">
        <w:rPr>
          <w:noProof/>
          <w:sz w:val="18"/>
        </w:rPr>
        <w:tab/>
      </w:r>
      <w:r w:rsidRPr="005C0505">
        <w:rPr>
          <w:noProof/>
          <w:sz w:val="18"/>
        </w:rPr>
        <w:fldChar w:fldCharType="begin"/>
      </w:r>
      <w:r w:rsidRPr="005C0505">
        <w:rPr>
          <w:noProof/>
          <w:sz w:val="18"/>
        </w:rPr>
        <w:instrText xml:space="preserve"> PAGEREF _Toc435617016 \h </w:instrText>
      </w:r>
      <w:r w:rsidRPr="005C0505">
        <w:rPr>
          <w:noProof/>
          <w:sz w:val="18"/>
        </w:rPr>
      </w:r>
      <w:r w:rsidRPr="005C0505">
        <w:rPr>
          <w:noProof/>
          <w:sz w:val="18"/>
        </w:rPr>
        <w:fldChar w:fldCharType="separate"/>
      </w:r>
      <w:r w:rsidR="00C75C8D">
        <w:rPr>
          <w:noProof/>
          <w:sz w:val="18"/>
        </w:rPr>
        <w:t>9</w:t>
      </w:r>
      <w:r w:rsidRPr="005C0505">
        <w:rPr>
          <w:noProof/>
          <w:sz w:val="18"/>
        </w:rPr>
        <w:fldChar w:fldCharType="end"/>
      </w:r>
    </w:p>
    <w:p w:rsidR="002A4BAF" w:rsidRPr="005C0505" w:rsidRDefault="002A4B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0505">
        <w:rPr>
          <w:noProof/>
        </w:rPr>
        <w:t>Agricultural and Veterinary Chemicals Code Regulations</w:t>
      </w:r>
      <w:r w:rsidR="005C0505" w:rsidRPr="005C0505">
        <w:rPr>
          <w:noProof/>
        </w:rPr>
        <w:t> </w:t>
      </w:r>
      <w:r w:rsidRPr="005C0505">
        <w:rPr>
          <w:noProof/>
        </w:rPr>
        <w:t>1995</w:t>
      </w:r>
      <w:r w:rsidRPr="005C0505">
        <w:rPr>
          <w:i w:val="0"/>
          <w:noProof/>
          <w:sz w:val="18"/>
        </w:rPr>
        <w:tab/>
      </w:r>
      <w:r w:rsidRPr="005C0505">
        <w:rPr>
          <w:i w:val="0"/>
          <w:noProof/>
          <w:sz w:val="18"/>
        </w:rPr>
        <w:fldChar w:fldCharType="begin"/>
      </w:r>
      <w:r w:rsidRPr="005C0505">
        <w:rPr>
          <w:i w:val="0"/>
          <w:noProof/>
          <w:sz w:val="18"/>
        </w:rPr>
        <w:instrText xml:space="preserve"> PAGEREF _Toc435617017 \h </w:instrText>
      </w:r>
      <w:r w:rsidRPr="005C0505">
        <w:rPr>
          <w:i w:val="0"/>
          <w:noProof/>
          <w:sz w:val="18"/>
        </w:rPr>
      </w:r>
      <w:r w:rsidRPr="005C0505">
        <w:rPr>
          <w:i w:val="0"/>
          <w:noProof/>
          <w:sz w:val="18"/>
        </w:rPr>
        <w:fldChar w:fldCharType="separate"/>
      </w:r>
      <w:r w:rsidR="00C75C8D">
        <w:rPr>
          <w:i w:val="0"/>
          <w:noProof/>
          <w:sz w:val="18"/>
        </w:rPr>
        <w:t>9</w:t>
      </w:r>
      <w:r w:rsidRPr="005C0505">
        <w:rPr>
          <w:i w:val="0"/>
          <w:noProof/>
          <w:sz w:val="18"/>
        </w:rPr>
        <w:fldChar w:fldCharType="end"/>
      </w:r>
    </w:p>
    <w:p w:rsidR="002A4BAF" w:rsidRPr="005C0505" w:rsidRDefault="002A4B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0505">
        <w:rPr>
          <w:noProof/>
        </w:rPr>
        <w:t>Schedule</w:t>
      </w:r>
      <w:r w:rsidR="005C0505" w:rsidRPr="005C0505">
        <w:rPr>
          <w:noProof/>
        </w:rPr>
        <w:t> </w:t>
      </w:r>
      <w:r w:rsidRPr="005C0505">
        <w:rPr>
          <w:noProof/>
        </w:rPr>
        <w:t>3—Amendments commencing 1</w:t>
      </w:r>
      <w:r w:rsidR="005C0505" w:rsidRPr="005C0505">
        <w:rPr>
          <w:noProof/>
        </w:rPr>
        <w:t> </w:t>
      </w:r>
      <w:r w:rsidRPr="005C0505">
        <w:rPr>
          <w:noProof/>
        </w:rPr>
        <w:t>July 2016</w:t>
      </w:r>
      <w:r w:rsidRPr="005C0505">
        <w:rPr>
          <w:b w:val="0"/>
          <w:noProof/>
          <w:sz w:val="18"/>
        </w:rPr>
        <w:tab/>
      </w:r>
      <w:r w:rsidRPr="005C0505">
        <w:rPr>
          <w:b w:val="0"/>
          <w:noProof/>
          <w:sz w:val="18"/>
        </w:rPr>
        <w:fldChar w:fldCharType="begin"/>
      </w:r>
      <w:r w:rsidRPr="005C0505">
        <w:rPr>
          <w:b w:val="0"/>
          <w:noProof/>
          <w:sz w:val="18"/>
        </w:rPr>
        <w:instrText xml:space="preserve"> PAGEREF _Toc435617018 \h </w:instrText>
      </w:r>
      <w:r w:rsidRPr="005C0505">
        <w:rPr>
          <w:b w:val="0"/>
          <w:noProof/>
          <w:sz w:val="18"/>
        </w:rPr>
      </w:r>
      <w:r w:rsidRPr="005C0505">
        <w:rPr>
          <w:b w:val="0"/>
          <w:noProof/>
          <w:sz w:val="18"/>
        </w:rPr>
        <w:fldChar w:fldCharType="separate"/>
      </w:r>
      <w:r w:rsidR="00C75C8D">
        <w:rPr>
          <w:b w:val="0"/>
          <w:noProof/>
          <w:sz w:val="18"/>
        </w:rPr>
        <w:t>11</w:t>
      </w:r>
      <w:r w:rsidRPr="005C0505">
        <w:rPr>
          <w:b w:val="0"/>
          <w:noProof/>
          <w:sz w:val="18"/>
        </w:rPr>
        <w:fldChar w:fldCharType="end"/>
      </w:r>
    </w:p>
    <w:p w:rsidR="002A4BAF" w:rsidRPr="005C0505" w:rsidRDefault="002A4B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0505">
        <w:rPr>
          <w:noProof/>
        </w:rPr>
        <w:t>Agricultural and Veterinary Chemicals Code Regulations</w:t>
      </w:r>
      <w:r w:rsidR="005C0505" w:rsidRPr="005C0505">
        <w:rPr>
          <w:noProof/>
        </w:rPr>
        <w:t> </w:t>
      </w:r>
      <w:r w:rsidRPr="005C0505">
        <w:rPr>
          <w:noProof/>
        </w:rPr>
        <w:t>1995</w:t>
      </w:r>
      <w:r w:rsidRPr="005C0505">
        <w:rPr>
          <w:i w:val="0"/>
          <w:noProof/>
          <w:sz w:val="18"/>
        </w:rPr>
        <w:tab/>
      </w:r>
      <w:r w:rsidRPr="005C0505">
        <w:rPr>
          <w:i w:val="0"/>
          <w:noProof/>
          <w:sz w:val="18"/>
        </w:rPr>
        <w:fldChar w:fldCharType="begin"/>
      </w:r>
      <w:r w:rsidRPr="005C0505">
        <w:rPr>
          <w:i w:val="0"/>
          <w:noProof/>
          <w:sz w:val="18"/>
        </w:rPr>
        <w:instrText xml:space="preserve"> PAGEREF _Toc435617019 \h </w:instrText>
      </w:r>
      <w:r w:rsidRPr="005C0505">
        <w:rPr>
          <w:i w:val="0"/>
          <w:noProof/>
          <w:sz w:val="18"/>
        </w:rPr>
      </w:r>
      <w:r w:rsidRPr="005C0505">
        <w:rPr>
          <w:i w:val="0"/>
          <w:noProof/>
          <w:sz w:val="18"/>
        </w:rPr>
        <w:fldChar w:fldCharType="separate"/>
      </w:r>
      <w:r w:rsidR="00C75C8D">
        <w:rPr>
          <w:i w:val="0"/>
          <w:noProof/>
          <w:sz w:val="18"/>
        </w:rPr>
        <w:t>11</w:t>
      </w:r>
      <w:r w:rsidRPr="005C0505">
        <w:rPr>
          <w:i w:val="0"/>
          <w:noProof/>
          <w:sz w:val="18"/>
        </w:rPr>
        <w:fldChar w:fldCharType="end"/>
      </w:r>
    </w:p>
    <w:p w:rsidR="00833416" w:rsidRPr="005C0505" w:rsidRDefault="002A4BAF" w:rsidP="0048364F">
      <w:r w:rsidRPr="005C0505">
        <w:fldChar w:fldCharType="end"/>
      </w:r>
    </w:p>
    <w:p w:rsidR="00722023" w:rsidRPr="005C0505" w:rsidRDefault="00722023" w:rsidP="0048364F">
      <w:pPr>
        <w:sectPr w:rsidR="00722023" w:rsidRPr="005C0505" w:rsidSect="0008166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C0505" w:rsidRDefault="0048364F" w:rsidP="0048364F">
      <w:pPr>
        <w:pStyle w:val="ActHead5"/>
      </w:pPr>
      <w:bookmarkStart w:id="3" w:name="_Toc435616999"/>
      <w:r w:rsidRPr="005C0505">
        <w:rPr>
          <w:rStyle w:val="CharSectno"/>
        </w:rPr>
        <w:lastRenderedPageBreak/>
        <w:t>1</w:t>
      </w:r>
      <w:r w:rsidRPr="005C0505">
        <w:t xml:space="preserve">  </w:t>
      </w:r>
      <w:r w:rsidR="004F676E" w:rsidRPr="005C0505">
        <w:t>Name</w:t>
      </w:r>
      <w:bookmarkEnd w:id="3"/>
    </w:p>
    <w:p w:rsidR="0048364F" w:rsidRPr="005C0505" w:rsidRDefault="0048364F" w:rsidP="0048364F">
      <w:pPr>
        <w:pStyle w:val="subsection"/>
      </w:pPr>
      <w:r w:rsidRPr="005C0505">
        <w:tab/>
      </w:r>
      <w:r w:rsidRPr="005C0505">
        <w:tab/>
        <w:t>Th</w:t>
      </w:r>
      <w:r w:rsidR="00F24C35" w:rsidRPr="005C0505">
        <w:t>is</w:t>
      </w:r>
      <w:r w:rsidRPr="005C0505">
        <w:t xml:space="preserve"> </w:t>
      </w:r>
      <w:r w:rsidR="00F24C35" w:rsidRPr="005C0505">
        <w:t>is</w:t>
      </w:r>
      <w:r w:rsidR="003801D0" w:rsidRPr="005C0505">
        <w:t xml:space="preserve"> the</w:t>
      </w:r>
      <w:r w:rsidRPr="005C0505">
        <w:t xml:space="preserve"> </w:t>
      </w:r>
      <w:bookmarkStart w:id="4" w:name="BKCheck15B_4"/>
      <w:bookmarkEnd w:id="4"/>
      <w:r w:rsidR="00CB0180" w:rsidRPr="005C0505">
        <w:rPr>
          <w:i/>
        </w:rPr>
        <w:fldChar w:fldCharType="begin"/>
      </w:r>
      <w:r w:rsidR="00CB0180" w:rsidRPr="005C0505">
        <w:rPr>
          <w:i/>
        </w:rPr>
        <w:instrText xml:space="preserve"> STYLEREF  ShortT </w:instrText>
      </w:r>
      <w:r w:rsidR="00CB0180" w:rsidRPr="005C0505">
        <w:rPr>
          <w:i/>
        </w:rPr>
        <w:fldChar w:fldCharType="separate"/>
      </w:r>
      <w:r w:rsidR="00C75C8D">
        <w:rPr>
          <w:i/>
          <w:noProof/>
        </w:rPr>
        <w:t>Agricultural and Veterinary Chemicals Legislation Amendment (Simplified Formulation Variations and Other Measures) Regulation 2015</w:t>
      </w:r>
      <w:r w:rsidR="00CB0180" w:rsidRPr="005C0505">
        <w:rPr>
          <w:i/>
        </w:rPr>
        <w:fldChar w:fldCharType="end"/>
      </w:r>
      <w:r w:rsidRPr="005C0505">
        <w:t>.</w:t>
      </w:r>
    </w:p>
    <w:p w:rsidR="0048364F" w:rsidRPr="005C0505" w:rsidRDefault="0048364F" w:rsidP="0048364F">
      <w:pPr>
        <w:pStyle w:val="ActHead5"/>
      </w:pPr>
      <w:bookmarkStart w:id="5" w:name="_Toc435617000"/>
      <w:r w:rsidRPr="005C0505">
        <w:rPr>
          <w:rStyle w:val="CharSectno"/>
        </w:rPr>
        <w:t>2</w:t>
      </w:r>
      <w:r w:rsidRPr="005C0505">
        <w:t xml:space="preserve">  Commencement</w:t>
      </w:r>
      <w:bookmarkEnd w:id="5"/>
    </w:p>
    <w:p w:rsidR="0016241D" w:rsidRPr="005C0505" w:rsidRDefault="0016241D" w:rsidP="00DD3458">
      <w:pPr>
        <w:pStyle w:val="subsection"/>
      </w:pPr>
      <w:r w:rsidRPr="005C0505">
        <w:tab/>
        <w:t>(1)</w:t>
      </w:r>
      <w:r w:rsidRPr="005C050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6241D" w:rsidRPr="005C0505" w:rsidRDefault="0016241D" w:rsidP="00DD345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16241D" w:rsidRPr="005C0505" w:rsidTr="00DC760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6241D" w:rsidRPr="005C0505" w:rsidRDefault="0016241D" w:rsidP="00DC760D">
            <w:pPr>
              <w:pStyle w:val="TableHeading"/>
            </w:pPr>
            <w:r w:rsidRPr="005C0505">
              <w:t>Commencement information</w:t>
            </w:r>
          </w:p>
        </w:tc>
      </w:tr>
      <w:tr w:rsidR="0016241D" w:rsidRPr="005C0505" w:rsidTr="00DC760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6241D" w:rsidRPr="005C0505" w:rsidRDefault="0016241D" w:rsidP="00DC760D">
            <w:pPr>
              <w:pStyle w:val="TableHeading"/>
            </w:pPr>
            <w:r w:rsidRPr="005C050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6241D" w:rsidRPr="005C0505" w:rsidRDefault="0016241D" w:rsidP="00DC760D">
            <w:pPr>
              <w:pStyle w:val="TableHeading"/>
            </w:pPr>
            <w:r w:rsidRPr="005C050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6241D" w:rsidRPr="005C0505" w:rsidRDefault="0016241D" w:rsidP="00DC760D">
            <w:pPr>
              <w:pStyle w:val="TableHeading"/>
            </w:pPr>
            <w:r w:rsidRPr="005C0505">
              <w:t>Column 3</w:t>
            </w:r>
          </w:p>
        </w:tc>
      </w:tr>
      <w:tr w:rsidR="0016241D" w:rsidRPr="005C0505" w:rsidTr="00DC760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6241D" w:rsidRPr="005C0505" w:rsidRDefault="0016241D" w:rsidP="00DC760D">
            <w:pPr>
              <w:pStyle w:val="TableHeading"/>
            </w:pPr>
            <w:r w:rsidRPr="005C050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6241D" w:rsidRPr="005C0505" w:rsidRDefault="0016241D" w:rsidP="00DC760D">
            <w:pPr>
              <w:pStyle w:val="TableHeading"/>
            </w:pPr>
            <w:r w:rsidRPr="005C050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6241D" w:rsidRPr="005C0505" w:rsidRDefault="0016241D" w:rsidP="00DC760D">
            <w:pPr>
              <w:pStyle w:val="TableHeading"/>
            </w:pPr>
            <w:r w:rsidRPr="005C0505">
              <w:t>Date/Details</w:t>
            </w:r>
          </w:p>
        </w:tc>
      </w:tr>
      <w:tr w:rsidR="0016241D" w:rsidRPr="005C0505" w:rsidTr="00DC760D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6241D" w:rsidRPr="005C0505" w:rsidRDefault="0016241D" w:rsidP="00DD3458">
            <w:pPr>
              <w:pStyle w:val="Tabletext"/>
            </w:pPr>
            <w:r w:rsidRPr="005C0505">
              <w:t>1.  Sections</w:t>
            </w:r>
            <w:r w:rsidR="005C0505" w:rsidRPr="005C0505">
              <w:t> </w:t>
            </w:r>
            <w:r w:rsidRPr="005C0505">
              <w:t>1 to 4 and anything in this instrument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6241D" w:rsidRPr="005C0505" w:rsidRDefault="0016241D" w:rsidP="00DD3458">
            <w:pPr>
              <w:pStyle w:val="Tabletext"/>
            </w:pPr>
            <w:r w:rsidRPr="005C0505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16241D" w:rsidRPr="005C0505" w:rsidRDefault="009B7B5D">
            <w:pPr>
              <w:pStyle w:val="Tabletext"/>
            </w:pPr>
            <w:r>
              <w:t>17 December 2015</w:t>
            </w:r>
          </w:p>
        </w:tc>
      </w:tr>
      <w:tr w:rsidR="0016241D" w:rsidRPr="005C0505" w:rsidTr="00DC760D">
        <w:tc>
          <w:tcPr>
            <w:tcW w:w="1701" w:type="dxa"/>
            <w:shd w:val="clear" w:color="auto" w:fill="auto"/>
            <w:hideMark/>
          </w:tcPr>
          <w:p w:rsidR="0016241D" w:rsidRPr="005C0505" w:rsidRDefault="0016241D">
            <w:pPr>
              <w:pStyle w:val="Tabletext"/>
            </w:pPr>
            <w:r w:rsidRPr="005C0505">
              <w:t>2.  Schedule</w:t>
            </w:r>
            <w:r w:rsidR="005C0505" w:rsidRPr="005C0505">
              <w:t> </w:t>
            </w:r>
            <w:r w:rsidRPr="005C0505">
              <w:t>1</w:t>
            </w:r>
          </w:p>
        </w:tc>
        <w:tc>
          <w:tcPr>
            <w:tcW w:w="3828" w:type="dxa"/>
            <w:shd w:val="clear" w:color="auto" w:fill="auto"/>
          </w:tcPr>
          <w:p w:rsidR="0016241D" w:rsidRPr="005C0505" w:rsidRDefault="0016241D">
            <w:pPr>
              <w:pStyle w:val="Tabletext"/>
            </w:pPr>
            <w:r w:rsidRPr="005C0505">
              <w:t>The day after this instrument is registered.</w:t>
            </w:r>
          </w:p>
        </w:tc>
        <w:tc>
          <w:tcPr>
            <w:tcW w:w="1582" w:type="dxa"/>
            <w:shd w:val="clear" w:color="auto" w:fill="auto"/>
          </w:tcPr>
          <w:p w:rsidR="0016241D" w:rsidRPr="005C0505" w:rsidRDefault="009B7B5D">
            <w:pPr>
              <w:pStyle w:val="Tabletext"/>
            </w:pPr>
            <w:r>
              <w:t>17 December 2015</w:t>
            </w:r>
            <w:bookmarkStart w:id="6" w:name="_GoBack"/>
            <w:bookmarkEnd w:id="6"/>
          </w:p>
        </w:tc>
      </w:tr>
      <w:tr w:rsidR="0016241D" w:rsidRPr="005C0505" w:rsidTr="00DC760D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241D" w:rsidRPr="005C0505" w:rsidRDefault="0016241D" w:rsidP="0082284C">
            <w:pPr>
              <w:pStyle w:val="Tabletext"/>
            </w:pPr>
            <w:r w:rsidRPr="005C0505">
              <w:t>3.  Schedule</w:t>
            </w:r>
            <w:r w:rsidR="005C0505" w:rsidRPr="005C0505">
              <w:t> </w:t>
            </w:r>
            <w:r w:rsidRPr="005C0505"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6241D" w:rsidRPr="005C0505" w:rsidRDefault="0041784E" w:rsidP="0082284C">
            <w:pPr>
              <w:pStyle w:val="Tabletext"/>
            </w:pPr>
            <w:r w:rsidRPr="005C0505">
              <w:t>1</w:t>
            </w:r>
            <w:r w:rsidR="005C0505" w:rsidRPr="005C0505">
              <w:t> </w:t>
            </w:r>
            <w:r w:rsidRPr="005C0505">
              <w:t>March 2016</w:t>
            </w:r>
            <w:r w:rsidR="009279CF" w:rsidRPr="005C0505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16241D" w:rsidRPr="005C0505" w:rsidRDefault="0041784E" w:rsidP="0082284C">
            <w:pPr>
              <w:pStyle w:val="Tabletext"/>
            </w:pPr>
            <w:r w:rsidRPr="005C0505">
              <w:t>1</w:t>
            </w:r>
            <w:r w:rsidR="005C0505" w:rsidRPr="005C0505">
              <w:t> </w:t>
            </w:r>
            <w:r w:rsidRPr="005C0505">
              <w:t>March 2016</w:t>
            </w:r>
          </w:p>
        </w:tc>
      </w:tr>
      <w:tr w:rsidR="000954E1" w:rsidRPr="005C0505" w:rsidTr="00DC760D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954E1" w:rsidRPr="005C0505" w:rsidRDefault="000954E1" w:rsidP="00941A03">
            <w:pPr>
              <w:pStyle w:val="Tabletext"/>
            </w:pPr>
            <w:r w:rsidRPr="005C0505">
              <w:t>4.  Schedule</w:t>
            </w:r>
            <w:r w:rsidR="005C0505" w:rsidRPr="005C0505">
              <w:t> </w:t>
            </w:r>
            <w:r w:rsidRPr="005C0505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0954E1" w:rsidRPr="005C0505" w:rsidRDefault="000954E1" w:rsidP="00941A03">
            <w:pPr>
              <w:pStyle w:val="Tabletext"/>
            </w:pPr>
            <w:r w:rsidRPr="005C0505">
              <w:t>1</w:t>
            </w:r>
            <w:r w:rsidR="005C0505" w:rsidRPr="005C0505">
              <w:t> </w:t>
            </w:r>
            <w:r w:rsidRPr="005C0505">
              <w:t>July 2016.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0954E1" w:rsidRPr="005C0505" w:rsidRDefault="000954E1" w:rsidP="00941A03">
            <w:pPr>
              <w:pStyle w:val="Tabletext"/>
            </w:pPr>
            <w:r w:rsidRPr="005C0505">
              <w:t>1</w:t>
            </w:r>
            <w:r w:rsidR="005C0505" w:rsidRPr="005C0505">
              <w:t> </w:t>
            </w:r>
            <w:r w:rsidRPr="005C0505">
              <w:t>July 2016</w:t>
            </w:r>
          </w:p>
        </w:tc>
      </w:tr>
    </w:tbl>
    <w:p w:rsidR="0016241D" w:rsidRPr="005C0505" w:rsidRDefault="0016241D" w:rsidP="00DD3458">
      <w:pPr>
        <w:pStyle w:val="notetext"/>
      </w:pPr>
      <w:r w:rsidRPr="005C0505">
        <w:rPr>
          <w:snapToGrid w:val="0"/>
          <w:lang w:eastAsia="en-US"/>
        </w:rPr>
        <w:t>Note:</w:t>
      </w:r>
      <w:r w:rsidRPr="005C0505">
        <w:rPr>
          <w:snapToGrid w:val="0"/>
          <w:lang w:eastAsia="en-US"/>
        </w:rPr>
        <w:tab/>
        <w:t xml:space="preserve">This table relates only to the provisions of this </w:t>
      </w:r>
      <w:r w:rsidRPr="005C0505">
        <w:t xml:space="preserve">instrument </w:t>
      </w:r>
      <w:r w:rsidRPr="005C0505">
        <w:rPr>
          <w:snapToGrid w:val="0"/>
          <w:lang w:eastAsia="en-US"/>
        </w:rPr>
        <w:t xml:space="preserve">as originally made. It will not be amended to deal with any later amendments of this </w:t>
      </w:r>
      <w:r w:rsidRPr="005C0505">
        <w:t>instrument</w:t>
      </w:r>
      <w:r w:rsidRPr="005C0505">
        <w:rPr>
          <w:snapToGrid w:val="0"/>
          <w:lang w:eastAsia="en-US"/>
        </w:rPr>
        <w:t>.</w:t>
      </w:r>
    </w:p>
    <w:p w:rsidR="0016241D" w:rsidRPr="005C0505" w:rsidRDefault="0016241D" w:rsidP="00DD3458">
      <w:pPr>
        <w:pStyle w:val="subsection"/>
      </w:pPr>
      <w:r w:rsidRPr="005C0505">
        <w:tab/>
        <w:t>(2)</w:t>
      </w:r>
      <w:r w:rsidRPr="005C050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C0505" w:rsidRDefault="007769D4" w:rsidP="007769D4">
      <w:pPr>
        <w:pStyle w:val="ActHead5"/>
      </w:pPr>
      <w:bookmarkStart w:id="7" w:name="_Toc435617001"/>
      <w:r w:rsidRPr="005C0505">
        <w:rPr>
          <w:rStyle w:val="CharSectno"/>
        </w:rPr>
        <w:t>3</w:t>
      </w:r>
      <w:r w:rsidRPr="005C0505">
        <w:t xml:space="preserve">  Authority</w:t>
      </w:r>
      <w:bookmarkEnd w:id="7"/>
    </w:p>
    <w:p w:rsidR="007769D4" w:rsidRPr="005C0505" w:rsidRDefault="007769D4" w:rsidP="007769D4">
      <w:pPr>
        <w:pStyle w:val="subsection"/>
      </w:pPr>
      <w:r w:rsidRPr="005C0505">
        <w:tab/>
      </w:r>
      <w:r w:rsidRPr="005C0505">
        <w:tab/>
      </w:r>
      <w:r w:rsidR="00AF0336" w:rsidRPr="005C0505">
        <w:t xml:space="preserve">This </w:t>
      </w:r>
      <w:r w:rsidR="0016241D" w:rsidRPr="005C0505">
        <w:t>instrument</w:t>
      </w:r>
      <w:r w:rsidR="00AF0336" w:rsidRPr="005C0505">
        <w:t xml:space="preserve"> is made under the</w:t>
      </w:r>
      <w:r w:rsidR="00F935EA" w:rsidRPr="005C0505">
        <w:rPr>
          <w:i/>
        </w:rPr>
        <w:t xml:space="preserve"> </w:t>
      </w:r>
      <w:r w:rsidR="00F935EA" w:rsidRPr="005C0505">
        <w:t>following Acts:</w:t>
      </w:r>
    </w:p>
    <w:p w:rsidR="00F935EA" w:rsidRPr="005C0505" w:rsidRDefault="00F935EA" w:rsidP="00F935EA">
      <w:pPr>
        <w:pStyle w:val="paragraph"/>
      </w:pPr>
      <w:r w:rsidRPr="005C0505">
        <w:tab/>
        <w:t>(a)</w:t>
      </w:r>
      <w:r w:rsidRPr="005C0505">
        <w:tab/>
        <w:t xml:space="preserve">the </w:t>
      </w:r>
      <w:r w:rsidRPr="005C0505">
        <w:rPr>
          <w:i/>
        </w:rPr>
        <w:t>Agricultural and Veterinary Chemicals (Administration) Act 1992</w:t>
      </w:r>
      <w:r w:rsidRPr="005C0505">
        <w:t>;</w:t>
      </w:r>
    </w:p>
    <w:p w:rsidR="00F935EA" w:rsidRPr="005C0505" w:rsidRDefault="00F935EA" w:rsidP="00F935EA">
      <w:pPr>
        <w:pStyle w:val="paragraph"/>
      </w:pPr>
      <w:r w:rsidRPr="005C0505">
        <w:tab/>
        <w:t>(b)</w:t>
      </w:r>
      <w:r w:rsidRPr="005C0505">
        <w:tab/>
        <w:t xml:space="preserve">the </w:t>
      </w:r>
      <w:r w:rsidRPr="005C0505">
        <w:rPr>
          <w:i/>
        </w:rPr>
        <w:t>Agricultural and Veterinary Chemicals Code Act 1994</w:t>
      </w:r>
      <w:r w:rsidRPr="005C0505">
        <w:t>.</w:t>
      </w:r>
    </w:p>
    <w:p w:rsidR="00557C7A" w:rsidRPr="005C0505" w:rsidRDefault="007769D4" w:rsidP="00557C7A">
      <w:pPr>
        <w:pStyle w:val="ActHead5"/>
      </w:pPr>
      <w:bookmarkStart w:id="8" w:name="_Toc435617002"/>
      <w:r w:rsidRPr="005C0505">
        <w:rPr>
          <w:rStyle w:val="CharSectno"/>
        </w:rPr>
        <w:t>4</w:t>
      </w:r>
      <w:r w:rsidR="00557C7A" w:rsidRPr="005C0505">
        <w:t xml:space="preserve">  </w:t>
      </w:r>
      <w:r w:rsidR="00B332B8" w:rsidRPr="005C0505">
        <w:t>Schedules</w:t>
      </w:r>
      <w:bookmarkEnd w:id="8"/>
    </w:p>
    <w:p w:rsidR="000F6B02" w:rsidRPr="005C0505" w:rsidRDefault="00557C7A" w:rsidP="000F6B02">
      <w:pPr>
        <w:pStyle w:val="subsection"/>
      </w:pPr>
      <w:r w:rsidRPr="005C0505">
        <w:tab/>
      </w:r>
      <w:r w:rsidRPr="005C0505">
        <w:tab/>
      </w:r>
      <w:r w:rsidR="000F6B02" w:rsidRPr="005C0505">
        <w:t xml:space="preserve">Each instrument that is specified in a Schedule to </w:t>
      </w:r>
      <w:r w:rsidR="0016241D" w:rsidRPr="005C0505">
        <w:t>this instrument</w:t>
      </w:r>
      <w:r w:rsidR="000F6B02" w:rsidRPr="005C0505">
        <w:t xml:space="preserve"> is amended or repealed as set out in the applicable items in the Schedule concerned, and any other item in a Schedule to </w:t>
      </w:r>
      <w:r w:rsidR="0016241D" w:rsidRPr="005C0505">
        <w:t>this instrument</w:t>
      </w:r>
      <w:r w:rsidR="000F6B02" w:rsidRPr="005C0505">
        <w:t xml:space="preserve"> has effect according to its terms.</w:t>
      </w:r>
    </w:p>
    <w:p w:rsidR="0048364F" w:rsidRPr="005C0505" w:rsidRDefault="0048364F" w:rsidP="00FF3089">
      <w:pPr>
        <w:pStyle w:val="ActHead6"/>
        <w:pageBreakBefore/>
      </w:pPr>
      <w:bookmarkStart w:id="9" w:name="_Toc435617003"/>
      <w:bookmarkStart w:id="10" w:name="opcAmSched"/>
      <w:r w:rsidRPr="005C0505">
        <w:rPr>
          <w:rStyle w:val="CharAmSchNo"/>
        </w:rPr>
        <w:t>Schedule</w:t>
      </w:r>
      <w:r w:rsidR="005C0505" w:rsidRPr="005C0505">
        <w:rPr>
          <w:rStyle w:val="CharAmSchNo"/>
        </w:rPr>
        <w:t> </w:t>
      </w:r>
      <w:r w:rsidRPr="005C0505">
        <w:rPr>
          <w:rStyle w:val="CharAmSchNo"/>
        </w:rPr>
        <w:t>1</w:t>
      </w:r>
      <w:r w:rsidRPr="005C0505">
        <w:t>—</w:t>
      </w:r>
      <w:r w:rsidR="00460499" w:rsidRPr="005C0505">
        <w:rPr>
          <w:rStyle w:val="CharAmSchText"/>
        </w:rPr>
        <w:t>Amendments</w:t>
      </w:r>
      <w:r w:rsidR="0016241D" w:rsidRPr="005C0505">
        <w:rPr>
          <w:rStyle w:val="CharAmSchText"/>
        </w:rPr>
        <w:t xml:space="preserve"> commencing day after registration</w:t>
      </w:r>
      <w:bookmarkEnd w:id="9"/>
    </w:p>
    <w:bookmarkEnd w:id="10"/>
    <w:p w:rsidR="0004044E" w:rsidRPr="005C0505" w:rsidRDefault="0004044E" w:rsidP="0004044E">
      <w:pPr>
        <w:pStyle w:val="Header"/>
      </w:pPr>
      <w:r w:rsidRPr="005C0505">
        <w:rPr>
          <w:rStyle w:val="CharAmPartNo"/>
        </w:rPr>
        <w:t xml:space="preserve"> </w:t>
      </w:r>
      <w:r w:rsidRPr="005C0505">
        <w:rPr>
          <w:rStyle w:val="CharAmPartText"/>
        </w:rPr>
        <w:t xml:space="preserve"> </w:t>
      </w:r>
    </w:p>
    <w:p w:rsidR="00F935EA" w:rsidRPr="005C0505" w:rsidRDefault="00F935EA" w:rsidP="00F935EA">
      <w:pPr>
        <w:pStyle w:val="ActHead9"/>
      </w:pPr>
      <w:bookmarkStart w:id="11" w:name="_Toc435617004"/>
      <w:r w:rsidRPr="005C0505">
        <w:t>Agricultural and Veterinary Chemicals (Administration) Regulations</w:t>
      </w:r>
      <w:r w:rsidR="005C0505" w:rsidRPr="005C0505">
        <w:t> </w:t>
      </w:r>
      <w:r w:rsidRPr="005C0505">
        <w:t>1995</w:t>
      </w:r>
      <w:bookmarkEnd w:id="11"/>
    </w:p>
    <w:p w:rsidR="00F935EA" w:rsidRPr="005C0505" w:rsidRDefault="00852A55" w:rsidP="00F935EA">
      <w:pPr>
        <w:pStyle w:val="ItemHead"/>
      </w:pPr>
      <w:r w:rsidRPr="005C0505">
        <w:t>1</w:t>
      </w:r>
      <w:r w:rsidR="00F935EA" w:rsidRPr="005C0505">
        <w:t xml:space="preserve">  </w:t>
      </w:r>
      <w:r w:rsidR="00E22F6C" w:rsidRPr="005C0505">
        <w:t>Paragraphs 1A.1(a) and (b)</w:t>
      </w:r>
    </w:p>
    <w:p w:rsidR="00E22F6C" w:rsidRPr="005C0505" w:rsidRDefault="00E22F6C" w:rsidP="00E22F6C">
      <w:pPr>
        <w:pStyle w:val="Item"/>
      </w:pPr>
      <w:r w:rsidRPr="005C0505">
        <w:t>Omit “year”, substitute “period”.</w:t>
      </w:r>
    </w:p>
    <w:p w:rsidR="002776AF" w:rsidRPr="005C0505" w:rsidRDefault="00852A55" w:rsidP="00E22F6C">
      <w:pPr>
        <w:pStyle w:val="ItemHead"/>
      </w:pPr>
      <w:r w:rsidRPr="005C0505">
        <w:t>2</w:t>
      </w:r>
      <w:r w:rsidR="002776AF" w:rsidRPr="005C0505">
        <w:t xml:space="preserve">  Regulation</w:t>
      </w:r>
      <w:r w:rsidR="005C0505" w:rsidRPr="005C0505">
        <w:t> </w:t>
      </w:r>
      <w:r w:rsidR="002776AF" w:rsidRPr="005C0505">
        <w:t>1A.3</w:t>
      </w:r>
    </w:p>
    <w:p w:rsidR="002776AF" w:rsidRPr="005C0505" w:rsidRDefault="002776AF" w:rsidP="002776AF">
      <w:pPr>
        <w:pStyle w:val="Item"/>
      </w:pPr>
      <w:r w:rsidRPr="005C0505">
        <w:t>Omit “subparagraph</w:t>
      </w:r>
      <w:r w:rsidR="005C0505" w:rsidRPr="005C0505">
        <w:t> </w:t>
      </w:r>
      <w:r w:rsidRPr="005C0505">
        <w:t>61(2)(c)(ii)”, substitute “subparagraph</w:t>
      </w:r>
      <w:r w:rsidR="005C0505" w:rsidRPr="005C0505">
        <w:t> </w:t>
      </w:r>
      <w:r w:rsidRPr="005C0505">
        <w:t>61(b)(ii)”.</w:t>
      </w:r>
    </w:p>
    <w:p w:rsidR="00E22F6C" w:rsidRPr="005C0505" w:rsidRDefault="00852A55" w:rsidP="00E22F6C">
      <w:pPr>
        <w:pStyle w:val="ItemHead"/>
      </w:pPr>
      <w:r w:rsidRPr="005C0505">
        <w:t>3</w:t>
      </w:r>
      <w:r w:rsidR="00E22F6C" w:rsidRPr="005C0505">
        <w:t xml:space="preserve">  Regulation</w:t>
      </w:r>
      <w:r w:rsidR="005C0505" w:rsidRPr="005C0505">
        <w:t> </w:t>
      </w:r>
      <w:r w:rsidR="00E22F6C" w:rsidRPr="005C0505">
        <w:t>1A.3</w:t>
      </w:r>
    </w:p>
    <w:p w:rsidR="00E22F6C" w:rsidRPr="005C0505" w:rsidRDefault="00E22F6C" w:rsidP="00E22F6C">
      <w:pPr>
        <w:pStyle w:val="Item"/>
      </w:pPr>
      <w:r w:rsidRPr="005C0505">
        <w:t>Omit “year” (wherever occurring), substitute “period”.</w:t>
      </w:r>
    </w:p>
    <w:p w:rsidR="0016241D" w:rsidRPr="005C0505" w:rsidRDefault="0016241D" w:rsidP="0016241D">
      <w:pPr>
        <w:pStyle w:val="ActHead9"/>
      </w:pPr>
      <w:bookmarkStart w:id="12" w:name="_Toc435617005"/>
      <w:r w:rsidRPr="005C0505">
        <w:t>Agricultural and Veterinary Chemicals Code Regulations</w:t>
      </w:r>
      <w:r w:rsidR="005C0505" w:rsidRPr="005C0505">
        <w:t> </w:t>
      </w:r>
      <w:r w:rsidRPr="005C0505">
        <w:t>1995</w:t>
      </w:r>
      <w:bookmarkEnd w:id="12"/>
    </w:p>
    <w:p w:rsidR="00AF4643" w:rsidRPr="005C0505" w:rsidRDefault="00852A55" w:rsidP="00AB072B">
      <w:pPr>
        <w:pStyle w:val="ItemHead"/>
      </w:pPr>
      <w:r w:rsidRPr="005C0505">
        <w:t>4</w:t>
      </w:r>
      <w:r w:rsidR="00AF4643" w:rsidRPr="005C0505">
        <w:t xml:space="preserve">  </w:t>
      </w:r>
      <w:proofErr w:type="spellStart"/>
      <w:r w:rsidR="00AF4643" w:rsidRPr="005C0505">
        <w:t>Subregulation</w:t>
      </w:r>
      <w:proofErr w:type="spellEnd"/>
      <w:r w:rsidR="005C0505" w:rsidRPr="005C0505">
        <w:t> </w:t>
      </w:r>
      <w:r w:rsidR="00AF4643" w:rsidRPr="005C0505">
        <w:t>70A(3)</w:t>
      </w:r>
    </w:p>
    <w:p w:rsidR="00AF4643" w:rsidRPr="005C0505" w:rsidRDefault="00AF4643" w:rsidP="00AF4643">
      <w:pPr>
        <w:pStyle w:val="Item"/>
      </w:pPr>
      <w:r w:rsidRPr="005C0505">
        <w:t xml:space="preserve">Omit all the words after “in relation to an application,”, substitute “is the fee (if any) mentioned for the item in column </w:t>
      </w:r>
      <w:r w:rsidR="00D47DCA" w:rsidRPr="005C0505">
        <w:t>3</w:t>
      </w:r>
      <w:r w:rsidRPr="005C0505">
        <w:t xml:space="preserve"> of Schedule</w:t>
      </w:r>
      <w:r w:rsidR="005C0505" w:rsidRPr="005C0505">
        <w:t> </w:t>
      </w:r>
      <w:r w:rsidRPr="005C0505">
        <w:t>7”.</w:t>
      </w:r>
    </w:p>
    <w:p w:rsidR="00AF4643" w:rsidRPr="005C0505" w:rsidRDefault="00852A55" w:rsidP="00AF4643">
      <w:pPr>
        <w:pStyle w:val="ItemHead"/>
      </w:pPr>
      <w:r w:rsidRPr="005C0505">
        <w:t>5</w:t>
      </w:r>
      <w:r w:rsidR="00AF4643" w:rsidRPr="005C0505">
        <w:t xml:space="preserve">  </w:t>
      </w:r>
      <w:proofErr w:type="spellStart"/>
      <w:r w:rsidR="00AF4643" w:rsidRPr="005C0505">
        <w:t>Subregulation</w:t>
      </w:r>
      <w:proofErr w:type="spellEnd"/>
      <w:r w:rsidR="005C0505" w:rsidRPr="005C0505">
        <w:t> </w:t>
      </w:r>
      <w:r w:rsidR="00AF4643" w:rsidRPr="005C0505">
        <w:t>77(1)</w:t>
      </w:r>
    </w:p>
    <w:p w:rsidR="00AF4643" w:rsidRPr="005C0505" w:rsidRDefault="00AF4643" w:rsidP="00AF4643">
      <w:pPr>
        <w:pStyle w:val="Item"/>
      </w:pPr>
      <w:r w:rsidRPr="005C0505">
        <w:t>Omit “Column 3”, substitute “Column 2”.</w:t>
      </w:r>
    </w:p>
    <w:p w:rsidR="0082284C" w:rsidRPr="005C0505" w:rsidRDefault="00852A55" w:rsidP="0082284C">
      <w:pPr>
        <w:pStyle w:val="ItemHead"/>
      </w:pPr>
      <w:r w:rsidRPr="005C0505">
        <w:t>6</w:t>
      </w:r>
      <w:r w:rsidR="00BD5A79" w:rsidRPr="005C0505">
        <w:t xml:space="preserve">  </w:t>
      </w:r>
      <w:r w:rsidR="003158BD" w:rsidRPr="005C0505">
        <w:t>Schedule</w:t>
      </w:r>
      <w:r w:rsidR="005C0505" w:rsidRPr="005C0505">
        <w:t> </w:t>
      </w:r>
      <w:r w:rsidR="003158BD" w:rsidRPr="005C0505">
        <w:t>4 (after table item</w:t>
      </w:r>
      <w:r w:rsidR="005C0505" w:rsidRPr="005C0505">
        <w:t> </w:t>
      </w:r>
      <w:r w:rsidR="003158BD" w:rsidRPr="005C0505">
        <w:t>1)</w:t>
      </w:r>
    </w:p>
    <w:p w:rsidR="003158BD" w:rsidRPr="005C0505" w:rsidRDefault="003158BD" w:rsidP="003158BD">
      <w:pPr>
        <w:pStyle w:val="Item"/>
      </w:pPr>
      <w:r w:rsidRPr="005C0505">
        <w:t>Insert:</w:t>
      </w:r>
    </w:p>
    <w:tbl>
      <w:tblPr>
        <w:tblW w:w="72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"/>
        <w:gridCol w:w="6726"/>
      </w:tblGrid>
      <w:tr w:rsidR="003158BD" w:rsidRPr="005C0505" w:rsidTr="003158BD">
        <w:tc>
          <w:tcPr>
            <w:tcW w:w="504" w:type="dxa"/>
            <w:shd w:val="clear" w:color="auto" w:fill="auto"/>
          </w:tcPr>
          <w:p w:rsidR="003158BD" w:rsidRPr="005C0505" w:rsidRDefault="003158BD" w:rsidP="003677DA">
            <w:pPr>
              <w:pStyle w:val="Tabletext"/>
            </w:pPr>
            <w:r w:rsidRPr="005C0505">
              <w:t>2</w:t>
            </w:r>
          </w:p>
        </w:tc>
        <w:tc>
          <w:tcPr>
            <w:tcW w:w="6726" w:type="dxa"/>
            <w:shd w:val="clear" w:color="auto" w:fill="auto"/>
          </w:tcPr>
          <w:p w:rsidR="003158BD" w:rsidRPr="005C0505" w:rsidRDefault="003158BD" w:rsidP="003158BD">
            <w:pPr>
              <w:pStyle w:val="Tabletext"/>
            </w:pPr>
            <w:r w:rsidRPr="005C0505">
              <w:t>A chemical product containing 4</w:t>
            </w:r>
            <w:r w:rsidR="005C0505">
              <w:noBreakHyphen/>
            </w:r>
            <w:r w:rsidRPr="005C0505">
              <w:t>aminopropiophenone (also known as PAPP)</w:t>
            </w:r>
          </w:p>
        </w:tc>
      </w:tr>
    </w:tbl>
    <w:p w:rsidR="00AB072B" w:rsidRPr="005C0505" w:rsidRDefault="00852A55" w:rsidP="00AB072B">
      <w:pPr>
        <w:pStyle w:val="ItemHead"/>
      </w:pPr>
      <w:r w:rsidRPr="005C0505">
        <w:t>7</w:t>
      </w:r>
      <w:r w:rsidR="00BB6E79" w:rsidRPr="005C0505">
        <w:t xml:space="preserve"> </w:t>
      </w:r>
      <w:r w:rsidR="00AB072B" w:rsidRPr="005C0505">
        <w:t xml:space="preserve"> Schedule</w:t>
      </w:r>
      <w:r w:rsidR="005C0505" w:rsidRPr="005C0505">
        <w:t> </w:t>
      </w:r>
      <w:r w:rsidR="00AB072B" w:rsidRPr="005C0505">
        <w:t>7</w:t>
      </w:r>
      <w:r w:rsidR="00487450" w:rsidRPr="005C0505">
        <w:t xml:space="preserve"> (table)</w:t>
      </w:r>
    </w:p>
    <w:p w:rsidR="00487450" w:rsidRPr="005C0505" w:rsidRDefault="00AB072B" w:rsidP="00487450">
      <w:pPr>
        <w:pStyle w:val="Item"/>
      </w:pPr>
      <w:r w:rsidRPr="005C0505">
        <w:t xml:space="preserve">Repeal the </w:t>
      </w:r>
      <w:r w:rsidR="00487450" w:rsidRPr="005C0505">
        <w:t>table, substitute:</w:t>
      </w:r>
    </w:p>
    <w:p w:rsidR="00487450" w:rsidRPr="005C0505" w:rsidRDefault="00487450" w:rsidP="0048745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1559"/>
        <w:gridCol w:w="1137"/>
      </w:tblGrid>
      <w:tr w:rsidR="00487450" w:rsidRPr="005C0505" w:rsidTr="00487450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7450" w:rsidRPr="005C0505" w:rsidRDefault="00487450" w:rsidP="00487450">
            <w:pPr>
              <w:pStyle w:val="TableHeading"/>
            </w:pPr>
            <w:r w:rsidRPr="005C0505">
              <w:t>Table of fees and periods for completion of modules, levels and types of assessments</w:t>
            </w:r>
          </w:p>
        </w:tc>
      </w:tr>
      <w:tr w:rsidR="00487450" w:rsidRPr="005C0505" w:rsidTr="00BD5A79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7450" w:rsidRPr="005C0505" w:rsidRDefault="00487450" w:rsidP="00487450">
            <w:pPr>
              <w:pStyle w:val="TableHeading"/>
            </w:pPr>
            <w:r w:rsidRPr="005C0505">
              <w:t>Item</w:t>
            </w:r>
          </w:p>
        </w:tc>
        <w:tc>
          <w:tcPr>
            <w:tcW w:w="36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7450" w:rsidRPr="005C0505" w:rsidRDefault="00487450" w:rsidP="00487450">
            <w:pPr>
              <w:pStyle w:val="TableHeading"/>
            </w:pPr>
            <w:r w:rsidRPr="005C0505">
              <w:t>Column 1</w:t>
            </w:r>
            <w:r w:rsidRPr="005C0505">
              <w:br/>
              <w:t>Module, level or type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7450" w:rsidRPr="005C0505" w:rsidRDefault="00487450" w:rsidP="00487450">
            <w:pPr>
              <w:pStyle w:val="TableHeading"/>
            </w:pPr>
            <w:r w:rsidRPr="005C0505">
              <w:t>Column 2</w:t>
            </w:r>
            <w:r w:rsidRPr="005C0505">
              <w:br/>
              <w:t>Period for completion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7450" w:rsidRPr="005C0505" w:rsidRDefault="00487450" w:rsidP="0004782E">
            <w:pPr>
              <w:pStyle w:val="TableHeading"/>
              <w:jc w:val="right"/>
            </w:pPr>
            <w:r w:rsidRPr="005C0505">
              <w:t>Column 3</w:t>
            </w:r>
            <w:r w:rsidR="0004782E" w:rsidRPr="005C0505">
              <w:br/>
            </w:r>
            <w:r w:rsidRPr="005C0505">
              <w:t>Fee ($)</w:t>
            </w:r>
          </w:p>
        </w:tc>
      </w:tr>
      <w:tr w:rsidR="00487450" w:rsidRPr="005C0505" w:rsidTr="00BD5A7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>1</w:t>
            </w:r>
          </w:p>
        </w:tc>
        <w:tc>
          <w:tcPr>
            <w:tcW w:w="3676" w:type="dxa"/>
            <w:tcBorders>
              <w:top w:val="single" w:sz="12" w:space="0" w:color="auto"/>
            </w:tcBorders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>Preliminary assessment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487450" w:rsidRPr="005C0505" w:rsidRDefault="00487450" w:rsidP="00487450"/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710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>2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>Chemistry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2.1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Chemistry—level 1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13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9</w:t>
            </w:r>
            <w:r w:rsidR="005C0505" w:rsidRPr="005C0505">
              <w:t> </w:t>
            </w:r>
            <w:r w:rsidRPr="005C0505">
              <w:t>220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2.2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Chemistry—level 2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9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3</w:t>
            </w:r>
            <w:r w:rsidR="005C0505" w:rsidRPr="005C0505">
              <w:t> </w:t>
            </w:r>
            <w:r w:rsidRPr="005C0505">
              <w:t>075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2.3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Chemistry—level 3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6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1</w:t>
            </w:r>
            <w:r w:rsidR="005C0505" w:rsidRPr="005C0505">
              <w:t> </w:t>
            </w:r>
            <w:r w:rsidRPr="005C0505">
              <w:t>580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2.4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Chemistry—</w:t>
            </w:r>
            <w:proofErr w:type="spellStart"/>
            <w:r w:rsidRPr="005C0505">
              <w:t>timeshift</w:t>
            </w:r>
            <w:proofErr w:type="spellEnd"/>
            <w:r w:rsidRPr="005C0505">
              <w:t xml:space="preserve"> application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As set out in the project plan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9</w:t>
            </w:r>
            <w:r w:rsidR="005C0505" w:rsidRPr="005C0505">
              <w:t> </w:t>
            </w:r>
            <w:r w:rsidRPr="005C0505">
              <w:t>220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>3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 xml:space="preserve">Toxicology </w:t>
            </w:r>
            <w:r w:rsidRPr="005C0505">
              <w:rPr>
                <w:b w:val="0"/>
              </w:rPr>
              <w:t>(not requiring poison schedule classification)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/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3.1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Toxicology—level 1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13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27</w:t>
            </w:r>
            <w:r w:rsidR="005C0505" w:rsidRPr="005C0505">
              <w:t> </w:t>
            </w:r>
            <w:r w:rsidRPr="005C0505">
              <w:t>920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3.2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Toxicology—level 2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9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15</w:t>
            </w:r>
            <w:r w:rsidR="005C0505" w:rsidRPr="005C0505">
              <w:t> </w:t>
            </w:r>
            <w:r w:rsidRPr="005C0505">
              <w:t>795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3.3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Toxicology—level 3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5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4</w:t>
            </w:r>
            <w:r w:rsidR="005C0505" w:rsidRPr="005C0505">
              <w:t> </w:t>
            </w:r>
            <w:r w:rsidRPr="005C0505">
              <w:t>050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3.4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Toxicology—</w:t>
            </w:r>
            <w:proofErr w:type="spellStart"/>
            <w:r w:rsidRPr="005C0505">
              <w:t>timeshift</w:t>
            </w:r>
            <w:proofErr w:type="spellEnd"/>
            <w:r w:rsidRPr="005C0505">
              <w:t xml:space="preserve"> application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As set out in the project plan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27</w:t>
            </w:r>
            <w:r w:rsidR="005C0505" w:rsidRPr="005C0505">
              <w:t> </w:t>
            </w:r>
            <w:r w:rsidRPr="005C0505">
              <w:t>920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>4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 xml:space="preserve">Toxicology </w:t>
            </w:r>
            <w:r w:rsidRPr="005C0505">
              <w:rPr>
                <w:b w:val="0"/>
              </w:rPr>
              <w:t>(requiring poison schedule classification</w:t>
            </w:r>
            <w:r w:rsidRPr="005C0505">
              <w:rPr>
                <w:b w:val="0"/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/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4.1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Toxicology requiring poison schedule classification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13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2</w:t>
            </w:r>
            <w:r w:rsidR="005C0505" w:rsidRPr="005C0505">
              <w:t> </w:t>
            </w:r>
            <w:r w:rsidRPr="005C0505">
              <w:t>435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4.2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Toxicology requiring poison schedule classification—</w:t>
            </w:r>
            <w:proofErr w:type="spellStart"/>
            <w:r w:rsidRPr="005C0505">
              <w:t>timeshift</w:t>
            </w:r>
            <w:proofErr w:type="spellEnd"/>
            <w:r w:rsidRPr="005C0505">
              <w:t xml:space="preserve"> application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As set out in the project plan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2</w:t>
            </w:r>
            <w:r w:rsidR="005C0505" w:rsidRPr="005C0505">
              <w:t> </w:t>
            </w:r>
            <w:r w:rsidRPr="005C0505">
              <w:t>435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>5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D46E5">
            <w:pPr>
              <w:pStyle w:val="TableHeading"/>
            </w:pPr>
            <w:r w:rsidRPr="005C0505">
              <w:t>Residues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keepNext/>
              <w:keepLines/>
            </w:pP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5.1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Residues—level 1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13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18</w:t>
            </w:r>
            <w:r w:rsidR="005C0505" w:rsidRPr="005C0505">
              <w:t> </w:t>
            </w:r>
            <w:r w:rsidRPr="005C0505">
              <w:t>170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5.2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Residues—level 2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8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10</w:t>
            </w:r>
            <w:r w:rsidR="005C0505" w:rsidRPr="005C0505">
              <w:t> </w:t>
            </w:r>
            <w:r w:rsidRPr="005C0505">
              <w:t>525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5.3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Residues—level 3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8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8</w:t>
            </w:r>
            <w:r w:rsidR="005C0505" w:rsidRPr="005C0505">
              <w:t> </w:t>
            </w:r>
            <w:r w:rsidRPr="005C0505">
              <w:t>200</w:t>
            </w:r>
          </w:p>
        </w:tc>
      </w:tr>
      <w:tr w:rsidR="00487450" w:rsidRPr="005C0505" w:rsidTr="00BD5A7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5.4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Residues—level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4 months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7</w:t>
            </w:r>
            <w:r w:rsidR="005C0505" w:rsidRPr="005C0505">
              <w:t> </w:t>
            </w:r>
            <w:r w:rsidRPr="005C0505">
              <w:t>465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5.5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Residues—level 5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4 months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487450">
            <w:pPr>
              <w:pStyle w:val="Tabletext"/>
              <w:jc w:val="right"/>
            </w:pPr>
            <w:r w:rsidRPr="005C0505">
              <w:t>2</w:t>
            </w:r>
            <w:r w:rsidR="005C0505" w:rsidRPr="005C0505">
              <w:t> </w:t>
            </w:r>
            <w:r w:rsidRPr="005C0505">
              <w:t>000</w:t>
            </w:r>
          </w:p>
        </w:tc>
      </w:tr>
      <w:tr w:rsidR="00487450" w:rsidRPr="005C0505" w:rsidTr="00BD5A79">
        <w:tc>
          <w:tcPr>
            <w:tcW w:w="714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5.6</w:t>
            </w:r>
          </w:p>
        </w:tc>
        <w:tc>
          <w:tcPr>
            <w:tcW w:w="3676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Residues—</w:t>
            </w:r>
            <w:proofErr w:type="spellStart"/>
            <w:r w:rsidRPr="005C0505">
              <w:t>timeshift</w:t>
            </w:r>
            <w:proofErr w:type="spellEnd"/>
            <w:r w:rsidRPr="005C0505">
              <w:t xml:space="preserve"> application</w:t>
            </w:r>
          </w:p>
        </w:tc>
        <w:tc>
          <w:tcPr>
            <w:tcW w:w="1559" w:type="dxa"/>
            <w:shd w:val="clear" w:color="auto" w:fill="auto"/>
          </w:tcPr>
          <w:p w:rsidR="00487450" w:rsidRPr="005C0505" w:rsidRDefault="00487450" w:rsidP="00487450">
            <w:pPr>
              <w:pStyle w:val="Tabletext"/>
            </w:pPr>
            <w:r w:rsidRPr="005C0505">
              <w:t>As set out in the project plan</w:t>
            </w:r>
          </w:p>
        </w:tc>
        <w:tc>
          <w:tcPr>
            <w:tcW w:w="1137" w:type="dxa"/>
            <w:shd w:val="clear" w:color="auto" w:fill="auto"/>
          </w:tcPr>
          <w:p w:rsidR="00487450" w:rsidRPr="005C0505" w:rsidRDefault="00487450" w:rsidP="00707ABF">
            <w:pPr>
              <w:pStyle w:val="Tabletext"/>
              <w:jc w:val="right"/>
            </w:pPr>
            <w:r w:rsidRPr="005C0505">
              <w:t>18</w:t>
            </w:r>
            <w:r w:rsidR="005C0505" w:rsidRPr="005C0505">
              <w:t> </w:t>
            </w:r>
            <w:r w:rsidR="00707ABF" w:rsidRPr="005C0505">
              <w:t>17</w:t>
            </w:r>
            <w:r w:rsidRPr="005C0505">
              <w:t>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6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Work health and safety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keepNext/>
            </w:pP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487450">
            <w:pPr>
              <w:pStyle w:val="Tabletext"/>
            </w:pP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6.1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Work health and safety—level 1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13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4</w:t>
            </w:r>
            <w:r w:rsidR="005C0505" w:rsidRPr="005C0505">
              <w:t> </w:t>
            </w:r>
            <w:r w:rsidRPr="005C0505">
              <w:t>410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6.2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Work health and safety—level 2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7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3</w:t>
            </w:r>
            <w:r w:rsidR="005C0505" w:rsidRPr="005C0505">
              <w:t> </w:t>
            </w:r>
            <w:r w:rsidRPr="005C0505">
              <w:t>185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6.3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Work health and safety—level 3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4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2</w:t>
            </w:r>
            <w:r w:rsidR="005C0505" w:rsidRPr="005C0505">
              <w:t> </w:t>
            </w:r>
            <w:r w:rsidRPr="005C0505">
              <w:t>910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6.4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Work health and safety—</w:t>
            </w:r>
            <w:proofErr w:type="spellStart"/>
            <w:r w:rsidRPr="005C0505">
              <w:t>timeshift</w:t>
            </w:r>
            <w:proofErr w:type="spellEnd"/>
            <w:r w:rsidRPr="005C0505">
              <w:t xml:space="preserve"> application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As set out in the project plan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4</w:t>
            </w:r>
            <w:r w:rsidR="005C0505" w:rsidRPr="005C0505">
              <w:t> </w:t>
            </w:r>
            <w:r w:rsidRPr="005C0505">
              <w:t>410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7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Environment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/>
        </w:tc>
        <w:tc>
          <w:tcPr>
            <w:tcW w:w="1137" w:type="dxa"/>
            <w:shd w:val="clear" w:color="auto" w:fill="auto"/>
          </w:tcPr>
          <w:p w:rsidR="00AF4643" w:rsidRPr="005C0505" w:rsidRDefault="00AF4643" w:rsidP="00487450">
            <w:pPr>
              <w:pStyle w:val="Tabletext"/>
            </w:pP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7.1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Environment—level 1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13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26</w:t>
            </w:r>
            <w:r w:rsidR="005C0505" w:rsidRPr="005C0505">
              <w:t> </w:t>
            </w:r>
            <w:r w:rsidRPr="005C0505">
              <w:t>390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7.2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Environment—level 2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7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7</w:t>
            </w:r>
            <w:r w:rsidR="005C0505" w:rsidRPr="005C0505">
              <w:t> </w:t>
            </w:r>
            <w:r w:rsidRPr="005C0505">
              <w:t>315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7.3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Environment—level 3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4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1</w:t>
            </w:r>
            <w:r w:rsidR="005C0505" w:rsidRPr="005C0505">
              <w:t> </w:t>
            </w:r>
            <w:r w:rsidRPr="005C0505">
              <w:t>720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7.4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Environment—</w:t>
            </w:r>
            <w:proofErr w:type="spellStart"/>
            <w:r w:rsidRPr="005C0505">
              <w:t>timeshift</w:t>
            </w:r>
            <w:proofErr w:type="spellEnd"/>
            <w:r w:rsidRPr="005C0505">
              <w:t xml:space="preserve"> application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As set out in the project plan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26</w:t>
            </w:r>
            <w:r w:rsidR="005C0505" w:rsidRPr="005C0505">
              <w:t> </w:t>
            </w:r>
            <w:r w:rsidRPr="005C0505">
              <w:t>390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8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Efficacy and safety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keepNext/>
              <w:keepLines/>
            </w:pP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487450">
            <w:pPr>
              <w:pStyle w:val="Tabletext"/>
            </w:pP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8.1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Efficacy and safety—level 1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6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2</w:t>
            </w:r>
            <w:r w:rsidR="005C0505" w:rsidRPr="005C0505">
              <w:t> </w:t>
            </w:r>
            <w:r w:rsidRPr="005C0505">
              <w:t>370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8.2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Efficacy and safety—level 2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4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975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8.3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Efficacy and safety—level 3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3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580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8.4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Efficacy and safety—</w:t>
            </w:r>
            <w:proofErr w:type="spellStart"/>
            <w:r w:rsidRPr="005C0505">
              <w:t>timeshift</w:t>
            </w:r>
            <w:proofErr w:type="spellEnd"/>
            <w:r w:rsidRPr="005C0505">
              <w:t xml:space="preserve"> application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As set out in the project plan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2</w:t>
            </w:r>
            <w:r w:rsidR="005C0505" w:rsidRPr="005C0505">
              <w:t> </w:t>
            </w:r>
            <w:r w:rsidRPr="005C0505">
              <w:t>370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9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Non</w:t>
            </w:r>
            <w:r w:rsidR="005C0505">
              <w:noBreakHyphen/>
            </w:r>
            <w:r w:rsidRPr="005C0505">
              <w:t>food trade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6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1</w:t>
            </w:r>
            <w:r w:rsidR="005C0505" w:rsidRPr="005C0505">
              <w:t> </w:t>
            </w:r>
            <w:r w:rsidRPr="005C0505">
              <w:t>175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10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Special data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/>
        </w:tc>
        <w:tc>
          <w:tcPr>
            <w:tcW w:w="1137" w:type="dxa"/>
            <w:shd w:val="clear" w:color="auto" w:fill="auto"/>
          </w:tcPr>
          <w:p w:rsidR="00AF4643" w:rsidRPr="005C0505" w:rsidRDefault="00AF4643" w:rsidP="00487450">
            <w:pPr>
              <w:pStyle w:val="Tabletext"/>
            </w:pP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10.1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Special data—level 1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13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nil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10.2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Special data—level 2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7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nil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10.3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rPr>
                <w:iCs/>
              </w:rPr>
              <w:t>Special data</w:t>
            </w:r>
            <w:r w:rsidRPr="005C0505">
              <w:t>—level 3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7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nil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10.4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rPr>
                <w:iCs/>
              </w:rPr>
              <w:t>Special data—</w:t>
            </w:r>
            <w:proofErr w:type="spellStart"/>
            <w:r w:rsidRPr="005C0505">
              <w:rPr>
                <w:iCs/>
              </w:rPr>
              <w:t>timeshift</w:t>
            </w:r>
            <w:proofErr w:type="spellEnd"/>
            <w:r w:rsidRPr="005C0505">
              <w:rPr>
                <w:iCs/>
              </w:rPr>
              <w:t xml:space="preserve"> application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As set out in the project plan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nil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11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rPr>
                <w:iCs/>
              </w:rPr>
              <w:t>Finalisation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/>
        </w:tc>
        <w:tc>
          <w:tcPr>
            <w:tcW w:w="1137" w:type="dxa"/>
            <w:shd w:val="clear" w:color="auto" w:fill="auto"/>
          </w:tcPr>
          <w:p w:rsidR="00AF4643" w:rsidRPr="005C0505" w:rsidRDefault="00AF4643" w:rsidP="00487450">
            <w:pPr>
              <w:pStyle w:val="Tabletext"/>
            </w:pP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11.1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Finalisation—type 1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3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4</w:t>
            </w:r>
            <w:r w:rsidR="005C0505" w:rsidRPr="005C0505">
              <w:t> </w:t>
            </w:r>
            <w:r w:rsidRPr="005C0505">
              <w:t>055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11.2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Finalisation—type 2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2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1</w:t>
            </w:r>
            <w:r w:rsidR="005C0505" w:rsidRPr="005C0505">
              <w:t> </w:t>
            </w:r>
            <w:r w:rsidRPr="005C0505">
              <w:t>545</w:t>
            </w:r>
          </w:p>
        </w:tc>
      </w:tr>
      <w:tr w:rsidR="00AF4643" w:rsidRPr="005C0505" w:rsidTr="00BD5A79">
        <w:tc>
          <w:tcPr>
            <w:tcW w:w="714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11.3</w:t>
            </w:r>
          </w:p>
        </w:tc>
        <w:tc>
          <w:tcPr>
            <w:tcW w:w="3676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Finalisation—type 3</w:t>
            </w:r>
          </w:p>
        </w:tc>
        <w:tc>
          <w:tcPr>
            <w:tcW w:w="1559" w:type="dxa"/>
            <w:shd w:val="clear" w:color="auto" w:fill="auto"/>
          </w:tcPr>
          <w:p w:rsidR="00AF4643" w:rsidRPr="005C0505" w:rsidRDefault="00AF4643" w:rsidP="003677DA">
            <w:pPr>
              <w:pStyle w:val="Tabletext"/>
            </w:pPr>
            <w:r w:rsidRPr="005C0505">
              <w:t>2 months</w:t>
            </w:r>
          </w:p>
        </w:tc>
        <w:tc>
          <w:tcPr>
            <w:tcW w:w="1137" w:type="dxa"/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865</w:t>
            </w:r>
          </w:p>
        </w:tc>
      </w:tr>
      <w:tr w:rsidR="00AF4643" w:rsidRPr="005C0505" w:rsidTr="00BD5A7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AF4643" w:rsidRPr="005C0505" w:rsidRDefault="00AF4643" w:rsidP="004D46E5">
            <w:pPr>
              <w:pStyle w:val="TableHeading"/>
            </w:pPr>
            <w:r w:rsidRPr="005C0505">
              <w:t>12</w:t>
            </w:r>
          </w:p>
        </w:tc>
        <w:tc>
          <w:tcPr>
            <w:tcW w:w="3676" w:type="dxa"/>
            <w:tcBorders>
              <w:bottom w:val="single" w:sz="12" w:space="0" w:color="auto"/>
            </w:tcBorders>
            <w:shd w:val="clear" w:color="auto" w:fill="auto"/>
          </w:tcPr>
          <w:p w:rsidR="00AF4643" w:rsidRPr="005C0505" w:rsidRDefault="00AF4643" w:rsidP="004D46E5">
            <w:pPr>
              <w:pStyle w:val="TableHeading"/>
              <w:rPr>
                <w:iCs/>
              </w:rPr>
            </w:pPr>
            <w:r w:rsidRPr="005C0505">
              <w:rPr>
                <w:iCs/>
              </w:rPr>
              <w:t>Limits on use of information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AF4643" w:rsidRPr="005C0505" w:rsidRDefault="00AF4643" w:rsidP="003677DA"/>
        </w:tc>
        <w:tc>
          <w:tcPr>
            <w:tcW w:w="1137" w:type="dxa"/>
            <w:tcBorders>
              <w:bottom w:val="single" w:sz="12" w:space="0" w:color="auto"/>
            </w:tcBorders>
            <w:shd w:val="clear" w:color="auto" w:fill="auto"/>
          </w:tcPr>
          <w:p w:rsidR="00AF4643" w:rsidRPr="005C0505" w:rsidRDefault="00AF4643" w:rsidP="003677DA">
            <w:pPr>
              <w:pStyle w:val="Tabletext"/>
              <w:jc w:val="right"/>
            </w:pPr>
            <w:r w:rsidRPr="005C0505">
              <w:t>460</w:t>
            </w:r>
          </w:p>
        </w:tc>
      </w:tr>
    </w:tbl>
    <w:p w:rsidR="00487450" w:rsidRPr="005C0505" w:rsidRDefault="00487450" w:rsidP="00487450">
      <w:pPr>
        <w:pStyle w:val="Tabletext"/>
      </w:pPr>
    </w:p>
    <w:p w:rsidR="0041784E" w:rsidRPr="005C0505" w:rsidRDefault="0041784E" w:rsidP="007B6A85">
      <w:pPr>
        <w:pStyle w:val="ActHead6"/>
        <w:pageBreakBefore/>
      </w:pPr>
      <w:bookmarkStart w:id="13" w:name="_Toc435617006"/>
      <w:r w:rsidRPr="005C0505">
        <w:rPr>
          <w:rStyle w:val="CharAmSchNo"/>
        </w:rPr>
        <w:t>Schedule</w:t>
      </w:r>
      <w:r w:rsidR="005C0505" w:rsidRPr="005C0505">
        <w:rPr>
          <w:rStyle w:val="CharAmSchNo"/>
        </w:rPr>
        <w:t> </w:t>
      </w:r>
      <w:r w:rsidRPr="005C0505">
        <w:rPr>
          <w:rStyle w:val="CharAmSchNo"/>
        </w:rPr>
        <w:t>2</w:t>
      </w:r>
      <w:r w:rsidRPr="005C0505">
        <w:t>—</w:t>
      </w:r>
      <w:r w:rsidRPr="005C0505">
        <w:rPr>
          <w:rStyle w:val="CharAmSchText"/>
        </w:rPr>
        <w:t>Amendments commencing 1</w:t>
      </w:r>
      <w:r w:rsidR="005C0505" w:rsidRPr="005C0505">
        <w:rPr>
          <w:rStyle w:val="CharAmSchText"/>
        </w:rPr>
        <w:t> </w:t>
      </w:r>
      <w:r w:rsidRPr="005C0505">
        <w:rPr>
          <w:rStyle w:val="CharAmSchText"/>
        </w:rPr>
        <w:t>March 2016</w:t>
      </w:r>
      <w:bookmarkEnd w:id="13"/>
    </w:p>
    <w:p w:rsidR="00EC0B80" w:rsidRPr="005C0505" w:rsidRDefault="00EC0B80" w:rsidP="00EC0B80">
      <w:pPr>
        <w:pStyle w:val="ActHead7"/>
      </w:pPr>
      <w:bookmarkStart w:id="14" w:name="_Toc435617007"/>
      <w:r w:rsidRPr="005C0505">
        <w:rPr>
          <w:rStyle w:val="CharAmPartNo"/>
        </w:rPr>
        <w:t>Part</w:t>
      </w:r>
      <w:r w:rsidR="005C0505" w:rsidRPr="005C0505">
        <w:rPr>
          <w:rStyle w:val="CharAmPartNo"/>
        </w:rPr>
        <w:t> </w:t>
      </w:r>
      <w:r w:rsidRPr="005C0505">
        <w:rPr>
          <w:rStyle w:val="CharAmPartNo"/>
        </w:rPr>
        <w:t>1</w:t>
      </w:r>
      <w:r w:rsidRPr="005C0505">
        <w:t>—</w:t>
      </w:r>
      <w:r w:rsidRPr="005C0505">
        <w:rPr>
          <w:rStyle w:val="CharAmPartText"/>
        </w:rPr>
        <w:t>Amendments relating to chemical product registration renewals</w:t>
      </w:r>
      <w:bookmarkEnd w:id="14"/>
    </w:p>
    <w:p w:rsidR="00EC0B80" w:rsidRPr="005C0505" w:rsidRDefault="00EC0B80" w:rsidP="00EC0B80">
      <w:pPr>
        <w:pStyle w:val="ActHead9"/>
      </w:pPr>
      <w:bookmarkStart w:id="15" w:name="_Toc435617008"/>
      <w:r w:rsidRPr="005C0505">
        <w:t>Agricultural and Veterinary Chemicals Code Regulations</w:t>
      </w:r>
      <w:r w:rsidR="005C0505" w:rsidRPr="005C0505">
        <w:t> </w:t>
      </w:r>
      <w:r w:rsidRPr="005C0505">
        <w:t>1995</w:t>
      </w:r>
      <w:bookmarkEnd w:id="15"/>
    </w:p>
    <w:p w:rsidR="00EC0B80" w:rsidRPr="005C0505" w:rsidRDefault="008925B9" w:rsidP="00EC0B80">
      <w:pPr>
        <w:pStyle w:val="ItemHead"/>
      </w:pPr>
      <w:r w:rsidRPr="005C0505">
        <w:t>1</w:t>
      </w:r>
      <w:r w:rsidR="00EC0B80" w:rsidRPr="005C0505">
        <w:t xml:space="preserve">  </w:t>
      </w:r>
      <w:r w:rsidRPr="005C0505">
        <w:t>Before regulation</w:t>
      </w:r>
      <w:r w:rsidR="005C0505" w:rsidRPr="005C0505">
        <w:t> </w:t>
      </w:r>
      <w:r w:rsidRPr="005C0505">
        <w:t>8AG</w:t>
      </w:r>
    </w:p>
    <w:p w:rsidR="00EC0B80" w:rsidRPr="005C0505" w:rsidRDefault="00EC0B80" w:rsidP="00EC0B80">
      <w:pPr>
        <w:pStyle w:val="Item"/>
      </w:pPr>
      <w:r w:rsidRPr="005C0505">
        <w:t>Insert:</w:t>
      </w:r>
    </w:p>
    <w:p w:rsidR="00EC0B80" w:rsidRPr="005C0505" w:rsidRDefault="008925B9" w:rsidP="00EC0B80">
      <w:pPr>
        <w:pStyle w:val="ActHead5"/>
      </w:pPr>
      <w:bookmarkStart w:id="16" w:name="_Toc435617009"/>
      <w:r w:rsidRPr="005C0505">
        <w:rPr>
          <w:rStyle w:val="CharSectno"/>
        </w:rPr>
        <w:t>8AFA</w:t>
      </w:r>
      <w:r w:rsidR="00EC0B80" w:rsidRPr="005C0505">
        <w:t xml:space="preserve">  Application requirements—chemical product registration renewal applications</w:t>
      </w:r>
      <w:bookmarkEnd w:id="16"/>
    </w:p>
    <w:p w:rsidR="00EC0B80" w:rsidRPr="005C0505" w:rsidRDefault="00EC0B80" w:rsidP="00EC0B80">
      <w:pPr>
        <w:pStyle w:val="subsection"/>
      </w:pPr>
      <w:r w:rsidRPr="005C0505">
        <w:tab/>
      </w:r>
      <w:r w:rsidRPr="005C0505">
        <w:tab/>
        <w:t>For subparagraph</w:t>
      </w:r>
      <w:r w:rsidR="005C0505" w:rsidRPr="005C0505">
        <w:t> </w:t>
      </w:r>
      <w:r w:rsidRPr="005C0505">
        <w:t>8A(a)(v) of the Code, an application for the renewal of the registration of a chemical product must nominate whether the application is for a 5 year or 12 month renewal period.</w:t>
      </w:r>
    </w:p>
    <w:p w:rsidR="00EC0B80" w:rsidRPr="005C0505" w:rsidRDefault="008925B9" w:rsidP="00EC0B80">
      <w:pPr>
        <w:pStyle w:val="ItemHead"/>
      </w:pPr>
      <w:r w:rsidRPr="005C0505">
        <w:t>2</w:t>
      </w:r>
      <w:r w:rsidR="00EC0B80" w:rsidRPr="005C0505">
        <w:t xml:space="preserve">  </w:t>
      </w:r>
      <w:r w:rsidR="00731FD1" w:rsidRPr="005C0505">
        <w:t>Paragraph 23(1)(b)</w:t>
      </w:r>
    </w:p>
    <w:p w:rsidR="00731FD1" w:rsidRPr="005C0505" w:rsidRDefault="00731FD1" w:rsidP="00731FD1">
      <w:pPr>
        <w:pStyle w:val="Item"/>
      </w:pPr>
      <w:r w:rsidRPr="005C0505">
        <w:t>Repeal the paragraph, substitute:</w:t>
      </w:r>
    </w:p>
    <w:p w:rsidR="00731FD1" w:rsidRPr="005C0505" w:rsidRDefault="00731FD1" w:rsidP="00731FD1">
      <w:pPr>
        <w:pStyle w:val="paragraph"/>
      </w:pPr>
      <w:r w:rsidRPr="005C0505">
        <w:tab/>
        <w:t>(b)</w:t>
      </w:r>
      <w:r w:rsidRPr="005C0505">
        <w:tab/>
        <w:t>if:</w:t>
      </w:r>
    </w:p>
    <w:p w:rsidR="00731FD1" w:rsidRPr="005C0505" w:rsidRDefault="0064014A" w:rsidP="00731FD1">
      <w:pPr>
        <w:pStyle w:val="paragraphsub"/>
      </w:pPr>
      <w:r w:rsidRPr="005C0505">
        <w:tab/>
        <w:t>(</w:t>
      </w:r>
      <w:proofErr w:type="spellStart"/>
      <w:r w:rsidRPr="005C0505">
        <w:t>i</w:t>
      </w:r>
      <w:proofErr w:type="spellEnd"/>
      <w:r w:rsidRPr="005C0505">
        <w:t>)</w:t>
      </w:r>
      <w:r w:rsidRPr="005C0505">
        <w:tab/>
      </w:r>
      <w:r w:rsidR="00731FD1" w:rsidRPr="005C0505">
        <w:t>after the end of the period for making an application referred to in subsection</w:t>
      </w:r>
      <w:r w:rsidR="005C0505" w:rsidRPr="005C0505">
        <w:t> </w:t>
      </w:r>
      <w:r w:rsidR="00731FD1" w:rsidRPr="005C0505">
        <w:t xml:space="preserve">48(2) of the Code and before the registration </w:t>
      </w:r>
      <w:r w:rsidR="009917CC" w:rsidRPr="005C0505">
        <w:t xml:space="preserve">of the product </w:t>
      </w:r>
      <w:r w:rsidR="00731FD1" w:rsidRPr="005C0505">
        <w:t xml:space="preserve">ends, the applicant requests in writing that the </w:t>
      </w:r>
      <w:proofErr w:type="spellStart"/>
      <w:r w:rsidR="00731FD1" w:rsidRPr="005C0505">
        <w:t>APVMA</w:t>
      </w:r>
      <w:proofErr w:type="spellEnd"/>
      <w:r w:rsidR="00731FD1" w:rsidRPr="005C0505">
        <w:t xml:space="preserve"> accept a late application; and</w:t>
      </w:r>
    </w:p>
    <w:p w:rsidR="00731FD1" w:rsidRPr="005C0505" w:rsidRDefault="00731FD1" w:rsidP="00731FD1">
      <w:pPr>
        <w:pStyle w:val="paragraphsub"/>
      </w:pPr>
      <w:r w:rsidRPr="005C0505">
        <w:tab/>
        <w:t>(ii)</w:t>
      </w:r>
      <w:r w:rsidRPr="005C0505">
        <w:tab/>
        <w:t xml:space="preserve">the </w:t>
      </w:r>
      <w:proofErr w:type="spellStart"/>
      <w:r w:rsidRPr="005C0505">
        <w:t>APVMA</w:t>
      </w:r>
      <w:proofErr w:type="spellEnd"/>
      <w:r w:rsidRPr="005C0505">
        <w:t xml:space="preserve"> agrees to that request.</w:t>
      </w:r>
    </w:p>
    <w:p w:rsidR="00EC0B80" w:rsidRPr="005C0505" w:rsidRDefault="008925B9" w:rsidP="00EC0B80">
      <w:pPr>
        <w:pStyle w:val="ItemHead"/>
      </w:pPr>
      <w:r w:rsidRPr="005C0505">
        <w:t>3</w:t>
      </w:r>
      <w:r w:rsidR="00EC0B80" w:rsidRPr="005C0505">
        <w:t xml:space="preserve">  At the end of Part</w:t>
      </w:r>
      <w:r w:rsidR="005C0505" w:rsidRPr="005C0505">
        <w:t> </w:t>
      </w:r>
      <w:r w:rsidR="00EC0B80" w:rsidRPr="005C0505">
        <w:t>2</w:t>
      </w:r>
    </w:p>
    <w:p w:rsidR="00EC0B80" w:rsidRPr="005C0505" w:rsidRDefault="00EC0B80" w:rsidP="00EC0B80">
      <w:pPr>
        <w:pStyle w:val="Item"/>
      </w:pPr>
      <w:r w:rsidRPr="005C0505">
        <w:t>Add:</w:t>
      </w:r>
    </w:p>
    <w:p w:rsidR="00EC0B80" w:rsidRPr="005C0505" w:rsidRDefault="00EC0B80" w:rsidP="00EC0B80">
      <w:pPr>
        <w:pStyle w:val="ActHead3"/>
      </w:pPr>
      <w:bookmarkStart w:id="17" w:name="_Toc435617010"/>
      <w:r w:rsidRPr="005C0505">
        <w:rPr>
          <w:rStyle w:val="CharDivNo"/>
        </w:rPr>
        <w:t>Division</w:t>
      </w:r>
      <w:r w:rsidR="005C0505" w:rsidRPr="005C0505">
        <w:rPr>
          <w:rStyle w:val="CharDivNo"/>
        </w:rPr>
        <w:t> </w:t>
      </w:r>
      <w:r w:rsidRPr="005C0505">
        <w:rPr>
          <w:rStyle w:val="CharDivNo"/>
        </w:rPr>
        <w:t>2.7</w:t>
      </w:r>
      <w:r w:rsidRPr="005C0505">
        <w:t>—</w:t>
      </w:r>
      <w:r w:rsidRPr="005C0505">
        <w:rPr>
          <w:rStyle w:val="CharDivText"/>
        </w:rPr>
        <w:t>Renewal of registration</w:t>
      </w:r>
      <w:bookmarkEnd w:id="17"/>
    </w:p>
    <w:p w:rsidR="00EC0B80" w:rsidRPr="005C0505" w:rsidRDefault="00EC0B80" w:rsidP="00EC0B80">
      <w:pPr>
        <w:pStyle w:val="ActHead5"/>
      </w:pPr>
      <w:bookmarkStart w:id="18" w:name="_Toc435617011"/>
      <w:r w:rsidRPr="005C0505">
        <w:rPr>
          <w:rStyle w:val="CharSectno"/>
        </w:rPr>
        <w:t>23A</w:t>
      </w:r>
      <w:r w:rsidRPr="005C0505">
        <w:t xml:space="preserve">  When renewed registration ends</w:t>
      </w:r>
      <w:bookmarkEnd w:id="18"/>
    </w:p>
    <w:p w:rsidR="00EC0B80" w:rsidRPr="005C0505" w:rsidRDefault="00EC0B80" w:rsidP="00EC0B80">
      <w:pPr>
        <w:pStyle w:val="subsection"/>
      </w:pPr>
      <w:r w:rsidRPr="005C0505">
        <w:tab/>
      </w:r>
      <w:r w:rsidRPr="005C0505">
        <w:tab/>
        <w:t>For paragraph</w:t>
      </w:r>
      <w:r w:rsidR="005C0505" w:rsidRPr="005C0505">
        <w:t> </w:t>
      </w:r>
      <w:r w:rsidRPr="005C0505">
        <w:t>50(2)(b) of the Code, the method for working out the date the registration of a chemical product (as renewed) ends is:</w:t>
      </w:r>
    </w:p>
    <w:p w:rsidR="00EC0B80" w:rsidRPr="005C0505" w:rsidRDefault="00EC0B80" w:rsidP="00EC0B80">
      <w:pPr>
        <w:pStyle w:val="paragraph"/>
      </w:pPr>
      <w:r w:rsidRPr="005C0505">
        <w:tab/>
        <w:t>(a)</w:t>
      </w:r>
      <w:r w:rsidRPr="005C0505">
        <w:tab/>
        <w:t>if the holder applies for the registration of the product to be renewed, or further renewed, as the case may be, for a period of 5 years—add 5 years to the date on which the registration would otherwise end; or</w:t>
      </w:r>
    </w:p>
    <w:p w:rsidR="00EC0B80" w:rsidRPr="005C0505" w:rsidRDefault="00EC0B80" w:rsidP="00EC0B80">
      <w:pPr>
        <w:pStyle w:val="paragraph"/>
      </w:pPr>
      <w:r w:rsidRPr="005C0505">
        <w:tab/>
        <w:t>(b)</w:t>
      </w:r>
      <w:r w:rsidRPr="005C0505">
        <w:tab/>
        <w:t>if the holder applies for the registration of the product to be renewed, or further renewed, as the case may be, for a period of 12 months—add 12 months to the date on which the registration would otherwise end.</w:t>
      </w:r>
    </w:p>
    <w:p w:rsidR="00EC0B80" w:rsidRPr="005C0505" w:rsidRDefault="008925B9" w:rsidP="00EC0B80">
      <w:pPr>
        <w:pStyle w:val="ItemHead"/>
      </w:pPr>
      <w:r w:rsidRPr="005C0505">
        <w:t>4</w:t>
      </w:r>
      <w:r w:rsidR="00EC0B80" w:rsidRPr="005C0505">
        <w:t xml:space="preserve">  Regulation</w:t>
      </w:r>
      <w:r w:rsidR="005C0505" w:rsidRPr="005C0505">
        <w:t> </w:t>
      </w:r>
      <w:r w:rsidR="00EC0B80" w:rsidRPr="005C0505">
        <w:t>71A (heading)</w:t>
      </w:r>
    </w:p>
    <w:p w:rsidR="00EC0B80" w:rsidRPr="005C0505" w:rsidRDefault="00EC0B80" w:rsidP="00EC0B80">
      <w:pPr>
        <w:pStyle w:val="Item"/>
      </w:pPr>
      <w:r w:rsidRPr="005C0505">
        <w:t>Repeal the heading, substitute:</w:t>
      </w:r>
    </w:p>
    <w:p w:rsidR="00EC0B80" w:rsidRPr="005C0505" w:rsidRDefault="00EC0B80" w:rsidP="00EC0B80">
      <w:pPr>
        <w:pStyle w:val="ActHead5"/>
      </w:pPr>
      <w:bookmarkStart w:id="19" w:name="_Toc435617012"/>
      <w:r w:rsidRPr="005C0505">
        <w:rPr>
          <w:rStyle w:val="CharSectno"/>
        </w:rPr>
        <w:t>71A</w:t>
      </w:r>
      <w:r w:rsidRPr="005C0505">
        <w:t xml:space="preserve">  Fees for continued registration of chemical product</w:t>
      </w:r>
      <w:bookmarkEnd w:id="19"/>
    </w:p>
    <w:p w:rsidR="00EC0B80" w:rsidRPr="005C0505" w:rsidRDefault="008925B9" w:rsidP="00EC0B80">
      <w:pPr>
        <w:pStyle w:val="ItemHead"/>
      </w:pPr>
      <w:r w:rsidRPr="005C0505">
        <w:t>5</w:t>
      </w:r>
      <w:r w:rsidR="00EC0B80" w:rsidRPr="005C0505">
        <w:t xml:space="preserve">  </w:t>
      </w:r>
      <w:proofErr w:type="spellStart"/>
      <w:r w:rsidR="00EC0B80" w:rsidRPr="005C0505">
        <w:t>Subregulation</w:t>
      </w:r>
      <w:proofErr w:type="spellEnd"/>
      <w:r w:rsidR="005C0505" w:rsidRPr="005C0505">
        <w:t> </w:t>
      </w:r>
      <w:r w:rsidR="00EC0B80" w:rsidRPr="005C0505">
        <w:t>71A(1)</w:t>
      </w:r>
    </w:p>
    <w:p w:rsidR="00EC0B80" w:rsidRPr="005C0505" w:rsidRDefault="00EC0B80" w:rsidP="00EC0B80">
      <w:pPr>
        <w:pStyle w:val="Item"/>
      </w:pPr>
      <w:r w:rsidRPr="005C0505">
        <w:t xml:space="preserve">Repeal the </w:t>
      </w:r>
      <w:proofErr w:type="spellStart"/>
      <w:r w:rsidRPr="005C0505">
        <w:t>subregulation</w:t>
      </w:r>
      <w:proofErr w:type="spellEnd"/>
      <w:r w:rsidRPr="005C0505">
        <w:t>, substitute:</w:t>
      </w:r>
    </w:p>
    <w:p w:rsidR="00EC0B80" w:rsidRPr="005C0505" w:rsidRDefault="00EC0B80" w:rsidP="00EC0B80">
      <w:pPr>
        <w:pStyle w:val="subsection"/>
      </w:pPr>
      <w:r w:rsidRPr="005C0505">
        <w:tab/>
        <w:t>(1)</w:t>
      </w:r>
      <w:r w:rsidRPr="005C0505">
        <w:tab/>
        <w:t>For section</w:t>
      </w:r>
      <w:r w:rsidR="005C0505" w:rsidRPr="005C0505">
        <w:t> </w:t>
      </w:r>
      <w:r w:rsidRPr="005C0505">
        <w:t>164 of the Code, the fee payable for an application for the renewal of the registration of a chemical product is:</w:t>
      </w:r>
    </w:p>
    <w:p w:rsidR="00EC0B80" w:rsidRPr="005C0505" w:rsidRDefault="00EC0B80" w:rsidP="00EC0B80">
      <w:pPr>
        <w:pStyle w:val="paragraph"/>
      </w:pPr>
      <w:r w:rsidRPr="005C0505">
        <w:tab/>
        <w:t>(a)</w:t>
      </w:r>
      <w:r w:rsidRPr="005C0505">
        <w:tab/>
        <w:t>if the application is for the renewal, or further renewal, of the product for a period of 5 years—$2</w:t>
      </w:r>
      <w:r w:rsidR="005C0505" w:rsidRPr="005C0505">
        <w:t> </w:t>
      </w:r>
      <w:r w:rsidRPr="005C0505">
        <w:t>150; or</w:t>
      </w:r>
    </w:p>
    <w:p w:rsidR="00EC0B80" w:rsidRPr="005C0505" w:rsidRDefault="00EC0B80" w:rsidP="00EC0B80">
      <w:pPr>
        <w:pStyle w:val="paragraph"/>
      </w:pPr>
      <w:r w:rsidRPr="005C0505">
        <w:tab/>
        <w:t>(b)</w:t>
      </w:r>
      <w:r w:rsidRPr="005C0505">
        <w:tab/>
        <w:t>if the application is for the renewal, or further renewal, of the product for a period for 12 months—$430.</w:t>
      </w:r>
    </w:p>
    <w:p w:rsidR="00EC0B80" w:rsidRPr="005C0505" w:rsidRDefault="008925B9" w:rsidP="00EC0B80">
      <w:pPr>
        <w:pStyle w:val="ItemHead"/>
      </w:pPr>
      <w:r w:rsidRPr="005C0505">
        <w:t>6</w:t>
      </w:r>
      <w:r w:rsidR="00EC0B80" w:rsidRPr="005C0505">
        <w:t xml:space="preserve">  </w:t>
      </w:r>
      <w:proofErr w:type="spellStart"/>
      <w:r w:rsidR="00EC0B80" w:rsidRPr="005C0505">
        <w:t>Subregulation</w:t>
      </w:r>
      <w:proofErr w:type="spellEnd"/>
      <w:r w:rsidR="005C0505" w:rsidRPr="005C0505">
        <w:t> </w:t>
      </w:r>
      <w:r w:rsidR="00EC0B80" w:rsidRPr="005C0505">
        <w:t>71A(5)</w:t>
      </w:r>
    </w:p>
    <w:p w:rsidR="00EC0B80" w:rsidRPr="005C0505" w:rsidRDefault="00EC0B80" w:rsidP="00EC0B80">
      <w:pPr>
        <w:pStyle w:val="Item"/>
      </w:pPr>
      <w:r w:rsidRPr="005C0505">
        <w:t xml:space="preserve">Repeal the </w:t>
      </w:r>
      <w:proofErr w:type="spellStart"/>
      <w:r w:rsidRPr="005C0505">
        <w:t>subregulation</w:t>
      </w:r>
      <w:proofErr w:type="spellEnd"/>
      <w:r w:rsidRPr="005C0505">
        <w:t>, substitute:</w:t>
      </w:r>
    </w:p>
    <w:p w:rsidR="009A68E6" w:rsidRPr="005C0505" w:rsidRDefault="00EC0B80" w:rsidP="00EC0B80">
      <w:pPr>
        <w:pStyle w:val="subsection"/>
      </w:pPr>
      <w:r w:rsidRPr="005C0505">
        <w:tab/>
        <w:t>(5)</w:t>
      </w:r>
      <w:r w:rsidRPr="005C0505">
        <w:tab/>
        <w:t xml:space="preserve">The overseas </w:t>
      </w:r>
      <w:proofErr w:type="spellStart"/>
      <w:r w:rsidRPr="005C0505">
        <w:t>GMP</w:t>
      </w:r>
      <w:proofErr w:type="spellEnd"/>
      <w:r w:rsidRPr="005C0505">
        <w:t xml:space="preserve"> compliance assessment fee </w:t>
      </w:r>
      <w:r w:rsidR="00E74CD3" w:rsidRPr="005C0505">
        <w:t xml:space="preserve">for a financial year </w:t>
      </w:r>
      <w:r w:rsidRPr="005C0505">
        <w:t>is payable</w:t>
      </w:r>
      <w:r w:rsidR="00E74CD3" w:rsidRPr="005C0505">
        <w:t xml:space="preserve"> on or before </w:t>
      </w:r>
      <w:r w:rsidR="009A68E6" w:rsidRPr="005C0505">
        <w:t>the last day for payment of the fee shown on an invoice issued</w:t>
      </w:r>
      <w:r w:rsidR="00E74CD3" w:rsidRPr="005C0505">
        <w:t xml:space="preserve"> for the fee</w:t>
      </w:r>
      <w:r w:rsidR="009A68E6" w:rsidRPr="005C0505">
        <w:t xml:space="preserve"> by the </w:t>
      </w:r>
      <w:proofErr w:type="spellStart"/>
      <w:r w:rsidR="009A68E6" w:rsidRPr="005C0505">
        <w:t>APVMA</w:t>
      </w:r>
      <w:proofErr w:type="spellEnd"/>
      <w:r w:rsidR="00E74CD3" w:rsidRPr="005C0505">
        <w:t xml:space="preserve"> for the financial year</w:t>
      </w:r>
      <w:r w:rsidR="009A68E6" w:rsidRPr="005C0505">
        <w:t>.</w:t>
      </w:r>
    </w:p>
    <w:p w:rsidR="00EC0B80" w:rsidRPr="005C0505" w:rsidRDefault="00EC0B80" w:rsidP="00EC0B80">
      <w:pPr>
        <w:pStyle w:val="subsection"/>
      </w:pPr>
      <w:r w:rsidRPr="005C0505">
        <w:tab/>
        <w:t>(</w:t>
      </w:r>
      <w:r w:rsidR="00441686" w:rsidRPr="005C0505">
        <w:t>6</w:t>
      </w:r>
      <w:r w:rsidRPr="005C0505">
        <w:t>)</w:t>
      </w:r>
      <w:r w:rsidRPr="005C0505">
        <w:tab/>
        <w:t>A fee payable under this regulation is not refundable if the registration of the chemical product is subsequently suspended or cancelled.</w:t>
      </w:r>
    </w:p>
    <w:p w:rsidR="00EC0B80" w:rsidRPr="005C0505" w:rsidRDefault="008925B9" w:rsidP="00EC0B80">
      <w:pPr>
        <w:pStyle w:val="ItemHead"/>
      </w:pPr>
      <w:r w:rsidRPr="005C0505">
        <w:t>7</w:t>
      </w:r>
      <w:r w:rsidR="00EC0B80" w:rsidRPr="005C0505">
        <w:t xml:space="preserve">  At the end of Part</w:t>
      </w:r>
      <w:r w:rsidR="005C0505" w:rsidRPr="005C0505">
        <w:t> </w:t>
      </w:r>
      <w:r w:rsidR="00EC0B80" w:rsidRPr="005C0505">
        <w:t>10</w:t>
      </w:r>
    </w:p>
    <w:p w:rsidR="00EC0B80" w:rsidRPr="005C0505" w:rsidRDefault="00EC0B80" w:rsidP="00EC0B80">
      <w:pPr>
        <w:pStyle w:val="Item"/>
      </w:pPr>
      <w:r w:rsidRPr="005C0505">
        <w:t>Add:</w:t>
      </w:r>
    </w:p>
    <w:p w:rsidR="00EC0B80" w:rsidRPr="005C0505" w:rsidRDefault="00EC0B80" w:rsidP="00EC0B80">
      <w:pPr>
        <w:pStyle w:val="ActHead3"/>
      </w:pPr>
      <w:bookmarkStart w:id="20" w:name="_Toc435617013"/>
      <w:r w:rsidRPr="005C0505">
        <w:rPr>
          <w:rStyle w:val="CharDivNo"/>
        </w:rPr>
        <w:t>Division</w:t>
      </w:r>
      <w:r w:rsidR="005C0505" w:rsidRPr="005C0505">
        <w:rPr>
          <w:rStyle w:val="CharDivNo"/>
        </w:rPr>
        <w:t> </w:t>
      </w:r>
      <w:r w:rsidRPr="005C0505">
        <w:rPr>
          <w:rStyle w:val="CharDivNo"/>
        </w:rPr>
        <w:t>10.5</w:t>
      </w:r>
      <w:r w:rsidRPr="005C0505">
        <w:t>—</w:t>
      </w:r>
      <w:r w:rsidRPr="005C0505">
        <w:rPr>
          <w:rStyle w:val="CharDivText"/>
        </w:rPr>
        <w:t>Amendments made by the Agricultural and Veterinary Chemicals Legislation Amendment (Simplified Formulation Variations and Other Measures) Regulation</w:t>
      </w:r>
      <w:r w:rsidR="005C0505" w:rsidRPr="005C0505">
        <w:rPr>
          <w:rStyle w:val="CharDivText"/>
        </w:rPr>
        <w:t> </w:t>
      </w:r>
      <w:r w:rsidRPr="005C0505">
        <w:rPr>
          <w:rStyle w:val="CharDivText"/>
        </w:rPr>
        <w:t>2015</w:t>
      </w:r>
      <w:bookmarkEnd w:id="20"/>
    </w:p>
    <w:p w:rsidR="00EC0B80" w:rsidRPr="005C0505" w:rsidRDefault="00EC0B80" w:rsidP="00EC0B80">
      <w:pPr>
        <w:pStyle w:val="ActHead5"/>
      </w:pPr>
      <w:bookmarkStart w:id="21" w:name="_Toc435617014"/>
      <w:r w:rsidRPr="005C0505">
        <w:rPr>
          <w:rStyle w:val="CharSectno"/>
        </w:rPr>
        <w:t>90</w:t>
      </w:r>
      <w:r w:rsidRPr="005C0505">
        <w:t xml:space="preserve">  Operation of amendments to applications for the renewal of the registration of a chemical product</w:t>
      </w:r>
      <w:bookmarkEnd w:id="21"/>
    </w:p>
    <w:p w:rsidR="00EC0B80" w:rsidRPr="005C0505" w:rsidRDefault="00EC0B80" w:rsidP="00EC0B80">
      <w:pPr>
        <w:pStyle w:val="subsection"/>
      </w:pPr>
      <w:r w:rsidRPr="005C0505">
        <w:tab/>
      </w:r>
      <w:r w:rsidRPr="005C0505">
        <w:tab/>
        <w:t>The amendments of these Regulations made by items</w:t>
      </w:r>
      <w:r w:rsidR="005C0505" w:rsidRPr="005C0505">
        <w:t> </w:t>
      </w:r>
      <w:r w:rsidR="00352B88" w:rsidRPr="005C0505">
        <w:t>1</w:t>
      </w:r>
      <w:r w:rsidRPr="005C0505">
        <w:t xml:space="preserve"> to </w:t>
      </w:r>
      <w:r w:rsidR="00352B88" w:rsidRPr="005C0505">
        <w:t>6</w:t>
      </w:r>
      <w:r w:rsidRPr="005C0505">
        <w:t xml:space="preserve"> of Part</w:t>
      </w:r>
      <w:r w:rsidR="005C0505" w:rsidRPr="005C0505">
        <w:t> </w:t>
      </w:r>
      <w:r w:rsidR="00C92360" w:rsidRPr="005C0505">
        <w:t>1</w:t>
      </w:r>
      <w:r w:rsidRPr="005C0505">
        <w:t xml:space="preserve"> of Schedule</w:t>
      </w:r>
      <w:r w:rsidR="005C0505" w:rsidRPr="005C0505">
        <w:t> </w:t>
      </w:r>
      <w:r w:rsidR="00C92360" w:rsidRPr="005C0505">
        <w:t>2</w:t>
      </w:r>
      <w:r w:rsidRPr="005C0505">
        <w:t xml:space="preserve"> to the </w:t>
      </w:r>
      <w:r w:rsidRPr="005C0505">
        <w:rPr>
          <w:i/>
        </w:rPr>
        <w:t>Agricultural and Veterinary Chemicals Legislation Amendment (Simplified Formulation Variations and Other Measures) Regulation</w:t>
      </w:r>
      <w:r w:rsidR="005C0505" w:rsidRPr="005C0505">
        <w:rPr>
          <w:i/>
        </w:rPr>
        <w:t> </w:t>
      </w:r>
      <w:r w:rsidRPr="005C0505">
        <w:rPr>
          <w:i/>
        </w:rPr>
        <w:t>2015</w:t>
      </w:r>
      <w:r w:rsidRPr="005C0505">
        <w:t xml:space="preserve"> apply to an application for the renewal, or further renewal, of the registration of a chemical product</w:t>
      </w:r>
      <w:r w:rsidR="00875CEE" w:rsidRPr="005C0505">
        <w:t xml:space="preserve">, if the registration of the product </w:t>
      </w:r>
      <w:r w:rsidRPr="005C0505">
        <w:t>is to end on or after 30</w:t>
      </w:r>
      <w:r w:rsidR="005C0505" w:rsidRPr="005C0505">
        <w:t> </w:t>
      </w:r>
      <w:r w:rsidRPr="005C0505">
        <w:t>June 2017.</w:t>
      </w:r>
    </w:p>
    <w:p w:rsidR="00EC0B80" w:rsidRPr="005C0505" w:rsidRDefault="00EC0B80" w:rsidP="00EC0B80">
      <w:pPr>
        <w:pStyle w:val="ActHead5"/>
      </w:pPr>
      <w:bookmarkStart w:id="22" w:name="_Toc435617015"/>
      <w:r w:rsidRPr="005C0505">
        <w:rPr>
          <w:rStyle w:val="CharSectno"/>
        </w:rPr>
        <w:t>91</w:t>
      </w:r>
      <w:r w:rsidRPr="005C0505">
        <w:t xml:space="preserve">  Repeal of this Division</w:t>
      </w:r>
      <w:bookmarkEnd w:id="22"/>
    </w:p>
    <w:p w:rsidR="00EC0B80" w:rsidRPr="005C0505" w:rsidRDefault="00EC0B80" w:rsidP="00EC0B80">
      <w:pPr>
        <w:pStyle w:val="subsection"/>
      </w:pPr>
      <w:r w:rsidRPr="005C0505">
        <w:tab/>
      </w:r>
      <w:r w:rsidRPr="005C0505">
        <w:tab/>
        <w:t>This Division is repealed on 1</w:t>
      </w:r>
      <w:r w:rsidR="005C0505" w:rsidRPr="005C0505">
        <w:t> </w:t>
      </w:r>
      <w:r w:rsidRPr="005C0505">
        <w:t>July 2017.</w:t>
      </w:r>
    </w:p>
    <w:p w:rsidR="00EC0B80" w:rsidRPr="005C0505" w:rsidRDefault="00EC0B80" w:rsidP="00EC0B80">
      <w:pPr>
        <w:pStyle w:val="ActHead7"/>
        <w:pageBreakBefore/>
      </w:pPr>
      <w:bookmarkStart w:id="23" w:name="_Toc435617016"/>
      <w:r w:rsidRPr="005C0505">
        <w:rPr>
          <w:rStyle w:val="CharAmPartNo"/>
        </w:rPr>
        <w:t>Part</w:t>
      </w:r>
      <w:r w:rsidR="005C0505" w:rsidRPr="005C0505">
        <w:rPr>
          <w:rStyle w:val="CharAmPartNo"/>
        </w:rPr>
        <w:t> </w:t>
      </w:r>
      <w:r w:rsidRPr="005C0505">
        <w:rPr>
          <w:rStyle w:val="CharAmPartNo"/>
        </w:rPr>
        <w:t>2</w:t>
      </w:r>
      <w:r w:rsidRPr="005C0505">
        <w:t>—</w:t>
      </w:r>
      <w:r w:rsidRPr="005C0505">
        <w:rPr>
          <w:rStyle w:val="CharAmPartText"/>
        </w:rPr>
        <w:t>Other amendments</w:t>
      </w:r>
      <w:bookmarkEnd w:id="23"/>
    </w:p>
    <w:p w:rsidR="0041784E" w:rsidRPr="005C0505" w:rsidRDefault="0041784E" w:rsidP="0041784E">
      <w:pPr>
        <w:pStyle w:val="ActHead9"/>
      </w:pPr>
      <w:bookmarkStart w:id="24" w:name="_Toc435617017"/>
      <w:r w:rsidRPr="005C0505">
        <w:t>Agricultural and Veterinary Chemicals Code Regulations</w:t>
      </w:r>
      <w:r w:rsidR="005C0505" w:rsidRPr="005C0505">
        <w:t> </w:t>
      </w:r>
      <w:r w:rsidRPr="005C0505">
        <w:t>1995</w:t>
      </w:r>
      <w:bookmarkEnd w:id="24"/>
    </w:p>
    <w:p w:rsidR="00DA159C" w:rsidRPr="005C0505" w:rsidRDefault="008925B9" w:rsidP="00DA159C">
      <w:pPr>
        <w:pStyle w:val="ItemHead"/>
      </w:pPr>
      <w:r w:rsidRPr="005C0505">
        <w:t>8</w:t>
      </w:r>
      <w:r w:rsidR="007B08E0" w:rsidRPr="005C0505">
        <w:t xml:space="preserve">  </w:t>
      </w:r>
      <w:r w:rsidR="00DA159C" w:rsidRPr="005C0505">
        <w:t>Regulation</w:t>
      </w:r>
      <w:r w:rsidR="005C0505" w:rsidRPr="005C0505">
        <w:t> </w:t>
      </w:r>
      <w:r w:rsidR="00DA159C" w:rsidRPr="005C0505">
        <w:t>19AF (at the end of the table)</w:t>
      </w:r>
    </w:p>
    <w:p w:rsidR="00DA159C" w:rsidRPr="005C0505" w:rsidRDefault="00DA159C" w:rsidP="00DA159C">
      <w:pPr>
        <w:pStyle w:val="Item"/>
      </w:pPr>
      <w:r w:rsidRPr="005C0505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3119"/>
      </w:tblGrid>
      <w:tr w:rsidR="00DA159C" w:rsidRPr="005C0505" w:rsidTr="00C25226">
        <w:trPr>
          <w:trHeight w:val="1369"/>
        </w:trPr>
        <w:tc>
          <w:tcPr>
            <w:tcW w:w="704" w:type="dxa"/>
            <w:shd w:val="clear" w:color="auto" w:fill="auto"/>
          </w:tcPr>
          <w:p w:rsidR="00DA159C" w:rsidRPr="005C0505" w:rsidRDefault="00DA159C" w:rsidP="003677DA">
            <w:pPr>
              <w:pStyle w:val="Tabletext"/>
            </w:pPr>
            <w:r w:rsidRPr="005C0505">
              <w:t>2</w:t>
            </w:r>
          </w:p>
        </w:tc>
        <w:tc>
          <w:tcPr>
            <w:tcW w:w="3260" w:type="dxa"/>
            <w:shd w:val="clear" w:color="auto" w:fill="auto"/>
          </w:tcPr>
          <w:p w:rsidR="00DA159C" w:rsidRPr="005C0505" w:rsidRDefault="00DA159C" w:rsidP="002E5FC4">
            <w:pPr>
              <w:pStyle w:val="Tabletext"/>
            </w:pPr>
            <w:r w:rsidRPr="005C0505">
              <w:t>A variation of the name of a manufacturer o</w:t>
            </w:r>
            <w:r w:rsidR="009B4258" w:rsidRPr="005C0505">
              <w:t>f a chemical product</w:t>
            </w:r>
            <w:r w:rsidR="002E5FC4" w:rsidRPr="005C0505">
              <w:t>,</w:t>
            </w:r>
            <w:r w:rsidR="009B4258" w:rsidRPr="005C0505">
              <w:t xml:space="preserve"> </w:t>
            </w:r>
            <w:r w:rsidR="002E5FC4" w:rsidRPr="005C0505">
              <w:t>if</w:t>
            </w:r>
            <w:r w:rsidR="00C25226" w:rsidRPr="005C0505">
              <w:t xml:space="preserve"> the manufacturer</w:t>
            </w:r>
            <w:r w:rsidR="00967776" w:rsidRPr="005C0505">
              <w:t xml:space="preserve"> is</w:t>
            </w:r>
            <w:r w:rsidR="00C25226" w:rsidRPr="005C0505">
              <w:t xml:space="preserve"> outside Australia</w:t>
            </w:r>
          </w:p>
        </w:tc>
        <w:tc>
          <w:tcPr>
            <w:tcW w:w="3119" w:type="dxa"/>
            <w:shd w:val="clear" w:color="auto" w:fill="auto"/>
          </w:tcPr>
          <w:p w:rsidR="00DA159C" w:rsidRPr="005C0505" w:rsidRDefault="00DA159C" w:rsidP="003677DA">
            <w:pPr>
              <w:pStyle w:val="Tabletext"/>
            </w:pPr>
            <w:r w:rsidRPr="005C0505">
              <w:t xml:space="preserve">any registration of a chemical product other than a chemical product that is prescribed under </w:t>
            </w:r>
            <w:proofErr w:type="spellStart"/>
            <w:r w:rsidRPr="005C0505">
              <w:t>subregulation</w:t>
            </w:r>
            <w:proofErr w:type="spellEnd"/>
            <w:r w:rsidR="005C0505" w:rsidRPr="005C0505">
              <w:t> </w:t>
            </w:r>
            <w:r w:rsidRPr="005C0505">
              <w:t>59(1)</w:t>
            </w:r>
          </w:p>
        </w:tc>
      </w:tr>
    </w:tbl>
    <w:p w:rsidR="00F8738C" w:rsidRPr="005C0505" w:rsidRDefault="008925B9" w:rsidP="00F8738C">
      <w:pPr>
        <w:pStyle w:val="ItemHead"/>
      </w:pPr>
      <w:r w:rsidRPr="005C0505">
        <w:t>9</w:t>
      </w:r>
      <w:r w:rsidR="00F8738C" w:rsidRPr="005C0505">
        <w:t xml:space="preserve">  </w:t>
      </w:r>
      <w:r w:rsidR="00E02253" w:rsidRPr="005C0505">
        <w:t xml:space="preserve">After </w:t>
      </w:r>
      <w:proofErr w:type="spellStart"/>
      <w:r w:rsidR="00E02253" w:rsidRPr="005C0505">
        <w:t>subregulation</w:t>
      </w:r>
      <w:proofErr w:type="spellEnd"/>
      <w:r w:rsidR="005C0505" w:rsidRPr="005C0505">
        <w:t> </w:t>
      </w:r>
      <w:r w:rsidR="002E5FC4" w:rsidRPr="005C0505">
        <w:t>76(1A</w:t>
      </w:r>
      <w:r w:rsidR="00E02253" w:rsidRPr="005C0505">
        <w:t>)</w:t>
      </w:r>
    </w:p>
    <w:p w:rsidR="00E02253" w:rsidRPr="005C0505" w:rsidRDefault="00E02253" w:rsidP="00E02253">
      <w:pPr>
        <w:pStyle w:val="Item"/>
      </w:pPr>
      <w:r w:rsidRPr="005C0505">
        <w:t>Insert:</w:t>
      </w:r>
    </w:p>
    <w:p w:rsidR="003E653C" w:rsidRPr="005C0505" w:rsidRDefault="00E02253" w:rsidP="003E653C">
      <w:pPr>
        <w:pStyle w:val="subsection"/>
      </w:pPr>
      <w:r w:rsidRPr="005C0505">
        <w:tab/>
        <w:t>(</w:t>
      </w:r>
      <w:r w:rsidR="002E5FC4" w:rsidRPr="005C0505">
        <w:t>1B</w:t>
      </w:r>
      <w:r w:rsidRPr="005C0505">
        <w:t>)</w:t>
      </w:r>
      <w:r w:rsidRPr="005C0505">
        <w:tab/>
      </w:r>
      <w:r w:rsidR="002E5FC4" w:rsidRPr="005C0505">
        <w:t>I</w:t>
      </w:r>
      <w:r w:rsidR="003E653C" w:rsidRPr="005C0505">
        <w:t>f</w:t>
      </w:r>
      <w:r w:rsidR="00473F41" w:rsidRPr="005C0505">
        <w:t>:</w:t>
      </w:r>
    </w:p>
    <w:p w:rsidR="003E653C" w:rsidRPr="005C0505" w:rsidRDefault="003E653C" w:rsidP="003E653C">
      <w:pPr>
        <w:pStyle w:val="paragraph"/>
      </w:pPr>
      <w:r w:rsidRPr="005C0505">
        <w:tab/>
        <w:t>(a)</w:t>
      </w:r>
      <w:r w:rsidRPr="005C0505">
        <w:tab/>
      </w:r>
      <w:r w:rsidR="00473F41" w:rsidRPr="005C0505">
        <w:t>an</w:t>
      </w:r>
      <w:r w:rsidRPr="005C0505">
        <w:t xml:space="preserve"> application is of the kind mentioned in section</w:t>
      </w:r>
      <w:r w:rsidR="005C0505" w:rsidRPr="005C0505">
        <w:t> </w:t>
      </w:r>
      <w:r w:rsidRPr="005C0505">
        <w:t xml:space="preserve">10 or 27 of the Code (the </w:t>
      </w:r>
      <w:r w:rsidRPr="005C0505">
        <w:rPr>
          <w:b/>
          <w:i/>
        </w:rPr>
        <w:t>primary application</w:t>
      </w:r>
      <w:r w:rsidRPr="005C0505">
        <w:t>); and</w:t>
      </w:r>
    </w:p>
    <w:p w:rsidR="00DF42BC" w:rsidRPr="005C0505" w:rsidRDefault="003E653C" w:rsidP="003E653C">
      <w:pPr>
        <w:pStyle w:val="paragraph"/>
      </w:pPr>
      <w:r w:rsidRPr="005C0505">
        <w:tab/>
        <w:t>(b)</w:t>
      </w:r>
      <w:r w:rsidRPr="005C0505">
        <w:tab/>
        <w:t xml:space="preserve">the applicant makes another application </w:t>
      </w:r>
      <w:r w:rsidR="00DF42BC" w:rsidRPr="005C0505">
        <w:t xml:space="preserve">of the same kind as the primary application (the </w:t>
      </w:r>
      <w:r w:rsidR="006A367E" w:rsidRPr="005C0505">
        <w:rPr>
          <w:b/>
          <w:i/>
        </w:rPr>
        <w:t>secondary</w:t>
      </w:r>
      <w:r w:rsidR="00DF42BC" w:rsidRPr="005C0505">
        <w:rPr>
          <w:b/>
          <w:i/>
        </w:rPr>
        <w:t xml:space="preserve"> application</w:t>
      </w:r>
      <w:r w:rsidR="00DF42BC" w:rsidRPr="005C0505">
        <w:t>); and</w:t>
      </w:r>
    </w:p>
    <w:p w:rsidR="00DF42BC" w:rsidRPr="005C0505" w:rsidRDefault="00DF42BC" w:rsidP="003E653C">
      <w:pPr>
        <w:pStyle w:val="paragraph"/>
      </w:pPr>
      <w:r w:rsidRPr="005C0505">
        <w:tab/>
        <w:t>(c)</w:t>
      </w:r>
      <w:r w:rsidRPr="005C0505">
        <w:tab/>
        <w:t xml:space="preserve">the </w:t>
      </w:r>
      <w:r w:rsidR="006A367E" w:rsidRPr="005C0505">
        <w:t>secondary</w:t>
      </w:r>
      <w:r w:rsidRPr="005C0505">
        <w:t xml:space="preserve"> application is made at the same time as the primary application; and</w:t>
      </w:r>
    </w:p>
    <w:p w:rsidR="00DF42BC" w:rsidRPr="005C0505" w:rsidRDefault="00DF42BC" w:rsidP="003E653C">
      <w:pPr>
        <w:pStyle w:val="paragraph"/>
      </w:pPr>
      <w:r w:rsidRPr="005C0505">
        <w:tab/>
        <w:t>(d)</w:t>
      </w:r>
      <w:r w:rsidRPr="005C0505">
        <w:tab/>
        <w:t xml:space="preserve">the applicant nominates the </w:t>
      </w:r>
      <w:r w:rsidR="006A367E" w:rsidRPr="005C0505">
        <w:t>secondary</w:t>
      </w:r>
      <w:r w:rsidRPr="005C0505">
        <w:t xml:space="preserve"> application as an application related to the primary application; and</w:t>
      </w:r>
    </w:p>
    <w:p w:rsidR="00473F41" w:rsidRPr="005C0505" w:rsidRDefault="00DF42BC" w:rsidP="003E653C">
      <w:pPr>
        <w:pStyle w:val="paragraph"/>
      </w:pPr>
      <w:r w:rsidRPr="005C0505">
        <w:tab/>
        <w:t>(e)</w:t>
      </w:r>
      <w:r w:rsidRPr="005C0505">
        <w:tab/>
      </w:r>
      <w:r w:rsidR="00473F41" w:rsidRPr="005C0505">
        <w:t>the chemical products to which the primary and secondary application</w:t>
      </w:r>
      <w:r w:rsidR="00E02253" w:rsidRPr="005C0505">
        <w:t>s</w:t>
      </w:r>
      <w:r w:rsidR="00473F41" w:rsidRPr="005C0505">
        <w:t xml:space="preserve"> relate</w:t>
      </w:r>
      <w:r w:rsidR="00676CBE" w:rsidRPr="005C0505">
        <w:t xml:space="preserve"> </w:t>
      </w:r>
      <w:r w:rsidR="006A367E" w:rsidRPr="005C0505">
        <w:t xml:space="preserve">would </w:t>
      </w:r>
      <w:r w:rsidR="00473F41" w:rsidRPr="005C0505">
        <w:t xml:space="preserve">have, if the applications </w:t>
      </w:r>
      <w:r w:rsidR="006A367E" w:rsidRPr="005C0505">
        <w:t xml:space="preserve">were </w:t>
      </w:r>
      <w:r w:rsidR="00473F41" w:rsidRPr="005C0505">
        <w:t>approved:</w:t>
      </w:r>
    </w:p>
    <w:p w:rsidR="00473F41" w:rsidRPr="005C0505" w:rsidRDefault="00473F41" w:rsidP="00473F41">
      <w:pPr>
        <w:pStyle w:val="paragraphsub"/>
      </w:pPr>
      <w:r w:rsidRPr="005C0505">
        <w:tab/>
        <w:t>(</w:t>
      </w:r>
      <w:proofErr w:type="spellStart"/>
      <w:r w:rsidRPr="005C0505">
        <w:t>i</w:t>
      </w:r>
      <w:proofErr w:type="spellEnd"/>
      <w:r w:rsidRPr="005C0505">
        <w:t>)</w:t>
      </w:r>
      <w:r w:rsidRPr="005C0505">
        <w:tab/>
        <w:t>the same</w:t>
      </w:r>
      <w:r w:rsidR="00141322" w:rsidRPr="005C0505">
        <w:t xml:space="preserve"> identifying information for the</w:t>
      </w:r>
      <w:r w:rsidRPr="005C0505">
        <w:t xml:space="preserve"> holder of the registration of the chemical product</w:t>
      </w:r>
      <w:r w:rsidR="00141322" w:rsidRPr="005C0505">
        <w:t>s</w:t>
      </w:r>
      <w:r w:rsidRPr="005C0505">
        <w:t>; and</w:t>
      </w:r>
    </w:p>
    <w:p w:rsidR="00473F41" w:rsidRPr="005C0505" w:rsidRDefault="00473F41" w:rsidP="00473F41">
      <w:pPr>
        <w:pStyle w:val="paragraphsub"/>
      </w:pPr>
      <w:r w:rsidRPr="005C0505">
        <w:tab/>
        <w:t>(ii)</w:t>
      </w:r>
      <w:r w:rsidRPr="005C0505">
        <w:tab/>
        <w:t xml:space="preserve">the </w:t>
      </w:r>
      <w:r w:rsidR="00E02253" w:rsidRPr="005C0505">
        <w:t>same manufacturer</w:t>
      </w:r>
      <w:r w:rsidRPr="005C0505">
        <w:t>; and</w:t>
      </w:r>
    </w:p>
    <w:p w:rsidR="00473F41" w:rsidRPr="005C0505" w:rsidRDefault="00473F41" w:rsidP="00473F41">
      <w:pPr>
        <w:pStyle w:val="paragraphsub"/>
      </w:pPr>
      <w:r w:rsidRPr="005C0505">
        <w:tab/>
        <w:t>(iii)</w:t>
      </w:r>
      <w:r w:rsidRPr="005C0505">
        <w:tab/>
      </w:r>
      <w:r w:rsidR="00E02253" w:rsidRPr="005C0505">
        <w:t xml:space="preserve">the same </w:t>
      </w:r>
      <w:r w:rsidR="00141322" w:rsidRPr="005C0505">
        <w:t>address at which</w:t>
      </w:r>
      <w:r w:rsidR="00E02253" w:rsidRPr="005C0505">
        <w:t xml:space="preserve"> the chemical products are manufactured; and</w:t>
      </w:r>
    </w:p>
    <w:p w:rsidR="00E02253" w:rsidRPr="005C0505" w:rsidRDefault="00E02253" w:rsidP="00473F41">
      <w:pPr>
        <w:pStyle w:val="paragraphsub"/>
      </w:pPr>
      <w:r w:rsidRPr="005C0505">
        <w:tab/>
        <w:t>(iv)</w:t>
      </w:r>
      <w:r w:rsidRPr="005C0505">
        <w:tab/>
        <w:t xml:space="preserve">the same active constituent on the label </w:t>
      </w:r>
      <w:r w:rsidR="00CC299B" w:rsidRPr="005C0505">
        <w:t>of the</w:t>
      </w:r>
      <w:r w:rsidR="006A367E" w:rsidRPr="005C0505">
        <w:t xml:space="preserve"> chemical</w:t>
      </w:r>
      <w:r w:rsidR="00CC299B" w:rsidRPr="005C0505">
        <w:t xml:space="preserve"> products;</w:t>
      </w:r>
    </w:p>
    <w:p w:rsidR="003A0433" w:rsidRPr="005C0505" w:rsidRDefault="001B703A" w:rsidP="003A0433">
      <w:pPr>
        <w:pStyle w:val="subsection2"/>
      </w:pPr>
      <w:r w:rsidRPr="005C0505">
        <w:t>then,</w:t>
      </w:r>
      <w:r w:rsidR="008D52D1" w:rsidRPr="005C0505">
        <w:t xml:space="preserve"> the period </w:t>
      </w:r>
      <w:r w:rsidR="003A0433" w:rsidRPr="005C0505">
        <w:t xml:space="preserve">mentioned in </w:t>
      </w:r>
      <w:proofErr w:type="spellStart"/>
      <w:r w:rsidR="003A0433" w:rsidRPr="005C0505">
        <w:t>subregulation</w:t>
      </w:r>
      <w:proofErr w:type="spellEnd"/>
      <w:r w:rsidR="005C0505" w:rsidRPr="005C0505">
        <w:t> </w:t>
      </w:r>
      <w:r w:rsidR="003A0433" w:rsidRPr="005C0505">
        <w:t>(1) or (1A) and applicable to the primary application also applies to the secondary application.</w:t>
      </w:r>
    </w:p>
    <w:p w:rsidR="00852A55" w:rsidRPr="005C0505" w:rsidRDefault="008925B9" w:rsidP="00852A55">
      <w:pPr>
        <w:pStyle w:val="ItemHead"/>
      </w:pPr>
      <w:r w:rsidRPr="005C0505">
        <w:t>10</w:t>
      </w:r>
      <w:r w:rsidR="00852A55" w:rsidRPr="005C0505">
        <w:t xml:space="preserve">  Clause</w:t>
      </w:r>
      <w:r w:rsidR="005C0505" w:rsidRPr="005C0505">
        <w:t> </w:t>
      </w:r>
      <w:r w:rsidR="00852A55" w:rsidRPr="005C0505">
        <w:t>3 of Part</w:t>
      </w:r>
      <w:r w:rsidR="005C0505" w:rsidRPr="005C0505">
        <w:t> </w:t>
      </w:r>
      <w:r w:rsidR="00852A55" w:rsidRPr="005C0505">
        <w:t>3 of Schedule</w:t>
      </w:r>
      <w:r w:rsidR="005C0505" w:rsidRPr="005C0505">
        <w:t> </w:t>
      </w:r>
      <w:r w:rsidR="00852A55" w:rsidRPr="005C0505">
        <w:t>3AA (before table item</w:t>
      </w:r>
      <w:r w:rsidR="005C0505" w:rsidRPr="005C0505">
        <w:t> </w:t>
      </w:r>
      <w:r w:rsidR="00852A55" w:rsidRPr="005C0505">
        <w:t>2)</w:t>
      </w:r>
    </w:p>
    <w:p w:rsidR="00852A55" w:rsidRPr="005C0505" w:rsidRDefault="00852A55" w:rsidP="00852A55">
      <w:pPr>
        <w:pStyle w:val="Item"/>
      </w:pPr>
      <w:r w:rsidRPr="005C0505">
        <w:t>Insert:</w:t>
      </w:r>
    </w:p>
    <w:tbl>
      <w:tblPr>
        <w:tblW w:w="70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6472"/>
      </w:tblGrid>
      <w:tr w:rsidR="00852A55" w:rsidRPr="005C0505" w:rsidTr="00941A03">
        <w:tc>
          <w:tcPr>
            <w:tcW w:w="616" w:type="dxa"/>
            <w:shd w:val="clear" w:color="auto" w:fill="auto"/>
          </w:tcPr>
          <w:p w:rsidR="00852A55" w:rsidRPr="005C0505" w:rsidRDefault="00852A55" w:rsidP="00941A03">
            <w:pPr>
              <w:pStyle w:val="Tabletext"/>
            </w:pPr>
            <w:r w:rsidRPr="005C0505">
              <w:t>1</w:t>
            </w:r>
          </w:p>
        </w:tc>
        <w:tc>
          <w:tcPr>
            <w:tcW w:w="6472" w:type="dxa"/>
            <w:shd w:val="clear" w:color="auto" w:fill="auto"/>
          </w:tcPr>
          <w:p w:rsidR="00852A55" w:rsidRPr="005C0505" w:rsidRDefault="00852A55" w:rsidP="00941A03">
            <w:pPr>
              <w:pStyle w:val="Tabletext"/>
            </w:pPr>
            <w:r w:rsidRPr="005C0505">
              <w:t>Animal feed products that incorporate an excluded nutritional or digestive product, if:</w:t>
            </w:r>
          </w:p>
          <w:p w:rsidR="00852A55" w:rsidRPr="005C0505" w:rsidRDefault="00852A55" w:rsidP="00941A03">
            <w:pPr>
              <w:pStyle w:val="Tablea"/>
            </w:pPr>
            <w:r w:rsidRPr="005C0505">
              <w:t>(a) the container for the animal feed product is labelled in accordance with the instructions on the label for the container for the excluded nutritional or digestive product; and</w:t>
            </w:r>
          </w:p>
          <w:p w:rsidR="00852A55" w:rsidRPr="005C0505" w:rsidRDefault="00852A55" w:rsidP="00941A03">
            <w:pPr>
              <w:pStyle w:val="Tablea"/>
            </w:pPr>
            <w:r w:rsidRPr="005C0505">
              <w:t>(b) the excluded nutritional or digestive product is incorporated at a rate of use in accordance with the label for the container for the excluded nutritional or digestive product; and</w:t>
            </w:r>
          </w:p>
          <w:p w:rsidR="00852A55" w:rsidRPr="005C0505" w:rsidRDefault="00852A55" w:rsidP="00941A03">
            <w:pPr>
              <w:pStyle w:val="Tablea"/>
            </w:pPr>
            <w:r w:rsidRPr="005C0505">
              <w:t>(c) the claims made for the animal feed product do not exceed the claims made for the incorporated nutritional or digestive product.</w:t>
            </w:r>
          </w:p>
        </w:tc>
      </w:tr>
    </w:tbl>
    <w:p w:rsidR="00852A55" w:rsidRPr="005C0505" w:rsidRDefault="008925B9" w:rsidP="00852A55">
      <w:pPr>
        <w:pStyle w:val="ItemHead"/>
      </w:pPr>
      <w:r w:rsidRPr="005C0505">
        <w:t>11</w:t>
      </w:r>
      <w:r w:rsidR="00852A55" w:rsidRPr="005C0505">
        <w:t xml:space="preserve">  Subclause</w:t>
      </w:r>
      <w:r w:rsidR="005C0505" w:rsidRPr="005C0505">
        <w:t> </w:t>
      </w:r>
      <w:r w:rsidR="00852A55" w:rsidRPr="005C0505">
        <w:t>5(3) of Part</w:t>
      </w:r>
      <w:r w:rsidR="005C0505" w:rsidRPr="005C0505">
        <w:t> </w:t>
      </w:r>
      <w:r w:rsidR="00852A55" w:rsidRPr="005C0505">
        <w:t>3 of Schedule</w:t>
      </w:r>
      <w:r w:rsidR="005C0505" w:rsidRPr="005C0505">
        <w:t> </w:t>
      </w:r>
      <w:r w:rsidR="00852A55" w:rsidRPr="005C0505">
        <w:t>3AA (at the end of the table)</w:t>
      </w:r>
    </w:p>
    <w:p w:rsidR="00852A55" w:rsidRPr="005C0505" w:rsidRDefault="00852A55" w:rsidP="00852A55">
      <w:pPr>
        <w:pStyle w:val="Item"/>
      </w:pPr>
      <w:r w:rsidRPr="005C0505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852A55" w:rsidRPr="005C0505" w:rsidTr="00941A03">
        <w:tc>
          <w:tcPr>
            <w:tcW w:w="714" w:type="dxa"/>
            <w:shd w:val="clear" w:color="auto" w:fill="auto"/>
          </w:tcPr>
          <w:p w:rsidR="00852A55" w:rsidRPr="005C0505" w:rsidRDefault="00852A55" w:rsidP="00941A03">
            <w:pPr>
              <w:pStyle w:val="Tabletext"/>
            </w:pPr>
            <w:r w:rsidRPr="005C0505">
              <w:t>9</w:t>
            </w:r>
          </w:p>
        </w:tc>
        <w:tc>
          <w:tcPr>
            <w:tcW w:w="6373" w:type="dxa"/>
            <w:shd w:val="clear" w:color="auto" w:fill="auto"/>
          </w:tcPr>
          <w:p w:rsidR="00852A55" w:rsidRPr="005C0505" w:rsidRDefault="00852A55" w:rsidP="00941A03">
            <w:pPr>
              <w:pStyle w:val="Tabletext"/>
            </w:pPr>
            <w:r w:rsidRPr="005C0505">
              <w:t>Part</w:t>
            </w:r>
            <w:r w:rsidR="005C0505" w:rsidRPr="005C0505">
              <w:t> </w:t>
            </w:r>
            <w:r w:rsidRPr="005C0505">
              <w:t xml:space="preserve">1 of Schedules IV and V to the </w:t>
            </w:r>
            <w:r w:rsidRPr="005C0505">
              <w:rPr>
                <w:i/>
              </w:rPr>
              <w:t>Feeds Regulations</w:t>
            </w:r>
            <w:r w:rsidR="005C0505" w:rsidRPr="005C0505">
              <w:rPr>
                <w:i/>
              </w:rPr>
              <w:t> </w:t>
            </w:r>
            <w:r w:rsidRPr="005C0505">
              <w:rPr>
                <w:i/>
              </w:rPr>
              <w:t>1983</w:t>
            </w:r>
            <w:r w:rsidRPr="005C0505">
              <w:t xml:space="preserve"> of Canada, as existing at the time of the supply</w:t>
            </w:r>
          </w:p>
        </w:tc>
      </w:tr>
    </w:tbl>
    <w:p w:rsidR="0016241D" w:rsidRPr="005C0505" w:rsidRDefault="0016241D" w:rsidP="0041784E">
      <w:pPr>
        <w:pStyle w:val="ActHead6"/>
        <w:pageBreakBefore/>
      </w:pPr>
      <w:bookmarkStart w:id="25" w:name="_Toc435617018"/>
      <w:bookmarkStart w:id="26" w:name="opcCurrentFind"/>
      <w:r w:rsidRPr="005C0505">
        <w:rPr>
          <w:rStyle w:val="CharAmSchNo"/>
        </w:rPr>
        <w:t>Schedule</w:t>
      </w:r>
      <w:r w:rsidR="005C0505" w:rsidRPr="005C0505">
        <w:rPr>
          <w:rStyle w:val="CharAmSchNo"/>
        </w:rPr>
        <w:t> </w:t>
      </w:r>
      <w:r w:rsidR="00E221A5" w:rsidRPr="005C0505">
        <w:rPr>
          <w:rStyle w:val="CharAmSchNo"/>
        </w:rPr>
        <w:t>3</w:t>
      </w:r>
      <w:r w:rsidRPr="005C0505">
        <w:t>—</w:t>
      </w:r>
      <w:r w:rsidRPr="005C0505">
        <w:rPr>
          <w:rStyle w:val="CharAmSchText"/>
        </w:rPr>
        <w:t>Amendments commencing 1</w:t>
      </w:r>
      <w:r w:rsidR="005C0505" w:rsidRPr="005C0505">
        <w:rPr>
          <w:rStyle w:val="CharAmSchText"/>
        </w:rPr>
        <w:t> </w:t>
      </w:r>
      <w:r w:rsidRPr="005C0505">
        <w:rPr>
          <w:rStyle w:val="CharAmSchText"/>
        </w:rPr>
        <w:t>J</w:t>
      </w:r>
      <w:r w:rsidR="0082284C" w:rsidRPr="005C0505">
        <w:rPr>
          <w:rStyle w:val="CharAmSchText"/>
        </w:rPr>
        <w:t>uly</w:t>
      </w:r>
      <w:r w:rsidRPr="005C0505">
        <w:rPr>
          <w:rStyle w:val="CharAmSchText"/>
        </w:rPr>
        <w:t xml:space="preserve"> 2016</w:t>
      </w:r>
      <w:bookmarkEnd w:id="25"/>
    </w:p>
    <w:bookmarkEnd w:id="26"/>
    <w:p w:rsidR="00BB6FCF" w:rsidRPr="005C0505" w:rsidRDefault="00BB6FCF" w:rsidP="00BB6FCF">
      <w:pPr>
        <w:pStyle w:val="Header"/>
      </w:pPr>
      <w:r w:rsidRPr="005C0505">
        <w:rPr>
          <w:rStyle w:val="CharAmPartNo"/>
        </w:rPr>
        <w:t xml:space="preserve"> </w:t>
      </w:r>
      <w:r w:rsidRPr="005C0505">
        <w:rPr>
          <w:rStyle w:val="CharAmPartText"/>
        </w:rPr>
        <w:t xml:space="preserve"> </w:t>
      </w:r>
    </w:p>
    <w:p w:rsidR="00A65167" w:rsidRPr="005C0505" w:rsidRDefault="00A65167" w:rsidP="00A65167">
      <w:pPr>
        <w:pStyle w:val="ActHead9"/>
      </w:pPr>
      <w:bookmarkStart w:id="27" w:name="_Toc435617019"/>
      <w:r w:rsidRPr="005C0505">
        <w:t>Agricultural and Veterinary Chemicals Code Regulations</w:t>
      </w:r>
      <w:r w:rsidR="005C0505" w:rsidRPr="005C0505">
        <w:t> </w:t>
      </w:r>
      <w:r w:rsidRPr="005C0505">
        <w:t>1995</w:t>
      </w:r>
      <w:bookmarkEnd w:id="27"/>
    </w:p>
    <w:p w:rsidR="00AB072B" w:rsidRPr="005C0505" w:rsidRDefault="0022566D" w:rsidP="00AB072B">
      <w:pPr>
        <w:pStyle w:val="ItemHead"/>
      </w:pPr>
      <w:r w:rsidRPr="005C0505">
        <w:t>1</w:t>
      </w:r>
      <w:r w:rsidR="0016241D" w:rsidRPr="005C0505">
        <w:t xml:space="preserve"> </w:t>
      </w:r>
      <w:r w:rsidR="008E0A5C" w:rsidRPr="005C0505">
        <w:t xml:space="preserve"> </w:t>
      </w:r>
      <w:proofErr w:type="spellStart"/>
      <w:r w:rsidR="0052521B" w:rsidRPr="005C0505">
        <w:t>Subregulation</w:t>
      </w:r>
      <w:proofErr w:type="spellEnd"/>
      <w:r w:rsidR="005C0505" w:rsidRPr="005C0505">
        <w:t> </w:t>
      </w:r>
      <w:r w:rsidR="0052521B" w:rsidRPr="005C0505">
        <w:t>3(1)</w:t>
      </w:r>
    </w:p>
    <w:p w:rsidR="0052521B" w:rsidRPr="005C0505" w:rsidRDefault="0052521B" w:rsidP="0052521B">
      <w:pPr>
        <w:pStyle w:val="Item"/>
      </w:pPr>
      <w:r w:rsidRPr="005C0505">
        <w:t>Insert:</w:t>
      </w:r>
    </w:p>
    <w:p w:rsidR="00C9049D" w:rsidRPr="005C0505" w:rsidRDefault="00C9049D" w:rsidP="0052521B">
      <w:pPr>
        <w:pStyle w:val="Definition"/>
      </w:pPr>
      <w:r w:rsidRPr="005C0505">
        <w:rPr>
          <w:b/>
          <w:i/>
        </w:rPr>
        <w:t>interchangeable constituent determination</w:t>
      </w:r>
      <w:r w:rsidRPr="005C0505">
        <w:t xml:space="preserve"> means a determination under regulation</w:t>
      </w:r>
      <w:r w:rsidR="005C0505" w:rsidRPr="005C0505">
        <w:t> </w:t>
      </w:r>
      <w:r w:rsidRPr="005C0505">
        <w:t>19AEA.</w:t>
      </w:r>
    </w:p>
    <w:p w:rsidR="00A05275" w:rsidRPr="005C0505" w:rsidRDefault="0022566D" w:rsidP="00A05275">
      <w:pPr>
        <w:pStyle w:val="ItemHead"/>
      </w:pPr>
      <w:r w:rsidRPr="005C0505">
        <w:t>2</w:t>
      </w:r>
      <w:r w:rsidR="00A05275" w:rsidRPr="005C0505">
        <w:t xml:space="preserve">  </w:t>
      </w:r>
      <w:r w:rsidR="008925B9" w:rsidRPr="005C0505">
        <w:t>After regulation</w:t>
      </w:r>
      <w:r w:rsidR="005C0505" w:rsidRPr="005C0505">
        <w:t> </w:t>
      </w:r>
      <w:r w:rsidR="008925B9" w:rsidRPr="005C0505">
        <w:t>8AFA</w:t>
      </w:r>
    </w:p>
    <w:p w:rsidR="00A05275" w:rsidRPr="005C0505" w:rsidRDefault="00A05275" w:rsidP="00A05275">
      <w:pPr>
        <w:pStyle w:val="Item"/>
      </w:pPr>
      <w:r w:rsidRPr="005C0505">
        <w:t>Insert:</w:t>
      </w:r>
    </w:p>
    <w:p w:rsidR="00AF5C71" w:rsidRPr="005C0505" w:rsidRDefault="00A05275" w:rsidP="00AF5C71">
      <w:pPr>
        <w:pStyle w:val="ActHead5"/>
      </w:pPr>
      <w:bookmarkStart w:id="28" w:name="_Toc435617020"/>
      <w:r w:rsidRPr="005C0505">
        <w:rPr>
          <w:rStyle w:val="CharSectno"/>
        </w:rPr>
        <w:t>8</w:t>
      </w:r>
      <w:r w:rsidR="00AF5C71" w:rsidRPr="005C0505">
        <w:rPr>
          <w:rStyle w:val="CharSectno"/>
        </w:rPr>
        <w:t>AF</w:t>
      </w:r>
      <w:r w:rsidR="008925B9" w:rsidRPr="005C0505">
        <w:rPr>
          <w:rStyle w:val="CharSectno"/>
        </w:rPr>
        <w:t>B</w:t>
      </w:r>
      <w:r w:rsidR="00AF5C71" w:rsidRPr="005C0505">
        <w:t xml:space="preserve">  Application requirements—</w:t>
      </w:r>
      <w:r w:rsidR="0038341D" w:rsidRPr="005C0505">
        <w:t>application for prescribed variations</w:t>
      </w:r>
      <w:bookmarkEnd w:id="28"/>
    </w:p>
    <w:p w:rsidR="00AF5C71" w:rsidRPr="005C0505" w:rsidRDefault="00AF5C71" w:rsidP="00AF5C71">
      <w:pPr>
        <w:pStyle w:val="subsection"/>
      </w:pPr>
      <w:r w:rsidRPr="005C0505">
        <w:tab/>
      </w:r>
      <w:r w:rsidRPr="005C0505">
        <w:tab/>
        <w:t>For subparagraph</w:t>
      </w:r>
      <w:r w:rsidR="005C0505" w:rsidRPr="005C0505">
        <w:t> </w:t>
      </w:r>
      <w:r w:rsidRPr="005C0505">
        <w:t xml:space="preserve">8A(a)(v) of the Code, an application </w:t>
      </w:r>
      <w:r w:rsidR="0038341D" w:rsidRPr="005C0505">
        <w:t xml:space="preserve">for a </w:t>
      </w:r>
      <w:r w:rsidR="006E3E29" w:rsidRPr="005C0505">
        <w:t xml:space="preserve">prescribed </w:t>
      </w:r>
      <w:r w:rsidR="0038341D" w:rsidRPr="005C0505">
        <w:t>variation of the kind set out in item</w:t>
      </w:r>
      <w:r w:rsidR="005C0505" w:rsidRPr="005C0505">
        <w:t> </w:t>
      </w:r>
      <w:r w:rsidR="00852A55" w:rsidRPr="005C0505">
        <w:t>3</w:t>
      </w:r>
      <w:r w:rsidR="0038341D" w:rsidRPr="005C0505">
        <w:t xml:space="preserve"> of the table in regulation</w:t>
      </w:r>
      <w:r w:rsidR="005C0505" w:rsidRPr="005C0505">
        <w:t> </w:t>
      </w:r>
      <w:r w:rsidR="0038341D" w:rsidRPr="005C0505">
        <w:t>19AF must include</w:t>
      </w:r>
      <w:r w:rsidR="005F4584" w:rsidRPr="005C0505">
        <w:t xml:space="preserve"> a statement that the applicant holds</w:t>
      </w:r>
      <w:r w:rsidR="0038341D" w:rsidRPr="005C0505">
        <w:t>:</w:t>
      </w:r>
    </w:p>
    <w:p w:rsidR="00B67461" w:rsidRPr="005C0505" w:rsidRDefault="0038341D" w:rsidP="0038341D">
      <w:pPr>
        <w:pStyle w:val="paragraph"/>
      </w:pPr>
      <w:r w:rsidRPr="005C0505">
        <w:tab/>
        <w:t>(a)</w:t>
      </w:r>
      <w:r w:rsidRPr="005C0505">
        <w:tab/>
      </w:r>
      <w:r w:rsidR="005F4584" w:rsidRPr="005C0505">
        <w:t xml:space="preserve">evidence that the physical properties and </w:t>
      </w:r>
      <w:r w:rsidR="00C554DB" w:rsidRPr="005C0505">
        <w:t xml:space="preserve">storage </w:t>
      </w:r>
      <w:r w:rsidR="005F4584" w:rsidRPr="005C0505">
        <w:t>stability</w:t>
      </w:r>
      <w:r w:rsidR="00E221A5" w:rsidRPr="005C0505">
        <w:t xml:space="preserve"> of the </w:t>
      </w:r>
      <w:r w:rsidR="005F4584" w:rsidRPr="005C0505">
        <w:t>product, as varie</w:t>
      </w:r>
      <w:r w:rsidR="00E221A5" w:rsidRPr="005C0505">
        <w:t xml:space="preserve">d and relevant to the product’s formulation type or dosage form, are </w:t>
      </w:r>
      <w:r w:rsidR="0004574D" w:rsidRPr="005C0505">
        <w:t>the</w:t>
      </w:r>
      <w:r w:rsidR="00E221A5" w:rsidRPr="005C0505">
        <w:t xml:space="preserve"> same as the product’s existing physical properties and </w:t>
      </w:r>
      <w:r w:rsidR="00C554DB" w:rsidRPr="005C0505">
        <w:t xml:space="preserve">storage </w:t>
      </w:r>
      <w:r w:rsidR="00E221A5" w:rsidRPr="005C0505">
        <w:t>stability, when measured using the same methodology used for the product before being varied;</w:t>
      </w:r>
      <w:r w:rsidR="00B67461" w:rsidRPr="005C0505">
        <w:t xml:space="preserve"> </w:t>
      </w:r>
      <w:r w:rsidR="00E221A5" w:rsidRPr="005C0505">
        <w:t>and</w:t>
      </w:r>
    </w:p>
    <w:p w:rsidR="00416332" w:rsidRPr="005C0505" w:rsidRDefault="00416332" w:rsidP="0038341D">
      <w:pPr>
        <w:pStyle w:val="paragraph"/>
      </w:pPr>
      <w:r w:rsidRPr="005C0505">
        <w:tab/>
        <w:t>(b)</w:t>
      </w:r>
      <w:r w:rsidRPr="005C0505">
        <w:tab/>
        <w:t>if the application relates to a veterinary chemical product—the following evidence about the product, as varied:</w:t>
      </w:r>
    </w:p>
    <w:p w:rsidR="005F4584" w:rsidRPr="005C0505" w:rsidRDefault="005F4584" w:rsidP="005F4584">
      <w:pPr>
        <w:pStyle w:val="paragraphsub"/>
      </w:pPr>
      <w:r w:rsidRPr="005C0505">
        <w:tab/>
        <w:t>(</w:t>
      </w:r>
      <w:proofErr w:type="spellStart"/>
      <w:r w:rsidRPr="005C0505">
        <w:t>i</w:t>
      </w:r>
      <w:proofErr w:type="spellEnd"/>
      <w:r w:rsidRPr="005C0505">
        <w:t>)</w:t>
      </w:r>
      <w:r w:rsidRPr="005C0505">
        <w:tab/>
        <w:t xml:space="preserve">a dissolution profile (if relevant) of at least 2 pilot scale batches that is comparable to the formulation of the product </w:t>
      </w:r>
      <w:r w:rsidR="006E3E29" w:rsidRPr="005C0505">
        <w:t xml:space="preserve">immediately </w:t>
      </w:r>
      <w:r w:rsidRPr="005C0505">
        <w:t xml:space="preserve">before </w:t>
      </w:r>
      <w:r w:rsidR="00416332" w:rsidRPr="005C0505">
        <w:t>the</w:t>
      </w:r>
      <w:r w:rsidR="006E3E29" w:rsidRPr="005C0505">
        <w:t xml:space="preserve"> application is made</w:t>
      </w:r>
      <w:r w:rsidRPr="005C0505">
        <w:t>;</w:t>
      </w:r>
    </w:p>
    <w:p w:rsidR="00E221A5" w:rsidRPr="005C0505" w:rsidRDefault="005F4584" w:rsidP="00E221A5">
      <w:pPr>
        <w:pStyle w:val="paragraphsub"/>
      </w:pPr>
      <w:r w:rsidRPr="005C0505">
        <w:tab/>
        <w:t>(ii)</w:t>
      </w:r>
      <w:r w:rsidRPr="005C0505">
        <w:tab/>
        <w:t xml:space="preserve">at least 3 consecutive months of data on the </w:t>
      </w:r>
      <w:r w:rsidR="00C554DB" w:rsidRPr="005C0505">
        <w:t xml:space="preserve">storage </w:t>
      </w:r>
      <w:r w:rsidRPr="005C0505">
        <w:t>stability of the pro</w:t>
      </w:r>
      <w:r w:rsidR="00E221A5" w:rsidRPr="005C0505">
        <w:t>duct.</w:t>
      </w:r>
    </w:p>
    <w:p w:rsidR="00525779" w:rsidRPr="005C0505" w:rsidRDefault="0022566D" w:rsidP="00525779">
      <w:pPr>
        <w:pStyle w:val="ItemHead"/>
      </w:pPr>
      <w:r w:rsidRPr="005C0505">
        <w:t>3</w:t>
      </w:r>
      <w:r w:rsidR="00525779" w:rsidRPr="005C0505">
        <w:t xml:space="preserve">  </w:t>
      </w:r>
      <w:proofErr w:type="spellStart"/>
      <w:r w:rsidR="00525779" w:rsidRPr="005C0505">
        <w:t>Subregulation</w:t>
      </w:r>
      <w:proofErr w:type="spellEnd"/>
      <w:r w:rsidR="005C0505" w:rsidRPr="005C0505">
        <w:t> </w:t>
      </w:r>
      <w:r w:rsidR="00525779" w:rsidRPr="005C0505">
        <w:t>19AE(1) (at the end of the table)</w:t>
      </w:r>
    </w:p>
    <w:p w:rsidR="00525779" w:rsidRPr="005C0505" w:rsidRDefault="00525779" w:rsidP="00525779">
      <w:pPr>
        <w:pStyle w:val="Item"/>
      </w:pPr>
      <w:r w:rsidRPr="005C0505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2552"/>
      </w:tblGrid>
      <w:tr w:rsidR="00525779" w:rsidRPr="005C0505" w:rsidTr="00DC760D">
        <w:tc>
          <w:tcPr>
            <w:tcW w:w="704" w:type="dxa"/>
            <w:shd w:val="clear" w:color="auto" w:fill="auto"/>
          </w:tcPr>
          <w:p w:rsidR="00525779" w:rsidRPr="005C0505" w:rsidRDefault="00525779" w:rsidP="00CB550E">
            <w:pPr>
              <w:pStyle w:val="Tabletext"/>
            </w:pPr>
            <w:r w:rsidRPr="005C0505">
              <w:t>8</w:t>
            </w:r>
          </w:p>
        </w:tc>
        <w:tc>
          <w:tcPr>
            <w:tcW w:w="3827" w:type="dxa"/>
            <w:shd w:val="clear" w:color="auto" w:fill="auto"/>
          </w:tcPr>
          <w:p w:rsidR="00525779" w:rsidRPr="005C0505" w:rsidRDefault="00525779" w:rsidP="00CB550E">
            <w:pPr>
              <w:pStyle w:val="Tabletext"/>
            </w:pPr>
            <w:r w:rsidRPr="005C0505">
              <w:t xml:space="preserve">A variation of </w:t>
            </w:r>
            <w:r w:rsidR="00186574" w:rsidRPr="005C0505">
              <w:t xml:space="preserve">one or more </w:t>
            </w:r>
            <w:r w:rsidRPr="005C0505">
              <w:t>constituent</w:t>
            </w:r>
            <w:r w:rsidR="00186574" w:rsidRPr="005C0505">
              <w:t>s</w:t>
            </w:r>
            <w:r w:rsidRPr="005C0505">
              <w:t xml:space="preserve"> of a chemical product if:</w:t>
            </w:r>
          </w:p>
          <w:p w:rsidR="00525779" w:rsidRPr="005C0505" w:rsidRDefault="00525779" w:rsidP="00CB550E">
            <w:pPr>
              <w:pStyle w:val="Tablea"/>
            </w:pPr>
            <w:r w:rsidRPr="005C0505">
              <w:t xml:space="preserve">(a) the variation is to </w:t>
            </w:r>
            <w:r w:rsidR="00C9049D" w:rsidRPr="005C0505">
              <w:t>replace</w:t>
            </w:r>
            <w:r w:rsidRPr="005C0505">
              <w:t xml:space="preserve"> </w:t>
            </w:r>
            <w:r w:rsidR="00C554DB" w:rsidRPr="005C0505">
              <w:t xml:space="preserve">one or more </w:t>
            </w:r>
            <w:r w:rsidR="00623613" w:rsidRPr="005C0505">
              <w:t>constituent</w:t>
            </w:r>
            <w:r w:rsidR="00C554DB" w:rsidRPr="005C0505">
              <w:t>s</w:t>
            </w:r>
            <w:r w:rsidR="00623613" w:rsidRPr="005C0505">
              <w:t xml:space="preserve"> </w:t>
            </w:r>
            <w:r w:rsidRPr="005C0505">
              <w:t>with</w:t>
            </w:r>
            <w:r w:rsidR="00B404BA" w:rsidRPr="005C0505">
              <w:t xml:space="preserve"> a constituent </w:t>
            </w:r>
            <w:r w:rsidR="00C554DB" w:rsidRPr="005C0505">
              <w:t>or constitue</w:t>
            </w:r>
            <w:r w:rsidR="005E15E6" w:rsidRPr="005C0505">
              <w:t>nt</w:t>
            </w:r>
            <w:r w:rsidR="00C554DB" w:rsidRPr="005C0505">
              <w:t xml:space="preserve">s </w:t>
            </w:r>
            <w:r w:rsidR="00B404BA" w:rsidRPr="005C0505">
              <w:t>listed for the product in an interchangeable constituent determination</w:t>
            </w:r>
            <w:r w:rsidRPr="005C0505">
              <w:t>; and</w:t>
            </w:r>
          </w:p>
          <w:p w:rsidR="00E032E3" w:rsidRPr="005C0505" w:rsidRDefault="00525779" w:rsidP="00E032E3">
            <w:pPr>
              <w:pStyle w:val="Tablea"/>
            </w:pPr>
            <w:r w:rsidRPr="005C0505">
              <w:t>(b)</w:t>
            </w:r>
            <w:r w:rsidR="00055272" w:rsidRPr="005C0505">
              <w:t xml:space="preserve"> </w:t>
            </w:r>
            <w:r w:rsidR="001E046E" w:rsidRPr="005C0505">
              <w:t xml:space="preserve">in the case </w:t>
            </w:r>
            <w:r w:rsidR="001A6DB2" w:rsidRPr="005C0505">
              <w:t xml:space="preserve">of a product </w:t>
            </w:r>
            <w:r w:rsidR="001E046E" w:rsidRPr="005C0505">
              <w:t>that</w:t>
            </w:r>
            <w:r w:rsidR="00E032E3" w:rsidRPr="005C0505">
              <w:t xml:space="preserve"> has 9 or more constituents</w:t>
            </w:r>
            <w:r w:rsidR="001A26C6" w:rsidRPr="005C0505">
              <w:t xml:space="preserve"> </w:t>
            </w:r>
            <w:r w:rsidR="00B404BA" w:rsidRPr="005C0505">
              <w:t xml:space="preserve">entered </w:t>
            </w:r>
            <w:r w:rsidR="008D0343" w:rsidRPr="005C0505">
              <w:t>in</w:t>
            </w:r>
            <w:r w:rsidR="00635B38" w:rsidRPr="005C0505">
              <w:t xml:space="preserve"> the Register for the product</w:t>
            </w:r>
            <w:r w:rsidR="00E032E3" w:rsidRPr="005C0505">
              <w:t xml:space="preserve">—the variation is </w:t>
            </w:r>
            <w:r w:rsidR="00B404BA" w:rsidRPr="005C0505">
              <w:t xml:space="preserve">to no </w:t>
            </w:r>
            <w:r w:rsidR="00E032E3" w:rsidRPr="005C0505">
              <w:t>more than 25% of the</w:t>
            </w:r>
            <w:r w:rsidR="00AE4DEF" w:rsidRPr="005C0505">
              <w:t xml:space="preserve"> number of </w:t>
            </w:r>
            <w:r w:rsidR="008D0343" w:rsidRPr="005C0505">
              <w:t xml:space="preserve">constituents </w:t>
            </w:r>
            <w:r w:rsidR="00635B38" w:rsidRPr="005C0505">
              <w:t>entered</w:t>
            </w:r>
            <w:r w:rsidR="00E032E3" w:rsidRPr="005C0505">
              <w:t xml:space="preserve"> </w:t>
            </w:r>
            <w:r w:rsidR="008D0343" w:rsidRPr="005C0505">
              <w:t>in the Register for the product</w:t>
            </w:r>
            <w:r w:rsidR="00E032E3" w:rsidRPr="005C0505">
              <w:t>; and</w:t>
            </w:r>
          </w:p>
          <w:p w:rsidR="00525779" w:rsidRPr="005C0505" w:rsidRDefault="00E032E3" w:rsidP="00BB6FCF">
            <w:pPr>
              <w:pStyle w:val="Tablea"/>
            </w:pPr>
            <w:r w:rsidRPr="005C0505">
              <w:t>(</w:t>
            </w:r>
            <w:r w:rsidR="00954947" w:rsidRPr="005C0505">
              <w:t>c</w:t>
            </w:r>
            <w:r w:rsidRPr="005C0505">
              <w:t xml:space="preserve">) </w:t>
            </w:r>
            <w:r w:rsidR="001E046E" w:rsidRPr="005C0505">
              <w:t xml:space="preserve">in the case </w:t>
            </w:r>
            <w:r w:rsidR="001A6DB2" w:rsidRPr="005C0505">
              <w:t xml:space="preserve">of a product that has </w:t>
            </w:r>
            <w:r w:rsidRPr="005C0505">
              <w:t xml:space="preserve">less than 9 constituents </w:t>
            </w:r>
            <w:r w:rsidR="00635B38" w:rsidRPr="005C0505">
              <w:t xml:space="preserve">entered </w:t>
            </w:r>
            <w:r w:rsidR="005E15E6" w:rsidRPr="005C0505">
              <w:t xml:space="preserve">in the Register </w:t>
            </w:r>
            <w:r w:rsidR="00635B38" w:rsidRPr="005C0505">
              <w:t>for the product</w:t>
            </w:r>
            <w:r w:rsidRPr="005C0505">
              <w:t>—</w:t>
            </w:r>
            <w:r w:rsidR="008D0343" w:rsidRPr="005C0505">
              <w:t xml:space="preserve">the variation is to </w:t>
            </w:r>
            <w:r w:rsidR="00C1020D" w:rsidRPr="005C0505">
              <w:t xml:space="preserve">one or 2 of </w:t>
            </w:r>
            <w:r w:rsidR="008D0343" w:rsidRPr="005C0505">
              <w:t>the constituents entered in the Register for the product</w:t>
            </w:r>
          </w:p>
        </w:tc>
        <w:tc>
          <w:tcPr>
            <w:tcW w:w="2552" w:type="dxa"/>
            <w:shd w:val="clear" w:color="auto" w:fill="auto"/>
          </w:tcPr>
          <w:p w:rsidR="00AE4DEF" w:rsidRPr="005C0505" w:rsidRDefault="00525779" w:rsidP="00AE4DEF">
            <w:pPr>
              <w:pStyle w:val="Tabletext"/>
            </w:pPr>
            <w:r w:rsidRPr="005C0505">
              <w:t>any registration of a chemical product</w:t>
            </w:r>
          </w:p>
          <w:p w:rsidR="00525779" w:rsidRPr="005C0505" w:rsidRDefault="00525779" w:rsidP="00954947">
            <w:pPr>
              <w:pStyle w:val="Tablea"/>
            </w:pPr>
          </w:p>
        </w:tc>
      </w:tr>
    </w:tbl>
    <w:p w:rsidR="00525779" w:rsidRPr="005C0505" w:rsidRDefault="0022566D" w:rsidP="00525779">
      <w:pPr>
        <w:pStyle w:val="ItemHead"/>
      </w:pPr>
      <w:r w:rsidRPr="005C0505">
        <w:t>4</w:t>
      </w:r>
      <w:r w:rsidR="00AA47B4" w:rsidRPr="005C0505">
        <w:t xml:space="preserve">  </w:t>
      </w:r>
      <w:r w:rsidR="00CB550E" w:rsidRPr="005C0505">
        <w:t>After regulation</w:t>
      </w:r>
      <w:r w:rsidR="005C0505" w:rsidRPr="005C0505">
        <w:t> </w:t>
      </w:r>
      <w:r w:rsidR="00CB550E" w:rsidRPr="005C0505">
        <w:t>19AE</w:t>
      </w:r>
    </w:p>
    <w:p w:rsidR="00CB550E" w:rsidRPr="005C0505" w:rsidRDefault="00CB550E" w:rsidP="00CB550E">
      <w:pPr>
        <w:pStyle w:val="Item"/>
      </w:pPr>
      <w:r w:rsidRPr="005C0505">
        <w:t>Insert:</w:t>
      </w:r>
    </w:p>
    <w:p w:rsidR="00CB550E" w:rsidRPr="005C0505" w:rsidRDefault="00CB550E" w:rsidP="00CB550E">
      <w:pPr>
        <w:pStyle w:val="ActHead5"/>
      </w:pPr>
      <w:bookmarkStart w:id="29" w:name="_Toc435617021"/>
      <w:r w:rsidRPr="005C0505">
        <w:rPr>
          <w:rStyle w:val="CharSectno"/>
        </w:rPr>
        <w:t>19AEA</w:t>
      </w:r>
      <w:r w:rsidRPr="005C0505">
        <w:t xml:space="preserve">  Interchangeable constituent</w:t>
      </w:r>
      <w:r w:rsidR="00C5721F" w:rsidRPr="005C0505">
        <w:t xml:space="preserve"> determination</w:t>
      </w:r>
      <w:r w:rsidR="005E15E6" w:rsidRPr="005C0505">
        <w:t>s</w:t>
      </w:r>
      <w:bookmarkEnd w:id="29"/>
    </w:p>
    <w:p w:rsidR="00126F4C" w:rsidRPr="005C0505" w:rsidRDefault="00126F4C" w:rsidP="00126F4C">
      <w:pPr>
        <w:pStyle w:val="SubsectionHead"/>
      </w:pPr>
      <w:proofErr w:type="spellStart"/>
      <w:r w:rsidRPr="005C0505">
        <w:t>APVMA</w:t>
      </w:r>
      <w:proofErr w:type="spellEnd"/>
      <w:r w:rsidRPr="005C0505">
        <w:t xml:space="preserve"> may de</w:t>
      </w:r>
      <w:r w:rsidR="00967776" w:rsidRPr="005C0505">
        <w:t>termine interchangeable constitu</w:t>
      </w:r>
      <w:r w:rsidRPr="005C0505">
        <w:t>ents</w:t>
      </w:r>
    </w:p>
    <w:p w:rsidR="00CB550E" w:rsidRPr="005C0505" w:rsidRDefault="00126F4C" w:rsidP="00CB550E">
      <w:pPr>
        <w:pStyle w:val="subsection"/>
      </w:pPr>
      <w:r w:rsidRPr="005C0505">
        <w:tab/>
      </w:r>
      <w:r w:rsidR="00B72F0D" w:rsidRPr="005C0505">
        <w:t>(1)</w:t>
      </w:r>
      <w:r w:rsidR="00B72F0D" w:rsidRPr="005C0505">
        <w:tab/>
        <w:t xml:space="preserve">The </w:t>
      </w:r>
      <w:proofErr w:type="spellStart"/>
      <w:r w:rsidR="00B72F0D" w:rsidRPr="005C0505">
        <w:t>APVMA</w:t>
      </w:r>
      <w:proofErr w:type="spellEnd"/>
      <w:r w:rsidR="00B72F0D" w:rsidRPr="005C0505">
        <w:t xml:space="preserve"> may</w:t>
      </w:r>
      <w:r w:rsidR="00DC5E3A" w:rsidRPr="005C0505">
        <w:t>,</w:t>
      </w:r>
      <w:r w:rsidR="00CE5A68" w:rsidRPr="005C0505">
        <w:t xml:space="preserve"> </w:t>
      </w:r>
      <w:r w:rsidR="00DC5E3A" w:rsidRPr="005C0505">
        <w:t>by legislative instrument</w:t>
      </w:r>
      <w:r w:rsidR="00CE5A68" w:rsidRPr="005C0505">
        <w:t>,</w:t>
      </w:r>
      <w:r w:rsidR="00B72F0D" w:rsidRPr="005C0505">
        <w:t xml:space="preserve"> </w:t>
      </w:r>
      <w:r w:rsidR="00DC5E3A" w:rsidRPr="005C0505">
        <w:t xml:space="preserve">determine </w:t>
      </w:r>
      <w:r w:rsidR="00B72F0D" w:rsidRPr="005C0505">
        <w:t>that one or more constituents of a chemical product or a class of chemical products may be interchanged with another constituent.</w:t>
      </w:r>
    </w:p>
    <w:p w:rsidR="00994F61" w:rsidRPr="005C0505" w:rsidRDefault="00994F61" w:rsidP="00CB550E">
      <w:pPr>
        <w:pStyle w:val="subsection"/>
      </w:pPr>
      <w:r w:rsidRPr="005C0505">
        <w:tab/>
        <w:t>(2)</w:t>
      </w:r>
      <w:r w:rsidRPr="005C0505">
        <w:tab/>
        <w:t xml:space="preserve">Without limiting </w:t>
      </w:r>
      <w:proofErr w:type="spellStart"/>
      <w:r w:rsidRPr="005C0505">
        <w:t>subregulation</w:t>
      </w:r>
      <w:proofErr w:type="spellEnd"/>
      <w:r w:rsidR="005C0505" w:rsidRPr="005C0505">
        <w:t> </w:t>
      </w:r>
      <w:r w:rsidRPr="005C0505">
        <w:t xml:space="preserve">(1), </w:t>
      </w:r>
      <w:r w:rsidR="00C9049D" w:rsidRPr="005C0505">
        <w:t>the</w:t>
      </w:r>
      <w:r w:rsidRPr="005C0505">
        <w:t xml:space="preserve"> </w:t>
      </w:r>
      <w:r w:rsidR="00C5721F" w:rsidRPr="005C0505">
        <w:t xml:space="preserve">interchangeable constituent determination </w:t>
      </w:r>
      <w:r w:rsidRPr="005C0505">
        <w:t xml:space="preserve">may </w:t>
      </w:r>
      <w:r w:rsidR="00435EDA" w:rsidRPr="005C0505">
        <w:t>authorise</w:t>
      </w:r>
      <w:r w:rsidR="00C1020D" w:rsidRPr="005C0505">
        <w:t xml:space="preserve"> </w:t>
      </w:r>
      <w:r w:rsidR="00710D95" w:rsidRPr="005C0505">
        <w:t>a constituent</w:t>
      </w:r>
      <w:r w:rsidR="00C1020D" w:rsidRPr="005C0505">
        <w:t xml:space="preserve"> being interchanged with </w:t>
      </w:r>
      <w:r w:rsidR="00710D95" w:rsidRPr="005C0505">
        <w:t xml:space="preserve">another constituent if </w:t>
      </w:r>
      <w:r w:rsidR="00435EDA" w:rsidRPr="005C0505">
        <w:t>one or more requirements specified in the determination are met.</w:t>
      </w:r>
    </w:p>
    <w:p w:rsidR="00B72F0D" w:rsidRPr="005C0505" w:rsidRDefault="00994F61" w:rsidP="00CB550E">
      <w:pPr>
        <w:pStyle w:val="subsection"/>
      </w:pPr>
      <w:r w:rsidRPr="005C0505">
        <w:tab/>
        <w:t>(3</w:t>
      </w:r>
      <w:r w:rsidR="00B72F0D" w:rsidRPr="005C0505">
        <w:t>)</w:t>
      </w:r>
      <w:r w:rsidR="00B72F0D" w:rsidRPr="005C0505">
        <w:tab/>
      </w:r>
      <w:r w:rsidR="00C15CE8" w:rsidRPr="005C0505">
        <w:t xml:space="preserve">The power under </w:t>
      </w:r>
      <w:proofErr w:type="spellStart"/>
      <w:r w:rsidR="00C15CE8" w:rsidRPr="005C0505">
        <w:t>subregulation</w:t>
      </w:r>
      <w:proofErr w:type="spellEnd"/>
      <w:r w:rsidR="005C0505" w:rsidRPr="005C0505">
        <w:t> </w:t>
      </w:r>
      <w:r w:rsidR="00C15CE8" w:rsidRPr="005C0505">
        <w:t xml:space="preserve">(1) may be exercised on the </w:t>
      </w:r>
      <w:proofErr w:type="spellStart"/>
      <w:r w:rsidR="00C15CE8" w:rsidRPr="005C0505">
        <w:t>APVMA’s</w:t>
      </w:r>
      <w:proofErr w:type="spellEnd"/>
      <w:r w:rsidR="00C15CE8" w:rsidRPr="005C0505">
        <w:t xml:space="preserve"> own initiative or on application under regulation</w:t>
      </w:r>
      <w:r w:rsidR="005C0505" w:rsidRPr="005C0505">
        <w:t> </w:t>
      </w:r>
      <w:r w:rsidR="00A65C0F" w:rsidRPr="005C0505">
        <w:t>19AEB.</w:t>
      </w:r>
    </w:p>
    <w:p w:rsidR="00B62FB8" w:rsidRPr="005C0505" w:rsidRDefault="00414755" w:rsidP="00CB550E">
      <w:pPr>
        <w:pStyle w:val="subsection"/>
      </w:pPr>
      <w:r w:rsidRPr="005C0505">
        <w:tab/>
        <w:t>(4)</w:t>
      </w:r>
      <w:r w:rsidRPr="005C0505">
        <w:tab/>
        <w:t xml:space="preserve">If </w:t>
      </w:r>
      <w:r w:rsidR="00530B36" w:rsidRPr="005C0505">
        <w:t>an</w:t>
      </w:r>
      <w:r w:rsidRPr="005C0505">
        <w:t xml:space="preserve"> interchangeable constituent determination </w:t>
      </w:r>
      <w:r w:rsidR="00530B36" w:rsidRPr="005C0505">
        <w:t>can</w:t>
      </w:r>
      <w:r w:rsidRPr="005C0505">
        <w:t xml:space="preserve"> be made in relation to a class of chemical products, or varied so that it applies to a class of chemical products, the </w:t>
      </w:r>
      <w:proofErr w:type="spellStart"/>
      <w:r w:rsidRPr="005C0505">
        <w:t>APVMA</w:t>
      </w:r>
      <w:proofErr w:type="spellEnd"/>
      <w:r w:rsidRPr="005C0505">
        <w:t xml:space="preserve"> must </w:t>
      </w:r>
      <w:r w:rsidR="007D3E0B" w:rsidRPr="005C0505">
        <w:t>make or</w:t>
      </w:r>
      <w:r w:rsidR="00604820" w:rsidRPr="005C0505">
        <w:t>, if varying a determination,</w:t>
      </w:r>
      <w:r w:rsidR="007D3E0B" w:rsidRPr="005C0505">
        <w:t xml:space="preserve"> vary the determination accordingly.</w:t>
      </w:r>
    </w:p>
    <w:p w:rsidR="00C15CE8" w:rsidRPr="005C0505" w:rsidRDefault="00C15CE8" w:rsidP="00C15CE8">
      <w:pPr>
        <w:pStyle w:val="SubsectionHead"/>
      </w:pPr>
      <w:proofErr w:type="spellStart"/>
      <w:r w:rsidRPr="005C0505">
        <w:t>APVMA</w:t>
      </w:r>
      <w:proofErr w:type="spellEnd"/>
      <w:r w:rsidRPr="005C0505">
        <w:t xml:space="preserve"> to be satisfied of certain matters</w:t>
      </w:r>
    </w:p>
    <w:p w:rsidR="00F83297" w:rsidRPr="005C0505" w:rsidRDefault="00C15CE8" w:rsidP="00F83297">
      <w:pPr>
        <w:pStyle w:val="subsection"/>
      </w:pPr>
      <w:r w:rsidRPr="005C0505">
        <w:tab/>
        <w:t>(</w:t>
      </w:r>
      <w:r w:rsidR="000627F5" w:rsidRPr="005C0505">
        <w:t>5</w:t>
      </w:r>
      <w:r w:rsidRPr="005C0505">
        <w:t>)</w:t>
      </w:r>
      <w:r w:rsidRPr="005C0505">
        <w:tab/>
      </w:r>
      <w:r w:rsidR="00F83297" w:rsidRPr="005C0505">
        <w:t>Before making or varying a</w:t>
      </w:r>
      <w:r w:rsidR="00C9049D" w:rsidRPr="005C0505">
        <w:t>n</w:t>
      </w:r>
      <w:r w:rsidR="00C5721F" w:rsidRPr="005C0505">
        <w:t xml:space="preserve"> </w:t>
      </w:r>
      <w:r w:rsidR="00F83297" w:rsidRPr="005C0505">
        <w:t xml:space="preserve">interchangeable constituent determination, the </w:t>
      </w:r>
      <w:proofErr w:type="spellStart"/>
      <w:r w:rsidR="00F83297" w:rsidRPr="005C0505">
        <w:t>APVMA</w:t>
      </w:r>
      <w:proofErr w:type="spellEnd"/>
      <w:r w:rsidR="00F83297" w:rsidRPr="005C0505">
        <w:t xml:space="preserve"> must be satisfied that:</w:t>
      </w:r>
    </w:p>
    <w:p w:rsidR="00F83297" w:rsidRPr="005C0505" w:rsidRDefault="00F83297" w:rsidP="00F83297">
      <w:pPr>
        <w:pStyle w:val="paragraph"/>
      </w:pPr>
      <w:r w:rsidRPr="005C0505">
        <w:tab/>
        <w:t>(a)</w:t>
      </w:r>
      <w:r w:rsidRPr="005C0505">
        <w:tab/>
        <w:t>the constituent</w:t>
      </w:r>
      <w:r w:rsidR="00477297" w:rsidRPr="005C0505">
        <w:t xml:space="preserve"> </w:t>
      </w:r>
      <w:r w:rsidR="003A1A24" w:rsidRPr="005C0505">
        <w:t>to be interchange</w:t>
      </w:r>
      <w:r w:rsidR="009D5588" w:rsidRPr="005C0505">
        <w:t>d</w:t>
      </w:r>
      <w:r w:rsidRPr="005C0505">
        <w:t xml:space="preserve"> is not an active constituent</w:t>
      </w:r>
      <w:r w:rsidR="00477297" w:rsidRPr="005C0505">
        <w:t xml:space="preserve"> of the product</w:t>
      </w:r>
      <w:r w:rsidRPr="005C0505">
        <w:t>;</w:t>
      </w:r>
      <w:r w:rsidR="00994F61" w:rsidRPr="005C0505">
        <w:t xml:space="preserve"> and</w:t>
      </w:r>
    </w:p>
    <w:p w:rsidR="003A1A24" w:rsidRPr="005C0505" w:rsidRDefault="00F83297" w:rsidP="00F83297">
      <w:pPr>
        <w:pStyle w:val="paragraph"/>
      </w:pPr>
      <w:r w:rsidRPr="005C0505">
        <w:tab/>
        <w:t>(b)</w:t>
      </w:r>
      <w:r w:rsidRPr="005C0505">
        <w:tab/>
      </w:r>
      <w:r w:rsidR="003A1A24" w:rsidRPr="005C0505">
        <w:t>the interchange of the constituents does not introduce material of human or animal origin in</w:t>
      </w:r>
      <w:r w:rsidR="000954E1" w:rsidRPr="005C0505">
        <w:t>to</w:t>
      </w:r>
      <w:r w:rsidR="003A1A24" w:rsidRPr="005C0505">
        <w:t xml:space="preserve"> the product; and</w:t>
      </w:r>
    </w:p>
    <w:p w:rsidR="003A1A24" w:rsidRPr="005C0505" w:rsidRDefault="003A1A24" w:rsidP="003A1A24">
      <w:pPr>
        <w:pStyle w:val="paragraph"/>
      </w:pPr>
      <w:r w:rsidRPr="005C0505">
        <w:tab/>
        <w:t>(c)</w:t>
      </w:r>
      <w:r w:rsidRPr="005C0505">
        <w:tab/>
        <w:t>the interchange of the constituents would not require variation to:</w:t>
      </w:r>
    </w:p>
    <w:p w:rsidR="003A1A24" w:rsidRPr="005C0505" w:rsidRDefault="003A1A24" w:rsidP="003A1A24">
      <w:pPr>
        <w:pStyle w:val="paragraphsub"/>
      </w:pPr>
      <w:r w:rsidRPr="005C0505">
        <w:tab/>
        <w:t>(</w:t>
      </w:r>
      <w:proofErr w:type="spellStart"/>
      <w:r w:rsidRPr="005C0505">
        <w:t>i</w:t>
      </w:r>
      <w:proofErr w:type="spellEnd"/>
      <w:r w:rsidRPr="005C0505">
        <w:t>)</w:t>
      </w:r>
      <w:r w:rsidRPr="005C0505">
        <w:tab/>
        <w:t>the signal words required by the current Poisons Standard to be contained on the label of the product; or</w:t>
      </w:r>
    </w:p>
    <w:p w:rsidR="003A1A24" w:rsidRPr="005C0505" w:rsidRDefault="003A1A24" w:rsidP="003A1A24">
      <w:pPr>
        <w:pStyle w:val="paragraphsub"/>
      </w:pPr>
      <w:r w:rsidRPr="005C0505">
        <w:tab/>
        <w:t>(ii)</w:t>
      </w:r>
      <w:r w:rsidRPr="005C0505">
        <w:tab/>
        <w:t xml:space="preserve">the formulation type of the product </w:t>
      </w:r>
      <w:r w:rsidR="00AD6E26" w:rsidRPr="005C0505">
        <w:t>entered</w:t>
      </w:r>
      <w:r w:rsidRPr="005C0505">
        <w:t xml:space="preserve"> in the Register; and</w:t>
      </w:r>
    </w:p>
    <w:p w:rsidR="00F83297" w:rsidRPr="005C0505" w:rsidRDefault="003A1A24" w:rsidP="00F83297">
      <w:pPr>
        <w:pStyle w:val="paragraph"/>
      </w:pPr>
      <w:r w:rsidRPr="005C0505">
        <w:tab/>
        <w:t>(d)</w:t>
      </w:r>
      <w:r w:rsidRPr="005C0505">
        <w:tab/>
        <w:t xml:space="preserve">after the constituents are interchanged, </w:t>
      </w:r>
      <w:r w:rsidR="00C5721F" w:rsidRPr="005C0505">
        <w:t xml:space="preserve">the </w:t>
      </w:r>
      <w:r w:rsidR="00F83297" w:rsidRPr="005C0505">
        <w:t>chemical product</w:t>
      </w:r>
      <w:r w:rsidR="00590144" w:rsidRPr="005C0505">
        <w:t xml:space="preserve"> would </w:t>
      </w:r>
      <w:r w:rsidR="00F83297" w:rsidRPr="005C0505">
        <w:t>continue to:</w:t>
      </w:r>
    </w:p>
    <w:p w:rsidR="00F83297" w:rsidRPr="005C0505" w:rsidRDefault="00F83297" w:rsidP="00F83297">
      <w:pPr>
        <w:pStyle w:val="paragraphsub"/>
      </w:pPr>
      <w:r w:rsidRPr="005C0505">
        <w:tab/>
        <w:t>(</w:t>
      </w:r>
      <w:proofErr w:type="spellStart"/>
      <w:r w:rsidRPr="005C0505">
        <w:t>i</w:t>
      </w:r>
      <w:proofErr w:type="spellEnd"/>
      <w:r w:rsidRPr="005C0505">
        <w:t>)</w:t>
      </w:r>
      <w:r w:rsidRPr="005C0505">
        <w:tab/>
        <w:t>meet the safety criteria, the trade criter</w:t>
      </w:r>
      <w:r w:rsidR="003A1A24" w:rsidRPr="005C0505">
        <w:t>ia and the efficacy criteria; and</w:t>
      </w:r>
    </w:p>
    <w:p w:rsidR="00591DD0" w:rsidRPr="005C0505" w:rsidRDefault="00994F61" w:rsidP="00994F61">
      <w:pPr>
        <w:pStyle w:val="paragraphsub"/>
      </w:pPr>
      <w:r w:rsidRPr="005C0505">
        <w:tab/>
        <w:t>(ii)</w:t>
      </w:r>
      <w:r w:rsidRPr="005C0505">
        <w:tab/>
        <w:t>comply with any requirements prescribed for the purposes of paragraph</w:t>
      </w:r>
      <w:r w:rsidR="005C0505" w:rsidRPr="005C0505">
        <w:t> </w:t>
      </w:r>
      <w:r w:rsidRPr="005C0505">
        <w:t>8A(b) or 41(1)(c)</w:t>
      </w:r>
      <w:r w:rsidR="00EE5437" w:rsidRPr="005C0505">
        <w:t xml:space="preserve"> of the Code</w:t>
      </w:r>
      <w:r w:rsidR="00591DD0" w:rsidRPr="005C0505">
        <w:t>.</w:t>
      </w:r>
    </w:p>
    <w:p w:rsidR="00522623" w:rsidRPr="005C0505" w:rsidRDefault="00736578" w:rsidP="00522623">
      <w:pPr>
        <w:pStyle w:val="subsection"/>
      </w:pPr>
      <w:r w:rsidRPr="005C0505">
        <w:tab/>
        <w:t>(</w:t>
      </w:r>
      <w:r w:rsidR="000627F5" w:rsidRPr="005C0505">
        <w:t>6</w:t>
      </w:r>
      <w:r w:rsidRPr="005C0505">
        <w:t>)</w:t>
      </w:r>
      <w:r w:rsidRPr="005C0505">
        <w:tab/>
        <w:t xml:space="preserve">For the purposes of being satisfied of the matters mentioned in </w:t>
      </w:r>
      <w:proofErr w:type="spellStart"/>
      <w:r w:rsidRPr="005C0505">
        <w:t>subregulation</w:t>
      </w:r>
      <w:proofErr w:type="spellEnd"/>
      <w:r w:rsidR="005C0505" w:rsidRPr="005C0505">
        <w:t> </w:t>
      </w:r>
      <w:r w:rsidRPr="005C0505">
        <w:t>(</w:t>
      </w:r>
      <w:r w:rsidR="007D3E0B" w:rsidRPr="005C0505">
        <w:t>5</w:t>
      </w:r>
      <w:r w:rsidRPr="005C0505">
        <w:t xml:space="preserve">), the </w:t>
      </w:r>
      <w:proofErr w:type="spellStart"/>
      <w:r w:rsidRPr="005C0505">
        <w:t>APVMA</w:t>
      </w:r>
      <w:proofErr w:type="spellEnd"/>
      <w:r w:rsidRPr="005C0505">
        <w:t xml:space="preserve"> must have regard to any requirements to which the interchange of a constituent is, or </w:t>
      </w:r>
      <w:r w:rsidR="00530B36" w:rsidRPr="005C0505">
        <w:t>c</w:t>
      </w:r>
      <w:r w:rsidRPr="005C0505">
        <w:t>ould be, subject.</w:t>
      </w:r>
    </w:p>
    <w:p w:rsidR="00EA5A73" w:rsidRPr="005C0505" w:rsidRDefault="00EA5A73" w:rsidP="009D5588">
      <w:pPr>
        <w:pStyle w:val="SubsectionHead"/>
      </w:pPr>
      <w:r w:rsidRPr="005C0505">
        <w:t>Variation or revocation of an interchangeable constituent determination</w:t>
      </w:r>
    </w:p>
    <w:p w:rsidR="00EA5A73" w:rsidRPr="005C0505" w:rsidRDefault="00EA5A73" w:rsidP="00EA5A73">
      <w:pPr>
        <w:pStyle w:val="subsection"/>
      </w:pPr>
      <w:r w:rsidRPr="005C0505">
        <w:tab/>
        <w:t>(</w:t>
      </w:r>
      <w:r w:rsidR="000627F5" w:rsidRPr="005C0505">
        <w:t>7</w:t>
      </w:r>
      <w:r w:rsidRPr="005C0505">
        <w:t>)</w:t>
      </w:r>
      <w:r w:rsidRPr="005C0505">
        <w:tab/>
        <w:t xml:space="preserve">If the </w:t>
      </w:r>
      <w:proofErr w:type="spellStart"/>
      <w:r w:rsidRPr="005C0505">
        <w:t>APVMA</w:t>
      </w:r>
      <w:proofErr w:type="spellEnd"/>
      <w:r w:rsidRPr="005C0505">
        <w:t xml:space="preserve"> proposes to vary or revoke an interchangeable constituent determination, the </w:t>
      </w:r>
      <w:proofErr w:type="spellStart"/>
      <w:r w:rsidRPr="005C0505">
        <w:t>APVMA</w:t>
      </w:r>
      <w:proofErr w:type="spellEnd"/>
      <w:r w:rsidRPr="005C0505">
        <w:t xml:space="preserve"> must:</w:t>
      </w:r>
    </w:p>
    <w:p w:rsidR="00EA5A73" w:rsidRPr="005C0505" w:rsidRDefault="00EA5A73" w:rsidP="00EA5A73">
      <w:pPr>
        <w:pStyle w:val="paragraph"/>
      </w:pPr>
      <w:r w:rsidRPr="005C0505">
        <w:tab/>
        <w:t xml:space="preserve">(a) </w:t>
      </w:r>
      <w:r w:rsidRPr="005C0505">
        <w:tab/>
        <w:t>publish on its website a notice setting out the proposed variation or reasons for the proposed revocation; and</w:t>
      </w:r>
    </w:p>
    <w:p w:rsidR="00EA5A73" w:rsidRPr="005C0505" w:rsidRDefault="00EA5A73" w:rsidP="00EA5A73">
      <w:pPr>
        <w:pStyle w:val="paragraph"/>
      </w:pPr>
      <w:r w:rsidRPr="005C0505">
        <w:tab/>
        <w:t>(b)</w:t>
      </w:r>
      <w:r w:rsidRPr="005C0505">
        <w:tab/>
        <w:t>invite written submissions on the variation or revocation</w:t>
      </w:r>
      <w:r w:rsidR="007D3E0B" w:rsidRPr="005C0505">
        <w:t xml:space="preserve"> to be made on or before a specified date (the </w:t>
      </w:r>
      <w:r w:rsidR="007D3E0B" w:rsidRPr="005C0505">
        <w:rPr>
          <w:b/>
          <w:i/>
        </w:rPr>
        <w:t>consultation period</w:t>
      </w:r>
      <w:r w:rsidR="007D3E0B" w:rsidRPr="005C0505">
        <w:t>)</w:t>
      </w:r>
      <w:r w:rsidRPr="005C0505">
        <w:t>.</w:t>
      </w:r>
    </w:p>
    <w:p w:rsidR="00EA5A73" w:rsidRPr="005C0505" w:rsidRDefault="00EA5A73" w:rsidP="00EA5A73">
      <w:pPr>
        <w:pStyle w:val="subsection"/>
      </w:pPr>
      <w:r w:rsidRPr="005C0505">
        <w:tab/>
        <w:t>(</w:t>
      </w:r>
      <w:r w:rsidR="000627F5" w:rsidRPr="005C0505">
        <w:t>8</w:t>
      </w:r>
      <w:r w:rsidRPr="005C0505">
        <w:t>)</w:t>
      </w:r>
      <w:r w:rsidRPr="005C0505">
        <w:tab/>
        <w:t>The notice must:</w:t>
      </w:r>
    </w:p>
    <w:p w:rsidR="00EA5A73" w:rsidRPr="005C0505" w:rsidRDefault="00EA5A73" w:rsidP="007D3E0B">
      <w:pPr>
        <w:pStyle w:val="paragraph"/>
      </w:pPr>
      <w:r w:rsidRPr="005C0505">
        <w:tab/>
        <w:t>(a)</w:t>
      </w:r>
      <w:r w:rsidRPr="005C0505">
        <w:tab/>
        <w:t xml:space="preserve">be published at least 28 days before </w:t>
      </w:r>
      <w:r w:rsidR="007D3E0B" w:rsidRPr="005C0505">
        <w:t>the interchangeable constituent determination is so varied or revoked; and</w:t>
      </w:r>
    </w:p>
    <w:p w:rsidR="00EA5A73" w:rsidRPr="005C0505" w:rsidRDefault="00EA5A73" w:rsidP="00EA5A73">
      <w:pPr>
        <w:pStyle w:val="paragraph"/>
      </w:pPr>
      <w:r w:rsidRPr="005C0505">
        <w:tab/>
        <w:t>(b)</w:t>
      </w:r>
      <w:r w:rsidRPr="005C0505">
        <w:tab/>
        <w:t xml:space="preserve">remain on the </w:t>
      </w:r>
      <w:proofErr w:type="spellStart"/>
      <w:r w:rsidRPr="005C0505">
        <w:t>APVMA’s</w:t>
      </w:r>
      <w:proofErr w:type="spellEnd"/>
      <w:r w:rsidRPr="005C0505">
        <w:t xml:space="preserve"> website until </w:t>
      </w:r>
      <w:r w:rsidR="00953C15" w:rsidRPr="005C0505">
        <w:t>the determination is so varied or revoked.</w:t>
      </w:r>
    </w:p>
    <w:p w:rsidR="003B5938" w:rsidRPr="005C0505" w:rsidRDefault="00CF0183" w:rsidP="003B5938">
      <w:pPr>
        <w:pStyle w:val="subsection"/>
      </w:pPr>
      <w:r w:rsidRPr="005C0505">
        <w:tab/>
      </w:r>
      <w:r w:rsidR="002C073B" w:rsidRPr="005C0505">
        <w:t>(</w:t>
      </w:r>
      <w:r w:rsidR="000627F5" w:rsidRPr="005C0505">
        <w:t>9</w:t>
      </w:r>
      <w:r w:rsidRPr="005C0505">
        <w:t>)</w:t>
      </w:r>
      <w:r w:rsidRPr="005C0505">
        <w:tab/>
      </w:r>
      <w:r w:rsidR="007D3E0B" w:rsidRPr="005C0505">
        <w:t>T</w:t>
      </w:r>
      <w:r w:rsidR="00591DD0" w:rsidRPr="005C0505">
        <w:t xml:space="preserve">he </w:t>
      </w:r>
      <w:proofErr w:type="spellStart"/>
      <w:r w:rsidR="00591DD0" w:rsidRPr="005C0505">
        <w:t>APVMA</w:t>
      </w:r>
      <w:proofErr w:type="spellEnd"/>
      <w:r w:rsidR="003B5938" w:rsidRPr="005C0505">
        <w:t xml:space="preserve"> </w:t>
      </w:r>
      <w:r w:rsidR="00591DD0" w:rsidRPr="005C0505">
        <w:t>must consider</w:t>
      </w:r>
      <w:r w:rsidR="003B5938" w:rsidRPr="005C0505">
        <w:t xml:space="preserve"> submissions made during the consultation period.</w:t>
      </w:r>
    </w:p>
    <w:p w:rsidR="00126F4C" w:rsidRPr="005C0505" w:rsidRDefault="003B5938" w:rsidP="003B5938">
      <w:pPr>
        <w:pStyle w:val="subsection"/>
      </w:pPr>
      <w:r w:rsidRPr="005C0505">
        <w:tab/>
        <w:t>(10)</w:t>
      </w:r>
      <w:r w:rsidRPr="005C0505">
        <w:tab/>
        <w:t xml:space="preserve">The </w:t>
      </w:r>
      <w:proofErr w:type="spellStart"/>
      <w:r w:rsidRPr="005C0505">
        <w:t>APVMA</w:t>
      </w:r>
      <w:proofErr w:type="spellEnd"/>
      <w:r w:rsidRPr="005C0505">
        <w:t xml:space="preserve"> may make a submission public, unless</w:t>
      </w:r>
      <w:r w:rsidR="00126F4C" w:rsidRPr="005C0505">
        <w:t xml:space="preserve"> the person </w:t>
      </w:r>
      <w:r w:rsidRPr="005C0505">
        <w:t xml:space="preserve">that made the </w:t>
      </w:r>
      <w:r w:rsidR="00126F4C" w:rsidRPr="005C0505">
        <w:t>submission has requested that the submission</w:t>
      </w:r>
      <w:r w:rsidR="001B703A" w:rsidRPr="005C0505">
        <w:t>,</w:t>
      </w:r>
      <w:r w:rsidR="00126F4C" w:rsidRPr="005C0505">
        <w:t xml:space="preserve"> or a part of </w:t>
      </w:r>
      <w:r w:rsidR="001B703A" w:rsidRPr="005C0505">
        <w:t xml:space="preserve">it, </w:t>
      </w:r>
      <w:r w:rsidR="00126F4C" w:rsidRPr="005C0505">
        <w:t>be kept confidential.</w:t>
      </w:r>
    </w:p>
    <w:p w:rsidR="00CB550E" w:rsidRPr="005C0505" w:rsidRDefault="00C41AEB" w:rsidP="00FD3AE6">
      <w:pPr>
        <w:pStyle w:val="ActHead5"/>
      </w:pPr>
      <w:bookmarkStart w:id="30" w:name="_Toc435617022"/>
      <w:r w:rsidRPr="005C0505">
        <w:rPr>
          <w:rStyle w:val="CharSectno"/>
        </w:rPr>
        <w:t>19AEB</w:t>
      </w:r>
      <w:r w:rsidR="00CB550E" w:rsidRPr="005C0505">
        <w:t xml:space="preserve">  Applying for an interchangeable constituent determination</w:t>
      </w:r>
      <w:bookmarkEnd w:id="30"/>
    </w:p>
    <w:p w:rsidR="00A77F3E" w:rsidRPr="005C0505" w:rsidRDefault="00CB550E" w:rsidP="00CB550E">
      <w:pPr>
        <w:pStyle w:val="subsection"/>
      </w:pPr>
      <w:r w:rsidRPr="005C0505">
        <w:tab/>
        <w:t>(1)</w:t>
      </w:r>
      <w:r w:rsidRPr="005C0505">
        <w:tab/>
        <w:t xml:space="preserve">A person may apply to the </w:t>
      </w:r>
      <w:proofErr w:type="spellStart"/>
      <w:r w:rsidRPr="005C0505">
        <w:t>APVMA</w:t>
      </w:r>
      <w:proofErr w:type="spellEnd"/>
      <w:r w:rsidRPr="005C0505">
        <w:t xml:space="preserve"> </w:t>
      </w:r>
      <w:r w:rsidR="00742DED" w:rsidRPr="005C0505">
        <w:t xml:space="preserve">for the making of </w:t>
      </w:r>
      <w:r w:rsidRPr="005C0505">
        <w:t xml:space="preserve">an interchangeable constituent determination in relation </w:t>
      </w:r>
      <w:r w:rsidR="00A77F3E" w:rsidRPr="005C0505">
        <w:t>to a chemical product or a class of chemical products.</w:t>
      </w:r>
    </w:p>
    <w:p w:rsidR="00CB550E" w:rsidRPr="005C0505" w:rsidRDefault="00CB550E" w:rsidP="00CB550E">
      <w:pPr>
        <w:pStyle w:val="subsection"/>
      </w:pPr>
      <w:r w:rsidRPr="005C0505">
        <w:tab/>
        <w:t>(2)</w:t>
      </w:r>
      <w:r w:rsidRPr="005C0505">
        <w:tab/>
        <w:t>The application must specify the following for each constituent covered by the application:</w:t>
      </w:r>
    </w:p>
    <w:p w:rsidR="00CB550E" w:rsidRPr="005C0505" w:rsidRDefault="00CB550E" w:rsidP="00CB550E">
      <w:pPr>
        <w:pStyle w:val="paragraph"/>
      </w:pPr>
      <w:r w:rsidRPr="005C0505">
        <w:tab/>
        <w:t>(a)</w:t>
      </w:r>
      <w:r w:rsidRPr="005C0505">
        <w:tab/>
        <w:t>the identity of the constituent</w:t>
      </w:r>
      <w:r w:rsidR="00B67461" w:rsidRPr="005C0505">
        <w:t>,</w:t>
      </w:r>
      <w:r w:rsidRPr="005C0505">
        <w:t xml:space="preserve"> including:</w:t>
      </w:r>
    </w:p>
    <w:p w:rsidR="00CB550E" w:rsidRPr="005C0505" w:rsidRDefault="00CB550E" w:rsidP="00CB550E">
      <w:pPr>
        <w:pStyle w:val="paragraphsub"/>
      </w:pPr>
      <w:r w:rsidRPr="005C0505">
        <w:tab/>
        <w:t>(</w:t>
      </w:r>
      <w:proofErr w:type="spellStart"/>
      <w:r w:rsidRPr="005C0505">
        <w:t>i</w:t>
      </w:r>
      <w:proofErr w:type="spellEnd"/>
      <w:r w:rsidRPr="005C0505">
        <w:t>)</w:t>
      </w:r>
      <w:r w:rsidRPr="005C0505">
        <w:tab/>
        <w:t>the common name of the constituent; and</w:t>
      </w:r>
    </w:p>
    <w:p w:rsidR="00CB550E" w:rsidRPr="005C0505" w:rsidRDefault="00CB550E" w:rsidP="00CB550E">
      <w:pPr>
        <w:pStyle w:val="paragraphsub"/>
      </w:pPr>
      <w:r w:rsidRPr="005C0505">
        <w:tab/>
        <w:t>(ii)</w:t>
      </w:r>
      <w:r w:rsidRPr="005C0505">
        <w:tab/>
        <w:t>if a name is given to the constituent by the International Union of Pure and Applied Chemistry—that name; and</w:t>
      </w:r>
    </w:p>
    <w:p w:rsidR="00CB550E" w:rsidRPr="005C0505" w:rsidRDefault="00CB550E" w:rsidP="00CB550E">
      <w:pPr>
        <w:pStyle w:val="paragraphsub"/>
      </w:pPr>
      <w:r w:rsidRPr="005C0505">
        <w:tab/>
        <w:t>(iii)</w:t>
      </w:r>
      <w:r w:rsidRPr="005C0505">
        <w:tab/>
        <w:t>the chemical abstract service number for the constituent;</w:t>
      </w:r>
    </w:p>
    <w:p w:rsidR="00CB550E" w:rsidRPr="005C0505" w:rsidRDefault="00CB550E" w:rsidP="00CB550E">
      <w:pPr>
        <w:pStyle w:val="paragraph"/>
      </w:pPr>
      <w:r w:rsidRPr="005C0505">
        <w:tab/>
        <w:t>(b)</w:t>
      </w:r>
      <w:r w:rsidRPr="005C0505">
        <w:tab/>
        <w:t>the purpose of the constitu</w:t>
      </w:r>
      <w:r w:rsidR="00D36510" w:rsidRPr="005C0505">
        <w:t>ent in the chemical product;</w:t>
      </w:r>
    </w:p>
    <w:p w:rsidR="00CB550E" w:rsidRPr="005C0505" w:rsidRDefault="00CB550E" w:rsidP="00CB550E">
      <w:pPr>
        <w:pStyle w:val="paragraph"/>
      </w:pPr>
      <w:r w:rsidRPr="005C0505">
        <w:tab/>
        <w:t>(c)</w:t>
      </w:r>
      <w:r w:rsidRPr="005C0505">
        <w:tab/>
        <w:t>any requirements (including</w:t>
      </w:r>
      <w:r w:rsidR="00742DED" w:rsidRPr="005C0505">
        <w:t>,</w:t>
      </w:r>
      <w:r w:rsidRPr="005C0505">
        <w:t xml:space="preserve"> for example</w:t>
      </w:r>
      <w:r w:rsidR="00742DED" w:rsidRPr="005C0505">
        <w:t>,</w:t>
      </w:r>
      <w:r w:rsidRPr="005C0505">
        <w:t xml:space="preserve"> minimum purity or other quality specifica</w:t>
      </w:r>
      <w:r w:rsidR="0011467E" w:rsidRPr="005C0505">
        <w:t>tions) for the constituent.</w:t>
      </w:r>
    </w:p>
    <w:p w:rsidR="00CB550E" w:rsidRPr="005C0505" w:rsidRDefault="00473FEA" w:rsidP="00D51AE9">
      <w:pPr>
        <w:pStyle w:val="subsection"/>
      </w:pPr>
      <w:r w:rsidRPr="005C0505">
        <w:tab/>
      </w:r>
      <w:r w:rsidR="00CB550E" w:rsidRPr="005C0505">
        <w:t>(</w:t>
      </w:r>
      <w:r w:rsidR="00D51AE9" w:rsidRPr="005C0505">
        <w:t>3</w:t>
      </w:r>
      <w:r w:rsidR="00CB550E" w:rsidRPr="005C0505">
        <w:t>)</w:t>
      </w:r>
      <w:r w:rsidR="00CB550E" w:rsidRPr="005C0505">
        <w:tab/>
      </w:r>
      <w:r w:rsidR="00CA7F4D" w:rsidRPr="005C0505">
        <w:t xml:space="preserve">The </w:t>
      </w:r>
      <w:proofErr w:type="spellStart"/>
      <w:r w:rsidR="00CA7F4D" w:rsidRPr="005C0505">
        <w:t>APVMA</w:t>
      </w:r>
      <w:proofErr w:type="spellEnd"/>
      <w:r w:rsidR="00CA7F4D" w:rsidRPr="005C0505">
        <w:t xml:space="preserve"> </w:t>
      </w:r>
      <w:r w:rsidR="0025740C" w:rsidRPr="005C0505">
        <w:t>must</w:t>
      </w:r>
      <w:r w:rsidR="00CA7F4D" w:rsidRPr="005C0505">
        <w:t xml:space="preserve"> make </w:t>
      </w:r>
      <w:r w:rsidR="00D51AE9" w:rsidRPr="005C0505">
        <w:t>an</w:t>
      </w:r>
      <w:r w:rsidR="00CA7F4D" w:rsidRPr="005C0505">
        <w:t xml:space="preserve"> interchangeable constituent determination if the </w:t>
      </w:r>
      <w:proofErr w:type="spellStart"/>
      <w:r w:rsidR="00CA7F4D" w:rsidRPr="005C0505">
        <w:t>APVMA</w:t>
      </w:r>
      <w:proofErr w:type="spellEnd"/>
      <w:r w:rsidR="00CA7F4D" w:rsidRPr="005C0505">
        <w:t xml:space="preserve"> is satisfied:</w:t>
      </w:r>
    </w:p>
    <w:p w:rsidR="00CA7F4D" w:rsidRPr="005C0505" w:rsidRDefault="00CA7F4D" w:rsidP="00CA7F4D">
      <w:pPr>
        <w:pStyle w:val="paragraph"/>
      </w:pPr>
      <w:r w:rsidRPr="005C0505">
        <w:tab/>
        <w:t>(a)</w:t>
      </w:r>
      <w:r w:rsidRPr="005C0505">
        <w:tab/>
        <w:t>that the application meets the application requirements; and</w:t>
      </w:r>
    </w:p>
    <w:p w:rsidR="00CA7F4D" w:rsidRPr="005C0505" w:rsidRDefault="00CA7F4D" w:rsidP="00CA7F4D">
      <w:pPr>
        <w:pStyle w:val="paragraph"/>
      </w:pPr>
      <w:r w:rsidRPr="005C0505">
        <w:tab/>
        <w:t>(b)</w:t>
      </w:r>
      <w:r w:rsidRPr="005C0505">
        <w:tab/>
        <w:t xml:space="preserve">of the matters mentioned in </w:t>
      </w:r>
      <w:proofErr w:type="spellStart"/>
      <w:r w:rsidRPr="005C0505">
        <w:t>subregulation</w:t>
      </w:r>
      <w:proofErr w:type="spellEnd"/>
      <w:r w:rsidR="005C0505" w:rsidRPr="005C0505">
        <w:t> </w:t>
      </w:r>
      <w:r w:rsidR="00736578" w:rsidRPr="005C0505">
        <w:t>19AEA(</w:t>
      </w:r>
      <w:r w:rsidR="000627F5" w:rsidRPr="005C0505">
        <w:t>5</w:t>
      </w:r>
      <w:r w:rsidR="00623613" w:rsidRPr="005C0505">
        <w:t>).</w:t>
      </w:r>
    </w:p>
    <w:p w:rsidR="00152170" w:rsidRPr="005C0505" w:rsidRDefault="00CA7F4D" w:rsidP="00CB550E">
      <w:pPr>
        <w:pStyle w:val="subsection"/>
      </w:pPr>
      <w:r w:rsidRPr="005C0505">
        <w:tab/>
        <w:t>(</w:t>
      </w:r>
      <w:r w:rsidR="00071312" w:rsidRPr="005C0505">
        <w:t>4</w:t>
      </w:r>
      <w:r w:rsidRPr="005C0505">
        <w:t>)</w:t>
      </w:r>
      <w:r w:rsidRPr="005C0505">
        <w:tab/>
      </w:r>
      <w:r w:rsidR="003E3987" w:rsidRPr="005C0505">
        <w:t xml:space="preserve">The </w:t>
      </w:r>
      <w:proofErr w:type="spellStart"/>
      <w:r w:rsidR="003E3987" w:rsidRPr="005C0505">
        <w:t>APVMA</w:t>
      </w:r>
      <w:proofErr w:type="spellEnd"/>
      <w:r w:rsidR="003E3987" w:rsidRPr="005C0505">
        <w:t xml:space="preserve"> must, </w:t>
      </w:r>
      <w:r w:rsidR="005F0C5A" w:rsidRPr="005C0505">
        <w:t xml:space="preserve">within 14 days of making </w:t>
      </w:r>
      <w:r w:rsidR="00071312" w:rsidRPr="005C0505">
        <w:t>an interchangeable constituent determination</w:t>
      </w:r>
      <w:r w:rsidR="00152170" w:rsidRPr="005C0505">
        <w:t>:</w:t>
      </w:r>
    </w:p>
    <w:p w:rsidR="00CA7F4D" w:rsidRPr="005C0505" w:rsidRDefault="00152170" w:rsidP="00152170">
      <w:pPr>
        <w:pStyle w:val="paragraph"/>
      </w:pPr>
      <w:r w:rsidRPr="005C0505">
        <w:tab/>
        <w:t>(a)</w:t>
      </w:r>
      <w:r w:rsidRPr="005C0505">
        <w:tab/>
      </w:r>
      <w:r w:rsidR="005F0C5A" w:rsidRPr="005C0505">
        <w:t>inform the applicant, in writing, of th</w:t>
      </w:r>
      <w:r w:rsidR="003B5938" w:rsidRPr="005C0505">
        <w:t>at fact</w:t>
      </w:r>
      <w:r w:rsidRPr="005C0505">
        <w:t>; and</w:t>
      </w:r>
    </w:p>
    <w:p w:rsidR="00152170" w:rsidRPr="005C0505" w:rsidRDefault="00152170" w:rsidP="00152170">
      <w:pPr>
        <w:pStyle w:val="paragraph"/>
      </w:pPr>
      <w:r w:rsidRPr="005C0505">
        <w:tab/>
        <w:t>(b)</w:t>
      </w:r>
      <w:r w:rsidRPr="005C0505">
        <w:tab/>
        <w:t>provide the applicant with a copy of the determination.</w:t>
      </w:r>
    </w:p>
    <w:p w:rsidR="00152170" w:rsidRPr="005C0505" w:rsidRDefault="00152170" w:rsidP="00152170">
      <w:pPr>
        <w:pStyle w:val="notetext"/>
      </w:pPr>
      <w:r w:rsidRPr="005C0505">
        <w:t>Note:</w:t>
      </w:r>
      <w:r w:rsidRPr="005C0505">
        <w:tab/>
      </w:r>
      <w:r w:rsidR="005F51C2" w:rsidRPr="005C0505">
        <w:t xml:space="preserve">For notification requirements if the </w:t>
      </w:r>
      <w:proofErr w:type="spellStart"/>
      <w:r w:rsidR="005F51C2" w:rsidRPr="005C0505">
        <w:t>APVMA</w:t>
      </w:r>
      <w:proofErr w:type="spellEnd"/>
      <w:r w:rsidR="005F51C2" w:rsidRPr="005C0505">
        <w:t xml:space="preserve"> refuses an application, see s</w:t>
      </w:r>
      <w:r w:rsidRPr="005C0505">
        <w:t>ection</w:t>
      </w:r>
      <w:r w:rsidR="005C0505" w:rsidRPr="005C0505">
        <w:t> </w:t>
      </w:r>
      <w:r w:rsidRPr="005C0505">
        <w:t>8G</w:t>
      </w:r>
      <w:r w:rsidR="005F51C2" w:rsidRPr="005C0505">
        <w:t xml:space="preserve"> of the Code</w:t>
      </w:r>
      <w:r w:rsidRPr="005C0505">
        <w:t>.</w:t>
      </w:r>
    </w:p>
    <w:p w:rsidR="00CB550E" w:rsidRPr="005C0505" w:rsidRDefault="00623613" w:rsidP="00CB550E">
      <w:pPr>
        <w:pStyle w:val="subsection"/>
      </w:pPr>
      <w:r w:rsidRPr="005C0505">
        <w:tab/>
        <w:t>(</w:t>
      </w:r>
      <w:r w:rsidR="0025740C" w:rsidRPr="005C0505">
        <w:t>5</w:t>
      </w:r>
      <w:r w:rsidR="00CB550E" w:rsidRPr="005C0505">
        <w:t>)</w:t>
      </w:r>
      <w:r w:rsidR="00CB550E" w:rsidRPr="005C0505">
        <w:tab/>
        <w:t xml:space="preserve">The following provisions of the Code apply in relation to an application under </w:t>
      </w:r>
      <w:proofErr w:type="spellStart"/>
      <w:r w:rsidR="0024034F" w:rsidRPr="005C0505">
        <w:t>sub</w:t>
      </w:r>
      <w:r w:rsidR="00742DED" w:rsidRPr="005C0505">
        <w:t>regulation</w:t>
      </w:r>
      <w:proofErr w:type="spellEnd"/>
      <w:r w:rsidR="005C0505" w:rsidRPr="005C0505">
        <w:t> </w:t>
      </w:r>
      <w:r w:rsidR="0024034F" w:rsidRPr="005C0505">
        <w:t>(</w:t>
      </w:r>
      <w:r w:rsidR="00CB550E" w:rsidRPr="005C0505">
        <w:t>1) as if the application were an application made under the Code in relation to an active constituent for a proposed or existing chemical product:</w:t>
      </w:r>
    </w:p>
    <w:p w:rsidR="00CB550E" w:rsidRPr="005C0505" w:rsidRDefault="00CB550E" w:rsidP="00CB550E">
      <w:pPr>
        <w:pStyle w:val="paragraph"/>
      </w:pPr>
      <w:r w:rsidRPr="005C0505">
        <w:tab/>
        <w:t>(a)</w:t>
      </w:r>
      <w:r w:rsidRPr="005C0505">
        <w:tab/>
        <w:t>section</w:t>
      </w:r>
      <w:r w:rsidR="005C0505" w:rsidRPr="005C0505">
        <w:t> </w:t>
      </w:r>
      <w:r w:rsidRPr="005C0505">
        <w:t>157 (samples to be given for analysis);</w:t>
      </w:r>
    </w:p>
    <w:p w:rsidR="00CB550E" w:rsidRPr="005C0505" w:rsidRDefault="00CB550E" w:rsidP="00CB550E">
      <w:pPr>
        <w:pStyle w:val="paragraph"/>
      </w:pPr>
      <w:r w:rsidRPr="005C0505">
        <w:tab/>
        <w:t>(b)</w:t>
      </w:r>
      <w:r w:rsidRPr="005C0505">
        <w:tab/>
        <w:t>section</w:t>
      </w:r>
      <w:r w:rsidR="005C0505" w:rsidRPr="005C0505">
        <w:t> </w:t>
      </w:r>
      <w:r w:rsidRPr="005C0505">
        <w:t xml:space="preserve">159 (requiring information to determine </w:t>
      </w:r>
      <w:r w:rsidR="00277EFC" w:rsidRPr="005C0505">
        <w:t xml:space="preserve">an </w:t>
      </w:r>
      <w:r w:rsidRPr="005C0505">
        <w:t>application).</w:t>
      </w:r>
    </w:p>
    <w:p w:rsidR="00CB550E" w:rsidRPr="005C0505" w:rsidRDefault="00CB550E" w:rsidP="00CB550E">
      <w:pPr>
        <w:pStyle w:val="notetext"/>
      </w:pPr>
      <w:r w:rsidRPr="005C0505">
        <w:t>Note 1:</w:t>
      </w:r>
      <w:r w:rsidRPr="005C0505">
        <w:tab/>
        <w:t xml:space="preserve">A number of provisions in the Code apply automatically in relation to </w:t>
      </w:r>
      <w:r w:rsidR="00447F9E" w:rsidRPr="005C0505">
        <w:t>a</w:t>
      </w:r>
      <w:r w:rsidRPr="005C0505">
        <w:t>pplication</w:t>
      </w:r>
      <w:r w:rsidR="00447F9E" w:rsidRPr="005C0505">
        <w:t>s</w:t>
      </w:r>
      <w:r w:rsidRPr="005C0505">
        <w:t xml:space="preserve"> made under it (including applications made under these Regulations). See, for example, sections</w:t>
      </w:r>
      <w:r w:rsidR="005C0505" w:rsidRPr="005C0505">
        <w:t> </w:t>
      </w:r>
      <w:r w:rsidRPr="005C0505">
        <w:t>8B to 8D, and sections</w:t>
      </w:r>
      <w:r w:rsidR="005C0505" w:rsidRPr="005C0505">
        <w:t> </w:t>
      </w:r>
      <w:r w:rsidRPr="005C0505">
        <w:t>8G, 8S, 156A, 164 and 165</w:t>
      </w:r>
      <w:r w:rsidR="00623613" w:rsidRPr="005C0505">
        <w:t>,</w:t>
      </w:r>
      <w:r w:rsidRPr="005C0505">
        <w:t xml:space="preserve"> of the Code.</w:t>
      </w:r>
    </w:p>
    <w:p w:rsidR="00CB550E" w:rsidRPr="005C0505" w:rsidRDefault="00CB550E" w:rsidP="00CB550E">
      <w:pPr>
        <w:pStyle w:val="notetext"/>
      </w:pPr>
      <w:r w:rsidRPr="005C0505">
        <w:t>Note 2:</w:t>
      </w:r>
      <w:r w:rsidRPr="005C0505">
        <w:tab/>
        <w:t>Regulation</w:t>
      </w:r>
      <w:r w:rsidR="005C0505" w:rsidRPr="005C0505">
        <w:t> </w:t>
      </w:r>
      <w:r w:rsidR="00A65C0F" w:rsidRPr="005C0505">
        <w:t>19AEC</w:t>
      </w:r>
      <w:r w:rsidRPr="005C0505">
        <w:t xml:space="preserve"> applies certain other provisions in relation to applications made under this regulation.</w:t>
      </w:r>
    </w:p>
    <w:p w:rsidR="00CB550E" w:rsidRPr="005C0505" w:rsidRDefault="00A65C0F" w:rsidP="00CB550E">
      <w:pPr>
        <w:pStyle w:val="ActHead5"/>
      </w:pPr>
      <w:bookmarkStart w:id="31" w:name="_Toc435617023"/>
      <w:r w:rsidRPr="005C0505">
        <w:rPr>
          <w:rStyle w:val="CharSectno"/>
        </w:rPr>
        <w:t>19AEC</w:t>
      </w:r>
      <w:r w:rsidR="00CB550E" w:rsidRPr="005C0505">
        <w:t xml:space="preserve">  Limits on information that may be used for interchangeable constituent determinations</w:t>
      </w:r>
      <w:bookmarkEnd w:id="31"/>
    </w:p>
    <w:p w:rsidR="00426180" w:rsidRPr="005C0505" w:rsidRDefault="00426180" w:rsidP="00426180">
      <w:pPr>
        <w:pStyle w:val="SubsectionHead"/>
      </w:pPr>
      <w:r w:rsidRPr="005C0505">
        <w:t>Overseas trials and experiments, consultation</w:t>
      </w:r>
      <w:r w:rsidR="00247C09" w:rsidRPr="005C0505">
        <w:t xml:space="preserve"> and information, reports or samples</w:t>
      </w:r>
    </w:p>
    <w:p w:rsidR="005F6472" w:rsidRPr="005C0505" w:rsidRDefault="00426180" w:rsidP="005F6472">
      <w:pPr>
        <w:pStyle w:val="subsection"/>
      </w:pPr>
      <w:r w:rsidRPr="005C0505">
        <w:tab/>
        <w:t>(1)</w:t>
      </w:r>
      <w:r w:rsidRPr="005C0505">
        <w:tab/>
        <w:t xml:space="preserve">The following provisions </w:t>
      </w:r>
      <w:r w:rsidR="005F6472" w:rsidRPr="005C0505">
        <w:t>apply in relation to the making, variation or revocation of a</w:t>
      </w:r>
      <w:r w:rsidR="0000357F" w:rsidRPr="005C0505">
        <w:t>n</w:t>
      </w:r>
      <w:r w:rsidR="005F6472" w:rsidRPr="005C0505">
        <w:t xml:space="preserve"> interchangeable </w:t>
      </w:r>
      <w:r w:rsidR="00D34E42" w:rsidRPr="005C0505">
        <w:t>constituent</w:t>
      </w:r>
      <w:r w:rsidR="005F6472" w:rsidRPr="005C0505">
        <w:t xml:space="preserve"> determination </w:t>
      </w:r>
      <w:r w:rsidR="00E366CD" w:rsidRPr="005C0505">
        <w:t xml:space="preserve">as if the constituent to which the determination relates </w:t>
      </w:r>
      <w:r w:rsidR="005F6472" w:rsidRPr="005C0505">
        <w:t>were an active constituent for a proposed or existing chemical product:</w:t>
      </w:r>
    </w:p>
    <w:p w:rsidR="00247C09" w:rsidRPr="005C0505" w:rsidRDefault="005F6472" w:rsidP="005F6472">
      <w:pPr>
        <w:pStyle w:val="paragraph"/>
      </w:pPr>
      <w:r w:rsidRPr="005C0505">
        <w:tab/>
        <w:t>(a)</w:t>
      </w:r>
      <w:r w:rsidR="00247C09" w:rsidRPr="005C0505">
        <w:tab/>
        <w:t>section</w:t>
      </w:r>
      <w:r w:rsidR="005C0505" w:rsidRPr="005C0505">
        <w:t> </w:t>
      </w:r>
      <w:r w:rsidR="00247C09" w:rsidRPr="005C0505">
        <w:t>159</w:t>
      </w:r>
      <w:r w:rsidR="00D36510" w:rsidRPr="005C0505">
        <w:t xml:space="preserve"> of the Code</w:t>
      </w:r>
      <w:r w:rsidR="00247C09" w:rsidRPr="005C0505">
        <w:t xml:space="preserve"> (requiring information to determine </w:t>
      </w:r>
      <w:r w:rsidR="00277EFC" w:rsidRPr="005C0505">
        <w:t xml:space="preserve">an </w:t>
      </w:r>
      <w:r w:rsidR="00247C09" w:rsidRPr="005C0505">
        <w:t>application);</w:t>
      </w:r>
    </w:p>
    <w:p w:rsidR="005F6472" w:rsidRPr="005C0505" w:rsidRDefault="00247C09" w:rsidP="005F6472">
      <w:pPr>
        <w:pStyle w:val="paragraph"/>
      </w:pPr>
      <w:r w:rsidRPr="005C0505">
        <w:tab/>
        <w:t>(b)</w:t>
      </w:r>
      <w:r w:rsidRPr="005C0505">
        <w:tab/>
      </w:r>
      <w:r w:rsidR="005F6472" w:rsidRPr="005C0505">
        <w:t>subsections</w:t>
      </w:r>
      <w:r w:rsidR="005C0505" w:rsidRPr="005C0505">
        <w:t> </w:t>
      </w:r>
      <w:r w:rsidR="005F6472" w:rsidRPr="005C0505">
        <w:t>160(2) and (3) of the Code (overseas trials and experiments);</w:t>
      </w:r>
    </w:p>
    <w:p w:rsidR="005F6472" w:rsidRPr="005C0505" w:rsidRDefault="00247C09" w:rsidP="005F6472">
      <w:pPr>
        <w:pStyle w:val="paragraph"/>
      </w:pPr>
      <w:r w:rsidRPr="005C0505">
        <w:tab/>
        <w:t>(c</w:t>
      </w:r>
      <w:r w:rsidR="005F6472" w:rsidRPr="005C0505">
        <w:t>)</w:t>
      </w:r>
      <w:r w:rsidR="005F6472" w:rsidRPr="005C0505">
        <w:tab/>
        <w:t>section</w:t>
      </w:r>
      <w:r w:rsidR="005C0505" w:rsidRPr="005C0505">
        <w:t> </w:t>
      </w:r>
      <w:r w:rsidR="005F6472" w:rsidRPr="005C0505">
        <w:t xml:space="preserve">8 of the </w:t>
      </w:r>
      <w:r w:rsidR="005F6472" w:rsidRPr="005C0505">
        <w:rPr>
          <w:i/>
        </w:rPr>
        <w:t xml:space="preserve">Agricultural and Veterinary Chemicals (Administration) Act 1992 </w:t>
      </w:r>
      <w:r w:rsidRPr="005C0505">
        <w:t>(consultation).</w:t>
      </w:r>
    </w:p>
    <w:p w:rsidR="005F6472" w:rsidRPr="005C0505" w:rsidRDefault="005F6472" w:rsidP="005F6472">
      <w:pPr>
        <w:pStyle w:val="SubsectionHead"/>
      </w:pPr>
      <w:r w:rsidRPr="005C0505">
        <w:t>Limits on use of information</w:t>
      </w:r>
    </w:p>
    <w:p w:rsidR="00CB550E" w:rsidRPr="005C0505" w:rsidRDefault="00CB550E" w:rsidP="00CB550E">
      <w:pPr>
        <w:pStyle w:val="subsection"/>
      </w:pPr>
      <w:r w:rsidRPr="005C0505">
        <w:tab/>
        <w:t>(</w:t>
      </w:r>
      <w:r w:rsidR="005F6472" w:rsidRPr="005C0505">
        <w:t>2</w:t>
      </w:r>
      <w:r w:rsidRPr="005C0505">
        <w:t>)</w:t>
      </w:r>
      <w:r w:rsidRPr="005C0505">
        <w:tab/>
        <w:t xml:space="preserve">The </w:t>
      </w:r>
      <w:proofErr w:type="spellStart"/>
      <w:r w:rsidRPr="005C0505">
        <w:t>APVMA</w:t>
      </w:r>
      <w:proofErr w:type="spellEnd"/>
      <w:r w:rsidRPr="005C0505">
        <w:t xml:space="preserve"> must not use information given to it in connection with an application under the Code:</w:t>
      </w:r>
    </w:p>
    <w:p w:rsidR="00CB550E" w:rsidRPr="005C0505" w:rsidRDefault="00CB550E" w:rsidP="00CB550E">
      <w:pPr>
        <w:pStyle w:val="paragraph"/>
      </w:pPr>
      <w:r w:rsidRPr="005C0505">
        <w:tab/>
        <w:t>(a)</w:t>
      </w:r>
      <w:r w:rsidRPr="005C0505">
        <w:tab/>
        <w:t>to assess an application made under regulation</w:t>
      </w:r>
      <w:r w:rsidR="005C0505" w:rsidRPr="005C0505">
        <w:t> </w:t>
      </w:r>
      <w:r w:rsidR="00CC19F5" w:rsidRPr="005C0505">
        <w:t>19AEB</w:t>
      </w:r>
      <w:r w:rsidRPr="005C0505">
        <w:t>; or</w:t>
      </w:r>
    </w:p>
    <w:p w:rsidR="00CB550E" w:rsidRPr="005C0505" w:rsidRDefault="00CB550E" w:rsidP="00CB550E">
      <w:pPr>
        <w:pStyle w:val="paragraph"/>
      </w:pPr>
      <w:r w:rsidRPr="005C0505">
        <w:tab/>
        <w:t>(b)</w:t>
      </w:r>
      <w:r w:rsidRPr="005C0505">
        <w:tab/>
        <w:t>to make any other decision in relation to the making, variation or revocation of an interchangeable constituent determination;</w:t>
      </w:r>
    </w:p>
    <w:p w:rsidR="00CB550E" w:rsidRPr="005C0505" w:rsidRDefault="00CB550E" w:rsidP="00CB550E">
      <w:pPr>
        <w:pStyle w:val="subsection2"/>
      </w:pPr>
      <w:r w:rsidRPr="005C0505">
        <w:t xml:space="preserve">unless the information was given to it in connection with the application mentioned in </w:t>
      </w:r>
      <w:r w:rsidR="005C0505" w:rsidRPr="005C0505">
        <w:t>paragraph (</w:t>
      </w:r>
      <w:r w:rsidRPr="005C0505">
        <w:t xml:space="preserve">a) or the decision mentioned in </w:t>
      </w:r>
      <w:r w:rsidR="005C0505" w:rsidRPr="005C0505">
        <w:t>paragraph (</w:t>
      </w:r>
      <w:r w:rsidRPr="005C0505">
        <w:t>b).</w:t>
      </w:r>
    </w:p>
    <w:p w:rsidR="00834AAE" w:rsidRPr="005C0505" w:rsidRDefault="00834AAE" w:rsidP="00834AAE">
      <w:pPr>
        <w:pStyle w:val="subsection"/>
      </w:pPr>
      <w:r w:rsidRPr="005C0505">
        <w:tab/>
        <w:t>(3)</w:t>
      </w:r>
      <w:r w:rsidRPr="005C0505">
        <w:tab/>
        <w:t>A person or body consulted under section</w:t>
      </w:r>
      <w:r w:rsidR="005C0505" w:rsidRPr="005C0505">
        <w:t> </w:t>
      </w:r>
      <w:r w:rsidRPr="005C0505">
        <w:t xml:space="preserve">8 of the </w:t>
      </w:r>
      <w:r w:rsidRPr="005C0505">
        <w:rPr>
          <w:i/>
        </w:rPr>
        <w:t>Agricultural and Veterinary Chemicals (Administration) Act 1992</w:t>
      </w:r>
      <w:r w:rsidRPr="005C0505">
        <w:t xml:space="preserve">, as that section applies under </w:t>
      </w:r>
      <w:proofErr w:type="spellStart"/>
      <w:r w:rsidRPr="005C0505">
        <w:t>sub</w:t>
      </w:r>
      <w:r w:rsidR="00447F9E" w:rsidRPr="005C0505">
        <w:t>regulation</w:t>
      </w:r>
      <w:proofErr w:type="spellEnd"/>
      <w:r w:rsidR="005C0505" w:rsidRPr="005C0505">
        <w:t> </w:t>
      </w:r>
      <w:r w:rsidRPr="005C0505">
        <w:t>(1), must not, for the purposes of providing information or advice in relation to the making, variation or revocation of an</w:t>
      </w:r>
      <w:r w:rsidR="00CC19F5" w:rsidRPr="005C0505">
        <w:t xml:space="preserve"> interchangeable constituent </w:t>
      </w:r>
      <w:r w:rsidRPr="005C0505">
        <w:t>determination, use information</w:t>
      </w:r>
      <w:r w:rsidR="00742DED" w:rsidRPr="005C0505">
        <w:t xml:space="preserve"> </w:t>
      </w:r>
      <w:r w:rsidR="00EC3BF2" w:rsidRPr="005C0505">
        <w:t xml:space="preserve">that </w:t>
      </w:r>
      <w:r w:rsidRPr="005C0505">
        <w:t xml:space="preserve">the </w:t>
      </w:r>
      <w:proofErr w:type="spellStart"/>
      <w:r w:rsidRPr="005C0505">
        <w:t>APVMA</w:t>
      </w:r>
      <w:proofErr w:type="spellEnd"/>
      <w:r w:rsidRPr="005C0505">
        <w:t xml:space="preserve"> must not, under </w:t>
      </w:r>
      <w:proofErr w:type="spellStart"/>
      <w:r w:rsidRPr="005C0505">
        <w:t>sub</w:t>
      </w:r>
      <w:r w:rsidR="00447F9E" w:rsidRPr="005C0505">
        <w:t>regulation</w:t>
      </w:r>
      <w:proofErr w:type="spellEnd"/>
      <w:r w:rsidR="005C0505" w:rsidRPr="005C0505">
        <w:t> </w:t>
      </w:r>
      <w:r w:rsidRPr="005C0505">
        <w:t xml:space="preserve">(2), use in relation to the </w:t>
      </w:r>
      <w:r w:rsidR="00CC19F5" w:rsidRPr="005C0505">
        <w:t>interchangeable constituent deter</w:t>
      </w:r>
      <w:r w:rsidRPr="005C0505">
        <w:t>mination.</w:t>
      </w:r>
    </w:p>
    <w:p w:rsidR="00CB550E" w:rsidRPr="005C0505" w:rsidRDefault="00834AAE" w:rsidP="00CB550E">
      <w:pPr>
        <w:pStyle w:val="subsection"/>
      </w:pPr>
      <w:r w:rsidRPr="005C0505">
        <w:tab/>
        <w:t>(4</w:t>
      </w:r>
      <w:r w:rsidR="00CB550E" w:rsidRPr="005C0505">
        <w:t>)</w:t>
      </w:r>
      <w:r w:rsidR="00CB550E" w:rsidRPr="005C0505">
        <w:tab/>
        <w:t xml:space="preserve">The following provisions of the Code apply in relation to </w:t>
      </w:r>
      <w:proofErr w:type="spellStart"/>
      <w:r w:rsidR="00CB550E" w:rsidRPr="005C0505">
        <w:t>subregulation</w:t>
      </w:r>
      <w:r w:rsidR="00742DED" w:rsidRPr="005C0505">
        <w:t>s</w:t>
      </w:r>
      <w:proofErr w:type="spellEnd"/>
      <w:r w:rsidR="00B86B1A" w:rsidRPr="005C0505">
        <w:t xml:space="preserve"> </w:t>
      </w:r>
      <w:r w:rsidR="00CB550E" w:rsidRPr="005C0505">
        <w:t>(</w:t>
      </w:r>
      <w:r w:rsidR="00742DED" w:rsidRPr="005C0505">
        <w:t>2</w:t>
      </w:r>
      <w:r w:rsidR="00CB550E" w:rsidRPr="005C0505">
        <w:t>)</w:t>
      </w:r>
      <w:r w:rsidR="00742DED" w:rsidRPr="005C0505">
        <w:t xml:space="preserve"> and (3)</w:t>
      </w:r>
      <w:r w:rsidR="00CB550E" w:rsidRPr="005C0505">
        <w:t xml:space="preserve"> in the same way as they apply in relation to subsections</w:t>
      </w:r>
      <w:r w:rsidR="005C0505" w:rsidRPr="005C0505">
        <w:t> </w:t>
      </w:r>
      <w:r w:rsidR="00CB550E" w:rsidRPr="005C0505">
        <w:t>34G(1) and (3) of the Code:</w:t>
      </w:r>
    </w:p>
    <w:p w:rsidR="00CB550E" w:rsidRPr="005C0505" w:rsidRDefault="00CB550E" w:rsidP="00CB550E">
      <w:pPr>
        <w:pStyle w:val="paragraph"/>
      </w:pPr>
      <w:r w:rsidRPr="005C0505">
        <w:tab/>
        <w:t>(a)</w:t>
      </w:r>
      <w:r w:rsidRPr="005C0505">
        <w:tab/>
        <w:t>subsections</w:t>
      </w:r>
      <w:r w:rsidR="005C0505" w:rsidRPr="005C0505">
        <w:t> </w:t>
      </w:r>
      <w:r w:rsidRPr="005C0505">
        <w:t>34G(1B) and (2);</w:t>
      </w:r>
    </w:p>
    <w:p w:rsidR="00CB550E" w:rsidRPr="005C0505" w:rsidRDefault="00CB550E" w:rsidP="00CB550E">
      <w:pPr>
        <w:pStyle w:val="paragraph"/>
      </w:pPr>
      <w:r w:rsidRPr="005C0505">
        <w:tab/>
        <w:t>(b)</w:t>
      </w:r>
      <w:r w:rsidRPr="005C0505">
        <w:tab/>
        <w:t>sections</w:t>
      </w:r>
      <w:r w:rsidR="005C0505" w:rsidRPr="005C0505">
        <w:t> </w:t>
      </w:r>
      <w:r w:rsidRPr="005C0505">
        <w:t>34H to 34M.</w:t>
      </w:r>
    </w:p>
    <w:p w:rsidR="00CB550E" w:rsidRPr="005C0505" w:rsidRDefault="00CB550E" w:rsidP="00CB550E">
      <w:pPr>
        <w:pStyle w:val="subsection"/>
      </w:pPr>
      <w:r w:rsidRPr="005C0505">
        <w:tab/>
        <w:t>(</w:t>
      </w:r>
      <w:r w:rsidR="00834AAE" w:rsidRPr="005C0505">
        <w:t>5)</w:t>
      </w:r>
      <w:r w:rsidRPr="005C0505">
        <w:tab/>
        <w:t xml:space="preserve">For </w:t>
      </w:r>
      <w:proofErr w:type="spellStart"/>
      <w:r w:rsidRPr="005C0505">
        <w:t>subregulation</w:t>
      </w:r>
      <w:proofErr w:type="spellEnd"/>
      <w:r w:rsidR="005C0505" w:rsidRPr="005C0505">
        <w:t> </w:t>
      </w:r>
      <w:r w:rsidRPr="005C0505">
        <w:t>(</w:t>
      </w:r>
      <w:r w:rsidR="00834AAE" w:rsidRPr="005C0505">
        <w:t>4</w:t>
      </w:r>
      <w:r w:rsidRPr="005C0505">
        <w:t>), the condition in subsection</w:t>
      </w:r>
      <w:r w:rsidR="005C0505" w:rsidRPr="005C0505">
        <w:t> </w:t>
      </w:r>
      <w:r w:rsidRPr="005C0505">
        <w:t>34J(4) of the Code is taken to be replaced by the condition that:</w:t>
      </w:r>
    </w:p>
    <w:p w:rsidR="00CB550E" w:rsidRPr="005C0505" w:rsidRDefault="00CB550E" w:rsidP="00CB550E">
      <w:pPr>
        <w:pStyle w:val="paragraph"/>
      </w:pPr>
      <w:r w:rsidRPr="005C0505">
        <w:tab/>
        <w:t>(a)</w:t>
      </w:r>
      <w:r w:rsidRPr="005C0505">
        <w:tab/>
        <w:t xml:space="preserve">the information relates to the making, variation or revocation of an </w:t>
      </w:r>
      <w:r w:rsidR="00CC19F5" w:rsidRPr="005C0505">
        <w:t xml:space="preserve">interchangeable constituent </w:t>
      </w:r>
      <w:r w:rsidR="005B7F01" w:rsidRPr="005C0505">
        <w:t>determination</w:t>
      </w:r>
      <w:r w:rsidR="00E32E75" w:rsidRPr="005C0505">
        <w:t xml:space="preserve"> in relation to a constituent</w:t>
      </w:r>
      <w:r w:rsidRPr="005C0505">
        <w:t>; and</w:t>
      </w:r>
    </w:p>
    <w:p w:rsidR="00CB550E" w:rsidRPr="005C0505" w:rsidRDefault="00CB550E" w:rsidP="00CB550E">
      <w:pPr>
        <w:pStyle w:val="paragraph"/>
      </w:pPr>
      <w:r w:rsidRPr="005C0505">
        <w:tab/>
        <w:t>(b)</w:t>
      </w:r>
      <w:r w:rsidRPr="005C0505">
        <w:tab/>
        <w:t xml:space="preserve">the information shows that a matter mentioned in </w:t>
      </w:r>
      <w:proofErr w:type="spellStart"/>
      <w:r w:rsidR="00447F9E" w:rsidRPr="005C0505">
        <w:t>subregulation</w:t>
      </w:r>
      <w:proofErr w:type="spellEnd"/>
      <w:r w:rsidR="005C0505" w:rsidRPr="005C0505">
        <w:t> </w:t>
      </w:r>
      <w:r w:rsidR="00447F9E" w:rsidRPr="005C0505">
        <w:t>19AEA(</w:t>
      </w:r>
      <w:r w:rsidR="000627F5" w:rsidRPr="005C0505">
        <w:t>5</w:t>
      </w:r>
      <w:r w:rsidR="00447F9E" w:rsidRPr="005C0505">
        <w:t xml:space="preserve">) </w:t>
      </w:r>
      <w:r w:rsidRPr="005C0505">
        <w:t>may not be satisfied</w:t>
      </w:r>
      <w:r w:rsidR="00E32E75" w:rsidRPr="005C0505">
        <w:t xml:space="preserve"> in relation to the constituent</w:t>
      </w:r>
      <w:r w:rsidRPr="005C0505">
        <w:t>.</w:t>
      </w:r>
    </w:p>
    <w:p w:rsidR="00A80007" w:rsidRPr="005C0505" w:rsidRDefault="00CB550E" w:rsidP="00CB550E">
      <w:pPr>
        <w:pStyle w:val="subsection"/>
      </w:pPr>
      <w:r w:rsidRPr="005C0505">
        <w:tab/>
        <w:t>(</w:t>
      </w:r>
      <w:r w:rsidR="00A60FC7" w:rsidRPr="005C0505">
        <w:t>6</w:t>
      </w:r>
      <w:r w:rsidRPr="005C0505">
        <w:t>)</w:t>
      </w:r>
      <w:r w:rsidRPr="005C0505">
        <w:tab/>
        <w:t xml:space="preserve">For </w:t>
      </w:r>
      <w:proofErr w:type="spellStart"/>
      <w:r w:rsidRPr="005C0505">
        <w:t>subregulation</w:t>
      </w:r>
      <w:proofErr w:type="spellEnd"/>
      <w:r w:rsidR="005C0505" w:rsidRPr="005C0505">
        <w:t> </w:t>
      </w:r>
      <w:r w:rsidRPr="005C0505">
        <w:t>(</w:t>
      </w:r>
      <w:r w:rsidR="00834AAE" w:rsidRPr="005C0505">
        <w:t>4</w:t>
      </w:r>
      <w:r w:rsidRPr="005C0505">
        <w:t xml:space="preserve">), if the </w:t>
      </w:r>
      <w:proofErr w:type="spellStart"/>
      <w:r w:rsidRPr="005C0505">
        <w:t>APVMA</w:t>
      </w:r>
      <w:proofErr w:type="spellEnd"/>
      <w:r w:rsidRPr="005C0505">
        <w:t xml:space="preserve"> relies on information </w:t>
      </w:r>
      <w:r w:rsidR="00E366CD" w:rsidRPr="005C0505">
        <w:t xml:space="preserve">to make, vary or revoke an interchangeable constituent determination, </w:t>
      </w:r>
      <w:r w:rsidRPr="005C0505">
        <w:t>a limitation period is taken to apply to the information under section</w:t>
      </w:r>
      <w:r w:rsidR="005C0505" w:rsidRPr="005C0505">
        <w:t> </w:t>
      </w:r>
      <w:r w:rsidRPr="005C0505">
        <w:t>34M of the Code that ends 3 years after</w:t>
      </w:r>
      <w:r w:rsidR="00E221A5" w:rsidRPr="005C0505">
        <w:t xml:space="preserve"> the day the determination is made</w:t>
      </w:r>
      <w:r w:rsidR="003B5938" w:rsidRPr="005C0505">
        <w:t>, varied or revoked</w:t>
      </w:r>
      <w:r w:rsidR="007D26F0" w:rsidRPr="005C0505">
        <w:t>.</w:t>
      </w:r>
    </w:p>
    <w:p w:rsidR="009673E4" w:rsidRPr="005C0505" w:rsidRDefault="0022566D" w:rsidP="009673E4">
      <w:pPr>
        <w:pStyle w:val="ItemHead"/>
      </w:pPr>
      <w:r w:rsidRPr="005C0505">
        <w:t>5</w:t>
      </w:r>
      <w:r w:rsidR="00E84652" w:rsidRPr="005C0505">
        <w:t xml:space="preserve">  </w:t>
      </w:r>
      <w:r w:rsidR="009673E4" w:rsidRPr="005C0505">
        <w:t>Regulation</w:t>
      </w:r>
      <w:r w:rsidR="005C0505" w:rsidRPr="005C0505">
        <w:t> </w:t>
      </w:r>
      <w:r w:rsidR="009673E4" w:rsidRPr="005C0505">
        <w:t>19AF (at the end of the table)</w:t>
      </w:r>
    </w:p>
    <w:p w:rsidR="009673E4" w:rsidRPr="005C0505" w:rsidRDefault="009673E4" w:rsidP="009673E4">
      <w:pPr>
        <w:pStyle w:val="Item"/>
      </w:pPr>
      <w:r w:rsidRPr="005C0505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3119"/>
      </w:tblGrid>
      <w:tr w:rsidR="009673E4" w:rsidRPr="005C0505" w:rsidTr="00604820">
        <w:trPr>
          <w:trHeight w:val="879"/>
        </w:trPr>
        <w:tc>
          <w:tcPr>
            <w:tcW w:w="704" w:type="dxa"/>
            <w:shd w:val="clear" w:color="auto" w:fill="auto"/>
          </w:tcPr>
          <w:p w:rsidR="009673E4" w:rsidRPr="005C0505" w:rsidRDefault="00DA159C" w:rsidP="00CB550E">
            <w:pPr>
              <w:pStyle w:val="Tabletext"/>
            </w:pPr>
            <w:r w:rsidRPr="005C0505">
              <w:t>3</w:t>
            </w:r>
          </w:p>
        </w:tc>
        <w:tc>
          <w:tcPr>
            <w:tcW w:w="3260" w:type="dxa"/>
            <w:shd w:val="clear" w:color="auto" w:fill="auto"/>
          </w:tcPr>
          <w:p w:rsidR="009673E4" w:rsidRPr="005C0505" w:rsidRDefault="009673E4" w:rsidP="00CB550E">
            <w:pPr>
              <w:pStyle w:val="Tabletext"/>
            </w:pPr>
            <w:r w:rsidRPr="005C0505">
              <w:t xml:space="preserve">A variation of </w:t>
            </w:r>
            <w:r w:rsidR="00913B01" w:rsidRPr="005C0505">
              <w:t>one or more</w:t>
            </w:r>
            <w:r w:rsidRPr="005C0505">
              <w:t xml:space="preserve"> constituent</w:t>
            </w:r>
            <w:r w:rsidR="00913B01" w:rsidRPr="005C0505">
              <w:t>s</w:t>
            </w:r>
            <w:r w:rsidRPr="005C0505">
              <w:t xml:space="preserve"> of a chemical product if:</w:t>
            </w:r>
          </w:p>
          <w:p w:rsidR="002C1631" w:rsidRPr="005C0505" w:rsidRDefault="009673E4" w:rsidP="009673E4">
            <w:pPr>
              <w:pStyle w:val="Tablea"/>
            </w:pPr>
            <w:r w:rsidRPr="005C0505">
              <w:t xml:space="preserve">(a) </w:t>
            </w:r>
            <w:r w:rsidR="002C1631" w:rsidRPr="005C0505">
              <w:t xml:space="preserve">the constituent (the </w:t>
            </w:r>
            <w:r w:rsidR="002C1631" w:rsidRPr="005C0505">
              <w:rPr>
                <w:b/>
                <w:i/>
              </w:rPr>
              <w:t>original constituent</w:t>
            </w:r>
            <w:r w:rsidR="002C1631" w:rsidRPr="005C0505">
              <w:t xml:space="preserve">) is </w:t>
            </w:r>
            <w:r w:rsidR="00B839DC" w:rsidRPr="005C0505">
              <w:t xml:space="preserve">replaced </w:t>
            </w:r>
            <w:r w:rsidR="002C1631" w:rsidRPr="005C0505">
              <w:t xml:space="preserve">with another constituent (the </w:t>
            </w:r>
            <w:r w:rsidR="002C1631" w:rsidRPr="005C0505">
              <w:rPr>
                <w:b/>
                <w:i/>
              </w:rPr>
              <w:t>replacement constituent</w:t>
            </w:r>
            <w:r w:rsidR="002C1631" w:rsidRPr="005C0505">
              <w:t>); and</w:t>
            </w:r>
          </w:p>
          <w:p w:rsidR="009673E4" w:rsidRPr="005C0505" w:rsidRDefault="002C1631" w:rsidP="009673E4">
            <w:pPr>
              <w:pStyle w:val="Tablea"/>
            </w:pPr>
            <w:r w:rsidRPr="005C0505">
              <w:t xml:space="preserve">(b) </w:t>
            </w:r>
            <w:r w:rsidR="005C3C96" w:rsidRPr="005C0505">
              <w:t xml:space="preserve">the </w:t>
            </w:r>
            <w:r w:rsidRPr="005C0505">
              <w:t xml:space="preserve">original </w:t>
            </w:r>
            <w:r w:rsidR="005C3C96" w:rsidRPr="005C0505">
              <w:t xml:space="preserve">constituent </w:t>
            </w:r>
            <w:r w:rsidRPr="005C0505">
              <w:t>i</w:t>
            </w:r>
            <w:r w:rsidR="005C3C96" w:rsidRPr="005C0505">
              <w:t xml:space="preserve">s not an active </w:t>
            </w:r>
            <w:r w:rsidR="00160C32" w:rsidRPr="005C0505">
              <w:t>constituent</w:t>
            </w:r>
            <w:r w:rsidR="00630376" w:rsidRPr="005C0505">
              <w:t xml:space="preserve"> of the product</w:t>
            </w:r>
            <w:r w:rsidR="005C3C96" w:rsidRPr="005C0505">
              <w:t>;</w:t>
            </w:r>
            <w:r w:rsidRPr="005C0505">
              <w:t xml:space="preserve"> and</w:t>
            </w:r>
          </w:p>
          <w:p w:rsidR="008D05FE" w:rsidRPr="005C0505" w:rsidRDefault="008D05FE" w:rsidP="009673E4">
            <w:pPr>
              <w:pStyle w:val="Tablea"/>
            </w:pPr>
            <w:r w:rsidRPr="005C0505">
              <w:t>(c) the replacement constituent will not be an active constituent of the product; and</w:t>
            </w:r>
          </w:p>
          <w:p w:rsidR="008D05FE" w:rsidRPr="005C0505" w:rsidRDefault="002C1631" w:rsidP="0079021B">
            <w:pPr>
              <w:pStyle w:val="Tablea"/>
            </w:pPr>
            <w:r w:rsidRPr="005C0505">
              <w:t>(</w:t>
            </w:r>
            <w:r w:rsidR="008D05FE" w:rsidRPr="005C0505">
              <w:t>d</w:t>
            </w:r>
            <w:r w:rsidRPr="005C0505">
              <w:t xml:space="preserve">) the </w:t>
            </w:r>
            <w:r w:rsidR="00B839DC" w:rsidRPr="005C0505">
              <w:t xml:space="preserve">original and replacement constituents </w:t>
            </w:r>
            <w:r w:rsidR="00F20E08" w:rsidRPr="005C0505">
              <w:t xml:space="preserve">have </w:t>
            </w:r>
            <w:r w:rsidR="00B839DC" w:rsidRPr="005C0505">
              <w:t xml:space="preserve">the same purpose in </w:t>
            </w:r>
            <w:r w:rsidR="008D05FE" w:rsidRPr="005C0505">
              <w:t>the product; and</w:t>
            </w:r>
          </w:p>
          <w:p w:rsidR="002C1631" w:rsidRPr="005C0505" w:rsidRDefault="0079021B" w:rsidP="009673E4">
            <w:pPr>
              <w:pStyle w:val="Tablea"/>
            </w:pPr>
            <w:r w:rsidRPr="005C0505">
              <w:t>(</w:t>
            </w:r>
            <w:r w:rsidR="008D05FE" w:rsidRPr="005C0505">
              <w:t>e</w:t>
            </w:r>
            <w:r w:rsidR="002C1631" w:rsidRPr="005C0505">
              <w:t>) the origina</w:t>
            </w:r>
            <w:r w:rsidR="008D05FE" w:rsidRPr="005C0505">
              <w:t>l</w:t>
            </w:r>
            <w:r w:rsidR="002C1631" w:rsidRPr="005C0505">
              <w:t xml:space="preserve"> and replacement constituent</w:t>
            </w:r>
            <w:r w:rsidR="008D05FE" w:rsidRPr="005C0505">
              <w:t>s</w:t>
            </w:r>
            <w:r w:rsidR="002C1631" w:rsidRPr="005C0505">
              <w:t xml:space="preserve"> differ only in</w:t>
            </w:r>
            <w:r w:rsidR="008D05FE" w:rsidRPr="005C0505">
              <w:t xml:space="preserve"> solvates or hydrates; and</w:t>
            </w:r>
          </w:p>
          <w:p w:rsidR="00A64318" w:rsidRPr="005C0505" w:rsidRDefault="008D05FE" w:rsidP="00A64318">
            <w:pPr>
              <w:pStyle w:val="Tablea"/>
            </w:pPr>
            <w:r w:rsidRPr="005C0505">
              <w:t>(f)</w:t>
            </w:r>
            <w:r w:rsidR="00B85ED0" w:rsidRPr="005C0505">
              <w:t xml:space="preserve"> </w:t>
            </w:r>
            <w:r w:rsidR="00A64318" w:rsidRPr="005C0505">
              <w:t>the original and replacement constituents have the same:</w:t>
            </w:r>
          </w:p>
          <w:p w:rsidR="00A64318" w:rsidRPr="005C0505" w:rsidRDefault="00A64318" w:rsidP="00A64318">
            <w:pPr>
              <w:pStyle w:val="Tablei"/>
            </w:pPr>
            <w:r w:rsidRPr="005C0505">
              <w:t>(</w:t>
            </w:r>
            <w:proofErr w:type="spellStart"/>
            <w:r w:rsidRPr="005C0505">
              <w:t>i</w:t>
            </w:r>
            <w:proofErr w:type="spellEnd"/>
            <w:r w:rsidRPr="005C0505">
              <w:t>) pH; and</w:t>
            </w:r>
          </w:p>
          <w:p w:rsidR="00A64318" w:rsidRPr="005C0505" w:rsidRDefault="00A64318" w:rsidP="00A64318">
            <w:pPr>
              <w:pStyle w:val="Tablei"/>
            </w:pPr>
            <w:r w:rsidRPr="005C0505">
              <w:t>(ii) dissolution profile; and</w:t>
            </w:r>
          </w:p>
          <w:p w:rsidR="00A64318" w:rsidRPr="005C0505" w:rsidRDefault="00A64318" w:rsidP="00A64318">
            <w:pPr>
              <w:pStyle w:val="Tablei"/>
            </w:pPr>
            <w:r w:rsidRPr="005C0505">
              <w:t>(iii) hydrophilic or hydrophobic behaviour; and</w:t>
            </w:r>
          </w:p>
          <w:p w:rsidR="00A64318" w:rsidRPr="005C0505" w:rsidRDefault="00A64318" w:rsidP="00A64318">
            <w:pPr>
              <w:pStyle w:val="Tablei"/>
            </w:pPr>
            <w:r w:rsidRPr="005C0505">
              <w:t>(iv) hygroscopic behaviour; and</w:t>
            </w:r>
          </w:p>
          <w:p w:rsidR="00A64318" w:rsidRPr="005C0505" w:rsidRDefault="00A64318" w:rsidP="00B85ED0">
            <w:pPr>
              <w:pStyle w:val="Tablea"/>
            </w:pPr>
            <w:r w:rsidRPr="005C0505">
              <w:t xml:space="preserve">(g) </w:t>
            </w:r>
            <w:r w:rsidR="00C17FA0" w:rsidRPr="005C0505">
              <w:t xml:space="preserve">neither </w:t>
            </w:r>
            <w:r w:rsidRPr="005C0505">
              <w:t xml:space="preserve">the original </w:t>
            </w:r>
            <w:r w:rsidR="00C17FA0" w:rsidRPr="005C0505">
              <w:t>n</w:t>
            </w:r>
            <w:r w:rsidRPr="005C0505">
              <w:t>or replacement constituent are</w:t>
            </w:r>
            <w:r w:rsidR="00C17FA0" w:rsidRPr="005C0505">
              <w:t xml:space="preserve"> </w:t>
            </w:r>
            <w:r w:rsidRPr="005C0505">
              <w:t>a nanomaterial; and</w:t>
            </w:r>
          </w:p>
          <w:p w:rsidR="00A64318" w:rsidRPr="005C0505" w:rsidRDefault="00A64318" w:rsidP="00B85ED0">
            <w:pPr>
              <w:pStyle w:val="Tablea"/>
            </w:pPr>
            <w:r w:rsidRPr="005C0505">
              <w:t xml:space="preserve">(h) </w:t>
            </w:r>
            <w:r w:rsidR="00C24D34" w:rsidRPr="005C0505">
              <w:t xml:space="preserve">in the case </w:t>
            </w:r>
            <w:r w:rsidR="001A6DB2" w:rsidRPr="005C0505">
              <w:t>of</w:t>
            </w:r>
            <w:r w:rsidR="00C24D34" w:rsidRPr="005C0505">
              <w:t xml:space="preserve"> the original and replacement constituents </w:t>
            </w:r>
            <w:r w:rsidR="001A6DB2" w:rsidRPr="005C0505">
              <w:t>being</w:t>
            </w:r>
            <w:r w:rsidR="00E32E75" w:rsidRPr="005C0505">
              <w:t xml:space="preserve"> a straight or branched </w:t>
            </w:r>
            <w:r w:rsidR="00C24D34" w:rsidRPr="005C0505">
              <w:t>unsaturated hydrocarbon</w:t>
            </w:r>
            <w:r w:rsidR="001A6DB2" w:rsidRPr="005C0505">
              <w:t>—</w:t>
            </w:r>
            <w:r w:rsidR="00110CD9" w:rsidRPr="005C0505">
              <w:t>the</w:t>
            </w:r>
            <w:r w:rsidR="001A6DB2" w:rsidRPr="005C0505">
              <w:t xml:space="preserve"> </w:t>
            </w:r>
            <w:r w:rsidRPr="005C0505">
              <w:t>change in the length of the hydrocarbon chain is not more than 33% of the</w:t>
            </w:r>
            <w:r w:rsidR="00804B32" w:rsidRPr="005C0505">
              <w:t xml:space="preserve"> length of the</w:t>
            </w:r>
            <w:r w:rsidRPr="005C0505">
              <w:t xml:space="preserve"> original constituent’s hydrocarbon chain; and</w:t>
            </w:r>
          </w:p>
          <w:p w:rsidR="00070AF5" w:rsidRPr="005C0505" w:rsidRDefault="00CC78F2" w:rsidP="00CC78F2">
            <w:pPr>
              <w:pStyle w:val="Tablea"/>
            </w:pPr>
            <w:r w:rsidRPr="005C0505">
              <w:t>(</w:t>
            </w:r>
            <w:proofErr w:type="spellStart"/>
            <w:r w:rsidR="00B85ED0" w:rsidRPr="005C0505">
              <w:t>i</w:t>
            </w:r>
            <w:proofErr w:type="spellEnd"/>
            <w:r w:rsidRPr="005C0505">
              <w:t>) the</w:t>
            </w:r>
            <w:r w:rsidR="00070AF5" w:rsidRPr="005C0505">
              <w:t xml:space="preserve"> </w:t>
            </w:r>
            <w:r w:rsidR="00E32E75" w:rsidRPr="005C0505">
              <w:t xml:space="preserve">replacement constituent </w:t>
            </w:r>
            <w:r w:rsidR="00070AF5" w:rsidRPr="005C0505">
              <w:t>does not introduce material of human or animal origin in</w:t>
            </w:r>
            <w:r w:rsidR="000954E1" w:rsidRPr="005C0505">
              <w:t>to</w:t>
            </w:r>
            <w:r w:rsidR="00070AF5" w:rsidRPr="005C0505">
              <w:t xml:space="preserve"> the product; and</w:t>
            </w:r>
          </w:p>
          <w:p w:rsidR="00070AF5" w:rsidRPr="005C0505" w:rsidRDefault="00070AF5" w:rsidP="00CC78F2">
            <w:pPr>
              <w:pStyle w:val="Tablea"/>
            </w:pPr>
            <w:r w:rsidRPr="005C0505">
              <w:t>(</w:t>
            </w:r>
            <w:r w:rsidR="00B85ED0" w:rsidRPr="005C0505">
              <w:t>j</w:t>
            </w:r>
            <w:r w:rsidRPr="005C0505">
              <w:t>)</w:t>
            </w:r>
            <w:r w:rsidR="005F2D2D" w:rsidRPr="005C0505">
              <w:t xml:space="preserve"> the variation</w:t>
            </w:r>
            <w:r w:rsidRPr="005C0505">
              <w:t xml:space="preserve"> does not require variation to the signal words required by the current Poisons Standard </w:t>
            </w:r>
            <w:r w:rsidR="00623613" w:rsidRPr="005C0505">
              <w:t xml:space="preserve">to be </w:t>
            </w:r>
            <w:r w:rsidRPr="005C0505">
              <w:t>on the label of the product; and</w:t>
            </w:r>
          </w:p>
          <w:p w:rsidR="00510545" w:rsidRPr="005C0505" w:rsidRDefault="00C939E7" w:rsidP="00CC78F2">
            <w:pPr>
              <w:pStyle w:val="Tablea"/>
            </w:pPr>
            <w:r w:rsidRPr="005C0505">
              <w:t xml:space="preserve">(k) </w:t>
            </w:r>
            <w:r w:rsidR="00510545" w:rsidRPr="005C0505">
              <w:t xml:space="preserve">in the case </w:t>
            </w:r>
            <w:r w:rsidR="001A6DB2" w:rsidRPr="005C0505">
              <w:t xml:space="preserve">of a </w:t>
            </w:r>
            <w:r w:rsidR="00510545" w:rsidRPr="005C0505">
              <w:t xml:space="preserve">product </w:t>
            </w:r>
            <w:r w:rsidR="001A6DB2" w:rsidRPr="005C0505">
              <w:t xml:space="preserve">that </w:t>
            </w:r>
            <w:r w:rsidR="00510545" w:rsidRPr="005C0505">
              <w:t xml:space="preserve">is a </w:t>
            </w:r>
            <w:proofErr w:type="spellStart"/>
            <w:r w:rsidR="00510545" w:rsidRPr="005C0505">
              <w:t>molluscicide</w:t>
            </w:r>
            <w:proofErr w:type="spellEnd"/>
            <w:r w:rsidR="00510545" w:rsidRPr="005C0505">
              <w:t xml:space="preserve"> in the form of a bait or a product applied to seeds to be stored before planting or sowing—</w:t>
            </w:r>
            <w:r w:rsidR="005F2D2D" w:rsidRPr="005C0505">
              <w:t xml:space="preserve">the variation </w:t>
            </w:r>
            <w:r w:rsidR="00510545" w:rsidRPr="005C0505">
              <w:t>does not change the colour of the product; and</w:t>
            </w:r>
          </w:p>
          <w:p w:rsidR="00070AF5" w:rsidRPr="005C0505" w:rsidRDefault="00070AF5" w:rsidP="00CC78F2">
            <w:pPr>
              <w:pStyle w:val="Tablea"/>
            </w:pPr>
            <w:r w:rsidRPr="005C0505">
              <w:t>(</w:t>
            </w:r>
            <w:r w:rsidR="00C939E7" w:rsidRPr="005C0505">
              <w:t>l</w:t>
            </w:r>
            <w:r w:rsidRPr="005C0505">
              <w:t>)</w:t>
            </w:r>
            <w:r w:rsidR="00BF229D" w:rsidRPr="005C0505">
              <w:t xml:space="preserve"> </w:t>
            </w:r>
            <w:r w:rsidR="005F2D2D" w:rsidRPr="005C0505">
              <w:t xml:space="preserve">the variation </w:t>
            </w:r>
            <w:r w:rsidRPr="005C0505">
              <w:t xml:space="preserve">does not </w:t>
            </w:r>
            <w:r w:rsidR="00F20E08" w:rsidRPr="005C0505">
              <w:t>require</w:t>
            </w:r>
            <w:r w:rsidR="00BF229D" w:rsidRPr="005C0505">
              <w:t xml:space="preserve"> the formulation type entered in the Register for the product to be varied</w:t>
            </w:r>
            <w:r w:rsidRPr="005C0505">
              <w:t>; and</w:t>
            </w:r>
          </w:p>
          <w:p w:rsidR="00B10642" w:rsidRPr="005C0505" w:rsidRDefault="00B85ED0" w:rsidP="00C939E7">
            <w:pPr>
              <w:pStyle w:val="Tablea"/>
            </w:pPr>
            <w:r w:rsidRPr="005C0505">
              <w:t>(m</w:t>
            </w:r>
            <w:r w:rsidR="00070AF5" w:rsidRPr="005C0505">
              <w:t>)</w:t>
            </w:r>
            <w:r w:rsidR="00E032E3" w:rsidRPr="005C0505">
              <w:t xml:space="preserve"> </w:t>
            </w:r>
            <w:r w:rsidR="00C939E7" w:rsidRPr="005C0505">
              <w:t xml:space="preserve">in the case </w:t>
            </w:r>
            <w:r w:rsidR="001A6DB2" w:rsidRPr="005C0505">
              <w:t xml:space="preserve">of a product that has </w:t>
            </w:r>
            <w:r w:rsidR="00B839DC" w:rsidRPr="005C0505">
              <w:t>9 or more constituents</w:t>
            </w:r>
            <w:r w:rsidR="001A26C6" w:rsidRPr="005C0505">
              <w:t xml:space="preserve"> </w:t>
            </w:r>
            <w:r w:rsidR="00623613" w:rsidRPr="005C0505">
              <w:t xml:space="preserve">entered </w:t>
            </w:r>
            <w:r w:rsidR="008D0343" w:rsidRPr="005C0505">
              <w:t>in</w:t>
            </w:r>
            <w:r w:rsidR="00623613" w:rsidRPr="005C0505">
              <w:t xml:space="preserve"> the Register for the product</w:t>
            </w:r>
            <w:r w:rsidR="00B839DC" w:rsidRPr="005C0505">
              <w:t>—</w:t>
            </w:r>
            <w:r w:rsidR="008D0343" w:rsidRPr="005C0505">
              <w:t xml:space="preserve">the variation is to no more than 25% of the </w:t>
            </w:r>
            <w:r w:rsidR="00A80007" w:rsidRPr="005C0505">
              <w:t xml:space="preserve">number of </w:t>
            </w:r>
            <w:r w:rsidR="008D0343" w:rsidRPr="005C0505">
              <w:t>constituents entered in the Register for the product; and</w:t>
            </w:r>
          </w:p>
          <w:p w:rsidR="00954947" w:rsidRPr="005C0505" w:rsidRDefault="00B839DC" w:rsidP="00E32E75">
            <w:pPr>
              <w:pStyle w:val="Tablea"/>
            </w:pPr>
            <w:r w:rsidRPr="005C0505">
              <w:t>(</w:t>
            </w:r>
            <w:r w:rsidR="00B85ED0" w:rsidRPr="005C0505">
              <w:t>n</w:t>
            </w:r>
            <w:r w:rsidRPr="005C0505">
              <w:t xml:space="preserve">) </w:t>
            </w:r>
            <w:r w:rsidR="00C939E7" w:rsidRPr="005C0505">
              <w:t xml:space="preserve">in the case </w:t>
            </w:r>
            <w:r w:rsidR="001A6DB2" w:rsidRPr="005C0505">
              <w:t>of a pro</w:t>
            </w:r>
            <w:r w:rsidR="00804B32" w:rsidRPr="005C0505">
              <w:t>duct</w:t>
            </w:r>
            <w:r w:rsidR="001A6DB2" w:rsidRPr="005C0505">
              <w:t xml:space="preserve"> that </w:t>
            </w:r>
            <w:r w:rsidRPr="005C0505">
              <w:t>has less than 9 constituents</w:t>
            </w:r>
            <w:r w:rsidR="001A26C6" w:rsidRPr="005C0505">
              <w:t xml:space="preserve"> </w:t>
            </w:r>
            <w:r w:rsidR="00623613" w:rsidRPr="005C0505">
              <w:t xml:space="preserve">entered in the Register </w:t>
            </w:r>
            <w:r w:rsidRPr="005C0505">
              <w:t>for the product—the variation is</w:t>
            </w:r>
            <w:r w:rsidR="008D0343" w:rsidRPr="005C0505">
              <w:t xml:space="preserve"> to </w:t>
            </w:r>
            <w:r w:rsidR="00E32E75" w:rsidRPr="005C0505">
              <w:t xml:space="preserve">one or 2 of the </w:t>
            </w:r>
            <w:r w:rsidRPr="005C0505">
              <w:t>constituents</w:t>
            </w:r>
            <w:r w:rsidR="008D0343" w:rsidRPr="005C0505">
              <w:t xml:space="preserve"> entered in the Register for the product</w:t>
            </w:r>
          </w:p>
        </w:tc>
        <w:tc>
          <w:tcPr>
            <w:tcW w:w="3119" w:type="dxa"/>
            <w:shd w:val="clear" w:color="auto" w:fill="auto"/>
          </w:tcPr>
          <w:p w:rsidR="00C27100" w:rsidRPr="005C0505" w:rsidRDefault="00B10642" w:rsidP="00C27100">
            <w:pPr>
              <w:pStyle w:val="Tabletext"/>
            </w:pPr>
            <w:r w:rsidRPr="005C0505">
              <w:t>a</w:t>
            </w:r>
            <w:r w:rsidR="009673E4" w:rsidRPr="005C0505">
              <w:t xml:space="preserve"> registration of a chemical product</w:t>
            </w:r>
            <w:r w:rsidR="00E32E75" w:rsidRPr="005C0505">
              <w:t>,</w:t>
            </w:r>
            <w:r w:rsidR="00C27100" w:rsidRPr="005C0505">
              <w:t xml:space="preserve"> </w:t>
            </w:r>
            <w:r w:rsidRPr="005C0505">
              <w:t>other than</w:t>
            </w:r>
            <w:r w:rsidR="00B85ED0" w:rsidRPr="005C0505">
              <w:t xml:space="preserve"> a </w:t>
            </w:r>
            <w:r w:rsidR="00625142" w:rsidRPr="005C0505">
              <w:t xml:space="preserve">chemical </w:t>
            </w:r>
            <w:r w:rsidR="00B85ED0" w:rsidRPr="005C0505">
              <w:t>product that is</w:t>
            </w:r>
            <w:r w:rsidR="00C27100" w:rsidRPr="005C0505">
              <w:t>:</w:t>
            </w:r>
          </w:p>
          <w:p w:rsidR="00E32E75" w:rsidRPr="005C0505" w:rsidRDefault="00C27100" w:rsidP="00C27100">
            <w:pPr>
              <w:pStyle w:val="Tablea"/>
            </w:pPr>
            <w:r w:rsidRPr="005C0505">
              <w:t xml:space="preserve">(a) </w:t>
            </w:r>
            <w:r w:rsidR="00E32E75" w:rsidRPr="005C0505">
              <w:t>an antibiotic product; or</w:t>
            </w:r>
          </w:p>
          <w:p w:rsidR="00E32E75" w:rsidRPr="005C0505" w:rsidRDefault="00C27100" w:rsidP="00E32E75">
            <w:pPr>
              <w:pStyle w:val="Tablea"/>
            </w:pPr>
            <w:r w:rsidRPr="005C0505">
              <w:t xml:space="preserve">(b) </w:t>
            </w:r>
            <w:r w:rsidR="00E32E75" w:rsidRPr="005C0505">
              <w:t xml:space="preserve">an </w:t>
            </w:r>
            <w:proofErr w:type="spellStart"/>
            <w:r w:rsidR="00E32E75" w:rsidRPr="005C0505">
              <w:t>immunobiological</w:t>
            </w:r>
            <w:proofErr w:type="spellEnd"/>
            <w:r w:rsidR="00E32E75" w:rsidRPr="005C0505">
              <w:t xml:space="preserve"> product; or</w:t>
            </w:r>
          </w:p>
          <w:p w:rsidR="00B10642" w:rsidRPr="005C0505" w:rsidRDefault="00C27100" w:rsidP="00070AF5">
            <w:pPr>
              <w:pStyle w:val="Tablea"/>
            </w:pPr>
            <w:r w:rsidRPr="005C0505">
              <w:t>(c) a product that is administered through direct injection into an animal</w:t>
            </w:r>
          </w:p>
        </w:tc>
      </w:tr>
    </w:tbl>
    <w:p w:rsidR="00F37376" w:rsidRPr="005C0505" w:rsidRDefault="0022566D" w:rsidP="00F37376">
      <w:pPr>
        <w:pStyle w:val="ItemHead"/>
      </w:pPr>
      <w:r w:rsidRPr="005C0505">
        <w:t>6</w:t>
      </w:r>
      <w:r w:rsidR="00F37376" w:rsidRPr="005C0505">
        <w:t xml:space="preserve">  After paragraph</w:t>
      </w:r>
      <w:r w:rsidR="005C0505" w:rsidRPr="005C0505">
        <w:t> </w:t>
      </w:r>
      <w:r w:rsidR="00F37376" w:rsidRPr="005C0505">
        <w:t>78C(c)</w:t>
      </w:r>
    </w:p>
    <w:p w:rsidR="00F37376" w:rsidRPr="005C0505" w:rsidRDefault="00F37376" w:rsidP="00F37376">
      <w:pPr>
        <w:pStyle w:val="Item"/>
      </w:pPr>
      <w:r w:rsidRPr="005C0505">
        <w:t>Insert:</w:t>
      </w:r>
    </w:p>
    <w:p w:rsidR="00F37376" w:rsidRPr="005C0505" w:rsidRDefault="00C24E0A" w:rsidP="00F37376">
      <w:pPr>
        <w:pStyle w:val="paragraph"/>
      </w:pPr>
      <w:r w:rsidRPr="005C0505">
        <w:tab/>
        <w:t>(ca)</w:t>
      </w:r>
      <w:r w:rsidRPr="005C0505">
        <w:tab/>
      </w:r>
      <w:r w:rsidR="001D526C" w:rsidRPr="005C0505">
        <w:t>a decision to refuse</w:t>
      </w:r>
      <w:r w:rsidR="00FE42FC" w:rsidRPr="005C0505">
        <w:t xml:space="preserve"> </w:t>
      </w:r>
      <w:r w:rsidR="001D526C" w:rsidRPr="005C0505">
        <w:t>an application</w:t>
      </w:r>
      <w:r w:rsidR="00FE42FC" w:rsidRPr="005C0505">
        <w:t xml:space="preserve">, in whole or part, </w:t>
      </w:r>
      <w:r w:rsidR="001D526C" w:rsidRPr="005C0505">
        <w:t>made under r</w:t>
      </w:r>
      <w:r w:rsidR="00F37376" w:rsidRPr="005C0505">
        <w:t>egulation</w:t>
      </w:r>
      <w:r w:rsidR="005C0505" w:rsidRPr="005C0505">
        <w:t> </w:t>
      </w:r>
      <w:r w:rsidR="00F37376" w:rsidRPr="005C0505">
        <w:t>19AEB;</w:t>
      </w:r>
    </w:p>
    <w:p w:rsidR="000248C0" w:rsidRPr="005C0505" w:rsidRDefault="0022566D" w:rsidP="000248C0">
      <w:pPr>
        <w:pStyle w:val="ItemHead"/>
      </w:pPr>
      <w:r w:rsidRPr="005C0505">
        <w:t>7</w:t>
      </w:r>
      <w:r w:rsidR="000248C0" w:rsidRPr="005C0505">
        <w:t xml:space="preserve">  Part</w:t>
      </w:r>
      <w:r w:rsidR="005C0505" w:rsidRPr="005C0505">
        <w:t> </w:t>
      </w:r>
      <w:r w:rsidR="000248C0" w:rsidRPr="005C0505">
        <w:t>2 of Schedule</w:t>
      </w:r>
      <w:r w:rsidR="005C0505" w:rsidRPr="005C0505">
        <w:t> </w:t>
      </w:r>
      <w:r w:rsidR="000248C0" w:rsidRPr="005C0505">
        <w:t>6 (at the end of the table)</w:t>
      </w:r>
    </w:p>
    <w:p w:rsidR="000248C0" w:rsidRPr="005C0505" w:rsidRDefault="000248C0" w:rsidP="000248C0">
      <w:pPr>
        <w:pStyle w:val="Item"/>
      </w:pPr>
      <w:r w:rsidRPr="005C0505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1"/>
        <w:gridCol w:w="1632"/>
        <w:gridCol w:w="1134"/>
        <w:gridCol w:w="1120"/>
        <w:gridCol w:w="476"/>
        <w:gridCol w:w="1106"/>
        <w:gridCol w:w="1193"/>
      </w:tblGrid>
      <w:tr w:rsidR="002574E1" w:rsidRPr="005C0505" w:rsidTr="002574E1">
        <w:tc>
          <w:tcPr>
            <w:tcW w:w="421" w:type="dxa"/>
            <w:shd w:val="clear" w:color="auto" w:fill="auto"/>
          </w:tcPr>
          <w:p w:rsidR="000248C0" w:rsidRPr="005C0505" w:rsidRDefault="000248C0" w:rsidP="0016473E">
            <w:pPr>
              <w:pStyle w:val="Tabletext"/>
            </w:pPr>
            <w:r w:rsidRPr="005C0505">
              <w:t>29</w:t>
            </w:r>
          </w:p>
        </w:tc>
        <w:tc>
          <w:tcPr>
            <w:tcW w:w="1632" w:type="dxa"/>
            <w:shd w:val="clear" w:color="auto" w:fill="auto"/>
          </w:tcPr>
          <w:p w:rsidR="000248C0" w:rsidRPr="005C0505" w:rsidRDefault="000248C0" w:rsidP="002574E1">
            <w:pPr>
              <w:pStyle w:val="Tabletext"/>
            </w:pPr>
            <w:r w:rsidRPr="005C0505">
              <w:t>Application made under regulation</w:t>
            </w:r>
            <w:r w:rsidR="005C0505" w:rsidRPr="005C0505">
              <w:t> </w:t>
            </w:r>
            <w:r w:rsidRPr="005C0505">
              <w:t>19AEB to make</w:t>
            </w:r>
            <w:r w:rsidR="003B5938" w:rsidRPr="005C0505">
              <w:t xml:space="preserve"> </w:t>
            </w:r>
            <w:r w:rsidR="00773EB7" w:rsidRPr="005C0505">
              <w:t>an interchangeable constituent</w:t>
            </w:r>
            <w:r w:rsidRPr="005C0505">
              <w:t xml:space="preserve"> determination</w:t>
            </w:r>
          </w:p>
        </w:tc>
        <w:tc>
          <w:tcPr>
            <w:tcW w:w="1134" w:type="dxa"/>
            <w:shd w:val="clear" w:color="auto" w:fill="auto"/>
          </w:tcPr>
          <w:p w:rsidR="000248C0" w:rsidRPr="005C0505" w:rsidRDefault="000248C0" w:rsidP="0016473E">
            <w:pPr>
              <w:pStyle w:val="Tabletext"/>
            </w:pPr>
            <w:r w:rsidRPr="005C0505">
              <w:t>The modular assessment period</w:t>
            </w:r>
          </w:p>
        </w:tc>
        <w:tc>
          <w:tcPr>
            <w:tcW w:w="1120" w:type="dxa"/>
            <w:shd w:val="clear" w:color="auto" w:fill="auto"/>
          </w:tcPr>
          <w:p w:rsidR="000248C0" w:rsidRPr="005C0505" w:rsidRDefault="000248C0" w:rsidP="0016473E">
            <w:pPr>
              <w:pStyle w:val="Tabletext"/>
            </w:pPr>
            <w:r w:rsidRPr="005C0505">
              <w:t>One and one third of the modular assessment period, rounded up to the nearest whole month, plus 1 month</w:t>
            </w:r>
          </w:p>
        </w:tc>
        <w:tc>
          <w:tcPr>
            <w:tcW w:w="476" w:type="dxa"/>
            <w:shd w:val="clear" w:color="auto" w:fill="auto"/>
          </w:tcPr>
          <w:p w:rsidR="000248C0" w:rsidRPr="005C0505" w:rsidRDefault="000248C0" w:rsidP="0016473E">
            <w:pPr>
              <w:pStyle w:val="Tabletext"/>
              <w:jc w:val="right"/>
            </w:pPr>
            <w:r w:rsidRPr="005C0505">
              <w:t>Nil</w:t>
            </w:r>
          </w:p>
        </w:tc>
        <w:tc>
          <w:tcPr>
            <w:tcW w:w="1106" w:type="dxa"/>
            <w:shd w:val="clear" w:color="auto" w:fill="auto"/>
          </w:tcPr>
          <w:p w:rsidR="000248C0" w:rsidRPr="005C0505" w:rsidRDefault="000248C0" w:rsidP="0016473E">
            <w:pPr>
              <w:pStyle w:val="Tabletext"/>
            </w:pPr>
          </w:p>
        </w:tc>
        <w:tc>
          <w:tcPr>
            <w:tcW w:w="1193" w:type="dxa"/>
            <w:shd w:val="clear" w:color="auto" w:fill="auto"/>
          </w:tcPr>
          <w:p w:rsidR="000248C0" w:rsidRPr="005C0505" w:rsidRDefault="000248C0" w:rsidP="0016473E">
            <w:pPr>
              <w:pStyle w:val="Tabletext"/>
            </w:pPr>
            <w:r w:rsidRPr="005C0505">
              <w:t>The modular assessment fee</w:t>
            </w:r>
          </w:p>
        </w:tc>
      </w:tr>
    </w:tbl>
    <w:p w:rsidR="00656C34" w:rsidRPr="005C0505" w:rsidRDefault="00656C34" w:rsidP="00EC0B80"/>
    <w:sectPr w:rsidR="00656C34" w:rsidRPr="005C0505" w:rsidSect="000816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AF" w:rsidRDefault="002A4BAF" w:rsidP="0048364F">
      <w:pPr>
        <w:spacing w:line="240" w:lineRule="auto"/>
      </w:pPr>
      <w:r>
        <w:separator/>
      </w:r>
    </w:p>
  </w:endnote>
  <w:endnote w:type="continuationSeparator" w:id="0">
    <w:p w:rsidR="002A4BAF" w:rsidRDefault="002A4BA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08166F" w:rsidRDefault="002A4BAF" w:rsidP="000816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8166F">
      <w:rPr>
        <w:i/>
        <w:sz w:val="18"/>
      </w:rPr>
      <w:t xml:space="preserve"> </w:t>
    </w:r>
    <w:r w:rsidR="0008166F" w:rsidRPr="0008166F">
      <w:rPr>
        <w:i/>
        <w:sz w:val="18"/>
      </w:rPr>
      <w:t>OPC61090 -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6F" w:rsidRDefault="0008166F" w:rsidP="0008166F">
    <w:pPr>
      <w:pStyle w:val="Footer"/>
    </w:pPr>
    <w:r w:rsidRPr="0008166F">
      <w:rPr>
        <w:i/>
        <w:sz w:val="18"/>
      </w:rPr>
      <w:t>OPC61090 -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08166F" w:rsidRDefault="002A4BAF" w:rsidP="00486382">
    <w:pPr>
      <w:pStyle w:val="Footer"/>
      <w:rPr>
        <w:sz w:val="18"/>
      </w:rPr>
    </w:pPr>
  </w:p>
  <w:p w:rsidR="002A4BAF" w:rsidRPr="0008166F" w:rsidRDefault="0008166F" w:rsidP="0008166F">
    <w:pPr>
      <w:pStyle w:val="Footer"/>
      <w:rPr>
        <w:sz w:val="18"/>
      </w:rPr>
    </w:pPr>
    <w:r w:rsidRPr="0008166F">
      <w:rPr>
        <w:i/>
        <w:sz w:val="18"/>
      </w:rPr>
      <w:t>OPC61090 -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08166F" w:rsidRDefault="002A4BAF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A4BAF" w:rsidRPr="0008166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4BAF" w:rsidRPr="0008166F" w:rsidRDefault="002A4BA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8166F">
            <w:rPr>
              <w:rFonts w:cs="Times New Roman"/>
              <w:i/>
              <w:sz w:val="18"/>
            </w:rPr>
            <w:fldChar w:fldCharType="begin"/>
          </w:r>
          <w:r w:rsidRPr="0008166F">
            <w:rPr>
              <w:rFonts w:cs="Times New Roman"/>
              <w:i/>
              <w:sz w:val="18"/>
            </w:rPr>
            <w:instrText xml:space="preserve"> PAGE </w:instrText>
          </w:r>
          <w:r w:rsidRPr="0008166F">
            <w:rPr>
              <w:rFonts w:cs="Times New Roman"/>
              <w:i/>
              <w:sz w:val="18"/>
            </w:rPr>
            <w:fldChar w:fldCharType="separate"/>
          </w:r>
          <w:r w:rsidR="0060519B">
            <w:rPr>
              <w:rFonts w:cs="Times New Roman"/>
              <w:i/>
              <w:noProof/>
              <w:sz w:val="18"/>
            </w:rPr>
            <w:t>xi</w:t>
          </w:r>
          <w:r w:rsidRPr="000816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4BAF" w:rsidRPr="0008166F" w:rsidRDefault="002A4BA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8166F">
            <w:rPr>
              <w:rFonts w:cs="Times New Roman"/>
              <w:i/>
              <w:sz w:val="18"/>
            </w:rPr>
            <w:fldChar w:fldCharType="begin"/>
          </w:r>
          <w:r w:rsidRPr="0008166F">
            <w:rPr>
              <w:rFonts w:cs="Times New Roman"/>
              <w:i/>
              <w:sz w:val="18"/>
            </w:rPr>
            <w:instrText xml:space="preserve"> DOCPROPERTY ShortT </w:instrText>
          </w:r>
          <w:r w:rsidRPr="0008166F">
            <w:rPr>
              <w:rFonts w:cs="Times New Roman"/>
              <w:i/>
              <w:sz w:val="18"/>
            </w:rPr>
            <w:fldChar w:fldCharType="separate"/>
          </w:r>
          <w:r w:rsidR="00C75C8D">
            <w:rPr>
              <w:rFonts w:cs="Times New Roman"/>
              <w:i/>
              <w:sz w:val="18"/>
            </w:rPr>
            <w:t>Agricultural and Veterinary Chemicals Legislation Amendment (Simplified Formulation Variations and Other Measures) Regulation 2015</w:t>
          </w:r>
          <w:r w:rsidRPr="000816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4BAF" w:rsidRPr="0008166F" w:rsidRDefault="002A4BA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8166F">
            <w:rPr>
              <w:rFonts w:cs="Times New Roman"/>
              <w:i/>
              <w:sz w:val="18"/>
            </w:rPr>
            <w:fldChar w:fldCharType="begin"/>
          </w:r>
          <w:r w:rsidRPr="0008166F">
            <w:rPr>
              <w:rFonts w:cs="Times New Roman"/>
              <w:i/>
              <w:sz w:val="18"/>
            </w:rPr>
            <w:instrText xml:space="preserve"> DOCPROPERTY ActNo </w:instrText>
          </w:r>
          <w:r w:rsidRPr="0008166F">
            <w:rPr>
              <w:rFonts w:cs="Times New Roman"/>
              <w:i/>
              <w:sz w:val="18"/>
            </w:rPr>
            <w:fldChar w:fldCharType="separate"/>
          </w:r>
          <w:r w:rsidR="00C75C8D">
            <w:rPr>
              <w:rFonts w:cs="Times New Roman"/>
              <w:i/>
              <w:sz w:val="18"/>
            </w:rPr>
            <w:t>No. 219, 2015</w:t>
          </w:r>
          <w:r w:rsidRPr="0008166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A4BAF" w:rsidRPr="0008166F" w:rsidRDefault="0008166F" w:rsidP="0008166F">
    <w:pPr>
      <w:rPr>
        <w:rFonts w:cs="Times New Roman"/>
        <w:i/>
        <w:sz w:val="18"/>
      </w:rPr>
    </w:pPr>
    <w:r w:rsidRPr="0008166F">
      <w:rPr>
        <w:rFonts w:cs="Times New Roman"/>
        <w:i/>
        <w:sz w:val="18"/>
      </w:rPr>
      <w:t>OPC61090 -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E33C1C" w:rsidRDefault="002A4BA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A4BA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4BAF" w:rsidRDefault="002A4BA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75C8D">
            <w:rPr>
              <w:i/>
              <w:sz w:val="18"/>
            </w:rPr>
            <w:t>No. 219,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4BAF" w:rsidRDefault="002A4BA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5C8D">
            <w:rPr>
              <w:i/>
              <w:sz w:val="18"/>
            </w:rPr>
            <w:t>Agricultural and Veterinary Chemicals Legislation Amendment (Simplified Formulation Variations and Other Measures)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4BAF" w:rsidRDefault="002A4BA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7B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4BAF" w:rsidRPr="00ED79B6" w:rsidRDefault="0008166F" w:rsidP="0008166F">
    <w:pPr>
      <w:rPr>
        <w:i/>
        <w:sz w:val="18"/>
      </w:rPr>
    </w:pPr>
    <w:r w:rsidRPr="0008166F">
      <w:rPr>
        <w:rFonts w:cs="Times New Roman"/>
        <w:i/>
        <w:sz w:val="18"/>
      </w:rPr>
      <w:t>OPC61090 -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08166F" w:rsidRDefault="002A4BAF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A4BAF" w:rsidRPr="0008166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4BAF" w:rsidRPr="0008166F" w:rsidRDefault="002A4BA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8166F">
            <w:rPr>
              <w:rFonts w:cs="Times New Roman"/>
              <w:i/>
              <w:sz w:val="18"/>
            </w:rPr>
            <w:fldChar w:fldCharType="begin"/>
          </w:r>
          <w:r w:rsidRPr="0008166F">
            <w:rPr>
              <w:rFonts w:cs="Times New Roman"/>
              <w:i/>
              <w:sz w:val="18"/>
            </w:rPr>
            <w:instrText xml:space="preserve"> PAGE </w:instrText>
          </w:r>
          <w:r w:rsidRPr="0008166F">
            <w:rPr>
              <w:rFonts w:cs="Times New Roman"/>
              <w:i/>
              <w:sz w:val="18"/>
            </w:rPr>
            <w:fldChar w:fldCharType="separate"/>
          </w:r>
          <w:r w:rsidR="009B7B5D">
            <w:rPr>
              <w:rFonts w:cs="Times New Roman"/>
              <w:i/>
              <w:noProof/>
              <w:sz w:val="18"/>
            </w:rPr>
            <w:t>2</w:t>
          </w:r>
          <w:r w:rsidRPr="000816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4BAF" w:rsidRPr="0008166F" w:rsidRDefault="002A4BA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8166F">
            <w:rPr>
              <w:rFonts w:cs="Times New Roman"/>
              <w:i/>
              <w:sz w:val="18"/>
            </w:rPr>
            <w:fldChar w:fldCharType="begin"/>
          </w:r>
          <w:r w:rsidRPr="0008166F">
            <w:rPr>
              <w:rFonts w:cs="Times New Roman"/>
              <w:i/>
              <w:sz w:val="18"/>
            </w:rPr>
            <w:instrText xml:space="preserve"> DOCPROPERTY ShortT </w:instrText>
          </w:r>
          <w:r w:rsidRPr="0008166F">
            <w:rPr>
              <w:rFonts w:cs="Times New Roman"/>
              <w:i/>
              <w:sz w:val="18"/>
            </w:rPr>
            <w:fldChar w:fldCharType="separate"/>
          </w:r>
          <w:r w:rsidR="00C75C8D">
            <w:rPr>
              <w:rFonts w:cs="Times New Roman"/>
              <w:i/>
              <w:sz w:val="18"/>
            </w:rPr>
            <w:t>Agricultural and Veterinary Chemicals Legislation Amendment (Simplified Formulation Variations and Other Measures) Regulation 2015</w:t>
          </w:r>
          <w:r w:rsidRPr="000816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4BAF" w:rsidRPr="0008166F" w:rsidRDefault="002A4BA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8166F">
            <w:rPr>
              <w:rFonts w:cs="Times New Roman"/>
              <w:i/>
              <w:sz w:val="18"/>
            </w:rPr>
            <w:fldChar w:fldCharType="begin"/>
          </w:r>
          <w:r w:rsidRPr="0008166F">
            <w:rPr>
              <w:rFonts w:cs="Times New Roman"/>
              <w:i/>
              <w:sz w:val="18"/>
            </w:rPr>
            <w:instrText xml:space="preserve"> DOCPROPERTY ActNo </w:instrText>
          </w:r>
          <w:r w:rsidRPr="0008166F">
            <w:rPr>
              <w:rFonts w:cs="Times New Roman"/>
              <w:i/>
              <w:sz w:val="18"/>
            </w:rPr>
            <w:fldChar w:fldCharType="separate"/>
          </w:r>
          <w:r w:rsidR="00C75C8D">
            <w:rPr>
              <w:rFonts w:cs="Times New Roman"/>
              <w:i/>
              <w:sz w:val="18"/>
            </w:rPr>
            <w:t>No. 219, 2015</w:t>
          </w:r>
          <w:r w:rsidRPr="0008166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A4BAF" w:rsidRPr="0008166F" w:rsidRDefault="0008166F" w:rsidP="0008166F">
    <w:pPr>
      <w:rPr>
        <w:rFonts w:cs="Times New Roman"/>
        <w:i/>
        <w:sz w:val="18"/>
      </w:rPr>
    </w:pPr>
    <w:r w:rsidRPr="0008166F">
      <w:rPr>
        <w:rFonts w:cs="Times New Roman"/>
        <w:i/>
        <w:sz w:val="18"/>
      </w:rPr>
      <w:t>OPC61090 -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E33C1C" w:rsidRDefault="002A4BA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A4BA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4BAF" w:rsidRDefault="002A4BA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75C8D">
            <w:rPr>
              <w:i/>
              <w:sz w:val="18"/>
            </w:rPr>
            <w:t>No. 219,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4BAF" w:rsidRDefault="002A4BA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5C8D">
            <w:rPr>
              <w:i/>
              <w:sz w:val="18"/>
            </w:rPr>
            <w:t>Agricultural and Veterinary Chemicals Legislation Amendment (Simplified Formulation Variations and Other Measures)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4BAF" w:rsidRDefault="002A4BA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7B5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4BAF" w:rsidRPr="00ED79B6" w:rsidRDefault="0008166F" w:rsidP="0008166F">
    <w:pPr>
      <w:rPr>
        <w:i/>
        <w:sz w:val="18"/>
      </w:rPr>
    </w:pPr>
    <w:r w:rsidRPr="0008166F">
      <w:rPr>
        <w:rFonts w:cs="Times New Roman"/>
        <w:i/>
        <w:sz w:val="18"/>
      </w:rPr>
      <w:t>OPC61090 -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E33C1C" w:rsidRDefault="002A4BAF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A4BAF" w:rsidTr="00DD345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4BAF" w:rsidRDefault="002A4BAF" w:rsidP="00DD345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75C8D">
            <w:rPr>
              <w:i/>
              <w:sz w:val="18"/>
            </w:rPr>
            <w:t>No. 219,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4BAF" w:rsidRDefault="002A4BAF" w:rsidP="00DD34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5C8D">
            <w:rPr>
              <w:i/>
              <w:sz w:val="18"/>
            </w:rPr>
            <w:t>Agricultural and Veterinary Chemicals Legislation Amendment (Simplified Formulation Variations and Other Measures)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4BAF" w:rsidRDefault="002A4BAF" w:rsidP="00DD34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19B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4BAF" w:rsidRPr="00ED79B6" w:rsidRDefault="002A4BAF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AF" w:rsidRDefault="002A4BAF" w:rsidP="0048364F">
      <w:pPr>
        <w:spacing w:line="240" w:lineRule="auto"/>
      </w:pPr>
      <w:r>
        <w:separator/>
      </w:r>
    </w:p>
  </w:footnote>
  <w:footnote w:type="continuationSeparator" w:id="0">
    <w:p w:rsidR="002A4BAF" w:rsidRDefault="002A4BA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5F1388" w:rsidRDefault="002A4BA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5F1388" w:rsidRDefault="002A4BA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5F1388" w:rsidRDefault="002A4BA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ED79B6" w:rsidRDefault="002A4BAF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ED79B6" w:rsidRDefault="002A4BAF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ED79B6" w:rsidRDefault="002A4BA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A961C4" w:rsidRDefault="002A4BA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2A4BAF" w:rsidRPr="00A961C4" w:rsidRDefault="002A4BA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A4BAF" w:rsidRPr="00A961C4" w:rsidRDefault="002A4BAF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A961C4" w:rsidRDefault="002A4BAF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A4BAF" w:rsidRPr="00A961C4" w:rsidRDefault="002A4BAF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A4BAF" w:rsidRPr="00A961C4" w:rsidRDefault="002A4BAF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Pr="00A961C4" w:rsidRDefault="002A4BAF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1D"/>
    <w:rsid w:val="000002AB"/>
    <w:rsid w:val="00001F85"/>
    <w:rsid w:val="00003375"/>
    <w:rsid w:val="0000357F"/>
    <w:rsid w:val="000041C6"/>
    <w:rsid w:val="000063E4"/>
    <w:rsid w:val="00011222"/>
    <w:rsid w:val="000113BC"/>
    <w:rsid w:val="00011A98"/>
    <w:rsid w:val="0001250D"/>
    <w:rsid w:val="00012960"/>
    <w:rsid w:val="000136AF"/>
    <w:rsid w:val="000156A2"/>
    <w:rsid w:val="00015B53"/>
    <w:rsid w:val="00021544"/>
    <w:rsid w:val="000248C0"/>
    <w:rsid w:val="00025060"/>
    <w:rsid w:val="000253FE"/>
    <w:rsid w:val="00025559"/>
    <w:rsid w:val="000319CB"/>
    <w:rsid w:val="00036CCA"/>
    <w:rsid w:val="0004044E"/>
    <w:rsid w:val="00040C75"/>
    <w:rsid w:val="0004147B"/>
    <w:rsid w:val="0004574D"/>
    <w:rsid w:val="0004782E"/>
    <w:rsid w:val="0005105C"/>
    <w:rsid w:val="00052DC7"/>
    <w:rsid w:val="00055272"/>
    <w:rsid w:val="00055E55"/>
    <w:rsid w:val="00055EC9"/>
    <w:rsid w:val="000614BF"/>
    <w:rsid w:val="000627F5"/>
    <w:rsid w:val="00066B9D"/>
    <w:rsid w:val="000706E2"/>
    <w:rsid w:val="000707B8"/>
    <w:rsid w:val="00070AF5"/>
    <w:rsid w:val="00071312"/>
    <w:rsid w:val="00071C26"/>
    <w:rsid w:val="00080EBC"/>
    <w:rsid w:val="0008166F"/>
    <w:rsid w:val="00083694"/>
    <w:rsid w:val="00085B24"/>
    <w:rsid w:val="000900D0"/>
    <w:rsid w:val="000954E1"/>
    <w:rsid w:val="000A2383"/>
    <w:rsid w:val="000A33D3"/>
    <w:rsid w:val="000B48A3"/>
    <w:rsid w:val="000C4A7B"/>
    <w:rsid w:val="000C4E79"/>
    <w:rsid w:val="000D0589"/>
    <w:rsid w:val="000D05EF"/>
    <w:rsid w:val="000D386C"/>
    <w:rsid w:val="000D4EAD"/>
    <w:rsid w:val="000F1AE7"/>
    <w:rsid w:val="000F1BED"/>
    <w:rsid w:val="000F21C1"/>
    <w:rsid w:val="000F6B02"/>
    <w:rsid w:val="000F7427"/>
    <w:rsid w:val="00104422"/>
    <w:rsid w:val="0010745C"/>
    <w:rsid w:val="00110CD9"/>
    <w:rsid w:val="00111B0C"/>
    <w:rsid w:val="00112273"/>
    <w:rsid w:val="0011249B"/>
    <w:rsid w:val="0011467E"/>
    <w:rsid w:val="00116975"/>
    <w:rsid w:val="00116A60"/>
    <w:rsid w:val="0011705F"/>
    <w:rsid w:val="001247C1"/>
    <w:rsid w:val="0012510D"/>
    <w:rsid w:val="00126F1A"/>
    <w:rsid w:val="00126F4C"/>
    <w:rsid w:val="001303E7"/>
    <w:rsid w:val="00134FE7"/>
    <w:rsid w:val="001358BD"/>
    <w:rsid w:val="00141322"/>
    <w:rsid w:val="00152170"/>
    <w:rsid w:val="00154EAC"/>
    <w:rsid w:val="00160C32"/>
    <w:rsid w:val="0016241D"/>
    <w:rsid w:val="001643C9"/>
    <w:rsid w:val="0016473E"/>
    <w:rsid w:val="001649A8"/>
    <w:rsid w:val="00165568"/>
    <w:rsid w:val="00165933"/>
    <w:rsid w:val="001662B6"/>
    <w:rsid w:val="00166C2F"/>
    <w:rsid w:val="001716C9"/>
    <w:rsid w:val="00171EAE"/>
    <w:rsid w:val="00173828"/>
    <w:rsid w:val="001850D8"/>
    <w:rsid w:val="00185895"/>
    <w:rsid w:val="00186574"/>
    <w:rsid w:val="00187A5A"/>
    <w:rsid w:val="00191859"/>
    <w:rsid w:val="00192450"/>
    <w:rsid w:val="00193461"/>
    <w:rsid w:val="00193958"/>
    <w:rsid w:val="001939E1"/>
    <w:rsid w:val="00195382"/>
    <w:rsid w:val="00195A48"/>
    <w:rsid w:val="001A0342"/>
    <w:rsid w:val="001A26C6"/>
    <w:rsid w:val="001A2989"/>
    <w:rsid w:val="001A6DB2"/>
    <w:rsid w:val="001B3097"/>
    <w:rsid w:val="001B703A"/>
    <w:rsid w:val="001B7A5D"/>
    <w:rsid w:val="001C15E3"/>
    <w:rsid w:val="001C1E03"/>
    <w:rsid w:val="001C5D5D"/>
    <w:rsid w:val="001C69C4"/>
    <w:rsid w:val="001C6DDF"/>
    <w:rsid w:val="001D15CF"/>
    <w:rsid w:val="001D24E0"/>
    <w:rsid w:val="001D3110"/>
    <w:rsid w:val="001D4180"/>
    <w:rsid w:val="001D4229"/>
    <w:rsid w:val="001D4CCE"/>
    <w:rsid w:val="001D526C"/>
    <w:rsid w:val="001D796E"/>
    <w:rsid w:val="001D7F83"/>
    <w:rsid w:val="001E046E"/>
    <w:rsid w:val="001E04A3"/>
    <w:rsid w:val="001E140F"/>
    <w:rsid w:val="001E16D0"/>
    <w:rsid w:val="001E17A9"/>
    <w:rsid w:val="001E2D97"/>
    <w:rsid w:val="001E3590"/>
    <w:rsid w:val="001E562E"/>
    <w:rsid w:val="001E7407"/>
    <w:rsid w:val="001F6924"/>
    <w:rsid w:val="00201D27"/>
    <w:rsid w:val="00213F94"/>
    <w:rsid w:val="0021489D"/>
    <w:rsid w:val="00216AFC"/>
    <w:rsid w:val="002223DE"/>
    <w:rsid w:val="00224214"/>
    <w:rsid w:val="002245D6"/>
    <w:rsid w:val="0022566D"/>
    <w:rsid w:val="00231427"/>
    <w:rsid w:val="0023774F"/>
    <w:rsid w:val="0024034F"/>
    <w:rsid w:val="00240749"/>
    <w:rsid w:val="00241E19"/>
    <w:rsid w:val="00243A53"/>
    <w:rsid w:val="00243D10"/>
    <w:rsid w:val="002448AE"/>
    <w:rsid w:val="002467D2"/>
    <w:rsid w:val="00246E74"/>
    <w:rsid w:val="00247C09"/>
    <w:rsid w:val="002532F6"/>
    <w:rsid w:val="00253669"/>
    <w:rsid w:val="00254637"/>
    <w:rsid w:val="0025740C"/>
    <w:rsid w:val="002574E1"/>
    <w:rsid w:val="002607DB"/>
    <w:rsid w:val="00261028"/>
    <w:rsid w:val="002625DC"/>
    <w:rsid w:val="00262E2F"/>
    <w:rsid w:val="00265FBC"/>
    <w:rsid w:val="00266D05"/>
    <w:rsid w:val="00267B44"/>
    <w:rsid w:val="00270920"/>
    <w:rsid w:val="00271344"/>
    <w:rsid w:val="002714AE"/>
    <w:rsid w:val="00273F1E"/>
    <w:rsid w:val="002776AF"/>
    <w:rsid w:val="00277EFC"/>
    <w:rsid w:val="00280D5A"/>
    <w:rsid w:val="00281DC0"/>
    <w:rsid w:val="0028656C"/>
    <w:rsid w:val="00291496"/>
    <w:rsid w:val="002932B1"/>
    <w:rsid w:val="00295408"/>
    <w:rsid w:val="002963D3"/>
    <w:rsid w:val="00297ECB"/>
    <w:rsid w:val="002A0FFD"/>
    <w:rsid w:val="002A4BAF"/>
    <w:rsid w:val="002A7AE6"/>
    <w:rsid w:val="002B1C5D"/>
    <w:rsid w:val="002B2731"/>
    <w:rsid w:val="002B5B89"/>
    <w:rsid w:val="002B7D96"/>
    <w:rsid w:val="002C073B"/>
    <w:rsid w:val="002C08C1"/>
    <w:rsid w:val="002C1123"/>
    <w:rsid w:val="002C1631"/>
    <w:rsid w:val="002C7A2C"/>
    <w:rsid w:val="002D043A"/>
    <w:rsid w:val="002D347A"/>
    <w:rsid w:val="002D3A59"/>
    <w:rsid w:val="002D490D"/>
    <w:rsid w:val="002E5FC4"/>
    <w:rsid w:val="002E7EB2"/>
    <w:rsid w:val="002F0156"/>
    <w:rsid w:val="002F279F"/>
    <w:rsid w:val="002F410D"/>
    <w:rsid w:val="00302908"/>
    <w:rsid w:val="00304E75"/>
    <w:rsid w:val="00305FBF"/>
    <w:rsid w:val="003072FA"/>
    <w:rsid w:val="003136A8"/>
    <w:rsid w:val="003158BD"/>
    <w:rsid w:val="0031713F"/>
    <w:rsid w:val="00321645"/>
    <w:rsid w:val="003265EF"/>
    <w:rsid w:val="00326BD1"/>
    <w:rsid w:val="00326F61"/>
    <w:rsid w:val="00330A8E"/>
    <w:rsid w:val="00341146"/>
    <w:rsid w:val="003415D3"/>
    <w:rsid w:val="00342DAB"/>
    <w:rsid w:val="00347A68"/>
    <w:rsid w:val="00351241"/>
    <w:rsid w:val="00352B0F"/>
    <w:rsid w:val="00352B88"/>
    <w:rsid w:val="003530A1"/>
    <w:rsid w:val="0035641B"/>
    <w:rsid w:val="00361BD9"/>
    <w:rsid w:val="003627F1"/>
    <w:rsid w:val="00363549"/>
    <w:rsid w:val="0036470B"/>
    <w:rsid w:val="003677DA"/>
    <w:rsid w:val="00372D42"/>
    <w:rsid w:val="003801D0"/>
    <w:rsid w:val="00381F33"/>
    <w:rsid w:val="003833E9"/>
    <w:rsid w:val="0038341D"/>
    <w:rsid w:val="00386ECC"/>
    <w:rsid w:val="0039228E"/>
    <w:rsid w:val="003926B5"/>
    <w:rsid w:val="003928E3"/>
    <w:rsid w:val="003A0433"/>
    <w:rsid w:val="003A1A24"/>
    <w:rsid w:val="003A2615"/>
    <w:rsid w:val="003B04EC"/>
    <w:rsid w:val="003B5938"/>
    <w:rsid w:val="003B71FE"/>
    <w:rsid w:val="003B7993"/>
    <w:rsid w:val="003C5F2B"/>
    <w:rsid w:val="003C620E"/>
    <w:rsid w:val="003D0BFE"/>
    <w:rsid w:val="003D5329"/>
    <w:rsid w:val="003D5700"/>
    <w:rsid w:val="003E2D5D"/>
    <w:rsid w:val="003E2DAE"/>
    <w:rsid w:val="003E3987"/>
    <w:rsid w:val="003E5FF5"/>
    <w:rsid w:val="003E653C"/>
    <w:rsid w:val="003E7353"/>
    <w:rsid w:val="003F00A0"/>
    <w:rsid w:val="003F4CA9"/>
    <w:rsid w:val="003F567B"/>
    <w:rsid w:val="003F5B0C"/>
    <w:rsid w:val="003F6C88"/>
    <w:rsid w:val="00400BDF"/>
    <w:rsid w:val="00400CCC"/>
    <w:rsid w:val="004010E7"/>
    <w:rsid w:val="00401403"/>
    <w:rsid w:val="00401DC0"/>
    <w:rsid w:val="00404F07"/>
    <w:rsid w:val="004116CD"/>
    <w:rsid w:val="00412B83"/>
    <w:rsid w:val="00414755"/>
    <w:rsid w:val="00416332"/>
    <w:rsid w:val="0041784E"/>
    <w:rsid w:val="004224E6"/>
    <w:rsid w:val="004246F5"/>
    <w:rsid w:val="00424CA9"/>
    <w:rsid w:val="00426180"/>
    <w:rsid w:val="00431E16"/>
    <w:rsid w:val="00433910"/>
    <w:rsid w:val="00435EDA"/>
    <w:rsid w:val="00441433"/>
    <w:rsid w:val="00441686"/>
    <w:rsid w:val="0044241A"/>
    <w:rsid w:val="0044291A"/>
    <w:rsid w:val="00447F9E"/>
    <w:rsid w:val="00451E80"/>
    <w:rsid w:val="004532CC"/>
    <w:rsid w:val="004541B9"/>
    <w:rsid w:val="00460499"/>
    <w:rsid w:val="00464319"/>
    <w:rsid w:val="00464C70"/>
    <w:rsid w:val="004727CB"/>
    <w:rsid w:val="00473F41"/>
    <w:rsid w:val="00473FEA"/>
    <w:rsid w:val="0047470D"/>
    <w:rsid w:val="00477297"/>
    <w:rsid w:val="00480FB9"/>
    <w:rsid w:val="0048364F"/>
    <w:rsid w:val="00486382"/>
    <w:rsid w:val="00486C51"/>
    <w:rsid w:val="00487450"/>
    <w:rsid w:val="004900D4"/>
    <w:rsid w:val="00496F97"/>
    <w:rsid w:val="004A2484"/>
    <w:rsid w:val="004A4C6C"/>
    <w:rsid w:val="004A5E2A"/>
    <w:rsid w:val="004B24B4"/>
    <w:rsid w:val="004C0255"/>
    <w:rsid w:val="004C3BA4"/>
    <w:rsid w:val="004C5B5A"/>
    <w:rsid w:val="004C6444"/>
    <w:rsid w:val="004C6DE1"/>
    <w:rsid w:val="004D25DE"/>
    <w:rsid w:val="004D46E5"/>
    <w:rsid w:val="004E1729"/>
    <w:rsid w:val="004E1C2E"/>
    <w:rsid w:val="004F00A5"/>
    <w:rsid w:val="004F1FAC"/>
    <w:rsid w:val="004F3A90"/>
    <w:rsid w:val="004F3C64"/>
    <w:rsid w:val="004F5C7B"/>
    <w:rsid w:val="004F6107"/>
    <w:rsid w:val="004F676E"/>
    <w:rsid w:val="005008D6"/>
    <w:rsid w:val="00501E11"/>
    <w:rsid w:val="00502B7B"/>
    <w:rsid w:val="00505C61"/>
    <w:rsid w:val="00506043"/>
    <w:rsid w:val="00510545"/>
    <w:rsid w:val="00514D41"/>
    <w:rsid w:val="005159CF"/>
    <w:rsid w:val="00516B8D"/>
    <w:rsid w:val="00516DDF"/>
    <w:rsid w:val="00520A1E"/>
    <w:rsid w:val="00522623"/>
    <w:rsid w:val="0052521B"/>
    <w:rsid w:val="00525779"/>
    <w:rsid w:val="00527F4F"/>
    <w:rsid w:val="00530B36"/>
    <w:rsid w:val="00530C97"/>
    <w:rsid w:val="00536BFC"/>
    <w:rsid w:val="00537F8A"/>
    <w:rsid w:val="00537FBC"/>
    <w:rsid w:val="00540A20"/>
    <w:rsid w:val="00542BF9"/>
    <w:rsid w:val="00543469"/>
    <w:rsid w:val="00544022"/>
    <w:rsid w:val="00547858"/>
    <w:rsid w:val="00553C96"/>
    <w:rsid w:val="00554371"/>
    <w:rsid w:val="005550CA"/>
    <w:rsid w:val="00557C7A"/>
    <w:rsid w:val="0056080A"/>
    <w:rsid w:val="00564CB3"/>
    <w:rsid w:val="005654E3"/>
    <w:rsid w:val="005666C2"/>
    <w:rsid w:val="0056740C"/>
    <w:rsid w:val="005822BC"/>
    <w:rsid w:val="005830D1"/>
    <w:rsid w:val="00584083"/>
    <w:rsid w:val="00584811"/>
    <w:rsid w:val="005851A5"/>
    <w:rsid w:val="0058646E"/>
    <w:rsid w:val="00590144"/>
    <w:rsid w:val="00591DD0"/>
    <w:rsid w:val="00591E07"/>
    <w:rsid w:val="0059354F"/>
    <w:rsid w:val="00593AA6"/>
    <w:rsid w:val="00594161"/>
    <w:rsid w:val="00594749"/>
    <w:rsid w:val="00597C70"/>
    <w:rsid w:val="005A2979"/>
    <w:rsid w:val="005A4FD1"/>
    <w:rsid w:val="005B14A2"/>
    <w:rsid w:val="005B2EDC"/>
    <w:rsid w:val="005B4067"/>
    <w:rsid w:val="005B76BB"/>
    <w:rsid w:val="005B7F01"/>
    <w:rsid w:val="005C0505"/>
    <w:rsid w:val="005C0BFA"/>
    <w:rsid w:val="005C12DE"/>
    <w:rsid w:val="005C18D0"/>
    <w:rsid w:val="005C3C96"/>
    <w:rsid w:val="005C3F41"/>
    <w:rsid w:val="005E15E6"/>
    <w:rsid w:val="005E46D6"/>
    <w:rsid w:val="005E552A"/>
    <w:rsid w:val="005F0C5A"/>
    <w:rsid w:val="005F2D2D"/>
    <w:rsid w:val="005F4584"/>
    <w:rsid w:val="005F51C2"/>
    <w:rsid w:val="005F6472"/>
    <w:rsid w:val="005F7603"/>
    <w:rsid w:val="00600219"/>
    <w:rsid w:val="00604696"/>
    <w:rsid w:val="00604820"/>
    <w:rsid w:val="0060519B"/>
    <w:rsid w:val="006062DA"/>
    <w:rsid w:val="006160C9"/>
    <w:rsid w:val="00623613"/>
    <w:rsid w:val="006249E6"/>
    <w:rsid w:val="00625142"/>
    <w:rsid w:val="00626ABA"/>
    <w:rsid w:val="00630376"/>
    <w:rsid w:val="00630733"/>
    <w:rsid w:val="006331D1"/>
    <w:rsid w:val="00635B38"/>
    <w:rsid w:val="0064014A"/>
    <w:rsid w:val="00643B1F"/>
    <w:rsid w:val="0064468A"/>
    <w:rsid w:val="006451BD"/>
    <w:rsid w:val="006462F0"/>
    <w:rsid w:val="006463FC"/>
    <w:rsid w:val="00652444"/>
    <w:rsid w:val="006549B8"/>
    <w:rsid w:val="00654CCA"/>
    <w:rsid w:val="00656C34"/>
    <w:rsid w:val="00656DE9"/>
    <w:rsid w:val="00662661"/>
    <w:rsid w:val="00663BDD"/>
    <w:rsid w:val="00664444"/>
    <w:rsid w:val="00676CBE"/>
    <w:rsid w:val="00677CC2"/>
    <w:rsid w:val="00680F17"/>
    <w:rsid w:val="0068309B"/>
    <w:rsid w:val="0068591A"/>
    <w:rsid w:val="00685F42"/>
    <w:rsid w:val="0069207B"/>
    <w:rsid w:val="006937E2"/>
    <w:rsid w:val="0069392E"/>
    <w:rsid w:val="006939EE"/>
    <w:rsid w:val="006977FB"/>
    <w:rsid w:val="006A0020"/>
    <w:rsid w:val="006A0F18"/>
    <w:rsid w:val="006A15C0"/>
    <w:rsid w:val="006A1C61"/>
    <w:rsid w:val="006A367E"/>
    <w:rsid w:val="006A65B4"/>
    <w:rsid w:val="006A7452"/>
    <w:rsid w:val="006B2436"/>
    <w:rsid w:val="006B262A"/>
    <w:rsid w:val="006B3F0A"/>
    <w:rsid w:val="006B63E5"/>
    <w:rsid w:val="006C2C12"/>
    <w:rsid w:val="006C33ED"/>
    <w:rsid w:val="006C3FFF"/>
    <w:rsid w:val="006C41A9"/>
    <w:rsid w:val="006C4EEB"/>
    <w:rsid w:val="006C74D2"/>
    <w:rsid w:val="006C7F8C"/>
    <w:rsid w:val="006D1B50"/>
    <w:rsid w:val="006D33F1"/>
    <w:rsid w:val="006D3667"/>
    <w:rsid w:val="006D4322"/>
    <w:rsid w:val="006D4E91"/>
    <w:rsid w:val="006D55FE"/>
    <w:rsid w:val="006D7121"/>
    <w:rsid w:val="006E004B"/>
    <w:rsid w:val="006E13B7"/>
    <w:rsid w:val="006E3E29"/>
    <w:rsid w:val="006E4B19"/>
    <w:rsid w:val="006E7087"/>
    <w:rsid w:val="006E7147"/>
    <w:rsid w:val="006F22D6"/>
    <w:rsid w:val="006F62C7"/>
    <w:rsid w:val="00700B2C"/>
    <w:rsid w:val="00701E6A"/>
    <w:rsid w:val="00707ABF"/>
    <w:rsid w:val="00710D95"/>
    <w:rsid w:val="00711C9E"/>
    <w:rsid w:val="00713084"/>
    <w:rsid w:val="0071581C"/>
    <w:rsid w:val="00722023"/>
    <w:rsid w:val="00731AB7"/>
    <w:rsid w:val="00731E00"/>
    <w:rsid w:val="00731FD1"/>
    <w:rsid w:val="007333A2"/>
    <w:rsid w:val="00736578"/>
    <w:rsid w:val="00741773"/>
    <w:rsid w:val="00742DED"/>
    <w:rsid w:val="007440B7"/>
    <w:rsid w:val="0075318D"/>
    <w:rsid w:val="00753819"/>
    <w:rsid w:val="007634AD"/>
    <w:rsid w:val="00763C5C"/>
    <w:rsid w:val="00767BA1"/>
    <w:rsid w:val="00767BB6"/>
    <w:rsid w:val="007715C9"/>
    <w:rsid w:val="00771F53"/>
    <w:rsid w:val="00773EB7"/>
    <w:rsid w:val="00774EDD"/>
    <w:rsid w:val="007757EC"/>
    <w:rsid w:val="007769D4"/>
    <w:rsid w:val="00777FBD"/>
    <w:rsid w:val="0078003C"/>
    <w:rsid w:val="00783B54"/>
    <w:rsid w:val="00785AFA"/>
    <w:rsid w:val="0079021B"/>
    <w:rsid w:val="007903AC"/>
    <w:rsid w:val="00794542"/>
    <w:rsid w:val="00795C81"/>
    <w:rsid w:val="007A33B8"/>
    <w:rsid w:val="007A38BC"/>
    <w:rsid w:val="007A49E2"/>
    <w:rsid w:val="007A55EA"/>
    <w:rsid w:val="007A6A07"/>
    <w:rsid w:val="007A7F9F"/>
    <w:rsid w:val="007B08E0"/>
    <w:rsid w:val="007B0DA3"/>
    <w:rsid w:val="007B3275"/>
    <w:rsid w:val="007B50B6"/>
    <w:rsid w:val="007B6A85"/>
    <w:rsid w:val="007B7984"/>
    <w:rsid w:val="007B7C95"/>
    <w:rsid w:val="007C15F6"/>
    <w:rsid w:val="007C5076"/>
    <w:rsid w:val="007C6D22"/>
    <w:rsid w:val="007D26F0"/>
    <w:rsid w:val="007D3E0B"/>
    <w:rsid w:val="007D7A72"/>
    <w:rsid w:val="007E0814"/>
    <w:rsid w:val="007E18F1"/>
    <w:rsid w:val="007E6C50"/>
    <w:rsid w:val="007E709F"/>
    <w:rsid w:val="007E7253"/>
    <w:rsid w:val="007E7D4A"/>
    <w:rsid w:val="007F2A1A"/>
    <w:rsid w:val="007F2CD9"/>
    <w:rsid w:val="007F3864"/>
    <w:rsid w:val="007F61D5"/>
    <w:rsid w:val="007F69DD"/>
    <w:rsid w:val="00800099"/>
    <w:rsid w:val="00804B32"/>
    <w:rsid w:val="008144DA"/>
    <w:rsid w:val="00816F5C"/>
    <w:rsid w:val="00817FE5"/>
    <w:rsid w:val="0082284C"/>
    <w:rsid w:val="00826DA5"/>
    <w:rsid w:val="00833416"/>
    <w:rsid w:val="00834AAE"/>
    <w:rsid w:val="00835ECA"/>
    <w:rsid w:val="0084093A"/>
    <w:rsid w:val="00842A2D"/>
    <w:rsid w:val="008506F6"/>
    <w:rsid w:val="00851E18"/>
    <w:rsid w:val="008523F5"/>
    <w:rsid w:val="00852A55"/>
    <w:rsid w:val="00852E32"/>
    <w:rsid w:val="008569C5"/>
    <w:rsid w:val="00856A31"/>
    <w:rsid w:val="00857679"/>
    <w:rsid w:val="00860900"/>
    <w:rsid w:val="00862E16"/>
    <w:rsid w:val="00864856"/>
    <w:rsid w:val="00874B69"/>
    <w:rsid w:val="008754D0"/>
    <w:rsid w:val="00875CEE"/>
    <w:rsid w:val="00876B0F"/>
    <w:rsid w:val="00877D48"/>
    <w:rsid w:val="00880597"/>
    <w:rsid w:val="00880795"/>
    <w:rsid w:val="00884AA2"/>
    <w:rsid w:val="008918B6"/>
    <w:rsid w:val="008925B9"/>
    <w:rsid w:val="0089727F"/>
    <w:rsid w:val="0089783B"/>
    <w:rsid w:val="00897F84"/>
    <w:rsid w:val="008A29CE"/>
    <w:rsid w:val="008A4ABA"/>
    <w:rsid w:val="008B112D"/>
    <w:rsid w:val="008B1C23"/>
    <w:rsid w:val="008B2FC7"/>
    <w:rsid w:val="008C1391"/>
    <w:rsid w:val="008C27CD"/>
    <w:rsid w:val="008C6F38"/>
    <w:rsid w:val="008D0343"/>
    <w:rsid w:val="008D05FE"/>
    <w:rsid w:val="008D0E94"/>
    <w:rsid w:val="008D0EE0"/>
    <w:rsid w:val="008D41AF"/>
    <w:rsid w:val="008D52D1"/>
    <w:rsid w:val="008E0A5C"/>
    <w:rsid w:val="008E175B"/>
    <w:rsid w:val="008E2AA8"/>
    <w:rsid w:val="008F07E3"/>
    <w:rsid w:val="008F0942"/>
    <w:rsid w:val="008F4F1C"/>
    <w:rsid w:val="008F6752"/>
    <w:rsid w:val="00901A2F"/>
    <w:rsid w:val="00902DDF"/>
    <w:rsid w:val="00902EE7"/>
    <w:rsid w:val="00907271"/>
    <w:rsid w:val="00910A5A"/>
    <w:rsid w:val="00913B01"/>
    <w:rsid w:val="00924B17"/>
    <w:rsid w:val="0092683B"/>
    <w:rsid w:val="00926D7D"/>
    <w:rsid w:val="009279CF"/>
    <w:rsid w:val="00931A85"/>
    <w:rsid w:val="00932377"/>
    <w:rsid w:val="00932A33"/>
    <w:rsid w:val="009361B9"/>
    <w:rsid w:val="00941A03"/>
    <w:rsid w:val="00944BA9"/>
    <w:rsid w:val="00953C15"/>
    <w:rsid w:val="00954947"/>
    <w:rsid w:val="009629B4"/>
    <w:rsid w:val="00964556"/>
    <w:rsid w:val="009667EB"/>
    <w:rsid w:val="00966ADF"/>
    <w:rsid w:val="009673E4"/>
    <w:rsid w:val="00967776"/>
    <w:rsid w:val="00967D9A"/>
    <w:rsid w:val="00973BA7"/>
    <w:rsid w:val="0097403F"/>
    <w:rsid w:val="0098431B"/>
    <w:rsid w:val="009848EC"/>
    <w:rsid w:val="00986AF5"/>
    <w:rsid w:val="009917CC"/>
    <w:rsid w:val="00993688"/>
    <w:rsid w:val="00993C03"/>
    <w:rsid w:val="00993CE9"/>
    <w:rsid w:val="00994F61"/>
    <w:rsid w:val="009968F1"/>
    <w:rsid w:val="00997C0A"/>
    <w:rsid w:val="009A3955"/>
    <w:rsid w:val="009A68E6"/>
    <w:rsid w:val="009B3629"/>
    <w:rsid w:val="009B4258"/>
    <w:rsid w:val="009B512B"/>
    <w:rsid w:val="009B7B5D"/>
    <w:rsid w:val="009C14F1"/>
    <w:rsid w:val="009C49D8"/>
    <w:rsid w:val="009D03C5"/>
    <w:rsid w:val="009D07B8"/>
    <w:rsid w:val="009D0C2A"/>
    <w:rsid w:val="009D1280"/>
    <w:rsid w:val="009D1D92"/>
    <w:rsid w:val="009D3210"/>
    <w:rsid w:val="009D5588"/>
    <w:rsid w:val="009D7664"/>
    <w:rsid w:val="009D7C3D"/>
    <w:rsid w:val="009E22B1"/>
    <w:rsid w:val="009E279F"/>
    <w:rsid w:val="009E3601"/>
    <w:rsid w:val="009E3D0B"/>
    <w:rsid w:val="009F32E1"/>
    <w:rsid w:val="009F50FA"/>
    <w:rsid w:val="009F5F2B"/>
    <w:rsid w:val="009F639A"/>
    <w:rsid w:val="009F727E"/>
    <w:rsid w:val="00A039FB"/>
    <w:rsid w:val="00A05275"/>
    <w:rsid w:val="00A1027A"/>
    <w:rsid w:val="00A16BB2"/>
    <w:rsid w:val="00A16FA8"/>
    <w:rsid w:val="00A17C51"/>
    <w:rsid w:val="00A2057D"/>
    <w:rsid w:val="00A231E2"/>
    <w:rsid w:val="00A24673"/>
    <w:rsid w:val="00A2550D"/>
    <w:rsid w:val="00A25BDD"/>
    <w:rsid w:val="00A26DBE"/>
    <w:rsid w:val="00A31AA3"/>
    <w:rsid w:val="00A326A4"/>
    <w:rsid w:val="00A35813"/>
    <w:rsid w:val="00A35FDD"/>
    <w:rsid w:val="00A3670C"/>
    <w:rsid w:val="00A40562"/>
    <w:rsid w:val="00A4169B"/>
    <w:rsid w:val="00A42BAC"/>
    <w:rsid w:val="00A4361F"/>
    <w:rsid w:val="00A436FE"/>
    <w:rsid w:val="00A5197F"/>
    <w:rsid w:val="00A535D0"/>
    <w:rsid w:val="00A5493E"/>
    <w:rsid w:val="00A60FC7"/>
    <w:rsid w:val="00A64318"/>
    <w:rsid w:val="00A64912"/>
    <w:rsid w:val="00A65167"/>
    <w:rsid w:val="00A65C0F"/>
    <w:rsid w:val="00A66F7D"/>
    <w:rsid w:val="00A70A74"/>
    <w:rsid w:val="00A71C4E"/>
    <w:rsid w:val="00A73A03"/>
    <w:rsid w:val="00A76BD4"/>
    <w:rsid w:val="00A77F3E"/>
    <w:rsid w:val="00A80007"/>
    <w:rsid w:val="00A81392"/>
    <w:rsid w:val="00A8520E"/>
    <w:rsid w:val="00A87AB9"/>
    <w:rsid w:val="00A90FC8"/>
    <w:rsid w:val="00AA2D8D"/>
    <w:rsid w:val="00AA47B4"/>
    <w:rsid w:val="00AA6C08"/>
    <w:rsid w:val="00AB0120"/>
    <w:rsid w:val="00AB072B"/>
    <w:rsid w:val="00AB3315"/>
    <w:rsid w:val="00AB7B41"/>
    <w:rsid w:val="00AC06B3"/>
    <w:rsid w:val="00AC0FD5"/>
    <w:rsid w:val="00AC2D3A"/>
    <w:rsid w:val="00AD5641"/>
    <w:rsid w:val="00AD5E2B"/>
    <w:rsid w:val="00AD6E26"/>
    <w:rsid w:val="00AE3383"/>
    <w:rsid w:val="00AE4DEF"/>
    <w:rsid w:val="00AE50A2"/>
    <w:rsid w:val="00AF0336"/>
    <w:rsid w:val="00AF0C0C"/>
    <w:rsid w:val="00AF4405"/>
    <w:rsid w:val="00AF4643"/>
    <w:rsid w:val="00AF5C71"/>
    <w:rsid w:val="00AF6613"/>
    <w:rsid w:val="00B00902"/>
    <w:rsid w:val="00B032D8"/>
    <w:rsid w:val="00B10642"/>
    <w:rsid w:val="00B14BC1"/>
    <w:rsid w:val="00B16C5B"/>
    <w:rsid w:val="00B204DA"/>
    <w:rsid w:val="00B2124C"/>
    <w:rsid w:val="00B2171E"/>
    <w:rsid w:val="00B31C0D"/>
    <w:rsid w:val="00B33069"/>
    <w:rsid w:val="00B332B8"/>
    <w:rsid w:val="00B336AC"/>
    <w:rsid w:val="00B33B3C"/>
    <w:rsid w:val="00B372A8"/>
    <w:rsid w:val="00B404BA"/>
    <w:rsid w:val="00B40CE1"/>
    <w:rsid w:val="00B4268D"/>
    <w:rsid w:val="00B44657"/>
    <w:rsid w:val="00B4616D"/>
    <w:rsid w:val="00B462C6"/>
    <w:rsid w:val="00B46C9A"/>
    <w:rsid w:val="00B50A80"/>
    <w:rsid w:val="00B519AF"/>
    <w:rsid w:val="00B530F6"/>
    <w:rsid w:val="00B61D2C"/>
    <w:rsid w:val="00B61F20"/>
    <w:rsid w:val="00B620E9"/>
    <w:rsid w:val="00B62FB8"/>
    <w:rsid w:val="00B6365C"/>
    <w:rsid w:val="00B6381D"/>
    <w:rsid w:val="00B63BDE"/>
    <w:rsid w:val="00B66820"/>
    <w:rsid w:val="00B67461"/>
    <w:rsid w:val="00B67A92"/>
    <w:rsid w:val="00B72D9D"/>
    <w:rsid w:val="00B72F0D"/>
    <w:rsid w:val="00B83036"/>
    <w:rsid w:val="00B839DC"/>
    <w:rsid w:val="00B859FE"/>
    <w:rsid w:val="00B85ED0"/>
    <w:rsid w:val="00B86B1A"/>
    <w:rsid w:val="00B86EF3"/>
    <w:rsid w:val="00B924D1"/>
    <w:rsid w:val="00BA0321"/>
    <w:rsid w:val="00BA5026"/>
    <w:rsid w:val="00BB2D58"/>
    <w:rsid w:val="00BB3737"/>
    <w:rsid w:val="00BB6E79"/>
    <w:rsid w:val="00BB6FCF"/>
    <w:rsid w:val="00BB752A"/>
    <w:rsid w:val="00BB7916"/>
    <w:rsid w:val="00BC0FFF"/>
    <w:rsid w:val="00BC4F91"/>
    <w:rsid w:val="00BC78C3"/>
    <w:rsid w:val="00BC7D10"/>
    <w:rsid w:val="00BD4EDE"/>
    <w:rsid w:val="00BD5A79"/>
    <w:rsid w:val="00BD60E6"/>
    <w:rsid w:val="00BE253A"/>
    <w:rsid w:val="00BE3725"/>
    <w:rsid w:val="00BE591F"/>
    <w:rsid w:val="00BE719A"/>
    <w:rsid w:val="00BE720A"/>
    <w:rsid w:val="00BE7B58"/>
    <w:rsid w:val="00BF0956"/>
    <w:rsid w:val="00BF229D"/>
    <w:rsid w:val="00BF22B1"/>
    <w:rsid w:val="00BF261E"/>
    <w:rsid w:val="00BF4533"/>
    <w:rsid w:val="00BF4B31"/>
    <w:rsid w:val="00C03122"/>
    <w:rsid w:val="00C067E5"/>
    <w:rsid w:val="00C1020D"/>
    <w:rsid w:val="00C15528"/>
    <w:rsid w:val="00C15978"/>
    <w:rsid w:val="00C15CE8"/>
    <w:rsid w:val="00C164CA"/>
    <w:rsid w:val="00C17FA0"/>
    <w:rsid w:val="00C20235"/>
    <w:rsid w:val="00C21B63"/>
    <w:rsid w:val="00C21FCD"/>
    <w:rsid w:val="00C24D34"/>
    <w:rsid w:val="00C24E0A"/>
    <w:rsid w:val="00C25031"/>
    <w:rsid w:val="00C25226"/>
    <w:rsid w:val="00C27100"/>
    <w:rsid w:val="00C273A2"/>
    <w:rsid w:val="00C31FF7"/>
    <w:rsid w:val="00C32A30"/>
    <w:rsid w:val="00C346FE"/>
    <w:rsid w:val="00C35E71"/>
    <w:rsid w:val="00C40CF6"/>
    <w:rsid w:val="00C41AEB"/>
    <w:rsid w:val="00C42BF8"/>
    <w:rsid w:val="00C440ED"/>
    <w:rsid w:val="00C44E9E"/>
    <w:rsid w:val="00C460AE"/>
    <w:rsid w:val="00C4619B"/>
    <w:rsid w:val="00C464A8"/>
    <w:rsid w:val="00C50043"/>
    <w:rsid w:val="00C51F12"/>
    <w:rsid w:val="00C53BC9"/>
    <w:rsid w:val="00C55195"/>
    <w:rsid w:val="00C554DB"/>
    <w:rsid w:val="00C566D9"/>
    <w:rsid w:val="00C570F4"/>
    <w:rsid w:val="00C5721F"/>
    <w:rsid w:val="00C6267E"/>
    <w:rsid w:val="00C63713"/>
    <w:rsid w:val="00C64587"/>
    <w:rsid w:val="00C67892"/>
    <w:rsid w:val="00C67CC3"/>
    <w:rsid w:val="00C71A4C"/>
    <w:rsid w:val="00C74EE7"/>
    <w:rsid w:val="00C752A1"/>
    <w:rsid w:val="00C7573B"/>
    <w:rsid w:val="00C75C8D"/>
    <w:rsid w:val="00C76CF3"/>
    <w:rsid w:val="00C77E30"/>
    <w:rsid w:val="00C814F5"/>
    <w:rsid w:val="00C82A53"/>
    <w:rsid w:val="00C86A5B"/>
    <w:rsid w:val="00C870E2"/>
    <w:rsid w:val="00C9049D"/>
    <w:rsid w:val="00C91AFE"/>
    <w:rsid w:val="00C91C56"/>
    <w:rsid w:val="00C92360"/>
    <w:rsid w:val="00C939E7"/>
    <w:rsid w:val="00C94D3A"/>
    <w:rsid w:val="00C95C89"/>
    <w:rsid w:val="00CA2B70"/>
    <w:rsid w:val="00CA2C78"/>
    <w:rsid w:val="00CA2F21"/>
    <w:rsid w:val="00CA5AD8"/>
    <w:rsid w:val="00CA7CC0"/>
    <w:rsid w:val="00CA7F4D"/>
    <w:rsid w:val="00CB0180"/>
    <w:rsid w:val="00CB3470"/>
    <w:rsid w:val="00CB3E7B"/>
    <w:rsid w:val="00CB550E"/>
    <w:rsid w:val="00CB622E"/>
    <w:rsid w:val="00CB686A"/>
    <w:rsid w:val="00CB6F35"/>
    <w:rsid w:val="00CB720C"/>
    <w:rsid w:val="00CC0EA5"/>
    <w:rsid w:val="00CC19F5"/>
    <w:rsid w:val="00CC23D8"/>
    <w:rsid w:val="00CC299B"/>
    <w:rsid w:val="00CC2EF0"/>
    <w:rsid w:val="00CC3A28"/>
    <w:rsid w:val="00CC40A0"/>
    <w:rsid w:val="00CC63F8"/>
    <w:rsid w:val="00CC78F2"/>
    <w:rsid w:val="00CD100C"/>
    <w:rsid w:val="00CD606E"/>
    <w:rsid w:val="00CD6828"/>
    <w:rsid w:val="00CD7ECB"/>
    <w:rsid w:val="00CE0F32"/>
    <w:rsid w:val="00CE0F34"/>
    <w:rsid w:val="00CE1575"/>
    <w:rsid w:val="00CE4272"/>
    <w:rsid w:val="00CE5A68"/>
    <w:rsid w:val="00CE6095"/>
    <w:rsid w:val="00CE6DC0"/>
    <w:rsid w:val="00CF0183"/>
    <w:rsid w:val="00CF0BB2"/>
    <w:rsid w:val="00CF3CCD"/>
    <w:rsid w:val="00CF51C4"/>
    <w:rsid w:val="00CF7933"/>
    <w:rsid w:val="00D0104A"/>
    <w:rsid w:val="00D06387"/>
    <w:rsid w:val="00D0735C"/>
    <w:rsid w:val="00D11388"/>
    <w:rsid w:val="00D13441"/>
    <w:rsid w:val="00D15D45"/>
    <w:rsid w:val="00D17B17"/>
    <w:rsid w:val="00D225CB"/>
    <w:rsid w:val="00D23D65"/>
    <w:rsid w:val="00D243A3"/>
    <w:rsid w:val="00D26EC4"/>
    <w:rsid w:val="00D305E3"/>
    <w:rsid w:val="00D314CC"/>
    <w:rsid w:val="00D333D9"/>
    <w:rsid w:val="00D33440"/>
    <w:rsid w:val="00D34E42"/>
    <w:rsid w:val="00D36495"/>
    <w:rsid w:val="00D36510"/>
    <w:rsid w:val="00D3783E"/>
    <w:rsid w:val="00D40403"/>
    <w:rsid w:val="00D4393F"/>
    <w:rsid w:val="00D44059"/>
    <w:rsid w:val="00D4460E"/>
    <w:rsid w:val="00D45FE5"/>
    <w:rsid w:val="00D4698A"/>
    <w:rsid w:val="00D47DCA"/>
    <w:rsid w:val="00D51AE9"/>
    <w:rsid w:val="00D5213E"/>
    <w:rsid w:val="00D52EFE"/>
    <w:rsid w:val="00D61A7D"/>
    <w:rsid w:val="00D63EF6"/>
    <w:rsid w:val="00D645F0"/>
    <w:rsid w:val="00D64F34"/>
    <w:rsid w:val="00D65560"/>
    <w:rsid w:val="00D67CF2"/>
    <w:rsid w:val="00D70DFB"/>
    <w:rsid w:val="00D718A5"/>
    <w:rsid w:val="00D74098"/>
    <w:rsid w:val="00D75632"/>
    <w:rsid w:val="00D75AEC"/>
    <w:rsid w:val="00D766DF"/>
    <w:rsid w:val="00D83D21"/>
    <w:rsid w:val="00D84B58"/>
    <w:rsid w:val="00D87AD5"/>
    <w:rsid w:val="00D925D1"/>
    <w:rsid w:val="00D960EB"/>
    <w:rsid w:val="00D97E3B"/>
    <w:rsid w:val="00DA159C"/>
    <w:rsid w:val="00DA35AE"/>
    <w:rsid w:val="00DA493A"/>
    <w:rsid w:val="00DB0540"/>
    <w:rsid w:val="00DB167E"/>
    <w:rsid w:val="00DB22CE"/>
    <w:rsid w:val="00DB6F08"/>
    <w:rsid w:val="00DC5E3A"/>
    <w:rsid w:val="00DC7095"/>
    <w:rsid w:val="00DC760D"/>
    <w:rsid w:val="00DD31D3"/>
    <w:rsid w:val="00DD32F0"/>
    <w:rsid w:val="00DD3458"/>
    <w:rsid w:val="00DD6EC2"/>
    <w:rsid w:val="00DE1A98"/>
    <w:rsid w:val="00DE2C1C"/>
    <w:rsid w:val="00DE2CC6"/>
    <w:rsid w:val="00DE2D39"/>
    <w:rsid w:val="00DE30EC"/>
    <w:rsid w:val="00DE6B71"/>
    <w:rsid w:val="00DF1B08"/>
    <w:rsid w:val="00DF42BC"/>
    <w:rsid w:val="00DF4CCD"/>
    <w:rsid w:val="00DF64E3"/>
    <w:rsid w:val="00E02253"/>
    <w:rsid w:val="00E02575"/>
    <w:rsid w:val="00E032E3"/>
    <w:rsid w:val="00E05704"/>
    <w:rsid w:val="00E05C46"/>
    <w:rsid w:val="00E1429C"/>
    <w:rsid w:val="00E21639"/>
    <w:rsid w:val="00E221A5"/>
    <w:rsid w:val="00E225BB"/>
    <w:rsid w:val="00E22F6C"/>
    <w:rsid w:val="00E23B18"/>
    <w:rsid w:val="00E26F89"/>
    <w:rsid w:val="00E30206"/>
    <w:rsid w:val="00E32E75"/>
    <w:rsid w:val="00E332C5"/>
    <w:rsid w:val="00E33C1C"/>
    <w:rsid w:val="00E35CA3"/>
    <w:rsid w:val="00E366CD"/>
    <w:rsid w:val="00E443FC"/>
    <w:rsid w:val="00E45FE7"/>
    <w:rsid w:val="00E46D88"/>
    <w:rsid w:val="00E476B8"/>
    <w:rsid w:val="00E53FD4"/>
    <w:rsid w:val="00E53FFD"/>
    <w:rsid w:val="00E54292"/>
    <w:rsid w:val="00E55BCD"/>
    <w:rsid w:val="00E57D14"/>
    <w:rsid w:val="00E601BC"/>
    <w:rsid w:val="00E63EBE"/>
    <w:rsid w:val="00E66268"/>
    <w:rsid w:val="00E73EC4"/>
    <w:rsid w:val="00E74580"/>
    <w:rsid w:val="00E74CD3"/>
    <w:rsid w:val="00E74DC7"/>
    <w:rsid w:val="00E758E1"/>
    <w:rsid w:val="00E76FAB"/>
    <w:rsid w:val="00E83E2E"/>
    <w:rsid w:val="00E84652"/>
    <w:rsid w:val="00E84B32"/>
    <w:rsid w:val="00E87699"/>
    <w:rsid w:val="00E87C36"/>
    <w:rsid w:val="00E9129B"/>
    <w:rsid w:val="00E91F75"/>
    <w:rsid w:val="00EA2746"/>
    <w:rsid w:val="00EA2B3D"/>
    <w:rsid w:val="00EA5A73"/>
    <w:rsid w:val="00EB7B69"/>
    <w:rsid w:val="00EC0B80"/>
    <w:rsid w:val="00EC3BF2"/>
    <w:rsid w:val="00ED0D95"/>
    <w:rsid w:val="00ED2EB2"/>
    <w:rsid w:val="00ED3A7D"/>
    <w:rsid w:val="00ED695C"/>
    <w:rsid w:val="00EE22B7"/>
    <w:rsid w:val="00EE4051"/>
    <w:rsid w:val="00EE5437"/>
    <w:rsid w:val="00EE66BF"/>
    <w:rsid w:val="00EE7620"/>
    <w:rsid w:val="00EF26C7"/>
    <w:rsid w:val="00EF2E3A"/>
    <w:rsid w:val="00EF3B14"/>
    <w:rsid w:val="00EF4166"/>
    <w:rsid w:val="00EF5490"/>
    <w:rsid w:val="00F00665"/>
    <w:rsid w:val="00F02232"/>
    <w:rsid w:val="00F04367"/>
    <w:rsid w:val="00F047E2"/>
    <w:rsid w:val="00F06797"/>
    <w:rsid w:val="00F078DC"/>
    <w:rsid w:val="00F13E86"/>
    <w:rsid w:val="00F1762B"/>
    <w:rsid w:val="00F20A67"/>
    <w:rsid w:val="00F20E08"/>
    <w:rsid w:val="00F221A1"/>
    <w:rsid w:val="00F24C35"/>
    <w:rsid w:val="00F26030"/>
    <w:rsid w:val="00F26CA2"/>
    <w:rsid w:val="00F26CFC"/>
    <w:rsid w:val="00F3275D"/>
    <w:rsid w:val="00F345DE"/>
    <w:rsid w:val="00F37376"/>
    <w:rsid w:val="00F403C6"/>
    <w:rsid w:val="00F40B87"/>
    <w:rsid w:val="00F47300"/>
    <w:rsid w:val="00F473C6"/>
    <w:rsid w:val="00F56759"/>
    <w:rsid w:val="00F61491"/>
    <w:rsid w:val="00F6745E"/>
    <w:rsid w:val="00F67587"/>
    <w:rsid w:val="00F677A9"/>
    <w:rsid w:val="00F74DFE"/>
    <w:rsid w:val="00F74E4C"/>
    <w:rsid w:val="00F77A8A"/>
    <w:rsid w:val="00F83297"/>
    <w:rsid w:val="00F84A10"/>
    <w:rsid w:val="00F84CF5"/>
    <w:rsid w:val="00F8738C"/>
    <w:rsid w:val="00F935EA"/>
    <w:rsid w:val="00F945A9"/>
    <w:rsid w:val="00F96806"/>
    <w:rsid w:val="00FA227E"/>
    <w:rsid w:val="00FA420B"/>
    <w:rsid w:val="00FB03B3"/>
    <w:rsid w:val="00FB192C"/>
    <w:rsid w:val="00FC15D9"/>
    <w:rsid w:val="00FC35D2"/>
    <w:rsid w:val="00FC5777"/>
    <w:rsid w:val="00FD14E7"/>
    <w:rsid w:val="00FD3AE6"/>
    <w:rsid w:val="00FD51F8"/>
    <w:rsid w:val="00FD7CFE"/>
    <w:rsid w:val="00FD7F80"/>
    <w:rsid w:val="00FE42FC"/>
    <w:rsid w:val="00FE4308"/>
    <w:rsid w:val="00FE4C66"/>
    <w:rsid w:val="00FF1E6A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05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4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4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4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4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4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4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4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0505"/>
  </w:style>
  <w:style w:type="paragraph" w:customStyle="1" w:styleId="OPCParaBase">
    <w:name w:val="OPCParaBase"/>
    <w:qFormat/>
    <w:rsid w:val="005C05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05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05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05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05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05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05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05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05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05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05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0505"/>
  </w:style>
  <w:style w:type="paragraph" w:customStyle="1" w:styleId="Blocks">
    <w:name w:val="Blocks"/>
    <w:aliases w:val="bb"/>
    <w:basedOn w:val="OPCParaBase"/>
    <w:qFormat/>
    <w:rsid w:val="005C05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05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05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0505"/>
    <w:rPr>
      <w:i/>
    </w:rPr>
  </w:style>
  <w:style w:type="paragraph" w:customStyle="1" w:styleId="BoxList">
    <w:name w:val="BoxList"/>
    <w:aliases w:val="bl"/>
    <w:basedOn w:val="BoxText"/>
    <w:qFormat/>
    <w:rsid w:val="005C05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05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05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0505"/>
    <w:pPr>
      <w:ind w:left="1985" w:hanging="851"/>
    </w:pPr>
  </w:style>
  <w:style w:type="character" w:customStyle="1" w:styleId="CharAmPartNo">
    <w:name w:val="CharAmPartNo"/>
    <w:basedOn w:val="OPCCharBase"/>
    <w:qFormat/>
    <w:rsid w:val="005C0505"/>
  </w:style>
  <w:style w:type="character" w:customStyle="1" w:styleId="CharAmPartText">
    <w:name w:val="CharAmPartText"/>
    <w:basedOn w:val="OPCCharBase"/>
    <w:qFormat/>
    <w:rsid w:val="005C0505"/>
  </w:style>
  <w:style w:type="character" w:customStyle="1" w:styleId="CharAmSchNo">
    <w:name w:val="CharAmSchNo"/>
    <w:basedOn w:val="OPCCharBase"/>
    <w:qFormat/>
    <w:rsid w:val="005C0505"/>
  </w:style>
  <w:style w:type="character" w:customStyle="1" w:styleId="CharAmSchText">
    <w:name w:val="CharAmSchText"/>
    <w:basedOn w:val="OPCCharBase"/>
    <w:qFormat/>
    <w:rsid w:val="005C0505"/>
  </w:style>
  <w:style w:type="character" w:customStyle="1" w:styleId="CharBoldItalic">
    <w:name w:val="CharBoldItalic"/>
    <w:basedOn w:val="OPCCharBase"/>
    <w:uiPriority w:val="1"/>
    <w:qFormat/>
    <w:rsid w:val="005C05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0505"/>
  </w:style>
  <w:style w:type="character" w:customStyle="1" w:styleId="CharChapText">
    <w:name w:val="CharChapText"/>
    <w:basedOn w:val="OPCCharBase"/>
    <w:uiPriority w:val="1"/>
    <w:qFormat/>
    <w:rsid w:val="005C0505"/>
  </w:style>
  <w:style w:type="character" w:customStyle="1" w:styleId="CharDivNo">
    <w:name w:val="CharDivNo"/>
    <w:basedOn w:val="OPCCharBase"/>
    <w:uiPriority w:val="1"/>
    <w:qFormat/>
    <w:rsid w:val="005C0505"/>
  </w:style>
  <w:style w:type="character" w:customStyle="1" w:styleId="CharDivText">
    <w:name w:val="CharDivText"/>
    <w:basedOn w:val="OPCCharBase"/>
    <w:uiPriority w:val="1"/>
    <w:qFormat/>
    <w:rsid w:val="005C0505"/>
  </w:style>
  <w:style w:type="character" w:customStyle="1" w:styleId="CharItalic">
    <w:name w:val="CharItalic"/>
    <w:basedOn w:val="OPCCharBase"/>
    <w:uiPriority w:val="1"/>
    <w:qFormat/>
    <w:rsid w:val="005C0505"/>
    <w:rPr>
      <w:i/>
    </w:rPr>
  </w:style>
  <w:style w:type="character" w:customStyle="1" w:styleId="CharPartNo">
    <w:name w:val="CharPartNo"/>
    <w:basedOn w:val="OPCCharBase"/>
    <w:uiPriority w:val="1"/>
    <w:qFormat/>
    <w:rsid w:val="005C0505"/>
  </w:style>
  <w:style w:type="character" w:customStyle="1" w:styleId="CharPartText">
    <w:name w:val="CharPartText"/>
    <w:basedOn w:val="OPCCharBase"/>
    <w:uiPriority w:val="1"/>
    <w:qFormat/>
    <w:rsid w:val="005C0505"/>
  </w:style>
  <w:style w:type="character" w:customStyle="1" w:styleId="CharSectno">
    <w:name w:val="CharSectno"/>
    <w:basedOn w:val="OPCCharBase"/>
    <w:qFormat/>
    <w:rsid w:val="005C0505"/>
  </w:style>
  <w:style w:type="character" w:customStyle="1" w:styleId="CharSubdNo">
    <w:name w:val="CharSubdNo"/>
    <w:basedOn w:val="OPCCharBase"/>
    <w:uiPriority w:val="1"/>
    <w:qFormat/>
    <w:rsid w:val="005C0505"/>
  </w:style>
  <w:style w:type="character" w:customStyle="1" w:styleId="CharSubdText">
    <w:name w:val="CharSubdText"/>
    <w:basedOn w:val="OPCCharBase"/>
    <w:uiPriority w:val="1"/>
    <w:qFormat/>
    <w:rsid w:val="005C0505"/>
  </w:style>
  <w:style w:type="paragraph" w:customStyle="1" w:styleId="CTA--">
    <w:name w:val="CTA --"/>
    <w:basedOn w:val="OPCParaBase"/>
    <w:next w:val="Normal"/>
    <w:rsid w:val="005C05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05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05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05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05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05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05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05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05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05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05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05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05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05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05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05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05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05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05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05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05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05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05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05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05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05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05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05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05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05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05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05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05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05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05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C05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05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05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05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05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05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05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05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05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05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05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05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05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05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05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05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05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05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05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05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C050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C050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C050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050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050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050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C050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050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050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05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05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05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05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05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05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05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05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0505"/>
    <w:rPr>
      <w:sz w:val="16"/>
    </w:rPr>
  </w:style>
  <w:style w:type="table" w:customStyle="1" w:styleId="CFlag">
    <w:name w:val="CFlag"/>
    <w:basedOn w:val="TableNormal"/>
    <w:uiPriority w:val="99"/>
    <w:rsid w:val="005C05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C0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0505"/>
    <w:rPr>
      <w:color w:val="0000FF"/>
      <w:u w:val="single"/>
    </w:rPr>
  </w:style>
  <w:style w:type="table" w:styleId="TableGrid">
    <w:name w:val="Table Grid"/>
    <w:basedOn w:val="TableNormal"/>
    <w:uiPriority w:val="59"/>
    <w:rsid w:val="005C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050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C050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C05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050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05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05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050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C0505"/>
  </w:style>
  <w:style w:type="paragraph" w:customStyle="1" w:styleId="CompiledActNo">
    <w:name w:val="CompiledActNo"/>
    <w:basedOn w:val="OPCParaBase"/>
    <w:next w:val="Normal"/>
    <w:rsid w:val="005C05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05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05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C050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C05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05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C05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05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C05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05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05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05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05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05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C05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05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0505"/>
  </w:style>
  <w:style w:type="character" w:customStyle="1" w:styleId="CharSubPartNoCASA">
    <w:name w:val="CharSubPartNo(CASA)"/>
    <w:basedOn w:val="OPCCharBase"/>
    <w:uiPriority w:val="1"/>
    <w:rsid w:val="005C0505"/>
  </w:style>
  <w:style w:type="paragraph" w:customStyle="1" w:styleId="ENoteTTIndentHeadingSub">
    <w:name w:val="ENoteTTIndentHeadingSub"/>
    <w:aliases w:val="enTTHis"/>
    <w:basedOn w:val="OPCParaBase"/>
    <w:rsid w:val="005C05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05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05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05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05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05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0505"/>
    <w:rPr>
      <w:sz w:val="22"/>
    </w:rPr>
  </w:style>
  <w:style w:type="paragraph" w:customStyle="1" w:styleId="SOTextNote">
    <w:name w:val="SO TextNote"/>
    <w:aliases w:val="sont"/>
    <w:basedOn w:val="SOText"/>
    <w:qFormat/>
    <w:rsid w:val="005C05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05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0505"/>
    <w:rPr>
      <w:sz w:val="22"/>
    </w:rPr>
  </w:style>
  <w:style w:type="paragraph" w:customStyle="1" w:styleId="FileName">
    <w:name w:val="FileName"/>
    <w:basedOn w:val="Normal"/>
    <w:rsid w:val="005C0505"/>
  </w:style>
  <w:style w:type="paragraph" w:customStyle="1" w:styleId="TableHeading">
    <w:name w:val="TableHeading"/>
    <w:aliases w:val="th"/>
    <w:basedOn w:val="OPCParaBase"/>
    <w:next w:val="Tabletext"/>
    <w:rsid w:val="005C05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05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05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05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05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05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05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05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05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05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05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05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24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24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2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4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4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4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4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4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4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12510D"/>
    <w:rPr>
      <w:rFonts w:eastAsia="Times New Roman" w:cs="Times New Roman"/>
      <w:sz w:val="22"/>
      <w:lang w:eastAsia="en-AU"/>
    </w:rPr>
  </w:style>
  <w:style w:type="numbering" w:customStyle="1" w:styleId="OPCBodyList">
    <w:name w:val="OPCBodyList"/>
    <w:uiPriority w:val="99"/>
    <w:rsid w:val="009667EB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05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4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4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4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4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4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4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4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0505"/>
  </w:style>
  <w:style w:type="paragraph" w:customStyle="1" w:styleId="OPCParaBase">
    <w:name w:val="OPCParaBase"/>
    <w:qFormat/>
    <w:rsid w:val="005C05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05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05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05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05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05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05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05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05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05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05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0505"/>
  </w:style>
  <w:style w:type="paragraph" w:customStyle="1" w:styleId="Blocks">
    <w:name w:val="Blocks"/>
    <w:aliases w:val="bb"/>
    <w:basedOn w:val="OPCParaBase"/>
    <w:qFormat/>
    <w:rsid w:val="005C05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05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05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0505"/>
    <w:rPr>
      <w:i/>
    </w:rPr>
  </w:style>
  <w:style w:type="paragraph" w:customStyle="1" w:styleId="BoxList">
    <w:name w:val="BoxList"/>
    <w:aliases w:val="bl"/>
    <w:basedOn w:val="BoxText"/>
    <w:qFormat/>
    <w:rsid w:val="005C05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05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05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0505"/>
    <w:pPr>
      <w:ind w:left="1985" w:hanging="851"/>
    </w:pPr>
  </w:style>
  <w:style w:type="character" w:customStyle="1" w:styleId="CharAmPartNo">
    <w:name w:val="CharAmPartNo"/>
    <w:basedOn w:val="OPCCharBase"/>
    <w:qFormat/>
    <w:rsid w:val="005C0505"/>
  </w:style>
  <w:style w:type="character" w:customStyle="1" w:styleId="CharAmPartText">
    <w:name w:val="CharAmPartText"/>
    <w:basedOn w:val="OPCCharBase"/>
    <w:qFormat/>
    <w:rsid w:val="005C0505"/>
  </w:style>
  <w:style w:type="character" w:customStyle="1" w:styleId="CharAmSchNo">
    <w:name w:val="CharAmSchNo"/>
    <w:basedOn w:val="OPCCharBase"/>
    <w:qFormat/>
    <w:rsid w:val="005C0505"/>
  </w:style>
  <w:style w:type="character" w:customStyle="1" w:styleId="CharAmSchText">
    <w:name w:val="CharAmSchText"/>
    <w:basedOn w:val="OPCCharBase"/>
    <w:qFormat/>
    <w:rsid w:val="005C0505"/>
  </w:style>
  <w:style w:type="character" w:customStyle="1" w:styleId="CharBoldItalic">
    <w:name w:val="CharBoldItalic"/>
    <w:basedOn w:val="OPCCharBase"/>
    <w:uiPriority w:val="1"/>
    <w:qFormat/>
    <w:rsid w:val="005C05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0505"/>
  </w:style>
  <w:style w:type="character" w:customStyle="1" w:styleId="CharChapText">
    <w:name w:val="CharChapText"/>
    <w:basedOn w:val="OPCCharBase"/>
    <w:uiPriority w:val="1"/>
    <w:qFormat/>
    <w:rsid w:val="005C0505"/>
  </w:style>
  <w:style w:type="character" w:customStyle="1" w:styleId="CharDivNo">
    <w:name w:val="CharDivNo"/>
    <w:basedOn w:val="OPCCharBase"/>
    <w:uiPriority w:val="1"/>
    <w:qFormat/>
    <w:rsid w:val="005C0505"/>
  </w:style>
  <w:style w:type="character" w:customStyle="1" w:styleId="CharDivText">
    <w:name w:val="CharDivText"/>
    <w:basedOn w:val="OPCCharBase"/>
    <w:uiPriority w:val="1"/>
    <w:qFormat/>
    <w:rsid w:val="005C0505"/>
  </w:style>
  <w:style w:type="character" w:customStyle="1" w:styleId="CharItalic">
    <w:name w:val="CharItalic"/>
    <w:basedOn w:val="OPCCharBase"/>
    <w:uiPriority w:val="1"/>
    <w:qFormat/>
    <w:rsid w:val="005C0505"/>
    <w:rPr>
      <w:i/>
    </w:rPr>
  </w:style>
  <w:style w:type="character" w:customStyle="1" w:styleId="CharPartNo">
    <w:name w:val="CharPartNo"/>
    <w:basedOn w:val="OPCCharBase"/>
    <w:uiPriority w:val="1"/>
    <w:qFormat/>
    <w:rsid w:val="005C0505"/>
  </w:style>
  <w:style w:type="character" w:customStyle="1" w:styleId="CharPartText">
    <w:name w:val="CharPartText"/>
    <w:basedOn w:val="OPCCharBase"/>
    <w:uiPriority w:val="1"/>
    <w:qFormat/>
    <w:rsid w:val="005C0505"/>
  </w:style>
  <w:style w:type="character" w:customStyle="1" w:styleId="CharSectno">
    <w:name w:val="CharSectno"/>
    <w:basedOn w:val="OPCCharBase"/>
    <w:qFormat/>
    <w:rsid w:val="005C0505"/>
  </w:style>
  <w:style w:type="character" w:customStyle="1" w:styleId="CharSubdNo">
    <w:name w:val="CharSubdNo"/>
    <w:basedOn w:val="OPCCharBase"/>
    <w:uiPriority w:val="1"/>
    <w:qFormat/>
    <w:rsid w:val="005C0505"/>
  </w:style>
  <w:style w:type="character" w:customStyle="1" w:styleId="CharSubdText">
    <w:name w:val="CharSubdText"/>
    <w:basedOn w:val="OPCCharBase"/>
    <w:uiPriority w:val="1"/>
    <w:qFormat/>
    <w:rsid w:val="005C0505"/>
  </w:style>
  <w:style w:type="paragraph" w:customStyle="1" w:styleId="CTA--">
    <w:name w:val="CTA --"/>
    <w:basedOn w:val="OPCParaBase"/>
    <w:next w:val="Normal"/>
    <w:rsid w:val="005C05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05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05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05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05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05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05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05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05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05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05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05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05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05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05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05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05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05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05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05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05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05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05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05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05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05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05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05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05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05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05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05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05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05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05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C05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05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05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05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05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05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05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05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05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05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05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05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05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05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05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05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05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05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05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05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C050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C050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C050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050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050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050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C050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050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050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05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05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05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05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05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05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05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05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0505"/>
    <w:rPr>
      <w:sz w:val="16"/>
    </w:rPr>
  </w:style>
  <w:style w:type="table" w:customStyle="1" w:styleId="CFlag">
    <w:name w:val="CFlag"/>
    <w:basedOn w:val="TableNormal"/>
    <w:uiPriority w:val="99"/>
    <w:rsid w:val="005C05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C0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0505"/>
    <w:rPr>
      <w:color w:val="0000FF"/>
      <w:u w:val="single"/>
    </w:rPr>
  </w:style>
  <w:style w:type="table" w:styleId="TableGrid">
    <w:name w:val="Table Grid"/>
    <w:basedOn w:val="TableNormal"/>
    <w:uiPriority w:val="59"/>
    <w:rsid w:val="005C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050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C050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C05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050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05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05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050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C0505"/>
  </w:style>
  <w:style w:type="paragraph" w:customStyle="1" w:styleId="CompiledActNo">
    <w:name w:val="CompiledActNo"/>
    <w:basedOn w:val="OPCParaBase"/>
    <w:next w:val="Normal"/>
    <w:rsid w:val="005C05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05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05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C050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C05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05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C05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05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C05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05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05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05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05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05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C05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05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0505"/>
  </w:style>
  <w:style w:type="character" w:customStyle="1" w:styleId="CharSubPartNoCASA">
    <w:name w:val="CharSubPartNo(CASA)"/>
    <w:basedOn w:val="OPCCharBase"/>
    <w:uiPriority w:val="1"/>
    <w:rsid w:val="005C0505"/>
  </w:style>
  <w:style w:type="paragraph" w:customStyle="1" w:styleId="ENoteTTIndentHeadingSub">
    <w:name w:val="ENoteTTIndentHeadingSub"/>
    <w:aliases w:val="enTTHis"/>
    <w:basedOn w:val="OPCParaBase"/>
    <w:rsid w:val="005C05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05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05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05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05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05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0505"/>
    <w:rPr>
      <w:sz w:val="22"/>
    </w:rPr>
  </w:style>
  <w:style w:type="paragraph" w:customStyle="1" w:styleId="SOTextNote">
    <w:name w:val="SO TextNote"/>
    <w:aliases w:val="sont"/>
    <w:basedOn w:val="SOText"/>
    <w:qFormat/>
    <w:rsid w:val="005C05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05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0505"/>
    <w:rPr>
      <w:sz w:val="22"/>
    </w:rPr>
  </w:style>
  <w:style w:type="paragraph" w:customStyle="1" w:styleId="FileName">
    <w:name w:val="FileName"/>
    <w:basedOn w:val="Normal"/>
    <w:rsid w:val="005C0505"/>
  </w:style>
  <w:style w:type="paragraph" w:customStyle="1" w:styleId="TableHeading">
    <w:name w:val="TableHeading"/>
    <w:aliases w:val="th"/>
    <w:basedOn w:val="OPCParaBase"/>
    <w:next w:val="Tabletext"/>
    <w:rsid w:val="005C05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05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05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05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05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05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05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05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05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05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05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05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24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24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2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4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4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4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4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4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4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12510D"/>
    <w:rPr>
      <w:rFonts w:eastAsia="Times New Roman" w:cs="Times New Roman"/>
      <w:sz w:val="22"/>
      <w:lang w:eastAsia="en-AU"/>
    </w:rPr>
  </w:style>
  <w:style w:type="numbering" w:customStyle="1" w:styleId="OPCBodyList">
    <w:name w:val="OPCBodyList"/>
    <w:uiPriority w:val="99"/>
    <w:rsid w:val="009667E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A8E6-E344-4876-890D-FB69F71D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22</Pages>
  <Words>3600</Words>
  <Characters>20526</Characters>
  <Application>Microsoft Office Word</Application>
  <DocSecurity>4</DocSecurity>
  <PresentationFormat/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2015-11-17T03:58:00Z</cp:lastPrinted>
  <dcterms:created xsi:type="dcterms:W3CDTF">2016-08-22T04:53:00Z</dcterms:created>
  <dcterms:modified xsi:type="dcterms:W3CDTF">2016-08-22T04:53:00Z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219, 2015</vt:lpwstr>
  </property>
  <property fmtid="{D5CDD505-2E9C-101B-9397-08002B2CF9AE}" pid="3" name="ShortT">
    <vt:lpwstr>Agricultural and Veterinary Chemicals Legislation Amendment (Simplified Formulation Variations and Other Measures)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/>
  </property>
  <property fmtid="{D5CDD505-2E9C-101B-9397-08002B2CF9AE}" pid="11" name="ID">
    <vt:lpwstr>OPC61090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Agricultural and Veterinary Chemicals Code Act 1994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10 December 2015</vt:lpwstr>
  </property>
</Properties>
</file>