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591F9" w14:textId="7B25E45C" w:rsidR="00BA4754" w:rsidRDefault="00BA4754" w:rsidP="009A57AF">
      <w:pPr>
        <w:pStyle w:val="Heading1"/>
        <w:spacing w:before="100" w:beforeAutospacing="1" w:after="100" w:afterAutospacing="1"/>
        <w:jc w:val="center"/>
        <w:rPr>
          <w:rFonts w:ascii="Arial Bold" w:hAnsi="Arial Bold"/>
          <w:caps w:val="0"/>
          <w:kern w:val="28"/>
          <w:u w:val="single"/>
        </w:rPr>
      </w:pPr>
      <w:r w:rsidRPr="003119F2">
        <w:rPr>
          <w:rFonts w:ascii="Arial Bold" w:hAnsi="Arial Bold"/>
          <w:caps w:val="0"/>
          <w:kern w:val="28"/>
          <w:u w:val="single"/>
        </w:rPr>
        <w:t>EXPLANATORY STATEMENT</w:t>
      </w:r>
    </w:p>
    <w:p w14:paraId="1D452FD3" w14:textId="024878EA" w:rsidR="00F856F9" w:rsidRPr="00F856F9" w:rsidRDefault="00F856F9" w:rsidP="00F856F9">
      <w:pPr>
        <w:tabs>
          <w:tab w:val="left" w:pos="1701"/>
          <w:tab w:val="right" w:pos="9072"/>
        </w:tabs>
        <w:spacing w:before="100" w:beforeAutospacing="1" w:after="100" w:afterAutospacing="1"/>
        <w:ind w:right="91"/>
        <w:jc w:val="center"/>
        <w:rPr>
          <w:b/>
          <w:u w:val="single"/>
        </w:rPr>
      </w:pPr>
      <w:r w:rsidRPr="00F856F9">
        <w:rPr>
          <w:b/>
          <w:u w:val="single"/>
        </w:rPr>
        <w:t>Select Legislative Instrument No. 254, 2015</w:t>
      </w:r>
    </w:p>
    <w:p w14:paraId="668DE23C" w14:textId="054AA4CD" w:rsidR="00BA4754" w:rsidRPr="003119F2" w:rsidRDefault="00BA4754" w:rsidP="009A57AF">
      <w:pPr>
        <w:pStyle w:val="Heading2"/>
        <w:spacing w:before="100" w:beforeAutospacing="1" w:after="100" w:afterAutospacing="1"/>
        <w:jc w:val="center"/>
        <w:rPr>
          <w:caps w:val="0"/>
          <w:sz w:val="28"/>
          <w:u w:val="single"/>
        </w:rPr>
      </w:pPr>
      <w:r w:rsidRPr="003119F2">
        <w:rPr>
          <w:caps w:val="0"/>
          <w:sz w:val="28"/>
          <w:u w:val="single"/>
        </w:rPr>
        <w:t>Issued by authority of the</w:t>
      </w:r>
      <w:r w:rsidR="009036AB">
        <w:rPr>
          <w:caps w:val="0"/>
          <w:sz w:val="28"/>
          <w:u w:val="single"/>
        </w:rPr>
        <w:t xml:space="preserve"> Assistant Treasurer</w:t>
      </w:r>
    </w:p>
    <w:p w14:paraId="6C2CFD66" w14:textId="1414F840" w:rsidR="00BA4754" w:rsidRPr="003119F2" w:rsidRDefault="00642599" w:rsidP="00BA4754">
      <w:pPr>
        <w:tabs>
          <w:tab w:val="left" w:pos="1701"/>
          <w:tab w:val="right" w:pos="9072"/>
        </w:tabs>
        <w:spacing w:before="100" w:beforeAutospacing="1" w:after="100" w:afterAutospacing="1"/>
        <w:ind w:right="91"/>
        <w:jc w:val="center"/>
        <w:rPr>
          <w:i/>
        </w:rPr>
      </w:pPr>
      <w:r w:rsidRPr="00E11671">
        <w:rPr>
          <w:i/>
        </w:rPr>
        <w:t xml:space="preserve">Petroleum Resource Rent </w:t>
      </w:r>
      <w:r>
        <w:rPr>
          <w:i/>
        </w:rPr>
        <w:t xml:space="preserve">Tax </w:t>
      </w:r>
      <w:r w:rsidRPr="00E11671">
        <w:rPr>
          <w:i/>
        </w:rPr>
        <w:t>Assessment Act 1987</w:t>
      </w:r>
    </w:p>
    <w:p w14:paraId="15021796" w14:textId="5C519F34" w:rsidR="00BA4754" w:rsidRPr="003119F2" w:rsidRDefault="00642599" w:rsidP="00BA4754">
      <w:pPr>
        <w:tabs>
          <w:tab w:val="left" w:pos="1701"/>
          <w:tab w:val="right" w:pos="9072"/>
        </w:tabs>
        <w:spacing w:before="100" w:beforeAutospacing="1" w:after="100" w:afterAutospacing="1"/>
        <w:ind w:right="91"/>
        <w:jc w:val="center"/>
        <w:rPr>
          <w:i/>
        </w:rPr>
      </w:pPr>
      <w:bookmarkStart w:id="0" w:name="_GoBack"/>
      <w:r>
        <w:rPr>
          <w:i/>
        </w:rPr>
        <w:t>Petroleum Resource Rent Tax Assessment</w:t>
      </w:r>
      <w:r w:rsidRPr="00210946">
        <w:rPr>
          <w:i/>
        </w:rPr>
        <w:t xml:space="preserve"> Regulation 2015</w:t>
      </w:r>
      <w:bookmarkEnd w:id="0"/>
    </w:p>
    <w:p w14:paraId="0C4F8DC4" w14:textId="23BED345" w:rsidR="00BA4754" w:rsidRPr="003119F2" w:rsidRDefault="008B2954" w:rsidP="008B2954">
      <w:pPr>
        <w:tabs>
          <w:tab w:val="left" w:pos="1701"/>
          <w:tab w:val="right" w:pos="9072"/>
        </w:tabs>
        <w:spacing w:before="100" w:beforeAutospacing="1" w:after="100" w:afterAutospacing="1"/>
        <w:ind w:right="91"/>
      </w:pPr>
      <w:r>
        <w:t xml:space="preserve">Section 114 of the </w:t>
      </w:r>
      <w:r w:rsidRPr="00E11671">
        <w:rPr>
          <w:i/>
        </w:rPr>
        <w:t xml:space="preserve">Petroleum Resource Rent </w:t>
      </w:r>
      <w:r>
        <w:rPr>
          <w:i/>
        </w:rPr>
        <w:t xml:space="preserve">Tax </w:t>
      </w:r>
      <w:r w:rsidRPr="00E11671">
        <w:rPr>
          <w:i/>
        </w:rPr>
        <w:t>Assessment Act 1987</w:t>
      </w:r>
      <w:r w:rsidR="00BA4754" w:rsidRPr="003119F2">
        <w:t xml:space="preserve"> </w:t>
      </w:r>
      <w:r>
        <w:t>(</w:t>
      </w:r>
      <w:r w:rsidR="00C13789">
        <w:t>the </w:t>
      </w:r>
      <w:r w:rsidR="009E6ED4">
        <w:t>PRRTAA</w:t>
      </w:r>
      <w:r>
        <w:t xml:space="preserve">) </w:t>
      </w:r>
      <w:r w:rsidR="00BA4754" w:rsidRPr="003119F2">
        <w:t>provide</w:t>
      </w:r>
      <w:r w:rsidR="00642599">
        <w:t>s</w:t>
      </w:r>
      <w:r w:rsidR="00BA4754" w:rsidRPr="003119F2">
        <w:t xml:space="preserve"> that the Governor</w:t>
      </w:r>
      <w:r w:rsidR="00BA4754" w:rsidRPr="003119F2">
        <w:noBreakHyphen/>
        <w:t>General may make regulations prescribing all</w:t>
      </w:r>
      <w:r w:rsidR="00D26844">
        <w:t xml:space="preserve"> matters</w:t>
      </w:r>
      <w:r w:rsidR="00BA4754" w:rsidRPr="003119F2">
        <w:t xml:space="preserve"> </w:t>
      </w:r>
      <w:r>
        <w:t>required or permitted by this Act to be prescribed or necessary or convenient to be prescribed for carrying out or giving effect to th</w:t>
      </w:r>
      <w:r w:rsidR="00301647">
        <w:t>e</w:t>
      </w:r>
      <w:r>
        <w:t xml:space="preserve"> Act</w:t>
      </w:r>
      <w:r w:rsidR="00BA4754" w:rsidRPr="003119F2">
        <w:t xml:space="preserve">. </w:t>
      </w:r>
    </w:p>
    <w:p w14:paraId="1518549A" w14:textId="6ABBD56E" w:rsidR="00642599" w:rsidRDefault="00642599" w:rsidP="008B2954">
      <w:pPr>
        <w:tabs>
          <w:tab w:val="left" w:pos="1701"/>
          <w:tab w:val="right" w:pos="9072"/>
        </w:tabs>
        <w:spacing w:before="100" w:beforeAutospacing="1" w:after="100" w:afterAutospacing="1"/>
        <w:ind w:right="91"/>
      </w:pPr>
      <w:r>
        <w:t>Section 24 of the</w:t>
      </w:r>
      <w:r w:rsidR="009E6ED4">
        <w:t xml:space="preserve"> PRRTAA</w:t>
      </w:r>
      <w:r>
        <w:t xml:space="preserve"> provides that regulations may specify the calculation method to determine the assessable petroleum receipts arising from sales gas and natural gas in relation to a petroleum project.</w:t>
      </w:r>
    </w:p>
    <w:p w14:paraId="73CCC12A" w14:textId="1DFB3577" w:rsidR="00642599" w:rsidRDefault="008B2954" w:rsidP="00752D52">
      <w:pPr>
        <w:tabs>
          <w:tab w:val="left" w:pos="1701"/>
          <w:tab w:val="right" w:pos="9072"/>
        </w:tabs>
        <w:spacing w:before="100" w:beforeAutospacing="1" w:after="100" w:afterAutospacing="1"/>
        <w:ind w:right="91"/>
      </w:pPr>
      <w:r>
        <w:t>The</w:t>
      </w:r>
      <w:r w:rsidR="00642599">
        <w:t xml:space="preserve"> purpose of the </w:t>
      </w:r>
      <w:r>
        <w:rPr>
          <w:i/>
        </w:rPr>
        <w:t>Petroleum Resource Rent Tax Assessment</w:t>
      </w:r>
      <w:r w:rsidRPr="00210946">
        <w:rPr>
          <w:i/>
        </w:rPr>
        <w:t xml:space="preserve"> Regulation 2015</w:t>
      </w:r>
      <w:r>
        <w:t xml:space="preserve"> </w:t>
      </w:r>
      <w:r w:rsidR="00642599">
        <w:t>(the </w:t>
      </w:r>
      <w:r>
        <w:t xml:space="preserve">Regulation) </w:t>
      </w:r>
      <w:r w:rsidR="00642599">
        <w:t xml:space="preserve">is to </w:t>
      </w:r>
      <w:r>
        <w:t xml:space="preserve">remake the </w:t>
      </w:r>
      <w:r>
        <w:rPr>
          <w:i/>
        </w:rPr>
        <w:t>Petroleum Resource Rent Tax Assessment Regulations</w:t>
      </w:r>
      <w:r w:rsidR="00642599">
        <w:rPr>
          <w:i/>
        </w:rPr>
        <w:t> </w:t>
      </w:r>
      <w:r>
        <w:rPr>
          <w:i/>
        </w:rPr>
        <w:t>200</w:t>
      </w:r>
      <w:r w:rsidRPr="00210946">
        <w:rPr>
          <w:i/>
        </w:rPr>
        <w:t>5</w:t>
      </w:r>
      <w:r w:rsidR="00334604">
        <w:rPr>
          <w:i/>
        </w:rPr>
        <w:t xml:space="preserve"> </w:t>
      </w:r>
      <w:r w:rsidR="00334604">
        <w:t>(the 2005 Regulations)</w:t>
      </w:r>
      <w:r>
        <w:t xml:space="preserve">.  </w:t>
      </w:r>
    </w:p>
    <w:p w14:paraId="2C9EC742" w14:textId="2DD227EE" w:rsidR="008B2954" w:rsidRDefault="008B2954" w:rsidP="008B2954">
      <w:pPr>
        <w:tabs>
          <w:tab w:val="left" w:pos="1701"/>
          <w:tab w:val="right" w:pos="9072"/>
        </w:tabs>
        <w:spacing w:before="100" w:beforeAutospacing="1" w:after="100" w:afterAutospacing="1"/>
        <w:ind w:right="91"/>
      </w:pPr>
      <w:r w:rsidRPr="003119F2">
        <w:t xml:space="preserve">The </w:t>
      </w:r>
      <w:r w:rsidRPr="003119F2">
        <w:rPr>
          <w:i/>
        </w:rPr>
        <w:t>Legislative Instruments Act 2003</w:t>
      </w:r>
      <w:r w:rsidRPr="003119F2">
        <w:t xml:space="preserve"> (LIA) provides that all legislative instruments</w:t>
      </w:r>
      <w:r>
        <w:t>,</w:t>
      </w:r>
      <w:r w:rsidRPr="003119F2">
        <w:t xml:space="preserve"> other than exempt instruments</w:t>
      </w:r>
      <w:r>
        <w:t>,</w:t>
      </w:r>
      <w:r w:rsidRPr="003119F2">
        <w:t xml:space="preserve"> progressively ‘sunset’ </w:t>
      </w:r>
      <w:r>
        <w:t>on the first 1 April or 1 </w:t>
      </w:r>
      <w:r w:rsidRPr="00DA197E">
        <w:t>October falling on or after the tenth anniversary of registration of the instrument</w:t>
      </w:r>
      <w:r w:rsidR="00642599">
        <w:t xml:space="preserve">.  </w:t>
      </w:r>
      <w:r>
        <w:t xml:space="preserve">As the </w:t>
      </w:r>
      <w:r w:rsidR="00334604">
        <w:t xml:space="preserve">2005 Regulations were </w:t>
      </w:r>
      <w:r>
        <w:t xml:space="preserve">registered on 19 December 2005, </w:t>
      </w:r>
      <w:r w:rsidR="00334604">
        <w:t>they are</w:t>
      </w:r>
      <w:r>
        <w:t xml:space="preserve"> due to sunset on 1 April 2016. </w:t>
      </w:r>
      <w:r w:rsidRPr="003119F2">
        <w:t xml:space="preserve">  When a legislative instrument sunsets, it is automatically repealed under </w:t>
      </w:r>
      <w:r w:rsidR="00642599">
        <w:t>section</w:t>
      </w:r>
      <w:r w:rsidR="00C13789">
        <w:t> </w:t>
      </w:r>
      <w:r w:rsidR="00642599">
        <w:t>50</w:t>
      </w:r>
      <w:r w:rsidR="00C13789">
        <w:t> </w:t>
      </w:r>
      <w:r w:rsidRPr="003119F2">
        <w:t>of</w:t>
      </w:r>
      <w:r w:rsidR="00C13789">
        <w:t> </w:t>
      </w:r>
      <w:r w:rsidRPr="003119F2">
        <w:t>the</w:t>
      </w:r>
      <w:r w:rsidR="00C13789">
        <w:t> </w:t>
      </w:r>
      <w:r w:rsidRPr="003119F2">
        <w:t>LIA.</w:t>
      </w:r>
    </w:p>
    <w:p w14:paraId="624F0AFD" w14:textId="6DC1AECA" w:rsidR="008B2954" w:rsidRPr="00030854" w:rsidRDefault="008B2954" w:rsidP="008B2954">
      <w:pPr>
        <w:tabs>
          <w:tab w:val="left" w:pos="1701"/>
          <w:tab w:val="right" w:pos="9072"/>
        </w:tabs>
        <w:spacing w:before="100" w:beforeAutospacing="1" w:after="100" w:afterAutospacing="1"/>
        <w:ind w:right="91"/>
      </w:pPr>
      <w:r w:rsidRPr="00030854">
        <w:t>The Regulation remakes the</w:t>
      </w:r>
      <w:r w:rsidR="00334604" w:rsidRPr="00030854">
        <w:t xml:space="preserve"> 2005 Regulation</w:t>
      </w:r>
      <w:r w:rsidR="00014283">
        <w:t>s</w:t>
      </w:r>
      <w:r w:rsidRPr="00030854">
        <w:t xml:space="preserve">, </w:t>
      </w:r>
      <w:r w:rsidR="00DA5FA6">
        <w:t xml:space="preserve">with </w:t>
      </w:r>
      <w:r w:rsidRPr="00030854">
        <w:t xml:space="preserve">some minor changes to </w:t>
      </w:r>
      <w:r w:rsidR="00DA5FA6">
        <w:t>modernise</w:t>
      </w:r>
      <w:r w:rsidR="00141D89">
        <w:t xml:space="preserve"> the drafting style</w:t>
      </w:r>
      <w:r w:rsidR="00DA5FA6">
        <w:t>,</w:t>
      </w:r>
      <w:r w:rsidR="00141D89">
        <w:t xml:space="preserve"> </w:t>
      </w:r>
      <w:r w:rsidRPr="00030854">
        <w:t xml:space="preserve">reduce compliance costs for industry and ensure that the </w:t>
      </w:r>
      <w:r w:rsidR="0061028C">
        <w:t>R</w:t>
      </w:r>
      <w:r w:rsidRPr="00030854">
        <w:t>egulation is fit</w:t>
      </w:r>
      <w:r w:rsidR="001B08D5">
        <w:noBreakHyphen/>
      </w:r>
      <w:r w:rsidRPr="00030854">
        <w:t>for</w:t>
      </w:r>
      <w:r w:rsidR="001B08D5">
        <w:noBreakHyphen/>
      </w:r>
      <w:r w:rsidRPr="00030854">
        <w:t>purpose</w:t>
      </w:r>
      <w:r w:rsidR="00301647">
        <w:t xml:space="preserve">. </w:t>
      </w:r>
      <w:r w:rsidRPr="00030854">
        <w:t>Consistent</w:t>
      </w:r>
      <w:r w:rsidR="00DA5FA6">
        <w:t>ly</w:t>
      </w:r>
      <w:r w:rsidRPr="00030854">
        <w:t xml:space="preserve"> with the Government’s deregulation agenda, the key changes</w:t>
      </w:r>
      <w:r w:rsidR="00B7499A">
        <w:t xml:space="preserve"> are designed to reduce costs and regulatory burden by</w:t>
      </w:r>
      <w:r w:rsidRPr="00030854">
        <w:t>:</w:t>
      </w:r>
    </w:p>
    <w:p w14:paraId="6DF19D11" w14:textId="6B1DE7FC" w:rsidR="00DA0335" w:rsidRPr="00A50262" w:rsidRDefault="00DA0335" w:rsidP="00DA0335">
      <w:pPr>
        <w:pStyle w:val="Bullet"/>
        <w:rPr>
          <w:rFonts w:ascii="Times New Roman" w:hAnsi="Times New Roman" w:cs="Times New Roman"/>
        </w:rPr>
      </w:pPr>
      <w:r w:rsidRPr="00030854">
        <w:rPr>
          <w:rFonts w:ascii="Times New Roman" w:hAnsi="Times New Roman" w:cs="Times New Roman"/>
        </w:rPr>
        <w:t xml:space="preserve">allowing taxpayers </w:t>
      </w:r>
      <w:r w:rsidR="00D36002">
        <w:rPr>
          <w:rFonts w:ascii="Times New Roman" w:hAnsi="Times New Roman" w:cs="Times New Roman"/>
        </w:rPr>
        <w:t xml:space="preserve">to jointly make an election for </w:t>
      </w:r>
      <w:r w:rsidRPr="00030854">
        <w:rPr>
          <w:rFonts w:ascii="Times New Roman" w:hAnsi="Times New Roman" w:cs="Times New Roman"/>
        </w:rPr>
        <w:t xml:space="preserve">an onshore integrated </w:t>
      </w:r>
      <w:r w:rsidR="00334604" w:rsidRPr="00030854">
        <w:rPr>
          <w:rFonts w:ascii="Times New Roman" w:hAnsi="Times New Roman" w:cs="Times New Roman"/>
        </w:rPr>
        <w:t>gas</w:t>
      </w:r>
      <w:r w:rsidR="001B08D5">
        <w:rPr>
          <w:rFonts w:ascii="Times New Roman" w:hAnsi="Times New Roman" w:cs="Times New Roman"/>
        </w:rPr>
        <w:noBreakHyphen/>
      </w:r>
      <w:r w:rsidR="00334604" w:rsidRPr="00030854">
        <w:rPr>
          <w:rFonts w:ascii="Times New Roman" w:hAnsi="Times New Roman" w:cs="Times New Roman"/>
        </w:rPr>
        <w:t>to</w:t>
      </w:r>
      <w:r w:rsidR="001B08D5">
        <w:rPr>
          <w:rFonts w:ascii="Times New Roman" w:hAnsi="Times New Roman" w:cs="Times New Roman"/>
        </w:rPr>
        <w:noBreakHyphen/>
      </w:r>
      <w:r w:rsidR="00334604" w:rsidRPr="00030854">
        <w:rPr>
          <w:rFonts w:ascii="Times New Roman" w:hAnsi="Times New Roman" w:cs="Times New Roman"/>
        </w:rPr>
        <w:t>liquid (GTL)</w:t>
      </w:r>
      <w:r w:rsidR="005A24AA">
        <w:rPr>
          <w:rFonts w:ascii="Times New Roman" w:hAnsi="Times New Roman" w:cs="Times New Roman"/>
        </w:rPr>
        <w:t xml:space="preserve"> operation</w:t>
      </w:r>
      <w:r w:rsidR="00334604" w:rsidRPr="00030854">
        <w:rPr>
          <w:rFonts w:ascii="Times New Roman" w:hAnsi="Times New Roman" w:cs="Times New Roman"/>
        </w:rPr>
        <w:t xml:space="preserve"> </w:t>
      </w:r>
      <w:r w:rsidRPr="00030854">
        <w:rPr>
          <w:rFonts w:ascii="Times New Roman" w:hAnsi="Times New Roman" w:cs="Times New Roman"/>
        </w:rPr>
        <w:t xml:space="preserve">to aggregate the relevant costs into </w:t>
      </w:r>
      <w:r w:rsidRPr="00A50262">
        <w:rPr>
          <w:rFonts w:ascii="Times New Roman" w:hAnsi="Times New Roman" w:cs="Times New Roman"/>
        </w:rPr>
        <w:t xml:space="preserve">one upstream </w:t>
      </w:r>
      <w:r w:rsidR="00A24FA3" w:rsidRPr="00A50262">
        <w:rPr>
          <w:rFonts w:ascii="Times New Roman" w:hAnsi="Times New Roman" w:cs="Times New Roman"/>
        </w:rPr>
        <w:t>phase</w:t>
      </w:r>
      <w:r w:rsidRPr="00A50262">
        <w:rPr>
          <w:rFonts w:ascii="Times New Roman" w:hAnsi="Times New Roman" w:cs="Times New Roman"/>
        </w:rPr>
        <w:t>. For integrity reasons, the election is subject to restrictions;</w:t>
      </w:r>
    </w:p>
    <w:p w14:paraId="24726FCF" w14:textId="1C443EE1" w:rsidR="00A50262" w:rsidRPr="00A50262" w:rsidRDefault="005A24AA" w:rsidP="00DA0335">
      <w:pPr>
        <w:pStyle w:val="Bullet"/>
        <w:rPr>
          <w:rFonts w:ascii="Times New Roman" w:hAnsi="Times New Roman" w:cs="Times New Roman"/>
        </w:rPr>
      </w:pPr>
      <w:r>
        <w:rPr>
          <w:rFonts w:ascii="Times New Roman" w:hAnsi="Times New Roman" w:cs="Times New Roman"/>
        </w:rPr>
        <w:t>a</w:t>
      </w:r>
      <w:r w:rsidR="001B08D5">
        <w:rPr>
          <w:rFonts w:ascii="Times New Roman" w:hAnsi="Times New Roman" w:cs="Times New Roman"/>
        </w:rPr>
        <w:t>llowing</w:t>
      </w:r>
      <w:r>
        <w:rPr>
          <w:rFonts w:ascii="Times New Roman" w:hAnsi="Times New Roman" w:cs="Times New Roman"/>
        </w:rPr>
        <w:t xml:space="preserve"> </w:t>
      </w:r>
      <w:r w:rsidRPr="005A24AA">
        <w:rPr>
          <w:rFonts w:ascii="Times New Roman" w:hAnsi="Times New Roman" w:cs="Times New Roman"/>
        </w:rPr>
        <w:t>an election for an onshore integrated operation to use the depreciated replacement cost method</w:t>
      </w:r>
      <w:r w:rsidR="00DA5FA6">
        <w:rPr>
          <w:rFonts w:ascii="Times New Roman" w:hAnsi="Times New Roman" w:cs="Times New Roman"/>
        </w:rPr>
        <w:t>,</w:t>
      </w:r>
      <w:r>
        <w:rPr>
          <w:rFonts w:ascii="Times New Roman" w:hAnsi="Times New Roman" w:cs="Times New Roman"/>
        </w:rPr>
        <w:t xml:space="preserve"> to be made by</w:t>
      </w:r>
      <w:r w:rsidR="001B08D5">
        <w:rPr>
          <w:rFonts w:ascii="Times New Roman" w:hAnsi="Times New Roman" w:cs="Times New Roman"/>
        </w:rPr>
        <w:t xml:space="preserve"> taxpayers that use the Residual Pricing Method (RPM</w:t>
      </w:r>
      <w:r w:rsidR="00283FC0">
        <w:rPr>
          <w:rFonts w:ascii="Times New Roman" w:hAnsi="Times New Roman" w:cs="Times New Roman"/>
        </w:rPr>
        <w:t xml:space="preserve">). </w:t>
      </w:r>
      <w:r w:rsidR="00A50262" w:rsidRPr="005A24AA">
        <w:rPr>
          <w:rFonts w:ascii="Times New Roman" w:hAnsi="Times New Roman" w:cs="Times New Roman"/>
        </w:rPr>
        <w:t xml:space="preserve">This </w:t>
      </w:r>
      <w:r>
        <w:rPr>
          <w:rFonts w:ascii="Times New Roman" w:hAnsi="Times New Roman" w:cs="Times New Roman"/>
        </w:rPr>
        <w:t xml:space="preserve">changes the </w:t>
      </w:r>
      <w:r w:rsidR="00A50262" w:rsidRPr="005A24AA">
        <w:rPr>
          <w:rFonts w:ascii="Times New Roman" w:hAnsi="Times New Roman" w:cs="Times New Roman"/>
        </w:rPr>
        <w:t>current requirement that the election be made by all of the participants in the integrated op</w:t>
      </w:r>
      <w:r w:rsidR="001547AF">
        <w:rPr>
          <w:rFonts w:ascii="Times New Roman" w:hAnsi="Times New Roman" w:cs="Times New Roman"/>
        </w:rPr>
        <w:t>eration;</w:t>
      </w:r>
    </w:p>
    <w:p w14:paraId="69237B4D" w14:textId="4FE8D266" w:rsidR="00DA0335" w:rsidRPr="00030854" w:rsidRDefault="00DA0335" w:rsidP="00DA0335">
      <w:pPr>
        <w:pStyle w:val="Bullet"/>
        <w:rPr>
          <w:rFonts w:ascii="Times New Roman" w:hAnsi="Times New Roman" w:cs="Times New Roman"/>
        </w:rPr>
      </w:pPr>
      <w:r w:rsidRPr="00A50262">
        <w:rPr>
          <w:rFonts w:ascii="Times New Roman" w:hAnsi="Times New Roman" w:cs="Times New Roman"/>
        </w:rPr>
        <w:t>allowing taxpayers to</w:t>
      </w:r>
      <w:r w:rsidR="00D36002" w:rsidRPr="00A50262">
        <w:rPr>
          <w:rFonts w:ascii="Times New Roman" w:hAnsi="Times New Roman" w:cs="Times New Roman"/>
        </w:rPr>
        <w:t xml:space="preserve"> jointly make an election</w:t>
      </w:r>
      <w:r w:rsidR="000046F7" w:rsidRPr="00A50262">
        <w:rPr>
          <w:rFonts w:ascii="Times New Roman" w:hAnsi="Times New Roman" w:cs="Times New Roman"/>
        </w:rPr>
        <w:t>,</w:t>
      </w:r>
      <w:r w:rsidR="00D36002" w:rsidRPr="00A50262">
        <w:rPr>
          <w:rFonts w:ascii="Times New Roman" w:hAnsi="Times New Roman" w:cs="Times New Roman"/>
        </w:rPr>
        <w:t xml:space="preserve"> for an integrated operation</w:t>
      </w:r>
      <w:r w:rsidR="000046F7" w:rsidRPr="00A50262">
        <w:rPr>
          <w:rFonts w:ascii="Times New Roman" w:hAnsi="Times New Roman" w:cs="Times New Roman"/>
        </w:rPr>
        <w:t>,</w:t>
      </w:r>
      <w:r w:rsidR="00D36002" w:rsidRPr="00A50262">
        <w:rPr>
          <w:rFonts w:ascii="Times New Roman" w:hAnsi="Times New Roman" w:cs="Times New Roman"/>
        </w:rPr>
        <w:t xml:space="preserve"> to</w:t>
      </w:r>
      <w:r w:rsidRPr="00A50262">
        <w:rPr>
          <w:rFonts w:ascii="Times New Roman" w:hAnsi="Times New Roman" w:cs="Times New Roman"/>
        </w:rPr>
        <w:t xml:space="preserve"> use the value of their own share of the end products as a component of the netback price in specified</w:t>
      </w:r>
      <w:r w:rsidRPr="00030854">
        <w:rPr>
          <w:rFonts w:ascii="Times New Roman" w:hAnsi="Times New Roman" w:cs="Times New Roman"/>
        </w:rPr>
        <w:t xml:space="preserve"> circumstances, instead of requiring them to obtain the value of the end products of all of the taxpayers in the operation</w:t>
      </w:r>
      <w:r w:rsidR="000046F7">
        <w:rPr>
          <w:rFonts w:ascii="Times New Roman" w:hAnsi="Times New Roman" w:cs="Times New Roman"/>
        </w:rPr>
        <w:t>. For integrity reasons, this</w:t>
      </w:r>
      <w:r w:rsidR="000046F7" w:rsidRPr="00030854">
        <w:rPr>
          <w:rFonts w:ascii="Times New Roman" w:hAnsi="Times New Roman" w:cs="Times New Roman"/>
        </w:rPr>
        <w:t xml:space="preserve"> election is subject to restrictions</w:t>
      </w:r>
      <w:r w:rsidR="00301647">
        <w:rPr>
          <w:rFonts w:ascii="Times New Roman" w:hAnsi="Times New Roman" w:cs="Times New Roman"/>
        </w:rPr>
        <w:t>;</w:t>
      </w:r>
    </w:p>
    <w:p w14:paraId="0D6567DA" w14:textId="62CC1939" w:rsidR="008B2954" w:rsidRDefault="00DA0335" w:rsidP="00DA0335">
      <w:pPr>
        <w:pStyle w:val="Bullet"/>
        <w:rPr>
          <w:rFonts w:ascii="Times New Roman" w:hAnsi="Times New Roman" w:cs="Times New Roman"/>
        </w:rPr>
      </w:pPr>
      <w:r w:rsidRPr="00030854">
        <w:rPr>
          <w:rFonts w:ascii="Times New Roman" w:hAnsi="Times New Roman" w:cs="Times New Roman"/>
        </w:rPr>
        <w:t>adding an example to the Regulation to clarify that the Commissioner</w:t>
      </w:r>
      <w:r w:rsidR="00C13789">
        <w:rPr>
          <w:rFonts w:ascii="Times New Roman" w:hAnsi="Times New Roman" w:cs="Times New Roman"/>
        </w:rPr>
        <w:t xml:space="preserve"> of Taxation</w:t>
      </w:r>
      <w:r w:rsidRPr="00030854">
        <w:rPr>
          <w:rFonts w:ascii="Times New Roman" w:hAnsi="Times New Roman" w:cs="Times New Roman"/>
        </w:rPr>
        <w:t xml:space="preserve">’s </w:t>
      </w:r>
      <w:r w:rsidR="00C13789">
        <w:rPr>
          <w:rFonts w:ascii="Times New Roman" w:hAnsi="Times New Roman" w:cs="Times New Roman"/>
        </w:rPr>
        <w:t xml:space="preserve">(the Commissioner’s) </w:t>
      </w:r>
      <w:r w:rsidRPr="00030854">
        <w:rPr>
          <w:rFonts w:ascii="Times New Roman" w:hAnsi="Times New Roman" w:cs="Times New Roman"/>
        </w:rPr>
        <w:t xml:space="preserve">power to agree to or </w:t>
      </w:r>
      <w:r w:rsidR="00A425E6" w:rsidRPr="00030854">
        <w:rPr>
          <w:rFonts w:ascii="Times New Roman" w:hAnsi="Times New Roman" w:cs="Times New Roman"/>
        </w:rPr>
        <w:t xml:space="preserve">to </w:t>
      </w:r>
      <w:r w:rsidRPr="00030854">
        <w:rPr>
          <w:rFonts w:ascii="Times New Roman" w:hAnsi="Times New Roman" w:cs="Times New Roman"/>
        </w:rPr>
        <w:t>determine a</w:t>
      </w:r>
      <w:r w:rsidR="00AB4C60">
        <w:rPr>
          <w:rFonts w:ascii="Times New Roman" w:hAnsi="Times New Roman" w:cs="Times New Roman"/>
        </w:rPr>
        <w:t>n RPM</w:t>
      </w:r>
      <w:r w:rsidRPr="00030854">
        <w:rPr>
          <w:rFonts w:ascii="Times New Roman" w:hAnsi="Times New Roman" w:cs="Times New Roman"/>
        </w:rPr>
        <w:t xml:space="preserve"> price can be used when required information is not accessible for </w:t>
      </w:r>
      <w:r w:rsidR="001547AF">
        <w:rPr>
          <w:rFonts w:ascii="Times New Roman" w:hAnsi="Times New Roman" w:cs="Times New Roman"/>
        </w:rPr>
        <w:t>practical or commercial reasons; and</w:t>
      </w:r>
    </w:p>
    <w:p w14:paraId="1AA3DCC9" w14:textId="3B285674" w:rsidR="001547AF" w:rsidRPr="001547AF" w:rsidRDefault="001547AF" w:rsidP="001547AF">
      <w:pPr>
        <w:pStyle w:val="Bullet"/>
        <w:rPr>
          <w:rFonts w:ascii="Times New Roman" w:hAnsi="Times New Roman" w:cs="Times New Roman"/>
        </w:rPr>
      </w:pPr>
      <w:r w:rsidRPr="00030854">
        <w:rPr>
          <w:rFonts w:ascii="Times New Roman" w:hAnsi="Times New Roman" w:cs="Times New Roman"/>
        </w:rPr>
        <w:t xml:space="preserve">correcting the inconsistent treatment of storage costs for project sales gas </w:t>
      </w:r>
      <w:r w:rsidR="00301647">
        <w:rPr>
          <w:rFonts w:ascii="Times New Roman" w:hAnsi="Times New Roman" w:cs="Times New Roman"/>
        </w:rPr>
        <w:t>in</w:t>
      </w:r>
      <w:r w:rsidRPr="00030854">
        <w:rPr>
          <w:rFonts w:ascii="Times New Roman" w:hAnsi="Times New Roman" w:cs="Times New Roman"/>
        </w:rPr>
        <w:t xml:space="preserve"> an integrated operation so that the cost for storage of sales gas after a non-arm’s length sale </w:t>
      </w:r>
      <w:r>
        <w:rPr>
          <w:rFonts w:ascii="Times New Roman" w:hAnsi="Times New Roman" w:cs="Times New Roman"/>
        </w:rPr>
        <w:t>is treated as a downstream cost.</w:t>
      </w:r>
    </w:p>
    <w:p w14:paraId="3094C0C9" w14:textId="5D7E961D" w:rsidR="00BA4754" w:rsidRPr="003119F2" w:rsidRDefault="005F6EA9" w:rsidP="00BA4754">
      <w:pPr>
        <w:tabs>
          <w:tab w:val="left" w:pos="1701"/>
          <w:tab w:val="right" w:pos="9072"/>
        </w:tabs>
        <w:spacing w:before="100" w:beforeAutospacing="1" w:after="100" w:afterAutospacing="1"/>
        <w:ind w:right="91"/>
      </w:pPr>
      <w:r>
        <w:lastRenderedPageBreak/>
        <w:t>Further d</w:t>
      </w:r>
      <w:r w:rsidR="00BA4754" w:rsidRPr="003119F2">
        <w:t>etails o</w:t>
      </w:r>
      <w:r w:rsidR="009C6005">
        <w:t>n</w:t>
      </w:r>
      <w:r w:rsidR="00BA4754" w:rsidRPr="003119F2">
        <w:t xml:space="preserve"> the Regulation </w:t>
      </w:r>
      <w:r w:rsidR="009C6005">
        <w:t xml:space="preserve">and the Statement of Compatibility with Human Rights </w:t>
      </w:r>
      <w:r w:rsidR="00BA4754" w:rsidRPr="003119F2">
        <w:t xml:space="preserve">are set out in the </w:t>
      </w:r>
      <w:r w:rsidR="00BA4754" w:rsidRPr="003119F2">
        <w:rPr>
          <w:u w:val="single"/>
        </w:rPr>
        <w:t>Attachment</w:t>
      </w:r>
      <w:r w:rsidR="00BA4754" w:rsidRPr="003119F2">
        <w:t>.</w:t>
      </w:r>
    </w:p>
    <w:p w14:paraId="55B49C9C" w14:textId="089E8893" w:rsidR="00BA4754" w:rsidRPr="003119F2" w:rsidRDefault="009E6ED4" w:rsidP="00BA4754">
      <w:pPr>
        <w:tabs>
          <w:tab w:val="left" w:pos="1701"/>
          <w:tab w:val="right" w:pos="9072"/>
        </w:tabs>
        <w:spacing w:before="100" w:beforeAutospacing="1" w:after="100" w:afterAutospacing="1"/>
        <w:ind w:right="91"/>
      </w:pPr>
      <w:r>
        <w:t>The PRRTAA</w:t>
      </w:r>
      <w:r w:rsidR="009E7523">
        <w:t xml:space="preserve"> </w:t>
      </w:r>
      <w:r w:rsidR="00BA4754" w:rsidRPr="003119F2">
        <w:t>does not specify any conditions that need to be met before the power to make the Regulation may be exercised.</w:t>
      </w:r>
    </w:p>
    <w:p w14:paraId="0CE8F25A" w14:textId="5CBD031A" w:rsidR="00BA4754" w:rsidRDefault="00BA4754" w:rsidP="00BA4754">
      <w:pPr>
        <w:tabs>
          <w:tab w:val="left" w:pos="1701"/>
          <w:tab w:val="right" w:pos="9072"/>
        </w:tabs>
        <w:spacing w:before="100" w:beforeAutospacing="1" w:after="100" w:afterAutospacing="1"/>
        <w:ind w:right="91"/>
      </w:pPr>
      <w:r w:rsidRPr="003119F2">
        <w:t xml:space="preserve">The Regulation </w:t>
      </w:r>
      <w:r w:rsidR="006E0C9F">
        <w:t>is</w:t>
      </w:r>
      <w:r w:rsidRPr="003119F2">
        <w:t xml:space="preserve"> a legislative instrument for the purposes of the LIA.</w:t>
      </w:r>
    </w:p>
    <w:p w14:paraId="27BD5B2A" w14:textId="31DC7E0E" w:rsidR="008174AB" w:rsidRDefault="008174AB" w:rsidP="008174AB">
      <w:pPr>
        <w:spacing w:before="100" w:beforeAutospacing="1" w:after="100" w:afterAutospacing="1"/>
      </w:pPr>
      <w:r w:rsidRPr="003373A0">
        <w:t>All references</w:t>
      </w:r>
      <w:r>
        <w:t xml:space="preserve"> to legislative provisions</w:t>
      </w:r>
      <w:r w:rsidRPr="003373A0">
        <w:t xml:space="preserve"> </w:t>
      </w:r>
      <w:r>
        <w:t xml:space="preserve">in this Explanatory Statement </w:t>
      </w:r>
      <w:r w:rsidRPr="003373A0">
        <w:t xml:space="preserve">are to the </w:t>
      </w:r>
      <w:r w:rsidR="00334604">
        <w:t>Regulation</w:t>
      </w:r>
      <w:r>
        <w:t xml:space="preserve">.  </w:t>
      </w:r>
    </w:p>
    <w:p w14:paraId="5CA6EAE7" w14:textId="3F2D30F3" w:rsidR="00642599" w:rsidRDefault="00D3663F" w:rsidP="00606BF7">
      <w:pPr>
        <w:tabs>
          <w:tab w:val="left" w:pos="1701"/>
          <w:tab w:val="right" w:pos="9072"/>
        </w:tabs>
        <w:spacing w:before="100" w:beforeAutospacing="1" w:after="100" w:afterAutospacing="1"/>
        <w:ind w:right="91"/>
      </w:pPr>
      <w:r>
        <w:t xml:space="preserve">The Regulation </w:t>
      </w:r>
      <w:r w:rsidR="00642599">
        <w:t>applies to a limited number of taxpayers</w:t>
      </w:r>
      <w:r w:rsidR="00A425E6">
        <w:t xml:space="preserve"> who are</w:t>
      </w:r>
      <w:r w:rsidR="00642599">
        <w:t xml:space="preserve"> in the petroleum industry and </w:t>
      </w:r>
      <w:r w:rsidR="009C6005">
        <w:t xml:space="preserve">also </w:t>
      </w:r>
      <w:r w:rsidR="00642599">
        <w:t xml:space="preserve">only applies to particular projects within the industry.  To ensure that the Regulation </w:t>
      </w:r>
      <w:r w:rsidR="00334604">
        <w:t>is</w:t>
      </w:r>
      <w:r w:rsidR="00642599">
        <w:t xml:space="preserve"> fit-for-purpose</w:t>
      </w:r>
      <w:r w:rsidR="00334604">
        <w:t>,</w:t>
      </w:r>
      <w:r w:rsidR="00642599">
        <w:t xml:space="preserve"> </w:t>
      </w:r>
      <w:r w:rsidR="009C6005">
        <w:t xml:space="preserve">a number of </w:t>
      </w:r>
      <w:r w:rsidR="00642599">
        <w:t xml:space="preserve">consultation </w:t>
      </w:r>
      <w:r w:rsidR="009C6005">
        <w:t xml:space="preserve">processes </w:t>
      </w:r>
      <w:r w:rsidR="00642599">
        <w:t>w</w:t>
      </w:r>
      <w:r w:rsidR="009C6005">
        <w:t>ere</w:t>
      </w:r>
      <w:r w:rsidR="00642599">
        <w:t xml:space="preserve"> undertaken with industry </w:t>
      </w:r>
      <w:r w:rsidR="00076C1B">
        <w:t>and the Australian Taxation Office</w:t>
      </w:r>
      <w:r w:rsidR="00770830">
        <w:t xml:space="preserve"> (ATO)</w:t>
      </w:r>
      <w:r w:rsidR="00076C1B">
        <w:t xml:space="preserve"> </w:t>
      </w:r>
      <w:r w:rsidR="009C6005">
        <w:t>as part of the</w:t>
      </w:r>
      <w:r w:rsidR="00642599">
        <w:t xml:space="preserve"> </w:t>
      </w:r>
      <w:r w:rsidR="00C65298">
        <w:t>‘</w:t>
      </w:r>
      <w:proofErr w:type="spellStart"/>
      <w:r w:rsidR="00642599">
        <w:t>sunsetting</w:t>
      </w:r>
      <w:proofErr w:type="spellEnd"/>
      <w:r w:rsidR="00C65298">
        <w:t>’</w:t>
      </w:r>
      <w:r w:rsidR="00076C1B">
        <w:t xml:space="preserve"> review process. T</w:t>
      </w:r>
      <w:r w:rsidR="009C6005">
        <w:t>argeted consultation</w:t>
      </w:r>
      <w:r w:rsidR="00076C1B">
        <w:t xml:space="preserve"> with industry and the ATO was also undertaken</w:t>
      </w:r>
      <w:r w:rsidR="009C6005">
        <w:t xml:space="preserve"> </w:t>
      </w:r>
      <w:r w:rsidR="00642599">
        <w:t>on the</w:t>
      </w:r>
      <w:r w:rsidR="009C6005">
        <w:t xml:space="preserve"> draft</w:t>
      </w:r>
      <w:r w:rsidR="00642599">
        <w:t xml:space="preserve"> Regulation</w:t>
      </w:r>
      <w:r w:rsidR="009C6005">
        <w:t>.</w:t>
      </w:r>
    </w:p>
    <w:p w14:paraId="5C07AA75" w14:textId="24C0CA70" w:rsidR="003B5A1B" w:rsidRPr="00050EA3" w:rsidRDefault="003B5A1B" w:rsidP="003B5A1B">
      <w:pPr>
        <w:tabs>
          <w:tab w:val="left" w:pos="1701"/>
          <w:tab w:val="right" w:pos="9072"/>
        </w:tabs>
        <w:ind w:right="91"/>
      </w:pPr>
      <w:r>
        <w:t xml:space="preserve">Prior to the making of the Regulation and in accordance with the Office of Best Practice Regulation’s Guidance Note on </w:t>
      </w:r>
      <w:proofErr w:type="spellStart"/>
      <w:r>
        <w:t>sunsetting</w:t>
      </w:r>
      <w:proofErr w:type="spellEnd"/>
      <w:r>
        <w:t xml:space="preserve"> instruments, the Department of the Treasury self-assessed that the </w:t>
      </w:r>
      <w:r>
        <w:rPr>
          <w:i/>
        </w:rPr>
        <w:t xml:space="preserve">Petroleum Resource Rent Tax Assessment Regulations 2005 </w:t>
      </w:r>
      <w:r>
        <w:t xml:space="preserve">were operating effectively and efficiently, and therefore a Regulation Impact Statement was not required. This assessment was informed by the process of consultation with industry </w:t>
      </w:r>
      <w:r w:rsidRPr="00A24FA3">
        <w:t>(OBPR reference 19560)</w:t>
      </w:r>
      <w:r>
        <w:t>.</w:t>
      </w:r>
    </w:p>
    <w:p w14:paraId="5FA62CD4" w14:textId="66FDD66D" w:rsidR="00BA4754" w:rsidRDefault="00BA4754" w:rsidP="00BA4754">
      <w:pPr>
        <w:tabs>
          <w:tab w:val="left" w:pos="1701"/>
          <w:tab w:val="right" w:pos="9072"/>
        </w:tabs>
        <w:spacing w:before="100" w:beforeAutospacing="1" w:after="100" w:afterAutospacing="1"/>
        <w:ind w:right="91"/>
      </w:pPr>
      <w:r w:rsidRPr="00A24FA3">
        <w:t xml:space="preserve">The Regulation </w:t>
      </w:r>
      <w:r w:rsidR="00D26844" w:rsidRPr="00A24FA3">
        <w:t>will commence</w:t>
      </w:r>
      <w:r w:rsidR="00DF774C" w:rsidRPr="00A24FA3">
        <w:t xml:space="preserve"> on </w:t>
      </w:r>
      <w:r w:rsidR="008666D2" w:rsidRPr="00A24FA3">
        <w:t>1 April 201</w:t>
      </w:r>
      <w:r w:rsidR="009C6005" w:rsidRPr="00A24FA3">
        <w:t>6</w:t>
      </w:r>
      <w:r w:rsidR="00621B68" w:rsidRPr="00A24FA3">
        <w:t>.</w:t>
      </w:r>
    </w:p>
    <w:p w14:paraId="7E3230FC" w14:textId="77777777" w:rsidR="00621B68" w:rsidRDefault="00621B68" w:rsidP="00621B68">
      <w:pPr>
        <w:pStyle w:val="Heading3"/>
        <w:jc w:val="center"/>
      </w:pPr>
    </w:p>
    <w:p w14:paraId="11B3890B" w14:textId="77777777" w:rsidR="00621B68" w:rsidRPr="003119F2" w:rsidRDefault="00621B68" w:rsidP="00BA4754">
      <w:pPr>
        <w:tabs>
          <w:tab w:val="left" w:pos="1701"/>
          <w:tab w:val="right" w:pos="9072"/>
        </w:tabs>
        <w:spacing w:before="100" w:beforeAutospacing="1" w:after="100" w:afterAutospacing="1"/>
        <w:ind w:right="91"/>
      </w:pPr>
    </w:p>
    <w:p w14:paraId="35E29432" w14:textId="77777777" w:rsidR="00BA4754" w:rsidRPr="003119F2" w:rsidRDefault="00BA4754" w:rsidP="00BA4754">
      <w:pPr>
        <w:spacing w:before="100" w:beforeAutospacing="1" w:after="100" w:afterAutospacing="1"/>
        <w:jc w:val="right"/>
        <w:rPr>
          <w:b/>
          <w:u w:val="single"/>
        </w:rPr>
      </w:pPr>
      <w:r w:rsidRPr="003119F2">
        <w:rPr>
          <w:sz w:val="16"/>
        </w:rPr>
        <w:br w:type="page"/>
      </w:r>
      <w:r w:rsidRPr="003119F2">
        <w:rPr>
          <w:b/>
          <w:u w:val="single"/>
        </w:rPr>
        <w:lastRenderedPageBreak/>
        <w:t>ATTACHMENT</w:t>
      </w:r>
    </w:p>
    <w:p w14:paraId="505C20F3" w14:textId="4CAAFA2A" w:rsidR="00BA4754" w:rsidRPr="003119F2" w:rsidRDefault="00BA4754" w:rsidP="00BA4754">
      <w:pPr>
        <w:spacing w:before="100" w:beforeAutospacing="1" w:after="100" w:afterAutospacing="1"/>
        <w:rPr>
          <w:b/>
          <w:i/>
          <w:u w:val="single"/>
        </w:rPr>
      </w:pPr>
      <w:r w:rsidRPr="003119F2">
        <w:rPr>
          <w:b/>
          <w:u w:val="single"/>
        </w:rPr>
        <w:t xml:space="preserve">Details of the </w:t>
      </w:r>
      <w:r w:rsidR="009C6005" w:rsidRPr="009C6005">
        <w:rPr>
          <w:b/>
          <w:i/>
          <w:u w:val="single"/>
        </w:rPr>
        <w:t>Petroleum Resource Rent Tax Assessment Regulation 2015</w:t>
      </w:r>
    </w:p>
    <w:p w14:paraId="5D562CE6" w14:textId="213CF1E7" w:rsidR="003373A0" w:rsidRPr="003373A0" w:rsidRDefault="003373A0" w:rsidP="003373A0">
      <w:pPr>
        <w:spacing w:before="100" w:beforeAutospacing="1" w:after="100" w:afterAutospacing="1"/>
        <w:rPr>
          <w:b/>
        </w:rPr>
      </w:pPr>
      <w:r>
        <w:rPr>
          <w:b/>
          <w:u w:val="single"/>
        </w:rPr>
        <w:t>Background</w:t>
      </w:r>
    </w:p>
    <w:p w14:paraId="52EBE979" w14:textId="26513C36" w:rsidR="005C4217" w:rsidRPr="005C4217" w:rsidRDefault="005C4217" w:rsidP="005C4217">
      <w:pPr>
        <w:pStyle w:val="empara"/>
        <w:spacing w:before="0" w:beforeAutospacing="0" w:after="240" w:afterAutospacing="0"/>
        <w:rPr>
          <w:rFonts w:ascii="Arial" w:hAnsi="Arial" w:cs="Arial"/>
          <w:sz w:val="19"/>
          <w:szCs w:val="19"/>
        </w:rPr>
      </w:pPr>
      <w:r w:rsidRPr="005C4217">
        <w:t xml:space="preserve">The Petroleum Resource Rent Tax (PRRT) was enacted in 1987 through the </w:t>
      </w:r>
      <w:r w:rsidRPr="005C4217">
        <w:rPr>
          <w:i/>
          <w:iCs/>
        </w:rPr>
        <w:t>Petroleum Resource Rent Tax Act 1987</w:t>
      </w:r>
      <w:r w:rsidRPr="005C4217">
        <w:t xml:space="preserve"> and the</w:t>
      </w:r>
      <w:r w:rsidR="005940C7">
        <w:t xml:space="preserve"> PRRTAA</w:t>
      </w:r>
      <w:r w:rsidRPr="005C4217">
        <w:t xml:space="preserve">, and is a profits-based tax applied to petroleum production from petroleum projects. </w:t>
      </w:r>
    </w:p>
    <w:p w14:paraId="3F68AEE2" w14:textId="77777777" w:rsidR="005C4217" w:rsidRPr="005C4217" w:rsidRDefault="005C4217" w:rsidP="005C4217">
      <w:pPr>
        <w:spacing w:after="240"/>
        <w:rPr>
          <w:rFonts w:ascii="Arial" w:hAnsi="Arial" w:cs="Arial"/>
          <w:sz w:val="19"/>
          <w:szCs w:val="19"/>
        </w:rPr>
      </w:pPr>
      <w:r w:rsidRPr="005C4217">
        <w:rPr>
          <w:szCs w:val="24"/>
        </w:rPr>
        <w:t>The PRRT is applied at a rate of 40 per cent on the ‘taxable profit’ of a project, calculated as assessable receipts less project related expenditures, including eligible exploration expenditures. Where project related expenditure is not able to be immediately deducted in the year incurred (due to expenditures being greater than receipts), it is carried forward and augmented by specific amounts dependent on the kind of expenditure, and is able to be deducted against receipts in future years. PRRT payments are income tax deductible.</w:t>
      </w:r>
    </w:p>
    <w:p w14:paraId="2E09EB78" w14:textId="7DFDB80C" w:rsidR="005C4217" w:rsidRPr="005C4217" w:rsidRDefault="005C4217" w:rsidP="005C4217">
      <w:pPr>
        <w:spacing w:after="240"/>
        <w:rPr>
          <w:rFonts w:ascii="Arial" w:hAnsi="Arial" w:cs="Arial"/>
          <w:sz w:val="19"/>
          <w:szCs w:val="19"/>
        </w:rPr>
      </w:pPr>
      <w:r w:rsidRPr="005C4217">
        <w:rPr>
          <w:szCs w:val="24"/>
        </w:rPr>
        <w:t xml:space="preserve">Under the </w:t>
      </w:r>
      <w:r w:rsidR="005940C7">
        <w:rPr>
          <w:szCs w:val="24"/>
        </w:rPr>
        <w:t>PRRTAA</w:t>
      </w:r>
      <w:r w:rsidRPr="005C4217">
        <w:rPr>
          <w:szCs w:val="24"/>
        </w:rPr>
        <w:t xml:space="preserve">, assessable petroleum receipts are usually determined at the point where a marketable petroleum commodity (MPC) becomes an excluded commodity. An MPC, which is defined as including stabilised crude oil, condensate, </w:t>
      </w:r>
      <w:r w:rsidR="001502C3">
        <w:rPr>
          <w:szCs w:val="24"/>
        </w:rPr>
        <w:t>liquefied petroleum gas (LPG)</w:t>
      </w:r>
      <w:r w:rsidRPr="005C4217">
        <w:rPr>
          <w:szCs w:val="24"/>
        </w:rPr>
        <w:t xml:space="preserve">, shale oil, ethane, and sales gas, becomes an excluded commodity either by being sold, or by being further processed, or moved away from its place of production. </w:t>
      </w:r>
    </w:p>
    <w:p w14:paraId="4D9B2C7D" w14:textId="77777777" w:rsidR="005C4217" w:rsidRPr="005C4217" w:rsidRDefault="005C4217" w:rsidP="005C4217">
      <w:pPr>
        <w:spacing w:after="240"/>
        <w:rPr>
          <w:rFonts w:ascii="Arial" w:hAnsi="Arial" w:cs="Arial"/>
          <w:sz w:val="19"/>
          <w:szCs w:val="19"/>
        </w:rPr>
      </w:pPr>
      <w:r w:rsidRPr="005C4217">
        <w:rPr>
          <w:szCs w:val="24"/>
        </w:rPr>
        <w:t xml:space="preserve">In most cases assessable petroleum receipts will reflect the consideration received from the sale of the MPC. However, in some cases, an MPC does not become an excluded commodity via a sale but rather undergoes further processing to another product as part of an integrated process. In that situation there is no observable </w:t>
      </w:r>
      <w:r w:rsidRPr="005C4217">
        <w:rPr>
          <w:szCs w:val="24"/>
        </w:rPr>
        <w:br/>
        <w:t xml:space="preserve">arm’s-length price for the MPC from which assessable petroleum receipts can be derived. Consequently, the PRRTAA normally requires that assessable receipts be based on the market value of the MPC. </w:t>
      </w:r>
    </w:p>
    <w:p w14:paraId="5506A5B4" w14:textId="246DF5CB" w:rsidR="005C4217" w:rsidRPr="005C4217" w:rsidRDefault="005C4217" w:rsidP="005C4217">
      <w:pPr>
        <w:spacing w:after="240"/>
        <w:rPr>
          <w:rFonts w:ascii="Arial" w:hAnsi="Arial" w:cs="Arial"/>
          <w:sz w:val="19"/>
          <w:szCs w:val="19"/>
        </w:rPr>
      </w:pPr>
      <w:r w:rsidRPr="005C4217">
        <w:rPr>
          <w:szCs w:val="24"/>
        </w:rPr>
        <w:t xml:space="preserve">However, this ‘market value’ method does not apply to the MPC, ‘sales gas’ in situations where it is used as feedstock in an </w:t>
      </w:r>
      <w:r w:rsidR="005940C7" w:rsidRPr="004E29B1">
        <w:rPr>
          <w:szCs w:val="24"/>
        </w:rPr>
        <w:t xml:space="preserve">integrated </w:t>
      </w:r>
      <w:r w:rsidR="005940C7">
        <w:rPr>
          <w:szCs w:val="24"/>
        </w:rPr>
        <w:t>g</w:t>
      </w:r>
      <w:r w:rsidR="005940C7" w:rsidRPr="004E29B1">
        <w:rPr>
          <w:szCs w:val="24"/>
        </w:rPr>
        <w:t>as-to-</w:t>
      </w:r>
      <w:r w:rsidR="005940C7">
        <w:rPr>
          <w:szCs w:val="24"/>
        </w:rPr>
        <w:t>l</w:t>
      </w:r>
      <w:r w:rsidR="005940C7" w:rsidRPr="004E29B1">
        <w:rPr>
          <w:szCs w:val="24"/>
        </w:rPr>
        <w:t>iquid (GTL)</w:t>
      </w:r>
      <w:r w:rsidR="005940C7">
        <w:rPr>
          <w:szCs w:val="24"/>
        </w:rPr>
        <w:t xml:space="preserve"> or gas</w:t>
      </w:r>
      <w:r w:rsidR="005940C7">
        <w:rPr>
          <w:szCs w:val="24"/>
        </w:rPr>
        <w:noBreakHyphen/>
        <w:t>to</w:t>
      </w:r>
      <w:r w:rsidR="005940C7">
        <w:rPr>
          <w:szCs w:val="24"/>
        </w:rPr>
        <w:noBreakHyphen/>
        <w:t>electricity (GTE)</w:t>
      </w:r>
      <w:r w:rsidRPr="005C4217">
        <w:rPr>
          <w:szCs w:val="24"/>
        </w:rPr>
        <w:t>, and becomes an excluded commodity other than by sale, or where it becomes an excluded commodity via a non-arm’s length transaction. Instead, the assessable receipts for the sales gas are calculated in accordance with the framework set out in the Regulation.</w:t>
      </w:r>
    </w:p>
    <w:p w14:paraId="727A7CB5" w14:textId="7BA5B7EC" w:rsidR="00181D12" w:rsidRPr="00506F8D" w:rsidRDefault="005940C7" w:rsidP="005369B8">
      <w:pPr>
        <w:spacing w:before="100" w:beforeAutospacing="1" w:after="100" w:afterAutospacing="1"/>
        <w:ind w:right="91"/>
        <w:rPr>
          <w:i/>
          <w:szCs w:val="24"/>
        </w:rPr>
      </w:pPr>
      <w:r>
        <w:rPr>
          <w:i/>
          <w:szCs w:val="24"/>
        </w:rPr>
        <w:t>The Regulation</w:t>
      </w:r>
    </w:p>
    <w:p w14:paraId="5F4F1FB1" w14:textId="7EC09686" w:rsidR="0067116A" w:rsidRDefault="004E29B1" w:rsidP="005369B8">
      <w:pPr>
        <w:spacing w:before="100" w:beforeAutospacing="1" w:after="100" w:afterAutospacing="1"/>
        <w:ind w:right="91"/>
        <w:rPr>
          <w:szCs w:val="24"/>
        </w:rPr>
      </w:pPr>
      <w:r w:rsidRPr="004E29B1">
        <w:rPr>
          <w:szCs w:val="24"/>
        </w:rPr>
        <w:t xml:space="preserve">The </w:t>
      </w:r>
      <w:r w:rsidR="00334604">
        <w:rPr>
          <w:iCs/>
          <w:szCs w:val="24"/>
        </w:rPr>
        <w:t xml:space="preserve">Regulation </w:t>
      </w:r>
      <w:r w:rsidR="00334604">
        <w:rPr>
          <w:szCs w:val="24"/>
        </w:rPr>
        <w:t xml:space="preserve">provides </w:t>
      </w:r>
      <w:r w:rsidRPr="004E29B1">
        <w:rPr>
          <w:szCs w:val="24"/>
        </w:rPr>
        <w:t xml:space="preserve">a framework for determining </w:t>
      </w:r>
      <w:r w:rsidR="00641AFC">
        <w:rPr>
          <w:szCs w:val="24"/>
        </w:rPr>
        <w:t>assessable petroleum receipts where</w:t>
      </w:r>
      <w:r w:rsidRPr="004E29B1">
        <w:rPr>
          <w:szCs w:val="24"/>
        </w:rPr>
        <w:t xml:space="preserve"> sales gas</w:t>
      </w:r>
      <w:r w:rsidR="00641AFC">
        <w:rPr>
          <w:szCs w:val="24"/>
        </w:rPr>
        <w:t xml:space="preserve"> </w:t>
      </w:r>
      <w:r w:rsidRPr="004E29B1">
        <w:rPr>
          <w:szCs w:val="24"/>
        </w:rPr>
        <w:t xml:space="preserve">is used as </w:t>
      </w:r>
      <w:r w:rsidR="00742EF0">
        <w:rPr>
          <w:szCs w:val="24"/>
        </w:rPr>
        <w:t xml:space="preserve">a </w:t>
      </w:r>
      <w:r w:rsidRPr="004E29B1">
        <w:rPr>
          <w:szCs w:val="24"/>
        </w:rPr>
        <w:t xml:space="preserve">raw material for use in an integrated </w:t>
      </w:r>
      <w:r w:rsidR="005940C7">
        <w:rPr>
          <w:szCs w:val="24"/>
        </w:rPr>
        <w:t>GTL</w:t>
      </w:r>
      <w:r>
        <w:rPr>
          <w:szCs w:val="24"/>
        </w:rPr>
        <w:t xml:space="preserve"> or </w:t>
      </w:r>
      <w:r w:rsidR="005940C7">
        <w:rPr>
          <w:szCs w:val="24"/>
        </w:rPr>
        <w:t>GTE</w:t>
      </w:r>
      <w:r>
        <w:rPr>
          <w:szCs w:val="24"/>
        </w:rPr>
        <w:t xml:space="preserve"> operation</w:t>
      </w:r>
      <w:r w:rsidR="00641AFC">
        <w:rPr>
          <w:szCs w:val="24"/>
        </w:rPr>
        <w:t xml:space="preserve"> in circumstances where there is no price or only a non-arm’s length price for the sales gas</w:t>
      </w:r>
      <w:r>
        <w:rPr>
          <w:szCs w:val="24"/>
        </w:rPr>
        <w:t>.</w:t>
      </w:r>
      <w:r w:rsidR="00641AFC">
        <w:rPr>
          <w:szCs w:val="24"/>
        </w:rPr>
        <w:t xml:space="preserve"> The Regulation also provides a framework for determining assessable petroleum receipts </w:t>
      </w:r>
      <w:r w:rsidR="0067116A">
        <w:rPr>
          <w:szCs w:val="24"/>
        </w:rPr>
        <w:t xml:space="preserve">when natural gas recovered from an onshore petroleum project is sold in a </w:t>
      </w:r>
      <w:r w:rsidR="00141D89">
        <w:rPr>
          <w:szCs w:val="24"/>
        </w:rPr>
        <w:t>non-arm’s</w:t>
      </w:r>
      <w:r w:rsidR="0067116A">
        <w:rPr>
          <w:szCs w:val="24"/>
        </w:rPr>
        <w:t xml:space="preserve"> length transaction for use in an integrated GTL or GTE operation.</w:t>
      </w:r>
    </w:p>
    <w:p w14:paraId="59009B9B" w14:textId="5073BE89" w:rsidR="00EF2E14" w:rsidRPr="00CF29BA" w:rsidRDefault="00A24FA3" w:rsidP="00EF2E14">
      <w:pPr>
        <w:spacing w:before="100" w:beforeAutospacing="1" w:after="100" w:afterAutospacing="1"/>
      </w:pPr>
      <w:r>
        <w:t>Sections 6 and 7 of the Regulation define an integrated</w:t>
      </w:r>
      <w:r w:rsidR="00EF2E14">
        <w:t xml:space="preserve"> operation as an operation in </w:t>
      </w:r>
      <w:r w:rsidR="00EF2E14" w:rsidRPr="00CF29BA">
        <w:t>which:</w:t>
      </w:r>
    </w:p>
    <w:p w14:paraId="4D981D40" w14:textId="4FD340A4" w:rsidR="00EF2E14" w:rsidRPr="00694A3E" w:rsidRDefault="00EF2E14" w:rsidP="005A24AA">
      <w:pPr>
        <w:pStyle w:val="Bullet"/>
      </w:pPr>
      <w:r w:rsidRPr="005A24AA">
        <w:rPr>
          <w:rFonts w:ascii="Times New Roman" w:hAnsi="Times New Roman" w:cs="Times New Roman"/>
        </w:rPr>
        <w:t>petroleum is, or will be, recovered from a petroleum project; and</w:t>
      </w:r>
    </w:p>
    <w:p w14:paraId="222BA92B" w14:textId="1BB20FEE" w:rsidR="00EF2E14" w:rsidRPr="00694A3E" w:rsidRDefault="00EF2E14" w:rsidP="005A24AA">
      <w:pPr>
        <w:pStyle w:val="Bullet"/>
      </w:pPr>
      <w:r w:rsidRPr="005A24AA">
        <w:rPr>
          <w:rFonts w:ascii="Times New Roman" w:hAnsi="Times New Roman" w:cs="Times New Roman"/>
        </w:rPr>
        <w:t>sales gas is, or will be, produced from some or all of the petroleum; and</w:t>
      </w:r>
    </w:p>
    <w:p w14:paraId="74A8B809" w14:textId="1B335A5C" w:rsidR="00EF2E14" w:rsidRPr="00694A3E" w:rsidRDefault="00EF2E14" w:rsidP="005A24AA">
      <w:pPr>
        <w:pStyle w:val="Bullet"/>
      </w:pPr>
      <w:r w:rsidRPr="005A24AA">
        <w:rPr>
          <w:rFonts w:ascii="Times New Roman" w:hAnsi="Times New Roman" w:cs="Times New Roman"/>
        </w:rPr>
        <w:t>some or all of the sales gas is, or will be, processed into a liquefied product</w:t>
      </w:r>
      <w:r w:rsidR="00A24FA3" w:rsidRPr="005A24AA">
        <w:rPr>
          <w:rFonts w:ascii="Times New Roman" w:hAnsi="Times New Roman" w:cs="Times New Roman"/>
        </w:rPr>
        <w:t xml:space="preserve"> or consumed in the commercial production of electricity</w:t>
      </w:r>
      <w:r w:rsidRPr="005A24AA">
        <w:rPr>
          <w:rFonts w:ascii="Times New Roman" w:hAnsi="Times New Roman" w:cs="Times New Roman"/>
        </w:rPr>
        <w:t xml:space="preserve">. </w:t>
      </w:r>
    </w:p>
    <w:p w14:paraId="673CAEF1" w14:textId="313753D2" w:rsidR="0067116A" w:rsidRDefault="0067116A" w:rsidP="00EF2E14">
      <w:pPr>
        <w:spacing w:before="100" w:beforeAutospacing="1" w:after="100" w:afterAutospacing="1"/>
      </w:pPr>
      <w:r w:rsidRPr="00CF29BA">
        <w:t>The petroleum recovered from a petroleum project to produce sales gas that is</w:t>
      </w:r>
      <w:r>
        <w:t xml:space="preserve"> processed into a liquefied product or consumed in the production of electricity is referred to in the Regulation as project natural gas (subsections 6(2) and 7(2))</w:t>
      </w:r>
      <w:r w:rsidR="008E461E">
        <w:t>.</w:t>
      </w:r>
    </w:p>
    <w:p w14:paraId="021DC003" w14:textId="1D1CB401" w:rsidR="00EF2E14" w:rsidRDefault="00EF2E14" w:rsidP="00EF2E14">
      <w:pPr>
        <w:spacing w:before="100" w:beforeAutospacing="1" w:after="100" w:afterAutospacing="1"/>
      </w:pPr>
      <w:r>
        <w:t xml:space="preserve">The sales gas </w:t>
      </w:r>
      <w:r w:rsidR="00A425E6">
        <w:t>that</w:t>
      </w:r>
      <w:r>
        <w:t xml:space="preserve"> is produced and then processed into a liquefied product</w:t>
      </w:r>
      <w:r w:rsidR="00A24FA3">
        <w:t xml:space="preserve"> or consumed in the production of electricity is</w:t>
      </w:r>
      <w:r>
        <w:t xml:space="preserve"> referred to in the Regulation as project sales gas</w:t>
      </w:r>
      <w:r w:rsidR="00A24FA3">
        <w:t xml:space="preserve"> (subsections 6(</w:t>
      </w:r>
      <w:r w:rsidR="009B2076">
        <w:t>3</w:t>
      </w:r>
      <w:r w:rsidR="00A24FA3">
        <w:t>) and 7(3))</w:t>
      </w:r>
      <w:r>
        <w:t>.</w:t>
      </w:r>
    </w:p>
    <w:p w14:paraId="40225773" w14:textId="49DA8745" w:rsidR="00EF2E14" w:rsidRPr="00CF29BA" w:rsidRDefault="00EF2E14" w:rsidP="00EF2E14">
      <w:pPr>
        <w:spacing w:before="100" w:beforeAutospacing="1" w:after="100" w:afterAutospacing="1"/>
      </w:pPr>
      <w:r>
        <w:t xml:space="preserve">The elements comprising an integrated operation are also defined and divided into </w:t>
      </w:r>
      <w:r w:rsidRPr="00CF29BA">
        <w:t>two stages, specifically:</w:t>
      </w:r>
    </w:p>
    <w:p w14:paraId="1E9DA6AE" w14:textId="77777777" w:rsidR="001F395F" w:rsidRPr="005A24AA" w:rsidRDefault="00EF2E14" w:rsidP="003C15C8">
      <w:pPr>
        <w:pStyle w:val="Bullet"/>
        <w:rPr>
          <w:rFonts w:ascii="Times New Roman" w:hAnsi="Times New Roman" w:cs="Times New Roman"/>
        </w:rPr>
      </w:pPr>
      <w:r w:rsidRPr="005A24AA">
        <w:rPr>
          <w:rFonts w:ascii="Times New Roman" w:hAnsi="Times New Roman" w:cs="Times New Roman"/>
        </w:rPr>
        <w:t xml:space="preserve">the upstream stage. </w:t>
      </w:r>
    </w:p>
    <w:p w14:paraId="7C814666" w14:textId="615E628E" w:rsidR="001F395F" w:rsidRPr="00CF29BA" w:rsidRDefault="001F395F" w:rsidP="005A24AA">
      <w:pPr>
        <w:pStyle w:val="Dash"/>
      </w:pPr>
      <w:r w:rsidRPr="00CF29BA">
        <w:t>for project sales gas, t</w:t>
      </w:r>
      <w:r w:rsidR="00EF2E14" w:rsidRPr="00CF29BA">
        <w:t xml:space="preserve">his stage commences with the recovery of project natural gas (that is, the natural gas from which project sales gas will be produced and liquefied </w:t>
      </w:r>
      <w:r w:rsidR="00A24FA3" w:rsidRPr="00CF29BA">
        <w:t xml:space="preserve">or turned into electricity </w:t>
      </w:r>
      <w:r w:rsidR="00EF2E14" w:rsidRPr="00CF29BA">
        <w:t xml:space="preserve">within the operation) and ends with the production of project sales gas; </w:t>
      </w:r>
    </w:p>
    <w:p w14:paraId="0BF4510C" w14:textId="1589720A" w:rsidR="00EF2E14" w:rsidRPr="00CF29BA" w:rsidRDefault="001F395F" w:rsidP="005A24AA">
      <w:pPr>
        <w:pStyle w:val="Dash"/>
      </w:pPr>
      <w:r w:rsidRPr="00CF29BA">
        <w:t xml:space="preserve">for project natural gas, the upstream stage commences with the </w:t>
      </w:r>
      <w:r w:rsidR="00E974FF" w:rsidRPr="00CF29BA">
        <w:t>recovery</w:t>
      </w:r>
      <w:r w:rsidRPr="00CF29BA">
        <w:t xml:space="preserve"> of project natural gas and </w:t>
      </w:r>
      <w:r w:rsidR="00CE70D9" w:rsidRPr="00CF29BA">
        <w:t xml:space="preserve">continues up to the </w:t>
      </w:r>
      <w:r w:rsidRPr="00CF29BA">
        <w:t>point of sale</w:t>
      </w:r>
      <w:r w:rsidR="00301647">
        <w:t>;</w:t>
      </w:r>
      <w:r w:rsidRPr="00CF29BA">
        <w:t xml:space="preserve"> </w:t>
      </w:r>
      <w:r w:rsidR="00EF2E14" w:rsidRPr="00CF29BA">
        <w:t>and</w:t>
      </w:r>
    </w:p>
    <w:p w14:paraId="031B7CEA" w14:textId="77777777" w:rsidR="001F395F" w:rsidRPr="005A24AA" w:rsidRDefault="00EF2E14" w:rsidP="003C15C8">
      <w:pPr>
        <w:pStyle w:val="Bullet"/>
        <w:rPr>
          <w:rFonts w:ascii="Times New Roman" w:hAnsi="Times New Roman" w:cs="Times New Roman"/>
        </w:rPr>
      </w:pPr>
      <w:r w:rsidRPr="005A24AA">
        <w:rPr>
          <w:rFonts w:ascii="Times New Roman" w:hAnsi="Times New Roman" w:cs="Times New Roman"/>
        </w:rPr>
        <w:t xml:space="preserve">the downstream stage. </w:t>
      </w:r>
    </w:p>
    <w:p w14:paraId="58CC9495" w14:textId="26DE0A39" w:rsidR="00EF2E14" w:rsidRPr="00CF29BA" w:rsidRDefault="001F395F" w:rsidP="005A24AA">
      <w:pPr>
        <w:pStyle w:val="Dash"/>
      </w:pPr>
      <w:r w:rsidRPr="00CF29BA">
        <w:t>for project sales gas, t</w:t>
      </w:r>
      <w:r w:rsidR="00EF2E14" w:rsidRPr="00CF29BA">
        <w:t>his stage commences with the transportation of project sales gas from the upstream stage for processing into project liquid</w:t>
      </w:r>
      <w:r w:rsidR="00A24FA3" w:rsidRPr="00CF29BA">
        <w:t xml:space="preserve"> or project electricity</w:t>
      </w:r>
      <w:r w:rsidR="00EF2E14" w:rsidRPr="00CF29BA">
        <w:t xml:space="preserve"> and ends with the storage or loading of project</w:t>
      </w:r>
      <w:r w:rsidR="00301647">
        <w:t xml:space="preserve"> liquid at an adjacent facility;</w:t>
      </w:r>
    </w:p>
    <w:p w14:paraId="0A70B9B3" w14:textId="68B96D67" w:rsidR="001F395F" w:rsidRPr="00CF29BA" w:rsidRDefault="001F395F" w:rsidP="005A24AA">
      <w:pPr>
        <w:pStyle w:val="Dash"/>
      </w:pPr>
      <w:r w:rsidRPr="00CF29BA">
        <w:t xml:space="preserve">for project natural gas, the downstream stage </w:t>
      </w:r>
      <w:r w:rsidR="006657FE" w:rsidRPr="00CF29BA">
        <w:t xml:space="preserve">is expanded to include the production of </w:t>
      </w:r>
      <w:r w:rsidR="00C62A1F" w:rsidRPr="00CF29BA">
        <w:t xml:space="preserve">project </w:t>
      </w:r>
      <w:r w:rsidR="006657FE" w:rsidRPr="00CF29BA">
        <w:t xml:space="preserve">sales gas. Related transport and </w:t>
      </w:r>
      <w:r w:rsidR="00E974FF" w:rsidRPr="00CF29BA">
        <w:t>storage</w:t>
      </w:r>
      <w:r w:rsidR="006657FE" w:rsidRPr="00CF29BA">
        <w:t xml:space="preserve"> of </w:t>
      </w:r>
      <w:r w:rsidR="00C62A1F" w:rsidRPr="00CF29BA">
        <w:t xml:space="preserve">project </w:t>
      </w:r>
      <w:r w:rsidR="006657FE" w:rsidRPr="00CF29BA">
        <w:t>sales gas will from part of the downstream stage.</w:t>
      </w:r>
      <w:r w:rsidRPr="00CF29BA">
        <w:t xml:space="preserve"> </w:t>
      </w:r>
    </w:p>
    <w:p w14:paraId="3C46B009" w14:textId="3D5BA012" w:rsidR="00EF2E14" w:rsidRDefault="00EF2E14" w:rsidP="00EF2E14">
      <w:pPr>
        <w:spacing w:before="100" w:beforeAutospacing="1" w:after="100" w:afterAutospacing="1"/>
      </w:pPr>
      <w:r>
        <w:t>Where an integrated operation exists, the gas transfer price (that is, the ‘price’ of the project sales gas</w:t>
      </w:r>
      <w:r w:rsidR="0067116A">
        <w:t>/project natural gas</w:t>
      </w:r>
      <w:r>
        <w:t xml:space="preserve"> </w:t>
      </w:r>
      <w:r w:rsidR="00BC21C9">
        <w:t xml:space="preserve">(assessable gas) </w:t>
      </w:r>
      <w:r>
        <w:t xml:space="preserve">used to determine assessable receipts for the purposes of the </w:t>
      </w:r>
      <w:r w:rsidR="009E6ED4">
        <w:t>PRRTAA</w:t>
      </w:r>
      <w:r>
        <w:t>) is to be determined via the following hierarchy:</w:t>
      </w:r>
    </w:p>
    <w:p w14:paraId="5F885D01" w14:textId="098ED363" w:rsidR="00EF2E14" w:rsidRDefault="00030854" w:rsidP="005A24AA">
      <w:pPr>
        <w:pStyle w:val="OutlineNumbered1"/>
      </w:pPr>
      <w:r>
        <w:t>i</w:t>
      </w:r>
      <w:r w:rsidR="00EF2E14">
        <w:t>f an Advance Pricing Arrangement (APA) has been agreed between the taxpayer and the Commissioner, the amount calculated in accordance with the arrangement;</w:t>
      </w:r>
    </w:p>
    <w:p w14:paraId="3A36169C" w14:textId="3E586E40" w:rsidR="00EF2E14" w:rsidRDefault="00030854" w:rsidP="005A24AA">
      <w:pPr>
        <w:pStyle w:val="OutlineNumbered1"/>
      </w:pPr>
      <w:r>
        <w:t>i</w:t>
      </w:r>
      <w:r w:rsidR="00EF2E14">
        <w:t xml:space="preserve">f there is no APA, but a comparable uncontrolled price (CUP) exists for the </w:t>
      </w:r>
      <w:r w:rsidR="0067116A">
        <w:t xml:space="preserve">assessable </w:t>
      </w:r>
      <w:r w:rsidR="00EF2E14">
        <w:t xml:space="preserve">gas, the CUP. A CUP refers to a price that can be observed in a relevant market place for the sale of the relevant commodity. </w:t>
      </w:r>
      <w:r w:rsidR="00A24FA3">
        <w:t>Section 23 of the Regulation defines CUP</w:t>
      </w:r>
      <w:r w:rsidR="00EF2E14">
        <w:t xml:space="preserve"> for the purposes of the </w:t>
      </w:r>
      <w:r w:rsidR="00C62A1F">
        <w:t>R</w:t>
      </w:r>
      <w:r w:rsidR="00EF2E14">
        <w:t>egulation and the conditions un</w:t>
      </w:r>
      <w:r>
        <w:t>der which a CUP can be observed; or</w:t>
      </w:r>
    </w:p>
    <w:p w14:paraId="63FF923E" w14:textId="6EBB3797" w:rsidR="00EF2E14" w:rsidRDefault="00030854" w:rsidP="005A24AA">
      <w:pPr>
        <w:pStyle w:val="OutlineNumbered1"/>
      </w:pPr>
      <w:r>
        <w:t>i</w:t>
      </w:r>
      <w:r w:rsidR="00EF2E14">
        <w:t>f there is no APA</w:t>
      </w:r>
      <w:r w:rsidR="006827C6">
        <w:t>,</w:t>
      </w:r>
      <w:r w:rsidR="00EF2E14">
        <w:t xml:space="preserve"> and no CUP exists for the </w:t>
      </w:r>
      <w:r w:rsidR="0067116A">
        <w:t>assessable</w:t>
      </w:r>
      <w:r w:rsidR="00EF2E14">
        <w:t xml:space="preserve"> gas, the price is determined in accordance with the </w:t>
      </w:r>
      <w:r w:rsidR="001502C3">
        <w:t>RPM</w:t>
      </w:r>
      <w:r w:rsidR="00A24FA3">
        <w:t xml:space="preserve">, </w:t>
      </w:r>
      <w:r w:rsidR="00EF2E14">
        <w:t>which is set out in the Regulation.</w:t>
      </w:r>
    </w:p>
    <w:p w14:paraId="7F51B2C5" w14:textId="2A7D127F" w:rsidR="00CA0D41" w:rsidRDefault="00030854" w:rsidP="00EF2E14">
      <w:pPr>
        <w:spacing w:before="100" w:beforeAutospacing="1" w:after="100" w:afterAutospacing="1"/>
        <w:rPr>
          <w:szCs w:val="24"/>
        </w:rPr>
      </w:pPr>
      <w:r>
        <w:rPr>
          <w:szCs w:val="24"/>
        </w:rPr>
        <w:t xml:space="preserve">In relation to onshore integrated GTL projects, </w:t>
      </w:r>
      <w:r w:rsidR="00D46AA6">
        <w:rPr>
          <w:szCs w:val="24"/>
        </w:rPr>
        <w:t xml:space="preserve">participants </w:t>
      </w:r>
      <w:r w:rsidR="003373A0">
        <w:rPr>
          <w:szCs w:val="24"/>
        </w:rPr>
        <w:t xml:space="preserve">may make an election to apply the </w:t>
      </w:r>
      <w:r w:rsidR="00334604">
        <w:rPr>
          <w:szCs w:val="24"/>
        </w:rPr>
        <w:t>RPM</w:t>
      </w:r>
      <w:r w:rsidR="003373A0">
        <w:rPr>
          <w:szCs w:val="24"/>
        </w:rPr>
        <w:t xml:space="preserve"> as the default method for determining assessable petroleum receipts</w:t>
      </w:r>
      <w:r>
        <w:rPr>
          <w:szCs w:val="24"/>
        </w:rPr>
        <w:t xml:space="preserve"> </w:t>
      </w:r>
      <w:r>
        <w:t>(section 49)</w:t>
      </w:r>
      <w:r w:rsidR="003373A0">
        <w:rPr>
          <w:szCs w:val="24"/>
        </w:rPr>
        <w:t>.</w:t>
      </w:r>
    </w:p>
    <w:p w14:paraId="607AC335" w14:textId="1E30115E" w:rsidR="00EF2E14" w:rsidRPr="00506F8D" w:rsidRDefault="00EF2E14" w:rsidP="00EF2E14">
      <w:pPr>
        <w:spacing w:before="100" w:beforeAutospacing="1" w:after="100" w:afterAutospacing="1"/>
        <w:rPr>
          <w:i/>
        </w:rPr>
      </w:pPr>
      <w:r w:rsidRPr="00506F8D">
        <w:rPr>
          <w:i/>
        </w:rPr>
        <w:t>The Residual Pricing Method</w:t>
      </w:r>
      <w:r w:rsidR="00A24FA3" w:rsidRPr="00506F8D">
        <w:rPr>
          <w:i/>
        </w:rPr>
        <w:t xml:space="preserve"> </w:t>
      </w:r>
      <w:r w:rsidR="00301647" w:rsidRPr="00506F8D">
        <w:rPr>
          <w:i/>
        </w:rPr>
        <w:t>(RPM)</w:t>
      </w:r>
    </w:p>
    <w:p w14:paraId="6A7E5D55" w14:textId="4D79A82B" w:rsidR="00EF2E14" w:rsidRDefault="00EF2E14" w:rsidP="00EF2E14">
      <w:pPr>
        <w:spacing w:before="100" w:beforeAutospacing="1" w:after="100" w:afterAutospacing="1"/>
      </w:pPr>
      <w:r>
        <w:t>The RPM notionally treats the upstream and downstream stages of an integrated operation as separate arm’s</w:t>
      </w:r>
      <w:r w:rsidR="001502C3">
        <w:t xml:space="preserve"> </w:t>
      </w:r>
      <w:r>
        <w:t xml:space="preserve">length businesses buying and selling </w:t>
      </w:r>
      <w:r w:rsidR="007023B8">
        <w:t>assessable gas (</w:t>
      </w:r>
      <w:r>
        <w:t>project sales gas</w:t>
      </w:r>
      <w:r w:rsidR="007023B8">
        <w:t xml:space="preserve"> or project natural gas as the case requires)</w:t>
      </w:r>
      <w:r w:rsidR="00A24FA3">
        <w:t>,</w:t>
      </w:r>
      <w:r>
        <w:t xml:space="preserve"> in order to determine a gas transfer price. </w:t>
      </w:r>
    </w:p>
    <w:p w14:paraId="0DBCC34F" w14:textId="4BFDA578" w:rsidR="00EF2E14" w:rsidRDefault="00EF2E14" w:rsidP="00EF2E14">
      <w:pPr>
        <w:spacing w:before="100" w:beforeAutospacing="1" w:after="100" w:afterAutospacing="1"/>
      </w:pPr>
      <w:r>
        <w:t>The gas transfer price (for the purposes of the</w:t>
      </w:r>
      <w:r w:rsidR="00DA0D9A">
        <w:t xml:space="preserve"> </w:t>
      </w:r>
      <w:r w:rsidR="009E6ED4">
        <w:t>PRRTAA</w:t>
      </w:r>
      <w:r>
        <w:t xml:space="preserve">) determined via this method is referred to as the ‘RPM price’. </w:t>
      </w:r>
    </w:p>
    <w:p w14:paraId="392192F8" w14:textId="4507C6E4" w:rsidR="00EF2E14" w:rsidRDefault="00EF2E14" w:rsidP="00EF2E14">
      <w:pPr>
        <w:spacing w:before="100" w:beforeAutospacing="1" w:after="100" w:afterAutospacing="1"/>
      </w:pPr>
      <w:r>
        <w:t xml:space="preserve">The RPM incorporates both a ‘cost-plus’ and ‘netback’ calculation. </w:t>
      </w:r>
    </w:p>
    <w:p w14:paraId="7A8BE026" w14:textId="3729FE65" w:rsidR="00EF2E14" w:rsidRPr="003C15C8" w:rsidRDefault="00030854" w:rsidP="003C15C8">
      <w:pPr>
        <w:pStyle w:val="Bullet"/>
        <w:rPr>
          <w:rFonts w:ascii="Times New Roman" w:hAnsi="Times New Roman" w:cs="Times New Roman"/>
        </w:rPr>
      </w:pPr>
      <w:r w:rsidRPr="003C15C8">
        <w:rPr>
          <w:rFonts w:ascii="Times New Roman" w:hAnsi="Times New Roman" w:cs="Times New Roman"/>
        </w:rPr>
        <w:t>t</w:t>
      </w:r>
      <w:r w:rsidR="00EF2E14" w:rsidRPr="003C15C8">
        <w:rPr>
          <w:rFonts w:ascii="Times New Roman" w:hAnsi="Times New Roman" w:cs="Times New Roman"/>
        </w:rPr>
        <w:t>he cost-plus calculation is applied to the upstream stage to determine a ‘cost</w:t>
      </w:r>
      <w:r w:rsidR="00141D89">
        <w:rPr>
          <w:rFonts w:ascii="MS Mincho" w:eastAsia="MS Mincho" w:hAnsi="MS Mincho" w:cs="MS Mincho"/>
        </w:rPr>
        <w:noBreakHyphen/>
      </w:r>
      <w:r w:rsidR="00EF2E14" w:rsidRPr="003C15C8">
        <w:rPr>
          <w:rFonts w:ascii="Times New Roman" w:hAnsi="Times New Roman" w:cs="Times New Roman"/>
        </w:rPr>
        <w:t xml:space="preserve">plus price’ for the </w:t>
      </w:r>
      <w:r w:rsidR="007023B8" w:rsidRPr="003C15C8">
        <w:rPr>
          <w:rFonts w:ascii="Times New Roman" w:hAnsi="Times New Roman" w:cs="Times New Roman"/>
        </w:rPr>
        <w:t xml:space="preserve">assessable </w:t>
      </w:r>
      <w:r w:rsidR="00EF2E14" w:rsidRPr="003C15C8">
        <w:rPr>
          <w:rFonts w:ascii="Times New Roman" w:hAnsi="Times New Roman" w:cs="Times New Roman"/>
        </w:rPr>
        <w:t xml:space="preserve">gas. The cost-plus price reflects the minimum price at which the upstream stage of the integrated operation would need to sell the </w:t>
      </w:r>
      <w:r w:rsidR="007023B8" w:rsidRPr="003C15C8">
        <w:rPr>
          <w:rFonts w:ascii="Times New Roman" w:hAnsi="Times New Roman" w:cs="Times New Roman"/>
        </w:rPr>
        <w:t>assessable</w:t>
      </w:r>
      <w:r w:rsidR="00EF2E14" w:rsidRPr="003C15C8">
        <w:rPr>
          <w:rFonts w:ascii="Times New Roman" w:hAnsi="Times New Roman" w:cs="Times New Roman"/>
        </w:rPr>
        <w:t xml:space="preserve"> gas produced in order to cover its costs (including an al</w:t>
      </w:r>
      <w:r w:rsidRPr="003C15C8">
        <w:rPr>
          <w:rFonts w:ascii="Times New Roman" w:hAnsi="Times New Roman" w:cs="Times New Roman"/>
        </w:rPr>
        <w:t>lowance for capital investment); and</w:t>
      </w:r>
      <w:r w:rsidR="00EF2E14" w:rsidRPr="003C15C8">
        <w:rPr>
          <w:rFonts w:ascii="Times New Roman" w:hAnsi="Times New Roman" w:cs="Times New Roman"/>
        </w:rPr>
        <w:t xml:space="preserve"> </w:t>
      </w:r>
    </w:p>
    <w:p w14:paraId="52A1F20B" w14:textId="3E28F5AD" w:rsidR="00EF2E14" w:rsidRPr="003C15C8" w:rsidRDefault="00030854" w:rsidP="003C15C8">
      <w:pPr>
        <w:pStyle w:val="Bullet"/>
        <w:rPr>
          <w:rFonts w:ascii="Times New Roman" w:hAnsi="Times New Roman" w:cs="Times New Roman"/>
        </w:rPr>
      </w:pPr>
      <w:r w:rsidRPr="003C15C8">
        <w:rPr>
          <w:rFonts w:ascii="Times New Roman" w:hAnsi="Times New Roman" w:cs="Times New Roman"/>
        </w:rPr>
        <w:t>t</w:t>
      </w:r>
      <w:r w:rsidR="00EF2E14" w:rsidRPr="003C15C8">
        <w:rPr>
          <w:rFonts w:ascii="Times New Roman" w:hAnsi="Times New Roman" w:cs="Times New Roman"/>
        </w:rPr>
        <w:t>he netback calculation is applied to the downstream stage (netting off the downstream costs from the value of the final product</w:t>
      </w:r>
      <w:r w:rsidR="00141D89">
        <w:rPr>
          <w:rFonts w:ascii="Times New Roman" w:hAnsi="Times New Roman" w:cs="Times New Roman"/>
        </w:rPr>
        <w:t xml:space="preserve"> </w:t>
      </w:r>
      <w:r w:rsidR="00EF2E14" w:rsidRPr="003C15C8">
        <w:rPr>
          <w:rFonts w:ascii="Times New Roman" w:hAnsi="Times New Roman" w:cs="Times New Roman"/>
        </w:rPr>
        <w:t xml:space="preserve">to determine a ‘netback price’ for the </w:t>
      </w:r>
      <w:r w:rsidR="0023591C" w:rsidRPr="003C15C8">
        <w:rPr>
          <w:rFonts w:ascii="Times New Roman" w:hAnsi="Times New Roman" w:cs="Times New Roman"/>
        </w:rPr>
        <w:t>assessable gas</w:t>
      </w:r>
      <w:r w:rsidR="009B438B" w:rsidRPr="003C15C8">
        <w:rPr>
          <w:rFonts w:ascii="Times New Roman" w:hAnsi="Times New Roman" w:cs="Times New Roman"/>
        </w:rPr>
        <w:t>)</w:t>
      </w:r>
      <w:r w:rsidR="00EF2E14" w:rsidRPr="003C15C8">
        <w:rPr>
          <w:rFonts w:ascii="Times New Roman" w:hAnsi="Times New Roman" w:cs="Times New Roman"/>
        </w:rPr>
        <w:t xml:space="preserve">. The netback price reflects the maximum price for </w:t>
      </w:r>
      <w:r w:rsidR="007023B8" w:rsidRPr="003C15C8">
        <w:rPr>
          <w:rFonts w:ascii="Times New Roman" w:hAnsi="Times New Roman" w:cs="Times New Roman"/>
        </w:rPr>
        <w:t xml:space="preserve">assessable </w:t>
      </w:r>
      <w:r w:rsidR="00EF2E14" w:rsidRPr="003C15C8">
        <w:rPr>
          <w:rFonts w:ascii="Times New Roman" w:hAnsi="Times New Roman" w:cs="Times New Roman"/>
        </w:rPr>
        <w:t>gas that would allow the downstream stage to recover its costs (including an allowance for capital investment) for a given sale price for the project liquid</w:t>
      </w:r>
      <w:r w:rsidR="00A120C0" w:rsidRPr="003C15C8">
        <w:rPr>
          <w:rFonts w:ascii="Times New Roman" w:hAnsi="Times New Roman" w:cs="Times New Roman"/>
        </w:rPr>
        <w:t>/project electricity</w:t>
      </w:r>
      <w:r w:rsidR="00EF2E14" w:rsidRPr="003C15C8">
        <w:rPr>
          <w:rFonts w:ascii="Times New Roman" w:hAnsi="Times New Roman" w:cs="Times New Roman"/>
        </w:rPr>
        <w:t>.</w:t>
      </w:r>
    </w:p>
    <w:p w14:paraId="15CB6087" w14:textId="7D74422A" w:rsidR="00EF2E14" w:rsidRDefault="00EF2E14" w:rsidP="00EF2E14">
      <w:pPr>
        <w:spacing w:before="100" w:beforeAutospacing="1" w:after="100" w:afterAutospacing="1"/>
      </w:pPr>
      <w:r>
        <w:t xml:space="preserve">The ‘gap’ between the cost-plus and netback prices reflects the residual, or ‘excess’ profit of the integrated operation as a whole. This residual profit is divided equally between the upstream and downstream stages of the operation (implying an equal share of rents between the upstream and downstream stages of the operation) to determine the RPM price. </w:t>
      </w:r>
    </w:p>
    <w:p w14:paraId="2A8F5947" w14:textId="6FE25D98" w:rsidR="00DA0D9A" w:rsidRDefault="003373A0" w:rsidP="00EF2E14">
      <w:pPr>
        <w:spacing w:before="100" w:beforeAutospacing="1" w:after="100" w:afterAutospacing="1"/>
      </w:pPr>
      <w:r>
        <w:t xml:space="preserve">The operation of the RPM is </w:t>
      </w:r>
      <w:r w:rsidR="00EF2E14">
        <w:t>illustrated in Figure 1.</w:t>
      </w:r>
    </w:p>
    <w:p w14:paraId="03741A9B" w14:textId="182D645C" w:rsidR="003373A0" w:rsidRPr="003373A0" w:rsidRDefault="003373A0" w:rsidP="00EF2E14">
      <w:pPr>
        <w:spacing w:before="100" w:beforeAutospacing="1" w:after="100" w:afterAutospacing="1"/>
        <w:rPr>
          <w:b/>
        </w:rPr>
      </w:pPr>
      <w:r>
        <w:rPr>
          <w:b/>
        </w:rPr>
        <w:t>Figure 1</w:t>
      </w:r>
    </w:p>
    <w:p w14:paraId="69EC096A" w14:textId="2B1DED1E" w:rsidR="00EF2E14" w:rsidRDefault="00EF2E14" w:rsidP="00EF2E14">
      <w:pPr>
        <w:spacing w:before="100" w:beforeAutospacing="1" w:after="100" w:afterAutospacing="1"/>
      </w:pPr>
      <w:r>
        <w:rPr>
          <w:noProof/>
        </w:rPr>
        <w:drawing>
          <wp:anchor distT="0" distB="0" distL="114300" distR="114300" simplePos="0" relativeHeight="251658240" behindDoc="0" locked="0" layoutInCell="1" allowOverlap="1" wp14:anchorId="2BCF3FD5" wp14:editId="23EF3701">
            <wp:simplePos x="0" y="0"/>
            <wp:positionH relativeFrom="column">
              <wp:align>left</wp:align>
            </wp:positionH>
            <wp:positionV relativeFrom="paragraph">
              <wp:align>top</wp:align>
            </wp:positionV>
            <wp:extent cx="3780155" cy="24752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0155" cy="2475230"/>
                    </a:xfrm>
                    <a:prstGeom prst="rect">
                      <a:avLst/>
                    </a:prstGeom>
                    <a:noFill/>
                  </pic:spPr>
                </pic:pic>
              </a:graphicData>
            </a:graphic>
          </wp:anchor>
        </w:drawing>
      </w:r>
      <w:r w:rsidR="00A120C0">
        <w:br w:type="textWrapping" w:clear="all"/>
      </w:r>
    </w:p>
    <w:p w14:paraId="6B6BC051" w14:textId="7C08157E" w:rsidR="004E29B1" w:rsidRDefault="00EF2E14" w:rsidP="00BA4754">
      <w:pPr>
        <w:spacing w:before="100" w:beforeAutospacing="1" w:after="100" w:afterAutospacing="1"/>
      </w:pPr>
      <w:r w:rsidRPr="003373A0">
        <w:t xml:space="preserve">The steps for </w:t>
      </w:r>
      <w:r w:rsidR="00A120C0">
        <w:t>working out the cost-plus price, netback price and related</w:t>
      </w:r>
      <w:r w:rsidRPr="003373A0">
        <w:t xml:space="preserve"> RPM price in relation to </w:t>
      </w:r>
      <w:r w:rsidR="007023B8">
        <w:t>assessable gas</w:t>
      </w:r>
      <w:r w:rsidRPr="003373A0">
        <w:t xml:space="preserve"> of an integrated operation are set out in </w:t>
      </w:r>
      <w:r w:rsidR="008174AB">
        <w:t>section 30</w:t>
      </w:r>
      <w:r w:rsidRPr="003373A0">
        <w:t>.</w:t>
      </w:r>
    </w:p>
    <w:p w14:paraId="122F24E4" w14:textId="77777777" w:rsidR="005A24AA" w:rsidRPr="00506F8D" w:rsidRDefault="005A24AA" w:rsidP="005A24AA">
      <w:pPr>
        <w:spacing w:before="100" w:beforeAutospacing="1" w:after="100" w:afterAutospacing="1"/>
        <w:rPr>
          <w:i/>
        </w:rPr>
      </w:pPr>
      <w:r w:rsidRPr="00506F8D">
        <w:rPr>
          <w:i/>
        </w:rPr>
        <w:t>2013 Amendments</w:t>
      </w:r>
    </w:p>
    <w:p w14:paraId="44DFEEF2" w14:textId="2BB787F1" w:rsidR="005A24AA" w:rsidRPr="00076C1B" w:rsidRDefault="005A24AA" w:rsidP="00BA4754">
      <w:pPr>
        <w:spacing w:before="100" w:beforeAutospacing="1" w:after="100" w:afterAutospacing="1"/>
        <w:rPr>
          <w:szCs w:val="24"/>
        </w:rPr>
      </w:pPr>
      <w:r>
        <w:rPr>
          <w:szCs w:val="24"/>
        </w:rPr>
        <w:t>The application of the 2005 Regulations to onshore projects was the result of amendments in 2013. These amendments followed t</w:t>
      </w:r>
      <w:r w:rsidRPr="00B32E7B">
        <w:rPr>
          <w:szCs w:val="24"/>
        </w:rPr>
        <w:t>he extension of the PR</w:t>
      </w:r>
      <w:r w:rsidR="00F54FB8">
        <w:rPr>
          <w:szCs w:val="24"/>
        </w:rPr>
        <w:t xml:space="preserve">RT to onshore projects in 2012 and </w:t>
      </w:r>
      <w:r w:rsidRPr="00B32E7B">
        <w:rPr>
          <w:szCs w:val="24"/>
        </w:rPr>
        <w:t>allow</w:t>
      </w:r>
      <w:r w:rsidR="00F54FB8">
        <w:rPr>
          <w:szCs w:val="24"/>
        </w:rPr>
        <w:t>ed</w:t>
      </w:r>
      <w:r w:rsidRPr="00B32E7B">
        <w:rPr>
          <w:szCs w:val="24"/>
        </w:rPr>
        <w:t xml:space="preserve"> onshore operations to have access to the same integrated GTL pricing mechanism under the Regulations as offshore operations. The 2013 amendments also extended the framework in the Regulations to GTE operations.</w:t>
      </w:r>
    </w:p>
    <w:p w14:paraId="0DB8A746" w14:textId="1196D9AD" w:rsidR="003373A0" w:rsidRPr="00334604" w:rsidRDefault="003373A0" w:rsidP="00BA4754">
      <w:pPr>
        <w:spacing w:before="100" w:beforeAutospacing="1" w:after="100" w:afterAutospacing="1"/>
        <w:rPr>
          <w:u w:val="single"/>
        </w:rPr>
      </w:pPr>
      <w:r w:rsidRPr="00334604">
        <w:rPr>
          <w:b/>
          <w:u w:val="single"/>
        </w:rPr>
        <w:t xml:space="preserve">Drafting </w:t>
      </w:r>
      <w:r w:rsidR="00CF29BA">
        <w:rPr>
          <w:b/>
          <w:u w:val="single"/>
        </w:rPr>
        <w:t>i</w:t>
      </w:r>
      <w:r w:rsidRPr="00334604">
        <w:rPr>
          <w:b/>
          <w:u w:val="single"/>
        </w:rPr>
        <w:t>mprovements</w:t>
      </w:r>
      <w:r w:rsidR="00CF29BA">
        <w:rPr>
          <w:b/>
          <w:u w:val="single"/>
        </w:rPr>
        <w:t xml:space="preserve"> and transitional provisions</w:t>
      </w:r>
    </w:p>
    <w:p w14:paraId="15E125AF" w14:textId="77777777" w:rsidR="00CF29BA" w:rsidRDefault="00BA4754" w:rsidP="00D744F7">
      <w:pPr>
        <w:spacing w:before="100" w:beforeAutospacing="1" w:after="100" w:afterAutospacing="1"/>
      </w:pPr>
      <w:r w:rsidRPr="003373A0">
        <w:t xml:space="preserve">The Regulation makes </w:t>
      </w:r>
      <w:r w:rsidR="00CF29BA">
        <w:t xml:space="preserve">a number of drafting </w:t>
      </w:r>
      <w:r w:rsidRPr="003373A0">
        <w:t>improvements to the</w:t>
      </w:r>
      <w:r w:rsidR="00334604">
        <w:t xml:space="preserve"> 2005 Regulation</w:t>
      </w:r>
      <w:r w:rsidR="000F1491">
        <w:t>s</w:t>
      </w:r>
      <w:r w:rsidR="008174AB">
        <w:t>. It</w:t>
      </w:r>
      <w:r w:rsidR="009C6005" w:rsidRPr="003373A0">
        <w:t xml:space="preserve"> </w:t>
      </w:r>
      <w:r w:rsidRPr="003373A0">
        <w:t>simplifies</w:t>
      </w:r>
      <w:r w:rsidR="003373A0" w:rsidRPr="003373A0">
        <w:t xml:space="preserve"> the structure of</w:t>
      </w:r>
      <w:r w:rsidR="008174AB">
        <w:t xml:space="preserve"> certain</w:t>
      </w:r>
      <w:r w:rsidR="003373A0" w:rsidRPr="003373A0">
        <w:t xml:space="preserve"> provisions</w:t>
      </w:r>
      <w:r w:rsidRPr="003373A0">
        <w:t xml:space="preserve"> and </w:t>
      </w:r>
      <w:r w:rsidR="003373A0" w:rsidRPr="003373A0">
        <w:t xml:space="preserve">uses clearer language. </w:t>
      </w:r>
    </w:p>
    <w:p w14:paraId="46B99371" w14:textId="49836DD1" w:rsidR="00BA4754" w:rsidRPr="003373A0" w:rsidRDefault="003373A0" w:rsidP="00D744F7">
      <w:pPr>
        <w:spacing w:before="100" w:beforeAutospacing="1" w:after="100" w:afterAutospacing="1"/>
      </w:pPr>
      <w:r w:rsidRPr="003373A0">
        <w:t>F</w:t>
      </w:r>
      <w:r w:rsidR="00BA4754" w:rsidRPr="003373A0">
        <w:t xml:space="preserve">or example, provisions in the </w:t>
      </w:r>
      <w:r w:rsidR="008174AB">
        <w:t>2005 Regulations</w:t>
      </w:r>
      <w:r w:rsidRPr="003373A0">
        <w:rPr>
          <w:i/>
        </w:rPr>
        <w:t xml:space="preserve"> </w:t>
      </w:r>
      <w:r w:rsidR="00BA4754" w:rsidRPr="003373A0">
        <w:t>are referred to as ‘regulations’</w:t>
      </w:r>
      <w:r w:rsidR="00141D89">
        <w:t xml:space="preserve"> and ‘</w:t>
      </w:r>
      <w:proofErr w:type="spellStart"/>
      <w:r w:rsidR="00141D89">
        <w:t>subregulations</w:t>
      </w:r>
      <w:proofErr w:type="spellEnd"/>
      <w:r w:rsidR="00141D89">
        <w:t>’</w:t>
      </w:r>
      <w:r w:rsidR="00BA4754" w:rsidRPr="003373A0">
        <w:t>, however</w:t>
      </w:r>
      <w:r w:rsidR="00C30087">
        <w:t>,</w:t>
      </w:r>
      <w:r w:rsidR="00BA4754" w:rsidRPr="003373A0">
        <w:t xml:space="preserve"> provisions in new principal </w:t>
      </w:r>
      <w:r w:rsidR="00334604">
        <w:t xml:space="preserve">legislative </w:t>
      </w:r>
      <w:r w:rsidR="00BA4754" w:rsidRPr="003373A0">
        <w:t>instruments, such as the Regulation, are</w:t>
      </w:r>
      <w:r w:rsidR="00141D89">
        <w:t xml:space="preserve"> now</w:t>
      </w:r>
      <w:r w:rsidR="00BA4754" w:rsidRPr="003373A0">
        <w:t xml:space="preserve"> referred to as ‘sections’</w:t>
      </w:r>
      <w:r w:rsidR="00141D89">
        <w:t xml:space="preserve"> and ‘subsections’</w:t>
      </w:r>
      <w:r w:rsidR="00BA4754" w:rsidRPr="003373A0">
        <w:t xml:space="preserve">.  </w:t>
      </w:r>
      <w:r w:rsidR="00CF29BA">
        <w:t>Similarly, p</w:t>
      </w:r>
      <w:r w:rsidR="00C30087">
        <w:t xml:space="preserve">rincipal </w:t>
      </w:r>
      <w:r w:rsidR="00CF29BA">
        <w:t xml:space="preserve">legislative </w:t>
      </w:r>
      <w:r w:rsidR="00C30087">
        <w:t xml:space="preserve">instruments are </w:t>
      </w:r>
      <w:r w:rsidR="00D054AD" w:rsidRPr="003373A0">
        <w:t xml:space="preserve">now referred to as </w:t>
      </w:r>
      <w:r w:rsidR="00C30087">
        <w:t xml:space="preserve">a </w:t>
      </w:r>
      <w:r w:rsidR="00D054AD" w:rsidRPr="003373A0">
        <w:t>‘Regulation’ rather than</w:t>
      </w:r>
      <w:r w:rsidR="00C30087">
        <w:t xml:space="preserve"> as</w:t>
      </w:r>
      <w:r w:rsidR="00D054AD" w:rsidRPr="003373A0">
        <w:t xml:space="preserve"> ‘Regulation</w:t>
      </w:r>
      <w:r w:rsidR="00D054AD" w:rsidRPr="003373A0">
        <w:rPr>
          <w:b/>
          <w:u w:val="single"/>
        </w:rPr>
        <w:t>s</w:t>
      </w:r>
      <w:r w:rsidR="00D054AD" w:rsidRPr="003373A0">
        <w:t xml:space="preserve">’.  </w:t>
      </w:r>
      <w:r w:rsidR="00BA4754" w:rsidRPr="003373A0">
        <w:t xml:space="preserve">These </w:t>
      </w:r>
      <w:r w:rsidR="00141D89">
        <w:t xml:space="preserve">drafting </w:t>
      </w:r>
      <w:r w:rsidR="00BA4754" w:rsidRPr="003373A0">
        <w:t xml:space="preserve">changes </w:t>
      </w:r>
      <w:r w:rsidR="00141D89">
        <w:t xml:space="preserve">to the structure and terminology for the provisions </w:t>
      </w:r>
      <w:r w:rsidR="00BA4754" w:rsidRPr="003373A0">
        <w:t xml:space="preserve">are not intended to </w:t>
      </w:r>
      <w:r w:rsidR="008174AB">
        <w:t>alter</w:t>
      </w:r>
      <w:r w:rsidR="00BA4754" w:rsidRPr="003373A0">
        <w:t xml:space="preserve"> the current operation of the equivalent provisions in the</w:t>
      </w:r>
      <w:r w:rsidR="008174AB">
        <w:t xml:space="preserve"> 2005 Regulations</w:t>
      </w:r>
      <w:r w:rsidR="00A33EAA" w:rsidRPr="003373A0">
        <w:t xml:space="preserve">.  </w:t>
      </w:r>
      <w:r w:rsidR="00BA4754" w:rsidRPr="003373A0">
        <w:t xml:space="preserve">  </w:t>
      </w:r>
    </w:p>
    <w:p w14:paraId="54A5CEC9" w14:textId="19D0D398" w:rsidR="002712AB" w:rsidRPr="00F54FB8" w:rsidRDefault="002712AB" w:rsidP="00D744F7">
      <w:pPr>
        <w:spacing w:before="100" w:beforeAutospacing="1" w:after="100" w:afterAutospacing="1"/>
        <w:rPr>
          <w:sz w:val="20"/>
        </w:rPr>
      </w:pPr>
      <w:r w:rsidRPr="003373A0">
        <w:t>The Regulation</w:t>
      </w:r>
      <w:r w:rsidR="00CF29BA">
        <w:t xml:space="preserve"> also</w:t>
      </w:r>
      <w:r w:rsidRPr="003373A0">
        <w:t xml:space="preserve"> includes transitional provision</w:t>
      </w:r>
      <w:r w:rsidR="009E7523" w:rsidRPr="003373A0">
        <w:t>s</w:t>
      </w:r>
      <w:r w:rsidRPr="003373A0">
        <w:t xml:space="preserve"> to ensure that actions</w:t>
      </w:r>
      <w:r w:rsidR="001C5FAC">
        <w:t>,</w:t>
      </w:r>
      <w:r w:rsidRPr="003373A0">
        <w:t xml:space="preserve"> such as the making of applications and the giving of notices and permissions</w:t>
      </w:r>
      <w:r w:rsidR="001C5FAC">
        <w:t>,</w:t>
      </w:r>
      <w:r w:rsidRPr="003373A0">
        <w:t xml:space="preserve"> </w:t>
      </w:r>
      <w:r w:rsidR="001C5FAC">
        <w:t>taken</w:t>
      </w:r>
      <w:r w:rsidR="001C5FAC" w:rsidRPr="003373A0">
        <w:t xml:space="preserve"> </w:t>
      </w:r>
      <w:r w:rsidRPr="003373A0">
        <w:t xml:space="preserve">under the </w:t>
      </w:r>
      <w:r w:rsidR="00334604">
        <w:t xml:space="preserve">2005 Regulations </w:t>
      </w:r>
      <w:r w:rsidRPr="008174AB">
        <w:rPr>
          <w:szCs w:val="24"/>
        </w:rPr>
        <w:t xml:space="preserve">continue to apply as if they had been </w:t>
      </w:r>
      <w:r w:rsidR="001C5FAC">
        <w:rPr>
          <w:szCs w:val="24"/>
        </w:rPr>
        <w:t>taken</w:t>
      </w:r>
      <w:r w:rsidR="001C5FAC" w:rsidRPr="008174AB">
        <w:rPr>
          <w:szCs w:val="24"/>
        </w:rPr>
        <w:t xml:space="preserve"> </w:t>
      </w:r>
      <w:r w:rsidRPr="008174AB">
        <w:rPr>
          <w:szCs w:val="24"/>
        </w:rPr>
        <w:t>under the Regulation</w:t>
      </w:r>
      <w:r w:rsidR="008174AB" w:rsidRPr="008174AB">
        <w:rPr>
          <w:szCs w:val="24"/>
        </w:rPr>
        <w:t xml:space="preserve">. </w:t>
      </w:r>
      <w:r w:rsidR="008174AB" w:rsidRPr="00F54FB8">
        <w:rPr>
          <w:b/>
          <w:i/>
          <w:sz w:val="20"/>
          <w:szCs w:val="24"/>
        </w:rPr>
        <w:t>[section 53]</w:t>
      </w:r>
    </w:p>
    <w:p w14:paraId="0823CF78" w14:textId="5CC1D0C5" w:rsidR="000F1491" w:rsidRDefault="00BA4754" w:rsidP="00D744F7">
      <w:pPr>
        <w:spacing w:before="100" w:beforeAutospacing="1" w:after="100" w:afterAutospacing="1"/>
      </w:pPr>
      <w:r w:rsidRPr="003373A0">
        <w:t>Finding tables are included at the end of this Attachment to assist in identifying which provisions in the Regulation correspond to provisions in the</w:t>
      </w:r>
      <w:r w:rsidR="00334604">
        <w:t xml:space="preserve"> 2005 Regulations</w:t>
      </w:r>
      <w:r w:rsidR="003373A0" w:rsidRPr="003373A0">
        <w:t>, and vice versa.</w:t>
      </w:r>
    </w:p>
    <w:p w14:paraId="2CA7C67D" w14:textId="3176BC2F" w:rsidR="000F1491" w:rsidRDefault="00076C1B" w:rsidP="00F54FB8">
      <w:pPr>
        <w:spacing w:after="240"/>
      </w:pPr>
      <w:r>
        <w:rPr>
          <w:b/>
          <w:u w:val="single"/>
        </w:rPr>
        <w:t>C</w:t>
      </w:r>
      <w:r w:rsidR="001F4457">
        <w:rPr>
          <w:b/>
          <w:u w:val="single"/>
        </w:rPr>
        <w:t>hanges</w:t>
      </w:r>
      <w:r w:rsidR="000F1491">
        <w:rPr>
          <w:b/>
          <w:u w:val="single"/>
        </w:rPr>
        <w:t xml:space="preserve"> </w:t>
      </w:r>
      <w:r w:rsidR="000F1491" w:rsidRPr="00334604">
        <w:rPr>
          <w:b/>
          <w:u w:val="single"/>
        </w:rPr>
        <w:t xml:space="preserve">to the </w:t>
      </w:r>
      <w:r w:rsidR="000F1491" w:rsidRPr="00334604">
        <w:rPr>
          <w:b/>
          <w:i/>
          <w:u w:val="single"/>
        </w:rPr>
        <w:t xml:space="preserve">Petroleum Resource </w:t>
      </w:r>
      <w:r w:rsidR="001F4457">
        <w:rPr>
          <w:b/>
          <w:i/>
          <w:u w:val="single"/>
        </w:rPr>
        <w:t>Rent Tax Assessment Regulations </w:t>
      </w:r>
      <w:r w:rsidR="000F1491" w:rsidRPr="00334604">
        <w:rPr>
          <w:b/>
          <w:i/>
          <w:u w:val="single"/>
        </w:rPr>
        <w:t>2005</w:t>
      </w:r>
    </w:p>
    <w:p w14:paraId="2165E19F" w14:textId="12731027" w:rsidR="00CF29BA" w:rsidRDefault="00CF29BA" w:rsidP="00F54FB8">
      <w:pPr>
        <w:spacing w:after="240"/>
      </w:pPr>
      <w:r>
        <w:t xml:space="preserve">The Regulation makes a number of small </w:t>
      </w:r>
      <w:r w:rsidR="00076C1B">
        <w:t>changes</w:t>
      </w:r>
      <w:r>
        <w:t xml:space="preserve"> to the 2005 Regulations</w:t>
      </w:r>
      <w:r w:rsidR="005866D6">
        <w:t xml:space="preserve">. </w:t>
      </w:r>
      <w:r w:rsidR="00301647">
        <w:t>Changes 1, 2, 3 and 4</w:t>
      </w:r>
      <w:r w:rsidR="005866D6">
        <w:t xml:space="preserve"> are</w:t>
      </w:r>
      <w:r>
        <w:t xml:space="preserve"> in response to feedback from industry stakeholders</w:t>
      </w:r>
      <w:r w:rsidR="00C56A3B">
        <w:t>, and</w:t>
      </w:r>
      <w:r>
        <w:t xml:space="preserve"> ensure that the Regulation is fit</w:t>
      </w:r>
      <w:r>
        <w:noBreakHyphen/>
        <w:t>for</w:t>
      </w:r>
      <w:r>
        <w:noBreakHyphen/>
        <w:t>purpose and t</w:t>
      </w:r>
      <w:r w:rsidR="00427707">
        <w:t xml:space="preserve">hat </w:t>
      </w:r>
      <w:r>
        <w:t>compliance costs</w:t>
      </w:r>
      <w:r w:rsidR="00427707">
        <w:t xml:space="preserve"> are reduced</w:t>
      </w:r>
      <w:r>
        <w:t xml:space="preserve"> where possible.</w:t>
      </w:r>
      <w:r w:rsidR="005866D6">
        <w:t xml:space="preserve"> </w:t>
      </w:r>
      <w:r w:rsidR="0000272D">
        <w:t>Some of t</w:t>
      </w:r>
      <w:r w:rsidR="005866D6">
        <w:t xml:space="preserve">hese changes address practical difficulties that arise from applying the framework in the 2005 Regulations to onshore integrated operations, which </w:t>
      </w:r>
      <w:r w:rsidR="00301647">
        <w:t xml:space="preserve">may </w:t>
      </w:r>
      <w:r w:rsidR="005866D6">
        <w:t xml:space="preserve">have a different structure to the offshore integrated operations for which the 2005 Regulations were originally designed. </w:t>
      </w:r>
    </w:p>
    <w:p w14:paraId="27258FF2" w14:textId="21D6A8FD" w:rsidR="00427707" w:rsidRPr="00427707" w:rsidRDefault="00427707" w:rsidP="00F54FB8">
      <w:pPr>
        <w:spacing w:after="240"/>
        <w:rPr>
          <w:b/>
        </w:rPr>
      </w:pPr>
      <w:r>
        <w:t>These amendments were subject to a consultation process with industry stakeholders and consultation bodies throughout their development.</w:t>
      </w:r>
    </w:p>
    <w:p w14:paraId="6CCA4005" w14:textId="4CAE8C96" w:rsidR="00427707" w:rsidRDefault="00301647" w:rsidP="00F54FB8">
      <w:pPr>
        <w:spacing w:after="240"/>
      </w:pPr>
      <w:r>
        <w:t>Changes 5 and 6</w:t>
      </w:r>
      <w:r w:rsidR="00427707">
        <w:t xml:space="preserve"> correct an</w:t>
      </w:r>
      <w:r>
        <w:t>omalies in the 2005 Regulations.</w:t>
      </w:r>
    </w:p>
    <w:p w14:paraId="55306619" w14:textId="6C24886B" w:rsidR="00181D12" w:rsidRDefault="00181D12" w:rsidP="00F54FB8">
      <w:pPr>
        <w:spacing w:after="240"/>
      </w:pPr>
    </w:p>
    <w:p w14:paraId="3F243C27" w14:textId="77777777" w:rsidR="00181D12" w:rsidRDefault="00181D12" w:rsidP="00F54FB8">
      <w:pPr>
        <w:spacing w:after="240"/>
      </w:pPr>
    </w:p>
    <w:p w14:paraId="11AD5684" w14:textId="77777777" w:rsidR="00181D12" w:rsidRDefault="00181D12" w:rsidP="00F54FB8">
      <w:pPr>
        <w:spacing w:after="240"/>
      </w:pPr>
    </w:p>
    <w:p w14:paraId="1B66EA0B" w14:textId="48284B75" w:rsidR="00D744F7" w:rsidRDefault="00076C1B" w:rsidP="00F54FB8">
      <w:pPr>
        <w:spacing w:after="240"/>
        <w:rPr>
          <w:b/>
        </w:rPr>
      </w:pPr>
      <w:r>
        <w:rPr>
          <w:b/>
        </w:rPr>
        <w:t>Change</w:t>
      </w:r>
      <w:r w:rsidR="008174AB" w:rsidRPr="000F1491">
        <w:rPr>
          <w:b/>
        </w:rPr>
        <w:t xml:space="preserve"> </w:t>
      </w:r>
      <w:r w:rsidR="005866D6">
        <w:rPr>
          <w:b/>
        </w:rPr>
        <w:t>1</w:t>
      </w:r>
      <w:r w:rsidR="001E64EF" w:rsidRPr="000F1491">
        <w:rPr>
          <w:b/>
        </w:rPr>
        <w:t xml:space="preserve"> – Election for </w:t>
      </w:r>
      <w:r w:rsidR="00CF29BA">
        <w:rPr>
          <w:b/>
        </w:rPr>
        <w:t>o</w:t>
      </w:r>
      <w:r w:rsidR="001E64EF" w:rsidRPr="000F1491">
        <w:rPr>
          <w:b/>
        </w:rPr>
        <w:t xml:space="preserve">ne </w:t>
      </w:r>
      <w:r w:rsidR="00CF29BA">
        <w:rPr>
          <w:b/>
        </w:rPr>
        <w:t>u</w:t>
      </w:r>
      <w:r w:rsidR="001E64EF" w:rsidRPr="000F1491">
        <w:rPr>
          <w:b/>
        </w:rPr>
        <w:t xml:space="preserve">pstream </w:t>
      </w:r>
      <w:r w:rsidR="00CF29BA">
        <w:rPr>
          <w:b/>
        </w:rPr>
        <w:t>p</w:t>
      </w:r>
      <w:r w:rsidR="00B50A58" w:rsidRPr="000F1491">
        <w:rPr>
          <w:b/>
        </w:rPr>
        <w:t>hase</w:t>
      </w:r>
    </w:p>
    <w:p w14:paraId="4F713C51" w14:textId="2D90F848" w:rsidR="00E939FB" w:rsidRPr="00B5763A" w:rsidRDefault="005866D6" w:rsidP="00F54FB8">
      <w:pPr>
        <w:spacing w:after="240"/>
        <w:rPr>
          <w:rFonts w:eastAsiaTheme="majorEastAsia"/>
        </w:rPr>
      </w:pPr>
      <w:r>
        <w:t>The</w:t>
      </w:r>
      <w:r w:rsidR="00087664" w:rsidRPr="00B50A58">
        <w:rPr>
          <w:rFonts w:eastAsiaTheme="majorEastAsia"/>
        </w:rPr>
        <w:t xml:space="preserve"> Regulation allow</w:t>
      </w:r>
      <w:r w:rsidR="00087664">
        <w:rPr>
          <w:rFonts w:eastAsiaTheme="majorEastAsia"/>
        </w:rPr>
        <w:t>s</w:t>
      </w:r>
      <w:r w:rsidR="00087664" w:rsidRPr="00B50A58">
        <w:rPr>
          <w:rFonts w:eastAsiaTheme="majorEastAsia"/>
        </w:rPr>
        <w:t xml:space="preserve"> </w:t>
      </w:r>
      <w:r w:rsidR="00087664">
        <w:t>taxpayers in an integrated onshore GTL operation to make an election to aggregate the relevant costs into one upstream phase.</w:t>
      </w:r>
    </w:p>
    <w:p w14:paraId="3C9E1874" w14:textId="77777777" w:rsidR="00B5763A" w:rsidRDefault="00087664" w:rsidP="00F54FB8">
      <w:pPr>
        <w:spacing w:after="240"/>
        <w:rPr>
          <w:u w:val="single"/>
        </w:rPr>
      </w:pPr>
      <w:r>
        <w:rPr>
          <w:u w:val="single"/>
        </w:rPr>
        <w:t>Background:</w:t>
      </w:r>
    </w:p>
    <w:p w14:paraId="1A5C4505" w14:textId="181CF9D4" w:rsidR="005F5CAB" w:rsidRPr="00B50A58" w:rsidRDefault="005F5CAB" w:rsidP="00F54FB8">
      <w:pPr>
        <w:spacing w:after="240"/>
        <w:rPr>
          <w:rFonts w:eastAsiaTheme="majorEastAsia"/>
        </w:rPr>
      </w:pPr>
      <w:r>
        <w:rPr>
          <w:rFonts w:eastAsiaTheme="majorEastAsia"/>
        </w:rPr>
        <w:t xml:space="preserve">Each integrated operation is divided into phases. </w:t>
      </w:r>
      <w:r w:rsidRPr="00B50A58">
        <w:rPr>
          <w:rFonts w:eastAsiaTheme="majorEastAsia"/>
        </w:rPr>
        <w:t>Where a phase begins and ends is</w:t>
      </w:r>
      <w:r w:rsidR="00B5763A">
        <w:rPr>
          <w:rFonts w:eastAsiaTheme="majorEastAsia"/>
        </w:rPr>
        <w:t xml:space="preserve"> determined by a ‘phase point’.</w:t>
      </w:r>
      <w:r w:rsidRPr="00B50A58">
        <w:rPr>
          <w:rFonts w:eastAsiaTheme="majorEastAsia"/>
        </w:rPr>
        <w:t xml:space="preserve"> Subsection 9(1) describes where the phase points of the integrat</w:t>
      </w:r>
      <w:r w:rsidR="00B5763A">
        <w:rPr>
          <w:rFonts w:eastAsiaTheme="majorEastAsia"/>
        </w:rPr>
        <w:t>ed operation occur.</w:t>
      </w:r>
      <w:r w:rsidRPr="00B50A58">
        <w:rPr>
          <w:rFonts w:eastAsiaTheme="majorEastAsia"/>
        </w:rPr>
        <w:t xml:space="preserve"> These are:</w:t>
      </w:r>
    </w:p>
    <w:p w14:paraId="60D0A303" w14:textId="77777777" w:rsidR="005F5CAB" w:rsidRPr="00F54FB8" w:rsidRDefault="005F5CAB" w:rsidP="00F54FB8">
      <w:pPr>
        <w:pStyle w:val="Bullet"/>
        <w:spacing w:after="240"/>
      </w:pPr>
      <w:r w:rsidRPr="00F54FB8">
        <w:rPr>
          <w:rFonts w:ascii="Times New Roman" w:hAnsi="Times New Roman" w:cs="Times New Roman"/>
        </w:rPr>
        <w:t>the point where the upstream stage ends and the downstream stage begins; and</w:t>
      </w:r>
    </w:p>
    <w:p w14:paraId="1719ADEF" w14:textId="4CC1C92A" w:rsidR="005F5CAB" w:rsidRDefault="005F5CAB" w:rsidP="00F54FB8">
      <w:pPr>
        <w:pStyle w:val="Bullet"/>
        <w:spacing w:after="240"/>
      </w:pPr>
      <w:r w:rsidRPr="00F54FB8">
        <w:rPr>
          <w:rFonts w:ascii="Times New Roman" w:hAnsi="Times New Roman" w:cs="Times New Roman"/>
        </w:rPr>
        <w:t xml:space="preserve">any point in the flow of project product through the integrated operation </w:t>
      </w:r>
      <w:r w:rsidR="00A120C0" w:rsidRPr="00F54FB8">
        <w:rPr>
          <w:rFonts w:ascii="Times New Roman" w:hAnsi="Times New Roman" w:cs="Times New Roman"/>
        </w:rPr>
        <w:t xml:space="preserve">at which </w:t>
      </w:r>
      <w:r w:rsidRPr="00F54FB8">
        <w:rPr>
          <w:rFonts w:ascii="Times New Roman" w:hAnsi="Times New Roman" w:cs="Times New Roman"/>
        </w:rPr>
        <w:t xml:space="preserve">there is expected to be a difference in </w:t>
      </w:r>
      <w:r w:rsidR="00A120C0" w:rsidRPr="00F54FB8">
        <w:rPr>
          <w:rFonts w:ascii="Times New Roman" w:hAnsi="Times New Roman" w:cs="Times New Roman"/>
        </w:rPr>
        <w:t xml:space="preserve">the ratio of project product to total product </w:t>
      </w:r>
      <w:r w:rsidRPr="00F54FB8">
        <w:rPr>
          <w:rFonts w:ascii="Times New Roman" w:hAnsi="Times New Roman" w:cs="Times New Roman"/>
        </w:rPr>
        <w:t>flowing through the operation before and after that point</w:t>
      </w:r>
      <w:r w:rsidR="00A120C0" w:rsidRPr="00F54FB8">
        <w:rPr>
          <w:rFonts w:ascii="Times New Roman" w:hAnsi="Times New Roman" w:cs="Times New Roman"/>
        </w:rPr>
        <w:t>.</w:t>
      </w:r>
      <w:r w:rsidRPr="00F54FB8">
        <w:rPr>
          <w:rFonts w:ascii="Times New Roman" w:hAnsi="Times New Roman" w:cs="Times New Roman"/>
        </w:rPr>
        <w:t xml:space="preserve"> </w:t>
      </w:r>
    </w:p>
    <w:p w14:paraId="3F0A8DE5" w14:textId="32093A75" w:rsidR="005F5CAB" w:rsidRDefault="005F5CAB" w:rsidP="00F54FB8">
      <w:pPr>
        <w:spacing w:after="240"/>
        <w:rPr>
          <w:rFonts w:eastAsiaTheme="majorEastAsia"/>
        </w:rPr>
      </w:pPr>
      <w:r w:rsidRPr="005F5CAB">
        <w:rPr>
          <w:rFonts w:eastAsiaTheme="majorEastAsia"/>
        </w:rPr>
        <w:t>Differences in the total amount of petroleum product flowing through an integrated operation may be the result of either project product leaving an integrated operation or non-project petroleum product from outside entering the integrated operation.</w:t>
      </w:r>
    </w:p>
    <w:p w14:paraId="12BDAE56" w14:textId="18BE808E" w:rsidR="00E0454F" w:rsidRPr="00B50A58" w:rsidRDefault="00E0454F" w:rsidP="00F54FB8">
      <w:pPr>
        <w:spacing w:after="240"/>
        <w:rPr>
          <w:rFonts w:eastAsiaTheme="majorEastAsia"/>
        </w:rPr>
      </w:pPr>
      <w:r w:rsidRPr="00B50A58">
        <w:rPr>
          <w:rFonts w:eastAsiaTheme="majorEastAsia"/>
        </w:rPr>
        <w:t xml:space="preserve">Costs of the operation are attributed to the various phases of the operation </w:t>
      </w:r>
      <w:r>
        <w:rPr>
          <w:rFonts w:eastAsiaTheme="majorEastAsia"/>
        </w:rPr>
        <w:t xml:space="preserve">in accordance with section 38. For each phase, the costs </w:t>
      </w:r>
      <w:r w:rsidRPr="00B50A58">
        <w:rPr>
          <w:rFonts w:eastAsiaTheme="majorEastAsia"/>
        </w:rPr>
        <w:t xml:space="preserve">are apportioned between project product and other petroleum product </w:t>
      </w:r>
      <w:r>
        <w:rPr>
          <w:rFonts w:eastAsiaTheme="majorEastAsia"/>
        </w:rPr>
        <w:t xml:space="preserve">by applying an energy coefficient in accordance with </w:t>
      </w:r>
      <w:r w:rsidRPr="00B50A58">
        <w:rPr>
          <w:rFonts w:eastAsiaTheme="majorEastAsia"/>
        </w:rPr>
        <w:t>section 43</w:t>
      </w:r>
      <w:r>
        <w:rPr>
          <w:rFonts w:eastAsiaTheme="majorEastAsia"/>
        </w:rPr>
        <w:t>.</w:t>
      </w:r>
      <w:r w:rsidR="00D4601E" w:rsidRPr="00D4601E">
        <w:t xml:space="preserve"> </w:t>
      </w:r>
      <w:r w:rsidR="00D4601E">
        <w:t xml:space="preserve">The energy coefficient </w:t>
      </w:r>
      <w:r w:rsidR="00D4601E" w:rsidRPr="00D4601E">
        <w:rPr>
          <w:rFonts w:eastAsiaTheme="majorEastAsia"/>
        </w:rPr>
        <w:t>is the result of dividing phase project energy by total phase energy</w:t>
      </w:r>
      <w:r w:rsidR="00D4601E">
        <w:rPr>
          <w:rFonts w:eastAsiaTheme="majorEastAsia"/>
        </w:rPr>
        <w:t>.</w:t>
      </w:r>
    </w:p>
    <w:p w14:paraId="5EE32263" w14:textId="5172113D" w:rsidR="00C56A3B" w:rsidRDefault="00D744F7" w:rsidP="00F54FB8">
      <w:pPr>
        <w:spacing w:after="240"/>
      </w:pPr>
      <w:r>
        <w:t>The</w:t>
      </w:r>
      <w:r w:rsidR="00E0454F">
        <w:t xml:space="preserve"> intent </w:t>
      </w:r>
      <w:r w:rsidR="009D5F9D">
        <w:t xml:space="preserve">of these provisions is that </w:t>
      </w:r>
      <w:r w:rsidR="00E0454F">
        <w:t>the</w:t>
      </w:r>
      <w:r>
        <w:t xml:space="preserve"> RPM should only reflect costs associat</w:t>
      </w:r>
      <w:r w:rsidR="00E53DF6">
        <w:t>ed with project product. If non-</w:t>
      </w:r>
      <w:r>
        <w:t xml:space="preserve">project product flows through </w:t>
      </w:r>
      <w:r w:rsidR="00B50A58">
        <w:t xml:space="preserve">parts of the integrated operation for certain phases, then costs associated with these phases </w:t>
      </w:r>
      <w:r w:rsidR="00E0454F">
        <w:t>should</w:t>
      </w:r>
      <w:r w:rsidR="00B50A58">
        <w:t xml:space="preserve"> be adjusted so that only those that are </w:t>
      </w:r>
      <w:r w:rsidR="00E0454F">
        <w:t>attributable</w:t>
      </w:r>
      <w:r w:rsidR="00B50A58">
        <w:t xml:space="preserve"> to the project product are factored into the RPM. </w:t>
      </w:r>
    </w:p>
    <w:p w14:paraId="675EEF57" w14:textId="48B50DA2" w:rsidR="00087664" w:rsidRDefault="00087664" w:rsidP="00F54FB8">
      <w:pPr>
        <w:spacing w:after="240"/>
        <w:rPr>
          <w:rFonts w:eastAsiaTheme="majorEastAsia"/>
        </w:rPr>
      </w:pPr>
      <w:r>
        <w:rPr>
          <w:rFonts w:eastAsiaTheme="majorEastAsia"/>
          <w:u w:val="single"/>
        </w:rPr>
        <w:t>Consultation</w:t>
      </w:r>
    </w:p>
    <w:p w14:paraId="2076F780" w14:textId="1F8FDD08" w:rsidR="00087664" w:rsidRDefault="00087664" w:rsidP="00F54FB8">
      <w:pPr>
        <w:spacing w:after="240"/>
      </w:pPr>
      <w:r>
        <w:rPr>
          <w:rFonts w:eastAsiaTheme="majorEastAsia"/>
        </w:rPr>
        <w:t>Consultation with industry indicated that t</w:t>
      </w:r>
      <w:r w:rsidR="00B50A58">
        <w:rPr>
          <w:rFonts w:eastAsiaTheme="majorEastAsia"/>
        </w:rPr>
        <w:t xml:space="preserve">he structure </w:t>
      </w:r>
      <w:r w:rsidR="00E33218">
        <w:rPr>
          <w:rFonts w:eastAsiaTheme="majorEastAsia"/>
        </w:rPr>
        <w:t xml:space="preserve">of </w:t>
      </w:r>
      <w:r w:rsidR="00B50A58">
        <w:rPr>
          <w:rFonts w:eastAsiaTheme="majorEastAsia"/>
        </w:rPr>
        <w:t>onshore</w:t>
      </w:r>
      <w:r w:rsidR="00E0454F">
        <w:rPr>
          <w:rFonts w:eastAsiaTheme="majorEastAsia"/>
        </w:rPr>
        <w:t xml:space="preserve"> GTL</w:t>
      </w:r>
      <w:r w:rsidR="00B50A58">
        <w:rPr>
          <w:rFonts w:eastAsiaTheme="majorEastAsia"/>
        </w:rPr>
        <w:t xml:space="preserve"> </w:t>
      </w:r>
      <w:r w:rsidRPr="00934C24">
        <w:t xml:space="preserve">operations </w:t>
      </w:r>
      <w:r w:rsidR="00E33218">
        <w:t xml:space="preserve">often </w:t>
      </w:r>
      <w:r>
        <w:t xml:space="preserve">involves having gas from various projects comingled. This </w:t>
      </w:r>
      <w:r w:rsidR="00B50A58">
        <w:rPr>
          <w:rFonts w:eastAsiaTheme="majorEastAsia"/>
        </w:rPr>
        <w:t xml:space="preserve">may trigger a substantial number of phase points. </w:t>
      </w:r>
      <w:r w:rsidR="00B50A58">
        <w:t xml:space="preserve">Because the volume of gas in each phase is required to be </w:t>
      </w:r>
      <w:r w:rsidR="001440D5">
        <w:t>recorded</w:t>
      </w:r>
      <w:r w:rsidR="00B50A58">
        <w:t xml:space="preserve">, this requires substantial metering capability. The metering capability required for this may be greater than the commercial metering requirements of the project. </w:t>
      </w:r>
    </w:p>
    <w:p w14:paraId="527C9C59" w14:textId="6E5D163F" w:rsidR="00B50A58" w:rsidRDefault="00B50A58" w:rsidP="00F54FB8">
      <w:pPr>
        <w:spacing w:after="240"/>
      </w:pPr>
      <w:r>
        <w:t>This represents a compliance burden to taxpayers that potentially prevents the use of the RPM.</w:t>
      </w:r>
      <w:r w:rsidR="00E0454F">
        <w:t xml:space="preserve"> This is particularly the case as taxpayers are required to notify phase points</w:t>
      </w:r>
      <w:r w:rsidR="004E65C9">
        <w:t xml:space="preserve"> and related record keeping matters</w:t>
      </w:r>
      <w:r w:rsidR="00E0454F">
        <w:t xml:space="preserve"> to the Commissioner under subsections 9(5) and 9(7)</w:t>
      </w:r>
      <w:r w:rsidR="004E65C9">
        <w:t xml:space="preserve"> respectively</w:t>
      </w:r>
      <w:r w:rsidR="00E0454F">
        <w:t xml:space="preserve">. </w:t>
      </w:r>
    </w:p>
    <w:p w14:paraId="07C8C338" w14:textId="5B7E05EC" w:rsidR="00181D12" w:rsidRDefault="00181D12" w:rsidP="00F54FB8">
      <w:pPr>
        <w:spacing w:after="240"/>
      </w:pPr>
    </w:p>
    <w:p w14:paraId="39ED3103" w14:textId="77777777" w:rsidR="00181D12" w:rsidRDefault="00181D12" w:rsidP="00F54FB8">
      <w:pPr>
        <w:spacing w:after="240"/>
      </w:pPr>
    </w:p>
    <w:p w14:paraId="29B59C7B" w14:textId="77777777" w:rsidR="00181D12" w:rsidRDefault="00181D12" w:rsidP="00F54FB8">
      <w:pPr>
        <w:spacing w:after="240"/>
      </w:pPr>
    </w:p>
    <w:p w14:paraId="61920AF3" w14:textId="77777777" w:rsidR="00181D12" w:rsidRDefault="00181D12" w:rsidP="00F54FB8">
      <w:pPr>
        <w:spacing w:after="240"/>
      </w:pPr>
    </w:p>
    <w:p w14:paraId="28D42A07" w14:textId="0D98C2F9" w:rsidR="00B5763A" w:rsidRDefault="00B5763A" w:rsidP="00F54FB8">
      <w:pPr>
        <w:spacing w:after="240"/>
      </w:pPr>
      <w:r>
        <w:rPr>
          <w:u w:val="single"/>
        </w:rPr>
        <w:t xml:space="preserve">The new election </w:t>
      </w:r>
    </w:p>
    <w:p w14:paraId="436E5630" w14:textId="31A2C3C9" w:rsidR="00B50A58" w:rsidRPr="00B50A58" w:rsidRDefault="00B50A58" w:rsidP="00F54FB8">
      <w:pPr>
        <w:spacing w:after="240"/>
        <w:rPr>
          <w:rFonts w:eastAsiaTheme="majorEastAsia"/>
        </w:rPr>
      </w:pPr>
      <w:r>
        <w:t xml:space="preserve">To reduce compliance costs, </w:t>
      </w:r>
      <w:r>
        <w:rPr>
          <w:rFonts w:eastAsiaTheme="majorEastAsia"/>
        </w:rPr>
        <w:t>t</w:t>
      </w:r>
      <w:r w:rsidRPr="00B50A58">
        <w:rPr>
          <w:rFonts w:eastAsiaTheme="majorEastAsia"/>
        </w:rPr>
        <w:t>he Regulation allow</w:t>
      </w:r>
      <w:r w:rsidR="00251938">
        <w:rPr>
          <w:rFonts w:eastAsiaTheme="majorEastAsia"/>
        </w:rPr>
        <w:t>s</w:t>
      </w:r>
      <w:r w:rsidRPr="00B50A58">
        <w:rPr>
          <w:rFonts w:eastAsiaTheme="majorEastAsia"/>
        </w:rPr>
        <w:t xml:space="preserve"> </w:t>
      </w:r>
      <w:r>
        <w:t>taxpayers in an integrated onshore GTL operation to make an election to aggregate the relevant costs into one upstream phase.</w:t>
      </w:r>
    </w:p>
    <w:p w14:paraId="30E43523" w14:textId="32286879" w:rsidR="009D5F9D" w:rsidRDefault="009D5F9D" w:rsidP="00F54FB8">
      <w:pPr>
        <w:spacing w:after="240"/>
      </w:pPr>
      <w:r>
        <w:rPr>
          <w:i/>
        </w:rPr>
        <w:t>Making the election</w:t>
      </w:r>
    </w:p>
    <w:p w14:paraId="7B72B1A2" w14:textId="1171BBF0" w:rsidR="00566A3B" w:rsidRPr="00566A3B" w:rsidRDefault="00566A3B" w:rsidP="00F54FB8">
      <w:pPr>
        <w:spacing w:after="240"/>
        <w:rPr>
          <w:rFonts w:eastAsiaTheme="majorEastAsia"/>
        </w:rPr>
      </w:pPr>
      <w:r w:rsidRPr="00566A3B">
        <w:rPr>
          <w:rFonts w:eastAsiaTheme="majorEastAsia"/>
        </w:rPr>
        <w:t xml:space="preserve">This election is able to be made when </w:t>
      </w:r>
      <w:r w:rsidR="00F54FB8">
        <w:rPr>
          <w:rFonts w:eastAsiaTheme="majorEastAsia"/>
        </w:rPr>
        <w:t xml:space="preserve">the following </w:t>
      </w:r>
      <w:r w:rsidR="007C6D7D">
        <w:rPr>
          <w:rFonts w:eastAsiaTheme="majorEastAsia"/>
        </w:rPr>
        <w:t>criteria are</w:t>
      </w:r>
      <w:r w:rsidR="009D5F9D" w:rsidRPr="00566A3B">
        <w:rPr>
          <w:rFonts w:eastAsiaTheme="majorEastAsia"/>
        </w:rPr>
        <w:t xml:space="preserve"> </w:t>
      </w:r>
      <w:r w:rsidRPr="00566A3B">
        <w:rPr>
          <w:rFonts w:eastAsiaTheme="majorEastAsia"/>
        </w:rPr>
        <w:t>met</w:t>
      </w:r>
      <w:r w:rsidR="009D5F9D">
        <w:rPr>
          <w:rFonts w:eastAsiaTheme="majorEastAsia"/>
        </w:rPr>
        <w:t>.</w:t>
      </w:r>
    </w:p>
    <w:p w14:paraId="5A354082" w14:textId="665EE5AE" w:rsidR="009D5F9D" w:rsidRPr="009D5F9D" w:rsidRDefault="009D5F9D" w:rsidP="00F54FB8">
      <w:pPr>
        <w:pStyle w:val="OutlineNumbered1"/>
        <w:numPr>
          <w:ilvl w:val="0"/>
          <w:numId w:val="26"/>
        </w:numPr>
        <w:rPr>
          <w:rFonts w:eastAsiaTheme="majorEastAsia"/>
        </w:rPr>
      </w:pPr>
      <w:r w:rsidRPr="00F54FB8">
        <w:rPr>
          <w:rFonts w:eastAsiaTheme="majorEastAsia"/>
        </w:rPr>
        <w:t>T</w:t>
      </w:r>
      <w:r w:rsidR="00566A3B" w:rsidRPr="00F54FB8">
        <w:rPr>
          <w:rFonts w:eastAsiaTheme="majorEastAsia"/>
        </w:rPr>
        <w:t>he election must be made jointly by all the taxpayers who are participants in the operation</w:t>
      </w:r>
      <w:r w:rsidR="00E124A7" w:rsidRPr="00F54FB8">
        <w:rPr>
          <w:rFonts w:eastAsiaTheme="majorEastAsia"/>
        </w:rPr>
        <w:t xml:space="preserve"> who use the RPM</w:t>
      </w:r>
      <w:r w:rsidR="00566A3B" w:rsidRPr="00F54FB8">
        <w:rPr>
          <w:rFonts w:eastAsiaTheme="majorEastAsia"/>
        </w:rPr>
        <w:t>.</w:t>
      </w:r>
      <w:r w:rsidR="00566A3B" w:rsidRPr="009D5F9D">
        <w:rPr>
          <w:rFonts w:eastAsiaTheme="majorEastAsia"/>
        </w:rPr>
        <w:t xml:space="preserve"> </w:t>
      </w:r>
    </w:p>
    <w:p w14:paraId="2D21DB29" w14:textId="200C3EDC" w:rsidR="00E124A7" w:rsidRDefault="00566A3B" w:rsidP="00B35E73">
      <w:pPr>
        <w:spacing w:after="240"/>
        <w:ind w:left="567"/>
      </w:pPr>
      <w:r>
        <w:rPr>
          <w:rFonts w:eastAsiaTheme="majorEastAsia"/>
        </w:rPr>
        <w:t>Without this requirement, different taxpayers who are participants in the same operation would have phase points that do not align, meaning that costs would not be treated consistently between taxpayers in an operation.</w:t>
      </w:r>
      <w:r w:rsidR="00E124A7">
        <w:rPr>
          <w:rFonts w:eastAsiaTheme="majorEastAsia"/>
        </w:rPr>
        <w:t xml:space="preserve"> </w:t>
      </w:r>
      <w:r>
        <w:t>Th</w:t>
      </w:r>
      <w:r w:rsidR="00C56A3B">
        <w:t>e</w:t>
      </w:r>
      <w:r>
        <w:t xml:space="preserve"> requirement to make the election jointly will also avoid confusion regarding the phase points</w:t>
      </w:r>
      <w:r w:rsidR="004E65C9">
        <w:t xml:space="preserve"> and related record keeping matters</w:t>
      </w:r>
      <w:r>
        <w:t xml:space="preserve"> that are notified to the Commissioner under subsections 9(5) and 9(7).</w:t>
      </w:r>
      <w:r w:rsidR="00E53DF6">
        <w:t xml:space="preserve"> </w:t>
      </w:r>
      <w:r w:rsidR="00E124A7" w:rsidRPr="00F54FB8">
        <w:rPr>
          <w:rFonts w:eastAsiaTheme="majorEastAsia"/>
          <w:b/>
          <w:i/>
          <w:sz w:val="20"/>
        </w:rPr>
        <w:t>[Paragraph </w:t>
      </w:r>
      <w:r w:rsidR="00E53DF6" w:rsidRPr="00F54FB8">
        <w:rPr>
          <w:rFonts w:eastAsiaTheme="majorEastAsia"/>
          <w:b/>
          <w:i/>
          <w:sz w:val="20"/>
        </w:rPr>
        <w:t>48(2)(a)]</w:t>
      </w:r>
      <w:r w:rsidRPr="00F54FB8">
        <w:rPr>
          <w:sz w:val="20"/>
        </w:rPr>
        <w:t xml:space="preserve"> </w:t>
      </w:r>
    </w:p>
    <w:p w14:paraId="0E0698F4" w14:textId="10D42E67" w:rsidR="009D5F9D" w:rsidRDefault="00151B14" w:rsidP="00B35E73">
      <w:pPr>
        <w:spacing w:after="240"/>
        <w:ind w:left="567"/>
        <w:rPr>
          <w:szCs w:val="22"/>
        </w:rPr>
      </w:pPr>
      <w:r w:rsidRPr="00E124A7">
        <w:rPr>
          <w:szCs w:val="22"/>
        </w:rPr>
        <w:t>Further</w:t>
      </w:r>
      <w:r w:rsidR="00E124A7">
        <w:rPr>
          <w:szCs w:val="22"/>
        </w:rPr>
        <w:t>more,</w:t>
      </w:r>
      <w:r w:rsidRPr="00E124A7">
        <w:rPr>
          <w:szCs w:val="22"/>
        </w:rPr>
        <w:t xml:space="preserve"> changing the number of phases in the upstream stage could (depending on the circumstances and the operation’s structure) potentially affect who is considered to be a ‘participant’</w:t>
      </w:r>
      <w:r w:rsidR="00BC21C9" w:rsidRPr="00E124A7">
        <w:rPr>
          <w:szCs w:val="22"/>
        </w:rPr>
        <w:t>. Th</w:t>
      </w:r>
      <w:r w:rsidR="00263C52">
        <w:rPr>
          <w:szCs w:val="22"/>
        </w:rPr>
        <w:t>e</w:t>
      </w:r>
      <w:r w:rsidR="00BC21C9" w:rsidRPr="00E124A7">
        <w:rPr>
          <w:szCs w:val="22"/>
        </w:rPr>
        <w:t xml:space="preserve"> requirement for the election to be jointly made by all taxpayers will avoid confusion as to who is a participant in an operation</w:t>
      </w:r>
      <w:r w:rsidR="009D5F9D">
        <w:rPr>
          <w:szCs w:val="22"/>
        </w:rPr>
        <w:t>.</w:t>
      </w:r>
    </w:p>
    <w:p w14:paraId="6593BBA3" w14:textId="77777777" w:rsidR="007C6D7D" w:rsidRDefault="009D5F9D" w:rsidP="007C6D7D">
      <w:pPr>
        <w:pStyle w:val="OutlineNumbered1"/>
        <w:rPr>
          <w:rFonts w:eastAsiaTheme="majorEastAsia"/>
        </w:rPr>
      </w:pPr>
      <w:r w:rsidRPr="00F54FB8">
        <w:rPr>
          <w:rFonts w:eastAsiaTheme="majorEastAsia"/>
        </w:rPr>
        <w:t>T</w:t>
      </w:r>
      <w:r w:rsidR="00566A3B" w:rsidRPr="00F54FB8">
        <w:rPr>
          <w:rFonts w:eastAsiaTheme="majorEastAsia"/>
        </w:rPr>
        <w:t>he election may only be made where the assessable petroleum receipts of all of the taxpayers are to be worked out under section 21.</w:t>
      </w:r>
      <w:r w:rsidR="00566A3B" w:rsidRPr="00E124A7">
        <w:rPr>
          <w:rFonts w:eastAsiaTheme="majorEastAsia"/>
        </w:rPr>
        <w:t xml:space="preserve"> </w:t>
      </w:r>
    </w:p>
    <w:p w14:paraId="5795243B" w14:textId="3704ECE7" w:rsidR="007C6D7D" w:rsidRPr="007C6D7D" w:rsidRDefault="007C6D7D" w:rsidP="00B35E73">
      <w:pPr>
        <w:pStyle w:val="OutlineNumbered1"/>
        <w:numPr>
          <w:ilvl w:val="0"/>
          <w:numId w:val="0"/>
        </w:numPr>
        <w:ind w:left="567"/>
        <w:rPr>
          <w:b/>
          <w:i/>
          <w:sz w:val="20"/>
        </w:rPr>
      </w:pPr>
      <w:r w:rsidRPr="00E124A7">
        <w:rPr>
          <w:rFonts w:eastAsiaTheme="majorEastAsia"/>
        </w:rPr>
        <w:t xml:space="preserve">Section 21 provides for the working out of assessable petroleum receipts </w:t>
      </w:r>
      <w:r>
        <w:t xml:space="preserve">in cases where project natural gas produced from petroleum recovered from an onshore petroleum project is sold via a non-arm’s length transaction for the purposes of paragraph 24(1)(f) of the </w:t>
      </w:r>
      <w:r w:rsidR="009E6ED4">
        <w:t>PRRTAA</w:t>
      </w:r>
      <w:r>
        <w:t xml:space="preserve">. This means that the election cannot be made where a taxpayer in an operation has assessable petroleum receipts that are to be worked out under section 19 or 20, with </w:t>
      </w:r>
      <w:r w:rsidR="00301647">
        <w:t xml:space="preserve">respect to </w:t>
      </w:r>
      <w:r>
        <w:t xml:space="preserve">project sales gas. </w:t>
      </w:r>
      <w:r w:rsidR="0000272D">
        <w:rPr>
          <w:b/>
          <w:i/>
          <w:sz w:val="20"/>
        </w:rPr>
        <w:t>[Paragraph </w:t>
      </w:r>
      <w:r w:rsidRPr="007C6D7D">
        <w:rPr>
          <w:b/>
          <w:i/>
          <w:sz w:val="20"/>
        </w:rPr>
        <w:t>48(1)(b)]</w:t>
      </w:r>
    </w:p>
    <w:p w14:paraId="42D11A30" w14:textId="0A351062" w:rsidR="009D5F9D" w:rsidRPr="007C6D7D" w:rsidRDefault="009D5F9D" w:rsidP="007C6D7D">
      <w:pPr>
        <w:pStyle w:val="OutlineNumbered1"/>
        <w:rPr>
          <w:rFonts w:eastAsiaTheme="majorEastAsia"/>
        </w:rPr>
      </w:pPr>
      <w:r w:rsidRPr="007C6D7D">
        <w:rPr>
          <w:rFonts w:eastAsiaTheme="majorEastAsia"/>
        </w:rPr>
        <w:t xml:space="preserve">The election must be made by a particular time and </w:t>
      </w:r>
      <w:r w:rsidR="00301647">
        <w:rPr>
          <w:rFonts w:eastAsiaTheme="majorEastAsia"/>
        </w:rPr>
        <w:t>is irrevocable</w:t>
      </w:r>
      <w:r w:rsidRPr="007C6D7D">
        <w:rPr>
          <w:rFonts w:eastAsiaTheme="majorEastAsia"/>
        </w:rPr>
        <w:t>.</w:t>
      </w:r>
    </w:p>
    <w:p w14:paraId="7DDD4968" w14:textId="7AC92984" w:rsidR="0033436B" w:rsidRPr="0033436B" w:rsidRDefault="0033436B" w:rsidP="00B35E73">
      <w:pPr>
        <w:spacing w:after="240"/>
        <w:ind w:left="567"/>
        <w:rPr>
          <w:rFonts w:eastAsiaTheme="majorEastAsia"/>
        </w:rPr>
      </w:pPr>
      <w:r w:rsidRPr="0033436B">
        <w:rPr>
          <w:rFonts w:eastAsiaTheme="majorEastAsia"/>
        </w:rPr>
        <w:t>The election must be given to the Commissioner in the financial year before the production year for the operation, or by a later day that the Commissioner allows. Once the election</w:t>
      </w:r>
      <w:r w:rsidR="0000272D">
        <w:rPr>
          <w:rFonts w:eastAsiaTheme="majorEastAsia"/>
        </w:rPr>
        <w:t xml:space="preserve"> for an integrated operation</w:t>
      </w:r>
      <w:r w:rsidRPr="0033436B">
        <w:rPr>
          <w:rFonts w:eastAsiaTheme="majorEastAsia"/>
        </w:rPr>
        <w:t xml:space="preserve"> is made it is irrevocable</w:t>
      </w:r>
      <w:r w:rsidR="0000272D">
        <w:rPr>
          <w:rFonts w:eastAsiaTheme="majorEastAsia"/>
        </w:rPr>
        <w:t>,</w:t>
      </w:r>
      <w:r w:rsidR="00301647">
        <w:rPr>
          <w:rFonts w:eastAsiaTheme="majorEastAsia"/>
        </w:rPr>
        <w:t xml:space="preserve"> and will apply with respect to the integrated operation</w:t>
      </w:r>
      <w:r w:rsidR="0000272D">
        <w:rPr>
          <w:rFonts w:eastAsiaTheme="majorEastAsia"/>
        </w:rPr>
        <w:t xml:space="preserve"> notwithstanding that the taxpayers in that operation change</w:t>
      </w:r>
      <w:r w:rsidRPr="0033436B">
        <w:rPr>
          <w:rFonts w:eastAsiaTheme="majorEastAsia"/>
        </w:rPr>
        <w:t xml:space="preserve">. The election must be in the form approved by the Commissioner. </w:t>
      </w:r>
      <w:r w:rsidRPr="007C6D7D">
        <w:rPr>
          <w:rFonts w:eastAsiaTheme="majorEastAsia"/>
          <w:b/>
          <w:i/>
          <w:sz w:val="20"/>
        </w:rPr>
        <w:t>[Paragraphs </w:t>
      </w:r>
      <w:r w:rsidR="0000272D">
        <w:rPr>
          <w:rFonts w:eastAsiaTheme="majorEastAsia"/>
          <w:b/>
          <w:i/>
          <w:sz w:val="20"/>
        </w:rPr>
        <w:t>48(2)(b),</w:t>
      </w:r>
      <w:r w:rsidR="00301647">
        <w:rPr>
          <w:rFonts w:eastAsiaTheme="majorEastAsia"/>
          <w:b/>
          <w:i/>
          <w:sz w:val="20"/>
        </w:rPr>
        <w:t xml:space="preserve"> </w:t>
      </w:r>
      <w:r w:rsidRPr="007C6D7D">
        <w:rPr>
          <w:rFonts w:eastAsiaTheme="majorEastAsia"/>
          <w:b/>
          <w:i/>
          <w:sz w:val="20"/>
        </w:rPr>
        <w:t>(</w:t>
      </w:r>
      <w:r w:rsidR="00553574" w:rsidRPr="007C6D7D">
        <w:rPr>
          <w:rFonts w:eastAsiaTheme="majorEastAsia"/>
          <w:b/>
          <w:i/>
          <w:sz w:val="20"/>
        </w:rPr>
        <w:t>c</w:t>
      </w:r>
      <w:r w:rsidRPr="007C6D7D">
        <w:rPr>
          <w:rFonts w:eastAsiaTheme="majorEastAsia"/>
          <w:b/>
          <w:i/>
          <w:sz w:val="20"/>
        </w:rPr>
        <w:t xml:space="preserve">), </w:t>
      </w:r>
      <w:r w:rsidR="00301647">
        <w:rPr>
          <w:rFonts w:eastAsiaTheme="majorEastAsia"/>
          <w:b/>
          <w:i/>
          <w:sz w:val="20"/>
        </w:rPr>
        <w:t xml:space="preserve">and </w:t>
      </w:r>
      <w:r w:rsidRPr="007C6D7D">
        <w:rPr>
          <w:rFonts w:eastAsiaTheme="majorEastAsia"/>
          <w:b/>
          <w:i/>
          <w:sz w:val="20"/>
        </w:rPr>
        <w:t>(</w:t>
      </w:r>
      <w:r w:rsidR="00553574" w:rsidRPr="007C6D7D">
        <w:rPr>
          <w:rFonts w:eastAsiaTheme="majorEastAsia"/>
          <w:b/>
          <w:i/>
          <w:sz w:val="20"/>
        </w:rPr>
        <w:t>d</w:t>
      </w:r>
      <w:r w:rsidR="0000272D">
        <w:rPr>
          <w:rFonts w:eastAsiaTheme="majorEastAsia"/>
          <w:b/>
          <w:i/>
          <w:sz w:val="20"/>
        </w:rPr>
        <w:t>)</w:t>
      </w:r>
      <w:r w:rsidRPr="007C6D7D">
        <w:rPr>
          <w:rFonts w:eastAsiaTheme="majorEastAsia"/>
          <w:b/>
          <w:i/>
          <w:sz w:val="20"/>
        </w:rPr>
        <w:t>]</w:t>
      </w:r>
    </w:p>
    <w:p w14:paraId="12DA26FF" w14:textId="4F9205AF" w:rsidR="00752D52" w:rsidRDefault="00566A3B" w:rsidP="00B35E73">
      <w:pPr>
        <w:spacing w:after="240"/>
        <w:ind w:left="567"/>
        <w:rPr>
          <w:szCs w:val="24"/>
        </w:rPr>
      </w:pPr>
      <w:r w:rsidRPr="00566A3B">
        <w:rPr>
          <w:szCs w:val="24"/>
        </w:rPr>
        <w:t xml:space="preserve">The election only applies for limited </w:t>
      </w:r>
      <w:r w:rsidR="00F4540F">
        <w:rPr>
          <w:szCs w:val="24"/>
        </w:rPr>
        <w:t>purposes. For example, t</w:t>
      </w:r>
      <w:r w:rsidRPr="00752D52">
        <w:rPr>
          <w:szCs w:val="24"/>
        </w:rPr>
        <w:t>he election does not relieve a taxpayer calculating an RPM from having to obtain information about the costs of the other participants that sold project natural g</w:t>
      </w:r>
      <w:r w:rsidR="00752D52" w:rsidRPr="00752D52">
        <w:rPr>
          <w:szCs w:val="24"/>
        </w:rPr>
        <w:t>as to an aggregator.</w:t>
      </w:r>
    </w:p>
    <w:p w14:paraId="52E27584" w14:textId="77777777" w:rsidR="00181D12" w:rsidRPr="00F37054" w:rsidRDefault="00181D12" w:rsidP="00B35E73">
      <w:pPr>
        <w:spacing w:after="240"/>
        <w:ind w:left="567"/>
        <w:rPr>
          <w:b/>
          <w:u w:val="single"/>
        </w:rPr>
      </w:pPr>
    </w:p>
    <w:p w14:paraId="5A0A7451" w14:textId="77777777" w:rsidR="007C6D7D" w:rsidRDefault="00E53DF6" w:rsidP="009D5F9D">
      <w:pPr>
        <w:spacing w:after="240"/>
        <w:ind w:right="-51"/>
        <w:rPr>
          <w:rFonts w:eastAsiaTheme="majorEastAsia"/>
          <w:i/>
        </w:rPr>
      </w:pPr>
      <w:r w:rsidRPr="007C6D7D">
        <w:rPr>
          <w:rFonts w:eastAsiaTheme="majorEastAsia"/>
          <w:i/>
        </w:rPr>
        <w:t>No Energy Coefficient applied when election is made</w:t>
      </w:r>
    </w:p>
    <w:p w14:paraId="6FC219A3" w14:textId="5E1D2742" w:rsidR="00E53DF6" w:rsidRDefault="00E53DF6" w:rsidP="009D5F9D">
      <w:pPr>
        <w:spacing w:after="240"/>
        <w:ind w:right="-51"/>
        <w:rPr>
          <w:szCs w:val="24"/>
        </w:rPr>
      </w:pPr>
      <w:r>
        <w:rPr>
          <w:szCs w:val="24"/>
        </w:rPr>
        <w:t xml:space="preserve">Where an election is made under section 48 to use one upstream phase, </w:t>
      </w:r>
      <w:r w:rsidR="00E0454F">
        <w:rPr>
          <w:szCs w:val="24"/>
        </w:rPr>
        <w:t xml:space="preserve">the energy coefficient is not applied for this phase. </w:t>
      </w:r>
      <w:r>
        <w:rPr>
          <w:szCs w:val="24"/>
        </w:rPr>
        <w:t xml:space="preserve">  </w:t>
      </w:r>
    </w:p>
    <w:p w14:paraId="50AEA35D" w14:textId="3737DC81" w:rsidR="00E0454F" w:rsidRDefault="00E0454F" w:rsidP="009D5F9D">
      <w:pPr>
        <w:spacing w:after="240"/>
        <w:ind w:right="-51"/>
        <w:rPr>
          <w:szCs w:val="24"/>
        </w:rPr>
      </w:pPr>
      <w:r>
        <w:rPr>
          <w:szCs w:val="24"/>
        </w:rPr>
        <w:t>Normally, where non-project product is processed in a phase, the costs attributable to that phase are reduced</w:t>
      </w:r>
      <w:r w:rsidR="00B1579F">
        <w:rPr>
          <w:szCs w:val="24"/>
        </w:rPr>
        <w:t xml:space="preserve"> by means of the energy coefficient</w:t>
      </w:r>
      <w:r>
        <w:rPr>
          <w:szCs w:val="24"/>
        </w:rPr>
        <w:t xml:space="preserve"> so that only costs attributable to the project product are factored into the RPM. </w:t>
      </w:r>
    </w:p>
    <w:p w14:paraId="20ADAFA5" w14:textId="51F3C114" w:rsidR="00A4433B" w:rsidRPr="004F0717" w:rsidRDefault="00E0454F" w:rsidP="003C15C8">
      <w:pPr>
        <w:spacing w:after="240"/>
        <w:rPr>
          <w:b/>
        </w:rPr>
      </w:pPr>
      <w:r w:rsidRPr="00752D52">
        <w:rPr>
          <w:szCs w:val="24"/>
        </w:rPr>
        <w:t xml:space="preserve">However, where an election is made to use one upstream phase (under section 48), </w:t>
      </w:r>
      <w:r>
        <w:rPr>
          <w:szCs w:val="24"/>
        </w:rPr>
        <w:t>no energy coefficient for this phase is applied</w:t>
      </w:r>
      <w:r w:rsidRPr="00752D52">
        <w:rPr>
          <w:szCs w:val="24"/>
        </w:rPr>
        <w:t>. This is because, in the absence of the identification of all the points at which the ratio of project product to non-project product changes, it is not possible to come to an energy coefficient that accurately reflects the costs that are attributable to the project product and those that are attributable to the non-project product</w:t>
      </w:r>
      <w:r>
        <w:rPr>
          <w:szCs w:val="24"/>
        </w:rPr>
        <w:t>.</w:t>
      </w:r>
      <w:r w:rsidRPr="00752D52">
        <w:rPr>
          <w:szCs w:val="24"/>
        </w:rPr>
        <w:t xml:space="preserve"> </w:t>
      </w:r>
      <w:r w:rsidRPr="007C6D7D">
        <w:rPr>
          <w:b/>
          <w:i/>
          <w:sz w:val="20"/>
        </w:rPr>
        <w:t>[</w:t>
      </w:r>
      <w:r w:rsidR="0000272D">
        <w:rPr>
          <w:b/>
          <w:i/>
          <w:sz w:val="20"/>
        </w:rPr>
        <w:t>Subsection</w:t>
      </w:r>
      <w:r w:rsidRPr="007C6D7D">
        <w:rPr>
          <w:b/>
          <w:i/>
          <w:sz w:val="20"/>
        </w:rPr>
        <w:t xml:space="preserve"> 43(2)]</w:t>
      </w:r>
      <w:r w:rsidRPr="007C6D7D">
        <w:rPr>
          <w:sz w:val="20"/>
          <w:szCs w:val="24"/>
        </w:rPr>
        <w:t xml:space="preserve"> </w:t>
      </w:r>
    </w:p>
    <w:p w14:paraId="5DD75091" w14:textId="0EE25F0F" w:rsidR="003C15C8" w:rsidRPr="008109DD" w:rsidRDefault="003C15C8" w:rsidP="003C15C8">
      <w:pPr>
        <w:spacing w:after="240"/>
        <w:rPr>
          <w:b/>
          <w:szCs w:val="24"/>
        </w:rPr>
      </w:pPr>
      <w:r w:rsidRPr="00560D90">
        <w:rPr>
          <w:b/>
          <w:szCs w:val="24"/>
        </w:rPr>
        <w:t xml:space="preserve">Change </w:t>
      </w:r>
      <w:r w:rsidR="005866D6">
        <w:rPr>
          <w:b/>
          <w:szCs w:val="24"/>
        </w:rPr>
        <w:t>2</w:t>
      </w:r>
      <w:r w:rsidRPr="00560D90">
        <w:rPr>
          <w:b/>
          <w:szCs w:val="24"/>
        </w:rPr>
        <w:t xml:space="preserve"> – Election to use the depreciated replacement cost method need only be made by taxpayers using RPM (for </w:t>
      </w:r>
      <w:r w:rsidRPr="008109DD">
        <w:rPr>
          <w:b/>
          <w:szCs w:val="24"/>
        </w:rPr>
        <w:t>integrated onshore operations)</w:t>
      </w:r>
    </w:p>
    <w:p w14:paraId="283AB5FA" w14:textId="77777777" w:rsidR="003C15C8" w:rsidRPr="008109DD" w:rsidRDefault="003C15C8" w:rsidP="003C15C8">
      <w:pPr>
        <w:pStyle w:val="empara"/>
        <w:spacing w:before="0" w:beforeAutospacing="0" w:after="240" w:afterAutospacing="0"/>
      </w:pPr>
      <w:r w:rsidRPr="00560D90">
        <w:t xml:space="preserve">The Regulation allows an election to use the depreciated replacement cost method to be made jointly by the participants in an integrated onshore operation that are taxpayers that use the RPM. This is a change from the 2005 Regulations, which require that the election be jointly made by all of the participants in the operation. </w:t>
      </w:r>
      <w:r w:rsidRPr="0000272D">
        <w:rPr>
          <w:b/>
          <w:i/>
          <w:sz w:val="20"/>
          <w:szCs w:val="20"/>
        </w:rPr>
        <w:t>[Paragraph 51(2)(a)]</w:t>
      </w:r>
      <w:r w:rsidRPr="00121036">
        <w:t xml:space="preserve"> </w:t>
      </w:r>
      <w:r w:rsidRPr="00560D90">
        <w:t xml:space="preserve"> </w:t>
      </w:r>
    </w:p>
    <w:p w14:paraId="6F63EF7D" w14:textId="77777777" w:rsidR="003C15C8" w:rsidRPr="00560D90" w:rsidRDefault="003C15C8" w:rsidP="003C15C8">
      <w:pPr>
        <w:pStyle w:val="empara"/>
        <w:spacing w:before="0" w:beforeAutospacing="0" w:after="240" w:afterAutospacing="0"/>
        <w:rPr>
          <w:u w:val="single"/>
        </w:rPr>
      </w:pPr>
      <w:r w:rsidRPr="00560D90">
        <w:rPr>
          <w:u w:val="single"/>
        </w:rPr>
        <w:t>Background</w:t>
      </w:r>
    </w:p>
    <w:p w14:paraId="67E78D09" w14:textId="59155B1D" w:rsidR="003C15C8" w:rsidRPr="00560D90" w:rsidRDefault="003C15C8" w:rsidP="003C15C8">
      <w:pPr>
        <w:pStyle w:val="empara"/>
        <w:spacing w:before="0" w:beforeAutospacing="0" w:after="240" w:afterAutospacing="0"/>
      </w:pPr>
      <w:r w:rsidRPr="00560D90">
        <w:t>The 2013 amendments extended the 2005 Regulations to integrated onshore operations. Those amendments allowed participants in an integrated onshore operation to elect to use the depreciated replacement cost method to determine the included cost of units or property of the operation tha</w:t>
      </w:r>
      <w:r w:rsidR="00427707">
        <w:t>t were completed prior to 2 May </w:t>
      </w:r>
      <w:r w:rsidRPr="00560D90">
        <w:t xml:space="preserve">2010. </w:t>
      </w:r>
    </w:p>
    <w:p w14:paraId="0BBB3362" w14:textId="486A4DF0" w:rsidR="00263C52" w:rsidRPr="00560D90" w:rsidRDefault="003C15C8" w:rsidP="003C15C8">
      <w:pPr>
        <w:pStyle w:val="empara"/>
        <w:spacing w:before="0" w:beforeAutospacing="0" w:after="240" w:afterAutospacing="0"/>
      </w:pPr>
      <w:r w:rsidRPr="00560D90">
        <w:t>This recognise</w:t>
      </w:r>
      <w:r>
        <w:t>s</w:t>
      </w:r>
      <w:r w:rsidRPr="00560D90">
        <w:t xml:space="preserve"> that integrated onshore operations being developed may incorporate petroleum projects that have been operating for a significant period of time prior to becoming part of the integrated operation, and for which there are insufficient records to verify historic costs.</w:t>
      </w:r>
    </w:p>
    <w:p w14:paraId="4B49BF70" w14:textId="77777777" w:rsidR="003C15C8" w:rsidRPr="00560D90" w:rsidRDefault="003C15C8" w:rsidP="003C15C8">
      <w:pPr>
        <w:pStyle w:val="empara"/>
        <w:spacing w:before="0" w:beforeAutospacing="0" w:after="240" w:afterAutospacing="0"/>
      </w:pPr>
      <w:r w:rsidRPr="00560D90">
        <w:rPr>
          <w:u w:val="single"/>
        </w:rPr>
        <w:t xml:space="preserve">Consultation </w:t>
      </w:r>
    </w:p>
    <w:p w14:paraId="67421868" w14:textId="77777777" w:rsidR="003C15C8" w:rsidRPr="00560D90" w:rsidRDefault="003C15C8" w:rsidP="003C15C8">
      <w:pPr>
        <w:pStyle w:val="empara"/>
        <w:spacing w:before="0" w:beforeAutospacing="0" w:after="240" w:afterAutospacing="0"/>
      </w:pPr>
      <w:r w:rsidRPr="00560D90">
        <w:t>In the consultation process, industry identified that the depreciated replacement cost method was difficult to apply because of the requirement that it be made jointly by all of the participants in the operation.</w:t>
      </w:r>
    </w:p>
    <w:p w14:paraId="6DAF3D1F" w14:textId="03C90419" w:rsidR="003C15C8" w:rsidRPr="008109DD" w:rsidRDefault="003C15C8" w:rsidP="003C15C8">
      <w:pPr>
        <w:pStyle w:val="empara"/>
        <w:spacing w:before="0" w:beforeAutospacing="0" w:after="240" w:afterAutospacing="0"/>
      </w:pPr>
      <w:r w:rsidRPr="00560D90">
        <w:t xml:space="preserve">For integrated </w:t>
      </w:r>
      <w:r>
        <w:t xml:space="preserve">onshore </w:t>
      </w:r>
      <w:r w:rsidRPr="008109DD">
        <w:t>operations, it may be practically or commercially difficult for a taxpayer to obtain a</w:t>
      </w:r>
      <w:r w:rsidR="00263C52">
        <w:t>greement to make the</w:t>
      </w:r>
      <w:r w:rsidRPr="008109DD">
        <w:t xml:space="preserve"> election from all participants in the operation. </w:t>
      </w:r>
    </w:p>
    <w:p w14:paraId="76C8CB50" w14:textId="0D4DAFF5" w:rsidR="003C15C8" w:rsidRPr="00560D90" w:rsidRDefault="003C15C8" w:rsidP="003C15C8">
      <w:pPr>
        <w:pStyle w:val="empara"/>
        <w:spacing w:before="0" w:beforeAutospacing="0" w:after="240" w:afterAutospacing="0"/>
      </w:pPr>
      <w:r w:rsidRPr="00560D90">
        <w:t>For example, onshore GTL operations often have multiple related and unrelated participants. The structure of these operations may involve a number of petroleum projects selling natural gas to a special purpose entity referred to as an ‘aggregator’ in order to source a sufficient supply of gas for the downstream liquefaction facilities as well as to streamline gas processing services and transportation. Furthermore, some participants that are taxpayers may have APAs, and therefore the election will not be relevant to them.</w:t>
      </w:r>
    </w:p>
    <w:p w14:paraId="102CC26A" w14:textId="32C64A4B" w:rsidR="003C15C8" w:rsidRPr="00560D90" w:rsidRDefault="00263C52" w:rsidP="003C15C8">
      <w:pPr>
        <w:pStyle w:val="empara"/>
        <w:spacing w:before="0" w:beforeAutospacing="0" w:after="240" w:afterAutospacing="0"/>
      </w:pPr>
      <w:r>
        <w:t>The current r</w:t>
      </w:r>
      <w:r w:rsidR="003C15C8" w:rsidRPr="00560D90">
        <w:t>equir</w:t>
      </w:r>
      <w:r>
        <w:t>ement that</w:t>
      </w:r>
      <w:r w:rsidR="003C15C8" w:rsidRPr="00560D90">
        <w:t xml:space="preserve"> all participants jointly make the election means that this option </w:t>
      </w:r>
      <w:r>
        <w:t>can</w:t>
      </w:r>
      <w:r w:rsidRPr="00560D90">
        <w:t xml:space="preserve"> </w:t>
      </w:r>
      <w:r w:rsidR="003C15C8" w:rsidRPr="00560D90">
        <w:t>be unavailable to otherwise eligible taxpayers.</w:t>
      </w:r>
    </w:p>
    <w:p w14:paraId="202B03D9" w14:textId="798145E7" w:rsidR="003C15C8" w:rsidRPr="00121036" w:rsidRDefault="00301647" w:rsidP="003C15C8">
      <w:pPr>
        <w:spacing w:after="240"/>
        <w:rPr>
          <w:szCs w:val="24"/>
        </w:rPr>
      </w:pPr>
      <w:r>
        <w:rPr>
          <w:szCs w:val="24"/>
          <w:u w:val="single"/>
        </w:rPr>
        <w:t>Changes to the election</w:t>
      </w:r>
    </w:p>
    <w:p w14:paraId="2D3F5D2C" w14:textId="36D61069" w:rsidR="003C15C8" w:rsidRPr="008109DD" w:rsidRDefault="003C15C8" w:rsidP="003C15C8">
      <w:pPr>
        <w:spacing w:after="240"/>
        <w:rPr>
          <w:szCs w:val="24"/>
        </w:rPr>
      </w:pPr>
      <w:r w:rsidRPr="00121036">
        <w:rPr>
          <w:szCs w:val="24"/>
        </w:rPr>
        <w:t xml:space="preserve">The Regulation allows the election to be made by all of the participants that are taxpayers in the relevant operation that use the RPM. This means that only the taxpayers affected </w:t>
      </w:r>
      <w:r w:rsidRPr="00560D90">
        <w:rPr>
          <w:szCs w:val="24"/>
        </w:rPr>
        <w:t>will need to make the election.</w:t>
      </w:r>
      <w:r w:rsidRPr="008109DD">
        <w:rPr>
          <w:szCs w:val="24"/>
        </w:rPr>
        <w:t xml:space="preserve"> The election in the Regulation better aligns with the structure of integrated </w:t>
      </w:r>
      <w:r>
        <w:rPr>
          <w:szCs w:val="24"/>
        </w:rPr>
        <w:t xml:space="preserve">onshore </w:t>
      </w:r>
      <w:r w:rsidRPr="008109DD">
        <w:rPr>
          <w:szCs w:val="24"/>
        </w:rPr>
        <w:t>operations, and reduces compliance costs for industry.</w:t>
      </w:r>
      <w:r w:rsidR="00301647">
        <w:rPr>
          <w:szCs w:val="24"/>
        </w:rPr>
        <w:t xml:space="preserve"> </w:t>
      </w:r>
      <w:r w:rsidR="00301647" w:rsidRPr="0000272D">
        <w:rPr>
          <w:b/>
          <w:i/>
          <w:sz w:val="20"/>
        </w:rPr>
        <w:t>[Paragraph 51(2)(a)]</w:t>
      </w:r>
      <w:r w:rsidR="00301647" w:rsidRPr="00121036">
        <w:t xml:space="preserve"> </w:t>
      </w:r>
      <w:r w:rsidR="00301647" w:rsidRPr="00560D90">
        <w:t xml:space="preserve"> </w:t>
      </w:r>
      <w:r w:rsidRPr="008109DD">
        <w:rPr>
          <w:szCs w:val="24"/>
        </w:rPr>
        <w:t xml:space="preserve">  </w:t>
      </w:r>
    </w:p>
    <w:p w14:paraId="72E62371" w14:textId="7C1CEE4B" w:rsidR="003C15C8" w:rsidRDefault="003C15C8" w:rsidP="003C15C8">
      <w:pPr>
        <w:rPr>
          <w:szCs w:val="24"/>
        </w:rPr>
      </w:pPr>
      <w:r w:rsidRPr="00121036">
        <w:rPr>
          <w:szCs w:val="24"/>
        </w:rPr>
        <w:t>Taxpayers that make this election will need to make sure that they are able to report the included capital costs of the operation, including those of all of the participants using the depreciated replacement cost method. The fact that this election need not be made by all participants does not affect the need for a taxpayer using the RPM to obtain all the relevant</w:t>
      </w:r>
      <w:r w:rsidRPr="00560D90">
        <w:rPr>
          <w:szCs w:val="24"/>
        </w:rPr>
        <w:t xml:space="preserve"> cost information required to use the RPM.</w:t>
      </w:r>
    </w:p>
    <w:p w14:paraId="07CED5D7" w14:textId="77777777" w:rsidR="003C15C8" w:rsidRPr="00121036" w:rsidRDefault="003C15C8" w:rsidP="003C15C8">
      <w:pPr>
        <w:rPr>
          <w:szCs w:val="24"/>
        </w:rPr>
      </w:pPr>
    </w:p>
    <w:p w14:paraId="5069ABFB" w14:textId="53E1B622" w:rsidR="001E64EF" w:rsidRPr="000F1491" w:rsidRDefault="00076C1B" w:rsidP="00F72A88">
      <w:pPr>
        <w:spacing w:after="240"/>
        <w:rPr>
          <w:b/>
        </w:rPr>
      </w:pPr>
      <w:r>
        <w:rPr>
          <w:b/>
        </w:rPr>
        <w:t>Change</w:t>
      </w:r>
      <w:r w:rsidR="008174AB" w:rsidRPr="000F1491">
        <w:rPr>
          <w:b/>
        </w:rPr>
        <w:t xml:space="preserve"> </w:t>
      </w:r>
      <w:r w:rsidR="005866D6">
        <w:rPr>
          <w:b/>
        </w:rPr>
        <w:t>3</w:t>
      </w:r>
      <w:r w:rsidR="001E64EF" w:rsidRPr="000F1491">
        <w:rPr>
          <w:b/>
        </w:rPr>
        <w:t xml:space="preserve"> – </w:t>
      </w:r>
      <w:r w:rsidR="00251938">
        <w:rPr>
          <w:b/>
        </w:rPr>
        <w:t>E</w:t>
      </w:r>
      <w:r w:rsidR="00251938" w:rsidRPr="000F1491">
        <w:rPr>
          <w:b/>
        </w:rPr>
        <w:t xml:space="preserve">lection to use new participant-based formula </w:t>
      </w:r>
      <w:r w:rsidR="00251938">
        <w:rPr>
          <w:b/>
        </w:rPr>
        <w:t>for the e</w:t>
      </w:r>
      <w:r w:rsidR="0033436B" w:rsidRPr="000F1491">
        <w:rPr>
          <w:b/>
        </w:rPr>
        <w:t xml:space="preserve">nd </w:t>
      </w:r>
      <w:r w:rsidR="00251938">
        <w:rPr>
          <w:b/>
        </w:rPr>
        <w:t>p</w:t>
      </w:r>
      <w:r w:rsidR="0033436B" w:rsidRPr="000F1491">
        <w:rPr>
          <w:b/>
        </w:rPr>
        <w:t xml:space="preserve">roduct </w:t>
      </w:r>
      <w:r w:rsidR="00251938">
        <w:rPr>
          <w:b/>
        </w:rPr>
        <w:t>v</w:t>
      </w:r>
      <w:r w:rsidR="0033436B" w:rsidRPr="000F1491">
        <w:rPr>
          <w:b/>
        </w:rPr>
        <w:t>alue (</w:t>
      </w:r>
      <w:proofErr w:type="spellStart"/>
      <w:r w:rsidR="0033436B" w:rsidRPr="000F1491">
        <w:rPr>
          <w:b/>
        </w:rPr>
        <w:t>EPVal</w:t>
      </w:r>
      <w:proofErr w:type="spellEnd"/>
      <w:r w:rsidR="0033436B" w:rsidRPr="000F1491">
        <w:rPr>
          <w:b/>
        </w:rPr>
        <w:t>)</w:t>
      </w:r>
    </w:p>
    <w:p w14:paraId="0C082508" w14:textId="0E341689" w:rsidR="009B3AD4" w:rsidRDefault="009B3AD4" w:rsidP="00F72A88">
      <w:pPr>
        <w:spacing w:after="240"/>
        <w:rPr>
          <w:rFonts w:eastAsiaTheme="majorEastAsia"/>
        </w:rPr>
      </w:pPr>
      <w:r>
        <w:rPr>
          <w:rFonts w:eastAsiaTheme="majorEastAsia"/>
          <w:u w:val="single"/>
        </w:rPr>
        <w:t>Background</w:t>
      </w:r>
    </w:p>
    <w:p w14:paraId="37C4243E" w14:textId="045D1110" w:rsidR="00730CEF" w:rsidRDefault="00251938" w:rsidP="00F72A88">
      <w:pPr>
        <w:spacing w:after="240"/>
        <w:rPr>
          <w:rFonts w:eastAsiaTheme="majorEastAsia"/>
        </w:rPr>
      </w:pPr>
      <w:r>
        <w:rPr>
          <w:rFonts w:eastAsiaTheme="majorEastAsia"/>
        </w:rPr>
        <w:t>As part of the</w:t>
      </w:r>
      <w:r w:rsidR="009B112E" w:rsidRPr="00752D52">
        <w:rPr>
          <w:rFonts w:eastAsiaTheme="majorEastAsia"/>
        </w:rPr>
        <w:t xml:space="preserve"> RPM</w:t>
      </w:r>
      <w:r>
        <w:rPr>
          <w:rFonts w:eastAsiaTheme="majorEastAsia"/>
        </w:rPr>
        <w:t xml:space="preserve"> calculation</w:t>
      </w:r>
      <w:r w:rsidR="009B112E" w:rsidRPr="00752D52">
        <w:rPr>
          <w:rFonts w:eastAsiaTheme="majorEastAsia"/>
        </w:rPr>
        <w:t xml:space="preserve">, </w:t>
      </w:r>
      <w:r>
        <w:rPr>
          <w:rFonts w:eastAsiaTheme="majorEastAsia"/>
        </w:rPr>
        <w:t xml:space="preserve">taxpayers are required to work out </w:t>
      </w:r>
      <w:r w:rsidR="009B112E" w:rsidRPr="00752D52">
        <w:rPr>
          <w:rFonts w:eastAsiaTheme="majorEastAsia"/>
        </w:rPr>
        <w:t xml:space="preserve">the market value of the end product </w:t>
      </w:r>
      <w:r w:rsidR="0033436B" w:rsidRPr="00752D52">
        <w:rPr>
          <w:rFonts w:eastAsiaTheme="majorEastAsia"/>
        </w:rPr>
        <w:t>(</w:t>
      </w:r>
      <w:r w:rsidR="003E60B8">
        <w:rPr>
          <w:rFonts w:eastAsiaTheme="majorEastAsia"/>
        </w:rPr>
        <w:t>project liquid produced or project electricity produced</w:t>
      </w:r>
      <w:r w:rsidR="0033436B" w:rsidRPr="00752D52">
        <w:rPr>
          <w:rFonts w:eastAsiaTheme="majorEastAsia"/>
        </w:rPr>
        <w:t xml:space="preserve">) </w:t>
      </w:r>
      <w:r w:rsidR="009B112E" w:rsidRPr="00752D52">
        <w:rPr>
          <w:rFonts w:eastAsiaTheme="majorEastAsia"/>
        </w:rPr>
        <w:t>of the integrated operation. This is known as the end product value (</w:t>
      </w:r>
      <w:proofErr w:type="spellStart"/>
      <w:r w:rsidR="009B112E" w:rsidRPr="00752D52">
        <w:rPr>
          <w:rFonts w:eastAsiaTheme="majorEastAsia"/>
        </w:rPr>
        <w:t>EPVal</w:t>
      </w:r>
      <w:proofErr w:type="spellEnd"/>
      <w:r w:rsidR="009B112E" w:rsidRPr="00752D52">
        <w:rPr>
          <w:rFonts w:eastAsiaTheme="majorEastAsia"/>
        </w:rPr>
        <w:t>).</w:t>
      </w:r>
      <w:r w:rsidR="0033436B" w:rsidRPr="00752D52">
        <w:rPr>
          <w:rFonts w:eastAsiaTheme="majorEastAsia"/>
        </w:rPr>
        <w:t xml:space="preserve"> </w:t>
      </w:r>
    </w:p>
    <w:p w14:paraId="12280F58" w14:textId="620DB630" w:rsidR="00450C61" w:rsidRDefault="00251938" w:rsidP="00F72A88">
      <w:pPr>
        <w:spacing w:after="240"/>
        <w:rPr>
          <w:rFonts w:eastAsiaTheme="majorEastAsia"/>
        </w:rPr>
      </w:pPr>
      <w:r>
        <w:rPr>
          <w:rFonts w:eastAsiaTheme="majorEastAsia"/>
        </w:rPr>
        <w:t>Under the 2005 Regulations</w:t>
      </w:r>
      <w:r w:rsidR="009B112E" w:rsidRPr="00752D52">
        <w:rPr>
          <w:rFonts w:eastAsiaTheme="majorEastAsia"/>
        </w:rPr>
        <w:t xml:space="preserve">, the </w:t>
      </w:r>
      <w:proofErr w:type="spellStart"/>
      <w:r w:rsidR="009B112E" w:rsidRPr="00752D52">
        <w:rPr>
          <w:rFonts w:eastAsiaTheme="majorEastAsia"/>
        </w:rPr>
        <w:t>EPVal</w:t>
      </w:r>
      <w:proofErr w:type="spellEnd"/>
      <w:r w:rsidR="009B112E" w:rsidRPr="00752D52">
        <w:rPr>
          <w:rFonts w:eastAsiaTheme="majorEastAsia"/>
        </w:rPr>
        <w:t xml:space="preserve"> is worked out by using the total market value in the year of tax of all </w:t>
      </w:r>
      <w:r w:rsidR="0045795F" w:rsidRPr="00752D52">
        <w:rPr>
          <w:rFonts w:eastAsiaTheme="majorEastAsia"/>
        </w:rPr>
        <w:t xml:space="preserve">of </w:t>
      </w:r>
      <w:r w:rsidR="009B112E" w:rsidRPr="00752D52">
        <w:rPr>
          <w:rFonts w:eastAsiaTheme="majorEastAsia"/>
        </w:rPr>
        <w:t>the end product produced by the integrated operation. For an integrated GTL operation, this is the project liquid produced. For an integrated GTE operation, this is the project electricity produced.</w:t>
      </w:r>
    </w:p>
    <w:p w14:paraId="7F5148AD" w14:textId="11D21BAE" w:rsidR="009B3AD4" w:rsidRDefault="009B3AD4" w:rsidP="00F72A88">
      <w:pPr>
        <w:spacing w:after="240"/>
        <w:rPr>
          <w:rFonts w:eastAsiaTheme="majorEastAsia"/>
        </w:rPr>
      </w:pPr>
      <w:r>
        <w:rPr>
          <w:rFonts w:eastAsiaTheme="majorEastAsia"/>
          <w:u w:val="single"/>
        </w:rPr>
        <w:t>Consultation</w:t>
      </w:r>
    </w:p>
    <w:p w14:paraId="20E7E0E5" w14:textId="4538FB48" w:rsidR="0033436B" w:rsidRPr="00752D52" w:rsidRDefault="009B3AD4" w:rsidP="00F72A88">
      <w:pPr>
        <w:spacing w:after="240"/>
        <w:rPr>
          <w:rFonts w:eastAsiaTheme="majorEastAsia"/>
        </w:rPr>
      </w:pPr>
      <w:r>
        <w:rPr>
          <w:rFonts w:eastAsiaTheme="majorEastAsia"/>
        </w:rPr>
        <w:t xml:space="preserve">The current </w:t>
      </w:r>
      <w:proofErr w:type="spellStart"/>
      <w:r>
        <w:rPr>
          <w:rFonts w:eastAsiaTheme="majorEastAsia"/>
        </w:rPr>
        <w:t>EPVal</w:t>
      </w:r>
      <w:proofErr w:type="spellEnd"/>
      <w:r>
        <w:rPr>
          <w:rFonts w:eastAsiaTheme="majorEastAsia"/>
        </w:rPr>
        <w:t xml:space="preserve"> formula</w:t>
      </w:r>
      <w:r w:rsidR="009B112E" w:rsidRPr="00752D52">
        <w:rPr>
          <w:rFonts w:eastAsiaTheme="majorEastAsia"/>
        </w:rPr>
        <w:t xml:space="preserve"> requires each taxpayer </w:t>
      </w:r>
      <w:r w:rsidR="00450C61" w:rsidRPr="00752D52">
        <w:rPr>
          <w:rFonts w:eastAsiaTheme="majorEastAsia"/>
        </w:rPr>
        <w:t xml:space="preserve">to obtain the market value of all of the end product produced by the integrated </w:t>
      </w:r>
      <w:r w:rsidR="003E428C">
        <w:rPr>
          <w:rFonts w:eastAsiaTheme="majorEastAsia"/>
        </w:rPr>
        <w:t>operation</w:t>
      </w:r>
      <w:r>
        <w:rPr>
          <w:rFonts w:eastAsiaTheme="majorEastAsia"/>
        </w:rPr>
        <w:t xml:space="preserve">. </w:t>
      </w:r>
      <w:r w:rsidR="00204A6C">
        <w:rPr>
          <w:rFonts w:eastAsiaTheme="majorEastAsia"/>
        </w:rPr>
        <w:t xml:space="preserve">The consultation process </w:t>
      </w:r>
      <w:r w:rsidR="003123DE">
        <w:rPr>
          <w:rFonts w:eastAsiaTheme="majorEastAsia"/>
        </w:rPr>
        <w:t>indicated</w:t>
      </w:r>
      <w:r w:rsidR="00263C52">
        <w:rPr>
          <w:rFonts w:eastAsiaTheme="majorEastAsia"/>
        </w:rPr>
        <w:t xml:space="preserve"> </w:t>
      </w:r>
      <w:r>
        <w:rPr>
          <w:rFonts w:eastAsiaTheme="majorEastAsia"/>
        </w:rPr>
        <w:t>that t</w:t>
      </w:r>
      <w:r w:rsidR="00450C61" w:rsidRPr="00752D52">
        <w:rPr>
          <w:rFonts w:eastAsiaTheme="majorEastAsia"/>
        </w:rPr>
        <w:t xml:space="preserve">his may </w:t>
      </w:r>
      <w:r w:rsidR="00DA4560">
        <w:rPr>
          <w:rFonts w:eastAsiaTheme="majorEastAsia"/>
        </w:rPr>
        <w:t>be commercially and practically difficult</w:t>
      </w:r>
      <w:r w:rsidR="00450C61" w:rsidRPr="00752D52">
        <w:rPr>
          <w:rFonts w:eastAsiaTheme="majorEastAsia"/>
        </w:rPr>
        <w:t xml:space="preserve"> </w:t>
      </w:r>
      <w:r w:rsidR="0045795F" w:rsidRPr="00752D52">
        <w:rPr>
          <w:rFonts w:eastAsiaTheme="majorEastAsia"/>
        </w:rPr>
        <w:t>where individual taxpayers separately market and sell their share of the end product</w:t>
      </w:r>
      <w:r>
        <w:rPr>
          <w:rFonts w:eastAsiaTheme="majorEastAsia"/>
        </w:rPr>
        <w:t xml:space="preserve">. </w:t>
      </w:r>
      <w:r w:rsidR="00DA4560">
        <w:rPr>
          <w:rFonts w:eastAsiaTheme="majorEastAsia"/>
        </w:rPr>
        <w:t>T</w:t>
      </w:r>
      <w:r>
        <w:rPr>
          <w:rFonts w:eastAsiaTheme="majorEastAsia"/>
        </w:rPr>
        <w:t>his information may be confidential, meaning that taxpayers are not willing to share the information with other taxpayers.</w:t>
      </w:r>
    </w:p>
    <w:p w14:paraId="13C3A210" w14:textId="7D4197C2" w:rsidR="009B3AD4" w:rsidRDefault="00DA4560" w:rsidP="00F72A88">
      <w:pPr>
        <w:spacing w:after="240"/>
      </w:pPr>
      <w:r>
        <w:rPr>
          <w:u w:val="single"/>
        </w:rPr>
        <w:t>The new alternative method</w:t>
      </w:r>
      <w:r w:rsidR="009B3AD4">
        <w:rPr>
          <w:u w:val="single"/>
        </w:rPr>
        <w:t xml:space="preserve"> </w:t>
      </w:r>
    </w:p>
    <w:p w14:paraId="76F6DB5D" w14:textId="3B205B91" w:rsidR="005743C0" w:rsidRPr="00752D52" w:rsidRDefault="0033436B" w:rsidP="00F72A88">
      <w:pPr>
        <w:spacing w:after="240"/>
        <w:rPr>
          <w:rFonts w:eastAsiaTheme="majorEastAsia"/>
        </w:rPr>
      </w:pPr>
      <w:r>
        <w:t xml:space="preserve">To address this, and to reduce compliance costs, </w:t>
      </w:r>
      <w:r w:rsidRPr="00752D52">
        <w:rPr>
          <w:rFonts w:eastAsiaTheme="majorEastAsia"/>
        </w:rPr>
        <w:t>t</w:t>
      </w:r>
      <w:r w:rsidR="00F02DD2">
        <w:rPr>
          <w:rFonts w:eastAsiaTheme="majorEastAsia"/>
        </w:rPr>
        <w:t>he Regulation</w:t>
      </w:r>
      <w:r w:rsidR="00450C61" w:rsidRPr="00752D52">
        <w:rPr>
          <w:rFonts w:eastAsiaTheme="majorEastAsia"/>
        </w:rPr>
        <w:t xml:space="preserve"> introduce</w:t>
      </w:r>
      <w:r w:rsidR="00F02DD2">
        <w:rPr>
          <w:rFonts w:eastAsiaTheme="majorEastAsia"/>
        </w:rPr>
        <w:t>s</w:t>
      </w:r>
      <w:r w:rsidR="00450C61" w:rsidRPr="00752D52">
        <w:rPr>
          <w:rFonts w:eastAsiaTheme="majorEastAsia"/>
        </w:rPr>
        <w:t xml:space="preserve"> an </w:t>
      </w:r>
      <w:r w:rsidR="009B112E" w:rsidRPr="00752D52">
        <w:rPr>
          <w:rFonts w:eastAsiaTheme="majorEastAsia"/>
        </w:rPr>
        <w:t>alternat</w:t>
      </w:r>
      <w:r w:rsidR="00450C61" w:rsidRPr="00752D52">
        <w:rPr>
          <w:rFonts w:eastAsiaTheme="majorEastAsia"/>
        </w:rPr>
        <w:t xml:space="preserve">ive means by which taxpayers can work out the </w:t>
      </w:r>
      <w:proofErr w:type="spellStart"/>
      <w:r w:rsidR="00450C61" w:rsidRPr="00752D52">
        <w:rPr>
          <w:rFonts w:eastAsiaTheme="majorEastAsia"/>
        </w:rPr>
        <w:t>EPVal</w:t>
      </w:r>
      <w:proofErr w:type="spellEnd"/>
      <w:r w:rsidR="00450C61" w:rsidRPr="00752D52">
        <w:rPr>
          <w:rFonts w:eastAsiaTheme="majorEastAsia"/>
        </w:rPr>
        <w:t xml:space="preserve">. </w:t>
      </w:r>
      <w:r w:rsidR="003464F8" w:rsidRPr="00752D52">
        <w:rPr>
          <w:rFonts w:eastAsiaTheme="majorEastAsia"/>
        </w:rPr>
        <w:t>This alternative</w:t>
      </w:r>
      <w:r w:rsidR="00264CB2" w:rsidRPr="00752D52">
        <w:rPr>
          <w:rFonts w:eastAsiaTheme="majorEastAsia"/>
        </w:rPr>
        <w:t>, referred to as the participant-based formula,</w:t>
      </w:r>
      <w:r w:rsidR="003464F8" w:rsidRPr="00752D52">
        <w:rPr>
          <w:rFonts w:eastAsiaTheme="majorEastAsia"/>
        </w:rPr>
        <w:t xml:space="preserve"> derives an </w:t>
      </w:r>
      <w:proofErr w:type="spellStart"/>
      <w:r w:rsidR="003464F8" w:rsidRPr="00752D52">
        <w:rPr>
          <w:rFonts w:eastAsiaTheme="majorEastAsia"/>
        </w:rPr>
        <w:t>EPVal</w:t>
      </w:r>
      <w:proofErr w:type="spellEnd"/>
      <w:r w:rsidR="003464F8" w:rsidRPr="00752D52">
        <w:rPr>
          <w:rFonts w:eastAsiaTheme="majorEastAsia"/>
        </w:rPr>
        <w:t xml:space="preserve"> from the market value of the taxpayer’s own project liquid or pro</w:t>
      </w:r>
      <w:r w:rsidR="005743C0" w:rsidRPr="00752D52">
        <w:rPr>
          <w:rFonts w:eastAsiaTheme="majorEastAsia"/>
        </w:rPr>
        <w:t>ject</w:t>
      </w:r>
      <w:r w:rsidR="003464F8" w:rsidRPr="00752D52">
        <w:rPr>
          <w:rFonts w:eastAsiaTheme="majorEastAsia"/>
        </w:rPr>
        <w:t xml:space="preserve"> electricity</w:t>
      </w:r>
      <w:r w:rsidR="005743C0" w:rsidRPr="00752D52">
        <w:rPr>
          <w:rFonts w:eastAsiaTheme="majorEastAsia"/>
        </w:rPr>
        <w:t xml:space="preserve"> (rather than that of all the end product produced by the operation)</w:t>
      </w:r>
      <w:r w:rsidR="003464F8" w:rsidRPr="00752D52">
        <w:rPr>
          <w:rFonts w:eastAsiaTheme="majorEastAsia"/>
        </w:rPr>
        <w:t>.</w:t>
      </w:r>
    </w:p>
    <w:p w14:paraId="41A1B554" w14:textId="454908C4" w:rsidR="00730CEF" w:rsidRPr="00752D52" w:rsidRDefault="00450C61" w:rsidP="00F72A88">
      <w:pPr>
        <w:spacing w:after="240"/>
        <w:rPr>
          <w:rFonts w:eastAsiaTheme="majorEastAsia"/>
        </w:rPr>
      </w:pPr>
      <w:r w:rsidRPr="00752D52">
        <w:rPr>
          <w:rFonts w:eastAsiaTheme="majorEastAsia"/>
        </w:rPr>
        <w:t xml:space="preserve">This alternative takes the market value of the taxpayer’s </w:t>
      </w:r>
      <w:r w:rsidR="003464F8" w:rsidRPr="00752D52">
        <w:rPr>
          <w:rFonts w:eastAsiaTheme="majorEastAsia"/>
        </w:rPr>
        <w:t xml:space="preserve">own </w:t>
      </w:r>
      <w:r w:rsidRPr="00752D52">
        <w:rPr>
          <w:rFonts w:eastAsiaTheme="majorEastAsia"/>
        </w:rPr>
        <w:t>project liquid or project electricity</w:t>
      </w:r>
      <w:r w:rsidR="003464F8" w:rsidRPr="00752D52">
        <w:rPr>
          <w:rFonts w:eastAsiaTheme="majorEastAsia"/>
        </w:rPr>
        <w:t xml:space="preserve"> (the taxpayer product) and applies the average value of the taxpayer’s product to the quantity of all of the project liquid or project electricity produced </w:t>
      </w:r>
      <w:r w:rsidR="0033436B" w:rsidRPr="00752D52">
        <w:rPr>
          <w:rFonts w:eastAsiaTheme="majorEastAsia"/>
        </w:rPr>
        <w:t>by the integrated operation</w:t>
      </w:r>
      <w:r w:rsidR="005D0778">
        <w:rPr>
          <w:rFonts w:eastAsiaTheme="majorEastAsia"/>
        </w:rPr>
        <w:t>.</w:t>
      </w:r>
      <w:r w:rsidR="0033436B" w:rsidRPr="00752D52">
        <w:rPr>
          <w:rFonts w:eastAsiaTheme="majorEastAsia"/>
        </w:rPr>
        <w:t xml:space="preserve"> </w:t>
      </w:r>
      <w:r w:rsidR="00264CB2" w:rsidRPr="00F72A88">
        <w:rPr>
          <w:rFonts w:eastAsiaTheme="majorEastAsia"/>
          <w:b/>
          <w:i/>
          <w:sz w:val="20"/>
        </w:rPr>
        <w:t>[Subsection 27(2)]</w:t>
      </w:r>
      <w:r w:rsidR="0033436B" w:rsidRPr="00F72A88">
        <w:rPr>
          <w:rFonts w:eastAsiaTheme="majorEastAsia"/>
          <w:sz w:val="20"/>
        </w:rPr>
        <w:t xml:space="preserve"> </w:t>
      </w:r>
      <w:r w:rsidR="003464F8" w:rsidRPr="00F72A88">
        <w:rPr>
          <w:rFonts w:eastAsiaTheme="majorEastAsia"/>
          <w:sz w:val="20"/>
        </w:rPr>
        <w:t xml:space="preserve"> </w:t>
      </w:r>
    </w:p>
    <w:p w14:paraId="53FEC88B" w14:textId="0FF2272C" w:rsidR="00730CEF" w:rsidRPr="00DA4560" w:rsidRDefault="00A62E48" w:rsidP="00F72A88">
      <w:pPr>
        <w:spacing w:after="240"/>
        <w:rPr>
          <w:rFonts w:eastAsiaTheme="majorEastAsia"/>
          <w:u w:val="single"/>
        </w:rPr>
      </w:pPr>
      <w:r w:rsidRPr="00DA4560">
        <w:rPr>
          <w:rFonts w:eastAsiaTheme="majorEastAsia"/>
          <w:u w:val="single"/>
        </w:rPr>
        <w:t>Making the election</w:t>
      </w:r>
    </w:p>
    <w:p w14:paraId="796B088B" w14:textId="26E575B2" w:rsidR="00C6369F" w:rsidRDefault="00A62E48" w:rsidP="00C6369F">
      <w:pPr>
        <w:spacing w:after="240"/>
        <w:rPr>
          <w:sz w:val="20"/>
        </w:rPr>
      </w:pPr>
      <w:r>
        <w:rPr>
          <w:rFonts w:eastAsiaTheme="majorEastAsia"/>
        </w:rPr>
        <w:t>In order to make this election</w:t>
      </w:r>
      <w:r w:rsidR="0039426E" w:rsidRPr="005D0778">
        <w:rPr>
          <w:rFonts w:eastAsiaTheme="majorEastAsia"/>
        </w:rPr>
        <w:t xml:space="preserve">, </w:t>
      </w:r>
      <w:r w:rsidR="0006730F" w:rsidRPr="005D0778">
        <w:rPr>
          <w:rFonts w:eastAsiaTheme="majorEastAsia"/>
        </w:rPr>
        <w:t xml:space="preserve">all taxpayers in </w:t>
      </w:r>
      <w:r w:rsidR="005165B7">
        <w:rPr>
          <w:rFonts w:eastAsiaTheme="majorEastAsia"/>
        </w:rPr>
        <w:t>the relevant</w:t>
      </w:r>
      <w:r w:rsidR="0006730F" w:rsidRPr="005D0778">
        <w:rPr>
          <w:rFonts w:eastAsiaTheme="majorEastAsia"/>
        </w:rPr>
        <w:t xml:space="preserve"> </w:t>
      </w:r>
      <w:r w:rsidR="0039426E" w:rsidRPr="00D36FA0">
        <w:rPr>
          <w:rFonts w:eastAsiaTheme="majorEastAsia"/>
        </w:rPr>
        <w:t>integrated operation</w:t>
      </w:r>
      <w:r w:rsidR="0006730F" w:rsidRPr="00D36FA0">
        <w:rPr>
          <w:rFonts w:eastAsiaTheme="majorEastAsia"/>
        </w:rPr>
        <w:t xml:space="preserve"> </w:t>
      </w:r>
      <w:r>
        <w:rPr>
          <w:rFonts w:eastAsiaTheme="majorEastAsia"/>
        </w:rPr>
        <w:t>that</w:t>
      </w:r>
      <w:r w:rsidR="00D36002">
        <w:rPr>
          <w:rFonts w:eastAsiaTheme="majorEastAsia"/>
        </w:rPr>
        <w:t xml:space="preserve"> use the RPM</w:t>
      </w:r>
      <w:r w:rsidR="005165B7">
        <w:rPr>
          <w:rFonts w:eastAsiaTheme="majorEastAsia"/>
        </w:rPr>
        <w:t xml:space="preserve"> must do so jointly</w:t>
      </w:r>
      <w:r>
        <w:rPr>
          <w:rFonts w:eastAsiaTheme="majorEastAsia"/>
        </w:rPr>
        <w:t>.</w:t>
      </w:r>
      <w:r w:rsidR="00C6369F">
        <w:rPr>
          <w:rFonts w:eastAsiaTheme="majorEastAsia"/>
        </w:rPr>
        <w:t xml:space="preserve"> </w:t>
      </w:r>
      <w:r w:rsidR="00301647">
        <w:rPr>
          <w:rFonts w:eastAsiaTheme="majorEastAsia"/>
        </w:rPr>
        <w:t>Once the election is made it</w:t>
      </w:r>
      <w:r w:rsidR="00301647" w:rsidRPr="00D36FA0">
        <w:rPr>
          <w:rFonts w:eastAsiaTheme="majorEastAsia"/>
        </w:rPr>
        <w:t xml:space="preserve"> is irrevocable</w:t>
      </w:r>
      <w:r w:rsidR="005165B7">
        <w:rPr>
          <w:rFonts w:eastAsiaTheme="majorEastAsia"/>
        </w:rPr>
        <w:t xml:space="preserve"> and will continue to apply with respect to the integrated operation</w:t>
      </w:r>
      <w:r w:rsidR="00301647">
        <w:rPr>
          <w:rFonts w:eastAsiaTheme="majorEastAsia"/>
        </w:rPr>
        <w:t>.</w:t>
      </w:r>
      <w:r w:rsidR="00301647" w:rsidRPr="00D36FA0">
        <w:rPr>
          <w:rFonts w:eastAsiaTheme="majorEastAsia"/>
        </w:rPr>
        <w:t xml:space="preserve"> </w:t>
      </w:r>
      <w:r w:rsidR="00264CB2" w:rsidRPr="00D36FA0">
        <w:rPr>
          <w:rFonts w:eastAsiaTheme="majorEastAsia"/>
        </w:rPr>
        <w:t>Th</w:t>
      </w:r>
      <w:r w:rsidR="00301647">
        <w:rPr>
          <w:rFonts w:eastAsiaTheme="majorEastAsia"/>
        </w:rPr>
        <w:t>ese</w:t>
      </w:r>
      <w:r w:rsidR="005165B7">
        <w:rPr>
          <w:rFonts w:eastAsiaTheme="majorEastAsia"/>
        </w:rPr>
        <w:t xml:space="preserve"> </w:t>
      </w:r>
      <w:r w:rsidR="00C6369F">
        <w:rPr>
          <w:rFonts w:eastAsiaTheme="majorEastAsia"/>
        </w:rPr>
        <w:t>condition</w:t>
      </w:r>
      <w:r w:rsidR="00301647">
        <w:rPr>
          <w:rFonts w:eastAsiaTheme="majorEastAsia"/>
        </w:rPr>
        <w:t>s</w:t>
      </w:r>
      <w:r w:rsidR="00264CB2" w:rsidRPr="00D36FA0">
        <w:rPr>
          <w:rFonts w:eastAsiaTheme="majorEastAsia"/>
        </w:rPr>
        <w:t xml:space="preserve"> help</w:t>
      </w:r>
      <w:r w:rsidR="00301647">
        <w:rPr>
          <w:rFonts w:eastAsiaTheme="majorEastAsia"/>
        </w:rPr>
        <w:t xml:space="preserve"> </w:t>
      </w:r>
      <w:r w:rsidR="00264CB2" w:rsidRPr="00D36FA0">
        <w:rPr>
          <w:rFonts w:eastAsiaTheme="majorEastAsia"/>
        </w:rPr>
        <w:t xml:space="preserve">to ensure </w:t>
      </w:r>
      <w:r w:rsidR="0039426E" w:rsidRPr="00D36FA0">
        <w:rPr>
          <w:rFonts w:eastAsiaTheme="majorEastAsia"/>
        </w:rPr>
        <w:t>that th</w:t>
      </w:r>
      <w:r w:rsidR="00264CB2" w:rsidRPr="00D36FA0">
        <w:rPr>
          <w:rFonts w:eastAsiaTheme="majorEastAsia"/>
        </w:rPr>
        <w:t xml:space="preserve">is </w:t>
      </w:r>
      <w:r w:rsidR="00471613">
        <w:rPr>
          <w:rFonts w:eastAsiaTheme="majorEastAsia"/>
        </w:rPr>
        <w:t>change</w:t>
      </w:r>
      <w:r w:rsidR="00264CB2" w:rsidRPr="00D36FA0">
        <w:rPr>
          <w:rFonts w:eastAsiaTheme="majorEastAsia"/>
        </w:rPr>
        <w:t xml:space="preserve"> is revenue neutral, and that it will operate to reduce compliance costs</w:t>
      </w:r>
      <w:r w:rsidR="00A425E6">
        <w:rPr>
          <w:rFonts w:eastAsiaTheme="majorEastAsia"/>
        </w:rPr>
        <w:t>, rather than</w:t>
      </w:r>
      <w:r w:rsidR="00264CB2" w:rsidRPr="00D36FA0">
        <w:rPr>
          <w:rFonts w:eastAsiaTheme="majorEastAsia"/>
        </w:rPr>
        <w:t xml:space="preserve"> providing a</w:t>
      </w:r>
      <w:r w:rsidR="005165B7">
        <w:rPr>
          <w:rFonts w:eastAsiaTheme="majorEastAsia"/>
        </w:rPr>
        <w:t xml:space="preserve">n opportunity for tax planning. </w:t>
      </w:r>
      <w:r w:rsidR="005165B7">
        <w:rPr>
          <w:b/>
          <w:i/>
          <w:sz w:val="20"/>
        </w:rPr>
        <w:t>[Paragraphs </w:t>
      </w:r>
      <w:r w:rsidR="00301647">
        <w:rPr>
          <w:b/>
          <w:i/>
          <w:sz w:val="20"/>
        </w:rPr>
        <w:t>52(2)(a) and (e</w:t>
      </w:r>
      <w:r w:rsidR="00264CB2" w:rsidRPr="00F72A88">
        <w:rPr>
          <w:b/>
          <w:i/>
          <w:sz w:val="20"/>
        </w:rPr>
        <w:t>)]</w:t>
      </w:r>
      <w:r w:rsidR="00264CB2" w:rsidRPr="00F72A88">
        <w:rPr>
          <w:sz w:val="20"/>
        </w:rPr>
        <w:t xml:space="preserve">  </w:t>
      </w:r>
    </w:p>
    <w:p w14:paraId="0565A131" w14:textId="558498A1" w:rsidR="00C53CC8" w:rsidRPr="00C53CC8" w:rsidRDefault="00A76BCD" w:rsidP="00C6369F">
      <w:pPr>
        <w:spacing w:after="240"/>
        <w:rPr>
          <w:rFonts w:eastAsiaTheme="majorEastAsia"/>
          <w:szCs w:val="24"/>
        </w:rPr>
      </w:pPr>
      <w:r>
        <w:rPr>
          <w:szCs w:val="24"/>
          <w:u w:val="single"/>
        </w:rPr>
        <w:t>RPM t</w:t>
      </w:r>
      <w:r w:rsidR="00C53CC8" w:rsidRPr="00C53CC8">
        <w:rPr>
          <w:szCs w:val="24"/>
          <w:u w:val="single"/>
        </w:rPr>
        <w:t>axpayers must be entitled to end product</w:t>
      </w:r>
    </w:p>
    <w:p w14:paraId="0D62FB43" w14:textId="179D3DA5" w:rsidR="00C53CC8" w:rsidRDefault="004162DE" w:rsidP="00C6369F">
      <w:pPr>
        <w:spacing w:after="240"/>
        <w:rPr>
          <w:szCs w:val="24"/>
        </w:rPr>
      </w:pPr>
      <w:r>
        <w:rPr>
          <w:rFonts w:eastAsiaTheme="majorEastAsia"/>
          <w:szCs w:val="24"/>
        </w:rPr>
        <w:t>Th</w:t>
      </w:r>
      <w:r w:rsidR="00FB561D">
        <w:rPr>
          <w:rFonts w:eastAsiaTheme="majorEastAsia"/>
          <w:szCs w:val="24"/>
        </w:rPr>
        <w:t>e</w:t>
      </w:r>
      <w:r>
        <w:rPr>
          <w:rFonts w:eastAsiaTheme="majorEastAsia"/>
          <w:szCs w:val="24"/>
        </w:rPr>
        <w:t xml:space="preserve"> election to use the participant-based </w:t>
      </w:r>
      <w:proofErr w:type="spellStart"/>
      <w:r>
        <w:rPr>
          <w:rFonts w:eastAsiaTheme="majorEastAsia"/>
          <w:szCs w:val="24"/>
        </w:rPr>
        <w:t>EPVal</w:t>
      </w:r>
      <w:proofErr w:type="spellEnd"/>
      <w:r>
        <w:rPr>
          <w:rFonts w:eastAsiaTheme="majorEastAsia"/>
          <w:szCs w:val="24"/>
        </w:rPr>
        <w:t xml:space="preserve"> </w:t>
      </w:r>
      <w:r w:rsidR="00832812">
        <w:rPr>
          <w:rFonts w:eastAsiaTheme="majorEastAsia"/>
          <w:szCs w:val="24"/>
        </w:rPr>
        <w:t xml:space="preserve">formula </w:t>
      </w:r>
      <w:r>
        <w:rPr>
          <w:rFonts w:eastAsiaTheme="majorEastAsia"/>
          <w:szCs w:val="24"/>
        </w:rPr>
        <w:t>is only available where</w:t>
      </w:r>
      <w:r w:rsidR="00C6369F" w:rsidRPr="00C6369F">
        <w:rPr>
          <w:rFonts w:eastAsiaTheme="majorEastAsia"/>
          <w:szCs w:val="24"/>
        </w:rPr>
        <w:t xml:space="preserve"> </w:t>
      </w:r>
      <w:r w:rsidR="00C6369F" w:rsidRPr="00C6369F">
        <w:rPr>
          <w:szCs w:val="24"/>
        </w:rPr>
        <w:t xml:space="preserve">all taxpayers in the integrated operation </w:t>
      </w:r>
      <w:r>
        <w:rPr>
          <w:szCs w:val="24"/>
        </w:rPr>
        <w:t>are</w:t>
      </w:r>
      <w:r w:rsidR="00C6369F" w:rsidRPr="00C6369F">
        <w:rPr>
          <w:szCs w:val="24"/>
        </w:rPr>
        <w:t xml:space="preserve"> entitled to end product (project liquid/project electricity) in the year of tax</w:t>
      </w:r>
      <w:r w:rsidR="00C53CC8">
        <w:rPr>
          <w:szCs w:val="24"/>
        </w:rPr>
        <w:t xml:space="preserve"> for w</w:t>
      </w:r>
      <w:r>
        <w:rPr>
          <w:szCs w:val="24"/>
        </w:rPr>
        <w:t xml:space="preserve">hich the election is first made. This </w:t>
      </w:r>
      <w:r w:rsidR="00FB561D">
        <w:rPr>
          <w:szCs w:val="24"/>
        </w:rPr>
        <w:t xml:space="preserve">condition is necessary </w:t>
      </w:r>
      <w:r w:rsidR="00C6369F" w:rsidRPr="00C6369F">
        <w:rPr>
          <w:szCs w:val="24"/>
        </w:rPr>
        <w:t>because the participant-based formula is not effective for a taxpayer that is</w:t>
      </w:r>
      <w:r w:rsidR="00301647">
        <w:rPr>
          <w:szCs w:val="24"/>
        </w:rPr>
        <w:t xml:space="preserve"> not entitled to end product: </w:t>
      </w:r>
      <w:r w:rsidR="00C6369F" w:rsidRPr="00C6369F">
        <w:rPr>
          <w:szCs w:val="24"/>
        </w:rPr>
        <w:t xml:space="preserve">there is no taxpayer product on which to base a calculation of </w:t>
      </w:r>
      <w:r w:rsidR="00301647">
        <w:rPr>
          <w:szCs w:val="24"/>
        </w:rPr>
        <w:t xml:space="preserve">the </w:t>
      </w:r>
      <w:proofErr w:type="spellStart"/>
      <w:r w:rsidR="00C6369F" w:rsidRPr="00C6369F">
        <w:rPr>
          <w:szCs w:val="24"/>
        </w:rPr>
        <w:t>EPVal</w:t>
      </w:r>
      <w:proofErr w:type="spellEnd"/>
      <w:r>
        <w:rPr>
          <w:szCs w:val="24"/>
        </w:rPr>
        <w:t>, which, in turn, would prevent the RPM price from being calculated accurately</w:t>
      </w:r>
      <w:r w:rsidR="00C6369F" w:rsidRPr="00C6369F">
        <w:rPr>
          <w:szCs w:val="24"/>
        </w:rPr>
        <w:t>.</w:t>
      </w:r>
      <w:r>
        <w:rPr>
          <w:szCs w:val="24"/>
        </w:rPr>
        <w:t xml:space="preserve"> </w:t>
      </w:r>
      <w:r>
        <w:rPr>
          <w:b/>
          <w:i/>
          <w:sz w:val="20"/>
        </w:rPr>
        <w:t>[S</w:t>
      </w:r>
      <w:r w:rsidRPr="00C6369F">
        <w:rPr>
          <w:b/>
          <w:i/>
          <w:sz w:val="20"/>
        </w:rPr>
        <w:t>ubsection 52(1)</w:t>
      </w:r>
      <w:r>
        <w:rPr>
          <w:b/>
          <w:i/>
          <w:sz w:val="20"/>
        </w:rPr>
        <w:t>]</w:t>
      </w:r>
      <w:r w:rsidRPr="00C6369F">
        <w:rPr>
          <w:b/>
          <w:i/>
          <w:sz w:val="20"/>
        </w:rPr>
        <w:t xml:space="preserve"> </w:t>
      </w:r>
      <w:r w:rsidR="00C6369F" w:rsidRPr="00C6369F">
        <w:rPr>
          <w:szCs w:val="24"/>
        </w:rPr>
        <w:t xml:space="preserve"> </w:t>
      </w:r>
    </w:p>
    <w:p w14:paraId="131BAB7F" w14:textId="294DEE77" w:rsidR="00C53CC8" w:rsidRDefault="00C53CC8" w:rsidP="00C6369F">
      <w:pPr>
        <w:spacing w:after="240"/>
        <w:rPr>
          <w:sz w:val="20"/>
        </w:rPr>
      </w:pPr>
      <w:r w:rsidRPr="00C6369F">
        <w:rPr>
          <w:szCs w:val="24"/>
        </w:rPr>
        <w:t>The election must be made after the end of the first year of tax to which it applies. This is because it is only at this point that</w:t>
      </w:r>
      <w:r>
        <w:rPr>
          <w:szCs w:val="24"/>
        </w:rPr>
        <w:t xml:space="preserve"> it will be known that, for the</w:t>
      </w:r>
      <w:r w:rsidRPr="00C6369F">
        <w:rPr>
          <w:szCs w:val="24"/>
        </w:rPr>
        <w:t xml:space="preserve"> first year of tax, all </w:t>
      </w:r>
      <w:r>
        <w:rPr>
          <w:szCs w:val="24"/>
        </w:rPr>
        <w:t xml:space="preserve">of the </w:t>
      </w:r>
      <w:r w:rsidRPr="00C6369F">
        <w:rPr>
          <w:szCs w:val="24"/>
        </w:rPr>
        <w:t>RPM taxpayers who were participants in the operation were entitled to end product</w:t>
      </w:r>
      <w:r>
        <w:rPr>
          <w:szCs w:val="24"/>
        </w:rPr>
        <w:t xml:space="preserve"> in that year of tax</w:t>
      </w:r>
      <w:r w:rsidRPr="00C6369F">
        <w:rPr>
          <w:szCs w:val="24"/>
        </w:rPr>
        <w:t xml:space="preserve">. </w:t>
      </w:r>
      <w:r w:rsidRPr="00C6369F">
        <w:rPr>
          <w:b/>
          <w:i/>
          <w:sz w:val="20"/>
        </w:rPr>
        <w:t>[Paragraph 52(2)(b)]</w:t>
      </w:r>
      <w:r w:rsidRPr="00C6369F">
        <w:rPr>
          <w:sz w:val="20"/>
        </w:rPr>
        <w:t xml:space="preserve">   </w:t>
      </w:r>
    </w:p>
    <w:p w14:paraId="5FAD3E71" w14:textId="1E41F5DC" w:rsidR="00C53CC8" w:rsidRDefault="00C53CC8" w:rsidP="00C53CC8">
      <w:pPr>
        <w:rPr>
          <w:sz w:val="20"/>
        </w:rPr>
      </w:pPr>
      <w:r w:rsidRPr="00C6369F">
        <w:rPr>
          <w:szCs w:val="24"/>
        </w:rPr>
        <w:t>The election must be given to the Commissioner by no later than the due date for the PRRT return for the first year of tax to which the election applies, or, by a later day that the Commissioner allows.</w:t>
      </w:r>
      <w:r>
        <w:rPr>
          <w:szCs w:val="24"/>
        </w:rPr>
        <w:t xml:space="preserve"> </w:t>
      </w:r>
      <w:r w:rsidRPr="00C6369F">
        <w:rPr>
          <w:szCs w:val="24"/>
        </w:rPr>
        <w:t xml:space="preserve">The election must be in a form approved by the </w:t>
      </w:r>
      <w:r>
        <w:rPr>
          <w:szCs w:val="24"/>
        </w:rPr>
        <w:t xml:space="preserve">Commissioner. </w:t>
      </w:r>
      <w:r w:rsidRPr="00C6369F">
        <w:rPr>
          <w:b/>
          <w:i/>
          <w:sz w:val="20"/>
        </w:rPr>
        <w:t>[Paragraph</w:t>
      </w:r>
      <w:r>
        <w:rPr>
          <w:b/>
          <w:i/>
          <w:sz w:val="20"/>
        </w:rPr>
        <w:t>s </w:t>
      </w:r>
      <w:r w:rsidRPr="00C6369F">
        <w:rPr>
          <w:b/>
          <w:i/>
          <w:sz w:val="20"/>
        </w:rPr>
        <w:t>52(2)</w:t>
      </w:r>
      <w:r>
        <w:rPr>
          <w:b/>
          <w:i/>
          <w:sz w:val="20"/>
        </w:rPr>
        <w:t xml:space="preserve">(b) and </w:t>
      </w:r>
      <w:r w:rsidRPr="00C6369F">
        <w:rPr>
          <w:b/>
          <w:i/>
          <w:sz w:val="20"/>
        </w:rPr>
        <w:t>(d)]</w:t>
      </w:r>
      <w:r>
        <w:rPr>
          <w:sz w:val="20"/>
        </w:rPr>
        <w:t xml:space="preserve">   </w:t>
      </w:r>
    </w:p>
    <w:p w14:paraId="6381CB6B" w14:textId="77777777" w:rsidR="00C53CC8" w:rsidRPr="00C53CC8" w:rsidRDefault="00C53CC8" w:rsidP="00C53CC8">
      <w:pPr>
        <w:rPr>
          <w:sz w:val="20"/>
        </w:rPr>
      </w:pPr>
    </w:p>
    <w:p w14:paraId="26E4E129" w14:textId="06529F7D" w:rsidR="004162DE" w:rsidRDefault="00C53CC8" w:rsidP="00C6369F">
      <w:pPr>
        <w:spacing w:after="240"/>
        <w:rPr>
          <w:szCs w:val="24"/>
        </w:rPr>
      </w:pPr>
      <w:r>
        <w:rPr>
          <w:szCs w:val="24"/>
        </w:rPr>
        <w:t>The election</w:t>
      </w:r>
      <w:r w:rsidR="00A76BCD">
        <w:rPr>
          <w:szCs w:val="24"/>
        </w:rPr>
        <w:t xml:space="preserve"> is irrevocable and</w:t>
      </w:r>
      <w:r>
        <w:rPr>
          <w:szCs w:val="24"/>
        </w:rPr>
        <w:t xml:space="preserve"> will continue for later years of tax</w:t>
      </w:r>
      <w:r w:rsidR="00A76BCD">
        <w:rPr>
          <w:szCs w:val="24"/>
        </w:rPr>
        <w:t xml:space="preserve"> with respect to the </w:t>
      </w:r>
      <w:r w:rsidR="004162DE">
        <w:rPr>
          <w:szCs w:val="24"/>
        </w:rPr>
        <w:t>integrated operation</w:t>
      </w:r>
      <w:r>
        <w:rPr>
          <w:szCs w:val="24"/>
        </w:rPr>
        <w:t xml:space="preserve">. </w:t>
      </w:r>
      <w:r w:rsidR="004162DE">
        <w:rPr>
          <w:szCs w:val="24"/>
        </w:rPr>
        <w:t xml:space="preserve">This means that all taxpayers who use the RPM </w:t>
      </w:r>
      <w:r w:rsidR="00CD4C36">
        <w:rPr>
          <w:szCs w:val="24"/>
        </w:rPr>
        <w:t>for</w:t>
      </w:r>
      <w:r w:rsidR="004162DE">
        <w:rPr>
          <w:szCs w:val="24"/>
        </w:rPr>
        <w:t xml:space="preserve"> the integrated operation will have to use the participant-based formula for </w:t>
      </w:r>
      <w:proofErr w:type="spellStart"/>
      <w:r w:rsidR="004162DE">
        <w:rPr>
          <w:szCs w:val="24"/>
        </w:rPr>
        <w:t>EPVal</w:t>
      </w:r>
      <w:proofErr w:type="spellEnd"/>
      <w:r w:rsidR="004162DE">
        <w:rPr>
          <w:szCs w:val="24"/>
        </w:rPr>
        <w:t xml:space="preserve"> when calculating an RPM</w:t>
      </w:r>
      <w:r w:rsidR="00FB561D">
        <w:rPr>
          <w:szCs w:val="24"/>
        </w:rPr>
        <w:t>, including any new participant who uses the RPM</w:t>
      </w:r>
      <w:r w:rsidR="004162DE">
        <w:rPr>
          <w:szCs w:val="24"/>
        </w:rPr>
        <w:t xml:space="preserve">. </w:t>
      </w:r>
      <w:r w:rsidR="004162DE" w:rsidRPr="004162DE">
        <w:rPr>
          <w:b/>
          <w:i/>
          <w:sz w:val="20"/>
        </w:rPr>
        <w:t>[Paragraph 52(2)(e)]</w:t>
      </w:r>
    </w:p>
    <w:p w14:paraId="773D90D0" w14:textId="35D6B2A8" w:rsidR="004162DE" w:rsidRDefault="004162DE" w:rsidP="00057458">
      <w:pPr>
        <w:spacing w:after="240"/>
        <w:rPr>
          <w:b/>
          <w:i/>
          <w:sz w:val="20"/>
        </w:rPr>
      </w:pPr>
      <w:r>
        <w:rPr>
          <w:szCs w:val="24"/>
        </w:rPr>
        <w:t xml:space="preserve">However, the election </w:t>
      </w:r>
      <w:r w:rsidR="00C53CC8">
        <w:rPr>
          <w:szCs w:val="24"/>
        </w:rPr>
        <w:t xml:space="preserve">will only remain effective </w:t>
      </w:r>
      <w:r w:rsidR="00C6369F" w:rsidRPr="00C6369F">
        <w:rPr>
          <w:szCs w:val="24"/>
        </w:rPr>
        <w:t>for as long as all</w:t>
      </w:r>
      <w:r w:rsidR="00A76BCD">
        <w:rPr>
          <w:szCs w:val="24"/>
        </w:rPr>
        <w:t xml:space="preserve"> of the</w:t>
      </w:r>
      <w:r w:rsidR="00C6369F" w:rsidRPr="00C6369F">
        <w:rPr>
          <w:szCs w:val="24"/>
        </w:rPr>
        <w:t xml:space="preserve"> taxpayers in the integrated </w:t>
      </w:r>
      <w:r>
        <w:rPr>
          <w:szCs w:val="24"/>
        </w:rPr>
        <w:t>operation</w:t>
      </w:r>
      <w:r w:rsidR="00C6369F" w:rsidRPr="00C6369F">
        <w:rPr>
          <w:szCs w:val="24"/>
        </w:rPr>
        <w:t xml:space="preserve"> </w:t>
      </w:r>
      <w:r w:rsidR="00A76BCD">
        <w:rPr>
          <w:szCs w:val="24"/>
        </w:rPr>
        <w:t>that</w:t>
      </w:r>
      <w:r w:rsidR="00C6369F" w:rsidRPr="00C6369F">
        <w:rPr>
          <w:szCs w:val="24"/>
        </w:rPr>
        <w:t xml:space="preserve"> use the RPM are entitled to end product.</w:t>
      </w:r>
      <w:r w:rsidR="00A76BCD">
        <w:rPr>
          <w:szCs w:val="24"/>
        </w:rPr>
        <w:t xml:space="preserve"> This means that the election will expire</w:t>
      </w:r>
      <w:r>
        <w:rPr>
          <w:szCs w:val="24"/>
        </w:rPr>
        <w:t xml:space="preserve"> in a later year of tax</w:t>
      </w:r>
      <w:r w:rsidR="00A76BCD">
        <w:rPr>
          <w:szCs w:val="24"/>
        </w:rPr>
        <w:t xml:space="preserve"> when an RPM taxpayer who is not entitled to end product joins an integrated</w:t>
      </w:r>
      <w:r>
        <w:rPr>
          <w:szCs w:val="24"/>
        </w:rPr>
        <w:t xml:space="preserve"> operation</w:t>
      </w:r>
      <w:r w:rsidR="00A76BCD">
        <w:rPr>
          <w:szCs w:val="24"/>
        </w:rPr>
        <w:t>. It will also expire at the point at which, in a later year of tax, an existing RPM taxpayer ceases to be entitled to end product in that later year of tax.</w:t>
      </w:r>
      <w:r>
        <w:rPr>
          <w:szCs w:val="24"/>
        </w:rPr>
        <w:t xml:space="preserve"> </w:t>
      </w:r>
      <w:r w:rsidR="006C4B30">
        <w:rPr>
          <w:szCs w:val="24"/>
        </w:rPr>
        <w:t>A</w:t>
      </w:r>
      <w:r>
        <w:rPr>
          <w:szCs w:val="24"/>
        </w:rPr>
        <w:t>gain, this is because th</w:t>
      </w:r>
      <w:r w:rsidR="006C4B30">
        <w:rPr>
          <w:szCs w:val="24"/>
        </w:rPr>
        <w:t>e</w:t>
      </w:r>
      <w:r w:rsidRPr="00C6369F">
        <w:rPr>
          <w:szCs w:val="24"/>
        </w:rPr>
        <w:t xml:space="preserve"> participant-based formula </w:t>
      </w:r>
      <w:r>
        <w:rPr>
          <w:szCs w:val="24"/>
        </w:rPr>
        <w:t xml:space="preserve">for calculating </w:t>
      </w:r>
      <w:proofErr w:type="spellStart"/>
      <w:r>
        <w:rPr>
          <w:szCs w:val="24"/>
        </w:rPr>
        <w:t>EPVal</w:t>
      </w:r>
      <w:proofErr w:type="spellEnd"/>
      <w:r>
        <w:rPr>
          <w:szCs w:val="24"/>
        </w:rPr>
        <w:t xml:space="preserve"> </w:t>
      </w:r>
      <w:r w:rsidRPr="00C6369F">
        <w:rPr>
          <w:szCs w:val="24"/>
        </w:rPr>
        <w:t>is not effective for a taxpayer that is</w:t>
      </w:r>
      <w:r>
        <w:rPr>
          <w:szCs w:val="24"/>
        </w:rPr>
        <w:t xml:space="preserve"> not entitled to end product.</w:t>
      </w:r>
      <w:r w:rsidR="00A76BCD">
        <w:rPr>
          <w:szCs w:val="24"/>
        </w:rPr>
        <w:t xml:space="preserve"> </w:t>
      </w:r>
      <w:r>
        <w:rPr>
          <w:szCs w:val="24"/>
        </w:rPr>
        <w:t xml:space="preserve"> </w:t>
      </w:r>
      <w:r w:rsidR="00C6369F" w:rsidRPr="00C6369F">
        <w:rPr>
          <w:b/>
          <w:i/>
          <w:sz w:val="20"/>
        </w:rPr>
        <w:t>[</w:t>
      </w:r>
      <w:r>
        <w:rPr>
          <w:b/>
          <w:i/>
          <w:sz w:val="20"/>
        </w:rPr>
        <w:t>P</w:t>
      </w:r>
      <w:r w:rsidR="00C6369F" w:rsidRPr="00C6369F">
        <w:rPr>
          <w:b/>
          <w:i/>
          <w:sz w:val="20"/>
        </w:rPr>
        <w:t>aragraph 52(2</w:t>
      </w:r>
      <w:r w:rsidR="00A76BCD">
        <w:rPr>
          <w:b/>
          <w:i/>
          <w:sz w:val="20"/>
        </w:rPr>
        <w:t>)(</w:t>
      </w:r>
      <w:r w:rsidR="00C6369F" w:rsidRPr="00C6369F">
        <w:rPr>
          <w:b/>
          <w:i/>
          <w:sz w:val="20"/>
        </w:rPr>
        <w:t>f)]</w:t>
      </w:r>
    </w:p>
    <w:p w14:paraId="32396E12" w14:textId="77777777" w:rsidR="00181D12" w:rsidRDefault="00C6369F" w:rsidP="00057458">
      <w:pPr>
        <w:spacing w:after="240"/>
        <w:rPr>
          <w:szCs w:val="24"/>
        </w:rPr>
      </w:pPr>
      <w:r w:rsidRPr="00C6369F">
        <w:rPr>
          <w:szCs w:val="24"/>
        </w:rPr>
        <w:t xml:space="preserve"> </w:t>
      </w:r>
    </w:p>
    <w:p w14:paraId="73E97D9C" w14:textId="77777777" w:rsidR="00181D12" w:rsidRDefault="00181D12" w:rsidP="00057458">
      <w:pPr>
        <w:spacing w:after="240"/>
        <w:rPr>
          <w:szCs w:val="24"/>
        </w:rPr>
      </w:pPr>
    </w:p>
    <w:p w14:paraId="5F84D21D" w14:textId="77777777" w:rsidR="00181D12" w:rsidRDefault="00181D12" w:rsidP="00057458">
      <w:pPr>
        <w:spacing w:after="240"/>
        <w:rPr>
          <w:szCs w:val="24"/>
        </w:rPr>
      </w:pPr>
    </w:p>
    <w:p w14:paraId="0327D21B" w14:textId="0890AC3A" w:rsidR="005165B7" w:rsidRPr="004162DE" w:rsidRDefault="005165B7" w:rsidP="00057458">
      <w:pPr>
        <w:spacing w:after="240"/>
        <w:rPr>
          <w:rFonts w:eastAsiaTheme="majorEastAsia"/>
          <w:szCs w:val="24"/>
        </w:rPr>
      </w:pPr>
    </w:p>
    <w:p w14:paraId="609C32E3" w14:textId="5B4BECDA" w:rsidR="00334085" w:rsidRPr="000F1491" w:rsidRDefault="00076C1B" w:rsidP="00057458">
      <w:pPr>
        <w:spacing w:after="240"/>
      </w:pPr>
      <w:r>
        <w:rPr>
          <w:b/>
        </w:rPr>
        <w:t>Change</w:t>
      </w:r>
      <w:r w:rsidR="00D10035" w:rsidRPr="000F1491">
        <w:rPr>
          <w:b/>
        </w:rPr>
        <w:t xml:space="preserve"> </w:t>
      </w:r>
      <w:r w:rsidR="005866D6">
        <w:rPr>
          <w:b/>
        </w:rPr>
        <w:t>4</w:t>
      </w:r>
      <w:r w:rsidR="00D10035" w:rsidRPr="000F1491">
        <w:rPr>
          <w:b/>
        </w:rPr>
        <w:t xml:space="preserve"> – </w:t>
      </w:r>
      <w:r w:rsidR="000F1491">
        <w:rPr>
          <w:b/>
        </w:rPr>
        <w:t xml:space="preserve">New example for </w:t>
      </w:r>
      <w:r w:rsidR="00057458">
        <w:rPr>
          <w:b/>
        </w:rPr>
        <w:t>RPM price where insufficient information available</w:t>
      </w:r>
    </w:p>
    <w:p w14:paraId="3C3B3450" w14:textId="312BF4B4" w:rsidR="008C7832" w:rsidRPr="008C7832" w:rsidRDefault="00D4601E" w:rsidP="009D5F9D">
      <w:pPr>
        <w:spacing w:after="240"/>
        <w:ind w:right="-51"/>
        <w:rPr>
          <w:szCs w:val="24"/>
        </w:rPr>
      </w:pPr>
      <w:r>
        <w:rPr>
          <w:szCs w:val="24"/>
        </w:rPr>
        <w:t>Section 25</w:t>
      </w:r>
      <w:r w:rsidR="008C7832" w:rsidRPr="008C7832">
        <w:rPr>
          <w:szCs w:val="24"/>
        </w:rPr>
        <w:t xml:space="preserve"> applies where there is insufficient information available for a </w:t>
      </w:r>
      <w:r>
        <w:rPr>
          <w:szCs w:val="24"/>
        </w:rPr>
        <w:t>taxpayer</w:t>
      </w:r>
      <w:r w:rsidR="008C7832" w:rsidRPr="008C7832">
        <w:rPr>
          <w:szCs w:val="24"/>
        </w:rPr>
        <w:t xml:space="preserve"> to determine </w:t>
      </w:r>
      <w:r w:rsidR="00AC0E4A">
        <w:rPr>
          <w:szCs w:val="24"/>
        </w:rPr>
        <w:t xml:space="preserve">its </w:t>
      </w:r>
      <w:r w:rsidR="008C7832" w:rsidRPr="008C7832">
        <w:rPr>
          <w:szCs w:val="24"/>
        </w:rPr>
        <w:t xml:space="preserve">own RPM price. </w:t>
      </w:r>
    </w:p>
    <w:p w14:paraId="4652C64A" w14:textId="7A807B61" w:rsidR="008C7832" w:rsidRPr="008C7832" w:rsidRDefault="008C7832" w:rsidP="009D5F9D">
      <w:pPr>
        <w:spacing w:after="240"/>
        <w:ind w:right="-51"/>
        <w:rPr>
          <w:szCs w:val="24"/>
        </w:rPr>
      </w:pPr>
      <w:r w:rsidRPr="008C7832">
        <w:rPr>
          <w:szCs w:val="24"/>
        </w:rPr>
        <w:t xml:space="preserve">If the Commissioner and the taxpayer can agree on a price, that becomes the RPM price under </w:t>
      </w:r>
      <w:r w:rsidR="00D4601E">
        <w:rPr>
          <w:szCs w:val="24"/>
        </w:rPr>
        <w:t>subsection 25(2).</w:t>
      </w:r>
      <w:r w:rsidRPr="008C7832">
        <w:rPr>
          <w:szCs w:val="24"/>
        </w:rPr>
        <w:t xml:space="preserve"> If the Commissioner and the taxpayer cannot agree, but the Commissioner is satisfied </w:t>
      </w:r>
      <w:r w:rsidR="009336C2">
        <w:rPr>
          <w:szCs w:val="24"/>
        </w:rPr>
        <w:t>that</w:t>
      </w:r>
      <w:r w:rsidR="009336C2" w:rsidRPr="008C7832">
        <w:rPr>
          <w:szCs w:val="24"/>
        </w:rPr>
        <w:t xml:space="preserve"> </w:t>
      </w:r>
      <w:r w:rsidR="009336C2">
        <w:rPr>
          <w:szCs w:val="24"/>
        </w:rPr>
        <w:t xml:space="preserve">the price </w:t>
      </w:r>
      <w:r w:rsidR="009336C2" w:rsidRPr="008C7832">
        <w:rPr>
          <w:szCs w:val="24"/>
        </w:rPr>
        <w:t>worked out</w:t>
      </w:r>
      <w:r w:rsidR="009336C2">
        <w:rPr>
          <w:szCs w:val="24"/>
        </w:rPr>
        <w:t xml:space="preserve"> </w:t>
      </w:r>
      <w:r w:rsidR="009336C2" w:rsidRPr="008C7832">
        <w:rPr>
          <w:szCs w:val="24"/>
        </w:rPr>
        <w:t xml:space="preserve">using the RPM method on the basis of information from other participants in the operation </w:t>
      </w:r>
      <w:r w:rsidR="009336C2">
        <w:rPr>
          <w:szCs w:val="24"/>
        </w:rPr>
        <w:t xml:space="preserve">is </w:t>
      </w:r>
      <w:r w:rsidRPr="008C7832">
        <w:rPr>
          <w:szCs w:val="24"/>
        </w:rPr>
        <w:t>a fair and reasonable price, that price becomes the RPM price under</w:t>
      </w:r>
      <w:r w:rsidR="00D4601E">
        <w:rPr>
          <w:szCs w:val="24"/>
        </w:rPr>
        <w:t xml:space="preserve"> subsection 25(3)</w:t>
      </w:r>
      <w:r w:rsidRPr="008C7832">
        <w:rPr>
          <w:szCs w:val="24"/>
        </w:rPr>
        <w:t>.</w:t>
      </w:r>
    </w:p>
    <w:p w14:paraId="708DEDEE" w14:textId="06A82C2F" w:rsidR="008C7832" w:rsidRPr="008C7832" w:rsidRDefault="008C7832" w:rsidP="009D5F9D">
      <w:pPr>
        <w:spacing w:after="240"/>
        <w:ind w:right="-51"/>
        <w:rPr>
          <w:szCs w:val="24"/>
        </w:rPr>
      </w:pPr>
      <w:r w:rsidRPr="008C7832">
        <w:rPr>
          <w:szCs w:val="24"/>
        </w:rPr>
        <w:t xml:space="preserve">Under </w:t>
      </w:r>
      <w:r w:rsidR="00D4601E">
        <w:rPr>
          <w:szCs w:val="24"/>
        </w:rPr>
        <w:t>subsection 25</w:t>
      </w:r>
      <w:r w:rsidRPr="008C7832">
        <w:rPr>
          <w:szCs w:val="24"/>
        </w:rPr>
        <w:t xml:space="preserve">(4), if the participant and the Commissioner cannot agree on a price and the Commissioner is not satisfied </w:t>
      </w:r>
      <w:r w:rsidR="009336C2">
        <w:rPr>
          <w:szCs w:val="24"/>
        </w:rPr>
        <w:t>with a</w:t>
      </w:r>
      <w:r w:rsidRPr="008C7832">
        <w:rPr>
          <w:szCs w:val="24"/>
        </w:rPr>
        <w:t xml:space="preserve"> price determined under </w:t>
      </w:r>
      <w:r w:rsidR="00D4601E">
        <w:rPr>
          <w:szCs w:val="24"/>
        </w:rPr>
        <w:t>subsection 25</w:t>
      </w:r>
      <w:r w:rsidRPr="008C7832">
        <w:rPr>
          <w:szCs w:val="24"/>
        </w:rPr>
        <w:t>(3), the RPM price is the price as determined by the Commissioner</w:t>
      </w:r>
      <w:r w:rsidR="00301647">
        <w:rPr>
          <w:szCs w:val="24"/>
        </w:rPr>
        <w:t xml:space="preserve"> as being fair and reasonable. Under paragraph 47(d), s</w:t>
      </w:r>
      <w:r w:rsidRPr="008C7832">
        <w:rPr>
          <w:szCs w:val="24"/>
        </w:rPr>
        <w:t>uch a decision is subject to object</w:t>
      </w:r>
      <w:r w:rsidR="00301647">
        <w:rPr>
          <w:szCs w:val="24"/>
        </w:rPr>
        <w:t>ion and review under Part IVC in</w:t>
      </w:r>
      <w:r w:rsidRPr="008C7832">
        <w:rPr>
          <w:szCs w:val="24"/>
        </w:rPr>
        <w:t xml:space="preserve"> the </w:t>
      </w:r>
      <w:r w:rsidRPr="008C7832">
        <w:rPr>
          <w:i/>
          <w:iCs/>
          <w:szCs w:val="24"/>
        </w:rPr>
        <w:t>Taxation Administration Act 1953</w:t>
      </w:r>
      <w:r w:rsidR="00301647">
        <w:rPr>
          <w:i/>
          <w:iCs/>
          <w:szCs w:val="24"/>
        </w:rPr>
        <w:t>.</w:t>
      </w:r>
    </w:p>
    <w:p w14:paraId="6289DECF" w14:textId="710EB73B" w:rsidR="008C7832" w:rsidRPr="001547AF" w:rsidRDefault="00D4601E" w:rsidP="00057458">
      <w:pPr>
        <w:spacing w:after="240"/>
        <w:rPr>
          <w:rFonts w:eastAsiaTheme="majorEastAsia"/>
          <w:u w:val="single"/>
        </w:rPr>
      </w:pPr>
      <w:r w:rsidRPr="001547AF">
        <w:rPr>
          <w:rFonts w:eastAsiaTheme="majorEastAsia"/>
          <w:u w:val="single"/>
        </w:rPr>
        <w:t xml:space="preserve">New </w:t>
      </w:r>
      <w:r w:rsidR="001547AF">
        <w:rPr>
          <w:rFonts w:eastAsiaTheme="majorEastAsia"/>
          <w:u w:val="single"/>
        </w:rPr>
        <w:t>e</w:t>
      </w:r>
      <w:r w:rsidRPr="001547AF">
        <w:rPr>
          <w:rFonts w:eastAsiaTheme="majorEastAsia"/>
          <w:u w:val="single"/>
        </w:rPr>
        <w:t>xample</w:t>
      </w:r>
    </w:p>
    <w:p w14:paraId="042A76BE" w14:textId="1CFDBCA5" w:rsidR="001E64EF" w:rsidRPr="008C7832" w:rsidRDefault="002F285A" w:rsidP="00057458">
      <w:pPr>
        <w:spacing w:after="240"/>
        <w:rPr>
          <w:rFonts w:eastAsiaTheme="majorEastAsia"/>
        </w:rPr>
      </w:pPr>
      <w:r w:rsidRPr="00752D52">
        <w:rPr>
          <w:rFonts w:eastAsiaTheme="majorEastAsia"/>
        </w:rPr>
        <w:t xml:space="preserve">The </w:t>
      </w:r>
      <w:r w:rsidR="00C72B16">
        <w:rPr>
          <w:rFonts w:eastAsiaTheme="majorEastAsia"/>
        </w:rPr>
        <w:t>Regulation includes</w:t>
      </w:r>
      <w:r w:rsidRPr="00752D52">
        <w:rPr>
          <w:rFonts w:eastAsiaTheme="majorEastAsia"/>
        </w:rPr>
        <w:t xml:space="preserve"> a</w:t>
      </w:r>
      <w:r w:rsidR="00C72B16">
        <w:rPr>
          <w:rFonts w:eastAsiaTheme="majorEastAsia"/>
        </w:rPr>
        <w:t xml:space="preserve"> new</w:t>
      </w:r>
      <w:r w:rsidRPr="00752D52">
        <w:rPr>
          <w:rFonts w:eastAsiaTheme="majorEastAsia"/>
        </w:rPr>
        <w:t xml:space="preserve"> example </w:t>
      </w:r>
      <w:r w:rsidR="00C72B16">
        <w:rPr>
          <w:rFonts w:eastAsiaTheme="majorEastAsia"/>
        </w:rPr>
        <w:t>in</w:t>
      </w:r>
      <w:r w:rsidR="00C72B16" w:rsidRPr="00752D52">
        <w:rPr>
          <w:rFonts w:eastAsiaTheme="majorEastAsia"/>
        </w:rPr>
        <w:t xml:space="preserve"> </w:t>
      </w:r>
      <w:r w:rsidRPr="00752D52">
        <w:rPr>
          <w:rFonts w:eastAsiaTheme="majorEastAsia"/>
        </w:rPr>
        <w:t>section 25</w:t>
      </w:r>
      <w:r w:rsidR="008C7832">
        <w:rPr>
          <w:rFonts w:eastAsiaTheme="majorEastAsia"/>
        </w:rPr>
        <w:t>, with respect to onshore integrated GTL operations where an election is made under section</w:t>
      </w:r>
      <w:r w:rsidR="00C72B16">
        <w:rPr>
          <w:rFonts w:eastAsiaTheme="majorEastAsia"/>
        </w:rPr>
        <w:t> </w:t>
      </w:r>
      <w:r w:rsidR="008C7832">
        <w:rPr>
          <w:rFonts w:eastAsiaTheme="majorEastAsia"/>
        </w:rPr>
        <w:t>49</w:t>
      </w:r>
      <w:r w:rsidR="00674E22">
        <w:rPr>
          <w:rFonts w:eastAsiaTheme="majorEastAsia"/>
        </w:rPr>
        <w:t xml:space="preserve"> to use the RPM</w:t>
      </w:r>
      <w:r w:rsidRPr="00752D52">
        <w:rPr>
          <w:rFonts w:eastAsiaTheme="majorEastAsia"/>
        </w:rPr>
        <w:t xml:space="preserve">. This </w:t>
      </w:r>
      <w:r w:rsidR="00C72B16">
        <w:rPr>
          <w:rFonts w:eastAsiaTheme="majorEastAsia"/>
        </w:rPr>
        <w:t>new example</w:t>
      </w:r>
      <w:r w:rsidRPr="00752D52">
        <w:rPr>
          <w:rFonts w:eastAsiaTheme="majorEastAsia"/>
        </w:rPr>
        <w:t xml:space="preserve"> </w:t>
      </w:r>
      <w:r w:rsidR="00C72B16">
        <w:rPr>
          <w:rFonts w:eastAsiaTheme="majorEastAsia"/>
        </w:rPr>
        <w:t xml:space="preserve">clarifies </w:t>
      </w:r>
      <w:r w:rsidR="008C7832">
        <w:rPr>
          <w:rFonts w:eastAsiaTheme="majorEastAsia"/>
        </w:rPr>
        <w:t xml:space="preserve">that </w:t>
      </w:r>
      <w:r w:rsidR="00674E22">
        <w:rPr>
          <w:rFonts w:eastAsiaTheme="majorEastAsia"/>
        </w:rPr>
        <w:t xml:space="preserve">the </w:t>
      </w:r>
      <w:r w:rsidR="00057458">
        <w:rPr>
          <w:rFonts w:eastAsiaTheme="majorEastAsia"/>
        </w:rPr>
        <w:t>process for determining</w:t>
      </w:r>
      <w:r w:rsidR="001E64EF" w:rsidRPr="00752D52">
        <w:rPr>
          <w:rFonts w:eastAsiaTheme="majorEastAsia"/>
        </w:rPr>
        <w:t xml:space="preserve"> an RPM </w:t>
      </w:r>
      <w:r w:rsidR="00057458">
        <w:rPr>
          <w:rFonts w:eastAsiaTheme="majorEastAsia"/>
        </w:rPr>
        <w:t xml:space="preserve">in section 25 </w:t>
      </w:r>
      <w:r w:rsidR="001E64EF" w:rsidRPr="00752D52">
        <w:rPr>
          <w:rFonts w:eastAsiaTheme="majorEastAsia"/>
        </w:rPr>
        <w:t xml:space="preserve">can be used when </w:t>
      </w:r>
      <w:r w:rsidR="00C72B16">
        <w:rPr>
          <w:rFonts w:eastAsiaTheme="majorEastAsia"/>
        </w:rPr>
        <w:t xml:space="preserve">the </w:t>
      </w:r>
      <w:r w:rsidR="001E64EF" w:rsidRPr="00752D52">
        <w:rPr>
          <w:rFonts w:eastAsiaTheme="majorEastAsia"/>
        </w:rPr>
        <w:t>required information is not accessible for practical or commercial reasons, because the other participants in the operation do not elect to use the RPM.</w:t>
      </w:r>
      <w:r w:rsidR="008C7832">
        <w:rPr>
          <w:rFonts w:eastAsiaTheme="majorEastAsia"/>
        </w:rPr>
        <w:t xml:space="preserve"> </w:t>
      </w:r>
      <w:r w:rsidR="00752D52" w:rsidRPr="00057458">
        <w:rPr>
          <w:rFonts w:eastAsiaTheme="majorEastAsia"/>
          <w:b/>
          <w:i/>
          <w:sz w:val="20"/>
        </w:rPr>
        <w:t>[Section </w:t>
      </w:r>
      <w:r w:rsidR="00FD7D80" w:rsidRPr="00057458">
        <w:rPr>
          <w:rFonts w:eastAsiaTheme="majorEastAsia"/>
          <w:b/>
          <w:i/>
          <w:sz w:val="20"/>
        </w:rPr>
        <w:t>25]</w:t>
      </w:r>
    </w:p>
    <w:p w14:paraId="0A83502B" w14:textId="346672BA" w:rsidR="002F285A" w:rsidRDefault="002F285A" w:rsidP="00057458">
      <w:pPr>
        <w:spacing w:after="240"/>
      </w:pPr>
      <w:r>
        <w:t xml:space="preserve">This may occur, for example, where a taxpayer does not have an interest in each of the production </w:t>
      </w:r>
      <w:r w:rsidR="00BE5A2F">
        <w:t>licences</w:t>
      </w:r>
      <w:r>
        <w:t xml:space="preserve"> that are covered by the project combination certificate</w:t>
      </w:r>
      <w:r w:rsidR="00064E48">
        <w:t>. This means that</w:t>
      </w:r>
      <w:r>
        <w:t xml:space="preserve"> they may have difficulties</w:t>
      </w:r>
      <w:r w:rsidR="001C5FAC">
        <w:t xml:space="preserve"> in</w:t>
      </w:r>
      <w:r>
        <w:t xml:space="preserve"> accessing </w:t>
      </w:r>
      <w:r w:rsidR="001C5FAC">
        <w:t xml:space="preserve">the </w:t>
      </w:r>
      <w:r>
        <w:t>information required to determine a cost-plus price for the RPM calculation</w:t>
      </w:r>
      <w:r w:rsidR="00701C9D">
        <w:t xml:space="preserve">. </w:t>
      </w:r>
      <w:r>
        <w:t xml:space="preserve"> </w:t>
      </w:r>
    </w:p>
    <w:p w14:paraId="683EFA89" w14:textId="4C01CBB3" w:rsidR="005866D6" w:rsidRPr="000F1491" w:rsidRDefault="005866D6" w:rsidP="005866D6">
      <w:pPr>
        <w:spacing w:after="240"/>
        <w:rPr>
          <w:b/>
        </w:rPr>
      </w:pPr>
      <w:r>
        <w:rPr>
          <w:b/>
        </w:rPr>
        <w:t>Change</w:t>
      </w:r>
      <w:r w:rsidRPr="000F1491">
        <w:rPr>
          <w:b/>
        </w:rPr>
        <w:t xml:space="preserve"> </w:t>
      </w:r>
      <w:r>
        <w:rPr>
          <w:b/>
        </w:rPr>
        <w:t>5</w:t>
      </w:r>
      <w:r w:rsidRPr="000F1491">
        <w:rPr>
          <w:b/>
        </w:rPr>
        <w:t xml:space="preserve"> – Storage </w:t>
      </w:r>
      <w:r>
        <w:rPr>
          <w:b/>
        </w:rPr>
        <w:t>c</w:t>
      </w:r>
      <w:r w:rsidRPr="000F1491">
        <w:rPr>
          <w:b/>
        </w:rPr>
        <w:t>osts</w:t>
      </w:r>
    </w:p>
    <w:p w14:paraId="531E3BB3" w14:textId="77777777" w:rsidR="005866D6" w:rsidRDefault="005866D6" w:rsidP="005866D6">
      <w:pPr>
        <w:spacing w:after="240"/>
        <w:rPr>
          <w:rFonts w:eastAsiaTheme="majorEastAsia"/>
        </w:rPr>
      </w:pPr>
      <w:r w:rsidRPr="00D744F7">
        <w:rPr>
          <w:rFonts w:eastAsiaTheme="majorEastAsia"/>
        </w:rPr>
        <w:t>Section 8 divides integrated operation</w:t>
      </w:r>
      <w:r>
        <w:rPr>
          <w:rFonts w:eastAsiaTheme="majorEastAsia"/>
        </w:rPr>
        <w:t>s</w:t>
      </w:r>
      <w:r w:rsidRPr="00D744F7">
        <w:rPr>
          <w:rFonts w:eastAsiaTheme="majorEastAsia"/>
        </w:rPr>
        <w:t xml:space="preserve"> into upstream and downstream stages. It does this </w:t>
      </w:r>
      <w:r>
        <w:rPr>
          <w:rFonts w:eastAsiaTheme="majorEastAsia"/>
        </w:rPr>
        <w:t>to work out</w:t>
      </w:r>
      <w:r w:rsidRPr="00D744F7">
        <w:rPr>
          <w:rFonts w:eastAsiaTheme="majorEastAsia"/>
        </w:rPr>
        <w:t xml:space="preserve"> assessable petroleum receip</w:t>
      </w:r>
      <w:r>
        <w:rPr>
          <w:rFonts w:eastAsiaTheme="majorEastAsia"/>
        </w:rPr>
        <w:t>ts for the purposes of sections </w:t>
      </w:r>
      <w:r w:rsidRPr="00D744F7">
        <w:rPr>
          <w:rFonts w:eastAsiaTheme="majorEastAsia"/>
        </w:rPr>
        <w:t>19 and 20, with respect to sales gas, and section 21, with respect to natural gas.</w:t>
      </w:r>
    </w:p>
    <w:p w14:paraId="49E52B60" w14:textId="77777777" w:rsidR="005866D6" w:rsidRDefault="005866D6" w:rsidP="005866D6">
      <w:pPr>
        <w:spacing w:after="240"/>
        <w:rPr>
          <w:rFonts w:eastAsiaTheme="majorEastAsia"/>
        </w:rPr>
      </w:pPr>
      <w:r>
        <w:rPr>
          <w:rFonts w:eastAsiaTheme="majorEastAsia"/>
        </w:rPr>
        <w:t xml:space="preserve">Under the RPM, </w:t>
      </w:r>
      <w:r w:rsidRPr="00D744F7">
        <w:rPr>
          <w:rFonts w:eastAsiaTheme="majorEastAsia"/>
        </w:rPr>
        <w:t>the upstream stage</w:t>
      </w:r>
      <w:r>
        <w:rPr>
          <w:rFonts w:eastAsiaTheme="majorEastAsia"/>
        </w:rPr>
        <w:t xml:space="preserve"> comprises of those processes necessary for the production and storage of project sales gas up to the point that the gas becomes an excluded commodity</w:t>
      </w:r>
      <w:r w:rsidRPr="00D744F7">
        <w:rPr>
          <w:rFonts w:eastAsiaTheme="majorEastAsia"/>
        </w:rPr>
        <w:t xml:space="preserve">.  </w:t>
      </w:r>
    </w:p>
    <w:p w14:paraId="77BDEA8C" w14:textId="77777777" w:rsidR="005866D6" w:rsidRDefault="005866D6" w:rsidP="005866D6">
      <w:pPr>
        <w:spacing w:after="240"/>
        <w:rPr>
          <w:rFonts w:eastAsiaTheme="majorEastAsia"/>
        </w:rPr>
      </w:pPr>
      <w:r w:rsidRPr="00D744F7">
        <w:rPr>
          <w:rFonts w:eastAsiaTheme="majorEastAsia"/>
        </w:rPr>
        <w:t xml:space="preserve">However, the 2005 Regulations contain an anomaly </w:t>
      </w:r>
      <w:r>
        <w:rPr>
          <w:rFonts w:eastAsiaTheme="majorEastAsia"/>
        </w:rPr>
        <w:t>wherein s</w:t>
      </w:r>
      <w:r w:rsidRPr="00D744F7">
        <w:rPr>
          <w:rFonts w:eastAsiaTheme="majorEastAsia"/>
        </w:rPr>
        <w:t>torage of sales gas is treated as part of the upstream stage, irrespective of whether it occurs before or after a non-arm’s length sale or</w:t>
      </w:r>
      <w:r>
        <w:rPr>
          <w:rFonts w:eastAsiaTheme="majorEastAsia"/>
        </w:rPr>
        <w:t xml:space="preserve"> before or after</w:t>
      </w:r>
      <w:r w:rsidRPr="00D744F7">
        <w:rPr>
          <w:rFonts w:eastAsiaTheme="majorEastAsia"/>
        </w:rPr>
        <w:t xml:space="preserve"> the conversion of sales gas into an excluded commodity. </w:t>
      </w:r>
    </w:p>
    <w:p w14:paraId="4BDBF38C" w14:textId="2E0A44E1" w:rsidR="005866D6" w:rsidRDefault="005866D6" w:rsidP="005866D6">
      <w:pPr>
        <w:spacing w:after="240"/>
        <w:rPr>
          <w:rFonts w:eastAsiaTheme="majorEastAsia"/>
          <w:sz w:val="20"/>
        </w:rPr>
      </w:pPr>
      <w:r w:rsidRPr="00D744F7">
        <w:rPr>
          <w:rFonts w:eastAsiaTheme="majorEastAsia"/>
        </w:rPr>
        <w:t>The Regulation corrects this anomaly. Where the storage occurs after the non-arm’s length sale, or after the conversion of the gas into an excluded commodity, the storage costs will be treated as part of the downstream stage.</w:t>
      </w:r>
      <w:r w:rsidRPr="00D744F7">
        <w:rPr>
          <w:b/>
          <w:i/>
        </w:rPr>
        <w:t xml:space="preserve"> </w:t>
      </w:r>
      <w:r w:rsidRPr="00D744F7">
        <w:rPr>
          <w:rFonts w:eastAsiaTheme="majorEastAsia"/>
        </w:rPr>
        <w:t xml:space="preserve"> Where the storage of sales gas occurs either prior to the non-arm’s length sale of the sales gas or prior to the sales gas becoming an excluded commodity, it will be treated as part of the upstream stage. </w:t>
      </w:r>
      <w:r w:rsidRPr="003C15C8">
        <w:rPr>
          <w:b/>
          <w:i/>
          <w:sz w:val="20"/>
        </w:rPr>
        <w:t>[</w:t>
      </w:r>
      <w:r w:rsidR="00FD5270">
        <w:rPr>
          <w:b/>
          <w:i/>
          <w:sz w:val="20"/>
        </w:rPr>
        <w:t>P</w:t>
      </w:r>
      <w:r w:rsidRPr="003C15C8">
        <w:rPr>
          <w:b/>
          <w:i/>
          <w:sz w:val="20"/>
        </w:rPr>
        <w:t>aragraphs 8(1)(</w:t>
      </w:r>
      <w:proofErr w:type="spellStart"/>
      <w:r w:rsidRPr="003C15C8">
        <w:rPr>
          <w:b/>
          <w:i/>
          <w:sz w:val="20"/>
        </w:rPr>
        <w:t>i</w:t>
      </w:r>
      <w:proofErr w:type="spellEnd"/>
      <w:r w:rsidRPr="003C15C8">
        <w:rPr>
          <w:b/>
          <w:i/>
          <w:sz w:val="20"/>
        </w:rPr>
        <w:t xml:space="preserve">), 8(2)(a), and 8(3)(a)] </w:t>
      </w:r>
      <w:r w:rsidRPr="003C15C8">
        <w:rPr>
          <w:rFonts w:eastAsiaTheme="majorEastAsia"/>
          <w:sz w:val="20"/>
        </w:rPr>
        <w:t xml:space="preserve"> </w:t>
      </w:r>
    </w:p>
    <w:p w14:paraId="057D99E6" w14:textId="77777777" w:rsidR="00181D12" w:rsidRPr="003C15C8" w:rsidRDefault="00181D12" w:rsidP="005866D6">
      <w:pPr>
        <w:spacing w:after="240"/>
        <w:rPr>
          <w:rFonts w:eastAsiaTheme="majorEastAsia"/>
          <w:sz w:val="20"/>
        </w:rPr>
      </w:pPr>
    </w:p>
    <w:p w14:paraId="37A1EFB1" w14:textId="1426E1D9" w:rsidR="005866D6" w:rsidRPr="005866D6" w:rsidRDefault="005866D6" w:rsidP="005866D6">
      <w:pPr>
        <w:spacing w:after="240"/>
        <w:rPr>
          <w:b/>
        </w:rPr>
      </w:pPr>
      <w:r w:rsidRPr="005866D6">
        <w:rPr>
          <w:b/>
        </w:rPr>
        <w:t>Change</w:t>
      </w:r>
      <w:r>
        <w:rPr>
          <w:b/>
        </w:rPr>
        <w:t> 6 - H</w:t>
      </w:r>
      <w:r w:rsidRPr="005866D6">
        <w:rPr>
          <w:b/>
        </w:rPr>
        <w:t>eading of section 51</w:t>
      </w:r>
    </w:p>
    <w:p w14:paraId="0869E72A" w14:textId="2FB71295" w:rsidR="005866D6" w:rsidRDefault="005866D6" w:rsidP="00057458">
      <w:pPr>
        <w:spacing w:after="240"/>
        <w:rPr>
          <w:rFonts w:eastAsiaTheme="majorEastAsia"/>
          <w:b/>
          <w:i/>
          <w:sz w:val="20"/>
        </w:rPr>
      </w:pPr>
      <w:r w:rsidRPr="00752D52">
        <w:rPr>
          <w:rFonts w:eastAsiaTheme="majorEastAsia"/>
        </w:rPr>
        <w:t>A small change to the heading of this section is made. The heading in the</w:t>
      </w:r>
      <w:r>
        <w:rPr>
          <w:rFonts w:eastAsiaTheme="majorEastAsia"/>
        </w:rPr>
        <w:t xml:space="preserve"> equivalent</w:t>
      </w:r>
      <w:r w:rsidRPr="00752D52">
        <w:rPr>
          <w:rFonts w:eastAsiaTheme="majorEastAsia"/>
        </w:rPr>
        <w:t xml:space="preserve"> </w:t>
      </w:r>
      <w:r>
        <w:rPr>
          <w:rFonts w:eastAsiaTheme="majorEastAsia"/>
        </w:rPr>
        <w:t>2005 Regulation</w:t>
      </w:r>
      <w:r w:rsidRPr="00752D52">
        <w:rPr>
          <w:rFonts w:eastAsiaTheme="majorEastAsia"/>
        </w:rPr>
        <w:t xml:space="preserve"> (regulation 44) refers to integrated onshore operation</w:t>
      </w:r>
      <w:r w:rsidR="00125406">
        <w:rPr>
          <w:rFonts w:eastAsiaTheme="majorEastAsia"/>
        </w:rPr>
        <w:t>s</w:t>
      </w:r>
      <w:r w:rsidRPr="00752D52">
        <w:rPr>
          <w:rFonts w:eastAsiaTheme="majorEastAsia"/>
        </w:rPr>
        <w:t xml:space="preserve"> </w:t>
      </w:r>
      <w:r w:rsidRPr="00752D52">
        <w:rPr>
          <w:rFonts w:eastAsiaTheme="majorEastAsia"/>
          <w:i/>
        </w:rPr>
        <w:t>existing before 2 May 2010</w:t>
      </w:r>
      <w:r w:rsidRPr="00752D52">
        <w:rPr>
          <w:rFonts w:eastAsiaTheme="majorEastAsia"/>
        </w:rPr>
        <w:t>. However, this election and t</w:t>
      </w:r>
      <w:r w:rsidR="00471613">
        <w:rPr>
          <w:rFonts w:eastAsiaTheme="majorEastAsia"/>
        </w:rPr>
        <w:t>he effect of this election apply</w:t>
      </w:r>
      <w:r w:rsidRPr="00752D52">
        <w:rPr>
          <w:rFonts w:eastAsiaTheme="majorEastAsia"/>
        </w:rPr>
        <w:t xml:space="preserve"> to an integrated onshore operation that had completed units of property before 2 May 2010 or incurred costs before 1 July 2012.</w:t>
      </w:r>
      <w:r>
        <w:rPr>
          <w:rFonts w:eastAsiaTheme="majorEastAsia"/>
        </w:rPr>
        <w:t xml:space="preserve"> </w:t>
      </w:r>
      <w:r w:rsidRPr="00057458">
        <w:rPr>
          <w:rFonts w:eastAsiaTheme="majorEastAsia"/>
          <w:b/>
          <w:i/>
          <w:sz w:val="20"/>
        </w:rPr>
        <w:t>[Section 51]</w:t>
      </w:r>
    </w:p>
    <w:p w14:paraId="261393C1" w14:textId="089AE721" w:rsidR="00935F21" w:rsidRDefault="00935F21" w:rsidP="00E04CD7">
      <w:pPr>
        <w:rPr>
          <w:rFonts w:eastAsiaTheme="majorEastAsia"/>
          <w:b/>
          <w:u w:val="single"/>
        </w:rPr>
      </w:pPr>
      <w:r w:rsidRPr="00E04CD7">
        <w:rPr>
          <w:rFonts w:eastAsiaTheme="majorEastAsia"/>
          <w:b/>
          <w:u w:val="single"/>
        </w:rPr>
        <w:t>Finding Tables</w:t>
      </w:r>
    </w:p>
    <w:p w14:paraId="0A71E502" w14:textId="18B129E5" w:rsidR="00C53795" w:rsidRDefault="00C53795" w:rsidP="00E04CD7">
      <w:pPr>
        <w:rPr>
          <w:rFonts w:eastAsiaTheme="majorEastAsia"/>
          <w:b/>
          <w:u w:val="single"/>
        </w:rPr>
      </w:pPr>
    </w:p>
    <w:p w14:paraId="15B62899" w14:textId="1B5E095C" w:rsidR="00686911" w:rsidRDefault="00686911" w:rsidP="00686911">
      <w:pPr>
        <w:rPr>
          <w:b/>
          <w:i/>
        </w:rPr>
      </w:pPr>
      <w:r w:rsidRPr="00206C60">
        <w:rPr>
          <w:b/>
          <w:i/>
        </w:rPr>
        <w:t>Petroleum Resource</w:t>
      </w:r>
      <w:r>
        <w:rPr>
          <w:b/>
          <w:i/>
        </w:rPr>
        <w:t xml:space="preserve"> Rent Tax Assessment Regulation 201</w:t>
      </w:r>
      <w:r w:rsidRPr="00206C60">
        <w:rPr>
          <w:b/>
          <w:i/>
        </w:rPr>
        <w:t>5</w:t>
      </w:r>
      <w:r>
        <w:rPr>
          <w:b/>
          <w:i/>
        </w:rPr>
        <w:t xml:space="preserve"> </w:t>
      </w:r>
      <w:r>
        <w:rPr>
          <w:b/>
        </w:rPr>
        <w:t xml:space="preserve">to </w:t>
      </w:r>
      <w:r w:rsidRPr="00206C60">
        <w:rPr>
          <w:b/>
          <w:i/>
        </w:rPr>
        <w:t>Petroleum Resource Rent Tax Assessment Regulation</w:t>
      </w:r>
      <w:r>
        <w:rPr>
          <w:b/>
          <w:i/>
        </w:rPr>
        <w:t>s 200</w:t>
      </w:r>
      <w:r w:rsidRPr="00206C60">
        <w:rPr>
          <w:b/>
          <w:i/>
        </w:rPr>
        <w:t>5</w:t>
      </w:r>
    </w:p>
    <w:p w14:paraId="12DED910" w14:textId="77777777" w:rsidR="00686911" w:rsidRDefault="00686911" w:rsidP="00E04CD7">
      <w:pPr>
        <w:rPr>
          <w:rFonts w:eastAsiaTheme="majorEastAsia"/>
          <w:b/>
          <w:u w:val="single"/>
        </w:rPr>
      </w:pPr>
    </w:p>
    <w:tbl>
      <w:tblPr>
        <w:tblStyle w:val="TableGrid"/>
        <w:tblW w:w="8613" w:type="dxa"/>
        <w:tblLook w:val="04A0" w:firstRow="1" w:lastRow="0" w:firstColumn="1" w:lastColumn="0" w:noHBand="0" w:noVBand="1"/>
      </w:tblPr>
      <w:tblGrid>
        <w:gridCol w:w="4219"/>
        <w:gridCol w:w="4394"/>
      </w:tblGrid>
      <w:tr w:rsidR="00C53795" w14:paraId="13E8B285" w14:textId="77777777" w:rsidTr="00C53795">
        <w:trPr>
          <w:tblHeader/>
        </w:trPr>
        <w:tc>
          <w:tcPr>
            <w:tcW w:w="4219" w:type="dxa"/>
          </w:tcPr>
          <w:p w14:paraId="646EDE3E" w14:textId="77777777" w:rsidR="00C53795" w:rsidRPr="00206C60" w:rsidRDefault="00C53795" w:rsidP="00436BDA">
            <w:pPr>
              <w:spacing w:before="100" w:beforeAutospacing="1" w:after="100" w:afterAutospacing="1"/>
              <w:rPr>
                <w:b/>
                <w:i/>
              </w:rPr>
            </w:pPr>
            <w:r w:rsidRPr="00206C60">
              <w:rPr>
                <w:b/>
                <w:i/>
              </w:rPr>
              <w:t>Petroleum Resource Rent Tax Assessment Regulation 2015</w:t>
            </w:r>
            <w:r>
              <w:rPr>
                <w:b/>
                <w:i/>
              </w:rPr>
              <w:t xml:space="preserve"> </w:t>
            </w:r>
          </w:p>
        </w:tc>
        <w:tc>
          <w:tcPr>
            <w:tcW w:w="4394" w:type="dxa"/>
          </w:tcPr>
          <w:p w14:paraId="0C50D42E" w14:textId="77777777" w:rsidR="00C53795" w:rsidRPr="00206C60" w:rsidRDefault="00C53795" w:rsidP="00436BDA">
            <w:pPr>
              <w:spacing w:before="100" w:beforeAutospacing="1" w:after="100" w:afterAutospacing="1"/>
              <w:rPr>
                <w:b/>
                <w:i/>
              </w:rPr>
            </w:pPr>
            <w:r w:rsidRPr="00206C60">
              <w:rPr>
                <w:b/>
                <w:i/>
              </w:rPr>
              <w:t>Petroleum Resource Rent Tax Assessment Regulations 2005</w:t>
            </w:r>
          </w:p>
        </w:tc>
      </w:tr>
      <w:tr w:rsidR="00C53795" w14:paraId="462324F6" w14:textId="77777777" w:rsidTr="00436BDA">
        <w:tc>
          <w:tcPr>
            <w:tcW w:w="4219" w:type="dxa"/>
          </w:tcPr>
          <w:p w14:paraId="61154892" w14:textId="77777777" w:rsidR="00C53795" w:rsidRPr="00206C60" w:rsidRDefault="00C53795" w:rsidP="00436BDA">
            <w:pPr>
              <w:spacing w:before="100" w:beforeAutospacing="1" w:after="100" w:afterAutospacing="1"/>
              <w:rPr>
                <w:b/>
                <w:i/>
              </w:rPr>
            </w:pPr>
            <w:r>
              <w:t>Section</w:t>
            </w:r>
          </w:p>
        </w:tc>
        <w:tc>
          <w:tcPr>
            <w:tcW w:w="4394" w:type="dxa"/>
          </w:tcPr>
          <w:p w14:paraId="088DE1FC" w14:textId="77777777" w:rsidR="00C53795" w:rsidRDefault="00C53795" w:rsidP="00436BDA">
            <w:pPr>
              <w:spacing w:before="100" w:beforeAutospacing="1" w:after="100" w:afterAutospacing="1"/>
            </w:pPr>
            <w:r>
              <w:t>Regulation</w:t>
            </w:r>
          </w:p>
        </w:tc>
      </w:tr>
      <w:tr w:rsidR="00C53795" w14:paraId="4788F6F6" w14:textId="77777777" w:rsidTr="00436BDA">
        <w:tc>
          <w:tcPr>
            <w:tcW w:w="4219" w:type="dxa"/>
          </w:tcPr>
          <w:p w14:paraId="4D4DD5D8" w14:textId="0199D169" w:rsidR="00C53795" w:rsidRPr="00206C60" w:rsidRDefault="00C53795" w:rsidP="00436BDA">
            <w:pPr>
              <w:spacing w:before="100" w:beforeAutospacing="1" w:after="100" w:afterAutospacing="1"/>
            </w:pPr>
            <w:r>
              <w:t>1</w:t>
            </w:r>
            <w:r w:rsidR="0097043D">
              <w:t>–</w:t>
            </w:r>
            <w:r>
              <w:t xml:space="preserve"> Name</w:t>
            </w:r>
          </w:p>
        </w:tc>
        <w:tc>
          <w:tcPr>
            <w:tcW w:w="4394" w:type="dxa"/>
          </w:tcPr>
          <w:p w14:paraId="3E11AF90" w14:textId="77777777" w:rsidR="00C53795" w:rsidRDefault="00C53795" w:rsidP="00436BDA">
            <w:pPr>
              <w:spacing w:before="100" w:beforeAutospacing="1" w:after="100" w:afterAutospacing="1"/>
            </w:pPr>
            <w:r w:rsidRPr="00206C60">
              <w:t>1</w:t>
            </w:r>
            <w:r>
              <w:t xml:space="preserve"> – Name of Regulations</w:t>
            </w:r>
          </w:p>
        </w:tc>
      </w:tr>
      <w:tr w:rsidR="00C53795" w14:paraId="4B5B1DDC" w14:textId="77777777" w:rsidTr="00436BDA">
        <w:tc>
          <w:tcPr>
            <w:tcW w:w="4219" w:type="dxa"/>
          </w:tcPr>
          <w:p w14:paraId="6C77186D" w14:textId="77777777" w:rsidR="00C53795" w:rsidRPr="00206C60" w:rsidRDefault="00C53795" w:rsidP="00436BDA">
            <w:pPr>
              <w:spacing w:before="100" w:beforeAutospacing="1" w:after="100" w:afterAutospacing="1"/>
            </w:pPr>
            <w:r>
              <w:t>2 - Commencement</w:t>
            </w:r>
          </w:p>
        </w:tc>
        <w:tc>
          <w:tcPr>
            <w:tcW w:w="4394" w:type="dxa"/>
          </w:tcPr>
          <w:p w14:paraId="2FF0FE5E" w14:textId="77777777" w:rsidR="00C53795" w:rsidRDefault="00C53795" w:rsidP="00436BDA">
            <w:pPr>
              <w:spacing w:before="100" w:beforeAutospacing="1" w:after="100" w:afterAutospacing="1"/>
            </w:pPr>
            <w:r w:rsidRPr="00206C60">
              <w:t>2</w:t>
            </w:r>
            <w:r>
              <w:t xml:space="preserve"> – Commencement </w:t>
            </w:r>
          </w:p>
        </w:tc>
      </w:tr>
      <w:tr w:rsidR="00C53795" w14:paraId="46AD1040" w14:textId="77777777" w:rsidTr="00436BDA">
        <w:tc>
          <w:tcPr>
            <w:tcW w:w="4219" w:type="dxa"/>
          </w:tcPr>
          <w:p w14:paraId="0195663B" w14:textId="77777777" w:rsidR="00C53795" w:rsidRDefault="00C53795" w:rsidP="00436BDA">
            <w:pPr>
              <w:spacing w:before="100" w:beforeAutospacing="1" w:after="100" w:afterAutospacing="1"/>
            </w:pPr>
            <w:r>
              <w:t xml:space="preserve">3 – Authority </w:t>
            </w:r>
          </w:p>
        </w:tc>
        <w:tc>
          <w:tcPr>
            <w:tcW w:w="4394" w:type="dxa"/>
          </w:tcPr>
          <w:p w14:paraId="5B7F88B9" w14:textId="77777777" w:rsidR="00C53795" w:rsidRDefault="00C53795" w:rsidP="00436BDA">
            <w:pPr>
              <w:spacing w:before="100" w:beforeAutospacing="1" w:after="100" w:afterAutospacing="1"/>
            </w:pPr>
            <w:r>
              <w:t>N/A</w:t>
            </w:r>
          </w:p>
        </w:tc>
      </w:tr>
      <w:tr w:rsidR="00C53795" w14:paraId="64057590" w14:textId="77777777" w:rsidTr="00436BDA">
        <w:tc>
          <w:tcPr>
            <w:tcW w:w="4219" w:type="dxa"/>
          </w:tcPr>
          <w:p w14:paraId="785553E5" w14:textId="77777777" w:rsidR="00C53795" w:rsidRDefault="00C53795" w:rsidP="00436BDA">
            <w:pPr>
              <w:spacing w:before="100" w:beforeAutospacing="1" w:after="100" w:afterAutospacing="1"/>
            </w:pPr>
            <w:r>
              <w:t>4 – Schedules</w:t>
            </w:r>
          </w:p>
        </w:tc>
        <w:tc>
          <w:tcPr>
            <w:tcW w:w="4394" w:type="dxa"/>
          </w:tcPr>
          <w:p w14:paraId="7C806090" w14:textId="77777777" w:rsidR="00C53795" w:rsidRDefault="00C53795" w:rsidP="00436BDA">
            <w:pPr>
              <w:spacing w:before="100" w:beforeAutospacing="1" w:after="100" w:afterAutospacing="1"/>
            </w:pPr>
            <w:r>
              <w:t>N/A</w:t>
            </w:r>
          </w:p>
        </w:tc>
      </w:tr>
      <w:tr w:rsidR="00C53795" w14:paraId="628E6EE8" w14:textId="77777777" w:rsidTr="00436BDA">
        <w:tc>
          <w:tcPr>
            <w:tcW w:w="4219" w:type="dxa"/>
          </w:tcPr>
          <w:p w14:paraId="407BFBE4" w14:textId="77777777" w:rsidR="00C53795" w:rsidRPr="00206C60" w:rsidRDefault="00C53795" w:rsidP="00436BDA">
            <w:pPr>
              <w:spacing w:before="100" w:beforeAutospacing="1" w:after="100" w:afterAutospacing="1"/>
            </w:pPr>
            <w:r>
              <w:t xml:space="preserve">5 – Definitions </w:t>
            </w:r>
          </w:p>
        </w:tc>
        <w:tc>
          <w:tcPr>
            <w:tcW w:w="4394" w:type="dxa"/>
          </w:tcPr>
          <w:p w14:paraId="6F7B26DA" w14:textId="77777777" w:rsidR="00C53795" w:rsidRDefault="00C53795" w:rsidP="00436BDA">
            <w:pPr>
              <w:spacing w:before="100" w:beforeAutospacing="1" w:after="100" w:afterAutospacing="1"/>
            </w:pPr>
            <w:r w:rsidRPr="00206C60">
              <w:t>3</w:t>
            </w:r>
            <w:r>
              <w:t xml:space="preserve"> – Definitions </w:t>
            </w:r>
          </w:p>
        </w:tc>
      </w:tr>
      <w:tr w:rsidR="00C53795" w14:paraId="0969D819" w14:textId="77777777" w:rsidTr="00436BDA">
        <w:tc>
          <w:tcPr>
            <w:tcW w:w="4219" w:type="dxa"/>
          </w:tcPr>
          <w:p w14:paraId="0D41A1E9" w14:textId="77777777" w:rsidR="00C53795" w:rsidRPr="00206C60" w:rsidRDefault="00C53795" w:rsidP="00436BDA">
            <w:pPr>
              <w:spacing w:before="100" w:beforeAutospacing="1" w:after="100" w:afterAutospacing="1"/>
            </w:pPr>
            <w:r>
              <w:t>6 – When an integrated GTL operation exists</w:t>
            </w:r>
          </w:p>
        </w:tc>
        <w:tc>
          <w:tcPr>
            <w:tcW w:w="4394" w:type="dxa"/>
          </w:tcPr>
          <w:p w14:paraId="29ED2324" w14:textId="77777777" w:rsidR="00C53795" w:rsidRDefault="00C53795" w:rsidP="00436BDA">
            <w:pPr>
              <w:spacing w:before="100" w:beforeAutospacing="1" w:after="100" w:afterAutospacing="1"/>
            </w:pPr>
            <w:r>
              <w:t>4 – When an integrated GTL operation exists</w:t>
            </w:r>
          </w:p>
        </w:tc>
      </w:tr>
      <w:tr w:rsidR="00C53795" w14:paraId="616AF07D" w14:textId="77777777" w:rsidTr="00436BDA">
        <w:tc>
          <w:tcPr>
            <w:tcW w:w="4219" w:type="dxa"/>
          </w:tcPr>
          <w:p w14:paraId="3C93FD84" w14:textId="77777777" w:rsidR="00C53795" w:rsidRPr="00206C60" w:rsidRDefault="00C53795" w:rsidP="00436BDA">
            <w:pPr>
              <w:spacing w:before="100" w:beforeAutospacing="1" w:after="100" w:afterAutospacing="1"/>
            </w:pPr>
            <w:r>
              <w:t>7 – When an integrated GTE operation exists</w:t>
            </w:r>
          </w:p>
        </w:tc>
        <w:tc>
          <w:tcPr>
            <w:tcW w:w="4394" w:type="dxa"/>
          </w:tcPr>
          <w:p w14:paraId="147180E8" w14:textId="77777777" w:rsidR="00C53795" w:rsidRDefault="00C53795" w:rsidP="00436BDA">
            <w:pPr>
              <w:spacing w:before="100" w:beforeAutospacing="1" w:after="100" w:afterAutospacing="1"/>
            </w:pPr>
            <w:r>
              <w:t>4A – When an integrated GTE operation exists</w:t>
            </w:r>
          </w:p>
        </w:tc>
      </w:tr>
      <w:tr w:rsidR="00C53795" w14:paraId="5BCF3EB8" w14:textId="77777777" w:rsidTr="00436BDA">
        <w:tc>
          <w:tcPr>
            <w:tcW w:w="4219" w:type="dxa"/>
          </w:tcPr>
          <w:p w14:paraId="5E98CBB1" w14:textId="77777777" w:rsidR="00C53795" w:rsidRPr="00206C60" w:rsidRDefault="00C53795" w:rsidP="00436BDA">
            <w:pPr>
              <w:spacing w:before="100" w:beforeAutospacing="1" w:after="100" w:afterAutospacing="1"/>
            </w:pPr>
            <w:r>
              <w:t>8 – Upstream and downstream stages of integrated operation</w:t>
            </w:r>
          </w:p>
        </w:tc>
        <w:tc>
          <w:tcPr>
            <w:tcW w:w="4394" w:type="dxa"/>
          </w:tcPr>
          <w:p w14:paraId="26CB2ECD" w14:textId="77777777" w:rsidR="00C53795" w:rsidRDefault="00C53795" w:rsidP="00436BDA">
            <w:pPr>
              <w:spacing w:before="100" w:beforeAutospacing="1" w:after="100" w:afterAutospacing="1"/>
            </w:pPr>
            <w:r>
              <w:t xml:space="preserve">5 – Upstream and downstream stages of integrated operation </w:t>
            </w:r>
          </w:p>
        </w:tc>
      </w:tr>
      <w:tr w:rsidR="00C53795" w14:paraId="45800B35" w14:textId="77777777" w:rsidTr="00436BDA">
        <w:tc>
          <w:tcPr>
            <w:tcW w:w="4219" w:type="dxa"/>
          </w:tcPr>
          <w:p w14:paraId="38A6074A" w14:textId="77777777" w:rsidR="00C53795" w:rsidRPr="00206C60" w:rsidRDefault="00C53795" w:rsidP="00436BDA">
            <w:pPr>
              <w:spacing w:before="100" w:beforeAutospacing="1" w:after="100" w:afterAutospacing="1"/>
            </w:pPr>
            <w:r>
              <w:t>9 – Phase points of integrated operation</w:t>
            </w:r>
          </w:p>
        </w:tc>
        <w:tc>
          <w:tcPr>
            <w:tcW w:w="4394" w:type="dxa"/>
          </w:tcPr>
          <w:p w14:paraId="547271AE" w14:textId="77777777" w:rsidR="00C53795" w:rsidRDefault="00C53795" w:rsidP="00436BDA">
            <w:pPr>
              <w:spacing w:before="100" w:beforeAutospacing="1" w:after="100" w:afterAutospacing="1"/>
            </w:pPr>
            <w:r>
              <w:t xml:space="preserve">6 – Phase points of integrated operation </w:t>
            </w:r>
          </w:p>
        </w:tc>
      </w:tr>
      <w:tr w:rsidR="00C53795" w14:paraId="55020449" w14:textId="77777777" w:rsidTr="00436BDA">
        <w:tc>
          <w:tcPr>
            <w:tcW w:w="4219" w:type="dxa"/>
          </w:tcPr>
          <w:p w14:paraId="5C3AD8C7" w14:textId="77777777" w:rsidR="00C53795" w:rsidRPr="00206C60" w:rsidRDefault="00C53795" w:rsidP="00436BDA">
            <w:pPr>
              <w:spacing w:before="100" w:beforeAutospacing="1" w:after="100" w:afterAutospacing="1"/>
            </w:pPr>
            <w:r>
              <w:t>10 – When there is multiple use of a phase</w:t>
            </w:r>
          </w:p>
        </w:tc>
        <w:tc>
          <w:tcPr>
            <w:tcW w:w="4394" w:type="dxa"/>
          </w:tcPr>
          <w:p w14:paraId="589B330B" w14:textId="77777777" w:rsidR="00C53795" w:rsidRDefault="00C53795" w:rsidP="00436BDA">
            <w:pPr>
              <w:spacing w:before="100" w:beforeAutospacing="1" w:after="100" w:afterAutospacing="1"/>
            </w:pPr>
            <w:r>
              <w:t>7 – When there is multiple use of a phase</w:t>
            </w:r>
          </w:p>
        </w:tc>
      </w:tr>
      <w:tr w:rsidR="00C53795" w14:paraId="4ECDE6E3" w14:textId="77777777" w:rsidTr="00436BDA">
        <w:tc>
          <w:tcPr>
            <w:tcW w:w="4219" w:type="dxa"/>
          </w:tcPr>
          <w:p w14:paraId="496B55D0" w14:textId="77777777" w:rsidR="00C53795" w:rsidRPr="00206C60" w:rsidRDefault="00C53795" w:rsidP="00436BDA">
            <w:pPr>
              <w:spacing w:before="100" w:beforeAutospacing="1" w:after="100" w:afterAutospacing="1"/>
            </w:pPr>
            <w:r>
              <w:t>11 – Participants in integrated operation</w:t>
            </w:r>
          </w:p>
        </w:tc>
        <w:tc>
          <w:tcPr>
            <w:tcW w:w="4394" w:type="dxa"/>
          </w:tcPr>
          <w:p w14:paraId="35C7D89E" w14:textId="77777777" w:rsidR="00C53795" w:rsidRDefault="00C53795" w:rsidP="00436BDA">
            <w:pPr>
              <w:spacing w:before="100" w:beforeAutospacing="1" w:after="100" w:afterAutospacing="1"/>
            </w:pPr>
            <w:r>
              <w:t xml:space="preserve">8 – Participants in integrated operation </w:t>
            </w:r>
          </w:p>
        </w:tc>
      </w:tr>
      <w:tr w:rsidR="00C53795" w14:paraId="5B000DE4" w14:textId="77777777" w:rsidTr="00436BDA">
        <w:tc>
          <w:tcPr>
            <w:tcW w:w="4219" w:type="dxa"/>
          </w:tcPr>
          <w:p w14:paraId="4C1F62DD" w14:textId="77777777" w:rsidR="00C53795" w:rsidRPr="00206C60" w:rsidRDefault="00C53795" w:rsidP="00436BDA">
            <w:pPr>
              <w:spacing w:before="100" w:beforeAutospacing="1" w:after="100" w:afterAutospacing="1"/>
            </w:pPr>
            <w:r>
              <w:t>12 – Non-arm’s length transaction</w:t>
            </w:r>
          </w:p>
        </w:tc>
        <w:tc>
          <w:tcPr>
            <w:tcW w:w="4394" w:type="dxa"/>
          </w:tcPr>
          <w:p w14:paraId="6B208E4D" w14:textId="77777777" w:rsidR="00C53795" w:rsidRDefault="00C53795" w:rsidP="00436BDA">
            <w:pPr>
              <w:spacing w:before="100" w:beforeAutospacing="1" w:after="100" w:afterAutospacing="1"/>
            </w:pPr>
            <w:r>
              <w:t xml:space="preserve">8A – Non-arm’s length transaction </w:t>
            </w:r>
          </w:p>
        </w:tc>
      </w:tr>
      <w:tr w:rsidR="00C53795" w14:paraId="20F1FCE6" w14:textId="77777777" w:rsidTr="00436BDA">
        <w:tc>
          <w:tcPr>
            <w:tcW w:w="4219" w:type="dxa"/>
          </w:tcPr>
          <w:p w14:paraId="2C21CFA7" w14:textId="77777777" w:rsidR="00C53795" w:rsidRPr="00206C60" w:rsidRDefault="00C53795" w:rsidP="00436BDA">
            <w:pPr>
              <w:spacing w:before="100" w:beforeAutospacing="1" w:after="100" w:afterAutospacing="1"/>
            </w:pPr>
            <w:r>
              <w:t>13 – Estimated average annual volume or mass of project natural gas</w:t>
            </w:r>
          </w:p>
        </w:tc>
        <w:tc>
          <w:tcPr>
            <w:tcW w:w="4394" w:type="dxa"/>
          </w:tcPr>
          <w:p w14:paraId="2827FBC2" w14:textId="77777777" w:rsidR="00C53795" w:rsidRDefault="00C53795" w:rsidP="00436BDA">
            <w:pPr>
              <w:spacing w:before="100" w:beforeAutospacing="1" w:after="100" w:afterAutospacing="1"/>
            </w:pPr>
            <w:r>
              <w:t>9 – Estimated average annual volume or mass of project natural gas</w:t>
            </w:r>
          </w:p>
        </w:tc>
      </w:tr>
      <w:tr w:rsidR="00C53795" w14:paraId="34FAD9EF" w14:textId="77777777" w:rsidTr="00436BDA">
        <w:tc>
          <w:tcPr>
            <w:tcW w:w="4219" w:type="dxa"/>
          </w:tcPr>
          <w:p w14:paraId="7E7FB89A" w14:textId="77777777" w:rsidR="00C53795" w:rsidRPr="00206C60" w:rsidRDefault="00C53795" w:rsidP="00436BDA">
            <w:pPr>
              <w:spacing w:before="100" w:beforeAutospacing="1" w:after="100" w:afterAutospacing="1"/>
            </w:pPr>
            <w:r>
              <w:t xml:space="preserve">14 – meaning of </w:t>
            </w:r>
            <w:r>
              <w:rPr>
                <w:i/>
              </w:rPr>
              <w:t>volume coefficient</w:t>
            </w:r>
          </w:p>
        </w:tc>
        <w:tc>
          <w:tcPr>
            <w:tcW w:w="4394" w:type="dxa"/>
          </w:tcPr>
          <w:p w14:paraId="04D9DCDE" w14:textId="77777777" w:rsidR="00C53795" w:rsidRDefault="00C53795" w:rsidP="00436BDA">
            <w:pPr>
              <w:spacing w:before="100" w:beforeAutospacing="1" w:after="100" w:afterAutospacing="1"/>
            </w:pPr>
            <w:r>
              <w:t xml:space="preserve">10 – meaning of </w:t>
            </w:r>
            <w:r>
              <w:rPr>
                <w:i/>
              </w:rPr>
              <w:t xml:space="preserve">volume coefficient </w:t>
            </w:r>
          </w:p>
        </w:tc>
      </w:tr>
      <w:tr w:rsidR="00C53795" w14:paraId="272214A7" w14:textId="77777777" w:rsidTr="00436BDA">
        <w:tc>
          <w:tcPr>
            <w:tcW w:w="4219" w:type="dxa"/>
          </w:tcPr>
          <w:p w14:paraId="168782E3" w14:textId="77777777" w:rsidR="00C53795" w:rsidRPr="00206C60" w:rsidRDefault="00C53795" w:rsidP="00436BDA">
            <w:pPr>
              <w:spacing w:before="100" w:beforeAutospacing="1" w:after="100" w:afterAutospacing="1"/>
            </w:pPr>
            <w:r>
              <w:t xml:space="preserve">15 – meaning of </w:t>
            </w:r>
            <w:r w:rsidRPr="00896446">
              <w:rPr>
                <w:i/>
              </w:rPr>
              <w:t>mass coefficient</w:t>
            </w:r>
          </w:p>
        </w:tc>
        <w:tc>
          <w:tcPr>
            <w:tcW w:w="4394" w:type="dxa"/>
          </w:tcPr>
          <w:p w14:paraId="67B508DE" w14:textId="77777777" w:rsidR="00C53795" w:rsidRDefault="00C53795" w:rsidP="00436BDA">
            <w:pPr>
              <w:spacing w:before="100" w:beforeAutospacing="1" w:after="100" w:afterAutospacing="1"/>
            </w:pPr>
            <w:r>
              <w:t xml:space="preserve">10A – meaning of </w:t>
            </w:r>
            <w:r w:rsidRPr="00896446">
              <w:rPr>
                <w:i/>
              </w:rPr>
              <w:t>mass coefficient</w:t>
            </w:r>
          </w:p>
        </w:tc>
      </w:tr>
      <w:tr w:rsidR="00C53795" w14:paraId="53473A5D" w14:textId="77777777" w:rsidTr="00436BDA">
        <w:tc>
          <w:tcPr>
            <w:tcW w:w="4219" w:type="dxa"/>
          </w:tcPr>
          <w:p w14:paraId="617F02A3" w14:textId="77777777" w:rsidR="00C53795" w:rsidRPr="00206C60" w:rsidRDefault="00C53795" w:rsidP="00436BDA">
            <w:pPr>
              <w:spacing w:before="100" w:beforeAutospacing="1" w:after="100" w:afterAutospacing="1"/>
            </w:pPr>
            <w:r>
              <w:t>16 – Augmentation of a capital cost</w:t>
            </w:r>
          </w:p>
        </w:tc>
        <w:tc>
          <w:tcPr>
            <w:tcW w:w="4394" w:type="dxa"/>
          </w:tcPr>
          <w:p w14:paraId="60951B5A" w14:textId="77777777" w:rsidR="00C53795" w:rsidRDefault="00C53795" w:rsidP="00436BDA">
            <w:pPr>
              <w:spacing w:before="100" w:beforeAutospacing="1" w:after="100" w:afterAutospacing="1"/>
            </w:pPr>
            <w:r>
              <w:t>11 – Augmentation of a capital cost</w:t>
            </w:r>
          </w:p>
        </w:tc>
      </w:tr>
      <w:tr w:rsidR="00C53795" w14:paraId="7CAE17B7" w14:textId="77777777" w:rsidTr="00436BDA">
        <w:tc>
          <w:tcPr>
            <w:tcW w:w="4219" w:type="dxa"/>
          </w:tcPr>
          <w:p w14:paraId="6E96E67C" w14:textId="77777777" w:rsidR="00C53795" w:rsidRPr="00206C60" w:rsidRDefault="00C53795" w:rsidP="00436BDA">
            <w:pPr>
              <w:spacing w:before="100" w:beforeAutospacing="1" w:after="100" w:afterAutospacing="1"/>
            </w:pPr>
            <w:r>
              <w:t>17 – Reduction of a capital cost</w:t>
            </w:r>
          </w:p>
        </w:tc>
        <w:tc>
          <w:tcPr>
            <w:tcW w:w="4394" w:type="dxa"/>
          </w:tcPr>
          <w:p w14:paraId="2E15280C" w14:textId="77777777" w:rsidR="00C53795" w:rsidRDefault="00C53795" w:rsidP="00436BDA">
            <w:pPr>
              <w:spacing w:before="100" w:beforeAutospacing="1" w:after="100" w:afterAutospacing="1"/>
            </w:pPr>
            <w:r>
              <w:t>12 – Reduction of a capital cost</w:t>
            </w:r>
          </w:p>
        </w:tc>
      </w:tr>
      <w:tr w:rsidR="00C53795" w14:paraId="7446FDC3" w14:textId="77777777" w:rsidTr="00436BDA">
        <w:tc>
          <w:tcPr>
            <w:tcW w:w="4219" w:type="dxa"/>
          </w:tcPr>
          <w:p w14:paraId="3DD0D2FF" w14:textId="77777777" w:rsidR="00C53795" w:rsidRPr="00206C60" w:rsidRDefault="00C53795" w:rsidP="00436BDA">
            <w:pPr>
              <w:spacing w:before="100" w:beforeAutospacing="1" w:after="100" w:afterAutospacing="1"/>
            </w:pPr>
            <w:r>
              <w:t>18 – Capital allowance</w:t>
            </w:r>
          </w:p>
        </w:tc>
        <w:tc>
          <w:tcPr>
            <w:tcW w:w="4394" w:type="dxa"/>
          </w:tcPr>
          <w:p w14:paraId="0F3B62B9" w14:textId="77777777" w:rsidR="00C53795" w:rsidRDefault="00C53795" w:rsidP="00436BDA">
            <w:pPr>
              <w:spacing w:before="100" w:beforeAutospacing="1" w:after="100" w:afterAutospacing="1"/>
            </w:pPr>
            <w:r>
              <w:t>13 – Capital allowance</w:t>
            </w:r>
          </w:p>
        </w:tc>
      </w:tr>
      <w:tr w:rsidR="00C53795" w14:paraId="468FACC2" w14:textId="77777777" w:rsidTr="00436BDA">
        <w:tc>
          <w:tcPr>
            <w:tcW w:w="4219" w:type="dxa"/>
          </w:tcPr>
          <w:p w14:paraId="628228A2" w14:textId="77777777" w:rsidR="00C53795" w:rsidRPr="00206C60" w:rsidRDefault="00C53795" w:rsidP="00436BDA">
            <w:pPr>
              <w:spacing w:before="100" w:beforeAutospacing="1" w:after="100" w:afterAutospacing="1"/>
            </w:pPr>
            <w:r>
              <w:t>19 – Assessable petroleum receipts – sales gas of integrated operation with non-arm’s length sale</w:t>
            </w:r>
          </w:p>
        </w:tc>
        <w:tc>
          <w:tcPr>
            <w:tcW w:w="4394" w:type="dxa"/>
          </w:tcPr>
          <w:p w14:paraId="365DC65D" w14:textId="77777777" w:rsidR="00C53795" w:rsidRDefault="00C53795" w:rsidP="00436BDA">
            <w:pPr>
              <w:spacing w:before="100" w:beforeAutospacing="1" w:after="100" w:afterAutospacing="1"/>
            </w:pPr>
            <w:r>
              <w:t>14 – Assessable petroleum receipts – sales gas of integrated operation with non-arm’s length sale</w:t>
            </w:r>
          </w:p>
        </w:tc>
      </w:tr>
      <w:tr w:rsidR="00C53795" w14:paraId="79176452" w14:textId="77777777" w:rsidTr="00436BDA">
        <w:tc>
          <w:tcPr>
            <w:tcW w:w="4219" w:type="dxa"/>
          </w:tcPr>
          <w:p w14:paraId="10E3798D" w14:textId="77777777" w:rsidR="00C53795" w:rsidRPr="00206C60" w:rsidRDefault="00C53795" w:rsidP="00436BDA">
            <w:pPr>
              <w:spacing w:before="100" w:beforeAutospacing="1" w:after="100" w:afterAutospacing="1"/>
            </w:pPr>
            <w:r>
              <w:t>20 – Assessable petroleum receipts – sales gas of integrated operation becoming excluded commodity other than by being sold</w:t>
            </w:r>
          </w:p>
        </w:tc>
        <w:tc>
          <w:tcPr>
            <w:tcW w:w="4394" w:type="dxa"/>
          </w:tcPr>
          <w:p w14:paraId="01BADF5B" w14:textId="77777777" w:rsidR="00C53795" w:rsidRDefault="00C53795" w:rsidP="00436BDA">
            <w:pPr>
              <w:spacing w:before="100" w:beforeAutospacing="1" w:after="100" w:afterAutospacing="1"/>
            </w:pPr>
            <w:r>
              <w:t>15 – Assessable petroleum receipts – sales gas of integrated operation becoming excluded commodity other than by being sold</w:t>
            </w:r>
          </w:p>
        </w:tc>
      </w:tr>
      <w:tr w:rsidR="00C53795" w14:paraId="07DCB8E8" w14:textId="77777777" w:rsidTr="00436BDA">
        <w:tc>
          <w:tcPr>
            <w:tcW w:w="4219" w:type="dxa"/>
          </w:tcPr>
          <w:p w14:paraId="11709BD3" w14:textId="77777777" w:rsidR="00C53795" w:rsidRPr="00206C60" w:rsidRDefault="00C53795" w:rsidP="00436BDA">
            <w:pPr>
              <w:spacing w:before="100" w:beforeAutospacing="1" w:after="100" w:afterAutospacing="1"/>
            </w:pPr>
            <w:r>
              <w:t>21 – Assessable petroleum receipts – natural gas of onshore integrated operation with non-arm’s length sale</w:t>
            </w:r>
          </w:p>
        </w:tc>
        <w:tc>
          <w:tcPr>
            <w:tcW w:w="4394" w:type="dxa"/>
          </w:tcPr>
          <w:p w14:paraId="2816A5A0" w14:textId="77777777" w:rsidR="00C53795" w:rsidRDefault="00C53795" w:rsidP="00436BDA">
            <w:pPr>
              <w:spacing w:before="100" w:beforeAutospacing="1" w:after="100" w:afterAutospacing="1"/>
            </w:pPr>
            <w:r>
              <w:t>16 – Assessable petroleum receipts – natural gas of onshore integrated operation with non-arm’s length sale</w:t>
            </w:r>
          </w:p>
        </w:tc>
      </w:tr>
      <w:tr w:rsidR="00C53795" w14:paraId="4FF49BC7" w14:textId="77777777" w:rsidTr="00436BDA">
        <w:tc>
          <w:tcPr>
            <w:tcW w:w="4219" w:type="dxa"/>
          </w:tcPr>
          <w:p w14:paraId="39AE3E39" w14:textId="77777777" w:rsidR="00C53795" w:rsidRPr="00206C60" w:rsidRDefault="00C53795" w:rsidP="00436BDA">
            <w:pPr>
              <w:spacing w:before="100" w:beforeAutospacing="1" w:after="100" w:afterAutospacing="1"/>
            </w:pPr>
            <w:r>
              <w:t>22 – Advance pricing arrangements</w:t>
            </w:r>
          </w:p>
        </w:tc>
        <w:tc>
          <w:tcPr>
            <w:tcW w:w="4394" w:type="dxa"/>
          </w:tcPr>
          <w:p w14:paraId="6C95F569" w14:textId="77777777" w:rsidR="00C53795" w:rsidRDefault="00C53795" w:rsidP="00436BDA">
            <w:pPr>
              <w:spacing w:before="100" w:beforeAutospacing="1" w:after="100" w:afterAutospacing="1"/>
            </w:pPr>
            <w:r>
              <w:t>18 – Advance pricing arrangements</w:t>
            </w:r>
          </w:p>
        </w:tc>
      </w:tr>
      <w:tr w:rsidR="00C53795" w14:paraId="7EF78563" w14:textId="77777777" w:rsidTr="00436BDA">
        <w:tc>
          <w:tcPr>
            <w:tcW w:w="4219" w:type="dxa"/>
          </w:tcPr>
          <w:p w14:paraId="76090B04" w14:textId="77777777" w:rsidR="00C53795" w:rsidRPr="00206C60" w:rsidRDefault="00C53795" w:rsidP="00436BDA">
            <w:pPr>
              <w:spacing w:before="100" w:beforeAutospacing="1" w:after="100" w:afterAutospacing="1"/>
            </w:pPr>
            <w:r>
              <w:t>23 – The comparable uncontrolled price</w:t>
            </w:r>
          </w:p>
        </w:tc>
        <w:tc>
          <w:tcPr>
            <w:tcW w:w="4394" w:type="dxa"/>
          </w:tcPr>
          <w:p w14:paraId="53F87D9B" w14:textId="77777777" w:rsidR="00C53795" w:rsidRDefault="00C53795" w:rsidP="00436BDA">
            <w:pPr>
              <w:spacing w:before="100" w:beforeAutospacing="1" w:after="100" w:afterAutospacing="1"/>
            </w:pPr>
            <w:r>
              <w:t>19 – The comparable uncontrolled price</w:t>
            </w:r>
          </w:p>
        </w:tc>
      </w:tr>
      <w:tr w:rsidR="00C53795" w14:paraId="03E4D3BA" w14:textId="77777777" w:rsidTr="00436BDA">
        <w:tc>
          <w:tcPr>
            <w:tcW w:w="4219" w:type="dxa"/>
          </w:tcPr>
          <w:p w14:paraId="78C51E3F" w14:textId="77777777" w:rsidR="00C53795" w:rsidRPr="00206C60" w:rsidRDefault="00C53795" w:rsidP="00436BDA">
            <w:pPr>
              <w:spacing w:before="100" w:beforeAutospacing="1" w:after="100" w:afterAutospacing="1"/>
            </w:pPr>
            <w:r>
              <w:t>24 – RPM price (transfer price using the residual pricing method)</w:t>
            </w:r>
          </w:p>
        </w:tc>
        <w:tc>
          <w:tcPr>
            <w:tcW w:w="4394" w:type="dxa"/>
          </w:tcPr>
          <w:p w14:paraId="3D265DAF" w14:textId="77777777" w:rsidR="00C53795" w:rsidRDefault="00C53795" w:rsidP="00436BDA">
            <w:pPr>
              <w:spacing w:before="100" w:beforeAutospacing="1" w:after="100" w:afterAutospacing="1"/>
            </w:pPr>
            <w:r>
              <w:t>20 – RPM price (transfer price using the residual pricing method)</w:t>
            </w:r>
          </w:p>
        </w:tc>
      </w:tr>
      <w:tr w:rsidR="00C53795" w14:paraId="5AA20239" w14:textId="77777777" w:rsidTr="00436BDA">
        <w:tc>
          <w:tcPr>
            <w:tcW w:w="4219" w:type="dxa"/>
          </w:tcPr>
          <w:p w14:paraId="7C9B2F2E" w14:textId="77777777" w:rsidR="00C53795" w:rsidRPr="00206C60" w:rsidRDefault="00C53795" w:rsidP="00436BDA">
            <w:pPr>
              <w:spacing w:before="100" w:beforeAutospacing="1" w:after="100" w:afterAutospacing="1"/>
            </w:pPr>
            <w:r>
              <w:t>25 – RPM price where information is not available</w:t>
            </w:r>
          </w:p>
        </w:tc>
        <w:tc>
          <w:tcPr>
            <w:tcW w:w="4394" w:type="dxa"/>
          </w:tcPr>
          <w:p w14:paraId="686DE2C8" w14:textId="77777777" w:rsidR="00C53795" w:rsidRDefault="00C53795" w:rsidP="00436BDA">
            <w:pPr>
              <w:spacing w:before="100" w:beforeAutospacing="1" w:after="100" w:afterAutospacing="1"/>
            </w:pPr>
            <w:r>
              <w:t xml:space="preserve">21 – RPM price where information is not available </w:t>
            </w:r>
          </w:p>
        </w:tc>
      </w:tr>
      <w:tr w:rsidR="00C53795" w14:paraId="3939ECE2" w14:textId="77777777" w:rsidTr="00436BDA">
        <w:tc>
          <w:tcPr>
            <w:tcW w:w="4219" w:type="dxa"/>
          </w:tcPr>
          <w:p w14:paraId="143C304F" w14:textId="77777777" w:rsidR="00C53795" w:rsidRPr="00206C60" w:rsidRDefault="00C53795" w:rsidP="00436BDA">
            <w:pPr>
              <w:spacing w:before="100" w:beforeAutospacing="1" w:after="100" w:afterAutospacing="1"/>
            </w:pPr>
            <w:r>
              <w:t>26 – Cost-plus price</w:t>
            </w:r>
          </w:p>
        </w:tc>
        <w:tc>
          <w:tcPr>
            <w:tcW w:w="4394" w:type="dxa"/>
          </w:tcPr>
          <w:p w14:paraId="6415F3E1" w14:textId="77777777" w:rsidR="00C53795" w:rsidRDefault="00C53795" w:rsidP="00436BDA">
            <w:pPr>
              <w:spacing w:before="100" w:beforeAutospacing="1" w:after="100" w:afterAutospacing="1"/>
            </w:pPr>
            <w:r>
              <w:t>22 – Cost-plus price</w:t>
            </w:r>
          </w:p>
        </w:tc>
      </w:tr>
      <w:tr w:rsidR="00C53795" w14:paraId="1546FD72" w14:textId="77777777" w:rsidTr="00436BDA">
        <w:tc>
          <w:tcPr>
            <w:tcW w:w="4219" w:type="dxa"/>
          </w:tcPr>
          <w:p w14:paraId="7E417463" w14:textId="77777777" w:rsidR="00C53795" w:rsidRPr="00206C60" w:rsidRDefault="00C53795" w:rsidP="00436BDA">
            <w:pPr>
              <w:spacing w:before="100" w:beforeAutospacing="1" w:after="100" w:afterAutospacing="1"/>
            </w:pPr>
            <w:r>
              <w:t xml:space="preserve">27 – Netback price </w:t>
            </w:r>
          </w:p>
        </w:tc>
        <w:tc>
          <w:tcPr>
            <w:tcW w:w="4394" w:type="dxa"/>
          </w:tcPr>
          <w:p w14:paraId="301AF573" w14:textId="77777777" w:rsidR="00C53795" w:rsidRDefault="00C53795" w:rsidP="00436BDA">
            <w:pPr>
              <w:spacing w:before="100" w:beforeAutospacing="1" w:after="100" w:afterAutospacing="1"/>
            </w:pPr>
            <w:r>
              <w:t>23 – Netback price</w:t>
            </w:r>
          </w:p>
        </w:tc>
      </w:tr>
      <w:tr w:rsidR="00C53795" w14:paraId="024CD890" w14:textId="77777777" w:rsidTr="00436BDA">
        <w:tc>
          <w:tcPr>
            <w:tcW w:w="4219" w:type="dxa"/>
          </w:tcPr>
          <w:p w14:paraId="5F75A886" w14:textId="77777777" w:rsidR="00C53795" w:rsidRPr="00206C60" w:rsidRDefault="00C53795" w:rsidP="00436BDA">
            <w:pPr>
              <w:spacing w:before="100" w:beforeAutospacing="1" w:after="100" w:afterAutospacing="1"/>
            </w:pPr>
            <w:r>
              <w:t>28 – Costs are net of GST tax credits and adjustments</w:t>
            </w:r>
          </w:p>
        </w:tc>
        <w:tc>
          <w:tcPr>
            <w:tcW w:w="4394" w:type="dxa"/>
          </w:tcPr>
          <w:p w14:paraId="3FCEF9AB" w14:textId="77777777" w:rsidR="00C53795" w:rsidRDefault="00C53795" w:rsidP="00436BDA">
            <w:pPr>
              <w:spacing w:before="100" w:beforeAutospacing="1" w:after="100" w:afterAutospacing="1"/>
            </w:pPr>
            <w:r>
              <w:t xml:space="preserve">24 – Costs are net of GST tax credits and adjustments </w:t>
            </w:r>
          </w:p>
        </w:tc>
      </w:tr>
      <w:tr w:rsidR="00C53795" w14:paraId="1EFE80C8" w14:textId="77777777" w:rsidTr="00436BDA">
        <w:tc>
          <w:tcPr>
            <w:tcW w:w="4219" w:type="dxa"/>
          </w:tcPr>
          <w:p w14:paraId="591CABB5" w14:textId="77777777" w:rsidR="00C53795" w:rsidRDefault="00C53795" w:rsidP="00436BDA">
            <w:pPr>
              <w:spacing w:before="100" w:beforeAutospacing="1" w:after="100" w:afterAutospacing="1"/>
            </w:pPr>
            <w:r>
              <w:t>29 – When the residual pricing method can be used</w:t>
            </w:r>
          </w:p>
        </w:tc>
        <w:tc>
          <w:tcPr>
            <w:tcW w:w="4394" w:type="dxa"/>
          </w:tcPr>
          <w:p w14:paraId="3BF41CB8" w14:textId="77777777" w:rsidR="00C53795" w:rsidRDefault="00C53795" w:rsidP="00436BDA">
            <w:pPr>
              <w:spacing w:before="100" w:beforeAutospacing="1" w:after="100" w:afterAutospacing="1"/>
            </w:pPr>
            <w:r>
              <w:t>25 – The residual pricing method for working out cost-plus and netback prices</w:t>
            </w:r>
          </w:p>
        </w:tc>
      </w:tr>
      <w:tr w:rsidR="00C53795" w14:paraId="4893FE56" w14:textId="77777777" w:rsidTr="00436BDA">
        <w:tc>
          <w:tcPr>
            <w:tcW w:w="4219" w:type="dxa"/>
          </w:tcPr>
          <w:p w14:paraId="249F4C81" w14:textId="77777777" w:rsidR="00C53795" w:rsidRPr="00206C60" w:rsidRDefault="00C53795" w:rsidP="00436BDA">
            <w:pPr>
              <w:spacing w:before="100" w:beforeAutospacing="1" w:after="100" w:afterAutospacing="1"/>
            </w:pPr>
            <w:r>
              <w:t>30 – The residual pricing method for working out cost-plus price and netback price</w:t>
            </w:r>
          </w:p>
        </w:tc>
        <w:tc>
          <w:tcPr>
            <w:tcW w:w="4394" w:type="dxa"/>
          </w:tcPr>
          <w:p w14:paraId="0E46AE28" w14:textId="77777777" w:rsidR="00C53795" w:rsidRDefault="00C53795" w:rsidP="00436BDA">
            <w:pPr>
              <w:spacing w:before="100" w:beforeAutospacing="1" w:after="100" w:afterAutospacing="1"/>
            </w:pPr>
            <w:r>
              <w:t>25 – The residual pricing method for working out cost-plus and netback prices</w:t>
            </w:r>
          </w:p>
        </w:tc>
      </w:tr>
      <w:tr w:rsidR="00C53795" w14:paraId="76CDB023" w14:textId="77777777" w:rsidTr="00436BDA">
        <w:tc>
          <w:tcPr>
            <w:tcW w:w="4219" w:type="dxa"/>
          </w:tcPr>
          <w:p w14:paraId="7090FFDB" w14:textId="77777777" w:rsidR="00C53795" w:rsidRPr="00206C60" w:rsidRDefault="00C53795" w:rsidP="00436BDA">
            <w:pPr>
              <w:spacing w:before="100" w:beforeAutospacing="1" w:after="100" w:afterAutospacing="1"/>
            </w:pPr>
            <w:r>
              <w:t>31 – Types of cost associated with integrated operation</w:t>
            </w:r>
          </w:p>
        </w:tc>
        <w:tc>
          <w:tcPr>
            <w:tcW w:w="4394" w:type="dxa"/>
          </w:tcPr>
          <w:p w14:paraId="05B473DE" w14:textId="77777777" w:rsidR="00C53795" w:rsidRDefault="00C53795" w:rsidP="00436BDA">
            <w:pPr>
              <w:spacing w:before="100" w:beforeAutospacing="1" w:after="100" w:afterAutospacing="1"/>
            </w:pPr>
            <w:r>
              <w:t xml:space="preserve">26 – Types of cost associated with integrated operation </w:t>
            </w:r>
          </w:p>
        </w:tc>
      </w:tr>
      <w:tr w:rsidR="00C53795" w14:paraId="59444EAC" w14:textId="77777777" w:rsidTr="00436BDA">
        <w:tc>
          <w:tcPr>
            <w:tcW w:w="4219" w:type="dxa"/>
          </w:tcPr>
          <w:p w14:paraId="4BEB1A29" w14:textId="77777777" w:rsidR="00C53795" w:rsidRPr="00206C60" w:rsidRDefault="00C53795" w:rsidP="00436BDA">
            <w:pPr>
              <w:spacing w:before="100" w:beforeAutospacing="1" w:after="100" w:afterAutospacing="1"/>
            </w:pPr>
            <w:r>
              <w:t>32 – Exclusion of certain costs of integrated operation</w:t>
            </w:r>
          </w:p>
        </w:tc>
        <w:tc>
          <w:tcPr>
            <w:tcW w:w="4394" w:type="dxa"/>
          </w:tcPr>
          <w:p w14:paraId="155782DE" w14:textId="77777777" w:rsidR="00C53795" w:rsidRDefault="00C53795" w:rsidP="00436BDA">
            <w:pPr>
              <w:spacing w:before="100" w:beforeAutospacing="1" w:after="100" w:afterAutospacing="1"/>
            </w:pPr>
            <w:r>
              <w:t xml:space="preserve">27 – Exclusion of certain costs of integrated operation </w:t>
            </w:r>
          </w:p>
        </w:tc>
      </w:tr>
      <w:tr w:rsidR="00C53795" w14:paraId="149E937B" w14:textId="77777777" w:rsidTr="00436BDA">
        <w:tc>
          <w:tcPr>
            <w:tcW w:w="4219" w:type="dxa"/>
          </w:tcPr>
          <w:p w14:paraId="2C8AF606" w14:textId="77777777" w:rsidR="00C53795" w:rsidRPr="00206C60" w:rsidRDefault="00C53795" w:rsidP="00436BDA">
            <w:pPr>
              <w:spacing w:before="100" w:beforeAutospacing="1" w:after="100" w:afterAutospacing="1"/>
            </w:pPr>
            <w:r>
              <w:t>33 – Direct, indirect and personal costs</w:t>
            </w:r>
          </w:p>
        </w:tc>
        <w:tc>
          <w:tcPr>
            <w:tcW w:w="4394" w:type="dxa"/>
          </w:tcPr>
          <w:p w14:paraId="6A0D2057" w14:textId="77777777" w:rsidR="00C53795" w:rsidRDefault="00C53795" w:rsidP="00436BDA">
            <w:pPr>
              <w:spacing w:before="100" w:beforeAutospacing="1" w:after="100" w:afterAutospacing="1"/>
            </w:pPr>
            <w:r>
              <w:t>28 – Direct, indirect and personal costs</w:t>
            </w:r>
          </w:p>
        </w:tc>
      </w:tr>
      <w:tr w:rsidR="00C53795" w14:paraId="04B7E839" w14:textId="77777777" w:rsidTr="00436BDA">
        <w:tc>
          <w:tcPr>
            <w:tcW w:w="4219" w:type="dxa"/>
          </w:tcPr>
          <w:p w14:paraId="228CA26A" w14:textId="77777777" w:rsidR="00C53795" w:rsidRPr="00206C60" w:rsidRDefault="00C53795" w:rsidP="00436BDA">
            <w:pPr>
              <w:spacing w:before="100" w:beforeAutospacing="1" w:after="100" w:afterAutospacing="1"/>
            </w:pPr>
            <w:r>
              <w:t>34 – Exclusion of personal costs of other participants</w:t>
            </w:r>
          </w:p>
        </w:tc>
        <w:tc>
          <w:tcPr>
            <w:tcW w:w="4394" w:type="dxa"/>
          </w:tcPr>
          <w:p w14:paraId="083F6FFD" w14:textId="77777777" w:rsidR="00C53795" w:rsidRDefault="00C53795" w:rsidP="00436BDA">
            <w:pPr>
              <w:spacing w:before="100" w:beforeAutospacing="1" w:after="100" w:afterAutospacing="1"/>
            </w:pPr>
            <w:r>
              <w:t>29 – Exclusion of personal costs of other participants</w:t>
            </w:r>
          </w:p>
        </w:tc>
      </w:tr>
      <w:tr w:rsidR="00C53795" w14:paraId="7FAD1F6E" w14:textId="77777777" w:rsidTr="00436BDA">
        <w:tc>
          <w:tcPr>
            <w:tcW w:w="4219" w:type="dxa"/>
          </w:tcPr>
          <w:p w14:paraId="1E5485BC" w14:textId="77777777" w:rsidR="00C53795" w:rsidRPr="00206C60" w:rsidRDefault="00C53795" w:rsidP="00436BDA">
            <w:pPr>
              <w:spacing w:before="100" w:beforeAutospacing="1" w:after="100" w:afterAutospacing="1"/>
            </w:pPr>
            <w:r>
              <w:t>35 – Included costs</w:t>
            </w:r>
          </w:p>
        </w:tc>
        <w:tc>
          <w:tcPr>
            <w:tcW w:w="4394" w:type="dxa"/>
          </w:tcPr>
          <w:p w14:paraId="2B9B4B86" w14:textId="77777777" w:rsidR="00C53795" w:rsidRDefault="00C53795" w:rsidP="00436BDA">
            <w:pPr>
              <w:spacing w:before="100" w:beforeAutospacing="1" w:after="100" w:afterAutospacing="1"/>
            </w:pPr>
            <w:r>
              <w:t>30 – Included costs</w:t>
            </w:r>
          </w:p>
        </w:tc>
      </w:tr>
      <w:tr w:rsidR="00C53795" w14:paraId="74B32113" w14:textId="77777777" w:rsidTr="00436BDA">
        <w:tc>
          <w:tcPr>
            <w:tcW w:w="4219" w:type="dxa"/>
          </w:tcPr>
          <w:p w14:paraId="2F9BB14E" w14:textId="77777777" w:rsidR="00C53795" w:rsidRPr="00206C60" w:rsidRDefault="00C53795" w:rsidP="00436BDA">
            <w:pPr>
              <w:spacing w:before="100" w:beforeAutospacing="1" w:after="100" w:afterAutospacing="1"/>
            </w:pPr>
            <w:r>
              <w:t>36 – Capital costs and operating costs</w:t>
            </w:r>
          </w:p>
        </w:tc>
        <w:tc>
          <w:tcPr>
            <w:tcW w:w="4394" w:type="dxa"/>
          </w:tcPr>
          <w:p w14:paraId="02EDB7DC" w14:textId="77777777" w:rsidR="00C53795" w:rsidRDefault="00C53795" w:rsidP="00436BDA">
            <w:pPr>
              <w:spacing w:before="100" w:beforeAutospacing="1" w:after="100" w:afterAutospacing="1"/>
            </w:pPr>
            <w:r>
              <w:t>31 – Capital and operating costs</w:t>
            </w:r>
          </w:p>
        </w:tc>
      </w:tr>
      <w:tr w:rsidR="00C53795" w14:paraId="1B06E57F" w14:textId="77777777" w:rsidTr="00436BDA">
        <w:tc>
          <w:tcPr>
            <w:tcW w:w="4219" w:type="dxa"/>
          </w:tcPr>
          <w:p w14:paraId="1708D1EA" w14:textId="77777777" w:rsidR="00C53795" w:rsidRPr="00206C60" w:rsidRDefault="00C53795" w:rsidP="00436BDA">
            <w:pPr>
              <w:spacing w:before="100" w:beforeAutospacing="1" w:after="100" w:afterAutospacing="1"/>
            </w:pPr>
            <w:r>
              <w:t>37 – Amount and timing of included capital cost</w:t>
            </w:r>
          </w:p>
        </w:tc>
        <w:tc>
          <w:tcPr>
            <w:tcW w:w="4394" w:type="dxa"/>
          </w:tcPr>
          <w:p w14:paraId="4869B9BA" w14:textId="77777777" w:rsidR="00C53795" w:rsidRDefault="00C53795" w:rsidP="00436BDA">
            <w:pPr>
              <w:spacing w:before="100" w:beforeAutospacing="1" w:after="100" w:afterAutospacing="1"/>
            </w:pPr>
            <w:r>
              <w:t>31A – Amount and timing of included capital cost</w:t>
            </w:r>
          </w:p>
        </w:tc>
      </w:tr>
      <w:tr w:rsidR="00C53795" w14:paraId="2BA3A386" w14:textId="77777777" w:rsidTr="00436BDA">
        <w:tc>
          <w:tcPr>
            <w:tcW w:w="4219" w:type="dxa"/>
          </w:tcPr>
          <w:p w14:paraId="729EF334" w14:textId="77777777" w:rsidR="00C53795" w:rsidRPr="00206C60" w:rsidRDefault="00C53795" w:rsidP="00436BDA">
            <w:pPr>
              <w:spacing w:before="100" w:beforeAutospacing="1" w:after="100" w:afterAutospacing="1"/>
            </w:pPr>
            <w:r>
              <w:t>38 – Phase costs and upstream and downstream costs</w:t>
            </w:r>
          </w:p>
        </w:tc>
        <w:tc>
          <w:tcPr>
            <w:tcW w:w="4394" w:type="dxa"/>
          </w:tcPr>
          <w:p w14:paraId="56E50953" w14:textId="77777777" w:rsidR="00C53795" w:rsidRDefault="00C53795" w:rsidP="00436BDA">
            <w:pPr>
              <w:spacing w:before="100" w:beforeAutospacing="1" w:after="100" w:afterAutospacing="1"/>
            </w:pPr>
            <w:r>
              <w:t>32 – Phase costs and upstream and downstream costs</w:t>
            </w:r>
          </w:p>
        </w:tc>
      </w:tr>
      <w:tr w:rsidR="00C53795" w14:paraId="431D4E1F" w14:textId="77777777" w:rsidTr="00436BDA">
        <w:tc>
          <w:tcPr>
            <w:tcW w:w="4219" w:type="dxa"/>
          </w:tcPr>
          <w:p w14:paraId="3FC51483" w14:textId="77777777" w:rsidR="00C53795" w:rsidRPr="00206C60" w:rsidRDefault="00C53795" w:rsidP="00436BDA">
            <w:pPr>
              <w:spacing w:before="100" w:beforeAutospacing="1" w:after="100" w:afterAutospacing="1"/>
            </w:pPr>
            <w:r>
              <w:t>39 – Capital costs incurred for a unit of property completed over several years</w:t>
            </w:r>
          </w:p>
        </w:tc>
        <w:tc>
          <w:tcPr>
            <w:tcW w:w="4394" w:type="dxa"/>
          </w:tcPr>
          <w:p w14:paraId="06B0AE59" w14:textId="77777777" w:rsidR="00C53795" w:rsidRDefault="00C53795" w:rsidP="00436BDA">
            <w:pPr>
              <w:spacing w:before="100" w:beforeAutospacing="1" w:after="100" w:afterAutospacing="1"/>
            </w:pPr>
            <w:r>
              <w:t>33 – Capital costs incurred for a unit of property completed over several years</w:t>
            </w:r>
          </w:p>
        </w:tc>
      </w:tr>
      <w:tr w:rsidR="00C53795" w14:paraId="4126095F" w14:textId="77777777" w:rsidTr="00436BDA">
        <w:tc>
          <w:tcPr>
            <w:tcW w:w="4219" w:type="dxa"/>
          </w:tcPr>
          <w:p w14:paraId="564AC12B" w14:textId="77777777" w:rsidR="00C53795" w:rsidRPr="00206C60" w:rsidRDefault="00C53795" w:rsidP="00436BDA">
            <w:pPr>
              <w:spacing w:before="100" w:beforeAutospacing="1" w:after="100" w:afterAutospacing="1"/>
            </w:pPr>
            <w:r>
              <w:t>40 – Capital costs incurred before the production year – project sales gas produced first</w:t>
            </w:r>
          </w:p>
        </w:tc>
        <w:tc>
          <w:tcPr>
            <w:tcW w:w="4394" w:type="dxa"/>
          </w:tcPr>
          <w:p w14:paraId="0CE17A85" w14:textId="77777777" w:rsidR="00C53795" w:rsidRDefault="00C53795" w:rsidP="00436BDA">
            <w:pPr>
              <w:spacing w:before="100" w:beforeAutospacing="1" w:after="100" w:afterAutospacing="1"/>
            </w:pPr>
            <w:r>
              <w:t>34 – Capital costs incurred before the production year – project sales gas produced first</w:t>
            </w:r>
          </w:p>
        </w:tc>
      </w:tr>
      <w:tr w:rsidR="00C53795" w14:paraId="6C8CD109" w14:textId="77777777" w:rsidTr="00436BDA">
        <w:tc>
          <w:tcPr>
            <w:tcW w:w="4219" w:type="dxa"/>
          </w:tcPr>
          <w:p w14:paraId="6B425F2B" w14:textId="77777777" w:rsidR="00C53795" w:rsidRPr="00206C60" w:rsidRDefault="00C53795" w:rsidP="00436BDA">
            <w:pPr>
              <w:spacing w:before="100" w:beforeAutospacing="1" w:after="100" w:afterAutospacing="1"/>
            </w:pPr>
            <w:r>
              <w:t>41 – Capital costs incurred before the production year – other marketable petroleum commodities produced first</w:t>
            </w:r>
          </w:p>
        </w:tc>
        <w:tc>
          <w:tcPr>
            <w:tcW w:w="4394" w:type="dxa"/>
          </w:tcPr>
          <w:p w14:paraId="6C49F6C5" w14:textId="77777777" w:rsidR="00C53795" w:rsidRDefault="00C53795" w:rsidP="00436BDA">
            <w:pPr>
              <w:spacing w:before="100" w:beforeAutospacing="1" w:after="100" w:afterAutospacing="1"/>
            </w:pPr>
            <w:r>
              <w:t>35 – Capital costs incurred before the production year – other marketable petroleum commodities produced first</w:t>
            </w:r>
          </w:p>
        </w:tc>
      </w:tr>
      <w:tr w:rsidR="00C53795" w14:paraId="34018D98" w14:textId="77777777" w:rsidTr="00436BDA">
        <w:tc>
          <w:tcPr>
            <w:tcW w:w="4219" w:type="dxa"/>
          </w:tcPr>
          <w:p w14:paraId="713C2EA4" w14:textId="77777777" w:rsidR="00C53795" w:rsidRPr="00206C60" w:rsidRDefault="00C53795" w:rsidP="00436BDA">
            <w:pPr>
              <w:spacing w:before="100" w:beforeAutospacing="1" w:after="100" w:afterAutospacing="1"/>
            </w:pPr>
            <w:r>
              <w:t>42 – Allocating capital costs to a year of tax</w:t>
            </w:r>
          </w:p>
        </w:tc>
        <w:tc>
          <w:tcPr>
            <w:tcW w:w="4394" w:type="dxa"/>
          </w:tcPr>
          <w:p w14:paraId="2CD64AD5" w14:textId="77777777" w:rsidR="00C53795" w:rsidRDefault="00C53795" w:rsidP="00436BDA">
            <w:pPr>
              <w:spacing w:before="100" w:beforeAutospacing="1" w:after="100" w:afterAutospacing="1"/>
            </w:pPr>
            <w:r>
              <w:t>36 – Allocating capital costs to a year of tax</w:t>
            </w:r>
          </w:p>
        </w:tc>
      </w:tr>
      <w:tr w:rsidR="00C53795" w14:paraId="300E1A59" w14:textId="77777777" w:rsidTr="00436BDA">
        <w:tc>
          <w:tcPr>
            <w:tcW w:w="4219" w:type="dxa"/>
          </w:tcPr>
          <w:p w14:paraId="3AA1CD3F" w14:textId="77777777" w:rsidR="00C53795" w:rsidRPr="00206C60" w:rsidRDefault="00C53795" w:rsidP="00436BDA">
            <w:pPr>
              <w:spacing w:before="100" w:beforeAutospacing="1" w:after="100" w:afterAutospacing="1"/>
            </w:pPr>
            <w:r>
              <w:t>43 – Applying the energy coefficients to costs of each phase</w:t>
            </w:r>
          </w:p>
        </w:tc>
        <w:tc>
          <w:tcPr>
            <w:tcW w:w="4394" w:type="dxa"/>
          </w:tcPr>
          <w:p w14:paraId="6C4BB93C" w14:textId="77777777" w:rsidR="00C53795" w:rsidRDefault="00C53795" w:rsidP="00436BDA">
            <w:pPr>
              <w:spacing w:before="100" w:beforeAutospacing="1" w:after="100" w:afterAutospacing="1"/>
            </w:pPr>
            <w:r>
              <w:t>37 – Applying the energy coefficients to costs of each phase</w:t>
            </w:r>
          </w:p>
        </w:tc>
      </w:tr>
      <w:tr w:rsidR="00C53795" w14:paraId="2A3927E4" w14:textId="77777777" w:rsidTr="00436BDA">
        <w:tc>
          <w:tcPr>
            <w:tcW w:w="4219" w:type="dxa"/>
          </w:tcPr>
          <w:p w14:paraId="2815A339" w14:textId="77777777" w:rsidR="00C53795" w:rsidRPr="00206C60" w:rsidRDefault="00C53795" w:rsidP="00436BDA">
            <w:pPr>
              <w:spacing w:before="100" w:beforeAutospacing="1" w:after="100" w:afterAutospacing="1"/>
            </w:pPr>
            <w:r>
              <w:t>44 – Notional tax amount when RPM price not used</w:t>
            </w:r>
          </w:p>
        </w:tc>
        <w:tc>
          <w:tcPr>
            <w:tcW w:w="4394" w:type="dxa"/>
          </w:tcPr>
          <w:p w14:paraId="612381D8" w14:textId="77777777" w:rsidR="00C53795" w:rsidRDefault="00C53795" w:rsidP="00436BDA">
            <w:pPr>
              <w:spacing w:before="100" w:beforeAutospacing="1" w:after="100" w:afterAutospacing="1"/>
            </w:pPr>
            <w:r>
              <w:t>38 – Notional tax amount when RPM price not used (Act s 97(1AA)(b))</w:t>
            </w:r>
          </w:p>
        </w:tc>
      </w:tr>
      <w:tr w:rsidR="00C53795" w14:paraId="37FB1081" w14:textId="77777777" w:rsidTr="00436BDA">
        <w:tc>
          <w:tcPr>
            <w:tcW w:w="4219" w:type="dxa"/>
          </w:tcPr>
          <w:p w14:paraId="6DBC294C" w14:textId="77777777" w:rsidR="00C53795" w:rsidRPr="00206C60" w:rsidRDefault="00C53795" w:rsidP="00436BDA">
            <w:pPr>
              <w:spacing w:before="100" w:beforeAutospacing="1" w:after="100" w:afterAutospacing="1"/>
            </w:pPr>
            <w:r>
              <w:t>45 – Notional tax amount when RPM price used</w:t>
            </w:r>
          </w:p>
        </w:tc>
        <w:tc>
          <w:tcPr>
            <w:tcW w:w="4394" w:type="dxa"/>
          </w:tcPr>
          <w:p w14:paraId="66892FC9" w14:textId="77777777" w:rsidR="00C53795" w:rsidRDefault="00C53795" w:rsidP="00436BDA">
            <w:pPr>
              <w:spacing w:before="100" w:beforeAutospacing="1" w:after="100" w:afterAutospacing="1"/>
            </w:pPr>
            <w:r>
              <w:t xml:space="preserve">39 – Notional tax amount when RPM price used (Act s 97(1AA)(b) </w:t>
            </w:r>
          </w:p>
        </w:tc>
      </w:tr>
      <w:tr w:rsidR="00C53795" w14:paraId="7227C377" w14:textId="77777777" w:rsidTr="00436BDA">
        <w:tc>
          <w:tcPr>
            <w:tcW w:w="4219" w:type="dxa"/>
          </w:tcPr>
          <w:p w14:paraId="35B50094" w14:textId="77777777" w:rsidR="00C53795" w:rsidRPr="00206C60" w:rsidRDefault="00C53795" w:rsidP="00436BDA">
            <w:pPr>
              <w:spacing w:before="100" w:beforeAutospacing="1" w:after="100" w:afterAutospacing="1"/>
            </w:pPr>
            <w:r>
              <w:t>46 – Notional tax amount when no previous RPM price</w:t>
            </w:r>
          </w:p>
        </w:tc>
        <w:tc>
          <w:tcPr>
            <w:tcW w:w="4394" w:type="dxa"/>
          </w:tcPr>
          <w:p w14:paraId="7BE3EDD3" w14:textId="77777777" w:rsidR="00C53795" w:rsidRDefault="00C53795" w:rsidP="00436BDA">
            <w:pPr>
              <w:spacing w:before="100" w:beforeAutospacing="1" w:after="100" w:afterAutospacing="1"/>
            </w:pPr>
            <w:r>
              <w:t xml:space="preserve">40 – Notional tax amount when no previous RPM price </w:t>
            </w:r>
          </w:p>
        </w:tc>
      </w:tr>
      <w:tr w:rsidR="00C53795" w14:paraId="654F5A40" w14:textId="77777777" w:rsidTr="00436BDA">
        <w:tc>
          <w:tcPr>
            <w:tcW w:w="4219" w:type="dxa"/>
          </w:tcPr>
          <w:p w14:paraId="7A82AA2F" w14:textId="77777777" w:rsidR="00C53795" w:rsidRPr="00206C60" w:rsidRDefault="00C53795" w:rsidP="00436BDA">
            <w:pPr>
              <w:spacing w:before="100" w:beforeAutospacing="1" w:after="100" w:afterAutospacing="1"/>
            </w:pPr>
            <w:r>
              <w:t>47 – Review of decisions – prescribed decisions</w:t>
            </w:r>
          </w:p>
        </w:tc>
        <w:tc>
          <w:tcPr>
            <w:tcW w:w="4394" w:type="dxa"/>
          </w:tcPr>
          <w:p w14:paraId="01C7B3F4" w14:textId="77777777" w:rsidR="00C53795" w:rsidRDefault="00C53795" w:rsidP="00436BDA">
            <w:pPr>
              <w:spacing w:before="100" w:beforeAutospacing="1" w:after="100" w:afterAutospacing="1"/>
            </w:pPr>
            <w:r>
              <w:t>41 – Review of decisions – prescribed decisions</w:t>
            </w:r>
          </w:p>
        </w:tc>
      </w:tr>
      <w:tr w:rsidR="00C53795" w14:paraId="32CCE471" w14:textId="77777777" w:rsidTr="00436BDA">
        <w:tc>
          <w:tcPr>
            <w:tcW w:w="4219" w:type="dxa"/>
          </w:tcPr>
          <w:p w14:paraId="30463573" w14:textId="77777777" w:rsidR="00C53795" w:rsidRDefault="00C53795" w:rsidP="00436BDA">
            <w:pPr>
              <w:spacing w:before="100" w:beforeAutospacing="1" w:after="100" w:afterAutospacing="1"/>
            </w:pPr>
            <w:r>
              <w:t>48 – Election for a single upstream phase point – integrated onshore GTL operations</w:t>
            </w:r>
          </w:p>
        </w:tc>
        <w:tc>
          <w:tcPr>
            <w:tcW w:w="4394" w:type="dxa"/>
          </w:tcPr>
          <w:p w14:paraId="107D5259" w14:textId="77777777" w:rsidR="00C53795" w:rsidRDefault="00C53795" w:rsidP="00436BDA">
            <w:pPr>
              <w:spacing w:before="100" w:beforeAutospacing="1" w:after="100" w:afterAutospacing="1"/>
            </w:pPr>
            <w:r>
              <w:t>N/A</w:t>
            </w:r>
          </w:p>
        </w:tc>
      </w:tr>
      <w:tr w:rsidR="00C53795" w14:paraId="7D71A3BB" w14:textId="77777777" w:rsidTr="00436BDA">
        <w:tc>
          <w:tcPr>
            <w:tcW w:w="4219" w:type="dxa"/>
          </w:tcPr>
          <w:p w14:paraId="7964A128" w14:textId="77777777" w:rsidR="00C53795" w:rsidRPr="00206C60" w:rsidRDefault="00C53795" w:rsidP="00436BDA">
            <w:pPr>
              <w:spacing w:before="100" w:beforeAutospacing="1" w:after="100" w:afterAutospacing="1"/>
            </w:pPr>
            <w:r>
              <w:t>49 – Election to apply the residual pricing method – integrated onshore GTL operations</w:t>
            </w:r>
          </w:p>
        </w:tc>
        <w:tc>
          <w:tcPr>
            <w:tcW w:w="4394" w:type="dxa"/>
          </w:tcPr>
          <w:p w14:paraId="24878121" w14:textId="77777777" w:rsidR="00C53795" w:rsidRDefault="00C53795" w:rsidP="00436BDA">
            <w:pPr>
              <w:spacing w:before="100" w:beforeAutospacing="1" w:after="100" w:afterAutospacing="1"/>
            </w:pPr>
            <w:r>
              <w:t>42 – Election to use residual pricing method – participant in onshore GTL operation</w:t>
            </w:r>
          </w:p>
        </w:tc>
      </w:tr>
      <w:tr w:rsidR="00C53795" w14:paraId="4BC1D9F4" w14:textId="77777777" w:rsidTr="00436BDA">
        <w:tc>
          <w:tcPr>
            <w:tcW w:w="4219" w:type="dxa"/>
          </w:tcPr>
          <w:p w14:paraId="0BA3277C" w14:textId="77777777" w:rsidR="00C53795" w:rsidRPr="00206C60" w:rsidRDefault="00C53795" w:rsidP="00436BDA">
            <w:pPr>
              <w:spacing w:before="100" w:beforeAutospacing="1" w:after="100" w:afterAutospacing="1"/>
            </w:pPr>
            <w:r>
              <w:t>50 – Election to apply a modified residual pricing method – integrated GTL operations existing before 2 May 2010</w:t>
            </w:r>
          </w:p>
        </w:tc>
        <w:tc>
          <w:tcPr>
            <w:tcW w:w="4394" w:type="dxa"/>
          </w:tcPr>
          <w:p w14:paraId="0D2E7EC4" w14:textId="77777777" w:rsidR="00C53795" w:rsidRDefault="00C53795" w:rsidP="00436BDA">
            <w:pPr>
              <w:spacing w:before="100" w:beforeAutospacing="1" w:after="100" w:afterAutospacing="1"/>
            </w:pPr>
            <w:r>
              <w:t>43 – Election to use modified residual pricing method – integrated GTL operation existing before 2 May 2010</w:t>
            </w:r>
          </w:p>
        </w:tc>
      </w:tr>
      <w:tr w:rsidR="00C53795" w14:paraId="39B9BA72" w14:textId="77777777" w:rsidTr="00436BDA">
        <w:tc>
          <w:tcPr>
            <w:tcW w:w="4219" w:type="dxa"/>
          </w:tcPr>
          <w:p w14:paraId="66D33AAF" w14:textId="77777777" w:rsidR="00C53795" w:rsidRPr="00206C60" w:rsidRDefault="00C53795" w:rsidP="00436BDA">
            <w:pPr>
              <w:spacing w:before="100" w:beforeAutospacing="1" w:after="100" w:afterAutospacing="1"/>
            </w:pPr>
            <w:r>
              <w:t>51 – Election to use the depreciated replacement cost method – integrated onshore operations</w:t>
            </w:r>
          </w:p>
        </w:tc>
        <w:tc>
          <w:tcPr>
            <w:tcW w:w="4394" w:type="dxa"/>
          </w:tcPr>
          <w:p w14:paraId="507F2BA2" w14:textId="77777777" w:rsidR="00C53795" w:rsidRDefault="00C53795" w:rsidP="00436BDA">
            <w:pPr>
              <w:spacing w:before="100" w:beforeAutospacing="1" w:after="100" w:afterAutospacing="1"/>
            </w:pPr>
            <w:r>
              <w:t>44 – Election to use depreciated replacement cost method – integrated onshore operation existing before 2 May 2010</w:t>
            </w:r>
          </w:p>
        </w:tc>
      </w:tr>
      <w:tr w:rsidR="00C53795" w14:paraId="789553DC" w14:textId="77777777" w:rsidTr="00436BDA">
        <w:tc>
          <w:tcPr>
            <w:tcW w:w="4219" w:type="dxa"/>
          </w:tcPr>
          <w:p w14:paraId="25328407" w14:textId="77777777" w:rsidR="00C53795" w:rsidRDefault="00C53795" w:rsidP="00436BDA">
            <w:pPr>
              <w:spacing w:before="100" w:beforeAutospacing="1" w:after="100" w:afterAutospacing="1"/>
            </w:pPr>
            <w:r>
              <w:t>52 – Election to use individual participant-based end product values</w:t>
            </w:r>
          </w:p>
        </w:tc>
        <w:tc>
          <w:tcPr>
            <w:tcW w:w="4394" w:type="dxa"/>
          </w:tcPr>
          <w:p w14:paraId="1DFFC781" w14:textId="77777777" w:rsidR="00C53795" w:rsidRDefault="00C53795" w:rsidP="00436BDA">
            <w:pPr>
              <w:spacing w:before="100" w:beforeAutospacing="1" w:after="100" w:afterAutospacing="1"/>
            </w:pPr>
            <w:r>
              <w:t>N/A</w:t>
            </w:r>
          </w:p>
        </w:tc>
      </w:tr>
      <w:tr w:rsidR="00C53795" w14:paraId="3601E597" w14:textId="77777777" w:rsidTr="00436BDA">
        <w:tc>
          <w:tcPr>
            <w:tcW w:w="4219" w:type="dxa"/>
          </w:tcPr>
          <w:p w14:paraId="13BF2160" w14:textId="77777777" w:rsidR="00C53795" w:rsidRDefault="00C53795" w:rsidP="00436BDA">
            <w:pPr>
              <w:spacing w:before="100" w:beforeAutospacing="1" w:after="100" w:afterAutospacing="1"/>
            </w:pPr>
            <w:r>
              <w:t xml:space="preserve">53 – Things done under the </w:t>
            </w:r>
            <w:r w:rsidRPr="001547AF">
              <w:rPr>
                <w:i/>
              </w:rPr>
              <w:t>Petroleum Resource Rent Tax Assessment Regulations 2005</w:t>
            </w:r>
          </w:p>
        </w:tc>
        <w:tc>
          <w:tcPr>
            <w:tcW w:w="4394" w:type="dxa"/>
          </w:tcPr>
          <w:p w14:paraId="26701C7E" w14:textId="77777777" w:rsidR="00C53795" w:rsidRDefault="00C53795" w:rsidP="00436BDA">
            <w:pPr>
              <w:spacing w:before="100" w:beforeAutospacing="1" w:after="100" w:afterAutospacing="1"/>
            </w:pPr>
            <w:r>
              <w:t>N/A</w:t>
            </w:r>
          </w:p>
        </w:tc>
      </w:tr>
    </w:tbl>
    <w:p w14:paraId="5EEF2D7E" w14:textId="77777777" w:rsidR="00C53795" w:rsidRDefault="00C53795" w:rsidP="00E04CD7">
      <w:pPr>
        <w:rPr>
          <w:rFonts w:eastAsiaTheme="majorEastAsia"/>
          <w:b/>
          <w:u w:val="single"/>
        </w:rPr>
      </w:pPr>
    </w:p>
    <w:p w14:paraId="791F5D0C" w14:textId="77777777" w:rsidR="005F3A51" w:rsidRDefault="005F3A51" w:rsidP="00864502">
      <w:pPr>
        <w:rPr>
          <w:b/>
          <w:i/>
        </w:rPr>
      </w:pPr>
    </w:p>
    <w:p w14:paraId="413FC2D3" w14:textId="77777777" w:rsidR="005F3A51" w:rsidRDefault="005F3A51" w:rsidP="00864502">
      <w:pPr>
        <w:rPr>
          <w:b/>
          <w:i/>
        </w:rPr>
      </w:pPr>
    </w:p>
    <w:p w14:paraId="37F3FA8F" w14:textId="6D287F90" w:rsidR="00935F21" w:rsidRDefault="00686911" w:rsidP="00864502">
      <w:pPr>
        <w:rPr>
          <w:b/>
          <w:i/>
        </w:rPr>
      </w:pPr>
      <w:r w:rsidRPr="00206C60">
        <w:rPr>
          <w:b/>
          <w:i/>
        </w:rPr>
        <w:t>Petroleum Resource Rent Tax Assessment Regulations 2005</w:t>
      </w:r>
      <w:r>
        <w:rPr>
          <w:b/>
          <w:i/>
        </w:rPr>
        <w:t xml:space="preserve"> </w:t>
      </w:r>
      <w:r>
        <w:rPr>
          <w:b/>
        </w:rPr>
        <w:t xml:space="preserve">to </w:t>
      </w:r>
      <w:r w:rsidRPr="00206C60">
        <w:rPr>
          <w:b/>
          <w:i/>
        </w:rPr>
        <w:t>Petroleum Resource Rent Tax Assessment Regulation 2015</w:t>
      </w:r>
    </w:p>
    <w:p w14:paraId="02680F88" w14:textId="77777777" w:rsidR="00686911" w:rsidRPr="00864502" w:rsidRDefault="00686911" w:rsidP="00864502">
      <w:pPr>
        <w:rPr>
          <w:rFonts w:eastAsiaTheme="majorEastAsia"/>
          <w:b/>
        </w:rPr>
      </w:pPr>
    </w:p>
    <w:tbl>
      <w:tblPr>
        <w:tblStyle w:val="TableGrid"/>
        <w:tblW w:w="0" w:type="auto"/>
        <w:tblLook w:val="04A0" w:firstRow="1" w:lastRow="0" w:firstColumn="1" w:lastColumn="0" w:noHBand="0" w:noVBand="1"/>
      </w:tblPr>
      <w:tblGrid>
        <w:gridCol w:w="4264"/>
        <w:gridCol w:w="4264"/>
      </w:tblGrid>
      <w:tr w:rsidR="00206C60" w14:paraId="3934EBAB" w14:textId="77777777" w:rsidTr="00C53795">
        <w:trPr>
          <w:tblHeader/>
        </w:trPr>
        <w:tc>
          <w:tcPr>
            <w:tcW w:w="4264" w:type="dxa"/>
          </w:tcPr>
          <w:p w14:paraId="5DD461CA" w14:textId="1B928B1F" w:rsidR="00206C60" w:rsidRPr="00206C60" w:rsidRDefault="00206C60" w:rsidP="00206C60">
            <w:pPr>
              <w:spacing w:before="100" w:beforeAutospacing="1" w:after="100" w:afterAutospacing="1"/>
              <w:rPr>
                <w:b/>
                <w:i/>
              </w:rPr>
            </w:pPr>
            <w:r w:rsidRPr="00206C60">
              <w:rPr>
                <w:b/>
                <w:i/>
              </w:rPr>
              <w:t>Petroleum Resource Rent Tax Assessment Regulations 2005</w:t>
            </w:r>
          </w:p>
        </w:tc>
        <w:tc>
          <w:tcPr>
            <w:tcW w:w="4264" w:type="dxa"/>
          </w:tcPr>
          <w:p w14:paraId="37B86CDB" w14:textId="2AE642A5" w:rsidR="00206C60" w:rsidRPr="00206C60" w:rsidRDefault="00206C60" w:rsidP="00BA4754">
            <w:pPr>
              <w:spacing w:before="100" w:beforeAutospacing="1" w:after="100" w:afterAutospacing="1"/>
              <w:rPr>
                <w:b/>
                <w:i/>
              </w:rPr>
            </w:pPr>
            <w:r w:rsidRPr="00206C60">
              <w:rPr>
                <w:b/>
                <w:i/>
              </w:rPr>
              <w:t>Petroleum Resource Rent Tax Assessment Regulation 2015</w:t>
            </w:r>
            <w:r w:rsidR="00896446">
              <w:rPr>
                <w:b/>
                <w:i/>
              </w:rPr>
              <w:t xml:space="preserve"> </w:t>
            </w:r>
          </w:p>
        </w:tc>
      </w:tr>
      <w:tr w:rsidR="00896446" w14:paraId="76A441B6" w14:textId="77777777" w:rsidTr="00206C60">
        <w:tc>
          <w:tcPr>
            <w:tcW w:w="4264" w:type="dxa"/>
          </w:tcPr>
          <w:p w14:paraId="271BF6A7" w14:textId="1AF1F921" w:rsidR="00896446" w:rsidRPr="00896446" w:rsidRDefault="00896446" w:rsidP="00206C60">
            <w:pPr>
              <w:spacing w:before="100" w:beforeAutospacing="1" w:after="100" w:afterAutospacing="1"/>
            </w:pPr>
            <w:r>
              <w:t>Regulation</w:t>
            </w:r>
          </w:p>
        </w:tc>
        <w:tc>
          <w:tcPr>
            <w:tcW w:w="4264" w:type="dxa"/>
          </w:tcPr>
          <w:p w14:paraId="76D22361" w14:textId="4FEF191D" w:rsidR="00896446" w:rsidRPr="00206C60" w:rsidRDefault="00896446" w:rsidP="00BA4754">
            <w:pPr>
              <w:spacing w:before="100" w:beforeAutospacing="1" w:after="100" w:afterAutospacing="1"/>
              <w:rPr>
                <w:b/>
                <w:i/>
              </w:rPr>
            </w:pPr>
            <w:r>
              <w:t>Section</w:t>
            </w:r>
          </w:p>
        </w:tc>
      </w:tr>
      <w:tr w:rsidR="00206C60" w14:paraId="060D4C27" w14:textId="77777777" w:rsidTr="00206C60">
        <w:tc>
          <w:tcPr>
            <w:tcW w:w="4264" w:type="dxa"/>
          </w:tcPr>
          <w:p w14:paraId="3E41DE5B" w14:textId="2C0ACB17" w:rsidR="00206C60" w:rsidRPr="00206C60" w:rsidRDefault="00206C60" w:rsidP="00BA4754">
            <w:pPr>
              <w:spacing w:before="100" w:beforeAutospacing="1" w:after="100" w:afterAutospacing="1"/>
            </w:pPr>
            <w:r w:rsidRPr="00206C60">
              <w:t>1</w:t>
            </w:r>
            <w:r w:rsidR="00896446">
              <w:t xml:space="preserve"> – Name of Regulations</w:t>
            </w:r>
          </w:p>
        </w:tc>
        <w:tc>
          <w:tcPr>
            <w:tcW w:w="4264" w:type="dxa"/>
          </w:tcPr>
          <w:p w14:paraId="7FFC1DB9" w14:textId="351DE98D" w:rsidR="00206C60" w:rsidRPr="00206C60" w:rsidRDefault="00896446" w:rsidP="00BA4754">
            <w:pPr>
              <w:spacing w:before="100" w:beforeAutospacing="1" w:after="100" w:afterAutospacing="1"/>
            </w:pPr>
            <w:r>
              <w:t>1 - Name</w:t>
            </w:r>
          </w:p>
        </w:tc>
      </w:tr>
      <w:tr w:rsidR="00206C60" w14:paraId="13E3B3E7" w14:textId="77777777" w:rsidTr="00206C60">
        <w:tc>
          <w:tcPr>
            <w:tcW w:w="4264" w:type="dxa"/>
          </w:tcPr>
          <w:p w14:paraId="472F3714" w14:textId="523DF2F8" w:rsidR="00206C60" w:rsidRPr="00206C60" w:rsidRDefault="00206C60" w:rsidP="00BA4754">
            <w:pPr>
              <w:spacing w:before="100" w:beforeAutospacing="1" w:after="100" w:afterAutospacing="1"/>
            </w:pPr>
            <w:r w:rsidRPr="00206C60">
              <w:t>2</w:t>
            </w:r>
            <w:r w:rsidR="00896446">
              <w:t xml:space="preserve"> – Commencement </w:t>
            </w:r>
          </w:p>
        </w:tc>
        <w:tc>
          <w:tcPr>
            <w:tcW w:w="4264" w:type="dxa"/>
          </w:tcPr>
          <w:p w14:paraId="7960DBF8" w14:textId="237D883A" w:rsidR="00206C60" w:rsidRPr="00206C60" w:rsidRDefault="00896446" w:rsidP="00BA4754">
            <w:pPr>
              <w:spacing w:before="100" w:beforeAutospacing="1" w:after="100" w:afterAutospacing="1"/>
            </w:pPr>
            <w:r>
              <w:t>2 - Commencement</w:t>
            </w:r>
          </w:p>
        </w:tc>
      </w:tr>
      <w:tr w:rsidR="00206C60" w14:paraId="6CD71560" w14:textId="77777777" w:rsidTr="00206C60">
        <w:tc>
          <w:tcPr>
            <w:tcW w:w="4264" w:type="dxa"/>
          </w:tcPr>
          <w:p w14:paraId="217973AB" w14:textId="5CD1AC73" w:rsidR="00206C60" w:rsidRPr="00206C60" w:rsidRDefault="00206C60" w:rsidP="00BA4754">
            <w:pPr>
              <w:spacing w:before="100" w:beforeAutospacing="1" w:after="100" w:afterAutospacing="1"/>
            </w:pPr>
            <w:r w:rsidRPr="00206C60">
              <w:t>3</w:t>
            </w:r>
            <w:r w:rsidR="00896446">
              <w:t xml:space="preserve"> – Definitions </w:t>
            </w:r>
          </w:p>
        </w:tc>
        <w:tc>
          <w:tcPr>
            <w:tcW w:w="4264" w:type="dxa"/>
          </w:tcPr>
          <w:p w14:paraId="4B573D4A" w14:textId="7413286B" w:rsidR="00206C60" w:rsidRPr="00206C60" w:rsidRDefault="00896446" w:rsidP="00BA4754">
            <w:pPr>
              <w:spacing w:before="100" w:beforeAutospacing="1" w:after="100" w:afterAutospacing="1"/>
            </w:pPr>
            <w:r>
              <w:t xml:space="preserve">5 – Definitions </w:t>
            </w:r>
          </w:p>
        </w:tc>
      </w:tr>
      <w:tr w:rsidR="00206C60" w14:paraId="22AA1875" w14:textId="77777777" w:rsidTr="00206C60">
        <w:tc>
          <w:tcPr>
            <w:tcW w:w="4264" w:type="dxa"/>
          </w:tcPr>
          <w:p w14:paraId="125BE762" w14:textId="398979B8" w:rsidR="00206C60" w:rsidRPr="00206C60" w:rsidRDefault="00206C60" w:rsidP="00BA4754">
            <w:pPr>
              <w:spacing w:before="100" w:beforeAutospacing="1" w:after="100" w:afterAutospacing="1"/>
            </w:pPr>
            <w:r>
              <w:t>4</w:t>
            </w:r>
            <w:r w:rsidR="00896446">
              <w:t xml:space="preserve"> – When an integrated GTL operation exists</w:t>
            </w:r>
          </w:p>
        </w:tc>
        <w:tc>
          <w:tcPr>
            <w:tcW w:w="4264" w:type="dxa"/>
          </w:tcPr>
          <w:p w14:paraId="6AC85678" w14:textId="30204E55" w:rsidR="00206C60" w:rsidRPr="00206C60" w:rsidRDefault="00896446" w:rsidP="00BA4754">
            <w:pPr>
              <w:spacing w:before="100" w:beforeAutospacing="1" w:after="100" w:afterAutospacing="1"/>
            </w:pPr>
            <w:r>
              <w:t>6 – When an integrated GTL operation exists</w:t>
            </w:r>
          </w:p>
        </w:tc>
      </w:tr>
      <w:tr w:rsidR="00206C60" w14:paraId="67B1CB3D" w14:textId="77777777" w:rsidTr="00206C60">
        <w:tc>
          <w:tcPr>
            <w:tcW w:w="4264" w:type="dxa"/>
          </w:tcPr>
          <w:p w14:paraId="2AF22115" w14:textId="6DEA6355" w:rsidR="00206C60" w:rsidRPr="00206C60" w:rsidRDefault="00206C60" w:rsidP="00BA4754">
            <w:pPr>
              <w:spacing w:before="100" w:beforeAutospacing="1" w:after="100" w:afterAutospacing="1"/>
            </w:pPr>
            <w:r>
              <w:t>4A</w:t>
            </w:r>
            <w:r w:rsidR="00896446">
              <w:t xml:space="preserve"> – When an integrated GTE operation exists</w:t>
            </w:r>
          </w:p>
        </w:tc>
        <w:tc>
          <w:tcPr>
            <w:tcW w:w="4264" w:type="dxa"/>
          </w:tcPr>
          <w:p w14:paraId="25EBF20E" w14:textId="7AC4594E" w:rsidR="00206C60" w:rsidRPr="00206C60" w:rsidRDefault="00896446" w:rsidP="00BA4754">
            <w:pPr>
              <w:spacing w:before="100" w:beforeAutospacing="1" w:after="100" w:afterAutospacing="1"/>
            </w:pPr>
            <w:r>
              <w:t>7 – When an integrated GTE operation exists</w:t>
            </w:r>
          </w:p>
        </w:tc>
      </w:tr>
      <w:tr w:rsidR="00206C60" w14:paraId="7824525A" w14:textId="77777777" w:rsidTr="00206C60">
        <w:tc>
          <w:tcPr>
            <w:tcW w:w="4264" w:type="dxa"/>
          </w:tcPr>
          <w:p w14:paraId="7278F254" w14:textId="5AF09525" w:rsidR="00206C60" w:rsidRPr="00206C60" w:rsidRDefault="00206C60" w:rsidP="00896446">
            <w:pPr>
              <w:spacing w:before="100" w:beforeAutospacing="1" w:after="100" w:afterAutospacing="1"/>
            </w:pPr>
            <w:r>
              <w:t>5</w:t>
            </w:r>
            <w:r w:rsidR="00896446">
              <w:t xml:space="preserve"> – Upstream and downstream stages of integrated operation </w:t>
            </w:r>
          </w:p>
        </w:tc>
        <w:tc>
          <w:tcPr>
            <w:tcW w:w="4264" w:type="dxa"/>
          </w:tcPr>
          <w:p w14:paraId="24F578B4" w14:textId="2029C752" w:rsidR="00206C60" w:rsidRPr="00206C60" w:rsidRDefault="00896446" w:rsidP="00BA4754">
            <w:pPr>
              <w:spacing w:before="100" w:beforeAutospacing="1" w:after="100" w:afterAutospacing="1"/>
            </w:pPr>
            <w:r>
              <w:t>8 – Upstream and downstream stages of integrated operation</w:t>
            </w:r>
          </w:p>
        </w:tc>
      </w:tr>
      <w:tr w:rsidR="00206C60" w14:paraId="01526870" w14:textId="77777777" w:rsidTr="00206C60">
        <w:tc>
          <w:tcPr>
            <w:tcW w:w="4264" w:type="dxa"/>
          </w:tcPr>
          <w:p w14:paraId="2478330B" w14:textId="4755DBB6" w:rsidR="00206C60" w:rsidRPr="00206C60" w:rsidRDefault="00206C60" w:rsidP="00BA4754">
            <w:pPr>
              <w:spacing w:before="100" w:beforeAutospacing="1" w:after="100" w:afterAutospacing="1"/>
            </w:pPr>
            <w:r>
              <w:t>6</w:t>
            </w:r>
            <w:r w:rsidR="00896446">
              <w:t xml:space="preserve"> – Phase points of integrated operation </w:t>
            </w:r>
          </w:p>
        </w:tc>
        <w:tc>
          <w:tcPr>
            <w:tcW w:w="4264" w:type="dxa"/>
          </w:tcPr>
          <w:p w14:paraId="324AF980" w14:textId="06947765" w:rsidR="00206C60" w:rsidRPr="00206C60" w:rsidRDefault="00896446" w:rsidP="00BA4754">
            <w:pPr>
              <w:spacing w:before="100" w:beforeAutospacing="1" w:after="100" w:afterAutospacing="1"/>
            </w:pPr>
            <w:r>
              <w:t>9 – Phase points of integrated operation</w:t>
            </w:r>
          </w:p>
        </w:tc>
      </w:tr>
      <w:tr w:rsidR="00896446" w14:paraId="193F4932" w14:textId="77777777" w:rsidTr="00206C60">
        <w:tc>
          <w:tcPr>
            <w:tcW w:w="4264" w:type="dxa"/>
          </w:tcPr>
          <w:p w14:paraId="517D485C" w14:textId="61AE16EC" w:rsidR="00896446" w:rsidRPr="00206C60" w:rsidRDefault="00896446" w:rsidP="00BA4754">
            <w:pPr>
              <w:spacing w:before="100" w:beforeAutospacing="1" w:after="100" w:afterAutospacing="1"/>
            </w:pPr>
            <w:r>
              <w:t>7 – When there is multiple use of a phase</w:t>
            </w:r>
          </w:p>
        </w:tc>
        <w:tc>
          <w:tcPr>
            <w:tcW w:w="4264" w:type="dxa"/>
          </w:tcPr>
          <w:p w14:paraId="4E4DC9B0" w14:textId="627CC0CC" w:rsidR="00896446" w:rsidRPr="00206C60" w:rsidRDefault="00896446" w:rsidP="00BA4754">
            <w:pPr>
              <w:spacing w:before="100" w:beforeAutospacing="1" w:after="100" w:afterAutospacing="1"/>
            </w:pPr>
            <w:r>
              <w:t>10 – When there is multiple use of a phase</w:t>
            </w:r>
          </w:p>
        </w:tc>
      </w:tr>
      <w:tr w:rsidR="00896446" w14:paraId="77CEF13E" w14:textId="77777777" w:rsidTr="00206C60">
        <w:tc>
          <w:tcPr>
            <w:tcW w:w="4264" w:type="dxa"/>
          </w:tcPr>
          <w:p w14:paraId="30CE6B1A" w14:textId="3221060F" w:rsidR="00896446" w:rsidRPr="00206C60" w:rsidRDefault="00896446" w:rsidP="00BA4754">
            <w:pPr>
              <w:spacing w:before="100" w:beforeAutospacing="1" w:after="100" w:afterAutospacing="1"/>
            </w:pPr>
            <w:r>
              <w:t xml:space="preserve">8 – Participants in integrated operation </w:t>
            </w:r>
          </w:p>
        </w:tc>
        <w:tc>
          <w:tcPr>
            <w:tcW w:w="4264" w:type="dxa"/>
          </w:tcPr>
          <w:p w14:paraId="79EF9909" w14:textId="28A06CBB" w:rsidR="00896446" w:rsidRPr="00206C60" w:rsidRDefault="00896446" w:rsidP="00BA4754">
            <w:pPr>
              <w:spacing w:before="100" w:beforeAutospacing="1" w:after="100" w:afterAutospacing="1"/>
            </w:pPr>
            <w:r>
              <w:t>11 – Participants in integrated operation</w:t>
            </w:r>
          </w:p>
        </w:tc>
      </w:tr>
      <w:tr w:rsidR="00896446" w14:paraId="465C2577" w14:textId="77777777" w:rsidTr="00206C60">
        <w:tc>
          <w:tcPr>
            <w:tcW w:w="4264" w:type="dxa"/>
          </w:tcPr>
          <w:p w14:paraId="7BB4E6CE" w14:textId="2F52A85A" w:rsidR="00896446" w:rsidRPr="00206C60" w:rsidRDefault="00896446" w:rsidP="00BA4754">
            <w:pPr>
              <w:spacing w:before="100" w:beforeAutospacing="1" w:after="100" w:afterAutospacing="1"/>
            </w:pPr>
            <w:r>
              <w:t xml:space="preserve">8A – Non-arm’s length transaction </w:t>
            </w:r>
          </w:p>
        </w:tc>
        <w:tc>
          <w:tcPr>
            <w:tcW w:w="4264" w:type="dxa"/>
          </w:tcPr>
          <w:p w14:paraId="66076FE2" w14:textId="154318E1" w:rsidR="00896446" w:rsidRPr="00206C60" w:rsidRDefault="00896446" w:rsidP="00BA4754">
            <w:pPr>
              <w:spacing w:before="100" w:beforeAutospacing="1" w:after="100" w:afterAutospacing="1"/>
            </w:pPr>
            <w:r>
              <w:t>12 – Non-arm’s length transaction</w:t>
            </w:r>
          </w:p>
        </w:tc>
      </w:tr>
      <w:tr w:rsidR="00896446" w14:paraId="0B4BE357" w14:textId="77777777" w:rsidTr="00206C60">
        <w:tc>
          <w:tcPr>
            <w:tcW w:w="4264" w:type="dxa"/>
          </w:tcPr>
          <w:p w14:paraId="5909C4D8" w14:textId="1EA8EE3E" w:rsidR="00896446" w:rsidRPr="00206C60" w:rsidRDefault="00896446" w:rsidP="00BA4754">
            <w:pPr>
              <w:spacing w:before="100" w:beforeAutospacing="1" w:after="100" w:afterAutospacing="1"/>
            </w:pPr>
            <w:r>
              <w:t>9 – Estimated average annual volume or mass of project natural gas</w:t>
            </w:r>
          </w:p>
        </w:tc>
        <w:tc>
          <w:tcPr>
            <w:tcW w:w="4264" w:type="dxa"/>
          </w:tcPr>
          <w:p w14:paraId="66D16CE8" w14:textId="4A402FD0" w:rsidR="00896446" w:rsidRPr="00206C60" w:rsidRDefault="00896446" w:rsidP="00BA4754">
            <w:pPr>
              <w:spacing w:before="100" w:beforeAutospacing="1" w:after="100" w:afterAutospacing="1"/>
            </w:pPr>
            <w:r>
              <w:t>13 – Estimated average annual volume or mass of project natural gas</w:t>
            </w:r>
          </w:p>
        </w:tc>
      </w:tr>
      <w:tr w:rsidR="00896446" w14:paraId="22483F26" w14:textId="77777777" w:rsidTr="00206C60">
        <w:tc>
          <w:tcPr>
            <w:tcW w:w="4264" w:type="dxa"/>
          </w:tcPr>
          <w:p w14:paraId="795D3906" w14:textId="6B65D152" w:rsidR="00896446" w:rsidRPr="00896446" w:rsidRDefault="00896446" w:rsidP="00BA4754">
            <w:pPr>
              <w:spacing w:before="100" w:beforeAutospacing="1" w:after="100" w:afterAutospacing="1"/>
              <w:rPr>
                <w:i/>
              </w:rPr>
            </w:pPr>
            <w:r>
              <w:t xml:space="preserve">10 – meaning of </w:t>
            </w:r>
            <w:r>
              <w:rPr>
                <w:i/>
              </w:rPr>
              <w:t xml:space="preserve">volume coefficient </w:t>
            </w:r>
          </w:p>
        </w:tc>
        <w:tc>
          <w:tcPr>
            <w:tcW w:w="4264" w:type="dxa"/>
          </w:tcPr>
          <w:p w14:paraId="086192C5" w14:textId="3834550C" w:rsidR="00896446" w:rsidRPr="00206C60" w:rsidRDefault="00896446" w:rsidP="00BA4754">
            <w:pPr>
              <w:spacing w:before="100" w:beforeAutospacing="1" w:after="100" w:afterAutospacing="1"/>
            </w:pPr>
            <w:r>
              <w:t xml:space="preserve">14 – meaning of </w:t>
            </w:r>
            <w:r>
              <w:rPr>
                <w:i/>
              </w:rPr>
              <w:t>volume coefficient</w:t>
            </w:r>
          </w:p>
        </w:tc>
      </w:tr>
      <w:tr w:rsidR="00896446" w14:paraId="5A45E1C3" w14:textId="77777777" w:rsidTr="00206C60">
        <w:tc>
          <w:tcPr>
            <w:tcW w:w="4264" w:type="dxa"/>
          </w:tcPr>
          <w:p w14:paraId="07B412A1" w14:textId="2D227143" w:rsidR="00896446" w:rsidRPr="00206C60" w:rsidRDefault="00896446" w:rsidP="00BA4754">
            <w:pPr>
              <w:spacing w:before="100" w:beforeAutospacing="1" w:after="100" w:afterAutospacing="1"/>
            </w:pPr>
            <w:r>
              <w:t xml:space="preserve">10A – meaning of </w:t>
            </w:r>
            <w:r w:rsidRPr="00896446">
              <w:rPr>
                <w:i/>
              </w:rPr>
              <w:t>mass coefficient</w:t>
            </w:r>
          </w:p>
        </w:tc>
        <w:tc>
          <w:tcPr>
            <w:tcW w:w="4264" w:type="dxa"/>
          </w:tcPr>
          <w:p w14:paraId="223B5C05" w14:textId="38F39F8C" w:rsidR="00896446" w:rsidRPr="00206C60" w:rsidRDefault="00896446" w:rsidP="00BA4754">
            <w:pPr>
              <w:spacing w:before="100" w:beforeAutospacing="1" w:after="100" w:afterAutospacing="1"/>
            </w:pPr>
            <w:r>
              <w:t xml:space="preserve">15 – meaning of </w:t>
            </w:r>
            <w:r w:rsidRPr="00896446">
              <w:rPr>
                <w:i/>
              </w:rPr>
              <w:t>mass coefficient</w:t>
            </w:r>
          </w:p>
        </w:tc>
      </w:tr>
      <w:tr w:rsidR="00896446" w14:paraId="1087D846" w14:textId="77777777" w:rsidTr="00206C60">
        <w:tc>
          <w:tcPr>
            <w:tcW w:w="4264" w:type="dxa"/>
          </w:tcPr>
          <w:p w14:paraId="48AB5565" w14:textId="034EF4FA" w:rsidR="00896446" w:rsidRPr="00206C60" w:rsidRDefault="00896446" w:rsidP="00BA4754">
            <w:pPr>
              <w:spacing w:before="100" w:beforeAutospacing="1" w:after="100" w:afterAutospacing="1"/>
            </w:pPr>
            <w:r>
              <w:t>11 – Augmentation of a capital cost</w:t>
            </w:r>
          </w:p>
        </w:tc>
        <w:tc>
          <w:tcPr>
            <w:tcW w:w="4264" w:type="dxa"/>
          </w:tcPr>
          <w:p w14:paraId="6FF7CD32" w14:textId="5484A709" w:rsidR="00896446" w:rsidRPr="00206C60" w:rsidRDefault="00896446" w:rsidP="00BA4754">
            <w:pPr>
              <w:spacing w:before="100" w:beforeAutospacing="1" w:after="100" w:afterAutospacing="1"/>
            </w:pPr>
            <w:r>
              <w:t>16 – Augmentation of a capital cost</w:t>
            </w:r>
          </w:p>
        </w:tc>
      </w:tr>
      <w:tr w:rsidR="00896446" w14:paraId="53DA7C4A" w14:textId="77777777" w:rsidTr="00206C60">
        <w:tc>
          <w:tcPr>
            <w:tcW w:w="4264" w:type="dxa"/>
          </w:tcPr>
          <w:p w14:paraId="4680B87E" w14:textId="5073CA67" w:rsidR="00896446" w:rsidRPr="00206C60" w:rsidRDefault="00896446" w:rsidP="00BA4754">
            <w:pPr>
              <w:spacing w:before="100" w:beforeAutospacing="1" w:after="100" w:afterAutospacing="1"/>
            </w:pPr>
            <w:r>
              <w:t>12 – Reduction of a capital cost</w:t>
            </w:r>
          </w:p>
        </w:tc>
        <w:tc>
          <w:tcPr>
            <w:tcW w:w="4264" w:type="dxa"/>
          </w:tcPr>
          <w:p w14:paraId="5332830D" w14:textId="17052D35" w:rsidR="00896446" w:rsidRPr="00206C60" w:rsidRDefault="00896446" w:rsidP="00BA4754">
            <w:pPr>
              <w:spacing w:before="100" w:beforeAutospacing="1" w:after="100" w:afterAutospacing="1"/>
            </w:pPr>
            <w:r>
              <w:t>17 – Reduction of a capital cost</w:t>
            </w:r>
          </w:p>
        </w:tc>
      </w:tr>
      <w:tr w:rsidR="00896446" w14:paraId="27491067" w14:textId="77777777" w:rsidTr="00206C60">
        <w:tc>
          <w:tcPr>
            <w:tcW w:w="4264" w:type="dxa"/>
          </w:tcPr>
          <w:p w14:paraId="7FDEF24E" w14:textId="452F2321" w:rsidR="00896446" w:rsidRPr="00206C60" w:rsidRDefault="00896446" w:rsidP="00BA4754">
            <w:pPr>
              <w:spacing w:before="100" w:beforeAutospacing="1" w:after="100" w:afterAutospacing="1"/>
            </w:pPr>
            <w:r>
              <w:t>13 – Capital allowance</w:t>
            </w:r>
          </w:p>
        </w:tc>
        <w:tc>
          <w:tcPr>
            <w:tcW w:w="4264" w:type="dxa"/>
          </w:tcPr>
          <w:p w14:paraId="270288DB" w14:textId="6889342E" w:rsidR="00896446" w:rsidRPr="00206C60" w:rsidRDefault="00896446" w:rsidP="00896446">
            <w:pPr>
              <w:spacing w:before="100" w:beforeAutospacing="1" w:after="100" w:afterAutospacing="1"/>
            </w:pPr>
            <w:r>
              <w:t>18 – Capital allowance</w:t>
            </w:r>
          </w:p>
        </w:tc>
      </w:tr>
      <w:tr w:rsidR="00896446" w14:paraId="72E7C47B" w14:textId="77777777" w:rsidTr="00206C60">
        <w:tc>
          <w:tcPr>
            <w:tcW w:w="4264" w:type="dxa"/>
          </w:tcPr>
          <w:p w14:paraId="390706E6" w14:textId="013DF4A5" w:rsidR="00896446" w:rsidRPr="00206C60" w:rsidRDefault="00896446" w:rsidP="00BA4754">
            <w:pPr>
              <w:spacing w:before="100" w:beforeAutospacing="1" w:after="100" w:afterAutospacing="1"/>
            </w:pPr>
            <w:r>
              <w:t>14 – Assessable petroleum receipts – sales gas of integrated operation with non-arm’s length sale</w:t>
            </w:r>
          </w:p>
        </w:tc>
        <w:tc>
          <w:tcPr>
            <w:tcW w:w="4264" w:type="dxa"/>
          </w:tcPr>
          <w:p w14:paraId="5DA08A55" w14:textId="07E48460" w:rsidR="00896446" w:rsidRPr="00206C60" w:rsidRDefault="00896446" w:rsidP="00BA4754">
            <w:pPr>
              <w:spacing w:before="100" w:beforeAutospacing="1" w:after="100" w:afterAutospacing="1"/>
            </w:pPr>
            <w:r>
              <w:t>19 – Assessable petroleum receipts – sales gas of integrated operation with non-arm’s length sale</w:t>
            </w:r>
          </w:p>
        </w:tc>
      </w:tr>
      <w:tr w:rsidR="00896446" w14:paraId="027BA6E7" w14:textId="77777777" w:rsidTr="00206C60">
        <w:tc>
          <w:tcPr>
            <w:tcW w:w="4264" w:type="dxa"/>
          </w:tcPr>
          <w:p w14:paraId="40698836" w14:textId="6B20EA5D" w:rsidR="00896446" w:rsidRPr="00206C60" w:rsidRDefault="00896446" w:rsidP="00896446">
            <w:pPr>
              <w:spacing w:before="100" w:beforeAutospacing="1" w:after="100" w:afterAutospacing="1"/>
            </w:pPr>
            <w:r>
              <w:t>15 – Assessable petroleum receipts – sales gas of integrated operation becoming excluded commodity other than by being sold</w:t>
            </w:r>
          </w:p>
        </w:tc>
        <w:tc>
          <w:tcPr>
            <w:tcW w:w="4264" w:type="dxa"/>
          </w:tcPr>
          <w:p w14:paraId="2B9B5E41" w14:textId="374294E7" w:rsidR="00896446" w:rsidRPr="00206C60" w:rsidRDefault="00896446" w:rsidP="00BA4754">
            <w:pPr>
              <w:spacing w:before="100" w:beforeAutospacing="1" w:after="100" w:afterAutospacing="1"/>
            </w:pPr>
            <w:r>
              <w:t>20 – Assessable petroleum receipts – sales gas of integrated operation becoming excluded commodity other than by being sold</w:t>
            </w:r>
          </w:p>
        </w:tc>
      </w:tr>
      <w:tr w:rsidR="00896446" w14:paraId="53807488" w14:textId="77777777" w:rsidTr="00206C60">
        <w:tc>
          <w:tcPr>
            <w:tcW w:w="4264" w:type="dxa"/>
          </w:tcPr>
          <w:p w14:paraId="60982EF3" w14:textId="28BFD556" w:rsidR="00896446" w:rsidRPr="00206C60" w:rsidRDefault="00896446" w:rsidP="00BA4754">
            <w:pPr>
              <w:spacing w:before="100" w:beforeAutospacing="1" w:after="100" w:afterAutospacing="1"/>
            </w:pPr>
            <w:r>
              <w:t>16</w:t>
            </w:r>
            <w:r w:rsidR="00577F22">
              <w:t xml:space="preserve"> – Assessable petroleum receipts – natural gas of onshore integrated operation with non-arm’s length sale</w:t>
            </w:r>
          </w:p>
        </w:tc>
        <w:tc>
          <w:tcPr>
            <w:tcW w:w="4264" w:type="dxa"/>
          </w:tcPr>
          <w:p w14:paraId="494E14CA" w14:textId="03E7ABDC" w:rsidR="00896446" w:rsidRPr="00206C60" w:rsidRDefault="00577F22" w:rsidP="00BA4754">
            <w:pPr>
              <w:spacing w:before="100" w:beforeAutospacing="1" w:after="100" w:afterAutospacing="1"/>
            </w:pPr>
            <w:r>
              <w:t>21 – Assessable petroleum receipts – natural gas of onshore integrated operation with non-arm’s length sale</w:t>
            </w:r>
          </w:p>
        </w:tc>
      </w:tr>
      <w:tr w:rsidR="00896446" w14:paraId="6AC268EC" w14:textId="77777777" w:rsidTr="00206C60">
        <w:tc>
          <w:tcPr>
            <w:tcW w:w="4264" w:type="dxa"/>
          </w:tcPr>
          <w:p w14:paraId="4AD3AC79" w14:textId="3808673C" w:rsidR="00896446" w:rsidRPr="00206C60" w:rsidRDefault="00896446" w:rsidP="00BA4754">
            <w:pPr>
              <w:spacing w:before="100" w:beforeAutospacing="1" w:after="100" w:afterAutospacing="1"/>
            </w:pPr>
            <w:r>
              <w:t>18</w:t>
            </w:r>
            <w:r w:rsidR="00577F22">
              <w:t xml:space="preserve"> – Advance pricing arrangements</w:t>
            </w:r>
          </w:p>
        </w:tc>
        <w:tc>
          <w:tcPr>
            <w:tcW w:w="4264" w:type="dxa"/>
          </w:tcPr>
          <w:p w14:paraId="358C8476" w14:textId="312C3A94" w:rsidR="00896446" w:rsidRPr="00206C60" w:rsidRDefault="00577F22" w:rsidP="00BA4754">
            <w:pPr>
              <w:spacing w:before="100" w:beforeAutospacing="1" w:after="100" w:afterAutospacing="1"/>
            </w:pPr>
            <w:r>
              <w:t>22 – Advance pricing arrangements</w:t>
            </w:r>
          </w:p>
        </w:tc>
      </w:tr>
      <w:tr w:rsidR="00896446" w14:paraId="3BE35D9B" w14:textId="77777777" w:rsidTr="00206C60">
        <w:tc>
          <w:tcPr>
            <w:tcW w:w="4264" w:type="dxa"/>
          </w:tcPr>
          <w:p w14:paraId="3F401F91" w14:textId="561091FC" w:rsidR="00896446" w:rsidRPr="00206C60" w:rsidRDefault="00896446" w:rsidP="00BA4754">
            <w:pPr>
              <w:spacing w:before="100" w:beforeAutospacing="1" w:after="100" w:afterAutospacing="1"/>
            </w:pPr>
            <w:r>
              <w:t>19</w:t>
            </w:r>
            <w:r w:rsidR="00577F22">
              <w:t xml:space="preserve"> – The comparable uncontrolled price</w:t>
            </w:r>
          </w:p>
        </w:tc>
        <w:tc>
          <w:tcPr>
            <w:tcW w:w="4264" w:type="dxa"/>
          </w:tcPr>
          <w:p w14:paraId="1A07E4DB" w14:textId="2DDE9C30" w:rsidR="00896446" w:rsidRPr="00206C60" w:rsidRDefault="00577F22" w:rsidP="00BA4754">
            <w:pPr>
              <w:spacing w:before="100" w:beforeAutospacing="1" w:after="100" w:afterAutospacing="1"/>
            </w:pPr>
            <w:r>
              <w:t>23 – The comparable uncontrolled price</w:t>
            </w:r>
          </w:p>
        </w:tc>
      </w:tr>
      <w:tr w:rsidR="00896446" w14:paraId="36C71D25" w14:textId="77777777" w:rsidTr="00206C60">
        <w:tc>
          <w:tcPr>
            <w:tcW w:w="4264" w:type="dxa"/>
          </w:tcPr>
          <w:p w14:paraId="1C8AD80E" w14:textId="51517BBF" w:rsidR="00896446" w:rsidRPr="00206C60" w:rsidRDefault="00896446" w:rsidP="00BA4754">
            <w:pPr>
              <w:spacing w:before="100" w:beforeAutospacing="1" w:after="100" w:afterAutospacing="1"/>
            </w:pPr>
            <w:r>
              <w:t>20</w:t>
            </w:r>
            <w:r w:rsidR="00577F22">
              <w:t xml:space="preserve"> – RPM price (transfer price using the residual pricing method)</w:t>
            </w:r>
          </w:p>
        </w:tc>
        <w:tc>
          <w:tcPr>
            <w:tcW w:w="4264" w:type="dxa"/>
          </w:tcPr>
          <w:p w14:paraId="158F5546" w14:textId="25B42036" w:rsidR="00896446" w:rsidRPr="00206C60" w:rsidRDefault="00577F22" w:rsidP="00577F22">
            <w:pPr>
              <w:spacing w:before="100" w:beforeAutospacing="1" w:after="100" w:afterAutospacing="1"/>
            </w:pPr>
            <w:r>
              <w:t>24 – RPM price (transfer price using the residual pricing method)</w:t>
            </w:r>
          </w:p>
        </w:tc>
      </w:tr>
      <w:tr w:rsidR="00896446" w14:paraId="7EFCD38B" w14:textId="77777777" w:rsidTr="00206C60">
        <w:tc>
          <w:tcPr>
            <w:tcW w:w="4264" w:type="dxa"/>
          </w:tcPr>
          <w:p w14:paraId="0FB5EF8F" w14:textId="26E23601" w:rsidR="00896446" w:rsidRPr="00206C60" w:rsidRDefault="00896446" w:rsidP="00BA4754">
            <w:pPr>
              <w:spacing w:before="100" w:beforeAutospacing="1" w:after="100" w:afterAutospacing="1"/>
            </w:pPr>
            <w:r>
              <w:t>21</w:t>
            </w:r>
            <w:r w:rsidR="00577F22">
              <w:t xml:space="preserve"> – RPM price where information is not available </w:t>
            </w:r>
          </w:p>
        </w:tc>
        <w:tc>
          <w:tcPr>
            <w:tcW w:w="4264" w:type="dxa"/>
          </w:tcPr>
          <w:p w14:paraId="51B3EFA1" w14:textId="31191FFA" w:rsidR="00896446" w:rsidRPr="00206C60" w:rsidRDefault="00577F22" w:rsidP="00577F22">
            <w:pPr>
              <w:spacing w:before="100" w:beforeAutospacing="1" w:after="100" w:afterAutospacing="1"/>
            </w:pPr>
            <w:r>
              <w:t>25 – RPM price where information is not available</w:t>
            </w:r>
          </w:p>
        </w:tc>
      </w:tr>
      <w:tr w:rsidR="00896446" w14:paraId="0F83BEF2" w14:textId="77777777" w:rsidTr="00206C60">
        <w:tc>
          <w:tcPr>
            <w:tcW w:w="4264" w:type="dxa"/>
          </w:tcPr>
          <w:p w14:paraId="444C7674" w14:textId="5D0F7A1A" w:rsidR="00896446" w:rsidRPr="00206C60" w:rsidRDefault="00896446" w:rsidP="00BA4754">
            <w:pPr>
              <w:spacing w:before="100" w:beforeAutospacing="1" w:after="100" w:afterAutospacing="1"/>
            </w:pPr>
            <w:r>
              <w:t>22</w:t>
            </w:r>
            <w:r w:rsidR="00577F22">
              <w:t xml:space="preserve"> – Cost-plus price</w:t>
            </w:r>
          </w:p>
        </w:tc>
        <w:tc>
          <w:tcPr>
            <w:tcW w:w="4264" w:type="dxa"/>
          </w:tcPr>
          <w:p w14:paraId="44691CD4" w14:textId="4DE1691A" w:rsidR="00896446" w:rsidRPr="00206C60" w:rsidRDefault="00577F22" w:rsidP="00577F22">
            <w:pPr>
              <w:spacing w:before="100" w:beforeAutospacing="1" w:after="100" w:afterAutospacing="1"/>
            </w:pPr>
            <w:r>
              <w:t>26 – Cost-plus price</w:t>
            </w:r>
          </w:p>
        </w:tc>
      </w:tr>
      <w:tr w:rsidR="00896446" w14:paraId="045679A4" w14:textId="77777777" w:rsidTr="00206C60">
        <w:tc>
          <w:tcPr>
            <w:tcW w:w="4264" w:type="dxa"/>
          </w:tcPr>
          <w:p w14:paraId="4C40F9CB" w14:textId="062F89F5" w:rsidR="00896446" w:rsidRPr="00206C60" w:rsidRDefault="00896446" w:rsidP="00BA4754">
            <w:pPr>
              <w:spacing w:before="100" w:beforeAutospacing="1" w:after="100" w:afterAutospacing="1"/>
            </w:pPr>
            <w:r>
              <w:t>23</w:t>
            </w:r>
            <w:r w:rsidR="00577F22">
              <w:t xml:space="preserve"> – Netback price</w:t>
            </w:r>
          </w:p>
        </w:tc>
        <w:tc>
          <w:tcPr>
            <w:tcW w:w="4264" w:type="dxa"/>
          </w:tcPr>
          <w:p w14:paraId="73BBBD34" w14:textId="521F8FAE" w:rsidR="00896446" w:rsidRPr="00206C60" w:rsidRDefault="00577F22" w:rsidP="00BA4754">
            <w:pPr>
              <w:spacing w:before="100" w:beforeAutospacing="1" w:after="100" w:afterAutospacing="1"/>
            </w:pPr>
            <w:r>
              <w:t xml:space="preserve">27 – Netback price </w:t>
            </w:r>
          </w:p>
        </w:tc>
      </w:tr>
      <w:tr w:rsidR="00896446" w14:paraId="6575BF34" w14:textId="77777777" w:rsidTr="00206C60">
        <w:tc>
          <w:tcPr>
            <w:tcW w:w="4264" w:type="dxa"/>
          </w:tcPr>
          <w:p w14:paraId="27004EC9" w14:textId="4B97609D" w:rsidR="00896446" w:rsidRPr="00206C60" w:rsidRDefault="00896446" w:rsidP="00BA4754">
            <w:pPr>
              <w:spacing w:before="100" w:beforeAutospacing="1" w:after="100" w:afterAutospacing="1"/>
            </w:pPr>
            <w:r>
              <w:t>24</w:t>
            </w:r>
            <w:r w:rsidR="00577F22">
              <w:t xml:space="preserve"> – Costs are net of GST tax credits and adjustments </w:t>
            </w:r>
          </w:p>
        </w:tc>
        <w:tc>
          <w:tcPr>
            <w:tcW w:w="4264" w:type="dxa"/>
          </w:tcPr>
          <w:p w14:paraId="51DB4F15" w14:textId="048E4CE6" w:rsidR="00896446" w:rsidRPr="00206C60" w:rsidRDefault="00577F22" w:rsidP="00BA4754">
            <w:pPr>
              <w:spacing w:before="100" w:beforeAutospacing="1" w:after="100" w:afterAutospacing="1"/>
            </w:pPr>
            <w:r>
              <w:t>28 – Costs are net of GST tax credits and adjustments</w:t>
            </w:r>
          </w:p>
        </w:tc>
      </w:tr>
      <w:tr w:rsidR="00896446" w14:paraId="2E7CBA7E" w14:textId="77777777" w:rsidTr="00206C60">
        <w:tc>
          <w:tcPr>
            <w:tcW w:w="4264" w:type="dxa"/>
          </w:tcPr>
          <w:p w14:paraId="71352147" w14:textId="2B16612C" w:rsidR="00896446" w:rsidRPr="00206C60" w:rsidRDefault="00896446" w:rsidP="00BA4754">
            <w:pPr>
              <w:spacing w:before="100" w:beforeAutospacing="1" w:after="100" w:afterAutospacing="1"/>
            </w:pPr>
            <w:r>
              <w:t>25</w:t>
            </w:r>
            <w:r w:rsidR="00577F22">
              <w:t xml:space="preserve"> – The residual pricing method for working out cost-plus and netback prices</w:t>
            </w:r>
          </w:p>
        </w:tc>
        <w:tc>
          <w:tcPr>
            <w:tcW w:w="4264" w:type="dxa"/>
          </w:tcPr>
          <w:p w14:paraId="1E4A9682" w14:textId="2399B737" w:rsidR="00896446" w:rsidRPr="00206C60" w:rsidRDefault="00577F22" w:rsidP="00BA4754">
            <w:pPr>
              <w:spacing w:before="100" w:beforeAutospacing="1" w:after="100" w:afterAutospacing="1"/>
            </w:pPr>
            <w:r>
              <w:t>30 – The residual pricing method for working out cost-plus price and netback price</w:t>
            </w:r>
          </w:p>
        </w:tc>
      </w:tr>
      <w:tr w:rsidR="00896446" w14:paraId="4CBEE06D" w14:textId="77777777" w:rsidTr="00206C60">
        <w:tc>
          <w:tcPr>
            <w:tcW w:w="4264" w:type="dxa"/>
          </w:tcPr>
          <w:p w14:paraId="020B2F45" w14:textId="7293F773" w:rsidR="00896446" w:rsidRPr="00206C60" w:rsidRDefault="00896446" w:rsidP="00BA4754">
            <w:pPr>
              <w:spacing w:before="100" w:beforeAutospacing="1" w:after="100" w:afterAutospacing="1"/>
            </w:pPr>
            <w:r>
              <w:t>26</w:t>
            </w:r>
            <w:r w:rsidR="00577F22">
              <w:t xml:space="preserve"> – Types of cost associated with integrated operation </w:t>
            </w:r>
          </w:p>
        </w:tc>
        <w:tc>
          <w:tcPr>
            <w:tcW w:w="4264" w:type="dxa"/>
          </w:tcPr>
          <w:p w14:paraId="02212617" w14:textId="2931A9CC" w:rsidR="00896446" w:rsidRPr="00206C60" w:rsidRDefault="00577F22" w:rsidP="00BA4754">
            <w:pPr>
              <w:spacing w:before="100" w:beforeAutospacing="1" w:after="100" w:afterAutospacing="1"/>
            </w:pPr>
            <w:r>
              <w:t>31 – Types of cost associated with integrated operation</w:t>
            </w:r>
          </w:p>
        </w:tc>
      </w:tr>
      <w:tr w:rsidR="00896446" w14:paraId="5A4C4E15" w14:textId="77777777" w:rsidTr="00206C60">
        <w:tc>
          <w:tcPr>
            <w:tcW w:w="4264" w:type="dxa"/>
          </w:tcPr>
          <w:p w14:paraId="51B49C8B" w14:textId="74AF993A" w:rsidR="00896446" w:rsidRPr="00206C60" w:rsidRDefault="00896446" w:rsidP="00BA4754">
            <w:pPr>
              <w:spacing w:before="100" w:beforeAutospacing="1" w:after="100" w:afterAutospacing="1"/>
            </w:pPr>
            <w:r>
              <w:t>27</w:t>
            </w:r>
            <w:r w:rsidR="00577F22">
              <w:t xml:space="preserve"> – Exclusion of certain costs of integrated operation </w:t>
            </w:r>
          </w:p>
        </w:tc>
        <w:tc>
          <w:tcPr>
            <w:tcW w:w="4264" w:type="dxa"/>
          </w:tcPr>
          <w:p w14:paraId="18E668B9" w14:textId="1C40E0E3" w:rsidR="00896446" w:rsidRPr="00206C60" w:rsidRDefault="00577F22" w:rsidP="00BA4754">
            <w:pPr>
              <w:spacing w:before="100" w:beforeAutospacing="1" w:after="100" w:afterAutospacing="1"/>
            </w:pPr>
            <w:r>
              <w:t>32 – Exclusion of certain costs of integrated operation</w:t>
            </w:r>
          </w:p>
        </w:tc>
      </w:tr>
      <w:tr w:rsidR="00577F22" w14:paraId="211E2FC2" w14:textId="77777777" w:rsidTr="00206C60">
        <w:tc>
          <w:tcPr>
            <w:tcW w:w="4264" w:type="dxa"/>
          </w:tcPr>
          <w:p w14:paraId="3C5C6368" w14:textId="45B024B7" w:rsidR="00577F22" w:rsidRPr="00206C60" w:rsidRDefault="00577F22" w:rsidP="00BA4754">
            <w:pPr>
              <w:spacing w:before="100" w:beforeAutospacing="1" w:after="100" w:afterAutospacing="1"/>
            </w:pPr>
            <w:r>
              <w:t>28 – Direct, indirect and personal costs</w:t>
            </w:r>
          </w:p>
        </w:tc>
        <w:tc>
          <w:tcPr>
            <w:tcW w:w="4264" w:type="dxa"/>
          </w:tcPr>
          <w:p w14:paraId="3F5E5636" w14:textId="01512313" w:rsidR="00577F22" w:rsidRPr="00206C60" w:rsidRDefault="00577F22" w:rsidP="00BA4754">
            <w:pPr>
              <w:spacing w:before="100" w:beforeAutospacing="1" w:after="100" w:afterAutospacing="1"/>
            </w:pPr>
            <w:r>
              <w:t>33 – Direct, indirect and personal costs</w:t>
            </w:r>
          </w:p>
        </w:tc>
      </w:tr>
      <w:tr w:rsidR="00577F22" w14:paraId="3777D1B2" w14:textId="77777777" w:rsidTr="00206C60">
        <w:tc>
          <w:tcPr>
            <w:tcW w:w="4264" w:type="dxa"/>
          </w:tcPr>
          <w:p w14:paraId="1E1AECA9" w14:textId="38452CAC" w:rsidR="00577F22" w:rsidRPr="00206C60" w:rsidRDefault="00577F22" w:rsidP="00BA4754">
            <w:pPr>
              <w:spacing w:before="100" w:beforeAutospacing="1" w:after="100" w:afterAutospacing="1"/>
            </w:pPr>
            <w:r>
              <w:t>29 – Exclusion of personal costs of other participants</w:t>
            </w:r>
          </w:p>
        </w:tc>
        <w:tc>
          <w:tcPr>
            <w:tcW w:w="4264" w:type="dxa"/>
          </w:tcPr>
          <w:p w14:paraId="09F5D84E" w14:textId="4CE719EA" w:rsidR="00577F22" w:rsidRPr="00206C60" w:rsidRDefault="00577F22" w:rsidP="00BA4754">
            <w:pPr>
              <w:spacing w:before="100" w:beforeAutospacing="1" w:after="100" w:afterAutospacing="1"/>
            </w:pPr>
            <w:r>
              <w:t>34 – Exclusion of personal costs of other participants</w:t>
            </w:r>
          </w:p>
        </w:tc>
      </w:tr>
      <w:tr w:rsidR="00577F22" w14:paraId="3E70BB4A" w14:textId="77777777" w:rsidTr="00206C60">
        <w:tc>
          <w:tcPr>
            <w:tcW w:w="4264" w:type="dxa"/>
          </w:tcPr>
          <w:p w14:paraId="0AB47DB2" w14:textId="6D8B7E53" w:rsidR="00577F22" w:rsidRPr="00206C60" w:rsidRDefault="00577F22" w:rsidP="00206C60">
            <w:pPr>
              <w:spacing w:before="100" w:beforeAutospacing="1" w:after="100" w:afterAutospacing="1"/>
            </w:pPr>
            <w:r>
              <w:t>30 – Included costs</w:t>
            </w:r>
          </w:p>
        </w:tc>
        <w:tc>
          <w:tcPr>
            <w:tcW w:w="4264" w:type="dxa"/>
          </w:tcPr>
          <w:p w14:paraId="4946DBF2" w14:textId="3F8363F2" w:rsidR="00577F22" w:rsidRPr="00206C60" w:rsidRDefault="00577F22" w:rsidP="00BA4754">
            <w:pPr>
              <w:spacing w:before="100" w:beforeAutospacing="1" w:after="100" w:afterAutospacing="1"/>
            </w:pPr>
            <w:r>
              <w:t>35 – Included costs</w:t>
            </w:r>
          </w:p>
        </w:tc>
      </w:tr>
      <w:tr w:rsidR="00577F22" w14:paraId="043F2AB6" w14:textId="77777777" w:rsidTr="00206C60">
        <w:tc>
          <w:tcPr>
            <w:tcW w:w="4264" w:type="dxa"/>
          </w:tcPr>
          <w:p w14:paraId="05CDE0B3" w14:textId="4457320B" w:rsidR="00577F22" w:rsidRPr="00206C60" w:rsidRDefault="00577F22" w:rsidP="00BA4754">
            <w:pPr>
              <w:spacing w:before="100" w:beforeAutospacing="1" w:after="100" w:afterAutospacing="1"/>
            </w:pPr>
            <w:r>
              <w:t>31 – Capital and operating costs</w:t>
            </w:r>
          </w:p>
        </w:tc>
        <w:tc>
          <w:tcPr>
            <w:tcW w:w="4264" w:type="dxa"/>
          </w:tcPr>
          <w:p w14:paraId="4631EC33" w14:textId="7309FDC4" w:rsidR="00577F22" w:rsidRPr="00206C60" w:rsidRDefault="00E07189" w:rsidP="00E07189">
            <w:pPr>
              <w:spacing w:before="100" w:beforeAutospacing="1" w:after="100" w:afterAutospacing="1"/>
            </w:pPr>
            <w:r>
              <w:t>36 – Capital costs and operating costs</w:t>
            </w:r>
          </w:p>
        </w:tc>
      </w:tr>
      <w:tr w:rsidR="00577F22" w14:paraId="6FF915CB" w14:textId="77777777" w:rsidTr="00206C60">
        <w:tc>
          <w:tcPr>
            <w:tcW w:w="4264" w:type="dxa"/>
          </w:tcPr>
          <w:p w14:paraId="0113CBD2" w14:textId="11FD75F1" w:rsidR="00577F22" w:rsidRPr="00206C60" w:rsidRDefault="00577F22" w:rsidP="00BA4754">
            <w:pPr>
              <w:spacing w:before="100" w:beforeAutospacing="1" w:after="100" w:afterAutospacing="1"/>
            </w:pPr>
            <w:r>
              <w:t>31A – Amount and timing of included capital cost</w:t>
            </w:r>
          </w:p>
        </w:tc>
        <w:tc>
          <w:tcPr>
            <w:tcW w:w="4264" w:type="dxa"/>
          </w:tcPr>
          <w:p w14:paraId="6F7ED688" w14:textId="14BA8B05" w:rsidR="00577F22" w:rsidRPr="00206C60" w:rsidRDefault="00E07189" w:rsidP="00E07189">
            <w:pPr>
              <w:spacing w:before="100" w:beforeAutospacing="1" w:after="100" w:afterAutospacing="1"/>
            </w:pPr>
            <w:r>
              <w:t>37 – Amount and timing of included capital cost</w:t>
            </w:r>
          </w:p>
        </w:tc>
      </w:tr>
      <w:tr w:rsidR="00577F22" w14:paraId="2AA2421E" w14:textId="77777777" w:rsidTr="00206C60">
        <w:tc>
          <w:tcPr>
            <w:tcW w:w="4264" w:type="dxa"/>
          </w:tcPr>
          <w:p w14:paraId="41C5F1D3" w14:textId="4889900C" w:rsidR="00577F22" w:rsidRPr="00206C60" w:rsidRDefault="00577F22" w:rsidP="00BA4754">
            <w:pPr>
              <w:spacing w:before="100" w:beforeAutospacing="1" w:after="100" w:afterAutospacing="1"/>
            </w:pPr>
            <w:r>
              <w:t>32 – Phase costs and upstream and downstream costs</w:t>
            </w:r>
          </w:p>
        </w:tc>
        <w:tc>
          <w:tcPr>
            <w:tcW w:w="4264" w:type="dxa"/>
          </w:tcPr>
          <w:p w14:paraId="61DB06D7" w14:textId="7D895E40" w:rsidR="00577F22" w:rsidRPr="00206C60" w:rsidRDefault="00E07189" w:rsidP="00E07189">
            <w:pPr>
              <w:spacing w:before="100" w:beforeAutospacing="1" w:after="100" w:afterAutospacing="1"/>
            </w:pPr>
            <w:r>
              <w:t>38 – Phase costs and upstream and downstream costs</w:t>
            </w:r>
          </w:p>
        </w:tc>
      </w:tr>
      <w:tr w:rsidR="00577F22" w14:paraId="5968A135" w14:textId="77777777" w:rsidTr="00206C60">
        <w:tc>
          <w:tcPr>
            <w:tcW w:w="4264" w:type="dxa"/>
          </w:tcPr>
          <w:p w14:paraId="2DCF54D6" w14:textId="7AB9EF53" w:rsidR="00577F22" w:rsidRPr="00206C60" w:rsidRDefault="00577F22" w:rsidP="00BA4754">
            <w:pPr>
              <w:spacing w:before="100" w:beforeAutospacing="1" w:after="100" w:afterAutospacing="1"/>
            </w:pPr>
            <w:r>
              <w:t>33</w:t>
            </w:r>
            <w:r w:rsidR="00E07189">
              <w:t xml:space="preserve"> – Capital costs incurred for a unit of property completed over several years</w:t>
            </w:r>
          </w:p>
        </w:tc>
        <w:tc>
          <w:tcPr>
            <w:tcW w:w="4264" w:type="dxa"/>
          </w:tcPr>
          <w:p w14:paraId="05F66AB7" w14:textId="7E568189" w:rsidR="00577F22" w:rsidRPr="00206C60" w:rsidRDefault="00E07189" w:rsidP="00BA4754">
            <w:pPr>
              <w:spacing w:before="100" w:beforeAutospacing="1" w:after="100" w:afterAutospacing="1"/>
            </w:pPr>
            <w:r>
              <w:t>39 – Capital costs incurred for a unit of property completed over several years</w:t>
            </w:r>
          </w:p>
        </w:tc>
      </w:tr>
      <w:tr w:rsidR="00577F22" w14:paraId="2BB3AB5C" w14:textId="77777777" w:rsidTr="00206C60">
        <w:tc>
          <w:tcPr>
            <w:tcW w:w="4264" w:type="dxa"/>
          </w:tcPr>
          <w:p w14:paraId="1DFD46F9" w14:textId="5695C405" w:rsidR="00577F22" w:rsidRPr="00206C60" w:rsidRDefault="00577F22" w:rsidP="00BA4754">
            <w:pPr>
              <w:spacing w:before="100" w:beforeAutospacing="1" w:after="100" w:afterAutospacing="1"/>
            </w:pPr>
            <w:r>
              <w:t>34</w:t>
            </w:r>
            <w:r w:rsidR="00E07189">
              <w:t xml:space="preserve"> – Capital costs incurred before the production year – project sales gas produced first</w:t>
            </w:r>
          </w:p>
        </w:tc>
        <w:tc>
          <w:tcPr>
            <w:tcW w:w="4264" w:type="dxa"/>
          </w:tcPr>
          <w:p w14:paraId="18987455" w14:textId="435942BF" w:rsidR="00577F22" w:rsidRPr="00206C60" w:rsidRDefault="00E07189" w:rsidP="00BA4754">
            <w:pPr>
              <w:spacing w:before="100" w:beforeAutospacing="1" w:after="100" w:afterAutospacing="1"/>
            </w:pPr>
            <w:r>
              <w:t>40 – Capital costs incurred before the production year – project sales gas produced first</w:t>
            </w:r>
          </w:p>
        </w:tc>
      </w:tr>
      <w:tr w:rsidR="00577F22" w14:paraId="7C1B67A0" w14:textId="77777777" w:rsidTr="00206C60">
        <w:tc>
          <w:tcPr>
            <w:tcW w:w="4264" w:type="dxa"/>
          </w:tcPr>
          <w:p w14:paraId="26C1B107" w14:textId="4ABC82DF" w:rsidR="00577F22" w:rsidRPr="00206C60" w:rsidRDefault="00577F22" w:rsidP="00BA4754">
            <w:pPr>
              <w:spacing w:before="100" w:beforeAutospacing="1" w:after="100" w:afterAutospacing="1"/>
            </w:pPr>
            <w:r>
              <w:t>35</w:t>
            </w:r>
            <w:r w:rsidR="00E07189">
              <w:t xml:space="preserve"> – Capital costs incurred before the production year – other marketable petroleum commodities produced first</w:t>
            </w:r>
          </w:p>
        </w:tc>
        <w:tc>
          <w:tcPr>
            <w:tcW w:w="4264" w:type="dxa"/>
          </w:tcPr>
          <w:p w14:paraId="6FB133C1" w14:textId="3F4DC045" w:rsidR="00577F22" w:rsidRPr="00206C60" w:rsidRDefault="00E07189" w:rsidP="00E07189">
            <w:pPr>
              <w:spacing w:before="100" w:beforeAutospacing="1" w:after="100" w:afterAutospacing="1"/>
            </w:pPr>
            <w:r>
              <w:t>41 – Capital costs incurred before the production year – other marketable petroleum commodities produced first</w:t>
            </w:r>
          </w:p>
        </w:tc>
      </w:tr>
      <w:tr w:rsidR="00577F22" w14:paraId="78592E4F" w14:textId="77777777" w:rsidTr="00206C60">
        <w:tc>
          <w:tcPr>
            <w:tcW w:w="4264" w:type="dxa"/>
          </w:tcPr>
          <w:p w14:paraId="42635059" w14:textId="7ECA2CB6" w:rsidR="00577F22" w:rsidRPr="00206C60" w:rsidRDefault="00577F22" w:rsidP="00BA4754">
            <w:pPr>
              <w:spacing w:before="100" w:beforeAutospacing="1" w:after="100" w:afterAutospacing="1"/>
            </w:pPr>
            <w:r>
              <w:t>36</w:t>
            </w:r>
            <w:r w:rsidR="00E07189">
              <w:t xml:space="preserve"> – Allocating capital costs to a year of tax</w:t>
            </w:r>
          </w:p>
        </w:tc>
        <w:tc>
          <w:tcPr>
            <w:tcW w:w="4264" w:type="dxa"/>
          </w:tcPr>
          <w:p w14:paraId="770E3D78" w14:textId="4426F0C6" w:rsidR="00577F22" w:rsidRPr="00206C60" w:rsidRDefault="00E07189" w:rsidP="00BA4754">
            <w:pPr>
              <w:spacing w:before="100" w:beforeAutospacing="1" w:after="100" w:afterAutospacing="1"/>
            </w:pPr>
            <w:r>
              <w:t>42 – Allocating capital costs to a year of tax</w:t>
            </w:r>
          </w:p>
        </w:tc>
      </w:tr>
      <w:tr w:rsidR="00577F22" w14:paraId="5BACFD35" w14:textId="77777777" w:rsidTr="00206C60">
        <w:tc>
          <w:tcPr>
            <w:tcW w:w="4264" w:type="dxa"/>
          </w:tcPr>
          <w:p w14:paraId="1052875C" w14:textId="3542FEAC" w:rsidR="00577F22" w:rsidRPr="00206C60" w:rsidRDefault="00577F22" w:rsidP="00BA4754">
            <w:pPr>
              <w:spacing w:before="100" w:beforeAutospacing="1" w:after="100" w:afterAutospacing="1"/>
            </w:pPr>
            <w:r>
              <w:t>37</w:t>
            </w:r>
            <w:r w:rsidR="00E07189">
              <w:t xml:space="preserve"> – Applying the energy coefficients to costs of each phase</w:t>
            </w:r>
          </w:p>
        </w:tc>
        <w:tc>
          <w:tcPr>
            <w:tcW w:w="4264" w:type="dxa"/>
          </w:tcPr>
          <w:p w14:paraId="491F953C" w14:textId="2CED252D" w:rsidR="00577F22" w:rsidRPr="00206C60" w:rsidRDefault="00E07189" w:rsidP="00E07189">
            <w:pPr>
              <w:spacing w:before="100" w:beforeAutospacing="1" w:after="100" w:afterAutospacing="1"/>
            </w:pPr>
            <w:r>
              <w:t>43 – Applying the energy coefficients to costs of each phase</w:t>
            </w:r>
          </w:p>
        </w:tc>
      </w:tr>
      <w:tr w:rsidR="00577F22" w14:paraId="1E558B28" w14:textId="77777777" w:rsidTr="00206C60">
        <w:tc>
          <w:tcPr>
            <w:tcW w:w="4264" w:type="dxa"/>
          </w:tcPr>
          <w:p w14:paraId="167AAF00" w14:textId="2976ED4E" w:rsidR="00577F22" w:rsidRPr="00206C60" w:rsidRDefault="00577F22" w:rsidP="00BA4754">
            <w:pPr>
              <w:spacing w:before="100" w:beforeAutospacing="1" w:after="100" w:afterAutospacing="1"/>
            </w:pPr>
            <w:r>
              <w:t>38</w:t>
            </w:r>
            <w:r w:rsidR="00E07189">
              <w:t xml:space="preserve"> – Notional tax amount when RPM price not used (Act s 97(1AA)(b))</w:t>
            </w:r>
          </w:p>
        </w:tc>
        <w:tc>
          <w:tcPr>
            <w:tcW w:w="4264" w:type="dxa"/>
          </w:tcPr>
          <w:p w14:paraId="7B98572E" w14:textId="35C6186B" w:rsidR="00577F22" w:rsidRPr="00206C60" w:rsidRDefault="004D344A" w:rsidP="004D344A">
            <w:pPr>
              <w:spacing w:before="100" w:beforeAutospacing="1" w:after="100" w:afterAutospacing="1"/>
            </w:pPr>
            <w:r>
              <w:t>44 – Notional tax amount when RPM price not used</w:t>
            </w:r>
          </w:p>
        </w:tc>
      </w:tr>
      <w:tr w:rsidR="00577F22" w14:paraId="7CA2F379" w14:textId="77777777" w:rsidTr="00206C60">
        <w:tc>
          <w:tcPr>
            <w:tcW w:w="4264" w:type="dxa"/>
          </w:tcPr>
          <w:p w14:paraId="52C8325B" w14:textId="17A3F6AD" w:rsidR="00577F22" w:rsidRPr="00206C60" w:rsidRDefault="00577F22" w:rsidP="00BA4754">
            <w:pPr>
              <w:spacing w:before="100" w:beforeAutospacing="1" w:after="100" w:afterAutospacing="1"/>
            </w:pPr>
            <w:r>
              <w:t>39</w:t>
            </w:r>
            <w:r w:rsidR="00E07189">
              <w:t xml:space="preserve"> – Notional tax amount when RPM price used (Act s 97</w:t>
            </w:r>
            <w:r w:rsidR="004D344A">
              <w:t xml:space="preserve">(1AA)(b) </w:t>
            </w:r>
          </w:p>
        </w:tc>
        <w:tc>
          <w:tcPr>
            <w:tcW w:w="4264" w:type="dxa"/>
          </w:tcPr>
          <w:p w14:paraId="6540A912" w14:textId="72C45798" w:rsidR="00577F22" w:rsidRPr="00206C60" w:rsidRDefault="004D344A" w:rsidP="004D344A">
            <w:pPr>
              <w:spacing w:before="100" w:beforeAutospacing="1" w:after="100" w:afterAutospacing="1"/>
            </w:pPr>
            <w:r>
              <w:t>45 – Notional tax amount when RPM price used</w:t>
            </w:r>
          </w:p>
        </w:tc>
      </w:tr>
      <w:tr w:rsidR="00577F22" w14:paraId="6D3B802B" w14:textId="77777777" w:rsidTr="00206C60">
        <w:tc>
          <w:tcPr>
            <w:tcW w:w="4264" w:type="dxa"/>
          </w:tcPr>
          <w:p w14:paraId="1263644B" w14:textId="16C27122" w:rsidR="00577F22" w:rsidRPr="00206C60" w:rsidRDefault="00577F22" w:rsidP="004D344A">
            <w:pPr>
              <w:spacing w:before="100" w:beforeAutospacing="1" w:after="100" w:afterAutospacing="1"/>
            </w:pPr>
            <w:r>
              <w:t>40</w:t>
            </w:r>
            <w:r w:rsidR="004D344A">
              <w:t xml:space="preserve"> – Notional tax amount when no previous RPM price </w:t>
            </w:r>
          </w:p>
        </w:tc>
        <w:tc>
          <w:tcPr>
            <w:tcW w:w="4264" w:type="dxa"/>
          </w:tcPr>
          <w:p w14:paraId="0A0B43FA" w14:textId="4C616F11" w:rsidR="00577F22" w:rsidRPr="00206C60" w:rsidRDefault="004D344A" w:rsidP="004D344A">
            <w:pPr>
              <w:spacing w:before="100" w:beforeAutospacing="1" w:after="100" w:afterAutospacing="1"/>
            </w:pPr>
            <w:r>
              <w:t>46 – Notional tax amount when no previous RPM price</w:t>
            </w:r>
          </w:p>
        </w:tc>
      </w:tr>
      <w:tr w:rsidR="00577F22" w14:paraId="65884EE9" w14:textId="77777777" w:rsidTr="00206C60">
        <w:tc>
          <w:tcPr>
            <w:tcW w:w="4264" w:type="dxa"/>
          </w:tcPr>
          <w:p w14:paraId="1EB0F439" w14:textId="41988B06" w:rsidR="00577F22" w:rsidRPr="00206C60" w:rsidRDefault="00577F22" w:rsidP="00BA4754">
            <w:pPr>
              <w:spacing w:before="100" w:beforeAutospacing="1" w:after="100" w:afterAutospacing="1"/>
            </w:pPr>
            <w:r>
              <w:t>41</w:t>
            </w:r>
            <w:r w:rsidR="004D344A">
              <w:t xml:space="preserve"> – Review of decisions – prescribed decisions</w:t>
            </w:r>
          </w:p>
        </w:tc>
        <w:tc>
          <w:tcPr>
            <w:tcW w:w="4264" w:type="dxa"/>
          </w:tcPr>
          <w:p w14:paraId="0595F944" w14:textId="131ABF3D" w:rsidR="00577F22" w:rsidRPr="00206C60" w:rsidRDefault="004D344A" w:rsidP="004D344A">
            <w:pPr>
              <w:spacing w:before="100" w:beforeAutospacing="1" w:after="100" w:afterAutospacing="1"/>
            </w:pPr>
            <w:r>
              <w:t>47 – Review of decisions – prescribed decisions</w:t>
            </w:r>
          </w:p>
        </w:tc>
      </w:tr>
      <w:tr w:rsidR="00577F22" w14:paraId="3C95FDB8" w14:textId="77777777" w:rsidTr="00206C60">
        <w:tc>
          <w:tcPr>
            <w:tcW w:w="4264" w:type="dxa"/>
          </w:tcPr>
          <w:p w14:paraId="39483D1A" w14:textId="7A1C7203" w:rsidR="00577F22" w:rsidRPr="00206C60" w:rsidRDefault="004D344A" w:rsidP="00BA4754">
            <w:pPr>
              <w:spacing w:before="100" w:beforeAutospacing="1" w:after="100" w:afterAutospacing="1"/>
            </w:pPr>
            <w:r>
              <w:t>42 – Election to use residual pricing method – participant in onshore GTL operation</w:t>
            </w:r>
          </w:p>
        </w:tc>
        <w:tc>
          <w:tcPr>
            <w:tcW w:w="4264" w:type="dxa"/>
          </w:tcPr>
          <w:p w14:paraId="235CDCF9" w14:textId="18625078" w:rsidR="00577F22" w:rsidRPr="00206C60" w:rsidRDefault="004D344A" w:rsidP="004D344A">
            <w:pPr>
              <w:spacing w:before="100" w:beforeAutospacing="1" w:after="100" w:afterAutospacing="1"/>
            </w:pPr>
            <w:r>
              <w:t>49 – Election to apply the residual pricing method – integrated onshore GTL operations</w:t>
            </w:r>
          </w:p>
        </w:tc>
      </w:tr>
      <w:tr w:rsidR="00577F22" w14:paraId="7D644893" w14:textId="77777777" w:rsidTr="00206C60">
        <w:tc>
          <w:tcPr>
            <w:tcW w:w="4264" w:type="dxa"/>
          </w:tcPr>
          <w:p w14:paraId="61335DB3" w14:textId="6ECA6304" w:rsidR="00577F22" w:rsidRPr="00206C60" w:rsidRDefault="004D344A" w:rsidP="00BA4754">
            <w:pPr>
              <w:spacing w:before="100" w:beforeAutospacing="1" w:after="100" w:afterAutospacing="1"/>
            </w:pPr>
            <w:r>
              <w:t>43 – Election to use modified residual pricing method – integrated GTL operation existing before 2 May 2010</w:t>
            </w:r>
          </w:p>
        </w:tc>
        <w:tc>
          <w:tcPr>
            <w:tcW w:w="4264" w:type="dxa"/>
          </w:tcPr>
          <w:p w14:paraId="0A9E7E69" w14:textId="4E23E83B" w:rsidR="00577F22" w:rsidRPr="00206C60" w:rsidRDefault="00864502" w:rsidP="00BA4754">
            <w:pPr>
              <w:spacing w:before="100" w:beforeAutospacing="1" w:after="100" w:afterAutospacing="1"/>
            </w:pPr>
            <w:r>
              <w:t>50 – Election to apply a modified residual pricing method – integrated GTL operations existing before 2 May 2010</w:t>
            </w:r>
          </w:p>
        </w:tc>
      </w:tr>
      <w:tr w:rsidR="00577F22" w14:paraId="7B81A2DF" w14:textId="77777777" w:rsidTr="00206C60">
        <w:tc>
          <w:tcPr>
            <w:tcW w:w="4264" w:type="dxa"/>
          </w:tcPr>
          <w:p w14:paraId="0B4125B8" w14:textId="69480621" w:rsidR="00577F22" w:rsidRPr="00206C60" w:rsidRDefault="00577F22" w:rsidP="00BA4754">
            <w:pPr>
              <w:spacing w:before="100" w:beforeAutospacing="1" w:after="100" w:afterAutospacing="1"/>
            </w:pPr>
            <w:r>
              <w:t>44</w:t>
            </w:r>
            <w:r w:rsidR="004D344A">
              <w:t xml:space="preserve"> – Election to use depreciated replacement cost method – integrated onshore operation existing before 2 May 2010</w:t>
            </w:r>
          </w:p>
        </w:tc>
        <w:tc>
          <w:tcPr>
            <w:tcW w:w="4264" w:type="dxa"/>
          </w:tcPr>
          <w:p w14:paraId="5D50B020" w14:textId="5A44E411" w:rsidR="00577F22" w:rsidRPr="00206C60" w:rsidRDefault="00864502" w:rsidP="00BA4754">
            <w:pPr>
              <w:spacing w:before="100" w:beforeAutospacing="1" w:after="100" w:afterAutospacing="1"/>
            </w:pPr>
            <w:r>
              <w:t>51 – Election to use the depreciated replacement cost method – integrated onshore operations</w:t>
            </w:r>
          </w:p>
        </w:tc>
      </w:tr>
    </w:tbl>
    <w:p w14:paraId="5FC3E966" w14:textId="77777777" w:rsidR="00044500" w:rsidRPr="003119F2" w:rsidRDefault="00044500" w:rsidP="00BA4754">
      <w:pPr>
        <w:spacing w:before="100" w:beforeAutospacing="1" w:after="100" w:afterAutospacing="1"/>
      </w:pPr>
    </w:p>
    <w:p w14:paraId="3B5AF838" w14:textId="1EE1A747" w:rsidR="007B36E3" w:rsidRPr="00621B68" w:rsidRDefault="007B36E3" w:rsidP="007B36E3">
      <w:pPr>
        <w:pStyle w:val="Heading3"/>
        <w:tabs>
          <w:tab w:val="left" w:pos="1987"/>
        </w:tabs>
        <w:spacing w:before="240" w:after="120"/>
        <w:jc w:val="center"/>
        <w:rPr>
          <w:rFonts w:ascii="Helvetica" w:hAnsi="Helvetica"/>
          <w:kern w:val="28"/>
        </w:rPr>
      </w:pPr>
      <w:r w:rsidRPr="00621B68">
        <w:rPr>
          <w:rFonts w:ascii="Helvetica" w:hAnsi="Helvetica"/>
          <w:kern w:val="28"/>
        </w:rPr>
        <w:t>Statement of Compatibility with Human Rights</w:t>
      </w:r>
    </w:p>
    <w:p w14:paraId="2BF14972" w14:textId="77777777" w:rsidR="007B36E3" w:rsidRPr="00210946" w:rsidRDefault="007B36E3" w:rsidP="007B36E3">
      <w:pPr>
        <w:spacing w:before="120" w:after="120"/>
        <w:jc w:val="center"/>
        <w:rPr>
          <w:i/>
        </w:rPr>
      </w:pPr>
      <w:r w:rsidRPr="00210946">
        <w:rPr>
          <w:i/>
        </w:rPr>
        <w:t>Prepared in accordance with Part 3 of the Human Rights (Parliamentary Scrutiny) Act 2011</w:t>
      </w:r>
    </w:p>
    <w:p w14:paraId="629B70BB" w14:textId="610A7A78" w:rsidR="007B36E3" w:rsidRPr="00B8260E" w:rsidRDefault="00DA197E" w:rsidP="007B36E3">
      <w:pPr>
        <w:tabs>
          <w:tab w:val="left" w:pos="1701"/>
          <w:tab w:val="right" w:pos="9072"/>
        </w:tabs>
        <w:spacing w:before="100" w:beforeAutospacing="1" w:after="100" w:afterAutospacing="1"/>
        <w:ind w:right="91"/>
        <w:jc w:val="center"/>
        <w:rPr>
          <w:i/>
        </w:rPr>
      </w:pPr>
      <w:r w:rsidRPr="00B8260E">
        <w:rPr>
          <w:i/>
        </w:rPr>
        <w:t>Petroleum Resource Rent Tax Assessment</w:t>
      </w:r>
      <w:r w:rsidR="007B36E3" w:rsidRPr="00B8260E">
        <w:rPr>
          <w:i/>
        </w:rPr>
        <w:t xml:space="preserve"> Regulation 2015</w:t>
      </w:r>
    </w:p>
    <w:p w14:paraId="0040995E" w14:textId="18577DC3" w:rsidR="007B36E3" w:rsidRPr="00B8260E" w:rsidRDefault="007B36E3" w:rsidP="007B36E3">
      <w:pPr>
        <w:tabs>
          <w:tab w:val="left" w:pos="1701"/>
          <w:tab w:val="right" w:pos="9072"/>
        </w:tabs>
        <w:spacing w:before="100" w:beforeAutospacing="1" w:after="100" w:afterAutospacing="1"/>
        <w:ind w:right="91"/>
      </w:pPr>
      <w:r w:rsidRPr="00B8260E">
        <w:t xml:space="preserve">This </w:t>
      </w:r>
      <w:r w:rsidR="002E6235">
        <w:t>l</w:t>
      </w:r>
      <w:r w:rsidRPr="00B8260E">
        <w:t xml:space="preserve">egislative </w:t>
      </w:r>
      <w:r w:rsidR="002E6235">
        <w:t>i</w:t>
      </w:r>
      <w:r w:rsidRPr="00B8260E">
        <w:t xml:space="preserve">nstrument is compatible with the human rights and freedoms recognised or declared in the international instruments listed in section 3 of the </w:t>
      </w:r>
      <w:r w:rsidRPr="00B8260E">
        <w:rPr>
          <w:i/>
        </w:rPr>
        <w:t>Human Rights (Parliamentary Scrutiny) Act 2011</w:t>
      </w:r>
      <w:r w:rsidRPr="00B8260E">
        <w:t>.</w:t>
      </w:r>
    </w:p>
    <w:p w14:paraId="4948600C" w14:textId="77777777" w:rsidR="007B36E3" w:rsidRPr="00B8260E" w:rsidRDefault="007B36E3" w:rsidP="007B36E3">
      <w:pPr>
        <w:tabs>
          <w:tab w:val="left" w:pos="1701"/>
          <w:tab w:val="right" w:pos="9072"/>
        </w:tabs>
        <w:spacing w:before="100" w:beforeAutospacing="1" w:after="100" w:afterAutospacing="1"/>
        <w:ind w:right="91"/>
        <w:rPr>
          <w:b/>
        </w:rPr>
      </w:pPr>
      <w:r w:rsidRPr="00B8260E">
        <w:rPr>
          <w:b/>
        </w:rPr>
        <w:t>Overview of the Legislative Instrument</w:t>
      </w:r>
    </w:p>
    <w:p w14:paraId="5C51B35F" w14:textId="51464F15" w:rsidR="009C6005" w:rsidRPr="00B8260E" w:rsidRDefault="007B36E3" w:rsidP="007B36E3">
      <w:pPr>
        <w:tabs>
          <w:tab w:val="left" w:pos="1701"/>
          <w:tab w:val="right" w:pos="9072"/>
        </w:tabs>
        <w:spacing w:before="100" w:beforeAutospacing="1" w:after="100" w:afterAutospacing="1"/>
        <w:ind w:right="91"/>
      </w:pPr>
      <w:r w:rsidRPr="00B8260E">
        <w:t xml:space="preserve">The </w:t>
      </w:r>
      <w:r w:rsidR="00DA197E" w:rsidRPr="00B8260E">
        <w:rPr>
          <w:i/>
        </w:rPr>
        <w:t>Petroleum Resource Rent Tax Assessment Regulation 2015</w:t>
      </w:r>
      <w:r w:rsidRPr="00B8260E">
        <w:t xml:space="preserve"> remakes the </w:t>
      </w:r>
      <w:r w:rsidR="00DA197E" w:rsidRPr="00B8260E">
        <w:rPr>
          <w:i/>
        </w:rPr>
        <w:t>Petroleum Resource Rent Tax Assessment Regulation</w:t>
      </w:r>
      <w:r w:rsidR="00C90EE9" w:rsidRPr="00B8260E">
        <w:rPr>
          <w:i/>
        </w:rPr>
        <w:t>s</w:t>
      </w:r>
      <w:r w:rsidR="00DA197E" w:rsidRPr="00B8260E">
        <w:rPr>
          <w:i/>
        </w:rPr>
        <w:t xml:space="preserve"> 2005</w:t>
      </w:r>
      <w:r w:rsidRPr="00B8260E">
        <w:t xml:space="preserve">.  </w:t>
      </w:r>
    </w:p>
    <w:p w14:paraId="7A2FE12E" w14:textId="77777777" w:rsidR="00752D52" w:rsidRPr="00B8260E" w:rsidRDefault="007B36E3" w:rsidP="00752D52">
      <w:pPr>
        <w:tabs>
          <w:tab w:val="left" w:pos="1701"/>
          <w:tab w:val="right" w:pos="9072"/>
        </w:tabs>
        <w:spacing w:before="100" w:beforeAutospacing="1" w:after="100" w:afterAutospacing="1"/>
        <w:ind w:right="91"/>
      </w:pPr>
      <w:r w:rsidRPr="00B8260E">
        <w:t xml:space="preserve">The </w:t>
      </w:r>
      <w:r w:rsidRPr="00B8260E">
        <w:rPr>
          <w:i/>
        </w:rPr>
        <w:t>Legislative Instruments Act 2003</w:t>
      </w:r>
      <w:r w:rsidRPr="00B8260E">
        <w:t xml:space="preserve"> (LIA) provides that all legislative instruments, other than exempt instruments, progressively ‘sunset’ </w:t>
      </w:r>
      <w:r w:rsidR="00C90EE9" w:rsidRPr="00B8260E">
        <w:t>on the first 1 April or 1 </w:t>
      </w:r>
      <w:r w:rsidR="00DA197E" w:rsidRPr="00B8260E">
        <w:t>October falling on or after the tenth anniversary of registration of the instrument</w:t>
      </w:r>
      <w:r w:rsidRPr="00B8260E">
        <w:t xml:space="preserve">.  </w:t>
      </w:r>
      <w:r w:rsidR="00DA197E" w:rsidRPr="00B8260E">
        <w:t xml:space="preserve">As the </w:t>
      </w:r>
      <w:r w:rsidR="00DA197E" w:rsidRPr="00B8260E">
        <w:rPr>
          <w:i/>
        </w:rPr>
        <w:t>Petroleum Resource Rent Tax Assessment Regulation</w:t>
      </w:r>
      <w:r w:rsidR="00C90EE9" w:rsidRPr="00B8260E">
        <w:rPr>
          <w:i/>
        </w:rPr>
        <w:t>s</w:t>
      </w:r>
      <w:r w:rsidR="00DA197E" w:rsidRPr="00B8260E">
        <w:rPr>
          <w:i/>
        </w:rPr>
        <w:t xml:space="preserve"> 2005</w:t>
      </w:r>
      <w:r w:rsidR="00DA197E" w:rsidRPr="00B8260E">
        <w:t xml:space="preserve"> was registered on 19 December 2005, the legislative instrument is due to sunset on 1 April 2016. </w:t>
      </w:r>
      <w:r w:rsidRPr="00B8260E">
        <w:t xml:space="preserve">  When a legislative instrument sunsets, it is automatically repealed under section 50 of the LIA.</w:t>
      </w:r>
    </w:p>
    <w:p w14:paraId="361CE2CF" w14:textId="5CEF5FFD" w:rsidR="007B36E3" w:rsidRDefault="002E6235" w:rsidP="00752D52">
      <w:pPr>
        <w:tabs>
          <w:tab w:val="left" w:pos="1701"/>
          <w:tab w:val="right" w:pos="9072"/>
        </w:tabs>
        <w:spacing w:before="100" w:beforeAutospacing="1" w:after="100" w:afterAutospacing="1"/>
        <w:ind w:right="91"/>
      </w:pPr>
      <w:r>
        <w:t xml:space="preserve">As well as remaking </w:t>
      </w:r>
      <w:r w:rsidR="007B36E3" w:rsidRPr="00B8260E">
        <w:t xml:space="preserve">the </w:t>
      </w:r>
      <w:r w:rsidR="00DA197E" w:rsidRPr="00B8260E">
        <w:rPr>
          <w:i/>
        </w:rPr>
        <w:t>Petroleum Resource Rent Tax Assessment Regulation</w:t>
      </w:r>
      <w:r w:rsidR="00C90EE9" w:rsidRPr="00B8260E">
        <w:rPr>
          <w:i/>
        </w:rPr>
        <w:t>s</w:t>
      </w:r>
      <w:r w:rsidR="00DA197E" w:rsidRPr="00B8260E">
        <w:rPr>
          <w:i/>
        </w:rPr>
        <w:t> 2005</w:t>
      </w:r>
      <w:r>
        <w:t>, this legislative instrument</w:t>
      </w:r>
      <w:r w:rsidR="007B36E3" w:rsidRPr="00B8260E">
        <w:t xml:space="preserve"> </w:t>
      </w:r>
      <w:r w:rsidR="00DA197E" w:rsidRPr="00B8260E">
        <w:t xml:space="preserve">also </w:t>
      </w:r>
      <w:r w:rsidR="007B36E3" w:rsidRPr="00B8260E">
        <w:t xml:space="preserve">makes </w:t>
      </w:r>
      <w:r w:rsidR="00DA197E" w:rsidRPr="00B8260E">
        <w:t xml:space="preserve">some minor changes to reduce compliance costs for industry and ensure that </w:t>
      </w:r>
      <w:r>
        <w:t>this legislative instrument</w:t>
      </w:r>
      <w:r w:rsidR="00DA197E" w:rsidRPr="00B8260E">
        <w:t xml:space="preserve"> is fit-for-purpose. </w:t>
      </w:r>
      <w:r w:rsidR="00DE4F8B">
        <w:t>T</w:t>
      </w:r>
      <w:r w:rsidR="007B36E3" w:rsidRPr="00B8260E">
        <w:t>he key changes are:</w:t>
      </w:r>
    </w:p>
    <w:p w14:paraId="741F4A51" w14:textId="3BF9E3AA" w:rsidR="001502C3" w:rsidRPr="00506F8D" w:rsidRDefault="001502C3" w:rsidP="001502C3">
      <w:pPr>
        <w:pStyle w:val="Bullet"/>
        <w:rPr>
          <w:rFonts w:ascii="Times New Roman" w:hAnsi="Times New Roman" w:cs="Times New Roman"/>
        </w:rPr>
      </w:pPr>
      <w:r w:rsidRPr="00CD4C36">
        <w:rPr>
          <w:rFonts w:ascii="Times New Roman" w:hAnsi="Times New Roman" w:cs="Times New Roman"/>
        </w:rPr>
        <w:t>allowing taxpayers to jointly make an election for an onshore integrated gas</w:t>
      </w:r>
      <w:r w:rsidRPr="00CD4C36">
        <w:rPr>
          <w:rFonts w:ascii="Times New Roman" w:hAnsi="Times New Roman" w:cs="Times New Roman"/>
        </w:rPr>
        <w:noBreakHyphen/>
        <w:t>to</w:t>
      </w:r>
      <w:r w:rsidRPr="00CD4C36">
        <w:rPr>
          <w:rFonts w:ascii="Times New Roman" w:hAnsi="Times New Roman" w:cs="Times New Roman"/>
        </w:rPr>
        <w:noBreakHyphen/>
        <w:t>liquid ope</w:t>
      </w:r>
      <w:r w:rsidRPr="00506F8D">
        <w:rPr>
          <w:rFonts w:ascii="Times New Roman" w:hAnsi="Times New Roman" w:cs="Times New Roman"/>
        </w:rPr>
        <w:t>ration to aggregate the relevant costs into one upstream phase. For integrity reasons, the election is subject to restrictions;</w:t>
      </w:r>
    </w:p>
    <w:p w14:paraId="6F72F837" w14:textId="7B523FBD" w:rsidR="001502C3" w:rsidRPr="00506F8D" w:rsidRDefault="001502C3" w:rsidP="001502C3">
      <w:pPr>
        <w:pStyle w:val="Bullet"/>
        <w:rPr>
          <w:rFonts w:ascii="Times New Roman" w:hAnsi="Times New Roman" w:cs="Times New Roman"/>
        </w:rPr>
      </w:pPr>
      <w:r w:rsidRPr="00506F8D">
        <w:rPr>
          <w:rFonts w:ascii="Times New Roman" w:hAnsi="Times New Roman" w:cs="Times New Roman"/>
        </w:rPr>
        <w:t>allowing an election for an onshore integrated operation to use the depreciated replacement cost method, to be made by taxpayers that use the Residual Pricing Method (RPM) . This changes the current requirement that the election be made by all of the participants in the integrated operation;</w:t>
      </w:r>
    </w:p>
    <w:p w14:paraId="28A93A50" w14:textId="77777777" w:rsidR="001502C3" w:rsidRPr="00506F8D" w:rsidRDefault="001502C3" w:rsidP="001502C3">
      <w:pPr>
        <w:pStyle w:val="Bullet"/>
        <w:rPr>
          <w:rFonts w:ascii="Times New Roman" w:hAnsi="Times New Roman" w:cs="Times New Roman"/>
        </w:rPr>
      </w:pPr>
      <w:r w:rsidRPr="00506F8D">
        <w:rPr>
          <w:rFonts w:ascii="Times New Roman" w:hAnsi="Times New Roman" w:cs="Times New Roman"/>
        </w:rPr>
        <w:t>allowing taxpayers to jointly make an election, for an integrated operation, to use the value of their own share of the end products as a component of the netback price in specified circumstances, instead of requiring them to obtain the value of the end products of all of the taxpayers in the operation. For integrity reasons, this election is subject to restrictions;</w:t>
      </w:r>
    </w:p>
    <w:p w14:paraId="780AC6C8" w14:textId="483A0CAD" w:rsidR="00FA44A5" w:rsidRPr="00506F8D" w:rsidRDefault="001502C3" w:rsidP="00506F8D">
      <w:pPr>
        <w:pStyle w:val="Bullet"/>
        <w:rPr>
          <w:rFonts w:ascii="Times New Roman" w:hAnsi="Times New Roman" w:cs="Times New Roman"/>
        </w:rPr>
      </w:pPr>
      <w:r w:rsidRPr="00506F8D">
        <w:rPr>
          <w:rFonts w:ascii="Times New Roman" w:hAnsi="Times New Roman" w:cs="Times New Roman"/>
        </w:rPr>
        <w:t>adding an example to the Regulation to clarify that the Commissioner of Taxation’s power to agree to or to determine an RPM price can be used when required information is not accessible for practical or commercial reasons; and</w:t>
      </w:r>
    </w:p>
    <w:p w14:paraId="4AAD471D" w14:textId="77777777" w:rsidR="00FA44A5" w:rsidRPr="00506F8D" w:rsidRDefault="001502C3" w:rsidP="00506F8D">
      <w:pPr>
        <w:pStyle w:val="Bullet"/>
        <w:rPr>
          <w:rFonts w:ascii="Times New Roman" w:hAnsi="Times New Roman" w:cs="Times New Roman"/>
        </w:rPr>
      </w:pPr>
      <w:r w:rsidRPr="00506F8D">
        <w:rPr>
          <w:rFonts w:ascii="Times New Roman" w:hAnsi="Times New Roman" w:cs="Times New Roman"/>
        </w:rPr>
        <w:t>correcting the inconsistent treatment of storage costs for project sales gas in an integrated operation so that the cost for storage of sales gas after a non-arm’s length sale is treated as a downstream cost.</w:t>
      </w:r>
    </w:p>
    <w:p w14:paraId="59ED5138" w14:textId="77777777" w:rsidR="00FA44A5" w:rsidRPr="00506F8D" w:rsidRDefault="00FA44A5" w:rsidP="00506F8D">
      <w:pPr>
        <w:pStyle w:val="Bullet"/>
        <w:numPr>
          <w:ilvl w:val="0"/>
          <w:numId w:val="0"/>
        </w:numPr>
        <w:rPr>
          <w:rFonts w:ascii="Times New Roman" w:hAnsi="Times New Roman" w:cs="Times New Roman"/>
        </w:rPr>
      </w:pPr>
    </w:p>
    <w:p w14:paraId="5A9FFA39" w14:textId="6DE7BAD1" w:rsidR="007B36E3" w:rsidRPr="00506F8D" w:rsidRDefault="007B36E3" w:rsidP="00506F8D">
      <w:pPr>
        <w:pStyle w:val="Bullet"/>
        <w:numPr>
          <w:ilvl w:val="0"/>
          <w:numId w:val="0"/>
        </w:numPr>
        <w:rPr>
          <w:rFonts w:ascii="Times New Roman" w:hAnsi="Times New Roman" w:cs="Times New Roman"/>
        </w:rPr>
      </w:pPr>
      <w:r w:rsidRPr="00506F8D">
        <w:rPr>
          <w:rFonts w:ascii="Times New Roman" w:hAnsi="Times New Roman" w:cs="Times New Roman"/>
        </w:rPr>
        <w:t xml:space="preserve">Further details of </w:t>
      </w:r>
      <w:r w:rsidR="002E6235" w:rsidRPr="00506F8D">
        <w:rPr>
          <w:rFonts w:ascii="Times New Roman" w:hAnsi="Times New Roman" w:cs="Times New Roman"/>
        </w:rPr>
        <w:t>this legislative instrument</w:t>
      </w:r>
      <w:r w:rsidRPr="00506F8D">
        <w:rPr>
          <w:rFonts w:ascii="Times New Roman" w:hAnsi="Times New Roman" w:cs="Times New Roman"/>
        </w:rPr>
        <w:t xml:space="preserve"> are set out in the Attachment to the Explanatory Statement.</w:t>
      </w:r>
    </w:p>
    <w:p w14:paraId="464F50FF" w14:textId="37B6A418" w:rsidR="007B36E3" w:rsidRPr="00210946" w:rsidRDefault="007B36E3" w:rsidP="007B36E3">
      <w:pPr>
        <w:tabs>
          <w:tab w:val="left" w:pos="1701"/>
          <w:tab w:val="right" w:pos="9072"/>
        </w:tabs>
        <w:spacing w:before="100" w:beforeAutospacing="1" w:after="100" w:afterAutospacing="1"/>
        <w:ind w:right="91"/>
        <w:rPr>
          <w:b/>
        </w:rPr>
      </w:pPr>
      <w:r w:rsidRPr="00210946">
        <w:rPr>
          <w:b/>
        </w:rPr>
        <w:t xml:space="preserve">Human </w:t>
      </w:r>
      <w:r w:rsidR="00044500">
        <w:rPr>
          <w:b/>
        </w:rPr>
        <w:t>R</w:t>
      </w:r>
      <w:r w:rsidRPr="00210946">
        <w:rPr>
          <w:b/>
        </w:rPr>
        <w:t xml:space="preserve">ights </w:t>
      </w:r>
      <w:r w:rsidR="00044500">
        <w:rPr>
          <w:b/>
        </w:rPr>
        <w:t>I</w:t>
      </w:r>
      <w:r w:rsidRPr="00210946">
        <w:rPr>
          <w:b/>
        </w:rPr>
        <w:t>mplications</w:t>
      </w:r>
    </w:p>
    <w:p w14:paraId="6BE31CE0" w14:textId="128525DF" w:rsidR="007B36E3" w:rsidRDefault="007B36E3" w:rsidP="007B36E3">
      <w:pPr>
        <w:tabs>
          <w:tab w:val="left" w:pos="1701"/>
          <w:tab w:val="right" w:pos="9072"/>
        </w:tabs>
        <w:spacing w:before="100" w:beforeAutospacing="1" w:after="100" w:afterAutospacing="1"/>
        <w:ind w:right="91"/>
      </w:pPr>
      <w:r>
        <w:t xml:space="preserve">This </w:t>
      </w:r>
      <w:r w:rsidR="002E6235">
        <w:t>l</w:t>
      </w:r>
      <w:r>
        <w:t xml:space="preserve">egislative </w:t>
      </w:r>
      <w:r w:rsidR="002E6235">
        <w:t>i</w:t>
      </w:r>
      <w:r>
        <w:t>nstrument does not engage any of the applicable rights or freedoms.</w:t>
      </w:r>
    </w:p>
    <w:p w14:paraId="02D7C034" w14:textId="77777777" w:rsidR="007B36E3" w:rsidRPr="00210946" w:rsidRDefault="007B36E3" w:rsidP="007B36E3">
      <w:pPr>
        <w:tabs>
          <w:tab w:val="left" w:pos="1701"/>
          <w:tab w:val="right" w:pos="9072"/>
        </w:tabs>
        <w:spacing w:before="100" w:beforeAutospacing="1" w:after="100" w:afterAutospacing="1"/>
        <w:ind w:right="91"/>
        <w:rPr>
          <w:b/>
        </w:rPr>
      </w:pPr>
      <w:r w:rsidRPr="00210946">
        <w:rPr>
          <w:b/>
        </w:rPr>
        <w:t>Conclusion</w:t>
      </w:r>
    </w:p>
    <w:p w14:paraId="29F543EA" w14:textId="17DCC63C" w:rsidR="007B36E3" w:rsidRDefault="007B36E3" w:rsidP="007B36E3">
      <w:pPr>
        <w:tabs>
          <w:tab w:val="left" w:pos="1701"/>
          <w:tab w:val="right" w:pos="9072"/>
        </w:tabs>
        <w:spacing w:before="100" w:beforeAutospacing="1" w:after="100" w:afterAutospacing="1"/>
        <w:ind w:right="91"/>
      </w:pPr>
      <w:r>
        <w:t xml:space="preserve">This </w:t>
      </w:r>
      <w:r w:rsidR="002E6235">
        <w:t>l</w:t>
      </w:r>
      <w:r>
        <w:t xml:space="preserve">egislative </w:t>
      </w:r>
      <w:r w:rsidR="002E6235">
        <w:t>i</w:t>
      </w:r>
      <w:r>
        <w:t>nstrument is compatible with human rights as it does not raise any human rights issues.</w:t>
      </w:r>
    </w:p>
    <w:p w14:paraId="12F7318F" w14:textId="33243D04" w:rsidR="00693DBF" w:rsidRDefault="00693DBF"/>
    <w:sectPr w:rsidR="00693DBF">
      <w:footerReference w:type="default" r:id="rId15"/>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3840" w14:textId="77777777" w:rsidR="00FA44A5" w:rsidRDefault="00FA44A5" w:rsidP="009179FB">
      <w:r>
        <w:separator/>
      </w:r>
    </w:p>
  </w:endnote>
  <w:endnote w:type="continuationSeparator" w:id="0">
    <w:p w14:paraId="7B3C5350" w14:textId="77777777" w:rsidR="00FA44A5" w:rsidRDefault="00FA44A5" w:rsidP="009179FB">
      <w:r>
        <w:continuationSeparator/>
      </w:r>
    </w:p>
  </w:endnote>
  <w:endnote w:type="continuationNotice" w:id="1">
    <w:p w14:paraId="62098EB0" w14:textId="77777777" w:rsidR="00FA44A5" w:rsidRDefault="00FA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346803"/>
      <w:docPartObj>
        <w:docPartGallery w:val="Page Numbers (Bottom of Page)"/>
        <w:docPartUnique/>
      </w:docPartObj>
    </w:sdtPr>
    <w:sdtEndPr>
      <w:rPr>
        <w:noProof/>
      </w:rPr>
    </w:sdtEndPr>
    <w:sdtContent>
      <w:p w14:paraId="1BAE4345" w14:textId="413FA0E6" w:rsidR="00FA44A5" w:rsidRDefault="00FA44A5">
        <w:pPr>
          <w:pStyle w:val="Footer"/>
          <w:jc w:val="right"/>
        </w:pPr>
        <w:r>
          <w:fldChar w:fldCharType="begin"/>
        </w:r>
        <w:r>
          <w:instrText xml:space="preserve"> PAGE   \* MERGEFORMAT </w:instrText>
        </w:r>
        <w:r>
          <w:fldChar w:fldCharType="separate"/>
        </w:r>
        <w:r w:rsidR="00F856F9">
          <w:rPr>
            <w:noProof/>
          </w:rPr>
          <w:t>2</w:t>
        </w:r>
        <w:r>
          <w:rPr>
            <w:noProof/>
          </w:rPr>
          <w:fldChar w:fldCharType="end"/>
        </w:r>
      </w:p>
    </w:sdtContent>
  </w:sdt>
  <w:p w14:paraId="5C2965BB" w14:textId="77777777" w:rsidR="00FA44A5" w:rsidRDefault="00FA4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CFD80" w14:textId="77777777" w:rsidR="00FA44A5" w:rsidRDefault="00FA44A5" w:rsidP="009179FB">
      <w:r>
        <w:separator/>
      </w:r>
    </w:p>
  </w:footnote>
  <w:footnote w:type="continuationSeparator" w:id="0">
    <w:p w14:paraId="07D3A773" w14:textId="77777777" w:rsidR="00FA44A5" w:rsidRDefault="00FA44A5" w:rsidP="009179FB">
      <w:r>
        <w:continuationSeparator/>
      </w:r>
    </w:p>
  </w:footnote>
  <w:footnote w:type="continuationNotice" w:id="1">
    <w:p w14:paraId="663474EF" w14:textId="77777777" w:rsidR="00FA44A5" w:rsidRDefault="00FA44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0BA0F28"/>
    <w:lvl w:ilvl="0">
      <w:start w:val="1"/>
      <w:numFmt w:val="bullet"/>
      <w:lvlText w:val=""/>
      <w:lvlJc w:val="left"/>
      <w:pPr>
        <w:tabs>
          <w:tab w:val="num" w:pos="1209"/>
        </w:tabs>
        <w:ind w:left="1209" w:hanging="360"/>
      </w:pPr>
      <w:rPr>
        <w:rFonts w:ascii="Symbol" w:hAnsi="Symbol" w:hint="default"/>
      </w:rPr>
    </w:lvl>
  </w:abstractNum>
  <w:abstractNum w:abstractNumId="1">
    <w:nsid w:val="0F6001B4"/>
    <w:multiLevelType w:val="hybridMultilevel"/>
    <w:tmpl w:val="E59E6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8656994"/>
    <w:multiLevelType w:val="hybridMultilevel"/>
    <w:tmpl w:val="2F5ADE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9E0357C"/>
    <w:multiLevelType w:val="hybridMultilevel"/>
    <w:tmpl w:val="605E80D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2A605FD0"/>
    <w:multiLevelType w:val="hybridMultilevel"/>
    <w:tmpl w:val="F49207B8"/>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5">
    <w:nsid w:val="2F5B7921"/>
    <w:multiLevelType w:val="hybridMultilevel"/>
    <w:tmpl w:val="837E0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3075724"/>
    <w:multiLevelType w:val="multilevel"/>
    <w:tmpl w:val="3042C5D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0A34CD"/>
    <w:multiLevelType w:val="hybridMultilevel"/>
    <w:tmpl w:val="605E80D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331E434A"/>
    <w:multiLevelType w:val="hybridMultilevel"/>
    <w:tmpl w:val="4DE48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765425"/>
    <w:multiLevelType w:val="hybridMultilevel"/>
    <w:tmpl w:val="A306A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052A46"/>
    <w:multiLevelType w:val="hybridMultilevel"/>
    <w:tmpl w:val="FB244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C16D5A"/>
    <w:multiLevelType w:val="multilevel"/>
    <w:tmpl w:val="B4D83738"/>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95E2D9D"/>
    <w:multiLevelType w:val="hybridMultilevel"/>
    <w:tmpl w:val="7EE20E0E"/>
    <w:lvl w:ilvl="0" w:tplc="DF30B07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BC71AD8"/>
    <w:multiLevelType w:val="hybridMultilevel"/>
    <w:tmpl w:val="FE4405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FBC7E8D"/>
    <w:multiLevelType w:val="singleLevel"/>
    <w:tmpl w:val="CC3A5EB2"/>
    <w:lvl w:ilvl="0">
      <w:start w:val="1"/>
      <w:numFmt w:val="decimal"/>
      <w:lvlRestart w:val="0"/>
      <w:pStyle w:val="base-text-paragraph"/>
      <w:lvlText w:val="%1."/>
      <w:lvlJc w:val="left"/>
      <w:pPr>
        <w:tabs>
          <w:tab w:val="num" w:pos="1837"/>
        </w:tabs>
        <w:ind w:left="993" w:firstLine="0"/>
      </w:pPr>
      <w:rPr>
        <w:b w:val="0"/>
        <w:i w:val="0"/>
        <w:color w:val="000000"/>
      </w:rPr>
    </w:lvl>
  </w:abstractNum>
  <w:abstractNum w:abstractNumId="16">
    <w:nsid w:val="61D14C79"/>
    <w:multiLevelType w:val="hybridMultilevel"/>
    <w:tmpl w:val="ED1046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5DF6494"/>
    <w:multiLevelType w:val="multilevel"/>
    <w:tmpl w:val="0B04EE3E"/>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rPr>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8890E8B"/>
    <w:multiLevelType w:val="hybridMultilevel"/>
    <w:tmpl w:val="510801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AD82FCD"/>
    <w:multiLevelType w:val="hybridMultilevel"/>
    <w:tmpl w:val="F692F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B9C6F5D"/>
    <w:multiLevelType w:val="hybridMultilevel"/>
    <w:tmpl w:val="605E80D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5"/>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0"/>
  </w:num>
  <w:num w:numId="5">
    <w:abstractNumId w:val="17"/>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2"/>
  </w:num>
  <w:num w:numId="7">
    <w:abstractNumId w:val="12"/>
  </w:num>
  <w:num w:numId="8">
    <w:abstractNumId w:val="12"/>
  </w:num>
  <w:num w:numId="9">
    <w:abstractNumId w:val="20"/>
  </w:num>
  <w:num w:numId="10">
    <w:abstractNumId w:val="9"/>
  </w:num>
  <w:num w:numId="11">
    <w:abstractNumId w:val="9"/>
  </w:num>
  <w:num w:numId="12">
    <w:abstractNumId w:val="3"/>
  </w:num>
  <w:num w:numId="13">
    <w:abstractNumId w:val="8"/>
  </w:num>
  <w:num w:numId="14">
    <w:abstractNumId w:val="14"/>
  </w:num>
  <w:num w:numId="15">
    <w:abstractNumId w:val="4"/>
  </w:num>
  <w:num w:numId="16">
    <w:abstractNumId w:val="7"/>
  </w:num>
  <w:num w:numId="17">
    <w:abstractNumId w:val="13"/>
  </w:num>
  <w:num w:numId="18">
    <w:abstractNumId w:val="2"/>
  </w:num>
  <w:num w:numId="19">
    <w:abstractNumId w:val="1"/>
  </w:num>
  <w:num w:numId="20">
    <w:abstractNumId w:val="11"/>
  </w:num>
  <w:num w:numId="21">
    <w:abstractNumId w:val="19"/>
  </w:num>
  <w:num w:numId="22">
    <w:abstractNumId w:val="16"/>
  </w:num>
  <w:num w:numId="23">
    <w:abstractNumId w:val="18"/>
  </w:num>
  <w:num w:numId="24">
    <w:abstractNumId w:val="5"/>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54"/>
    <w:rsid w:val="00000140"/>
    <w:rsid w:val="000019A7"/>
    <w:rsid w:val="0000272D"/>
    <w:rsid w:val="000046F7"/>
    <w:rsid w:val="00006915"/>
    <w:rsid w:val="00012D7F"/>
    <w:rsid w:val="0001383B"/>
    <w:rsid w:val="00014283"/>
    <w:rsid w:val="0001643E"/>
    <w:rsid w:val="000219C5"/>
    <w:rsid w:val="00022195"/>
    <w:rsid w:val="0002355F"/>
    <w:rsid w:val="00025EDC"/>
    <w:rsid w:val="00030854"/>
    <w:rsid w:val="00032D02"/>
    <w:rsid w:val="000358A9"/>
    <w:rsid w:val="00035BA0"/>
    <w:rsid w:val="00036189"/>
    <w:rsid w:val="0003638F"/>
    <w:rsid w:val="00040D58"/>
    <w:rsid w:val="00041CC2"/>
    <w:rsid w:val="00041FCB"/>
    <w:rsid w:val="000421BD"/>
    <w:rsid w:val="00044500"/>
    <w:rsid w:val="00046D89"/>
    <w:rsid w:val="000475EF"/>
    <w:rsid w:val="0005369D"/>
    <w:rsid w:val="000537C7"/>
    <w:rsid w:val="00056783"/>
    <w:rsid w:val="00056C34"/>
    <w:rsid w:val="00057458"/>
    <w:rsid w:val="000619A0"/>
    <w:rsid w:val="00063A04"/>
    <w:rsid w:val="00064D35"/>
    <w:rsid w:val="00064E48"/>
    <w:rsid w:val="0006730F"/>
    <w:rsid w:val="000700A3"/>
    <w:rsid w:val="0007023B"/>
    <w:rsid w:val="00072C7F"/>
    <w:rsid w:val="00073131"/>
    <w:rsid w:val="00076C1B"/>
    <w:rsid w:val="00080074"/>
    <w:rsid w:val="00082CDB"/>
    <w:rsid w:val="0008377D"/>
    <w:rsid w:val="00087664"/>
    <w:rsid w:val="00093ED4"/>
    <w:rsid w:val="0009655E"/>
    <w:rsid w:val="000B0F75"/>
    <w:rsid w:val="000B1394"/>
    <w:rsid w:val="000B27A6"/>
    <w:rsid w:val="000B3CB0"/>
    <w:rsid w:val="000C08DF"/>
    <w:rsid w:val="000C15CB"/>
    <w:rsid w:val="000C3F77"/>
    <w:rsid w:val="000C6B47"/>
    <w:rsid w:val="000C70DC"/>
    <w:rsid w:val="000D005D"/>
    <w:rsid w:val="000D1166"/>
    <w:rsid w:val="000D2CC9"/>
    <w:rsid w:val="000D39D5"/>
    <w:rsid w:val="000D7342"/>
    <w:rsid w:val="000E0DAA"/>
    <w:rsid w:val="000E59BB"/>
    <w:rsid w:val="000E6A78"/>
    <w:rsid w:val="000F1491"/>
    <w:rsid w:val="000F159E"/>
    <w:rsid w:val="000F2564"/>
    <w:rsid w:val="000F2E62"/>
    <w:rsid w:val="000F57A5"/>
    <w:rsid w:val="000F6002"/>
    <w:rsid w:val="001021BC"/>
    <w:rsid w:val="0010387D"/>
    <w:rsid w:val="00105C10"/>
    <w:rsid w:val="001061AC"/>
    <w:rsid w:val="00107C0F"/>
    <w:rsid w:val="00107C75"/>
    <w:rsid w:val="00114EE9"/>
    <w:rsid w:val="001176FC"/>
    <w:rsid w:val="00121316"/>
    <w:rsid w:val="00122F26"/>
    <w:rsid w:val="0012480A"/>
    <w:rsid w:val="00125406"/>
    <w:rsid w:val="00126B49"/>
    <w:rsid w:val="00131565"/>
    <w:rsid w:val="00131D4B"/>
    <w:rsid w:val="00140855"/>
    <w:rsid w:val="00141B99"/>
    <w:rsid w:val="00141D89"/>
    <w:rsid w:val="001440D5"/>
    <w:rsid w:val="001460D8"/>
    <w:rsid w:val="001502C3"/>
    <w:rsid w:val="001513EA"/>
    <w:rsid w:val="00151B14"/>
    <w:rsid w:val="001547AF"/>
    <w:rsid w:val="0016001C"/>
    <w:rsid w:val="0016141A"/>
    <w:rsid w:val="00161482"/>
    <w:rsid w:val="00170366"/>
    <w:rsid w:val="00177D6E"/>
    <w:rsid w:val="001816A1"/>
    <w:rsid w:val="00181D12"/>
    <w:rsid w:val="001832C5"/>
    <w:rsid w:val="0018391F"/>
    <w:rsid w:val="001840EC"/>
    <w:rsid w:val="00184874"/>
    <w:rsid w:val="00184B50"/>
    <w:rsid w:val="00185479"/>
    <w:rsid w:val="0019027B"/>
    <w:rsid w:val="0019562F"/>
    <w:rsid w:val="001A1B0F"/>
    <w:rsid w:val="001A4F30"/>
    <w:rsid w:val="001A6ECA"/>
    <w:rsid w:val="001A768F"/>
    <w:rsid w:val="001A7C90"/>
    <w:rsid w:val="001B08D5"/>
    <w:rsid w:val="001B093A"/>
    <w:rsid w:val="001B1E5F"/>
    <w:rsid w:val="001B1F85"/>
    <w:rsid w:val="001B68AA"/>
    <w:rsid w:val="001C5FAC"/>
    <w:rsid w:val="001D1C51"/>
    <w:rsid w:val="001D2A73"/>
    <w:rsid w:val="001D6666"/>
    <w:rsid w:val="001D674F"/>
    <w:rsid w:val="001D697C"/>
    <w:rsid w:val="001D6E23"/>
    <w:rsid w:val="001E0279"/>
    <w:rsid w:val="001E325B"/>
    <w:rsid w:val="001E3A77"/>
    <w:rsid w:val="001E5E60"/>
    <w:rsid w:val="001E64EF"/>
    <w:rsid w:val="001E7B89"/>
    <w:rsid w:val="001F395F"/>
    <w:rsid w:val="001F41AD"/>
    <w:rsid w:val="001F4457"/>
    <w:rsid w:val="001F6D8E"/>
    <w:rsid w:val="002001AB"/>
    <w:rsid w:val="002025CD"/>
    <w:rsid w:val="002038DE"/>
    <w:rsid w:val="00203C05"/>
    <w:rsid w:val="00204A6C"/>
    <w:rsid w:val="00204CA6"/>
    <w:rsid w:val="00206C60"/>
    <w:rsid w:val="0020746C"/>
    <w:rsid w:val="00210946"/>
    <w:rsid w:val="00224A5C"/>
    <w:rsid w:val="002256E3"/>
    <w:rsid w:val="00226E10"/>
    <w:rsid w:val="00230049"/>
    <w:rsid w:val="00232737"/>
    <w:rsid w:val="00234213"/>
    <w:rsid w:val="0023591C"/>
    <w:rsid w:val="0023693F"/>
    <w:rsid w:val="0024237C"/>
    <w:rsid w:val="0024285B"/>
    <w:rsid w:val="00242BC6"/>
    <w:rsid w:val="0024747B"/>
    <w:rsid w:val="0025136F"/>
    <w:rsid w:val="002518FF"/>
    <w:rsid w:val="00251938"/>
    <w:rsid w:val="0025452E"/>
    <w:rsid w:val="00255F9E"/>
    <w:rsid w:val="0025778E"/>
    <w:rsid w:val="0026136A"/>
    <w:rsid w:val="00262777"/>
    <w:rsid w:val="00263C52"/>
    <w:rsid w:val="00264CB2"/>
    <w:rsid w:val="00266D01"/>
    <w:rsid w:val="002712AB"/>
    <w:rsid w:val="0027163A"/>
    <w:rsid w:val="002747DC"/>
    <w:rsid w:val="002753AA"/>
    <w:rsid w:val="0027750C"/>
    <w:rsid w:val="00280799"/>
    <w:rsid w:val="00283FC0"/>
    <w:rsid w:val="0028604E"/>
    <w:rsid w:val="002918EE"/>
    <w:rsid w:val="00292232"/>
    <w:rsid w:val="00293C79"/>
    <w:rsid w:val="00294225"/>
    <w:rsid w:val="00294A65"/>
    <w:rsid w:val="002A00CA"/>
    <w:rsid w:val="002A0597"/>
    <w:rsid w:val="002A1079"/>
    <w:rsid w:val="002A2416"/>
    <w:rsid w:val="002B4298"/>
    <w:rsid w:val="002B5746"/>
    <w:rsid w:val="002B7A39"/>
    <w:rsid w:val="002B7BC6"/>
    <w:rsid w:val="002C0491"/>
    <w:rsid w:val="002C537D"/>
    <w:rsid w:val="002C6E51"/>
    <w:rsid w:val="002C7379"/>
    <w:rsid w:val="002C789D"/>
    <w:rsid w:val="002D2F64"/>
    <w:rsid w:val="002D3A60"/>
    <w:rsid w:val="002D4CF1"/>
    <w:rsid w:val="002E55E8"/>
    <w:rsid w:val="002E5757"/>
    <w:rsid w:val="002E6235"/>
    <w:rsid w:val="002F05A2"/>
    <w:rsid w:val="002F0921"/>
    <w:rsid w:val="002F285A"/>
    <w:rsid w:val="002F4D80"/>
    <w:rsid w:val="00301647"/>
    <w:rsid w:val="00301A96"/>
    <w:rsid w:val="0030205C"/>
    <w:rsid w:val="00306814"/>
    <w:rsid w:val="003071C9"/>
    <w:rsid w:val="003117F4"/>
    <w:rsid w:val="003123DE"/>
    <w:rsid w:val="003125B9"/>
    <w:rsid w:val="00313FF1"/>
    <w:rsid w:val="0032107B"/>
    <w:rsid w:val="00324C5C"/>
    <w:rsid w:val="0033042E"/>
    <w:rsid w:val="003313DA"/>
    <w:rsid w:val="00331A02"/>
    <w:rsid w:val="00331CEF"/>
    <w:rsid w:val="003321FD"/>
    <w:rsid w:val="00332358"/>
    <w:rsid w:val="00334085"/>
    <w:rsid w:val="0033436B"/>
    <w:rsid w:val="00334604"/>
    <w:rsid w:val="003373A0"/>
    <w:rsid w:val="00341280"/>
    <w:rsid w:val="00342909"/>
    <w:rsid w:val="00344254"/>
    <w:rsid w:val="003464F8"/>
    <w:rsid w:val="0035406D"/>
    <w:rsid w:val="00354117"/>
    <w:rsid w:val="003566B7"/>
    <w:rsid w:val="00356B68"/>
    <w:rsid w:val="00357083"/>
    <w:rsid w:val="00360E87"/>
    <w:rsid w:val="00361A5D"/>
    <w:rsid w:val="0036352E"/>
    <w:rsid w:val="00363BCC"/>
    <w:rsid w:val="00374ECC"/>
    <w:rsid w:val="00376D90"/>
    <w:rsid w:val="00381422"/>
    <w:rsid w:val="00381D36"/>
    <w:rsid w:val="0038407A"/>
    <w:rsid w:val="00385232"/>
    <w:rsid w:val="003908F5"/>
    <w:rsid w:val="00391BEB"/>
    <w:rsid w:val="00392200"/>
    <w:rsid w:val="0039426E"/>
    <w:rsid w:val="003A033F"/>
    <w:rsid w:val="003A0ED0"/>
    <w:rsid w:val="003A5ED1"/>
    <w:rsid w:val="003B53BF"/>
    <w:rsid w:val="003B5A1B"/>
    <w:rsid w:val="003B62E4"/>
    <w:rsid w:val="003B6DFF"/>
    <w:rsid w:val="003B706A"/>
    <w:rsid w:val="003C15C8"/>
    <w:rsid w:val="003C3888"/>
    <w:rsid w:val="003C4A03"/>
    <w:rsid w:val="003C645F"/>
    <w:rsid w:val="003E25A2"/>
    <w:rsid w:val="003E428C"/>
    <w:rsid w:val="003E60B8"/>
    <w:rsid w:val="003F4861"/>
    <w:rsid w:val="003F6A4C"/>
    <w:rsid w:val="00402C0B"/>
    <w:rsid w:val="0040667B"/>
    <w:rsid w:val="00406CA4"/>
    <w:rsid w:val="004076E8"/>
    <w:rsid w:val="0041265E"/>
    <w:rsid w:val="004133EC"/>
    <w:rsid w:val="004162DE"/>
    <w:rsid w:val="00420960"/>
    <w:rsid w:val="00422A2A"/>
    <w:rsid w:val="00426F44"/>
    <w:rsid w:val="00427707"/>
    <w:rsid w:val="00430786"/>
    <w:rsid w:val="00430FEE"/>
    <w:rsid w:val="00432347"/>
    <w:rsid w:val="00432BF2"/>
    <w:rsid w:val="00434FF0"/>
    <w:rsid w:val="00436BDA"/>
    <w:rsid w:val="00440CFF"/>
    <w:rsid w:val="00441078"/>
    <w:rsid w:val="00444C14"/>
    <w:rsid w:val="004458DF"/>
    <w:rsid w:val="00450C61"/>
    <w:rsid w:val="00455BBB"/>
    <w:rsid w:val="004569A8"/>
    <w:rsid w:val="0045795F"/>
    <w:rsid w:val="00457B98"/>
    <w:rsid w:val="0046039F"/>
    <w:rsid w:val="00462BC6"/>
    <w:rsid w:val="0046417C"/>
    <w:rsid w:val="004672F6"/>
    <w:rsid w:val="00471613"/>
    <w:rsid w:val="00472D2C"/>
    <w:rsid w:val="004747CC"/>
    <w:rsid w:val="00474918"/>
    <w:rsid w:val="00474D3D"/>
    <w:rsid w:val="00474E38"/>
    <w:rsid w:val="00483113"/>
    <w:rsid w:val="00484206"/>
    <w:rsid w:val="00484CD7"/>
    <w:rsid w:val="00485400"/>
    <w:rsid w:val="00490AC7"/>
    <w:rsid w:val="0049129F"/>
    <w:rsid w:val="00494783"/>
    <w:rsid w:val="0049506E"/>
    <w:rsid w:val="004977AE"/>
    <w:rsid w:val="004A10FC"/>
    <w:rsid w:val="004A1F33"/>
    <w:rsid w:val="004A346E"/>
    <w:rsid w:val="004A4CBF"/>
    <w:rsid w:val="004A5B6A"/>
    <w:rsid w:val="004A7703"/>
    <w:rsid w:val="004C3F48"/>
    <w:rsid w:val="004C7B64"/>
    <w:rsid w:val="004D025D"/>
    <w:rsid w:val="004D344A"/>
    <w:rsid w:val="004D373A"/>
    <w:rsid w:val="004D3CEE"/>
    <w:rsid w:val="004D4481"/>
    <w:rsid w:val="004D4F3A"/>
    <w:rsid w:val="004D50D2"/>
    <w:rsid w:val="004D5BDD"/>
    <w:rsid w:val="004E29B1"/>
    <w:rsid w:val="004E45B2"/>
    <w:rsid w:val="004E6533"/>
    <w:rsid w:val="004E65C9"/>
    <w:rsid w:val="004E664B"/>
    <w:rsid w:val="004E7E5D"/>
    <w:rsid w:val="004F0717"/>
    <w:rsid w:val="004F11D0"/>
    <w:rsid w:val="004F1F9E"/>
    <w:rsid w:val="004F2FAE"/>
    <w:rsid w:val="004F3D6A"/>
    <w:rsid w:val="004F4526"/>
    <w:rsid w:val="005003ED"/>
    <w:rsid w:val="00500CB8"/>
    <w:rsid w:val="00500D85"/>
    <w:rsid w:val="00505C57"/>
    <w:rsid w:val="00506F8D"/>
    <w:rsid w:val="005111AB"/>
    <w:rsid w:val="00513FF3"/>
    <w:rsid w:val="00515D9C"/>
    <w:rsid w:val="005165B7"/>
    <w:rsid w:val="00520572"/>
    <w:rsid w:val="00521C34"/>
    <w:rsid w:val="00523695"/>
    <w:rsid w:val="00525597"/>
    <w:rsid w:val="005264F5"/>
    <w:rsid w:val="00527E5E"/>
    <w:rsid w:val="00533F00"/>
    <w:rsid w:val="005347D6"/>
    <w:rsid w:val="0053632C"/>
    <w:rsid w:val="00536924"/>
    <w:rsid w:val="005369B8"/>
    <w:rsid w:val="00537737"/>
    <w:rsid w:val="00537DB5"/>
    <w:rsid w:val="0054052E"/>
    <w:rsid w:val="005449FB"/>
    <w:rsid w:val="005453D6"/>
    <w:rsid w:val="0055229A"/>
    <w:rsid w:val="00553574"/>
    <w:rsid w:val="005556AA"/>
    <w:rsid w:val="00563390"/>
    <w:rsid w:val="00566265"/>
    <w:rsid w:val="00566A3B"/>
    <w:rsid w:val="005729BC"/>
    <w:rsid w:val="005743C0"/>
    <w:rsid w:val="005750D7"/>
    <w:rsid w:val="00577F22"/>
    <w:rsid w:val="00580D51"/>
    <w:rsid w:val="00581543"/>
    <w:rsid w:val="005866D6"/>
    <w:rsid w:val="00593E87"/>
    <w:rsid w:val="005940C7"/>
    <w:rsid w:val="00597F03"/>
    <w:rsid w:val="005A24AA"/>
    <w:rsid w:val="005A53FA"/>
    <w:rsid w:val="005A6293"/>
    <w:rsid w:val="005B0C8E"/>
    <w:rsid w:val="005B14A5"/>
    <w:rsid w:val="005B40B1"/>
    <w:rsid w:val="005B4FEB"/>
    <w:rsid w:val="005B56F2"/>
    <w:rsid w:val="005C0247"/>
    <w:rsid w:val="005C3C59"/>
    <w:rsid w:val="005C4217"/>
    <w:rsid w:val="005C4D56"/>
    <w:rsid w:val="005D0778"/>
    <w:rsid w:val="005D0A0B"/>
    <w:rsid w:val="005D1BCA"/>
    <w:rsid w:val="005D49B2"/>
    <w:rsid w:val="005D700D"/>
    <w:rsid w:val="005D7E55"/>
    <w:rsid w:val="005E15AD"/>
    <w:rsid w:val="005E443D"/>
    <w:rsid w:val="005E4F21"/>
    <w:rsid w:val="005E517E"/>
    <w:rsid w:val="005F27CF"/>
    <w:rsid w:val="005F2903"/>
    <w:rsid w:val="005F3A51"/>
    <w:rsid w:val="005F5CAB"/>
    <w:rsid w:val="005F6D70"/>
    <w:rsid w:val="005F6EA9"/>
    <w:rsid w:val="00600854"/>
    <w:rsid w:val="006036ED"/>
    <w:rsid w:val="00605365"/>
    <w:rsid w:val="00606BF7"/>
    <w:rsid w:val="0061028C"/>
    <w:rsid w:val="006117D3"/>
    <w:rsid w:val="00611D13"/>
    <w:rsid w:val="006125C9"/>
    <w:rsid w:val="00614CC7"/>
    <w:rsid w:val="00620A23"/>
    <w:rsid w:val="00621AF6"/>
    <w:rsid w:val="00621B68"/>
    <w:rsid w:val="006232B5"/>
    <w:rsid w:val="00624698"/>
    <w:rsid w:val="00624CAE"/>
    <w:rsid w:val="00631418"/>
    <w:rsid w:val="006317F9"/>
    <w:rsid w:val="00633CDA"/>
    <w:rsid w:val="00634AAC"/>
    <w:rsid w:val="00636D3C"/>
    <w:rsid w:val="00640648"/>
    <w:rsid w:val="00641AFC"/>
    <w:rsid w:val="00642599"/>
    <w:rsid w:val="006427D5"/>
    <w:rsid w:val="00646F06"/>
    <w:rsid w:val="006533F9"/>
    <w:rsid w:val="00653964"/>
    <w:rsid w:val="0065571D"/>
    <w:rsid w:val="00660B98"/>
    <w:rsid w:val="00661949"/>
    <w:rsid w:val="00663BC7"/>
    <w:rsid w:val="00664E72"/>
    <w:rsid w:val="006657FE"/>
    <w:rsid w:val="0067017A"/>
    <w:rsid w:val="0067116A"/>
    <w:rsid w:val="00673423"/>
    <w:rsid w:val="00674E22"/>
    <w:rsid w:val="006827C6"/>
    <w:rsid w:val="00682F4A"/>
    <w:rsid w:val="0068418C"/>
    <w:rsid w:val="00686911"/>
    <w:rsid w:val="00690025"/>
    <w:rsid w:val="0069187F"/>
    <w:rsid w:val="0069239E"/>
    <w:rsid w:val="00693070"/>
    <w:rsid w:val="006932EA"/>
    <w:rsid w:val="00693DBF"/>
    <w:rsid w:val="006940BC"/>
    <w:rsid w:val="00694A3E"/>
    <w:rsid w:val="00697800"/>
    <w:rsid w:val="006A16C3"/>
    <w:rsid w:val="006A2261"/>
    <w:rsid w:val="006A57F3"/>
    <w:rsid w:val="006A7A8D"/>
    <w:rsid w:val="006B2C36"/>
    <w:rsid w:val="006C152A"/>
    <w:rsid w:val="006C3CEE"/>
    <w:rsid w:val="006C4B30"/>
    <w:rsid w:val="006D5FEA"/>
    <w:rsid w:val="006E0A26"/>
    <w:rsid w:val="006E0C9F"/>
    <w:rsid w:val="006E0E58"/>
    <w:rsid w:val="006E1275"/>
    <w:rsid w:val="006E3B75"/>
    <w:rsid w:val="006E40DF"/>
    <w:rsid w:val="006E41B4"/>
    <w:rsid w:val="006E4F23"/>
    <w:rsid w:val="006E7D3C"/>
    <w:rsid w:val="006F1AEF"/>
    <w:rsid w:val="006F69D8"/>
    <w:rsid w:val="006F6C35"/>
    <w:rsid w:val="00701018"/>
    <w:rsid w:val="00701C9D"/>
    <w:rsid w:val="00701CBB"/>
    <w:rsid w:val="007023B8"/>
    <w:rsid w:val="007069F8"/>
    <w:rsid w:val="00707BCD"/>
    <w:rsid w:val="00711829"/>
    <w:rsid w:val="007131E3"/>
    <w:rsid w:val="0071426C"/>
    <w:rsid w:val="0071479D"/>
    <w:rsid w:val="007158FA"/>
    <w:rsid w:val="00720D6B"/>
    <w:rsid w:val="00721FD6"/>
    <w:rsid w:val="00722719"/>
    <w:rsid w:val="0072355A"/>
    <w:rsid w:val="00726629"/>
    <w:rsid w:val="007268FB"/>
    <w:rsid w:val="00730CEF"/>
    <w:rsid w:val="00731EFA"/>
    <w:rsid w:val="00737AFA"/>
    <w:rsid w:val="007420AD"/>
    <w:rsid w:val="00742EF0"/>
    <w:rsid w:val="007440AD"/>
    <w:rsid w:val="00746DDB"/>
    <w:rsid w:val="00746F31"/>
    <w:rsid w:val="00751E2E"/>
    <w:rsid w:val="00752D52"/>
    <w:rsid w:val="0075530D"/>
    <w:rsid w:val="0075582F"/>
    <w:rsid w:val="00756F59"/>
    <w:rsid w:val="00762075"/>
    <w:rsid w:val="00766CC5"/>
    <w:rsid w:val="00770830"/>
    <w:rsid w:val="0077316F"/>
    <w:rsid w:val="00775EBB"/>
    <w:rsid w:val="00775F00"/>
    <w:rsid w:val="0077631A"/>
    <w:rsid w:val="0077646F"/>
    <w:rsid w:val="00776AC1"/>
    <w:rsid w:val="00776D6E"/>
    <w:rsid w:val="0078179F"/>
    <w:rsid w:val="007873B6"/>
    <w:rsid w:val="00791064"/>
    <w:rsid w:val="00793BEE"/>
    <w:rsid w:val="00795D19"/>
    <w:rsid w:val="00796797"/>
    <w:rsid w:val="007972EF"/>
    <w:rsid w:val="007A4D02"/>
    <w:rsid w:val="007B1137"/>
    <w:rsid w:val="007B36E3"/>
    <w:rsid w:val="007B3F49"/>
    <w:rsid w:val="007B4537"/>
    <w:rsid w:val="007B6410"/>
    <w:rsid w:val="007C6CE6"/>
    <w:rsid w:val="007C6D7D"/>
    <w:rsid w:val="007C767A"/>
    <w:rsid w:val="007D0E12"/>
    <w:rsid w:val="007D574C"/>
    <w:rsid w:val="007D5E87"/>
    <w:rsid w:val="007D79C1"/>
    <w:rsid w:val="007E0314"/>
    <w:rsid w:val="007E06AB"/>
    <w:rsid w:val="007E0866"/>
    <w:rsid w:val="007E4C0C"/>
    <w:rsid w:val="007E7D36"/>
    <w:rsid w:val="007F0E59"/>
    <w:rsid w:val="007F283E"/>
    <w:rsid w:val="007F40D3"/>
    <w:rsid w:val="007F5BE2"/>
    <w:rsid w:val="007F5D70"/>
    <w:rsid w:val="007F6418"/>
    <w:rsid w:val="0080644A"/>
    <w:rsid w:val="00806EBD"/>
    <w:rsid w:val="008070AE"/>
    <w:rsid w:val="00807AE2"/>
    <w:rsid w:val="00811995"/>
    <w:rsid w:val="00814975"/>
    <w:rsid w:val="008174AB"/>
    <w:rsid w:val="008211FD"/>
    <w:rsid w:val="00821728"/>
    <w:rsid w:val="008231D1"/>
    <w:rsid w:val="00825267"/>
    <w:rsid w:val="008267E8"/>
    <w:rsid w:val="008314F3"/>
    <w:rsid w:val="00832812"/>
    <w:rsid w:val="00833106"/>
    <w:rsid w:val="008337ED"/>
    <w:rsid w:val="00833F1C"/>
    <w:rsid w:val="0083540B"/>
    <w:rsid w:val="00835C78"/>
    <w:rsid w:val="00837E25"/>
    <w:rsid w:val="00843609"/>
    <w:rsid w:val="00845433"/>
    <w:rsid w:val="00846B5E"/>
    <w:rsid w:val="0085003B"/>
    <w:rsid w:val="0085653E"/>
    <w:rsid w:val="0085752C"/>
    <w:rsid w:val="00857E8F"/>
    <w:rsid w:val="0086014B"/>
    <w:rsid w:val="00864502"/>
    <w:rsid w:val="00865506"/>
    <w:rsid w:val="008666D2"/>
    <w:rsid w:val="00866779"/>
    <w:rsid w:val="00872FCB"/>
    <w:rsid w:val="008743E3"/>
    <w:rsid w:val="00886136"/>
    <w:rsid w:val="008871A8"/>
    <w:rsid w:val="00892241"/>
    <w:rsid w:val="008962C8"/>
    <w:rsid w:val="00896446"/>
    <w:rsid w:val="008A0812"/>
    <w:rsid w:val="008A2F78"/>
    <w:rsid w:val="008A3807"/>
    <w:rsid w:val="008A47FF"/>
    <w:rsid w:val="008A709B"/>
    <w:rsid w:val="008B2954"/>
    <w:rsid w:val="008B7D06"/>
    <w:rsid w:val="008C24BA"/>
    <w:rsid w:val="008C265E"/>
    <w:rsid w:val="008C7832"/>
    <w:rsid w:val="008C7DB2"/>
    <w:rsid w:val="008D0D1A"/>
    <w:rsid w:val="008D255C"/>
    <w:rsid w:val="008D2C9F"/>
    <w:rsid w:val="008D3015"/>
    <w:rsid w:val="008D5430"/>
    <w:rsid w:val="008E1AEC"/>
    <w:rsid w:val="008E1E6A"/>
    <w:rsid w:val="008E1F0E"/>
    <w:rsid w:val="008E254E"/>
    <w:rsid w:val="008E461E"/>
    <w:rsid w:val="008E550F"/>
    <w:rsid w:val="008F0070"/>
    <w:rsid w:val="008F0727"/>
    <w:rsid w:val="008F53DA"/>
    <w:rsid w:val="00903324"/>
    <w:rsid w:val="009036AB"/>
    <w:rsid w:val="00912079"/>
    <w:rsid w:val="00913A06"/>
    <w:rsid w:val="00914ED6"/>
    <w:rsid w:val="00914FD1"/>
    <w:rsid w:val="009179FB"/>
    <w:rsid w:val="0092294B"/>
    <w:rsid w:val="00925F96"/>
    <w:rsid w:val="009262F3"/>
    <w:rsid w:val="0092782E"/>
    <w:rsid w:val="00932367"/>
    <w:rsid w:val="009336C2"/>
    <w:rsid w:val="0093509E"/>
    <w:rsid w:val="00935F21"/>
    <w:rsid w:val="0094049B"/>
    <w:rsid w:val="00940794"/>
    <w:rsid w:val="00942E69"/>
    <w:rsid w:val="009471B7"/>
    <w:rsid w:val="00947A30"/>
    <w:rsid w:val="00952AB1"/>
    <w:rsid w:val="00956757"/>
    <w:rsid w:val="00956DD9"/>
    <w:rsid w:val="00956E76"/>
    <w:rsid w:val="0095780A"/>
    <w:rsid w:val="00961FFB"/>
    <w:rsid w:val="009658CC"/>
    <w:rsid w:val="009665E8"/>
    <w:rsid w:val="00966DAF"/>
    <w:rsid w:val="00966F68"/>
    <w:rsid w:val="0097043D"/>
    <w:rsid w:val="00970538"/>
    <w:rsid w:val="0097339B"/>
    <w:rsid w:val="009746CF"/>
    <w:rsid w:val="00977440"/>
    <w:rsid w:val="009841B0"/>
    <w:rsid w:val="00984680"/>
    <w:rsid w:val="009878FA"/>
    <w:rsid w:val="00991AAF"/>
    <w:rsid w:val="00991CC3"/>
    <w:rsid w:val="00994CB8"/>
    <w:rsid w:val="00994FA6"/>
    <w:rsid w:val="00996224"/>
    <w:rsid w:val="009A1DBE"/>
    <w:rsid w:val="009A57AF"/>
    <w:rsid w:val="009B1085"/>
    <w:rsid w:val="009B112E"/>
    <w:rsid w:val="009B2076"/>
    <w:rsid w:val="009B3AD4"/>
    <w:rsid w:val="009B438B"/>
    <w:rsid w:val="009B45AC"/>
    <w:rsid w:val="009B784A"/>
    <w:rsid w:val="009C6005"/>
    <w:rsid w:val="009D0FFF"/>
    <w:rsid w:val="009D238E"/>
    <w:rsid w:val="009D2643"/>
    <w:rsid w:val="009D46FD"/>
    <w:rsid w:val="009D57DE"/>
    <w:rsid w:val="009D5EBA"/>
    <w:rsid w:val="009D5F9D"/>
    <w:rsid w:val="009D64A7"/>
    <w:rsid w:val="009D7E26"/>
    <w:rsid w:val="009E1B73"/>
    <w:rsid w:val="009E4B53"/>
    <w:rsid w:val="009E50A5"/>
    <w:rsid w:val="009E6ED4"/>
    <w:rsid w:val="009E7523"/>
    <w:rsid w:val="009F042A"/>
    <w:rsid w:val="009F04EB"/>
    <w:rsid w:val="009F259A"/>
    <w:rsid w:val="009F3CA1"/>
    <w:rsid w:val="009F63ED"/>
    <w:rsid w:val="009F6710"/>
    <w:rsid w:val="009F77EE"/>
    <w:rsid w:val="00A01B02"/>
    <w:rsid w:val="00A01EB2"/>
    <w:rsid w:val="00A059C3"/>
    <w:rsid w:val="00A120C0"/>
    <w:rsid w:val="00A1232F"/>
    <w:rsid w:val="00A14DB6"/>
    <w:rsid w:val="00A16311"/>
    <w:rsid w:val="00A1737F"/>
    <w:rsid w:val="00A24FA3"/>
    <w:rsid w:val="00A27A48"/>
    <w:rsid w:val="00A3015D"/>
    <w:rsid w:val="00A33EAA"/>
    <w:rsid w:val="00A3503F"/>
    <w:rsid w:val="00A351D7"/>
    <w:rsid w:val="00A378D9"/>
    <w:rsid w:val="00A40799"/>
    <w:rsid w:val="00A409CC"/>
    <w:rsid w:val="00A40D62"/>
    <w:rsid w:val="00A425E6"/>
    <w:rsid w:val="00A4433B"/>
    <w:rsid w:val="00A45C2A"/>
    <w:rsid w:val="00A46B88"/>
    <w:rsid w:val="00A50262"/>
    <w:rsid w:val="00A50557"/>
    <w:rsid w:val="00A50964"/>
    <w:rsid w:val="00A50E32"/>
    <w:rsid w:val="00A54E97"/>
    <w:rsid w:val="00A60477"/>
    <w:rsid w:val="00A62297"/>
    <w:rsid w:val="00A62E48"/>
    <w:rsid w:val="00A6472C"/>
    <w:rsid w:val="00A66092"/>
    <w:rsid w:val="00A67666"/>
    <w:rsid w:val="00A70012"/>
    <w:rsid w:val="00A72CB6"/>
    <w:rsid w:val="00A74006"/>
    <w:rsid w:val="00A74D41"/>
    <w:rsid w:val="00A7505C"/>
    <w:rsid w:val="00A7581B"/>
    <w:rsid w:val="00A76BCD"/>
    <w:rsid w:val="00A81B21"/>
    <w:rsid w:val="00A81C3A"/>
    <w:rsid w:val="00A836C0"/>
    <w:rsid w:val="00A85BA7"/>
    <w:rsid w:val="00A85DDC"/>
    <w:rsid w:val="00A86FCD"/>
    <w:rsid w:val="00A932F9"/>
    <w:rsid w:val="00A947D7"/>
    <w:rsid w:val="00A94FF9"/>
    <w:rsid w:val="00A96AFD"/>
    <w:rsid w:val="00A97F00"/>
    <w:rsid w:val="00AA57E4"/>
    <w:rsid w:val="00AA5C5C"/>
    <w:rsid w:val="00AA76E3"/>
    <w:rsid w:val="00AB125F"/>
    <w:rsid w:val="00AB1FD3"/>
    <w:rsid w:val="00AB22A2"/>
    <w:rsid w:val="00AB499B"/>
    <w:rsid w:val="00AB4C60"/>
    <w:rsid w:val="00AB7F82"/>
    <w:rsid w:val="00AC0E4A"/>
    <w:rsid w:val="00AC54BD"/>
    <w:rsid w:val="00AC72F2"/>
    <w:rsid w:val="00AC731B"/>
    <w:rsid w:val="00AD6AC7"/>
    <w:rsid w:val="00AE3C78"/>
    <w:rsid w:val="00AE423C"/>
    <w:rsid w:val="00AF6D6B"/>
    <w:rsid w:val="00AF718A"/>
    <w:rsid w:val="00B103DA"/>
    <w:rsid w:val="00B11686"/>
    <w:rsid w:val="00B1220D"/>
    <w:rsid w:val="00B13125"/>
    <w:rsid w:val="00B15401"/>
    <w:rsid w:val="00B1579F"/>
    <w:rsid w:val="00B16668"/>
    <w:rsid w:val="00B22ED4"/>
    <w:rsid w:val="00B23089"/>
    <w:rsid w:val="00B230F6"/>
    <w:rsid w:val="00B24F82"/>
    <w:rsid w:val="00B261A0"/>
    <w:rsid w:val="00B26364"/>
    <w:rsid w:val="00B3262C"/>
    <w:rsid w:val="00B32E7B"/>
    <w:rsid w:val="00B35E73"/>
    <w:rsid w:val="00B44754"/>
    <w:rsid w:val="00B46E61"/>
    <w:rsid w:val="00B50A58"/>
    <w:rsid w:val="00B52834"/>
    <w:rsid w:val="00B552C7"/>
    <w:rsid w:val="00B55B67"/>
    <w:rsid w:val="00B55E9E"/>
    <w:rsid w:val="00B570C9"/>
    <w:rsid w:val="00B5763A"/>
    <w:rsid w:val="00B5767F"/>
    <w:rsid w:val="00B60DF3"/>
    <w:rsid w:val="00B643D9"/>
    <w:rsid w:val="00B65280"/>
    <w:rsid w:val="00B65574"/>
    <w:rsid w:val="00B66AC9"/>
    <w:rsid w:val="00B672EA"/>
    <w:rsid w:val="00B67B0A"/>
    <w:rsid w:val="00B70474"/>
    <w:rsid w:val="00B70B63"/>
    <w:rsid w:val="00B7499A"/>
    <w:rsid w:val="00B75161"/>
    <w:rsid w:val="00B81949"/>
    <w:rsid w:val="00B8260E"/>
    <w:rsid w:val="00B84DD8"/>
    <w:rsid w:val="00B85B53"/>
    <w:rsid w:val="00B8635C"/>
    <w:rsid w:val="00B95787"/>
    <w:rsid w:val="00BA0272"/>
    <w:rsid w:val="00BA4754"/>
    <w:rsid w:val="00BB1B9F"/>
    <w:rsid w:val="00BB54FB"/>
    <w:rsid w:val="00BB723F"/>
    <w:rsid w:val="00BC189E"/>
    <w:rsid w:val="00BC21C9"/>
    <w:rsid w:val="00BC29A0"/>
    <w:rsid w:val="00BC2DDC"/>
    <w:rsid w:val="00BC320D"/>
    <w:rsid w:val="00BC41E7"/>
    <w:rsid w:val="00BC4E94"/>
    <w:rsid w:val="00BC6555"/>
    <w:rsid w:val="00BC7F03"/>
    <w:rsid w:val="00BD0CED"/>
    <w:rsid w:val="00BD1156"/>
    <w:rsid w:val="00BD249A"/>
    <w:rsid w:val="00BD633F"/>
    <w:rsid w:val="00BE0FCA"/>
    <w:rsid w:val="00BE20F7"/>
    <w:rsid w:val="00BE4B82"/>
    <w:rsid w:val="00BE5A2F"/>
    <w:rsid w:val="00BE701C"/>
    <w:rsid w:val="00BE7C46"/>
    <w:rsid w:val="00BF17AB"/>
    <w:rsid w:val="00BF60C4"/>
    <w:rsid w:val="00BF634A"/>
    <w:rsid w:val="00BF7706"/>
    <w:rsid w:val="00C0028D"/>
    <w:rsid w:val="00C01DD4"/>
    <w:rsid w:val="00C03522"/>
    <w:rsid w:val="00C049C2"/>
    <w:rsid w:val="00C06B41"/>
    <w:rsid w:val="00C100D1"/>
    <w:rsid w:val="00C13789"/>
    <w:rsid w:val="00C202E2"/>
    <w:rsid w:val="00C24067"/>
    <w:rsid w:val="00C30087"/>
    <w:rsid w:val="00C33545"/>
    <w:rsid w:val="00C4044F"/>
    <w:rsid w:val="00C42BF3"/>
    <w:rsid w:val="00C43AC5"/>
    <w:rsid w:val="00C43E0C"/>
    <w:rsid w:val="00C4413F"/>
    <w:rsid w:val="00C44B51"/>
    <w:rsid w:val="00C53795"/>
    <w:rsid w:val="00C53CC8"/>
    <w:rsid w:val="00C53F5D"/>
    <w:rsid w:val="00C557B2"/>
    <w:rsid w:val="00C55D31"/>
    <w:rsid w:val="00C56A3B"/>
    <w:rsid w:val="00C5783A"/>
    <w:rsid w:val="00C61E02"/>
    <w:rsid w:val="00C62654"/>
    <w:rsid w:val="00C62A1F"/>
    <w:rsid w:val="00C6369F"/>
    <w:rsid w:val="00C65298"/>
    <w:rsid w:val="00C65DFA"/>
    <w:rsid w:val="00C72B16"/>
    <w:rsid w:val="00C731C7"/>
    <w:rsid w:val="00C7459C"/>
    <w:rsid w:val="00C76923"/>
    <w:rsid w:val="00C804FD"/>
    <w:rsid w:val="00C81AFD"/>
    <w:rsid w:val="00C8218B"/>
    <w:rsid w:val="00C82730"/>
    <w:rsid w:val="00C84F34"/>
    <w:rsid w:val="00C90D14"/>
    <w:rsid w:val="00C90EE9"/>
    <w:rsid w:val="00C9254F"/>
    <w:rsid w:val="00C9567A"/>
    <w:rsid w:val="00C96CEF"/>
    <w:rsid w:val="00CA0D41"/>
    <w:rsid w:val="00CA1E5E"/>
    <w:rsid w:val="00CA2425"/>
    <w:rsid w:val="00CA2DDA"/>
    <w:rsid w:val="00CA2E80"/>
    <w:rsid w:val="00CA3841"/>
    <w:rsid w:val="00CB1AD7"/>
    <w:rsid w:val="00CB4C8A"/>
    <w:rsid w:val="00CB4F34"/>
    <w:rsid w:val="00CB5B82"/>
    <w:rsid w:val="00CC0590"/>
    <w:rsid w:val="00CC2A67"/>
    <w:rsid w:val="00CC2B65"/>
    <w:rsid w:val="00CC5F93"/>
    <w:rsid w:val="00CC77DF"/>
    <w:rsid w:val="00CD23AC"/>
    <w:rsid w:val="00CD2602"/>
    <w:rsid w:val="00CD4C36"/>
    <w:rsid w:val="00CD58D6"/>
    <w:rsid w:val="00CD6383"/>
    <w:rsid w:val="00CD7E62"/>
    <w:rsid w:val="00CE596C"/>
    <w:rsid w:val="00CE70D9"/>
    <w:rsid w:val="00CF0712"/>
    <w:rsid w:val="00CF2316"/>
    <w:rsid w:val="00CF29BA"/>
    <w:rsid w:val="00CF5646"/>
    <w:rsid w:val="00D0399A"/>
    <w:rsid w:val="00D054AD"/>
    <w:rsid w:val="00D10035"/>
    <w:rsid w:val="00D100AB"/>
    <w:rsid w:val="00D1371E"/>
    <w:rsid w:val="00D227E4"/>
    <w:rsid w:val="00D25A3C"/>
    <w:rsid w:val="00D25E85"/>
    <w:rsid w:val="00D260FA"/>
    <w:rsid w:val="00D26844"/>
    <w:rsid w:val="00D26F45"/>
    <w:rsid w:val="00D32212"/>
    <w:rsid w:val="00D346CB"/>
    <w:rsid w:val="00D36002"/>
    <w:rsid w:val="00D3663F"/>
    <w:rsid w:val="00D36FA0"/>
    <w:rsid w:val="00D417ED"/>
    <w:rsid w:val="00D41C14"/>
    <w:rsid w:val="00D4479C"/>
    <w:rsid w:val="00D455AF"/>
    <w:rsid w:val="00D4601E"/>
    <w:rsid w:val="00D4627A"/>
    <w:rsid w:val="00D46AA6"/>
    <w:rsid w:val="00D5095A"/>
    <w:rsid w:val="00D51948"/>
    <w:rsid w:val="00D54978"/>
    <w:rsid w:val="00D56615"/>
    <w:rsid w:val="00D57C8D"/>
    <w:rsid w:val="00D57E83"/>
    <w:rsid w:val="00D6147E"/>
    <w:rsid w:val="00D706DC"/>
    <w:rsid w:val="00D744F7"/>
    <w:rsid w:val="00D77B5F"/>
    <w:rsid w:val="00D82183"/>
    <w:rsid w:val="00D83A04"/>
    <w:rsid w:val="00D83FC7"/>
    <w:rsid w:val="00D87AD6"/>
    <w:rsid w:val="00D903E2"/>
    <w:rsid w:val="00D91DF5"/>
    <w:rsid w:val="00D92F5F"/>
    <w:rsid w:val="00D95DC5"/>
    <w:rsid w:val="00DA0335"/>
    <w:rsid w:val="00DA0D9A"/>
    <w:rsid w:val="00DA0F6B"/>
    <w:rsid w:val="00DA10B5"/>
    <w:rsid w:val="00DA197E"/>
    <w:rsid w:val="00DA1FC0"/>
    <w:rsid w:val="00DA4560"/>
    <w:rsid w:val="00DA5FA6"/>
    <w:rsid w:val="00DB3C32"/>
    <w:rsid w:val="00DB3FA9"/>
    <w:rsid w:val="00DB405C"/>
    <w:rsid w:val="00DB48A2"/>
    <w:rsid w:val="00DC0B14"/>
    <w:rsid w:val="00DC2803"/>
    <w:rsid w:val="00DC3CD1"/>
    <w:rsid w:val="00DC46AD"/>
    <w:rsid w:val="00DC4D90"/>
    <w:rsid w:val="00DC6D79"/>
    <w:rsid w:val="00DD2063"/>
    <w:rsid w:val="00DD3884"/>
    <w:rsid w:val="00DD4108"/>
    <w:rsid w:val="00DD5125"/>
    <w:rsid w:val="00DE33AD"/>
    <w:rsid w:val="00DE368A"/>
    <w:rsid w:val="00DE4F8B"/>
    <w:rsid w:val="00DE741B"/>
    <w:rsid w:val="00DE7D4A"/>
    <w:rsid w:val="00DF774C"/>
    <w:rsid w:val="00DF7EA6"/>
    <w:rsid w:val="00E01C71"/>
    <w:rsid w:val="00E039F5"/>
    <w:rsid w:val="00E0454F"/>
    <w:rsid w:val="00E04904"/>
    <w:rsid w:val="00E04CD7"/>
    <w:rsid w:val="00E07189"/>
    <w:rsid w:val="00E0785A"/>
    <w:rsid w:val="00E124A7"/>
    <w:rsid w:val="00E13533"/>
    <w:rsid w:val="00E1420C"/>
    <w:rsid w:val="00E164D1"/>
    <w:rsid w:val="00E16E8F"/>
    <w:rsid w:val="00E207C7"/>
    <w:rsid w:val="00E2271F"/>
    <w:rsid w:val="00E22851"/>
    <w:rsid w:val="00E277CA"/>
    <w:rsid w:val="00E27DD3"/>
    <w:rsid w:val="00E33218"/>
    <w:rsid w:val="00E339F8"/>
    <w:rsid w:val="00E37192"/>
    <w:rsid w:val="00E42C8D"/>
    <w:rsid w:val="00E44251"/>
    <w:rsid w:val="00E47DB2"/>
    <w:rsid w:val="00E5223E"/>
    <w:rsid w:val="00E53DF6"/>
    <w:rsid w:val="00E5788B"/>
    <w:rsid w:val="00E61564"/>
    <w:rsid w:val="00E62177"/>
    <w:rsid w:val="00E621D5"/>
    <w:rsid w:val="00E73805"/>
    <w:rsid w:val="00E74C17"/>
    <w:rsid w:val="00E77C1A"/>
    <w:rsid w:val="00E81AFE"/>
    <w:rsid w:val="00E8320E"/>
    <w:rsid w:val="00E83C97"/>
    <w:rsid w:val="00E83F4C"/>
    <w:rsid w:val="00E900E8"/>
    <w:rsid w:val="00E92495"/>
    <w:rsid w:val="00E92F19"/>
    <w:rsid w:val="00E936B0"/>
    <w:rsid w:val="00E938F1"/>
    <w:rsid w:val="00E939FB"/>
    <w:rsid w:val="00E95929"/>
    <w:rsid w:val="00E974FF"/>
    <w:rsid w:val="00EA0CA3"/>
    <w:rsid w:val="00EA5F44"/>
    <w:rsid w:val="00EA676C"/>
    <w:rsid w:val="00EA6B74"/>
    <w:rsid w:val="00EB0A2E"/>
    <w:rsid w:val="00EB269A"/>
    <w:rsid w:val="00EC367C"/>
    <w:rsid w:val="00EC5586"/>
    <w:rsid w:val="00ED1807"/>
    <w:rsid w:val="00ED57A7"/>
    <w:rsid w:val="00ED63C0"/>
    <w:rsid w:val="00ED7950"/>
    <w:rsid w:val="00EE3CE0"/>
    <w:rsid w:val="00EE62C1"/>
    <w:rsid w:val="00EF2A20"/>
    <w:rsid w:val="00EF2E14"/>
    <w:rsid w:val="00EF4A1F"/>
    <w:rsid w:val="00EF6DCB"/>
    <w:rsid w:val="00EF79FE"/>
    <w:rsid w:val="00F026A8"/>
    <w:rsid w:val="00F02C18"/>
    <w:rsid w:val="00F02DB2"/>
    <w:rsid w:val="00F02DD2"/>
    <w:rsid w:val="00F065AC"/>
    <w:rsid w:val="00F06C49"/>
    <w:rsid w:val="00F07C6E"/>
    <w:rsid w:val="00F11A47"/>
    <w:rsid w:val="00F17464"/>
    <w:rsid w:val="00F17D15"/>
    <w:rsid w:val="00F17FA1"/>
    <w:rsid w:val="00F22B7F"/>
    <w:rsid w:val="00F23DD8"/>
    <w:rsid w:val="00F25845"/>
    <w:rsid w:val="00F27BB1"/>
    <w:rsid w:val="00F340D4"/>
    <w:rsid w:val="00F37054"/>
    <w:rsid w:val="00F37660"/>
    <w:rsid w:val="00F37694"/>
    <w:rsid w:val="00F40689"/>
    <w:rsid w:val="00F42D2F"/>
    <w:rsid w:val="00F4540F"/>
    <w:rsid w:val="00F53C67"/>
    <w:rsid w:val="00F54FB8"/>
    <w:rsid w:val="00F5516F"/>
    <w:rsid w:val="00F55C5B"/>
    <w:rsid w:val="00F57B2E"/>
    <w:rsid w:val="00F6052F"/>
    <w:rsid w:val="00F6138A"/>
    <w:rsid w:val="00F64C3A"/>
    <w:rsid w:val="00F64D6B"/>
    <w:rsid w:val="00F66290"/>
    <w:rsid w:val="00F72A88"/>
    <w:rsid w:val="00F73AE3"/>
    <w:rsid w:val="00F77B2A"/>
    <w:rsid w:val="00F82F3B"/>
    <w:rsid w:val="00F842FA"/>
    <w:rsid w:val="00F856F9"/>
    <w:rsid w:val="00F86CAF"/>
    <w:rsid w:val="00F87B06"/>
    <w:rsid w:val="00F9019F"/>
    <w:rsid w:val="00F91F13"/>
    <w:rsid w:val="00F93F2F"/>
    <w:rsid w:val="00F96068"/>
    <w:rsid w:val="00F96F2D"/>
    <w:rsid w:val="00FA0D25"/>
    <w:rsid w:val="00FA3711"/>
    <w:rsid w:val="00FA44A5"/>
    <w:rsid w:val="00FA64CB"/>
    <w:rsid w:val="00FA7FAB"/>
    <w:rsid w:val="00FB03AC"/>
    <w:rsid w:val="00FB1023"/>
    <w:rsid w:val="00FB2BED"/>
    <w:rsid w:val="00FB492E"/>
    <w:rsid w:val="00FB561D"/>
    <w:rsid w:val="00FB69C3"/>
    <w:rsid w:val="00FC2DFA"/>
    <w:rsid w:val="00FC7557"/>
    <w:rsid w:val="00FD2773"/>
    <w:rsid w:val="00FD2AAC"/>
    <w:rsid w:val="00FD388C"/>
    <w:rsid w:val="00FD5270"/>
    <w:rsid w:val="00FD6A7F"/>
    <w:rsid w:val="00FD6D6D"/>
    <w:rsid w:val="00FD7D80"/>
    <w:rsid w:val="00FE0228"/>
    <w:rsid w:val="00FE3968"/>
    <w:rsid w:val="00FE55C4"/>
    <w:rsid w:val="00FE7DCF"/>
    <w:rsid w:val="00FF1914"/>
    <w:rsid w:val="00FF3B4E"/>
    <w:rsid w:val="00FF5C28"/>
    <w:rsid w:val="00FF6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0A6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5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BA4754"/>
    <w:pPr>
      <w:keepNext/>
      <w:spacing w:before="240" w:after="360"/>
      <w:outlineLvl w:val="0"/>
    </w:pPr>
    <w:rPr>
      <w:b/>
      <w:caps/>
      <w:sz w:val="28"/>
    </w:rPr>
  </w:style>
  <w:style w:type="paragraph" w:styleId="Heading2">
    <w:name w:val="heading 2"/>
    <w:basedOn w:val="Normal"/>
    <w:next w:val="Normal"/>
    <w:link w:val="Heading2Char"/>
    <w:qFormat/>
    <w:rsid w:val="00BA4754"/>
    <w:pPr>
      <w:keepNext/>
      <w:spacing w:before="120"/>
      <w:outlineLvl w:val="1"/>
    </w:pPr>
    <w:rPr>
      <w:b/>
      <w:caps/>
    </w:rPr>
  </w:style>
  <w:style w:type="paragraph" w:styleId="Heading3">
    <w:name w:val="heading 3"/>
    <w:basedOn w:val="Normal"/>
    <w:next w:val="Normal"/>
    <w:link w:val="Heading3Char"/>
    <w:qFormat/>
    <w:rsid w:val="00BA4754"/>
    <w:pPr>
      <w:keepNext/>
      <w:spacing w:before="60"/>
      <w:outlineLvl w:val="2"/>
    </w:pPr>
    <w:rPr>
      <w:b/>
    </w:rPr>
  </w:style>
  <w:style w:type="paragraph" w:styleId="Heading4">
    <w:name w:val="heading 4"/>
    <w:basedOn w:val="Normal"/>
    <w:next w:val="Normal"/>
    <w:link w:val="Heading4Char"/>
    <w:qFormat/>
    <w:rsid w:val="00BA4754"/>
    <w:pPr>
      <w:keepNext/>
      <w:outlineLvl w:val="3"/>
    </w:pPr>
    <w:rPr>
      <w:i/>
      <w:sz w:val="20"/>
    </w:rPr>
  </w:style>
  <w:style w:type="paragraph" w:styleId="Heading6">
    <w:name w:val="heading 6"/>
    <w:basedOn w:val="Normal"/>
    <w:next w:val="Normal"/>
    <w:link w:val="Heading6Char"/>
    <w:qFormat/>
    <w:rsid w:val="00BA4754"/>
    <w:pPr>
      <w:keepNext/>
      <w:spacing w:before="240"/>
      <w:ind w:right="91"/>
      <w:outlineLvl w:val="5"/>
    </w:pPr>
    <w:rPr>
      <w:u w:val="single"/>
    </w:rPr>
  </w:style>
  <w:style w:type="paragraph" w:styleId="Heading9">
    <w:name w:val="heading 9"/>
    <w:basedOn w:val="Normal"/>
    <w:next w:val="Normal"/>
    <w:link w:val="Heading9Char"/>
    <w:uiPriority w:val="9"/>
    <w:unhideWhenUsed/>
    <w:qFormat/>
    <w:rsid w:val="00264C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754"/>
    <w:rPr>
      <w:rFonts w:ascii="Times New Roman" w:eastAsia="Times New Roman" w:hAnsi="Times New Roman" w:cs="Times New Roman"/>
      <w:b/>
      <w:caps/>
      <w:sz w:val="28"/>
      <w:szCs w:val="20"/>
      <w:lang w:eastAsia="en-AU"/>
    </w:rPr>
  </w:style>
  <w:style w:type="character" w:customStyle="1" w:styleId="Heading2Char">
    <w:name w:val="Heading 2 Char"/>
    <w:basedOn w:val="DefaultParagraphFont"/>
    <w:link w:val="Heading2"/>
    <w:rsid w:val="00BA4754"/>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A4754"/>
    <w:rPr>
      <w:rFonts w:ascii="Times New Roman" w:eastAsia="Times New Roman" w:hAnsi="Times New Roman" w:cs="Times New Roman"/>
      <w:b/>
      <w:sz w:val="24"/>
      <w:szCs w:val="20"/>
      <w:lang w:eastAsia="en-AU"/>
    </w:rPr>
  </w:style>
  <w:style w:type="character" w:customStyle="1" w:styleId="Heading4Char">
    <w:name w:val="Heading 4 Char"/>
    <w:basedOn w:val="DefaultParagraphFont"/>
    <w:link w:val="Heading4"/>
    <w:rsid w:val="00BA4754"/>
    <w:rPr>
      <w:rFonts w:ascii="Times New Roman" w:eastAsia="Times New Roman" w:hAnsi="Times New Roman" w:cs="Times New Roman"/>
      <w:i/>
      <w:sz w:val="20"/>
      <w:szCs w:val="20"/>
      <w:lang w:eastAsia="en-AU"/>
    </w:rPr>
  </w:style>
  <w:style w:type="character" w:customStyle="1" w:styleId="Heading6Char">
    <w:name w:val="Heading 6 Char"/>
    <w:basedOn w:val="DefaultParagraphFont"/>
    <w:link w:val="Heading6"/>
    <w:rsid w:val="00BA4754"/>
    <w:rPr>
      <w:rFonts w:ascii="Times New Roman" w:eastAsia="Times New Roman" w:hAnsi="Times New Roman" w:cs="Times New Roman"/>
      <w:sz w:val="24"/>
      <w:szCs w:val="20"/>
      <w:u w:val="single"/>
      <w:lang w:eastAsia="en-AU"/>
    </w:rPr>
  </w:style>
  <w:style w:type="paragraph" w:customStyle="1" w:styleId="SingleParagraph">
    <w:name w:val="Single Paragraph"/>
    <w:basedOn w:val="Normal"/>
    <w:rsid w:val="00BA4754"/>
  </w:style>
  <w:style w:type="paragraph" w:customStyle="1" w:styleId="ChartMainHeading">
    <w:name w:val="Chart Main Heading"/>
    <w:basedOn w:val="SingleParagraph"/>
    <w:next w:val="Normal"/>
    <w:rsid w:val="00BA4754"/>
    <w:pPr>
      <w:jc w:val="center"/>
    </w:pPr>
    <w:rPr>
      <w:b/>
      <w:caps/>
    </w:rPr>
  </w:style>
  <w:style w:type="paragraph" w:customStyle="1" w:styleId="ChartSecondHeading">
    <w:name w:val="Chart Second Heading"/>
    <w:basedOn w:val="SingleParagraph"/>
    <w:next w:val="Normal"/>
    <w:rsid w:val="00BA4754"/>
    <w:pPr>
      <w:jc w:val="center"/>
    </w:pPr>
    <w:rPr>
      <w:b/>
    </w:rPr>
  </w:style>
  <w:style w:type="paragraph" w:customStyle="1" w:styleId="TableMainHeading">
    <w:name w:val="Table Main Heading"/>
    <w:basedOn w:val="Heading2"/>
    <w:next w:val="Normal"/>
    <w:rsid w:val="00BA4754"/>
    <w:pPr>
      <w:spacing w:before="240"/>
      <w:outlineLvl w:val="9"/>
    </w:pPr>
    <w:rPr>
      <w:rFonts w:ascii="Helvetica" w:hAnsi="Helvetica"/>
      <w:b w:val="0"/>
      <w:caps w:val="0"/>
      <w:spacing w:val="30"/>
      <w:sz w:val="22"/>
    </w:rPr>
  </w:style>
  <w:style w:type="paragraph" w:customStyle="1" w:styleId="base-text-paragraph">
    <w:name w:val="base-text-paragraph"/>
    <w:link w:val="base-text-paragraphChar"/>
    <w:rsid w:val="00BA4754"/>
    <w:pPr>
      <w:numPr>
        <w:numId w:val="1"/>
      </w:numPr>
      <w:tabs>
        <w:tab w:val="clear" w:pos="1837"/>
        <w:tab w:val="num" w:pos="1984"/>
      </w:tabs>
      <w:spacing w:before="120" w:after="120" w:line="240" w:lineRule="auto"/>
      <w:ind w:left="1140"/>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BA4754"/>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BA4754"/>
    <w:rPr>
      <w:rFonts w:ascii="Tahoma" w:hAnsi="Tahoma" w:cs="Tahoma"/>
      <w:sz w:val="16"/>
      <w:szCs w:val="16"/>
    </w:rPr>
  </w:style>
  <w:style w:type="character" w:customStyle="1" w:styleId="BalloonTextChar">
    <w:name w:val="Balloon Text Char"/>
    <w:basedOn w:val="DefaultParagraphFont"/>
    <w:link w:val="BalloonText"/>
    <w:uiPriority w:val="99"/>
    <w:semiHidden/>
    <w:rsid w:val="00BA4754"/>
    <w:rPr>
      <w:rFonts w:ascii="Tahoma" w:eastAsia="Times New Roman" w:hAnsi="Tahoma" w:cs="Tahoma"/>
      <w:sz w:val="16"/>
      <w:szCs w:val="16"/>
      <w:lang w:eastAsia="en-AU"/>
    </w:rPr>
  </w:style>
  <w:style w:type="character" w:styleId="CommentReference">
    <w:name w:val="annotation reference"/>
    <w:basedOn w:val="DefaultParagraphFont"/>
    <w:unhideWhenUsed/>
    <w:rsid w:val="00BA4754"/>
    <w:rPr>
      <w:sz w:val="16"/>
      <w:szCs w:val="16"/>
    </w:rPr>
  </w:style>
  <w:style w:type="paragraph" w:styleId="CommentText">
    <w:name w:val="annotation text"/>
    <w:basedOn w:val="Normal"/>
    <w:link w:val="CommentTextChar"/>
    <w:unhideWhenUsed/>
    <w:rsid w:val="00BA4754"/>
    <w:rPr>
      <w:sz w:val="20"/>
    </w:rPr>
  </w:style>
  <w:style w:type="character" w:customStyle="1" w:styleId="CommentTextChar">
    <w:name w:val="Comment Text Char"/>
    <w:basedOn w:val="DefaultParagraphFont"/>
    <w:link w:val="CommentText"/>
    <w:uiPriority w:val="99"/>
    <w:rsid w:val="00BA475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4754"/>
    <w:rPr>
      <w:b/>
      <w:bCs/>
    </w:rPr>
  </w:style>
  <w:style w:type="character" w:customStyle="1" w:styleId="CommentSubjectChar">
    <w:name w:val="Comment Subject Char"/>
    <w:basedOn w:val="CommentTextChar"/>
    <w:link w:val="CommentSubject"/>
    <w:uiPriority w:val="99"/>
    <w:semiHidden/>
    <w:rsid w:val="00BA4754"/>
    <w:rPr>
      <w:rFonts w:ascii="Times New Roman" w:eastAsia="Times New Roman" w:hAnsi="Times New Roman" w:cs="Times New Roman"/>
      <w:b/>
      <w:bCs/>
      <w:sz w:val="20"/>
      <w:szCs w:val="20"/>
      <w:lang w:eastAsia="en-AU"/>
    </w:rPr>
  </w:style>
  <w:style w:type="character" w:customStyle="1" w:styleId="BulletChar">
    <w:name w:val="Bullet Char"/>
    <w:basedOn w:val="DefaultParagraphFont"/>
    <w:link w:val="Bullet"/>
    <w:locked/>
    <w:rsid w:val="00BA4754"/>
    <w:rPr>
      <w:sz w:val="24"/>
    </w:rPr>
  </w:style>
  <w:style w:type="paragraph" w:customStyle="1" w:styleId="Bullet">
    <w:name w:val="Bullet"/>
    <w:basedOn w:val="Normal"/>
    <w:link w:val="BulletChar"/>
    <w:rsid w:val="00BA4754"/>
    <w:pPr>
      <w:numPr>
        <w:numId w:val="6"/>
      </w:numPr>
    </w:pPr>
    <w:rPr>
      <w:rFonts w:asciiTheme="minorHAnsi" w:eastAsiaTheme="minorHAnsi" w:hAnsiTheme="minorHAnsi" w:cstheme="minorBidi"/>
      <w:szCs w:val="22"/>
      <w:lang w:eastAsia="en-US"/>
    </w:rPr>
  </w:style>
  <w:style w:type="paragraph" w:customStyle="1" w:styleId="Dash">
    <w:name w:val="Dash"/>
    <w:basedOn w:val="Normal"/>
    <w:rsid w:val="00BA4754"/>
    <w:pPr>
      <w:numPr>
        <w:ilvl w:val="1"/>
        <w:numId w:val="6"/>
      </w:numPr>
    </w:pPr>
  </w:style>
  <w:style w:type="paragraph" w:customStyle="1" w:styleId="DoubleDot">
    <w:name w:val="Double Dot"/>
    <w:basedOn w:val="Normal"/>
    <w:rsid w:val="00BA4754"/>
    <w:pPr>
      <w:numPr>
        <w:ilvl w:val="2"/>
        <w:numId w:val="6"/>
      </w:numPr>
    </w:pPr>
  </w:style>
  <w:style w:type="paragraph" w:customStyle="1" w:styleId="ChapterHeading">
    <w:name w:val="Chapter Heading"/>
    <w:next w:val="Heading2"/>
    <w:rsid w:val="00BA4754"/>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BA4754"/>
  </w:style>
  <w:style w:type="paragraph" w:customStyle="1" w:styleId="ExampleHeading">
    <w:name w:val="Example Heading"/>
    <w:basedOn w:val="Normal"/>
    <w:next w:val="Normal"/>
    <w:rsid w:val="00BA4754"/>
    <w:pPr>
      <w:keepNext/>
      <w:spacing w:before="120" w:after="120"/>
      <w:ind w:left="1134"/>
    </w:pPr>
    <w:rPr>
      <w:b/>
      <w:sz w:val="22"/>
    </w:rPr>
  </w:style>
  <w:style w:type="paragraph" w:customStyle="1" w:styleId="Diagram">
    <w:name w:val="Diagram"/>
    <w:basedOn w:val="Normal"/>
    <w:next w:val="Normal"/>
    <w:rsid w:val="00BA4754"/>
    <w:pPr>
      <w:keepNext/>
      <w:ind w:left="1134"/>
    </w:pPr>
    <w:rPr>
      <w:b/>
      <w:sz w:val="22"/>
    </w:rPr>
  </w:style>
  <w:style w:type="table" w:styleId="TableGrid">
    <w:name w:val="Table Grid"/>
    <w:basedOn w:val="TableNormal"/>
    <w:uiPriority w:val="59"/>
    <w:rsid w:val="00BA475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List">
    <w:name w:val="ChapterList"/>
    <w:uiPriority w:val="99"/>
    <w:rsid w:val="00BA4754"/>
    <w:pPr>
      <w:numPr>
        <w:numId w:val="4"/>
      </w:numPr>
    </w:pPr>
  </w:style>
  <w:style w:type="character" w:styleId="Hyperlink">
    <w:name w:val="Hyperlink"/>
    <w:basedOn w:val="DefaultParagraphFont"/>
    <w:uiPriority w:val="99"/>
    <w:unhideWhenUsed/>
    <w:rsid w:val="00BA4754"/>
    <w:rPr>
      <w:color w:val="0000FF" w:themeColor="hyperlink"/>
      <w:u w:val="single"/>
    </w:rPr>
  </w:style>
  <w:style w:type="paragraph" w:customStyle="1" w:styleId="tabletext">
    <w:name w:val="table text"/>
    <w:basedOn w:val="Normal"/>
    <w:rsid w:val="00BA4754"/>
    <w:pPr>
      <w:spacing w:before="40" w:after="40"/>
    </w:pPr>
    <w:rPr>
      <w:sz w:val="20"/>
    </w:rPr>
  </w:style>
  <w:style w:type="paragraph" w:customStyle="1" w:styleId="tableheaderwithintable">
    <w:name w:val="table header (within table)"/>
    <w:basedOn w:val="Heading4"/>
    <w:rsid w:val="00BA4754"/>
    <w:pPr>
      <w:spacing w:before="60" w:after="60"/>
      <w:jc w:val="center"/>
    </w:pPr>
    <w:rPr>
      <w:b/>
    </w:rPr>
  </w:style>
  <w:style w:type="paragraph" w:customStyle="1" w:styleId="rightheader">
    <w:name w:val="right header"/>
    <w:basedOn w:val="Normal"/>
    <w:rsid w:val="00BA4754"/>
    <w:pPr>
      <w:pBdr>
        <w:bottom w:val="single" w:sz="4" w:space="1" w:color="auto"/>
      </w:pBdr>
      <w:spacing w:before="120" w:after="120"/>
      <w:jc w:val="right"/>
    </w:pPr>
    <w:rPr>
      <w:i/>
      <w:sz w:val="20"/>
    </w:rPr>
  </w:style>
  <w:style w:type="paragraph" w:customStyle="1" w:styleId="Tablea">
    <w:name w:val="Table(a)"/>
    <w:aliases w:val="ta"/>
    <w:basedOn w:val="Normal"/>
    <w:rsid w:val="002001AB"/>
    <w:pPr>
      <w:spacing w:before="60"/>
      <w:ind w:left="284" w:hanging="284"/>
    </w:pPr>
    <w:rPr>
      <w:sz w:val="20"/>
    </w:rPr>
  </w:style>
  <w:style w:type="paragraph" w:customStyle="1" w:styleId="Tabletext0">
    <w:name w:val="Tabletext"/>
    <w:aliases w:val="tt"/>
    <w:basedOn w:val="Normal"/>
    <w:rsid w:val="002001AB"/>
    <w:pPr>
      <w:spacing w:before="60" w:line="240" w:lineRule="atLeast"/>
    </w:pPr>
    <w:rPr>
      <w:sz w:val="20"/>
    </w:rPr>
  </w:style>
  <w:style w:type="paragraph" w:styleId="Header">
    <w:name w:val="header"/>
    <w:basedOn w:val="Normal"/>
    <w:link w:val="HeaderChar"/>
    <w:uiPriority w:val="99"/>
    <w:unhideWhenUsed/>
    <w:rsid w:val="009179FB"/>
    <w:pPr>
      <w:tabs>
        <w:tab w:val="center" w:pos="4513"/>
        <w:tab w:val="right" w:pos="9026"/>
      </w:tabs>
    </w:pPr>
  </w:style>
  <w:style w:type="character" w:customStyle="1" w:styleId="HeaderChar">
    <w:name w:val="Header Char"/>
    <w:basedOn w:val="DefaultParagraphFont"/>
    <w:link w:val="Header"/>
    <w:uiPriority w:val="99"/>
    <w:rsid w:val="009179FB"/>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9FB"/>
    <w:pPr>
      <w:tabs>
        <w:tab w:val="center" w:pos="4513"/>
        <w:tab w:val="right" w:pos="9026"/>
      </w:tabs>
    </w:pPr>
  </w:style>
  <w:style w:type="character" w:customStyle="1" w:styleId="FooterChar">
    <w:name w:val="Footer Char"/>
    <w:basedOn w:val="DefaultParagraphFont"/>
    <w:link w:val="Footer"/>
    <w:uiPriority w:val="99"/>
    <w:rsid w:val="009179FB"/>
    <w:rPr>
      <w:rFonts w:ascii="Times New Roman" w:eastAsia="Times New Roman" w:hAnsi="Times New Roman" w:cs="Times New Roman"/>
      <w:sz w:val="24"/>
      <w:szCs w:val="20"/>
      <w:lang w:eastAsia="en-AU"/>
    </w:rPr>
  </w:style>
  <w:style w:type="paragraph" w:styleId="Revision">
    <w:name w:val="Revision"/>
    <w:hidden/>
    <w:uiPriority w:val="99"/>
    <w:semiHidden/>
    <w:rsid w:val="00B23089"/>
    <w:pPr>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link w:val="ListParagraphChar"/>
    <w:uiPriority w:val="34"/>
    <w:qFormat/>
    <w:rsid w:val="001E64EF"/>
    <w:pPr>
      <w:spacing w:after="200"/>
      <w:ind w:left="720"/>
      <w:contextualSpacing/>
    </w:pPr>
  </w:style>
  <w:style w:type="paragraph" w:customStyle="1" w:styleId="CTA----">
    <w:name w:val="CTA ----"/>
    <w:basedOn w:val="Normal"/>
    <w:next w:val="Normal"/>
    <w:rsid w:val="00730CEF"/>
    <w:pPr>
      <w:spacing w:before="60" w:line="240" w:lineRule="atLeast"/>
      <w:ind w:left="255" w:hanging="255"/>
    </w:pPr>
    <w:rPr>
      <w:sz w:val="20"/>
    </w:rPr>
  </w:style>
  <w:style w:type="paragraph" w:customStyle="1" w:styleId="subsection">
    <w:name w:val="subsection"/>
    <w:aliases w:val="ss"/>
    <w:basedOn w:val="Normal"/>
    <w:link w:val="subsectionChar"/>
    <w:rsid w:val="00730CEF"/>
    <w:pPr>
      <w:tabs>
        <w:tab w:val="right" w:pos="1021"/>
      </w:tabs>
      <w:spacing w:before="180"/>
      <w:ind w:left="1134" w:hanging="1134"/>
    </w:pPr>
    <w:rPr>
      <w:sz w:val="22"/>
    </w:rPr>
  </w:style>
  <w:style w:type="paragraph" w:customStyle="1" w:styleId="Definition">
    <w:name w:val="Definition"/>
    <w:aliases w:val="dd"/>
    <w:basedOn w:val="Normal"/>
    <w:rsid w:val="00730CEF"/>
    <w:pPr>
      <w:spacing w:before="180"/>
      <w:ind w:left="1134"/>
    </w:pPr>
    <w:rPr>
      <w:sz w:val="22"/>
    </w:rPr>
  </w:style>
  <w:style w:type="paragraph" w:customStyle="1" w:styleId="paragraph">
    <w:name w:val="paragraph"/>
    <w:aliases w:val="a"/>
    <w:basedOn w:val="Normal"/>
    <w:rsid w:val="00730CEF"/>
    <w:pPr>
      <w:tabs>
        <w:tab w:val="right" w:pos="1531"/>
      </w:tabs>
      <w:spacing w:before="40"/>
      <w:ind w:left="1644" w:hanging="1644"/>
    </w:pPr>
    <w:rPr>
      <w:sz w:val="22"/>
    </w:rPr>
  </w:style>
  <w:style w:type="paragraph" w:customStyle="1" w:styleId="subsection2">
    <w:name w:val="subsection2"/>
    <w:aliases w:val="ss2"/>
    <w:basedOn w:val="Normal"/>
    <w:next w:val="subsection"/>
    <w:rsid w:val="00730CEF"/>
    <w:pPr>
      <w:spacing w:before="40"/>
      <w:ind w:left="1134"/>
    </w:pPr>
    <w:rPr>
      <w:sz w:val="22"/>
    </w:rPr>
  </w:style>
  <w:style w:type="character" w:customStyle="1" w:styleId="subsectionChar">
    <w:name w:val="subsection Char"/>
    <w:aliases w:val="ss Char"/>
    <w:link w:val="subsection"/>
    <w:locked/>
    <w:rsid w:val="00730CEF"/>
    <w:rPr>
      <w:rFonts w:ascii="Times New Roman" w:eastAsia="Times New Roman" w:hAnsi="Times New Roman" w:cs="Times New Roman"/>
      <w:szCs w:val="20"/>
      <w:lang w:eastAsia="en-AU"/>
    </w:rPr>
  </w:style>
  <w:style w:type="paragraph" w:styleId="TOC2">
    <w:name w:val="toc 2"/>
    <w:basedOn w:val="Normal"/>
    <w:autoRedefine/>
    <w:uiPriority w:val="39"/>
    <w:semiHidden/>
    <w:unhideWhenUsed/>
    <w:rsid w:val="00935F21"/>
    <w:pPr>
      <w:spacing w:before="100" w:beforeAutospacing="1" w:after="100" w:afterAutospacing="1"/>
    </w:pPr>
    <w:rPr>
      <w:szCs w:val="24"/>
    </w:rPr>
  </w:style>
  <w:style w:type="paragraph" w:styleId="TOC5">
    <w:name w:val="toc 5"/>
    <w:basedOn w:val="Normal"/>
    <w:autoRedefine/>
    <w:uiPriority w:val="39"/>
    <w:semiHidden/>
    <w:unhideWhenUsed/>
    <w:rsid w:val="00935F21"/>
    <w:pPr>
      <w:spacing w:before="100" w:beforeAutospacing="1" w:after="100" w:afterAutospacing="1"/>
    </w:pPr>
    <w:rPr>
      <w:szCs w:val="24"/>
    </w:rPr>
  </w:style>
  <w:style w:type="paragraph" w:styleId="TOC3">
    <w:name w:val="toc 3"/>
    <w:basedOn w:val="Normal"/>
    <w:autoRedefine/>
    <w:uiPriority w:val="39"/>
    <w:semiHidden/>
    <w:unhideWhenUsed/>
    <w:rsid w:val="00935F21"/>
    <w:pPr>
      <w:spacing w:before="100" w:beforeAutospacing="1" w:after="100" w:afterAutospacing="1"/>
    </w:pPr>
    <w:rPr>
      <w:szCs w:val="24"/>
    </w:rPr>
  </w:style>
  <w:style w:type="paragraph" w:customStyle="1" w:styleId="step">
    <w:name w:val="step"/>
    <w:basedOn w:val="Normal"/>
    <w:rsid w:val="00EF2E14"/>
    <w:pPr>
      <w:spacing w:before="100" w:beforeAutospacing="1" w:after="100" w:afterAutospacing="1"/>
    </w:pPr>
    <w:rPr>
      <w:szCs w:val="24"/>
    </w:rPr>
  </w:style>
  <w:style w:type="character" w:customStyle="1" w:styleId="Heading9Char">
    <w:name w:val="Heading 9 Char"/>
    <w:basedOn w:val="DefaultParagraphFont"/>
    <w:link w:val="Heading9"/>
    <w:uiPriority w:val="9"/>
    <w:rsid w:val="00264CB2"/>
    <w:rPr>
      <w:rFonts w:asciiTheme="majorHAnsi" w:eastAsiaTheme="majorEastAsia" w:hAnsiTheme="majorHAnsi" w:cstheme="majorBidi"/>
      <w:i/>
      <w:iCs/>
      <w:color w:val="404040" w:themeColor="text1" w:themeTint="BF"/>
      <w:sz w:val="20"/>
      <w:szCs w:val="20"/>
      <w:lang w:eastAsia="en-AU"/>
    </w:rPr>
  </w:style>
  <w:style w:type="paragraph" w:customStyle="1" w:styleId="empara">
    <w:name w:val="empara"/>
    <w:basedOn w:val="Normal"/>
    <w:rsid w:val="00342909"/>
    <w:pPr>
      <w:spacing w:before="100" w:beforeAutospacing="1" w:after="100" w:afterAutospacing="1"/>
    </w:pPr>
    <w:rPr>
      <w:szCs w:val="24"/>
    </w:rPr>
  </w:style>
  <w:style w:type="paragraph" w:customStyle="1" w:styleId="OutlineNumbered1">
    <w:name w:val="Outline Numbered 1"/>
    <w:basedOn w:val="Normal"/>
    <w:link w:val="OutlineNumbered1Char"/>
    <w:rsid w:val="00141D89"/>
    <w:pPr>
      <w:numPr>
        <w:numId w:val="25"/>
      </w:numPr>
      <w:spacing w:before="100" w:beforeAutospacing="1" w:after="100" w:afterAutospacing="1"/>
    </w:pPr>
  </w:style>
  <w:style w:type="character" w:customStyle="1" w:styleId="ListParagraphChar">
    <w:name w:val="List Paragraph Char"/>
    <w:basedOn w:val="DefaultParagraphFont"/>
    <w:link w:val="ListParagraph"/>
    <w:uiPriority w:val="34"/>
    <w:rsid w:val="00141D89"/>
    <w:rPr>
      <w:rFonts w:ascii="Times New Roman" w:eastAsia="Times New Roman" w:hAnsi="Times New Roman" w:cs="Times New Roman"/>
      <w:sz w:val="24"/>
      <w:szCs w:val="20"/>
      <w:lang w:eastAsia="en-AU"/>
    </w:rPr>
  </w:style>
  <w:style w:type="character" w:customStyle="1" w:styleId="OutlineNumbered1Char">
    <w:name w:val="Outline Numbered 1 Char"/>
    <w:basedOn w:val="ListParagraphChar"/>
    <w:link w:val="OutlineNumbered1"/>
    <w:rsid w:val="00141D89"/>
    <w:rPr>
      <w:rFonts w:ascii="Times New Roman" w:eastAsia="Times New Roman" w:hAnsi="Times New Roman" w:cs="Times New Roman"/>
      <w:sz w:val="24"/>
      <w:szCs w:val="20"/>
      <w:lang w:eastAsia="en-AU"/>
    </w:rPr>
  </w:style>
  <w:style w:type="paragraph" w:customStyle="1" w:styleId="OutlineNumbered2">
    <w:name w:val="Outline Numbered 2"/>
    <w:basedOn w:val="Normal"/>
    <w:link w:val="OutlineNumbered2Char"/>
    <w:rsid w:val="00141D89"/>
    <w:pPr>
      <w:numPr>
        <w:ilvl w:val="1"/>
        <w:numId w:val="25"/>
      </w:numPr>
      <w:spacing w:before="100" w:beforeAutospacing="1" w:after="100" w:afterAutospacing="1"/>
    </w:pPr>
  </w:style>
  <w:style w:type="character" w:customStyle="1" w:styleId="OutlineNumbered2Char">
    <w:name w:val="Outline Numbered 2 Char"/>
    <w:basedOn w:val="ListParagraphChar"/>
    <w:link w:val="OutlineNumbered2"/>
    <w:rsid w:val="00141D89"/>
    <w:rPr>
      <w:rFonts w:ascii="Times New Roman" w:eastAsia="Times New Roman" w:hAnsi="Times New Roman" w:cs="Times New Roman"/>
      <w:sz w:val="24"/>
      <w:szCs w:val="20"/>
      <w:lang w:eastAsia="en-AU"/>
    </w:rPr>
  </w:style>
  <w:style w:type="paragraph" w:customStyle="1" w:styleId="OutlineNumbered3">
    <w:name w:val="Outline Numbered 3"/>
    <w:basedOn w:val="Normal"/>
    <w:link w:val="OutlineNumbered3Char"/>
    <w:rsid w:val="00141D89"/>
    <w:pPr>
      <w:numPr>
        <w:ilvl w:val="2"/>
        <w:numId w:val="25"/>
      </w:numPr>
      <w:spacing w:before="100" w:beforeAutospacing="1" w:after="100" w:afterAutospacing="1"/>
    </w:pPr>
  </w:style>
  <w:style w:type="character" w:customStyle="1" w:styleId="OutlineNumbered3Char">
    <w:name w:val="Outline Numbered 3 Char"/>
    <w:basedOn w:val="ListParagraphChar"/>
    <w:link w:val="OutlineNumbered3"/>
    <w:rsid w:val="00141D89"/>
    <w:rPr>
      <w:rFonts w:ascii="Times New Roman" w:eastAsia="Times New Roman" w:hAnsi="Times New Roman" w:cs="Times New Roman"/>
      <w:sz w:val="24"/>
      <w:szCs w:val="20"/>
      <w:lang w:eastAsia="en-AU"/>
    </w:rPr>
  </w:style>
  <w:style w:type="character" w:styleId="FootnoteReference">
    <w:name w:val="footnote reference"/>
    <w:basedOn w:val="DefaultParagraphFont"/>
    <w:rsid w:val="009F77EE"/>
    <w:rPr>
      <w:vertAlign w:val="superscript"/>
    </w:rPr>
  </w:style>
  <w:style w:type="paragraph" w:styleId="FootnoteText">
    <w:name w:val="footnote text"/>
    <w:basedOn w:val="Normal"/>
    <w:link w:val="FootnoteTextChar"/>
    <w:rsid w:val="009F77EE"/>
    <w:pPr>
      <w:spacing w:before="40" w:after="40"/>
      <w:ind w:left="284" w:hanging="284"/>
    </w:pPr>
    <w:rPr>
      <w:sz w:val="20"/>
    </w:rPr>
  </w:style>
  <w:style w:type="character" w:customStyle="1" w:styleId="FootnoteTextChar">
    <w:name w:val="Footnote Text Char"/>
    <w:basedOn w:val="DefaultParagraphFont"/>
    <w:link w:val="FootnoteText"/>
    <w:rsid w:val="009F77EE"/>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5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BA4754"/>
    <w:pPr>
      <w:keepNext/>
      <w:spacing w:before="240" w:after="360"/>
      <w:outlineLvl w:val="0"/>
    </w:pPr>
    <w:rPr>
      <w:b/>
      <w:caps/>
      <w:sz w:val="28"/>
    </w:rPr>
  </w:style>
  <w:style w:type="paragraph" w:styleId="Heading2">
    <w:name w:val="heading 2"/>
    <w:basedOn w:val="Normal"/>
    <w:next w:val="Normal"/>
    <w:link w:val="Heading2Char"/>
    <w:qFormat/>
    <w:rsid w:val="00BA4754"/>
    <w:pPr>
      <w:keepNext/>
      <w:spacing w:before="120"/>
      <w:outlineLvl w:val="1"/>
    </w:pPr>
    <w:rPr>
      <w:b/>
      <w:caps/>
    </w:rPr>
  </w:style>
  <w:style w:type="paragraph" w:styleId="Heading3">
    <w:name w:val="heading 3"/>
    <w:basedOn w:val="Normal"/>
    <w:next w:val="Normal"/>
    <w:link w:val="Heading3Char"/>
    <w:qFormat/>
    <w:rsid w:val="00BA4754"/>
    <w:pPr>
      <w:keepNext/>
      <w:spacing w:before="60"/>
      <w:outlineLvl w:val="2"/>
    </w:pPr>
    <w:rPr>
      <w:b/>
    </w:rPr>
  </w:style>
  <w:style w:type="paragraph" w:styleId="Heading4">
    <w:name w:val="heading 4"/>
    <w:basedOn w:val="Normal"/>
    <w:next w:val="Normal"/>
    <w:link w:val="Heading4Char"/>
    <w:qFormat/>
    <w:rsid w:val="00BA4754"/>
    <w:pPr>
      <w:keepNext/>
      <w:outlineLvl w:val="3"/>
    </w:pPr>
    <w:rPr>
      <w:i/>
      <w:sz w:val="20"/>
    </w:rPr>
  </w:style>
  <w:style w:type="paragraph" w:styleId="Heading6">
    <w:name w:val="heading 6"/>
    <w:basedOn w:val="Normal"/>
    <w:next w:val="Normal"/>
    <w:link w:val="Heading6Char"/>
    <w:qFormat/>
    <w:rsid w:val="00BA4754"/>
    <w:pPr>
      <w:keepNext/>
      <w:spacing w:before="240"/>
      <w:ind w:right="91"/>
      <w:outlineLvl w:val="5"/>
    </w:pPr>
    <w:rPr>
      <w:u w:val="single"/>
    </w:rPr>
  </w:style>
  <w:style w:type="paragraph" w:styleId="Heading9">
    <w:name w:val="heading 9"/>
    <w:basedOn w:val="Normal"/>
    <w:next w:val="Normal"/>
    <w:link w:val="Heading9Char"/>
    <w:uiPriority w:val="9"/>
    <w:unhideWhenUsed/>
    <w:qFormat/>
    <w:rsid w:val="00264C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754"/>
    <w:rPr>
      <w:rFonts w:ascii="Times New Roman" w:eastAsia="Times New Roman" w:hAnsi="Times New Roman" w:cs="Times New Roman"/>
      <w:b/>
      <w:caps/>
      <w:sz w:val="28"/>
      <w:szCs w:val="20"/>
      <w:lang w:eastAsia="en-AU"/>
    </w:rPr>
  </w:style>
  <w:style w:type="character" w:customStyle="1" w:styleId="Heading2Char">
    <w:name w:val="Heading 2 Char"/>
    <w:basedOn w:val="DefaultParagraphFont"/>
    <w:link w:val="Heading2"/>
    <w:rsid w:val="00BA4754"/>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A4754"/>
    <w:rPr>
      <w:rFonts w:ascii="Times New Roman" w:eastAsia="Times New Roman" w:hAnsi="Times New Roman" w:cs="Times New Roman"/>
      <w:b/>
      <w:sz w:val="24"/>
      <w:szCs w:val="20"/>
      <w:lang w:eastAsia="en-AU"/>
    </w:rPr>
  </w:style>
  <w:style w:type="character" w:customStyle="1" w:styleId="Heading4Char">
    <w:name w:val="Heading 4 Char"/>
    <w:basedOn w:val="DefaultParagraphFont"/>
    <w:link w:val="Heading4"/>
    <w:rsid w:val="00BA4754"/>
    <w:rPr>
      <w:rFonts w:ascii="Times New Roman" w:eastAsia="Times New Roman" w:hAnsi="Times New Roman" w:cs="Times New Roman"/>
      <w:i/>
      <w:sz w:val="20"/>
      <w:szCs w:val="20"/>
      <w:lang w:eastAsia="en-AU"/>
    </w:rPr>
  </w:style>
  <w:style w:type="character" w:customStyle="1" w:styleId="Heading6Char">
    <w:name w:val="Heading 6 Char"/>
    <w:basedOn w:val="DefaultParagraphFont"/>
    <w:link w:val="Heading6"/>
    <w:rsid w:val="00BA4754"/>
    <w:rPr>
      <w:rFonts w:ascii="Times New Roman" w:eastAsia="Times New Roman" w:hAnsi="Times New Roman" w:cs="Times New Roman"/>
      <w:sz w:val="24"/>
      <w:szCs w:val="20"/>
      <w:u w:val="single"/>
      <w:lang w:eastAsia="en-AU"/>
    </w:rPr>
  </w:style>
  <w:style w:type="paragraph" w:customStyle="1" w:styleId="SingleParagraph">
    <w:name w:val="Single Paragraph"/>
    <w:basedOn w:val="Normal"/>
    <w:rsid w:val="00BA4754"/>
  </w:style>
  <w:style w:type="paragraph" w:customStyle="1" w:styleId="ChartMainHeading">
    <w:name w:val="Chart Main Heading"/>
    <w:basedOn w:val="SingleParagraph"/>
    <w:next w:val="Normal"/>
    <w:rsid w:val="00BA4754"/>
    <w:pPr>
      <w:jc w:val="center"/>
    </w:pPr>
    <w:rPr>
      <w:b/>
      <w:caps/>
    </w:rPr>
  </w:style>
  <w:style w:type="paragraph" w:customStyle="1" w:styleId="ChartSecondHeading">
    <w:name w:val="Chart Second Heading"/>
    <w:basedOn w:val="SingleParagraph"/>
    <w:next w:val="Normal"/>
    <w:rsid w:val="00BA4754"/>
    <w:pPr>
      <w:jc w:val="center"/>
    </w:pPr>
    <w:rPr>
      <w:b/>
    </w:rPr>
  </w:style>
  <w:style w:type="paragraph" w:customStyle="1" w:styleId="TableMainHeading">
    <w:name w:val="Table Main Heading"/>
    <w:basedOn w:val="Heading2"/>
    <w:next w:val="Normal"/>
    <w:rsid w:val="00BA4754"/>
    <w:pPr>
      <w:spacing w:before="240"/>
      <w:outlineLvl w:val="9"/>
    </w:pPr>
    <w:rPr>
      <w:rFonts w:ascii="Helvetica" w:hAnsi="Helvetica"/>
      <w:b w:val="0"/>
      <w:caps w:val="0"/>
      <w:spacing w:val="30"/>
      <w:sz w:val="22"/>
    </w:rPr>
  </w:style>
  <w:style w:type="paragraph" w:customStyle="1" w:styleId="base-text-paragraph">
    <w:name w:val="base-text-paragraph"/>
    <w:link w:val="base-text-paragraphChar"/>
    <w:rsid w:val="00BA4754"/>
    <w:pPr>
      <w:numPr>
        <w:numId w:val="1"/>
      </w:numPr>
      <w:tabs>
        <w:tab w:val="clear" w:pos="1837"/>
        <w:tab w:val="num" w:pos="1984"/>
      </w:tabs>
      <w:spacing w:before="120" w:after="120" w:line="240" w:lineRule="auto"/>
      <w:ind w:left="1140"/>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BA4754"/>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BA4754"/>
    <w:rPr>
      <w:rFonts w:ascii="Tahoma" w:hAnsi="Tahoma" w:cs="Tahoma"/>
      <w:sz w:val="16"/>
      <w:szCs w:val="16"/>
    </w:rPr>
  </w:style>
  <w:style w:type="character" w:customStyle="1" w:styleId="BalloonTextChar">
    <w:name w:val="Balloon Text Char"/>
    <w:basedOn w:val="DefaultParagraphFont"/>
    <w:link w:val="BalloonText"/>
    <w:uiPriority w:val="99"/>
    <w:semiHidden/>
    <w:rsid w:val="00BA4754"/>
    <w:rPr>
      <w:rFonts w:ascii="Tahoma" w:eastAsia="Times New Roman" w:hAnsi="Tahoma" w:cs="Tahoma"/>
      <w:sz w:val="16"/>
      <w:szCs w:val="16"/>
      <w:lang w:eastAsia="en-AU"/>
    </w:rPr>
  </w:style>
  <w:style w:type="character" w:styleId="CommentReference">
    <w:name w:val="annotation reference"/>
    <w:basedOn w:val="DefaultParagraphFont"/>
    <w:unhideWhenUsed/>
    <w:rsid w:val="00BA4754"/>
    <w:rPr>
      <w:sz w:val="16"/>
      <w:szCs w:val="16"/>
    </w:rPr>
  </w:style>
  <w:style w:type="paragraph" w:styleId="CommentText">
    <w:name w:val="annotation text"/>
    <w:basedOn w:val="Normal"/>
    <w:link w:val="CommentTextChar"/>
    <w:unhideWhenUsed/>
    <w:rsid w:val="00BA4754"/>
    <w:rPr>
      <w:sz w:val="20"/>
    </w:rPr>
  </w:style>
  <w:style w:type="character" w:customStyle="1" w:styleId="CommentTextChar">
    <w:name w:val="Comment Text Char"/>
    <w:basedOn w:val="DefaultParagraphFont"/>
    <w:link w:val="CommentText"/>
    <w:uiPriority w:val="99"/>
    <w:rsid w:val="00BA475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4754"/>
    <w:rPr>
      <w:b/>
      <w:bCs/>
    </w:rPr>
  </w:style>
  <w:style w:type="character" w:customStyle="1" w:styleId="CommentSubjectChar">
    <w:name w:val="Comment Subject Char"/>
    <w:basedOn w:val="CommentTextChar"/>
    <w:link w:val="CommentSubject"/>
    <w:uiPriority w:val="99"/>
    <w:semiHidden/>
    <w:rsid w:val="00BA4754"/>
    <w:rPr>
      <w:rFonts w:ascii="Times New Roman" w:eastAsia="Times New Roman" w:hAnsi="Times New Roman" w:cs="Times New Roman"/>
      <w:b/>
      <w:bCs/>
      <w:sz w:val="20"/>
      <w:szCs w:val="20"/>
      <w:lang w:eastAsia="en-AU"/>
    </w:rPr>
  </w:style>
  <w:style w:type="character" w:customStyle="1" w:styleId="BulletChar">
    <w:name w:val="Bullet Char"/>
    <w:basedOn w:val="DefaultParagraphFont"/>
    <w:link w:val="Bullet"/>
    <w:locked/>
    <w:rsid w:val="00BA4754"/>
    <w:rPr>
      <w:sz w:val="24"/>
    </w:rPr>
  </w:style>
  <w:style w:type="paragraph" w:customStyle="1" w:styleId="Bullet">
    <w:name w:val="Bullet"/>
    <w:basedOn w:val="Normal"/>
    <w:link w:val="BulletChar"/>
    <w:rsid w:val="00BA4754"/>
    <w:pPr>
      <w:numPr>
        <w:numId w:val="6"/>
      </w:numPr>
    </w:pPr>
    <w:rPr>
      <w:rFonts w:asciiTheme="minorHAnsi" w:eastAsiaTheme="minorHAnsi" w:hAnsiTheme="minorHAnsi" w:cstheme="minorBidi"/>
      <w:szCs w:val="22"/>
      <w:lang w:eastAsia="en-US"/>
    </w:rPr>
  </w:style>
  <w:style w:type="paragraph" w:customStyle="1" w:styleId="Dash">
    <w:name w:val="Dash"/>
    <w:basedOn w:val="Normal"/>
    <w:rsid w:val="00BA4754"/>
    <w:pPr>
      <w:numPr>
        <w:ilvl w:val="1"/>
        <w:numId w:val="6"/>
      </w:numPr>
    </w:pPr>
  </w:style>
  <w:style w:type="paragraph" w:customStyle="1" w:styleId="DoubleDot">
    <w:name w:val="Double Dot"/>
    <w:basedOn w:val="Normal"/>
    <w:rsid w:val="00BA4754"/>
    <w:pPr>
      <w:numPr>
        <w:ilvl w:val="2"/>
        <w:numId w:val="6"/>
      </w:numPr>
    </w:pPr>
  </w:style>
  <w:style w:type="paragraph" w:customStyle="1" w:styleId="ChapterHeading">
    <w:name w:val="Chapter Heading"/>
    <w:next w:val="Heading2"/>
    <w:rsid w:val="00BA4754"/>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BA4754"/>
  </w:style>
  <w:style w:type="paragraph" w:customStyle="1" w:styleId="ExampleHeading">
    <w:name w:val="Example Heading"/>
    <w:basedOn w:val="Normal"/>
    <w:next w:val="Normal"/>
    <w:rsid w:val="00BA4754"/>
    <w:pPr>
      <w:keepNext/>
      <w:spacing w:before="120" w:after="120"/>
      <w:ind w:left="1134"/>
    </w:pPr>
    <w:rPr>
      <w:b/>
      <w:sz w:val="22"/>
    </w:rPr>
  </w:style>
  <w:style w:type="paragraph" w:customStyle="1" w:styleId="Diagram">
    <w:name w:val="Diagram"/>
    <w:basedOn w:val="Normal"/>
    <w:next w:val="Normal"/>
    <w:rsid w:val="00BA4754"/>
    <w:pPr>
      <w:keepNext/>
      <w:ind w:left="1134"/>
    </w:pPr>
    <w:rPr>
      <w:b/>
      <w:sz w:val="22"/>
    </w:rPr>
  </w:style>
  <w:style w:type="table" w:styleId="TableGrid">
    <w:name w:val="Table Grid"/>
    <w:basedOn w:val="TableNormal"/>
    <w:uiPriority w:val="59"/>
    <w:rsid w:val="00BA475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List">
    <w:name w:val="ChapterList"/>
    <w:uiPriority w:val="99"/>
    <w:rsid w:val="00BA4754"/>
    <w:pPr>
      <w:numPr>
        <w:numId w:val="4"/>
      </w:numPr>
    </w:pPr>
  </w:style>
  <w:style w:type="character" w:styleId="Hyperlink">
    <w:name w:val="Hyperlink"/>
    <w:basedOn w:val="DefaultParagraphFont"/>
    <w:uiPriority w:val="99"/>
    <w:unhideWhenUsed/>
    <w:rsid w:val="00BA4754"/>
    <w:rPr>
      <w:color w:val="0000FF" w:themeColor="hyperlink"/>
      <w:u w:val="single"/>
    </w:rPr>
  </w:style>
  <w:style w:type="paragraph" w:customStyle="1" w:styleId="tabletext">
    <w:name w:val="table text"/>
    <w:basedOn w:val="Normal"/>
    <w:rsid w:val="00BA4754"/>
    <w:pPr>
      <w:spacing w:before="40" w:after="40"/>
    </w:pPr>
    <w:rPr>
      <w:sz w:val="20"/>
    </w:rPr>
  </w:style>
  <w:style w:type="paragraph" w:customStyle="1" w:styleId="tableheaderwithintable">
    <w:name w:val="table header (within table)"/>
    <w:basedOn w:val="Heading4"/>
    <w:rsid w:val="00BA4754"/>
    <w:pPr>
      <w:spacing w:before="60" w:after="60"/>
      <w:jc w:val="center"/>
    </w:pPr>
    <w:rPr>
      <w:b/>
    </w:rPr>
  </w:style>
  <w:style w:type="paragraph" w:customStyle="1" w:styleId="rightheader">
    <w:name w:val="right header"/>
    <w:basedOn w:val="Normal"/>
    <w:rsid w:val="00BA4754"/>
    <w:pPr>
      <w:pBdr>
        <w:bottom w:val="single" w:sz="4" w:space="1" w:color="auto"/>
      </w:pBdr>
      <w:spacing w:before="120" w:after="120"/>
      <w:jc w:val="right"/>
    </w:pPr>
    <w:rPr>
      <w:i/>
      <w:sz w:val="20"/>
    </w:rPr>
  </w:style>
  <w:style w:type="paragraph" w:customStyle="1" w:styleId="Tablea">
    <w:name w:val="Table(a)"/>
    <w:aliases w:val="ta"/>
    <w:basedOn w:val="Normal"/>
    <w:rsid w:val="002001AB"/>
    <w:pPr>
      <w:spacing w:before="60"/>
      <w:ind w:left="284" w:hanging="284"/>
    </w:pPr>
    <w:rPr>
      <w:sz w:val="20"/>
    </w:rPr>
  </w:style>
  <w:style w:type="paragraph" w:customStyle="1" w:styleId="Tabletext0">
    <w:name w:val="Tabletext"/>
    <w:aliases w:val="tt"/>
    <w:basedOn w:val="Normal"/>
    <w:rsid w:val="002001AB"/>
    <w:pPr>
      <w:spacing w:before="60" w:line="240" w:lineRule="atLeast"/>
    </w:pPr>
    <w:rPr>
      <w:sz w:val="20"/>
    </w:rPr>
  </w:style>
  <w:style w:type="paragraph" w:styleId="Header">
    <w:name w:val="header"/>
    <w:basedOn w:val="Normal"/>
    <w:link w:val="HeaderChar"/>
    <w:uiPriority w:val="99"/>
    <w:unhideWhenUsed/>
    <w:rsid w:val="009179FB"/>
    <w:pPr>
      <w:tabs>
        <w:tab w:val="center" w:pos="4513"/>
        <w:tab w:val="right" w:pos="9026"/>
      </w:tabs>
    </w:pPr>
  </w:style>
  <w:style w:type="character" w:customStyle="1" w:styleId="HeaderChar">
    <w:name w:val="Header Char"/>
    <w:basedOn w:val="DefaultParagraphFont"/>
    <w:link w:val="Header"/>
    <w:uiPriority w:val="99"/>
    <w:rsid w:val="009179FB"/>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9FB"/>
    <w:pPr>
      <w:tabs>
        <w:tab w:val="center" w:pos="4513"/>
        <w:tab w:val="right" w:pos="9026"/>
      </w:tabs>
    </w:pPr>
  </w:style>
  <w:style w:type="character" w:customStyle="1" w:styleId="FooterChar">
    <w:name w:val="Footer Char"/>
    <w:basedOn w:val="DefaultParagraphFont"/>
    <w:link w:val="Footer"/>
    <w:uiPriority w:val="99"/>
    <w:rsid w:val="009179FB"/>
    <w:rPr>
      <w:rFonts w:ascii="Times New Roman" w:eastAsia="Times New Roman" w:hAnsi="Times New Roman" w:cs="Times New Roman"/>
      <w:sz w:val="24"/>
      <w:szCs w:val="20"/>
      <w:lang w:eastAsia="en-AU"/>
    </w:rPr>
  </w:style>
  <w:style w:type="paragraph" w:styleId="Revision">
    <w:name w:val="Revision"/>
    <w:hidden/>
    <w:uiPriority w:val="99"/>
    <w:semiHidden/>
    <w:rsid w:val="00B23089"/>
    <w:pPr>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link w:val="ListParagraphChar"/>
    <w:uiPriority w:val="34"/>
    <w:qFormat/>
    <w:rsid w:val="001E64EF"/>
    <w:pPr>
      <w:spacing w:after="200"/>
      <w:ind w:left="720"/>
      <w:contextualSpacing/>
    </w:pPr>
  </w:style>
  <w:style w:type="paragraph" w:customStyle="1" w:styleId="CTA----">
    <w:name w:val="CTA ----"/>
    <w:basedOn w:val="Normal"/>
    <w:next w:val="Normal"/>
    <w:rsid w:val="00730CEF"/>
    <w:pPr>
      <w:spacing w:before="60" w:line="240" w:lineRule="atLeast"/>
      <w:ind w:left="255" w:hanging="255"/>
    </w:pPr>
    <w:rPr>
      <w:sz w:val="20"/>
    </w:rPr>
  </w:style>
  <w:style w:type="paragraph" w:customStyle="1" w:styleId="subsection">
    <w:name w:val="subsection"/>
    <w:aliases w:val="ss"/>
    <w:basedOn w:val="Normal"/>
    <w:link w:val="subsectionChar"/>
    <w:rsid w:val="00730CEF"/>
    <w:pPr>
      <w:tabs>
        <w:tab w:val="right" w:pos="1021"/>
      </w:tabs>
      <w:spacing w:before="180"/>
      <w:ind w:left="1134" w:hanging="1134"/>
    </w:pPr>
    <w:rPr>
      <w:sz w:val="22"/>
    </w:rPr>
  </w:style>
  <w:style w:type="paragraph" w:customStyle="1" w:styleId="Definition">
    <w:name w:val="Definition"/>
    <w:aliases w:val="dd"/>
    <w:basedOn w:val="Normal"/>
    <w:rsid w:val="00730CEF"/>
    <w:pPr>
      <w:spacing w:before="180"/>
      <w:ind w:left="1134"/>
    </w:pPr>
    <w:rPr>
      <w:sz w:val="22"/>
    </w:rPr>
  </w:style>
  <w:style w:type="paragraph" w:customStyle="1" w:styleId="paragraph">
    <w:name w:val="paragraph"/>
    <w:aliases w:val="a"/>
    <w:basedOn w:val="Normal"/>
    <w:rsid w:val="00730CEF"/>
    <w:pPr>
      <w:tabs>
        <w:tab w:val="right" w:pos="1531"/>
      </w:tabs>
      <w:spacing w:before="40"/>
      <w:ind w:left="1644" w:hanging="1644"/>
    </w:pPr>
    <w:rPr>
      <w:sz w:val="22"/>
    </w:rPr>
  </w:style>
  <w:style w:type="paragraph" w:customStyle="1" w:styleId="subsection2">
    <w:name w:val="subsection2"/>
    <w:aliases w:val="ss2"/>
    <w:basedOn w:val="Normal"/>
    <w:next w:val="subsection"/>
    <w:rsid w:val="00730CEF"/>
    <w:pPr>
      <w:spacing w:before="40"/>
      <w:ind w:left="1134"/>
    </w:pPr>
    <w:rPr>
      <w:sz w:val="22"/>
    </w:rPr>
  </w:style>
  <w:style w:type="character" w:customStyle="1" w:styleId="subsectionChar">
    <w:name w:val="subsection Char"/>
    <w:aliases w:val="ss Char"/>
    <w:link w:val="subsection"/>
    <w:locked/>
    <w:rsid w:val="00730CEF"/>
    <w:rPr>
      <w:rFonts w:ascii="Times New Roman" w:eastAsia="Times New Roman" w:hAnsi="Times New Roman" w:cs="Times New Roman"/>
      <w:szCs w:val="20"/>
      <w:lang w:eastAsia="en-AU"/>
    </w:rPr>
  </w:style>
  <w:style w:type="paragraph" w:styleId="TOC2">
    <w:name w:val="toc 2"/>
    <w:basedOn w:val="Normal"/>
    <w:autoRedefine/>
    <w:uiPriority w:val="39"/>
    <w:semiHidden/>
    <w:unhideWhenUsed/>
    <w:rsid w:val="00935F21"/>
    <w:pPr>
      <w:spacing w:before="100" w:beforeAutospacing="1" w:after="100" w:afterAutospacing="1"/>
    </w:pPr>
    <w:rPr>
      <w:szCs w:val="24"/>
    </w:rPr>
  </w:style>
  <w:style w:type="paragraph" w:styleId="TOC5">
    <w:name w:val="toc 5"/>
    <w:basedOn w:val="Normal"/>
    <w:autoRedefine/>
    <w:uiPriority w:val="39"/>
    <w:semiHidden/>
    <w:unhideWhenUsed/>
    <w:rsid w:val="00935F21"/>
    <w:pPr>
      <w:spacing w:before="100" w:beforeAutospacing="1" w:after="100" w:afterAutospacing="1"/>
    </w:pPr>
    <w:rPr>
      <w:szCs w:val="24"/>
    </w:rPr>
  </w:style>
  <w:style w:type="paragraph" w:styleId="TOC3">
    <w:name w:val="toc 3"/>
    <w:basedOn w:val="Normal"/>
    <w:autoRedefine/>
    <w:uiPriority w:val="39"/>
    <w:semiHidden/>
    <w:unhideWhenUsed/>
    <w:rsid w:val="00935F21"/>
    <w:pPr>
      <w:spacing w:before="100" w:beforeAutospacing="1" w:after="100" w:afterAutospacing="1"/>
    </w:pPr>
    <w:rPr>
      <w:szCs w:val="24"/>
    </w:rPr>
  </w:style>
  <w:style w:type="paragraph" w:customStyle="1" w:styleId="step">
    <w:name w:val="step"/>
    <w:basedOn w:val="Normal"/>
    <w:rsid w:val="00EF2E14"/>
    <w:pPr>
      <w:spacing w:before="100" w:beforeAutospacing="1" w:after="100" w:afterAutospacing="1"/>
    </w:pPr>
    <w:rPr>
      <w:szCs w:val="24"/>
    </w:rPr>
  </w:style>
  <w:style w:type="character" w:customStyle="1" w:styleId="Heading9Char">
    <w:name w:val="Heading 9 Char"/>
    <w:basedOn w:val="DefaultParagraphFont"/>
    <w:link w:val="Heading9"/>
    <w:uiPriority w:val="9"/>
    <w:rsid w:val="00264CB2"/>
    <w:rPr>
      <w:rFonts w:asciiTheme="majorHAnsi" w:eastAsiaTheme="majorEastAsia" w:hAnsiTheme="majorHAnsi" w:cstheme="majorBidi"/>
      <w:i/>
      <w:iCs/>
      <w:color w:val="404040" w:themeColor="text1" w:themeTint="BF"/>
      <w:sz w:val="20"/>
      <w:szCs w:val="20"/>
      <w:lang w:eastAsia="en-AU"/>
    </w:rPr>
  </w:style>
  <w:style w:type="paragraph" w:customStyle="1" w:styleId="empara">
    <w:name w:val="empara"/>
    <w:basedOn w:val="Normal"/>
    <w:rsid w:val="00342909"/>
    <w:pPr>
      <w:spacing w:before="100" w:beforeAutospacing="1" w:after="100" w:afterAutospacing="1"/>
    </w:pPr>
    <w:rPr>
      <w:szCs w:val="24"/>
    </w:rPr>
  </w:style>
  <w:style w:type="paragraph" w:customStyle="1" w:styleId="OutlineNumbered1">
    <w:name w:val="Outline Numbered 1"/>
    <w:basedOn w:val="Normal"/>
    <w:link w:val="OutlineNumbered1Char"/>
    <w:rsid w:val="00141D89"/>
    <w:pPr>
      <w:numPr>
        <w:numId w:val="25"/>
      </w:numPr>
      <w:spacing w:before="100" w:beforeAutospacing="1" w:after="100" w:afterAutospacing="1"/>
    </w:pPr>
  </w:style>
  <w:style w:type="character" w:customStyle="1" w:styleId="ListParagraphChar">
    <w:name w:val="List Paragraph Char"/>
    <w:basedOn w:val="DefaultParagraphFont"/>
    <w:link w:val="ListParagraph"/>
    <w:uiPriority w:val="34"/>
    <w:rsid w:val="00141D89"/>
    <w:rPr>
      <w:rFonts w:ascii="Times New Roman" w:eastAsia="Times New Roman" w:hAnsi="Times New Roman" w:cs="Times New Roman"/>
      <w:sz w:val="24"/>
      <w:szCs w:val="20"/>
      <w:lang w:eastAsia="en-AU"/>
    </w:rPr>
  </w:style>
  <w:style w:type="character" w:customStyle="1" w:styleId="OutlineNumbered1Char">
    <w:name w:val="Outline Numbered 1 Char"/>
    <w:basedOn w:val="ListParagraphChar"/>
    <w:link w:val="OutlineNumbered1"/>
    <w:rsid w:val="00141D89"/>
    <w:rPr>
      <w:rFonts w:ascii="Times New Roman" w:eastAsia="Times New Roman" w:hAnsi="Times New Roman" w:cs="Times New Roman"/>
      <w:sz w:val="24"/>
      <w:szCs w:val="20"/>
      <w:lang w:eastAsia="en-AU"/>
    </w:rPr>
  </w:style>
  <w:style w:type="paragraph" w:customStyle="1" w:styleId="OutlineNumbered2">
    <w:name w:val="Outline Numbered 2"/>
    <w:basedOn w:val="Normal"/>
    <w:link w:val="OutlineNumbered2Char"/>
    <w:rsid w:val="00141D89"/>
    <w:pPr>
      <w:numPr>
        <w:ilvl w:val="1"/>
        <w:numId w:val="25"/>
      </w:numPr>
      <w:spacing w:before="100" w:beforeAutospacing="1" w:after="100" w:afterAutospacing="1"/>
    </w:pPr>
  </w:style>
  <w:style w:type="character" w:customStyle="1" w:styleId="OutlineNumbered2Char">
    <w:name w:val="Outline Numbered 2 Char"/>
    <w:basedOn w:val="ListParagraphChar"/>
    <w:link w:val="OutlineNumbered2"/>
    <w:rsid w:val="00141D89"/>
    <w:rPr>
      <w:rFonts w:ascii="Times New Roman" w:eastAsia="Times New Roman" w:hAnsi="Times New Roman" w:cs="Times New Roman"/>
      <w:sz w:val="24"/>
      <w:szCs w:val="20"/>
      <w:lang w:eastAsia="en-AU"/>
    </w:rPr>
  </w:style>
  <w:style w:type="paragraph" w:customStyle="1" w:styleId="OutlineNumbered3">
    <w:name w:val="Outline Numbered 3"/>
    <w:basedOn w:val="Normal"/>
    <w:link w:val="OutlineNumbered3Char"/>
    <w:rsid w:val="00141D89"/>
    <w:pPr>
      <w:numPr>
        <w:ilvl w:val="2"/>
        <w:numId w:val="25"/>
      </w:numPr>
      <w:spacing w:before="100" w:beforeAutospacing="1" w:after="100" w:afterAutospacing="1"/>
    </w:pPr>
  </w:style>
  <w:style w:type="character" w:customStyle="1" w:styleId="OutlineNumbered3Char">
    <w:name w:val="Outline Numbered 3 Char"/>
    <w:basedOn w:val="ListParagraphChar"/>
    <w:link w:val="OutlineNumbered3"/>
    <w:rsid w:val="00141D89"/>
    <w:rPr>
      <w:rFonts w:ascii="Times New Roman" w:eastAsia="Times New Roman" w:hAnsi="Times New Roman" w:cs="Times New Roman"/>
      <w:sz w:val="24"/>
      <w:szCs w:val="20"/>
      <w:lang w:eastAsia="en-AU"/>
    </w:rPr>
  </w:style>
  <w:style w:type="character" w:styleId="FootnoteReference">
    <w:name w:val="footnote reference"/>
    <w:basedOn w:val="DefaultParagraphFont"/>
    <w:rsid w:val="009F77EE"/>
    <w:rPr>
      <w:vertAlign w:val="superscript"/>
    </w:rPr>
  </w:style>
  <w:style w:type="paragraph" w:styleId="FootnoteText">
    <w:name w:val="footnote text"/>
    <w:basedOn w:val="Normal"/>
    <w:link w:val="FootnoteTextChar"/>
    <w:rsid w:val="009F77EE"/>
    <w:pPr>
      <w:spacing w:before="40" w:after="40"/>
      <w:ind w:left="284" w:hanging="284"/>
    </w:pPr>
    <w:rPr>
      <w:sz w:val="20"/>
    </w:rPr>
  </w:style>
  <w:style w:type="character" w:customStyle="1" w:styleId="FootnoteTextChar">
    <w:name w:val="Footnote Text Char"/>
    <w:basedOn w:val="DefaultParagraphFont"/>
    <w:link w:val="FootnoteText"/>
    <w:rsid w:val="009F77EE"/>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6807">
      <w:bodyDiv w:val="1"/>
      <w:marLeft w:val="0"/>
      <w:marRight w:val="0"/>
      <w:marTop w:val="0"/>
      <w:marBottom w:val="0"/>
      <w:divBdr>
        <w:top w:val="none" w:sz="0" w:space="0" w:color="auto"/>
        <w:left w:val="none" w:sz="0" w:space="0" w:color="auto"/>
        <w:bottom w:val="none" w:sz="0" w:space="0" w:color="auto"/>
        <w:right w:val="none" w:sz="0" w:space="0" w:color="auto"/>
      </w:divBdr>
      <w:divsChild>
        <w:div w:id="514226251">
          <w:marLeft w:val="0"/>
          <w:marRight w:val="0"/>
          <w:marTop w:val="0"/>
          <w:marBottom w:val="0"/>
          <w:divBdr>
            <w:top w:val="none" w:sz="0" w:space="0" w:color="auto"/>
            <w:left w:val="none" w:sz="0" w:space="0" w:color="auto"/>
            <w:bottom w:val="none" w:sz="0" w:space="0" w:color="auto"/>
            <w:right w:val="none" w:sz="0" w:space="0" w:color="auto"/>
          </w:divBdr>
          <w:divsChild>
            <w:div w:id="2029409313">
              <w:marLeft w:val="0"/>
              <w:marRight w:val="0"/>
              <w:marTop w:val="0"/>
              <w:marBottom w:val="0"/>
              <w:divBdr>
                <w:top w:val="none" w:sz="0" w:space="0" w:color="auto"/>
                <w:left w:val="none" w:sz="0" w:space="0" w:color="auto"/>
                <w:bottom w:val="none" w:sz="0" w:space="0" w:color="auto"/>
                <w:right w:val="none" w:sz="0" w:space="0" w:color="auto"/>
              </w:divBdr>
              <w:divsChild>
                <w:div w:id="1002707382">
                  <w:marLeft w:val="0"/>
                  <w:marRight w:val="0"/>
                  <w:marTop w:val="0"/>
                  <w:marBottom w:val="0"/>
                  <w:divBdr>
                    <w:top w:val="none" w:sz="0" w:space="0" w:color="auto"/>
                    <w:left w:val="none" w:sz="0" w:space="0" w:color="auto"/>
                    <w:bottom w:val="none" w:sz="0" w:space="0" w:color="auto"/>
                    <w:right w:val="none" w:sz="0" w:space="0" w:color="auto"/>
                  </w:divBdr>
                  <w:divsChild>
                    <w:div w:id="1044479380">
                      <w:marLeft w:val="0"/>
                      <w:marRight w:val="0"/>
                      <w:marTop w:val="0"/>
                      <w:marBottom w:val="0"/>
                      <w:divBdr>
                        <w:top w:val="none" w:sz="0" w:space="0" w:color="auto"/>
                        <w:left w:val="none" w:sz="0" w:space="0" w:color="auto"/>
                        <w:bottom w:val="none" w:sz="0" w:space="0" w:color="auto"/>
                        <w:right w:val="none" w:sz="0" w:space="0" w:color="auto"/>
                      </w:divBdr>
                      <w:divsChild>
                        <w:div w:id="755321633">
                          <w:marLeft w:val="0"/>
                          <w:marRight w:val="0"/>
                          <w:marTop w:val="0"/>
                          <w:marBottom w:val="0"/>
                          <w:divBdr>
                            <w:top w:val="none" w:sz="0" w:space="0" w:color="auto"/>
                            <w:left w:val="none" w:sz="0" w:space="0" w:color="auto"/>
                            <w:bottom w:val="none" w:sz="0" w:space="0" w:color="auto"/>
                            <w:right w:val="none" w:sz="0" w:space="0" w:color="auto"/>
                          </w:divBdr>
                          <w:divsChild>
                            <w:div w:id="523909398">
                              <w:marLeft w:val="0"/>
                              <w:marRight w:val="0"/>
                              <w:marTop w:val="0"/>
                              <w:marBottom w:val="0"/>
                              <w:divBdr>
                                <w:top w:val="single" w:sz="6" w:space="0" w:color="828282"/>
                                <w:left w:val="single" w:sz="6" w:space="0" w:color="828282"/>
                                <w:bottom w:val="single" w:sz="6" w:space="0" w:color="828282"/>
                                <w:right w:val="single" w:sz="6" w:space="0" w:color="828282"/>
                              </w:divBdr>
                              <w:divsChild>
                                <w:div w:id="2088847149">
                                  <w:marLeft w:val="0"/>
                                  <w:marRight w:val="0"/>
                                  <w:marTop w:val="0"/>
                                  <w:marBottom w:val="0"/>
                                  <w:divBdr>
                                    <w:top w:val="none" w:sz="0" w:space="0" w:color="auto"/>
                                    <w:left w:val="none" w:sz="0" w:space="0" w:color="auto"/>
                                    <w:bottom w:val="none" w:sz="0" w:space="0" w:color="auto"/>
                                    <w:right w:val="none" w:sz="0" w:space="0" w:color="auto"/>
                                  </w:divBdr>
                                  <w:divsChild>
                                    <w:div w:id="64839810">
                                      <w:marLeft w:val="0"/>
                                      <w:marRight w:val="0"/>
                                      <w:marTop w:val="0"/>
                                      <w:marBottom w:val="0"/>
                                      <w:divBdr>
                                        <w:top w:val="none" w:sz="0" w:space="0" w:color="auto"/>
                                        <w:left w:val="none" w:sz="0" w:space="0" w:color="auto"/>
                                        <w:bottom w:val="none" w:sz="0" w:space="0" w:color="auto"/>
                                        <w:right w:val="none" w:sz="0" w:space="0" w:color="auto"/>
                                      </w:divBdr>
                                      <w:divsChild>
                                        <w:div w:id="621502997">
                                          <w:marLeft w:val="0"/>
                                          <w:marRight w:val="0"/>
                                          <w:marTop w:val="0"/>
                                          <w:marBottom w:val="0"/>
                                          <w:divBdr>
                                            <w:top w:val="none" w:sz="0" w:space="0" w:color="auto"/>
                                            <w:left w:val="none" w:sz="0" w:space="0" w:color="auto"/>
                                            <w:bottom w:val="none" w:sz="0" w:space="0" w:color="auto"/>
                                            <w:right w:val="none" w:sz="0" w:space="0" w:color="auto"/>
                                          </w:divBdr>
                                          <w:divsChild>
                                            <w:div w:id="2097549447">
                                              <w:marLeft w:val="0"/>
                                              <w:marRight w:val="0"/>
                                              <w:marTop w:val="0"/>
                                              <w:marBottom w:val="0"/>
                                              <w:divBdr>
                                                <w:top w:val="none" w:sz="0" w:space="0" w:color="auto"/>
                                                <w:left w:val="none" w:sz="0" w:space="0" w:color="auto"/>
                                                <w:bottom w:val="none" w:sz="0" w:space="0" w:color="auto"/>
                                                <w:right w:val="none" w:sz="0" w:space="0" w:color="auto"/>
                                              </w:divBdr>
                                              <w:divsChild>
                                                <w:div w:id="360781739">
                                                  <w:marLeft w:val="0"/>
                                                  <w:marRight w:val="0"/>
                                                  <w:marTop w:val="0"/>
                                                  <w:marBottom w:val="0"/>
                                                  <w:divBdr>
                                                    <w:top w:val="none" w:sz="0" w:space="0" w:color="auto"/>
                                                    <w:left w:val="none" w:sz="0" w:space="0" w:color="auto"/>
                                                    <w:bottom w:val="none" w:sz="0" w:space="0" w:color="auto"/>
                                                    <w:right w:val="none" w:sz="0" w:space="0" w:color="auto"/>
                                                  </w:divBdr>
                                                  <w:divsChild>
                                                    <w:div w:id="653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203588">
      <w:bodyDiv w:val="1"/>
      <w:marLeft w:val="0"/>
      <w:marRight w:val="0"/>
      <w:marTop w:val="0"/>
      <w:marBottom w:val="0"/>
      <w:divBdr>
        <w:top w:val="none" w:sz="0" w:space="0" w:color="auto"/>
        <w:left w:val="none" w:sz="0" w:space="0" w:color="auto"/>
        <w:bottom w:val="none" w:sz="0" w:space="0" w:color="auto"/>
        <w:right w:val="none" w:sz="0" w:space="0" w:color="auto"/>
      </w:divBdr>
      <w:divsChild>
        <w:div w:id="668411583">
          <w:marLeft w:val="0"/>
          <w:marRight w:val="0"/>
          <w:marTop w:val="0"/>
          <w:marBottom w:val="0"/>
          <w:divBdr>
            <w:top w:val="none" w:sz="0" w:space="0" w:color="auto"/>
            <w:left w:val="none" w:sz="0" w:space="0" w:color="auto"/>
            <w:bottom w:val="none" w:sz="0" w:space="0" w:color="auto"/>
            <w:right w:val="none" w:sz="0" w:space="0" w:color="auto"/>
          </w:divBdr>
          <w:divsChild>
            <w:div w:id="1051536301">
              <w:marLeft w:val="0"/>
              <w:marRight w:val="0"/>
              <w:marTop w:val="0"/>
              <w:marBottom w:val="0"/>
              <w:divBdr>
                <w:top w:val="none" w:sz="0" w:space="0" w:color="auto"/>
                <w:left w:val="none" w:sz="0" w:space="0" w:color="auto"/>
                <w:bottom w:val="none" w:sz="0" w:space="0" w:color="auto"/>
                <w:right w:val="none" w:sz="0" w:space="0" w:color="auto"/>
              </w:divBdr>
              <w:divsChild>
                <w:div w:id="374700195">
                  <w:marLeft w:val="0"/>
                  <w:marRight w:val="0"/>
                  <w:marTop w:val="0"/>
                  <w:marBottom w:val="0"/>
                  <w:divBdr>
                    <w:top w:val="none" w:sz="0" w:space="0" w:color="auto"/>
                    <w:left w:val="none" w:sz="0" w:space="0" w:color="auto"/>
                    <w:bottom w:val="none" w:sz="0" w:space="0" w:color="auto"/>
                    <w:right w:val="none" w:sz="0" w:space="0" w:color="auto"/>
                  </w:divBdr>
                  <w:divsChild>
                    <w:div w:id="919292300">
                      <w:marLeft w:val="0"/>
                      <w:marRight w:val="0"/>
                      <w:marTop w:val="0"/>
                      <w:marBottom w:val="0"/>
                      <w:divBdr>
                        <w:top w:val="none" w:sz="0" w:space="0" w:color="auto"/>
                        <w:left w:val="none" w:sz="0" w:space="0" w:color="auto"/>
                        <w:bottom w:val="none" w:sz="0" w:space="0" w:color="auto"/>
                        <w:right w:val="none" w:sz="0" w:space="0" w:color="auto"/>
                      </w:divBdr>
                      <w:divsChild>
                        <w:div w:id="145099137">
                          <w:marLeft w:val="0"/>
                          <w:marRight w:val="0"/>
                          <w:marTop w:val="0"/>
                          <w:marBottom w:val="0"/>
                          <w:divBdr>
                            <w:top w:val="none" w:sz="0" w:space="0" w:color="auto"/>
                            <w:left w:val="none" w:sz="0" w:space="0" w:color="auto"/>
                            <w:bottom w:val="none" w:sz="0" w:space="0" w:color="auto"/>
                            <w:right w:val="none" w:sz="0" w:space="0" w:color="auto"/>
                          </w:divBdr>
                          <w:divsChild>
                            <w:div w:id="290211328">
                              <w:marLeft w:val="0"/>
                              <w:marRight w:val="0"/>
                              <w:marTop w:val="0"/>
                              <w:marBottom w:val="0"/>
                              <w:divBdr>
                                <w:top w:val="single" w:sz="6" w:space="0" w:color="828282"/>
                                <w:left w:val="single" w:sz="6" w:space="0" w:color="828282"/>
                                <w:bottom w:val="single" w:sz="6" w:space="0" w:color="828282"/>
                                <w:right w:val="single" w:sz="6" w:space="0" w:color="828282"/>
                              </w:divBdr>
                              <w:divsChild>
                                <w:div w:id="390233531">
                                  <w:marLeft w:val="0"/>
                                  <w:marRight w:val="0"/>
                                  <w:marTop w:val="0"/>
                                  <w:marBottom w:val="0"/>
                                  <w:divBdr>
                                    <w:top w:val="none" w:sz="0" w:space="0" w:color="auto"/>
                                    <w:left w:val="none" w:sz="0" w:space="0" w:color="auto"/>
                                    <w:bottom w:val="none" w:sz="0" w:space="0" w:color="auto"/>
                                    <w:right w:val="none" w:sz="0" w:space="0" w:color="auto"/>
                                  </w:divBdr>
                                  <w:divsChild>
                                    <w:div w:id="899558587">
                                      <w:marLeft w:val="0"/>
                                      <w:marRight w:val="0"/>
                                      <w:marTop w:val="0"/>
                                      <w:marBottom w:val="0"/>
                                      <w:divBdr>
                                        <w:top w:val="none" w:sz="0" w:space="0" w:color="auto"/>
                                        <w:left w:val="none" w:sz="0" w:space="0" w:color="auto"/>
                                        <w:bottom w:val="none" w:sz="0" w:space="0" w:color="auto"/>
                                        <w:right w:val="none" w:sz="0" w:space="0" w:color="auto"/>
                                      </w:divBdr>
                                      <w:divsChild>
                                        <w:div w:id="1239361183">
                                          <w:marLeft w:val="0"/>
                                          <w:marRight w:val="0"/>
                                          <w:marTop w:val="0"/>
                                          <w:marBottom w:val="0"/>
                                          <w:divBdr>
                                            <w:top w:val="none" w:sz="0" w:space="0" w:color="auto"/>
                                            <w:left w:val="none" w:sz="0" w:space="0" w:color="auto"/>
                                            <w:bottom w:val="none" w:sz="0" w:space="0" w:color="auto"/>
                                            <w:right w:val="none" w:sz="0" w:space="0" w:color="auto"/>
                                          </w:divBdr>
                                          <w:divsChild>
                                            <w:div w:id="569968872">
                                              <w:marLeft w:val="0"/>
                                              <w:marRight w:val="0"/>
                                              <w:marTop w:val="0"/>
                                              <w:marBottom w:val="0"/>
                                              <w:divBdr>
                                                <w:top w:val="none" w:sz="0" w:space="0" w:color="auto"/>
                                                <w:left w:val="none" w:sz="0" w:space="0" w:color="auto"/>
                                                <w:bottom w:val="none" w:sz="0" w:space="0" w:color="auto"/>
                                                <w:right w:val="none" w:sz="0" w:space="0" w:color="auto"/>
                                              </w:divBdr>
                                              <w:divsChild>
                                                <w:div w:id="2108184389">
                                                  <w:marLeft w:val="0"/>
                                                  <w:marRight w:val="0"/>
                                                  <w:marTop w:val="0"/>
                                                  <w:marBottom w:val="0"/>
                                                  <w:divBdr>
                                                    <w:top w:val="none" w:sz="0" w:space="0" w:color="auto"/>
                                                    <w:left w:val="none" w:sz="0" w:space="0" w:color="auto"/>
                                                    <w:bottom w:val="none" w:sz="0" w:space="0" w:color="auto"/>
                                                    <w:right w:val="none" w:sz="0" w:space="0" w:color="auto"/>
                                                  </w:divBdr>
                                                  <w:divsChild>
                                                    <w:div w:id="3764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980179">
      <w:bodyDiv w:val="1"/>
      <w:marLeft w:val="0"/>
      <w:marRight w:val="0"/>
      <w:marTop w:val="0"/>
      <w:marBottom w:val="0"/>
      <w:divBdr>
        <w:top w:val="none" w:sz="0" w:space="0" w:color="auto"/>
        <w:left w:val="none" w:sz="0" w:space="0" w:color="auto"/>
        <w:bottom w:val="none" w:sz="0" w:space="0" w:color="auto"/>
        <w:right w:val="none" w:sz="0" w:space="0" w:color="auto"/>
      </w:divBdr>
      <w:divsChild>
        <w:div w:id="1995600934">
          <w:marLeft w:val="0"/>
          <w:marRight w:val="0"/>
          <w:marTop w:val="0"/>
          <w:marBottom w:val="0"/>
          <w:divBdr>
            <w:top w:val="none" w:sz="0" w:space="0" w:color="auto"/>
            <w:left w:val="none" w:sz="0" w:space="0" w:color="auto"/>
            <w:bottom w:val="none" w:sz="0" w:space="0" w:color="auto"/>
            <w:right w:val="none" w:sz="0" w:space="0" w:color="auto"/>
          </w:divBdr>
          <w:divsChild>
            <w:div w:id="1762214830">
              <w:marLeft w:val="0"/>
              <w:marRight w:val="0"/>
              <w:marTop w:val="0"/>
              <w:marBottom w:val="0"/>
              <w:divBdr>
                <w:top w:val="none" w:sz="0" w:space="0" w:color="auto"/>
                <w:left w:val="none" w:sz="0" w:space="0" w:color="auto"/>
                <w:bottom w:val="none" w:sz="0" w:space="0" w:color="auto"/>
                <w:right w:val="none" w:sz="0" w:space="0" w:color="auto"/>
              </w:divBdr>
              <w:divsChild>
                <w:div w:id="2068914571">
                  <w:marLeft w:val="0"/>
                  <w:marRight w:val="0"/>
                  <w:marTop w:val="0"/>
                  <w:marBottom w:val="0"/>
                  <w:divBdr>
                    <w:top w:val="none" w:sz="0" w:space="0" w:color="auto"/>
                    <w:left w:val="none" w:sz="0" w:space="0" w:color="auto"/>
                    <w:bottom w:val="none" w:sz="0" w:space="0" w:color="auto"/>
                    <w:right w:val="none" w:sz="0" w:space="0" w:color="auto"/>
                  </w:divBdr>
                  <w:divsChild>
                    <w:div w:id="1738282022">
                      <w:marLeft w:val="0"/>
                      <w:marRight w:val="0"/>
                      <w:marTop w:val="0"/>
                      <w:marBottom w:val="0"/>
                      <w:divBdr>
                        <w:top w:val="none" w:sz="0" w:space="0" w:color="auto"/>
                        <w:left w:val="none" w:sz="0" w:space="0" w:color="auto"/>
                        <w:bottom w:val="none" w:sz="0" w:space="0" w:color="auto"/>
                        <w:right w:val="none" w:sz="0" w:space="0" w:color="auto"/>
                      </w:divBdr>
                      <w:divsChild>
                        <w:div w:id="2055614977">
                          <w:marLeft w:val="0"/>
                          <w:marRight w:val="0"/>
                          <w:marTop w:val="0"/>
                          <w:marBottom w:val="0"/>
                          <w:divBdr>
                            <w:top w:val="none" w:sz="0" w:space="0" w:color="auto"/>
                            <w:left w:val="none" w:sz="0" w:space="0" w:color="auto"/>
                            <w:bottom w:val="none" w:sz="0" w:space="0" w:color="auto"/>
                            <w:right w:val="none" w:sz="0" w:space="0" w:color="auto"/>
                          </w:divBdr>
                          <w:divsChild>
                            <w:div w:id="96753109">
                              <w:marLeft w:val="0"/>
                              <w:marRight w:val="0"/>
                              <w:marTop w:val="0"/>
                              <w:marBottom w:val="0"/>
                              <w:divBdr>
                                <w:top w:val="single" w:sz="6" w:space="0" w:color="828282"/>
                                <w:left w:val="single" w:sz="6" w:space="0" w:color="828282"/>
                                <w:bottom w:val="single" w:sz="6" w:space="0" w:color="828282"/>
                                <w:right w:val="single" w:sz="6" w:space="0" w:color="828282"/>
                              </w:divBdr>
                              <w:divsChild>
                                <w:div w:id="936060330">
                                  <w:marLeft w:val="0"/>
                                  <w:marRight w:val="0"/>
                                  <w:marTop w:val="0"/>
                                  <w:marBottom w:val="0"/>
                                  <w:divBdr>
                                    <w:top w:val="none" w:sz="0" w:space="0" w:color="auto"/>
                                    <w:left w:val="none" w:sz="0" w:space="0" w:color="auto"/>
                                    <w:bottom w:val="none" w:sz="0" w:space="0" w:color="auto"/>
                                    <w:right w:val="none" w:sz="0" w:space="0" w:color="auto"/>
                                  </w:divBdr>
                                  <w:divsChild>
                                    <w:div w:id="1314991365">
                                      <w:marLeft w:val="0"/>
                                      <w:marRight w:val="0"/>
                                      <w:marTop w:val="0"/>
                                      <w:marBottom w:val="0"/>
                                      <w:divBdr>
                                        <w:top w:val="none" w:sz="0" w:space="0" w:color="auto"/>
                                        <w:left w:val="none" w:sz="0" w:space="0" w:color="auto"/>
                                        <w:bottom w:val="none" w:sz="0" w:space="0" w:color="auto"/>
                                        <w:right w:val="none" w:sz="0" w:space="0" w:color="auto"/>
                                      </w:divBdr>
                                      <w:divsChild>
                                        <w:div w:id="2043824499">
                                          <w:marLeft w:val="0"/>
                                          <w:marRight w:val="0"/>
                                          <w:marTop w:val="0"/>
                                          <w:marBottom w:val="0"/>
                                          <w:divBdr>
                                            <w:top w:val="none" w:sz="0" w:space="0" w:color="auto"/>
                                            <w:left w:val="none" w:sz="0" w:space="0" w:color="auto"/>
                                            <w:bottom w:val="none" w:sz="0" w:space="0" w:color="auto"/>
                                            <w:right w:val="none" w:sz="0" w:space="0" w:color="auto"/>
                                          </w:divBdr>
                                          <w:divsChild>
                                            <w:div w:id="149370320">
                                              <w:marLeft w:val="0"/>
                                              <w:marRight w:val="0"/>
                                              <w:marTop w:val="0"/>
                                              <w:marBottom w:val="0"/>
                                              <w:divBdr>
                                                <w:top w:val="none" w:sz="0" w:space="0" w:color="auto"/>
                                                <w:left w:val="none" w:sz="0" w:space="0" w:color="auto"/>
                                                <w:bottom w:val="none" w:sz="0" w:space="0" w:color="auto"/>
                                                <w:right w:val="none" w:sz="0" w:space="0" w:color="auto"/>
                                              </w:divBdr>
                                              <w:divsChild>
                                                <w:div w:id="701438141">
                                                  <w:marLeft w:val="0"/>
                                                  <w:marRight w:val="0"/>
                                                  <w:marTop w:val="0"/>
                                                  <w:marBottom w:val="0"/>
                                                  <w:divBdr>
                                                    <w:top w:val="none" w:sz="0" w:space="0" w:color="auto"/>
                                                    <w:left w:val="none" w:sz="0" w:space="0" w:color="auto"/>
                                                    <w:bottom w:val="none" w:sz="0" w:space="0" w:color="auto"/>
                                                    <w:right w:val="none" w:sz="0" w:space="0" w:color="auto"/>
                                                  </w:divBdr>
                                                  <w:divsChild>
                                                    <w:div w:id="19090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419143">
      <w:bodyDiv w:val="1"/>
      <w:marLeft w:val="0"/>
      <w:marRight w:val="0"/>
      <w:marTop w:val="0"/>
      <w:marBottom w:val="0"/>
      <w:divBdr>
        <w:top w:val="none" w:sz="0" w:space="0" w:color="auto"/>
        <w:left w:val="none" w:sz="0" w:space="0" w:color="auto"/>
        <w:bottom w:val="none" w:sz="0" w:space="0" w:color="auto"/>
        <w:right w:val="none" w:sz="0" w:space="0" w:color="auto"/>
      </w:divBdr>
      <w:divsChild>
        <w:div w:id="615795635">
          <w:marLeft w:val="0"/>
          <w:marRight w:val="0"/>
          <w:marTop w:val="0"/>
          <w:marBottom w:val="0"/>
          <w:divBdr>
            <w:top w:val="none" w:sz="0" w:space="0" w:color="auto"/>
            <w:left w:val="none" w:sz="0" w:space="0" w:color="auto"/>
            <w:bottom w:val="none" w:sz="0" w:space="0" w:color="auto"/>
            <w:right w:val="none" w:sz="0" w:space="0" w:color="auto"/>
          </w:divBdr>
          <w:divsChild>
            <w:div w:id="888034791">
              <w:marLeft w:val="0"/>
              <w:marRight w:val="0"/>
              <w:marTop w:val="0"/>
              <w:marBottom w:val="0"/>
              <w:divBdr>
                <w:top w:val="none" w:sz="0" w:space="0" w:color="auto"/>
                <w:left w:val="none" w:sz="0" w:space="0" w:color="auto"/>
                <w:bottom w:val="none" w:sz="0" w:space="0" w:color="auto"/>
                <w:right w:val="none" w:sz="0" w:space="0" w:color="auto"/>
              </w:divBdr>
              <w:divsChild>
                <w:div w:id="234442102">
                  <w:marLeft w:val="0"/>
                  <w:marRight w:val="0"/>
                  <w:marTop w:val="0"/>
                  <w:marBottom w:val="0"/>
                  <w:divBdr>
                    <w:top w:val="none" w:sz="0" w:space="0" w:color="auto"/>
                    <w:left w:val="none" w:sz="0" w:space="0" w:color="auto"/>
                    <w:bottom w:val="none" w:sz="0" w:space="0" w:color="auto"/>
                    <w:right w:val="none" w:sz="0" w:space="0" w:color="auto"/>
                  </w:divBdr>
                  <w:divsChild>
                    <w:div w:id="1313683664">
                      <w:marLeft w:val="0"/>
                      <w:marRight w:val="0"/>
                      <w:marTop w:val="0"/>
                      <w:marBottom w:val="0"/>
                      <w:divBdr>
                        <w:top w:val="none" w:sz="0" w:space="0" w:color="auto"/>
                        <w:left w:val="none" w:sz="0" w:space="0" w:color="auto"/>
                        <w:bottom w:val="none" w:sz="0" w:space="0" w:color="auto"/>
                        <w:right w:val="none" w:sz="0" w:space="0" w:color="auto"/>
                      </w:divBdr>
                      <w:divsChild>
                        <w:div w:id="1185826259">
                          <w:marLeft w:val="0"/>
                          <w:marRight w:val="0"/>
                          <w:marTop w:val="0"/>
                          <w:marBottom w:val="0"/>
                          <w:divBdr>
                            <w:top w:val="none" w:sz="0" w:space="0" w:color="auto"/>
                            <w:left w:val="none" w:sz="0" w:space="0" w:color="auto"/>
                            <w:bottom w:val="none" w:sz="0" w:space="0" w:color="auto"/>
                            <w:right w:val="none" w:sz="0" w:space="0" w:color="auto"/>
                          </w:divBdr>
                          <w:divsChild>
                            <w:div w:id="478883004">
                              <w:marLeft w:val="0"/>
                              <w:marRight w:val="0"/>
                              <w:marTop w:val="0"/>
                              <w:marBottom w:val="0"/>
                              <w:divBdr>
                                <w:top w:val="single" w:sz="6" w:space="0" w:color="828282"/>
                                <w:left w:val="single" w:sz="6" w:space="0" w:color="828282"/>
                                <w:bottom w:val="single" w:sz="6" w:space="0" w:color="828282"/>
                                <w:right w:val="single" w:sz="6" w:space="0" w:color="828282"/>
                              </w:divBdr>
                              <w:divsChild>
                                <w:div w:id="1709720838">
                                  <w:marLeft w:val="0"/>
                                  <w:marRight w:val="0"/>
                                  <w:marTop w:val="0"/>
                                  <w:marBottom w:val="0"/>
                                  <w:divBdr>
                                    <w:top w:val="none" w:sz="0" w:space="0" w:color="auto"/>
                                    <w:left w:val="none" w:sz="0" w:space="0" w:color="auto"/>
                                    <w:bottom w:val="none" w:sz="0" w:space="0" w:color="auto"/>
                                    <w:right w:val="none" w:sz="0" w:space="0" w:color="auto"/>
                                  </w:divBdr>
                                  <w:divsChild>
                                    <w:div w:id="46954567">
                                      <w:marLeft w:val="0"/>
                                      <w:marRight w:val="0"/>
                                      <w:marTop w:val="0"/>
                                      <w:marBottom w:val="0"/>
                                      <w:divBdr>
                                        <w:top w:val="none" w:sz="0" w:space="0" w:color="auto"/>
                                        <w:left w:val="none" w:sz="0" w:space="0" w:color="auto"/>
                                        <w:bottom w:val="none" w:sz="0" w:space="0" w:color="auto"/>
                                        <w:right w:val="none" w:sz="0" w:space="0" w:color="auto"/>
                                      </w:divBdr>
                                      <w:divsChild>
                                        <w:div w:id="1858814322">
                                          <w:marLeft w:val="0"/>
                                          <w:marRight w:val="0"/>
                                          <w:marTop w:val="0"/>
                                          <w:marBottom w:val="0"/>
                                          <w:divBdr>
                                            <w:top w:val="none" w:sz="0" w:space="0" w:color="auto"/>
                                            <w:left w:val="none" w:sz="0" w:space="0" w:color="auto"/>
                                            <w:bottom w:val="none" w:sz="0" w:space="0" w:color="auto"/>
                                            <w:right w:val="none" w:sz="0" w:space="0" w:color="auto"/>
                                          </w:divBdr>
                                          <w:divsChild>
                                            <w:div w:id="1459370658">
                                              <w:marLeft w:val="0"/>
                                              <w:marRight w:val="0"/>
                                              <w:marTop w:val="0"/>
                                              <w:marBottom w:val="0"/>
                                              <w:divBdr>
                                                <w:top w:val="none" w:sz="0" w:space="0" w:color="auto"/>
                                                <w:left w:val="none" w:sz="0" w:space="0" w:color="auto"/>
                                                <w:bottom w:val="none" w:sz="0" w:space="0" w:color="auto"/>
                                                <w:right w:val="none" w:sz="0" w:space="0" w:color="auto"/>
                                              </w:divBdr>
                                              <w:divsChild>
                                                <w:div w:id="1482112393">
                                                  <w:marLeft w:val="0"/>
                                                  <w:marRight w:val="0"/>
                                                  <w:marTop w:val="0"/>
                                                  <w:marBottom w:val="0"/>
                                                  <w:divBdr>
                                                    <w:top w:val="none" w:sz="0" w:space="0" w:color="auto"/>
                                                    <w:left w:val="none" w:sz="0" w:space="0" w:color="auto"/>
                                                    <w:bottom w:val="none" w:sz="0" w:space="0" w:color="auto"/>
                                                    <w:right w:val="none" w:sz="0" w:space="0" w:color="auto"/>
                                                  </w:divBdr>
                                                  <w:divsChild>
                                                    <w:div w:id="8804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760722">
      <w:bodyDiv w:val="1"/>
      <w:marLeft w:val="0"/>
      <w:marRight w:val="0"/>
      <w:marTop w:val="0"/>
      <w:marBottom w:val="0"/>
      <w:divBdr>
        <w:top w:val="none" w:sz="0" w:space="0" w:color="auto"/>
        <w:left w:val="none" w:sz="0" w:space="0" w:color="auto"/>
        <w:bottom w:val="none" w:sz="0" w:space="0" w:color="auto"/>
        <w:right w:val="none" w:sz="0" w:space="0" w:color="auto"/>
      </w:divBdr>
      <w:divsChild>
        <w:div w:id="1999260181">
          <w:marLeft w:val="0"/>
          <w:marRight w:val="0"/>
          <w:marTop w:val="0"/>
          <w:marBottom w:val="0"/>
          <w:divBdr>
            <w:top w:val="none" w:sz="0" w:space="0" w:color="auto"/>
            <w:left w:val="none" w:sz="0" w:space="0" w:color="auto"/>
            <w:bottom w:val="none" w:sz="0" w:space="0" w:color="auto"/>
            <w:right w:val="none" w:sz="0" w:space="0" w:color="auto"/>
          </w:divBdr>
          <w:divsChild>
            <w:div w:id="1260069530">
              <w:marLeft w:val="0"/>
              <w:marRight w:val="0"/>
              <w:marTop w:val="0"/>
              <w:marBottom w:val="0"/>
              <w:divBdr>
                <w:top w:val="none" w:sz="0" w:space="0" w:color="auto"/>
                <w:left w:val="none" w:sz="0" w:space="0" w:color="auto"/>
                <w:bottom w:val="none" w:sz="0" w:space="0" w:color="auto"/>
                <w:right w:val="none" w:sz="0" w:space="0" w:color="auto"/>
              </w:divBdr>
              <w:divsChild>
                <w:div w:id="1821384051">
                  <w:marLeft w:val="0"/>
                  <w:marRight w:val="0"/>
                  <w:marTop w:val="0"/>
                  <w:marBottom w:val="0"/>
                  <w:divBdr>
                    <w:top w:val="none" w:sz="0" w:space="0" w:color="auto"/>
                    <w:left w:val="none" w:sz="0" w:space="0" w:color="auto"/>
                    <w:bottom w:val="none" w:sz="0" w:space="0" w:color="auto"/>
                    <w:right w:val="none" w:sz="0" w:space="0" w:color="auto"/>
                  </w:divBdr>
                  <w:divsChild>
                    <w:div w:id="1657294035">
                      <w:marLeft w:val="0"/>
                      <w:marRight w:val="0"/>
                      <w:marTop w:val="0"/>
                      <w:marBottom w:val="0"/>
                      <w:divBdr>
                        <w:top w:val="none" w:sz="0" w:space="0" w:color="auto"/>
                        <w:left w:val="none" w:sz="0" w:space="0" w:color="auto"/>
                        <w:bottom w:val="none" w:sz="0" w:space="0" w:color="auto"/>
                        <w:right w:val="none" w:sz="0" w:space="0" w:color="auto"/>
                      </w:divBdr>
                      <w:divsChild>
                        <w:div w:id="1025790394">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0"/>
                              <w:marRight w:val="0"/>
                              <w:marTop w:val="0"/>
                              <w:marBottom w:val="0"/>
                              <w:divBdr>
                                <w:top w:val="single" w:sz="6" w:space="0" w:color="828282"/>
                                <w:left w:val="single" w:sz="6" w:space="0" w:color="828282"/>
                                <w:bottom w:val="single" w:sz="6" w:space="0" w:color="828282"/>
                                <w:right w:val="single" w:sz="6" w:space="0" w:color="828282"/>
                              </w:divBdr>
                              <w:divsChild>
                                <w:div w:id="412511693">
                                  <w:marLeft w:val="0"/>
                                  <w:marRight w:val="0"/>
                                  <w:marTop w:val="0"/>
                                  <w:marBottom w:val="0"/>
                                  <w:divBdr>
                                    <w:top w:val="none" w:sz="0" w:space="0" w:color="auto"/>
                                    <w:left w:val="none" w:sz="0" w:space="0" w:color="auto"/>
                                    <w:bottom w:val="none" w:sz="0" w:space="0" w:color="auto"/>
                                    <w:right w:val="none" w:sz="0" w:space="0" w:color="auto"/>
                                  </w:divBdr>
                                  <w:divsChild>
                                    <w:div w:id="2031032576">
                                      <w:marLeft w:val="0"/>
                                      <w:marRight w:val="0"/>
                                      <w:marTop w:val="0"/>
                                      <w:marBottom w:val="0"/>
                                      <w:divBdr>
                                        <w:top w:val="none" w:sz="0" w:space="0" w:color="auto"/>
                                        <w:left w:val="none" w:sz="0" w:space="0" w:color="auto"/>
                                        <w:bottom w:val="none" w:sz="0" w:space="0" w:color="auto"/>
                                        <w:right w:val="none" w:sz="0" w:space="0" w:color="auto"/>
                                      </w:divBdr>
                                      <w:divsChild>
                                        <w:div w:id="1870872972">
                                          <w:marLeft w:val="0"/>
                                          <w:marRight w:val="0"/>
                                          <w:marTop w:val="0"/>
                                          <w:marBottom w:val="0"/>
                                          <w:divBdr>
                                            <w:top w:val="none" w:sz="0" w:space="0" w:color="auto"/>
                                            <w:left w:val="none" w:sz="0" w:space="0" w:color="auto"/>
                                            <w:bottom w:val="none" w:sz="0" w:space="0" w:color="auto"/>
                                            <w:right w:val="none" w:sz="0" w:space="0" w:color="auto"/>
                                          </w:divBdr>
                                          <w:divsChild>
                                            <w:div w:id="791482752">
                                              <w:marLeft w:val="0"/>
                                              <w:marRight w:val="0"/>
                                              <w:marTop w:val="0"/>
                                              <w:marBottom w:val="0"/>
                                              <w:divBdr>
                                                <w:top w:val="none" w:sz="0" w:space="0" w:color="auto"/>
                                                <w:left w:val="none" w:sz="0" w:space="0" w:color="auto"/>
                                                <w:bottom w:val="none" w:sz="0" w:space="0" w:color="auto"/>
                                                <w:right w:val="none" w:sz="0" w:space="0" w:color="auto"/>
                                              </w:divBdr>
                                              <w:divsChild>
                                                <w:div w:id="1880244213">
                                                  <w:marLeft w:val="0"/>
                                                  <w:marRight w:val="0"/>
                                                  <w:marTop w:val="0"/>
                                                  <w:marBottom w:val="0"/>
                                                  <w:divBdr>
                                                    <w:top w:val="none" w:sz="0" w:space="0" w:color="auto"/>
                                                    <w:left w:val="none" w:sz="0" w:space="0" w:color="auto"/>
                                                    <w:bottom w:val="none" w:sz="0" w:space="0" w:color="auto"/>
                                                    <w:right w:val="none" w:sz="0" w:space="0" w:color="auto"/>
                                                  </w:divBdr>
                                                  <w:divsChild>
                                                    <w:div w:id="12339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910615">
      <w:bodyDiv w:val="1"/>
      <w:marLeft w:val="0"/>
      <w:marRight w:val="0"/>
      <w:marTop w:val="0"/>
      <w:marBottom w:val="0"/>
      <w:divBdr>
        <w:top w:val="none" w:sz="0" w:space="0" w:color="auto"/>
        <w:left w:val="none" w:sz="0" w:space="0" w:color="auto"/>
        <w:bottom w:val="none" w:sz="0" w:space="0" w:color="auto"/>
        <w:right w:val="none" w:sz="0" w:space="0" w:color="auto"/>
      </w:divBdr>
      <w:divsChild>
        <w:div w:id="1143962967">
          <w:marLeft w:val="0"/>
          <w:marRight w:val="0"/>
          <w:marTop w:val="0"/>
          <w:marBottom w:val="0"/>
          <w:divBdr>
            <w:top w:val="none" w:sz="0" w:space="0" w:color="auto"/>
            <w:left w:val="none" w:sz="0" w:space="0" w:color="auto"/>
            <w:bottom w:val="none" w:sz="0" w:space="0" w:color="auto"/>
            <w:right w:val="none" w:sz="0" w:space="0" w:color="auto"/>
          </w:divBdr>
          <w:divsChild>
            <w:div w:id="819423371">
              <w:marLeft w:val="0"/>
              <w:marRight w:val="0"/>
              <w:marTop w:val="0"/>
              <w:marBottom w:val="0"/>
              <w:divBdr>
                <w:top w:val="none" w:sz="0" w:space="0" w:color="auto"/>
                <w:left w:val="none" w:sz="0" w:space="0" w:color="auto"/>
                <w:bottom w:val="none" w:sz="0" w:space="0" w:color="auto"/>
                <w:right w:val="none" w:sz="0" w:space="0" w:color="auto"/>
              </w:divBdr>
              <w:divsChild>
                <w:div w:id="1016081025">
                  <w:marLeft w:val="0"/>
                  <w:marRight w:val="0"/>
                  <w:marTop w:val="0"/>
                  <w:marBottom w:val="0"/>
                  <w:divBdr>
                    <w:top w:val="none" w:sz="0" w:space="0" w:color="auto"/>
                    <w:left w:val="none" w:sz="0" w:space="0" w:color="auto"/>
                    <w:bottom w:val="none" w:sz="0" w:space="0" w:color="auto"/>
                    <w:right w:val="none" w:sz="0" w:space="0" w:color="auto"/>
                  </w:divBdr>
                  <w:divsChild>
                    <w:div w:id="837622420">
                      <w:marLeft w:val="0"/>
                      <w:marRight w:val="0"/>
                      <w:marTop w:val="0"/>
                      <w:marBottom w:val="0"/>
                      <w:divBdr>
                        <w:top w:val="none" w:sz="0" w:space="0" w:color="auto"/>
                        <w:left w:val="none" w:sz="0" w:space="0" w:color="auto"/>
                        <w:bottom w:val="none" w:sz="0" w:space="0" w:color="auto"/>
                        <w:right w:val="none" w:sz="0" w:space="0" w:color="auto"/>
                      </w:divBdr>
                      <w:divsChild>
                        <w:div w:id="74327591">
                          <w:marLeft w:val="0"/>
                          <w:marRight w:val="0"/>
                          <w:marTop w:val="0"/>
                          <w:marBottom w:val="0"/>
                          <w:divBdr>
                            <w:top w:val="none" w:sz="0" w:space="0" w:color="auto"/>
                            <w:left w:val="none" w:sz="0" w:space="0" w:color="auto"/>
                            <w:bottom w:val="none" w:sz="0" w:space="0" w:color="auto"/>
                            <w:right w:val="none" w:sz="0" w:space="0" w:color="auto"/>
                          </w:divBdr>
                          <w:divsChild>
                            <w:div w:id="35466900">
                              <w:marLeft w:val="0"/>
                              <w:marRight w:val="0"/>
                              <w:marTop w:val="0"/>
                              <w:marBottom w:val="0"/>
                              <w:divBdr>
                                <w:top w:val="single" w:sz="6" w:space="0" w:color="828282"/>
                                <w:left w:val="single" w:sz="6" w:space="0" w:color="828282"/>
                                <w:bottom w:val="single" w:sz="6" w:space="0" w:color="828282"/>
                                <w:right w:val="single" w:sz="6" w:space="0" w:color="828282"/>
                              </w:divBdr>
                              <w:divsChild>
                                <w:div w:id="1217934673">
                                  <w:marLeft w:val="0"/>
                                  <w:marRight w:val="0"/>
                                  <w:marTop w:val="0"/>
                                  <w:marBottom w:val="0"/>
                                  <w:divBdr>
                                    <w:top w:val="none" w:sz="0" w:space="0" w:color="auto"/>
                                    <w:left w:val="none" w:sz="0" w:space="0" w:color="auto"/>
                                    <w:bottom w:val="none" w:sz="0" w:space="0" w:color="auto"/>
                                    <w:right w:val="none" w:sz="0" w:space="0" w:color="auto"/>
                                  </w:divBdr>
                                  <w:divsChild>
                                    <w:div w:id="80641435">
                                      <w:marLeft w:val="0"/>
                                      <w:marRight w:val="0"/>
                                      <w:marTop w:val="0"/>
                                      <w:marBottom w:val="0"/>
                                      <w:divBdr>
                                        <w:top w:val="none" w:sz="0" w:space="0" w:color="auto"/>
                                        <w:left w:val="none" w:sz="0" w:space="0" w:color="auto"/>
                                        <w:bottom w:val="none" w:sz="0" w:space="0" w:color="auto"/>
                                        <w:right w:val="none" w:sz="0" w:space="0" w:color="auto"/>
                                      </w:divBdr>
                                      <w:divsChild>
                                        <w:div w:id="1726638244">
                                          <w:marLeft w:val="0"/>
                                          <w:marRight w:val="0"/>
                                          <w:marTop w:val="0"/>
                                          <w:marBottom w:val="0"/>
                                          <w:divBdr>
                                            <w:top w:val="none" w:sz="0" w:space="0" w:color="auto"/>
                                            <w:left w:val="none" w:sz="0" w:space="0" w:color="auto"/>
                                            <w:bottom w:val="none" w:sz="0" w:space="0" w:color="auto"/>
                                            <w:right w:val="none" w:sz="0" w:space="0" w:color="auto"/>
                                          </w:divBdr>
                                          <w:divsChild>
                                            <w:div w:id="317727682">
                                              <w:marLeft w:val="0"/>
                                              <w:marRight w:val="0"/>
                                              <w:marTop w:val="0"/>
                                              <w:marBottom w:val="0"/>
                                              <w:divBdr>
                                                <w:top w:val="none" w:sz="0" w:space="0" w:color="auto"/>
                                                <w:left w:val="none" w:sz="0" w:space="0" w:color="auto"/>
                                                <w:bottom w:val="none" w:sz="0" w:space="0" w:color="auto"/>
                                                <w:right w:val="none" w:sz="0" w:space="0" w:color="auto"/>
                                              </w:divBdr>
                                              <w:divsChild>
                                                <w:div w:id="1873112876">
                                                  <w:marLeft w:val="0"/>
                                                  <w:marRight w:val="0"/>
                                                  <w:marTop w:val="0"/>
                                                  <w:marBottom w:val="0"/>
                                                  <w:divBdr>
                                                    <w:top w:val="none" w:sz="0" w:space="0" w:color="auto"/>
                                                    <w:left w:val="none" w:sz="0" w:space="0" w:color="auto"/>
                                                    <w:bottom w:val="none" w:sz="0" w:space="0" w:color="auto"/>
                                                    <w:right w:val="none" w:sz="0" w:space="0" w:color="auto"/>
                                                  </w:divBdr>
                                                  <w:divsChild>
                                                    <w:div w:id="1455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2658574">
      <w:bodyDiv w:val="1"/>
      <w:marLeft w:val="0"/>
      <w:marRight w:val="0"/>
      <w:marTop w:val="0"/>
      <w:marBottom w:val="0"/>
      <w:divBdr>
        <w:top w:val="none" w:sz="0" w:space="0" w:color="auto"/>
        <w:left w:val="none" w:sz="0" w:space="0" w:color="auto"/>
        <w:bottom w:val="none" w:sz="0" w:space="0" w:color="auto"/>
        <w:right w:val="none" w:sz="0" w:space="0" w:color="auto"/>
      </w:divBdr>
      <w:divsChild>
        <w:div w:id="1276399113">
          <w:marLeft w:val="0"/>
          <w:marRight w:val="0"/>
          <w:marTop w:val="0"/>
          <w:marBottom w:val="0"/>
          <w:divBdr>
            <w:top w:val="none" w:sz="0" w:space="0" w:color="auto"/>
            <w:left w:val="none" w:sz="0" w:space="0" w:color="auto"/>
            <w:bottom w:val="none" w:sz="0" w:space="0" w:color="auto"/>
            <w:right w:val="none" w:sz="0" w:space="0" w:color="auto"/>
          </w:divBdr>
          <w:divsChild>
            <w:div w:id="163320028">
              <w:marLeft w:val="0"/>
              <w:marRight w:val="0"/>
              <w:marTop w:val="0"/>
              <w:marBottom w:val="0"/>
              <w:divBdr>
                <w:top w:val="none" w:sz="0" w:space="0" w:color="auto"/>
                <w:left w:val="none" w:sz="0" w:space="0" w:color="auto"/>
                <w:bottom w:val="none" w:sz="0" w:space="0" w:color="auto"/>
                <w:right w:val="none" w:sz="0" w:space="0" w:color="auto"/>
              </w:divBdr>
              <w:divsChild>
                <w:div w:id="981545154">
                  <w:marLeft w:val="0"/>
                  <w:marRight w:val="0"/>
                  <w:marTop w:val="0"/>
                  <w:marBottom w:val="0"/>
                  <w:divBdr>
                    <w:top w:val="none" w:sz="0" w:space="0" w:color="auto"/>
                    <w:left w:val="none" w:sz="0" w:space="0" w:color="auto"/>
                    <w:bottom w:val="none" w:sz="0" w:space="0" w:color="auto"/>
                    <w:right w:val="none" w:sz="0" w:space="0" w:color="auto"/>
                  </w:divBdr>
                  <w:divsChild>
                    <w:div w:id="1407999491">
                      <w:marLeft w:val="0"/>
                      <w:marRight w:val="0"/>
                      <w:marTop w:val="0"/>
                      <w:marBottom w:val="0"/>
                      <w:divBdr>
                        <w:top w:val="none" w:sz="0" w:space="0" w:color="auto"/>
                        <w:left w:val="none" w:sz="0" w:space="0" w:color="auto"/>
                        <w:bottom w:val="none" w:sz="0" w:space="0" w:color="auto"/>
                        <w:right w:val="none" w:sz="0" w:space="0" w:color="auto"/>
                      </w:divBdr>
                      <w:divsChild>
                        <w:div w:id="1191799220">
                          <w:marLeft w:val="0"/>
                          <w:marRight w:val="0"/>
                          <w:marTop w:val="0"/>
                          <w:marBottom w:val="0"/>
                          <w:divBdr>
                            <w:top w:val="none" w:sz="0" w:space="0" w:color="auto"/>
                            <w:left w:val="none" w:sz="0" w:space="0" w:color="auto"/>
                            <w:bottom w:val="none" w:sz="0" w:space="0" w:color="auto"/>
                            <w:right w:val="none" w:sz="0" w:space="0" w:color="auto"/>
                          </w:divBdr>
                          <w:divsChild>
                            <w:div w:id="169375824">
                              <w:marLeft w:val="0"/>
                              <w:marRight w:val="0"/>
                              <w:marTop w:val="0"/>
                              <w:marBottom w:val="0"/>
                              <w:divBdr>
                                <w:top w:val="single" w:sz="6" w:space="0" w:color="828282"/>
                                <w:left w:val="single" w:sz="6" w:space="0" w:color="828282"/>
                                <w:bottom w:val="single" w:sz="6" w:space="0" w:color="828282"/>
                                <w:right w:val="single" w:sz="6" w:space="0" w:color="828282"/>
                              </w:divBdr>
                              <w:divsChild>
                                <w:div w:id="1406876519">
                                  <w:marLeft w:val="0"/>
                                  <w:marRight w:val="0"/>
                                  <w:marTop w:val="0"/>
                                  <w:marBottom w:val="0"/>
                                  <w:divBdr>
                                    <w:top w:val="none" w:sz="0" w:space="0" w:color="auto"/>
                                    <w:left w:val="none" w:sz="0" w:space="0" w:color="auto"/>
                                    <w:bottom w:val="none" w:sz="0" w:space="0" w:color="auto"/>
                                    <w:right w:val="none" w:sz="0" w:space="0" w:color="auto"/>
                                  </w:divBdr>
                                  <w:divsChild>
                                    <w:div w:id="79765722">
                                      <w:marLeft w:val="0"/>
                                      <w:marRight w:val="0"/>
                                      <w:marTop w:val="0"/>
                                      <w:marBottom w:val="0"/>
                                      <w:divBdr>
                                        <w:top w:val="none" w:sz="0" w:space="0" w:color="auto"/>
                                        <w:left w:val="none" w:sz="0" w:space="0" w:color="auto"/>
                                        <w:bottom w:val="none" w:sz="0" w:space="0" w:color="auto"/>
                                        <w:right w:val="none" w:sz="0" w:space="0" w:color="auto"/>
                                      </w:divBdr>
                                      <w:divsChild>
                                        <w:div w:id="1110316227">
                                          <w:marLeft w:val="0"/>
                                          <w:marRight w:val="0"/>
                                          <w:marTop w:val="0"/>
                                          <w:marBottom w:val="0"/>
                                          <w:divBdr>
                                            <w:top w:val="none" w:sz="0" w:space="0" w:color="auto"/>
                                            <w:left w:val="none" w:sz="0" w:space="0" w:color="auto"/>
                                            <w:bottom w:val="none" w:sz="0" w:space="0" w:color="auto"/>
                                            <w:right w:val="none" w:sz="0" w:space="0" w:color="auto"/>
                                          </w:divBdr>
                                          <w:divsChild>
                                            <w:div w:id="223879228">
                                              <w:marLeft w:val="0"/>
                                              <w:marRight w:val="0"/>
                                              <w:marTop w:val="0"/>
                                              <w:marBottom w:val="0"/>
                                              <w:divBdr>
                                                <w:top w:val="none" w:sz="0" w:space="0" w:color="auto"/>
                                                <w:left w:val="none" w:sz="0" w:space="0" w:color="auto"/>
                                                <w:bottom w:val="none" w:sz="0" w:space="0" w:color="auto"/>
                                                <w:right w:val="none" w:sz="0" w:space="0" w:color="auto"/>
                                              </w:divBdr>
                                              <w:divsChild>
                                                <w:div w:id="1899630717">
                                                  <w:marLeft w:val="0"/>
                                                  <w:marRight w:val="0"/>
                                                  <w:marTop w:val="0"/>
                                                  <w:marBottom w:val="0"/>
                                                  <w:divBdr>
                                                    <w:top w:val="none" w:sz="0" w:space="0" w:color="auto"/>
                                                    <w:left w:val="none" w:sz="0" w:space="0" w:color="auto"/>
                                                    <w:bottom w:val="none" w:sz="0" w:space="0" w:color="auto"/>
                                                    <w:right w:val="none" w:sz="0" w:space="0" w:color="auto"/>
                                                  </w:divBdr>
                                                  <w:divsChild>
                                                    <w:div w:id="1566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295304">
      <w:bodyDiv w:val="1"/>
      <w:marLeft w:val="0"/>
      <w:marRight w:val="0"/>
      <w:marTop w:val="0"/>
      <w:marBottom w:val="0"/>
      <w:divBdr>
        <w:top w:val="none" w:sz="0" w:space="0" w:color="auto"/>
        <w:left w:val="none" w:sz="0" w:space="0" w:color="auto"/>
        <w:bottom w:val="none" w:sz="0" w:space="0" w:color="auto"/>
        <w:right w:val="none" w:sz="0" w:space="0" w:color="auto"/>
      </w:divBdr>
    </w:div>
    <w:div w:id="1355959481">
      <w:bodyDiv w:val="1"/>
      <w:marLeft w:val="0"/>
      <w:marRight w:val="0"/>
      <w:marTop w:val="0"/>
      <w:marBottom w:val="0"/>
      <w:divBdr>
        <w:top w:val="none" w:sz="0" w:space="0" w:color="auto"/>
        <w:left w:val="none" w:sz="0" w:space="0" w:color="auto"/>
        <w:bottom w:val="none" w:sz="0" w:space="0" w:color="auto"/>
        <w:right w:val="none" w:sz="0" w:space="0" w:color="auto"/>
      </w:divBdr>
      <w:divsChild>
        <w:div w:id="1459493371">
          <w:marLeft w:val="0"/>
          <w:marRight w:val="0"/>
          <w:marTop w:val="0"/>
          <w:marBottom w:val="0"/>
          <w:divBdr>
            <w:top w:val="none" w:sz="0" w:space="0" w:color="auto"/>
            <w:left w:val="none" w:sz="0" w:space="0" w:color="auto"/>
            <w:bottom w:val="none" w:sz="0" w:space="0" w:color="auto"/>
            <w:right w:val="none" w:sz="0" w:space="0" w:color="auto"/>
          </w:divBdr>
          <w:divsChild>
            <w:div w:id="821769999">
              <w:marLeft w:val="0"/>
              <w:marRight w:val="0"/>
              <w:marTop w:val="0"/>
              <w:marBottom w:val="0"/>
              <w:divBdr>
                <w:top w:val="none" w:sz="0" w:space="0" w:color="auto"/>
                <w:left w:val="none" w:sz="0" w:space="0" w:color="auto"/>
                <w:bottom w:val="none" w:sz="0" w:space="0" w:color="auto"/>
                <w:right w:val="none" w:sz="0" w:space="0" w:color="auto"/>
              </w:divBdr>
              <w:divsChild>
                <w:div w:id="1962875727">
                  <w:marLeft w:val="0"/>
                  <w:marRight w:val="0"/>
                  <w:marTop w:val="0"/>
                  <w:marBottom w:val="0"/>
                  <w:divBdr>
                    <w:top w:val="none" w:sz="0" w:space="0" w:color="auto"/>
                    <w:left w:val="none" w:sz="0" w:space="0" w:color="auto"/>
                    <w:bottom w:val="none" w:sz="0" w:space="0" w:color="auto"/>
                    <w:right w:val="none" w:sz="0" w:space="0" w:color="auto"/>
                  </w:divBdr>
                  <w:divsChild>
                    <w:div w:id="1857840465">
                      <w:marLeft w:val="0"/>
                      <w:marRight w:val="0"/>
                      <w:marTop w:val="0"/>
                      <w:marBottom w:val="0"/>
                      <w:divBdr>
                        <w:top w:val="none" w:sz="0" w:space="0" w:color="auto"/>
                        <w:left w:val="none" w:sz="0" w:space="0" w:color="auto"/>
                        <w:bottom w:val="none" w:sz="0" w:space="0" w:color="auto"/>
                        <w:right w:val="none" w:sz="0" w:space="0" w:color="auto"/>
                      </w:divBdr>
                      <w:divsChild>
                        <w:div w:id="30806177">
                          <w:marLeft w:val="0"/>
                          <w:marRight w:val="0"/>
                          <w:marTop w:val="0"/>
                          <w:marBottom w:val="0"/>
                          <w:divBdr>
                            <w:top w:val="none" w:sz="0" w:space="0" w:color="auto"/>
                            <w:left w:val="none" w:sz="0" w:space="0" w:color="auto"/>
                            <w:bottom w:val="none" w:sz="0" w:space="0" w:color="auto"/>
                            <w:right w:val="none" w:sz="0" w:space="0" w:color="auto"/>
                          </w:divBdr>
                          <w:divsChild>
                            <w:div w:id="2059744767">
                              <w:marLeft w:val="0"/>
                              <w:marRight w:val="0"/>
                              <w:marTop w:val="0"/>
                              <w:marBottom w:val="0"/>
                              <w:divBdr>
                                <w:top w:val="single" w:sz="6" w:space="0" w:color="828282"/>
                                <w:left w:val="single" w:sz="6" w:space="0" w:color="828282"/>
                                <w:bottom w:val="single" w:sz="6" w:space="0" w:color="828282"/>
                                <w:right w:val="single" w:sz="6" w:space="0" w:color="828282"/>
                              </w:divBdr>
                              <w:divsChild>
                                <w:div w:id="757364257">
                                  <w:marLeft w:val="0"/>
                                  <w:marRight w:val="0"/>
                                  <w:marTop w:val="0"/>
                                  <w:marBottom w:val="0"/>
                                  <w:divBdr>
                                    <w:top w:val="none" w:sz="0" w:space="0" w:color="auto"/>
                                    <w:left w:val="none" w:sz="0" w:space="0" w:color="auto"/>
                                    <w:bottom w:val="none" w:sz="0" w:space="0" w:color="auto"/>
                                    <w:right w:val="none" w:sz="0" w:space="0" w:color="auto"/>
                                  </w:divBdr>
                                  <w:divsChild>
                                    <w:div w:id="42142648">
                                      <w:marLeft w:val="0"/>
                                      <w:marRight w:val="0"/>
                                      <w:marTop w:val="0"/>
                                      <w:marBottom w:val="0"/>
                                      <w:divBdr>
                                        <w:top w:val="none" w:sz="0" w:space="0" w:color="auto"/>
                                        <w:left w:val="none" w:sz="0" w:space="0" w:color="auto"/>
                                        <w:bottom w:val="none" w:sz="0" w:space="0" w:color="auto"/>
                                        <w:right w:val="none" w:sz="0" w:space="0" w:color="auto"/>
                                      </w:divBdr>
                                      <w:divsChild>
                                        <w:div w:id="1542017262">
                                          <w:marLeft w:val="0"/>
                                          <w:marRight w:val="0"/>
                                          <w:marTop w:val="0"/>
                                          <w:marBottom w:val="0"/>
                                          <w:divBdr>
                                            <w:top w:val="none" w:sz="0" w:space="0" w:color="auto"/>
                                            <w:left w:val="none" w:sz="0" w:space="0" w:color="auto"/>
                                            <w:bottom w:val="none" w:sz="0" w:space="0" w:color="auto"/>
                                            <w:right w:val="none" w:sz="0" w:space="0" w:color="auto"/>
                                          </w:divBdr>
                                          <w:divsChild>
                                            <w:div w:id="99878835">
                                              <w:marLeft w:val="0"/>
                                              <w:marRight w:val="0"/>
                                              <w:marTop w:val="0"/>
                                              <w:marBottom w:val="0"/>
                                              <w:divBdr>
                                                <w:top w:val="none" w:sz="0" w:space="0" w:color="auto"/>
                                                <w:left w:val="none" w:sz="0" w:space="0" w:color="auto"/>
                                                <w:bottom w:val="none" w:sz="0" w:space="0" w:color="auto"/>
                                                <w:right w:val="none" w:sz="0" w:space="0" w:color="auto"/>
                                              </w:divBdr>
                                              <w:divsChild>
                                                <w:div w:id="759717888">
                                                  <w:marLeft w:val="0"/>
                                                  <w:marRight w:val="0"/>
                                                  <w:marTop w:val="0"/>
                                                  <w:marBottom w:val="0"/>
                                                  <w:divBdr>
                                                    <w:top w:val="none" w:sz="0" w:space="0" w:color="auto"/>
                                                    <w:left w:val="none" w:sz="0" w:space="0" w:color="auto"/>
                                                    <w:bottom w:val="none" w:sz="0" w:space="0" w:color="auto"/>
                                                    <w:right w:val="none" w:sz="0" w:space="0" w:color="auto"/>
                                                  </w:divBdr>
                                                  <w:divsChild>
                                                    <w:div w:id="1788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499332">
      <w:bodyDiv w:val="1"/>
      <w:marLeft w:val="0"/>
      <w:marRight w:val="0"/>
      <w:marTop w:val="0"/>
      <w:marBottom w:val="0"/>
      <w:divBdr>
        <w:top w:val="none" w:sz="0" w:space="0" w:color="auto"/>
        <w:left w:val="none" w:sz="0" w:space="0" w:color="auto"/>
        <w:bottom w:val="none" w:sz="0" w:space="0" w:color="auto"/>
        <w:right w:val="none" w:sz="0" w:space="0" w:color="auto"/>
      </w:divBdr>
      <w:divsChild>
        <w:div w:id="1979677743">
          <w:marLeft w:val="0"/>
          <w:marRight w:val="0"/>
          <w:marTop w:val="0"/>
          <w:marBottom w:val="0"/>
          <w:divBdr>
            <w:top w:val="none" w:sz="0" w:space="0" w:color="auto"/>
            <w:left w:val="none" w:sz="0" w:space="0" w:color="auto"/>
            <w:bottom w:val="none" w:sz="0" w:space="0" w:color="auto"/>
            <w:right w:val="none" w:sz="0" w:space="0" w:color="auto"/>
          </w:divBdr>
          <w:divsChild>
            <w:div w:id="1683698765">
              <w:marLeft w:val="0"/>
              <w:marRight w:val="0"/>
              <w:marTop w:val="0"/>
              <w:marBottom w:val="0"/>
              <w:divBdr>
                <w:top w:val="none" w:sz="0" w:space="0" w:color="auto"/>
                <w:left w:val="none" w:sz="0" w:space="0" w:color="auto"/>
                <w:bottom w:val="none" w:sz="0" w:space="0" w:color="auto"/>
                <w:right w:val="none" w:sz="0" w:space="0" w:color="auto"/>
              </w:divBdr>
              <w:divsChild>
                <w:div w:id="725568743">
                  <w:marLeft w:val="0"/>
                  <w:marRight w:val="0"/>
                  <w:marTop w:val="0"/>
                  <w:marBottom w:val="0"/>
                  <w:divBdr>
                    <w:top w:val="none" w:sz="0" w:space="0" w:color="auto"/>
                    <w:left w:val="none" w:sz="0" w:space="0" w:color="auto"/>
                    <w:bottom w:val="none" w:sz="0" w:space="0" w:color="auto"/>
                    <w:right w:val="none" w:sz="0" w:space="0" w:color="auto"/>
                  </w:divBdr>
                  <w:divsChild>
                    <w:div w:id="2003922055">
                      <w:marLeft w:val="0"/>
                      <w:marRight w:val="0"/>
                      <w:marTop w:val="0"/>
                      <w:marBottom w:val="0"/>
                      <w:divBdr>
                        <w:top w:val="none" w:sz="0" w:space="0" w:color="auto"/>
                        <w:left w:val="none" w:sz="0" w:space="0" w:color="auto"/>
                        <w:bottom w:val="none" w:sz="0" w:space="0" w:color="auto"/>
                        <w:right w:val="none" w:sz="0" w:space="0" w:color="auto"/>
                      </w:divBdr>
                      <w:divsChild>
                        <w:div w:id="1375424070">
                          <w:marLeft w:val="0"/>
                          <w:marRight w:val="0"/>
                          <w:marTop w:val="0"/>
                          <w:marBottom w:val="0"/>
                          <w:divBdr>
                            <w:top w:val="none" w:sz="0" w:space="0" w:color="auto"/>
                            <w:left w:val="none" w:sz="0" w:space="0" w:color="auto"/>
                            <w:bottom w:val="none" w:sz="0" w:space="0" w:color="auto"/>
                            <w:right w:val="none" w:sz="0" w:space="0" w:color="auto"/>
                          </w:divBdr>
                          <w:divsChild>
                            <w:div w:id="1813208339">
                              <w:marLeft w:val="0"/>
                              <w:marRight w:val="0"/>
                              <w:marTop w:val="0"/>
                              <w:marBottom w:val="0"/>
                              <w:divBdr>
                                <w:top w:val="single" w:sz="6" w:space="0" w:color="828282"/>
                                <w:left w:val="single" w:sz="6" w:space="0" w:color="828282"/>
                                <w:bottom w:val="single" w:sz="6" w:space="0" w:color="828282"/>
                                <w:right w:val="single" w:sz="6" w:space="0" w:color="828282"/>
                              </w:divBdr>
                              <w:divsChild>
                                <w:div w:id="1582367593">
                                  <w:marLeft w:val="0"/>
                                  <w:marRight w:val="0"/>
                                  <w:marTop w:val="0"/>
                                  <w:marBottom w:val="0"/>
                                  <w:divBdr>
                                    <w:top w:val="none" w:sz="0" w:space="0" w:color="auto"/>
                                    <w:left w:val="none" w:sz="0" w:space="0" w:color="auto"/>
                                    <w:bottom w:val="none" w:sz="0" w:space="0" w:color="auto"/>
                                    <w:right w:val="none" w:sz="0" w:space="0" w:color="auto"/>
                                  </w:divBdr>
                                  <w:divsChild>
                                    <w:div w:id="633020691">
                                      <w:marLeft w:val="0"/>
                                      <w:marRight w:val="0"/>
                                      <w:marTop w:val="0"/>
                                      <w:marBottom w:val="0"/>
                                      <w:divBdr>
                                        <w:top w:val="none" w:sz="0" w:space="0" w:color="auto"/>
                                        <w:left w:val="none" w:sz="0" w:space="0" w:color="auto"/>
                                        <w:bottom w:val="none" w:sz="0" w:space="0" w:color="auto"/>
                                        <w:right w:val="none" w:sz="0" w:space="0" w:color="auto"/>
                                      </w:divBdr>
                                      <w:divsChild>
                                        <w:div w:id="1556771532">
                                          <w:marLeft w:val="0"/>
                                          <w:marRight w:val="0"/>
                                          <w:marTop w:val="0"/>
                                          <w:marBottom w:val="0"/>
                                          <w:divBdr>
                                            <w:top w:val="none" w:sz="0" w:space="0" w:color="auto"/>
                                            <w:left w:val="none" w:sz="0" w:space="0" w:color="auto"/>
                                            <w:bottom w:val="none" w:sz="0" w:space="0" w:color="auto"/>
                                            <w:right w:val="none" w:sz="0" w:space="0" w:color="auto"/>
                                          </w:divBdr>
                                          <w:divsChild>
                                            <w:div w:id="2067142867">
                                              <w:marLeft w:val="0"/>
                                              <w:marRight w:val="0"/>
                                              <w:marTop w:val="0"/>
                                              <w:marBottom w:val="0"/>
                                              <w:divBdr>
                                                <w:top w:val="none" w:sz="0" w:space="0" w:color="auto"/>
                                                <w:left w:val="none" w:sz="0" w:space="0" w:color="auto"/>
                                                <w:bottom w:val="none" w:sz="0" w:space="0" w:color="auto"/>
                                                <w:right w:val="none" w:sz="0" w:space="0" w:color="auto"/>
                                              </w:divBdr>
                                              <w:divsChild>
                                                <w:div w:id="1560508174">
                                                  <w:marLeft w:val="0"/>
                                                  <w:marRight w:val="0"/>
                                                  <w:marTop w:val="0"/>
                                                  <w:marBottom w:val="0"/>
                                                  <w:divBdr>
                                                    <w:top w:val="none" w:sz="0" w:space="0" w:color="auto"/>
                                                    <w:left w:val="none" w:sz="0" w:space="0" w:color="auto"/>
                                                    <w:bottom w:val="none" w:sz="0" w:space="0" w:color="auto"/>
                                                    <w:right w:val="none" w:sz="0" w:space="0" w:color="auto"/>
                                                  </w:divBdr>
                                                  <w:divsChild>
                                                    <w:div w:id="5994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096692">
      <w:bodyDiv w:val="1"/>
      <w:marLeft w:val="0"/>
      <w:marRight w:val="0"/>
      <w:marTop w:val="0"/>
      <w:marBottom w:val="0"/>
      <w:divBdr>
        <w:top w:val="none" w:sz="0" w:space="0" w:color="auto"/>
        <w:left w:val="none" w:sz="0" w:space="0" w:color="auto"/>
        <w:bottom w:val="none" w:sz="0" w:space="0" w:color="auto"/>
        <w:right w:val="none" w:sz="0" w:space="0" w:color="auto"/>
      </w:divBdr>
    </w:div>
    <w:div w:id="1644845217">
      <w:bodyDiv w:val="1"/>
      <w:marLeft w:val="0"/>
      <w:marRight w:val="0"/>
      <w:marTop w:val="0"/>
      <w:marBottom w:val="0"/>
      <w:divBdr>
        <w:top w:val="none" w:sz="0" w:space="0" w:color="auto"/>
        <w:left w:val="none" w:sz="0" w:space="0" w:color="auto"/>
        <w:bottom w:val="none" w:sz="0" w:space="0" w:color="auto"/>
        <w:right w:val="none" w:sz="0" w:space="0" w:color="auto"/>
      </w:divBdr>
    </w:div>
    <w:div w:id="1677030429">
      <w:bodyDiv w:val="1"/>
      <w:marLeft w:val="0"/>
      <w:marRight w:val="0"/>
      <w:marTop w:val="0"/>
      <w:marBottom w:val="0"/>
      <w:divBdr>
        <w:top w:val="none" w:sz="0" w:space="0" w:color="auto"/>
        <w:left w:val="none" w:sz="0" w:space="0" w:color="auto"/>
        <w:bottom w:val="none" w:sz="0" w:space="0" w:color="auto"/>
        <w:right w:val="none" w:sz="0" w:space="0" w:color="auto"/>
      </w:divBdr>
    </w:div>
    <w:div w:id="1769303610">
      <w:bodyDiv w:val="1"/>
      <w:marLeft w:val="0"/>
      <w:marRight w:val="0"/>
      <w:marTop w:val="0"/>
      <w:marBottom w:val="0"/>
      <w:divBdr>
        <w:top w:val="none" w:sz="0" w:space="0" w:color="auto"/>
        <w:left w:val="none" w:sz="0" w:space="0" w:color="auto"/>
        <w:bottom w:val="none" w:sz="0" w:space="0" w:color="auto"/>
        <w:right w:val="none" w:sz="0" w:space="0" w:color="auto"/>
      </w:divBdr>
    </w:div>
    <w:div w:id="1845123543">
      <w:bodyDiv w:val="1"/>
      <w:marLeft w:val="0"/>
      <w:marRight w:val="0"/>
      <w:marTop w:val="0"/>
      <w:marBottom w:val="0"/>
      <w:divBdr>
        <w:top w:val="none" w:sz="0" w:space="0" w:color="auto"/>
        <w:left w:val="none" w:sz="0" w:space="0" w:color="auto"/>
        <w:bottom w:val="none" w:sz="0" w:space="0" w:color="auto"/>
        <w:right w:val="none" w:sz="0" w:space="0" w:color="auto"/>
      </w:divBdr>
      <w:divsChild>
        <w:div w:id="2097821266">
          <w:marLeft w:val="0"/>
          <w:marRight w:val="0"/>
          <w:marTop w:val="0"/>
          <w:marBottom w:val="0"/>
          <w:divBdr>
            <w:top w:val="none" w:sz="0" w:space="0" w:color="auto"/>
            <w:left w:val="none" w:sz="0" w:space="0" w:color="auto"/>
            <w:bottom w:val="none" w:sz="0" w:space="0" w:color="auto"/>
            <w:right w:val="none" w:sz="0" w:space="0" w:color="auto"/>
          </w:divBdr>
          <w:divsChild>
            <w:div w:id="1770352214">
              <w:marLeft w:val="0"/>
              <w:marRight w:val="0"/>
              <w:marTop w:val="0"/>
              <w:marBottom w:val="0"/>
              <w:divBdr>
                <w:top w:val="none" w:sz="0" w:space="0" w:color="auto"/>
                <w:left w:val="none" w:sz="0" w:space="0" w:color="auto"/>
                <w:bottom w:val="none" w:sz="0" w:space="0" w:color="auto"/>
                <w:right w:val="none" w:sz="0" w:space="0" w:color="auto"/>
              </w:divBdr>
              <w:divsChild>
                <w:div w:id="395251108">
                  <w:marLeft w:val="0"/>
                  <w:marRight w:val="0"/>
                  <w:marTop w:val="0"/>
                  <w:marBottom w:val="0"/>
                  <w:divBdr>
                    <w:top w:val="none" w:sz="0" w:space="0" w:color="auto"/>
                    <w:left w:val="none" w:sz="0" w:space="0" w:color="auto"/>
                    <w:bottom w:val="none" w:sz="0" w:space="0" w:color="auto"/>
                    <w:right w:val="none" w:sz="0" w:space="0" w:color="auto"/>
                  </w:divBdr>
                  <w:divsChild>
                    <w:div w:id="881553196">
                      <w:marLeft w:val="0"/>
                      <w:marRight w:val="0"/>
                      <w:marTop w:val="0"/>
                      <w:marBottom w:val="0"/>
                      <w:divBdr>
                        <w:top w:val="none" w:sz="0" w:space="0" w:color="auto"/>
                        <w:left w:val="none" w:sz="0" w:space="0" w:color="auto"/>
                        <w:bottom w:val="none" w:sz="0" w:space="0" w:color="auto"/>
                        <w:right w:val="none" w:sz="0" w:space="0" w:color="auto"/>
                      </w:divBdr>
                      <w:divsChild>
                        <w:div w:id="853347714">
                          <w:marLeft w:val="0"/>
                          <w:marRight w:val="0"/>
                          <w:marTop w:val="0"/>
                          <w:marBottom w:val="0"/>
                          <w:divBdr>
                            <w:top w:val="none" w:sz="0" w:space="0" w:color="auto"/>
                            <w:left w:val="none" w:sz="0" w:space="0" w:color="auto"/>
                            <w:bottom w:val="none" w:sz="0" w:space="0" w:color="auto"/>
                            <w:right w:val="none" w:sz="0" w:space="0" w:color="auto"/>
                          </w:divBdr>
                          <w:divsChild>
                            <w:div w:id="465008429">
                              <w:marLeft w:val="0"/>
                              <w:marRight w:val="0"/>
                              <w:marTop w:val="0"/>
                              <w:marBottom w:val="0"/>
                              <w:divBdr>
                                <w:top w:val="single" w:sz="6" w:space="0" w:color="828282"/>
                                <w:left w:val="single" w:sz="6" w:space="0" w:color="828282"/>
                                <w:bottom w:val="single" w:sz="6" w:space="0" w:color="828282"/>
                                <w:right w:val="single" w:sz="6" w:space="0" w:color="828282"/>
                              </w:divBdr>
                              <w:divsChild>
                                <w:div w:id="185296607">
                                  <w:marLeft w:val="0"/>
                                  <w:marRight w:val="0"/>
                                  <w:marTop w:val="0"/>
                                  <w:marBottom w:val="0"/>
                                  <w:divBdr>
                                    <w:top w:val="none" w:sz="0" w:space="0" w:color="auto"/>
                                    <w:left w:val="none" w:sz="0" w:space="0" w:color="auto"/>
                                    <w:bottom w:val="none" w:sz="0" w:space="0" w:color="auto"/>
                                    <w:right w:val="none" w:sz="0" w:space="0" w:color="auto"/>
                                  </w:divBdr>
                                  <w:divsChild>
                                    <w:div w:id="627392700">
                                      <w:marLeft w:val="0"/>
                                      <w:marRight w:val="0"/>
                                      <w:marTop w:val="0"/>
                                      <w:marBottom w:val="0"/>
                                      <w:divBdr>
                                        <w:top w:val="none" w:sz="0" w:space="0" w:color="auto"/>
                                        <w:left w:val="none" w:sz="0" w:space="0" w:color="auto"/>
                                        <w:bottom w:val="none" w:sz="0" w:space="0" w:color="auto"/>
                                        <w:right w:val="none" w:sz="0" w:space="0" w:color="auto"/>
                                      </w:divBdr>
                                      <w:divsChild>
                                        <w:div w:id="915365121">
                                          <w:marLeft w:val="0"/>
                                          <w:marRight w:val="0"/>
                                          <w:marTop w:val="0"/>
                                          <w:marBottom w:val="0"/>
                                          <w:divBdr>
                                            <w:top w:val="none" w:sz="0" w:space="0" w:color="auto"/>
                                            <w:left w:val="none" w:sz="0" w:space="0" w:color="auto"/>
                                            <w:bottom w:val="none" w:sz="0" w:space="0" w:color="auto"/>
                                            <w:right w:val="none" w:sz="0" w:space="0" w:color="auto"/>
                                          </w:divBdr>
                                          <w:divsChild>
                                            <w:div w:id="1379470348">
                                              <w:marLeft w:val="0"/>
                                              <w:marRight w:val="0"/>
                                              <w:marTop w:val="0"/>
                                              <w:marBottom w:val="0"/>
                                              <w:divBdr>
                                                <w:top w:val="none" w:sz="0" w:space="0" w:color="auto"/>
                                                <w:left w:val="none" w:sz="0" w:space="0" w:color="auto"/>
                                                <w:bottom w:val="none" w:sz="0" w:space="0" w:color="auto"/>
                                                <w:right w:val="none" w:sz="0" w:space="0" w:color="auto"/>
                                              </w:divBdr>
                                              <w:divsChild>
                                                <w:div w:id="1252856945">
                                                  <w:marLeft w:val="0"/>
                                                  <w:marRight w:val="0"/>
                                                  <w:marTop w:val="0"/>
                                                  <w:marBottom w:val="0"/>
                                                  <w:divBdr>
                                                    <w:top w:val="none" w:sz="0" w:space="0" w:color="auto"/>
                                                    <w:left w:val="none" w:sz="0" w:space="0" w:color="auto"/>
                                                    <w:bottom w:val="none" w:sz="0" w:space="0" w:color="auto"/>
                                                    <w:right w:val="none" w:sz="0" w:space="0" w:color="auto"/>
                                                  </w:divBdr>
                                                  <w:divsChild>
                                                    <w:div w:id="239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713947">
      <w:bodyDiv w:val="1"/>
      <w:marLeft w:val="0"/>
      <w:marRight w:val="0"/>
      <w:marTop w:val="0"/>
      <w:marBottom w:val="0"/>
      <w:divBdr>
        <w:top w:val="none" w:sz="0" w:space="0" w:color="auto"/>
        <w:left w:val="none" w:sz="0" w:space="0" w:color="auto"/>
        <w:bottom w:val="none" w:sz="0" w:space="0" w:color="auto"/>
        <w:right w:val="none" w:sz="0" w:space="0" w:color="auto"/>
      </w:divBdr>
      <w:divsChild>
        <w:div w:id="1497376213">
          <w:marLeft w:val="0"/>
          <w:marRight w:val="0"/>
          <w:marTop w:val="0"/>
          <w:marBottom w:val="0"/>
          <w:divBdr>
            <w:top w:val="none" w:sz="0" w:space="0" w:color="auto"/>
            <w:left w:val="none" w:sz="0" w:space="0" w:color="auto"/>
            <w:bottom w:val="none" w:sz="0" w:space="0" w:color="auto"/>
            <w:right w:val="none" w:sz="0" w:space="0" w:color="auto"/>
          </w:divBdr>
          <w:divsChild>
            <w:div w:id="1382099333">
              <w:marLeft w:val="0"/>
              <w:marRight w:val="0"/>
              <w:marTop w:val="0"/>
              <w:marBottom w:val="0"/>
              <w:divBdr>
                <w:top w:val="none" w:sz="0" w:space="0" w:color="auto"/>
                <w:left w:val="none" w:sz="0" w:space="0" w:color="auto"/>
                <w:bottom w:val="none" w:sz="0" w:space="0" w:color="auto"/>
                <w:right w:val="none" w:sz="0" w:space="0" w:color="auto"/>
              </w:divBdr>
              <w:divsChild>
                <w:div w:id="385762057">
                  <w:marLeft w:val="0"/>
                  <w:marRight w:val="0"/>
                  <w:marTop w:val="0"/>
                  <w:marBottom w:val="0"/>
                  <w:divBdr>
                    <w:top w:val="none" w:sz="0" w:space="0" w:color="auto"/>
                    <w:left w:val="none" w:sz="0" w:space="0" w:color="auto"/>
                    <w:bottom w:val="none" w:sz="0" w:space="0" w:color="auto"/>
                    <w:right w:val="none" w:sz="0" w:space="0" w:color="auto"/>
                  </w:divBdr>
                  <w:divsChild>
                    <w:div w:id="1276715044">
                      <w:marLeft w:val="0"/>
                      <w:marRight w:val="0"/>
                      <w:marTop w:val="0"/>
                      <w:marBottom w:val="0"/>
                      <w:divBdr>
                        <w:top w:val="none" w:sz="0" w:space="0" w:color="auto"/>
                        <w:left w:val="none" w:sz="0" w:space="0" w:color="auto"/>
                        <w:bottom w:val="none" w:sz="0" w:space="0" w:color="auto"/>
                        <w:right w:val="none" w:sz="0" w:space="0" w:color="auto"/>
                      </w:divBdr>
                      <w:divsChild>
                        <w:div w:id="928347053">
                          <w:marLeft w:val="0"/>
                          <w:marRight w:val="0"/>
                          <w:marTop w:val="0"/>
                          <w:marBottom w:val="0"/>
                          <w:divBdr>
                            <w:top w:val="none" w:sz="0" w:space="0" w:color="auto"/>
                            <w:left w:val="none" w:sz="0" w:space="0" w:color="auto"/>
                            <w:bottom w:val="none" w:sz="0" w:space="0" w:color="auto"/>
                            <w:right w:val="none" w:sz="0" w:space="0" w:color="auto"/>
                          </w:divBdr>
                          <w:divsChild>
                            <w:div w:id="1765414458">
                              <w:marLeft w:val="0"/>
                              <w:marRight w:val="0"/>
                              <w:marTop w:val="0"/>
                              <w:marBottom w:val="0"/>
                              <w:divBdr>
                                <w:top w:val="single" w:sz="6" w:space="0" w:color="828282"/>
                                <w:left w:val="single" w:sz="6" w:space="0" w:color="828282"/>
                                <w:bottom w:val="single" w:sz="6" w:space="0" w:color="828282"/>
                                <w:right w:val="single" w:sz="6" w:space="0" w:color="828282"/>
                              </w:divBdr>
                              <w:divsChild>
                                <w:div w:id="1225068975">
                                  <w:marLeft w:val="0"/>
                                  <w:marRight w:val="0"/>
                                  <w:marTop w:val="0"/>
                                  <w:marBottom w:val="0"/>
                                  <w:divBdr>
                                    <w:top w:val="none" w:sz="0" w:space="0" w:color="auto"/>
                                    <w:left w:val="none" w:sz="0" w:space="0" w:color="auto"/>
                                    <w:bottom w:val="none" w:sz="0" w:space="0" w:color="auto"/>
                                    <w:right w:val="none" w:sz="0" w:space="0" w:color="auto"/>
                                  </w:divBdr>
                                  <w:divsChild>
                                    <w:div w:id="2124880473">
                                      <w:marLeft w:val="0"/>
                                      <w:marRight w:val="0"/>
                                      <w:marTop w:val="0"/>
                                      <w:marBottom w:val="0"/>
                                      <w:divBdr>
                                        <w:top w:val="none" w:sz="0" w:space="0" w:color="auto"/>
                                        <w:left w:val="none" w:sz="0" w:space="0" w:color="auto"/>
                                        <w:bottom w:val="none" w:sz="0" w:space="0" w:color="auto"/>
                                        <w:right w:val="none" w:sz="0" w:space="0" w:color="auto"/>
                                      </w:divBdr>
                                      <w:divsChild>
                                        <w:div w:id="36902320">
                                          <w:marLeft w:val="0"/>
                                          <w:marRight w:val="0"/>
                                          <w:marTop w:val="0"/>
                                          <w:marBottom w:val="0"/>
                                          <w:divBdr>
                                            <w:top w:val="none" w:sz="0" w:space="0" w:color="auto"/>
                                            <w:left w:val="none" w:sz="0" w:space="0" w:color="auto"/>
                                            <w:bottom w:val="none" w:sz="0" w:space="0" w:color="auto"/>
                                            <w:right w:val="none" w:sz="0" w:space="0" w:color="auto"/>
                                          </w:divBdr>
                                          <w:divsChild>
                                            <w:div w:id="1244876559">
                                              <w:marLeft w:val="0"/>
                                              <w:marRight w:val="0"/>
                                              <w:marTop w:val="0"/>
                                              <w:marBottom w:val="0"/>
                                              <w:divBdr>
                                                <w:top w:val="none" w:sz="0" w:space="0" w:color="auto"/>
                                                <w:left w:val="none" w:sz="0" w:space="0" w:color="auto"/>
                                                <w:bottom w:val="none" w:sz="0" w:space="0" w:color="auto"/>
                                                <w:right w:val="none" w:sz="0" w:space="0" w:color="auto"/>
                                              </w:divBdr>
                                              <w:divsChild>
                                                <w:div w:id="914248031">
                                                  <w:marLeft w:val="0"/>
                                                  <w:marRight w:val="0"/>
                                                  <w:marTop w:val="0"/>
                                                  <w:marBottom w:val="0"/>
                                                  <w:divBdr>
                                                    <w:top w:val="none" w:sz="0" w:space="0" w:color="auto"/>
                                                    <w:left w:val="none" w:sz="0" w:space="0" w:color="auto"/>
                                                    <w:bottom w:val="none" w:sz="0" w:space="0" w:color="auto"/>
                                                    <w:right w:val="none" w:sz="0" w:space="0" w:color="auto"/>
                                                  </w:divBdr>
                                                  <w:divsChild>
                                                    <w:div w:id="5038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4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9f7bc583-7cbe-45b9-a2bd-8bbb6543b37e">
      <Value>11</Value>
    </TaxCatchAll>
    <_dlc_DocId xmlns="9f7bc583-7cbe-45b9-a2bd-8bbb6543b37e">2015RG-86-17395</_dlc_DocId>
    <_dlc_DocIdUrl xmlns="9f7bc583-7cbe-45b9-a2bd-8bbb6543b37e">
      <Url>http://tweb/sites/rg/ldp/lmu/_layouts/15/DocIdRedir.aspx?ID=2015RG-86-17395</Url>
      <Description>2015RG-86-17395</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CE89-D835-4064-84B7-260E645DF3D2}">
  <ds:schemaRefs>
    <ds:schemaRef ds:uri="office.server.policy"/>
  </ds:schemaRefs>
</ds:datastoreItem>
</file>

<file path=customXml/itemProps2.xml><?xml version="1.0" encoding="utf-8"?>
<ds:datastoreItem xmlns:ds="http://schemas.openxmlformats.org/officeDocument/2006/customXml" ds:itemID="{610A510A-8CA0-4159-BE1B-2B40464DCD90}">
  <ds:schemaRefs>
    <ds:schemaRef ds:uri="http://purl.org/dc/elements/1.1/"/>
    <ds:schemaRef ds:uri="http://schemas.openxmlformats.org/package/2006/metadata/core-properties"/>
    <ds:schemaRef ds:uri="http://purl.org/dc/dcmitype/"/>
    <ds:schemaRef ds:uri="http://schemas.microsoft.com/office/infopath/2007/PartnerControls"/>
    <ds:schemaRef ds:uri="9f7bc583-7cbe-45b9-a2bd-8bbb6543b37e"/>
    <ds:schemaRef ds:uri="http://schemas.microsoft.com/office/2006/metadata/properties"/>
    <ds:schemaRef ds:uri="http://schemas.microsoft.com/office/2006/documentManagement/types"/>
    <ds:schemaRef ds:uri="http://www.w3.org/XML/1998/namespace"/>
    <ds:schemaRef ds:uri="http://schemas.microsoft.com/sharepoint/v4"/>
    <ds:schemaRef ds:uri="http://schemas.microsoft.com/sharepoint/v3"/>
    <ds:schemaRef ds:uri="http://purl.org/dc/terms/"/>
  </ds:schemaRefs>
</ds:datastoreItem>
</file>

<file path=customXml/itemProps3.xml><?xml version="1.0" encoding="utf-8"?>
<ds:datastoreItem xmlns:ds="http://schemas.openxmlformats.org/officeDocument/2006/customXml" ds:itemID="{C7BA907A-21BE-4210-B748-C4EB5E6A53D8}">
  <ds:schemaRefs>
    <ds:schemaRef ds:uri="http://schemas.microsoft.com/sharepoint/v3/contenttype/forms"/>
  </ds:schemaRefs>
</ds:datastoreItem>
</file>

<file path=customXml/itemProps4.xml><?xml version="1.0" encoding="utf-8"?>
<ds:datastoreItem xmlns:ds="http://schemas.openxmlformats.org/officeDocument/2006/customXml" ds:itemID="{6878CE63-DC0D-4DF9-8BC3-2414E3EE6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E5983-DDC5-435E-ABC6-4840D6CF1FC8}">
  <ds:schemaRefs>
    <ds:schemaRef ds:uri="http://schemas.microsoft.com/sharepoint/events"/>
  </ds:schemaRefs>
</ds:datastoreItem>
</file>

<file path=customXml/itemProps6.xml><?xml version="1.0" encoding="utf-8"?>
<ds:datastoreItem xmlns:ds="http://schemas.openxmlformats.org/officeDocument/2006/customXml" ds:itemID="{C400FD5A-CD40-434E-8F37-B7B4F884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6751</Words>
  <Characters>38481</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Explanatory Statement for PRRT Reg</vt:lpstr>
    </vt:vector>
  </TitlesOfParts>
  <Company>Australian Government - The Treasury</Company>
  <LinksUpToDate>false</LinksUpToDate>
  <CharactersWithSpaces>45142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PRRT Reg</dc:title>
  <dc:creator>Cavenagh, Laurel</dc:creator>
  <cp:lastModifiedBy>Alabaster, John</cp:lastModifiedBy>
  <cp:revision>2</cp:revision>
  <cp:lastPrinted>2015-11-13T03:02:00Z</cp:lastPrinted>
  <dcterms:created xsi:type="dcterms:W3CDTF">2015-12-08T05:38:00Z</dcterms:created>
  <dcterms:modified xsi:type="dcterms:W3CDTF">2015-12-08T05:38:00Z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3fce56fc-2493-41a7-ad34-79e2b5269e40</vt:lpwstr>
  </property>
  <property fmtid="{D5CDD505-2E9C-101B-9397-08002B2CF9AE}" pid="5" name="_NewReviewCycle">
    <vt:lpwstr/>
  </property>
  <property fmtid="{D5CDD505-2E9C-101B-9397-08002B2CF9AE}" pid="6" name="RecordPoint_ActiveItemUniqueId">
    <vt:lpwstr>{68abef0d-2232-4a69-afd5-5723940b2879}</vt:lpwstr>
  </property>
  <property fmtid="{D5CDD505-2E9C-101B-9397-08002B2CF9AE}" pid="7" name="RecordPoint_WorkflowType">
    <vt:lpwstr>ActiveSubmitStub</vt:lpwstr>
  </property>
  <property fmtid="{D5CDD505-2E9C-101B-9397-08002B2CF9AE}" pid="8" name="RecordPoint_ActiveItemListId">
    <vt:lpwstr>{687b78b0-2ddd-4441-8a8b-c9638c2a1939}</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RecordPoint_RecordNumberSubmitted">
    <vt:lpwstr>R0000232514</vt:lpwstr>
  </property>
  <property fmtid="{D5CDD505-2E9C-101B-9397-08002B2CF9AE}" pid="12" name="_dlc_policyId">
    <vt:lpwstr/>
  </property>
  <property fmtid="{D5CDD505-2E9C-101B-9397-08002B2CF9AE}" pid="13" name="ItemRetentionFormula">
    <vt:lpwstr/>
  </property>
  <property fmtid="{D5CDD505-2E9C-101B-9397-08002B2CF9AE}" pid="14" name="Security Classification">
    <vt:lpwstr>1;#UNCLASSIFIED|1bbb598d-ed8e-4faa-b9b5-c952cc7313f8</vt:lpwstr>
  </property>
  <property fmtid="{D5CDD505-2E9C-101B-9397-08002B2CF9AE}" pid="15" name="RecordPoint_SubmissionDate">
    <vt:lpwstr/>
  </property>
  <property fmtid="{D5CDD505-2E9C-101B-9397-08002B2CF9AE}" pid="16" name="RecordPoint_RecordFormat">
    <vt:lpwstr/>
  </property>
  <property fmtid="{D5CDD505-2E9C-101B-9397-08002B2CF9AE}" pid="17" name="RecordPoint_ActiveItemMoved">
    <vt:lpwstr/>
  </property>
  <property fmtid="{D5CDD505-2E9C-101B-9397-08002B2CF9AE}" pid="18" name="RecordPoint_SubmissionCompleted">
    <vt:lpwstr>2015-11-16T09:28:32.6453227+11:00</vt:lpwstr>
  </property>
  <property fmtid="{D5CDD505-2E9C-101B-9397-08002B2CF9AE}" pid="19" name="_AdHocReviewCycleID">
    <vt:i4>-1945164403</vt:i4>
  </property>
  <property fmtid="{D5CDD505-2E9C-101B-9397-08002B2CF9AE}" pid="20" name="_EmailSubject">
    <vt:lpwstr>ExCo Documents -  Petroleum Resource Rent Tax Assessment Regulation 2015 [DLM=Sensitive:Legal]</vt:lpwstr>
  </property>
  <property fmtid="{D5CDD505-2E9C-101B-9397-08002B2CF9AE}" pid="21" name="_AuthorEmail">
    <vt:lpwstr>Richard.Murphy@treasury.gov.au</vt:lpwstr>
  </property>
  <property fmtid="{D5CDD505-2E9C-101B-9397-08002B2CF9AE}" pid="22" name="_AuthorEmailDisplayName">
    <vt:lpwstr>Murphy, Richard</vt:lpwstr>
  </property>
  <property fmtid="{D5CDD505-2E9C-101B-9397-08002B2CF9AE}" pid="23" name="_ReviewingToolsShownOnce">
    <vt:lpwstr/>
  </property>
</Properties>
</file>