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D" w:rsidRPr="00C526DD" w:rsidRDefault="00403852" w:rsidP="00403852">
      <w:pPr>
        <w:pStyle w:val="ShortT0"/>
        <w:rPr>
          <w:sz w:val="36"/>
          <w:szCs w:val="36"/>
        </w:rPr>
      </w:pPr>
      <w:r w:rsidRPr="00DE2DDB">
        <w:rPr>
          <w:lang w:eastAsia="en-US"/>
        </w:rPr>
        <w:t xml:space="preserve">Defence Force Retirement and Death Benefits </w:t>
      </w:r>
      <w:r w:rsidRPr="00C20804">
        <w:t>(Surcharge Deduction Amount—Conversion Factors) Determination 2015</w:t>
      </w:r>
      <w:r>
        <w:t xml:space="preserve"> </w:t>
      </w:r>
      <w:r w:rsidR="00C526DD" w:rsidRPr="00C526DD">
        <w:rPr>
          <w:sz w:val="36"/>
          <w:szCs w:val="36"/>
        </w:rPr>
        <w:t>– Explanatory Statement</w:t>
      </w:r>
    </w:p>
    <w:p w:rsidR="00C526DD" w:rsidRPr="00C526DD" w:rsidRDefault="00C526DD" w:rsidP="00C526DD"/>
    <w:p w:rsidR="00C526DD" w:rsidRDefault="00C526DD" w:rsidP="00C526DD">
      <w:pPr>
        <w:pStyle w:val="A1"/>
        <w:spacing w:before="240"/>
      </w:pPr>
    </w:p>
    <w:p w:rsidR="00C526DD" w:rsidRPr="00D12EF0" w:rsidRDefault="00C526DD" w:rsidP="0066086E">
      <w:pPr>
        <w:pStyle w:val="A1"/>
        <w:spacing w:before="0"/>
        <w:ind w:left="709" w:hanging="709"/>
        <w:rPr>
          <w:rFonts w:cs="Arial"/>
        </w:rPr>
      </w:pPr>
      <w:r w:rsidRPr="00D12EF0">
        <w:rPr>
          <w:rFonts w:cs="Arial"/>
        </w:rPr>
        <w:t>1</w:t>
      </w:r>
      <w:r w:rsidRPr="00D12EF0">
        <w:rPr>
          <w:rFonts w:cs="Arial"/>
        </w:rPr>
        <w:tab/>
        <w:t>Name of Determination</w:t>
      </w:r>
    </w:p>
    <w:p w:rsidR="00C526DD" w:rsidRPr="004A033D" w:rsidRDefault="00C526DD" w:rsidP="0066086E"/>
    <w:p w:rsidR="00C526DD" w:rsidRDefault="00C526DD" w:rsidP="0066086E">
      <w:pPr>
        <w:pStyle w:val="NormalWeb"/>
        <w:ind w:left="709"/>
      </w:pPr>
      <w:r w:rsidRPr="004A033D">
        <w:t xml:space="preserve">This </w:t>
      </w:r>
      <w:r w:rsidR="0023522A">
        <w:t>D</w:t>
      </w:r>
      <w:r w:rsidR="003F1C8C" w:rsidRPr="004A033D">
        <w:t xml:space="preserve">etermination </w:t>
      </w:r>
      <w:r w:rsidRPr="004A033D">
        <w:t xml:space="preserve">is the </w:t>
      </w:r>
      <w:r w:rsidR="00D467EF" w:rsidRPr="00DE2DDB">
        <w:t xml:space="preserve">Defence Force Retirement and Death Benefits </w:t>
      </w:r>
      <w:r w:rsidR="00D467EF" w:rsidRPr="00C20804">
        <w:t>(Surcharge Deduction Amount—Conversion Factors) Determination 2015</w:t>
      </w:r>
      <w:r w:rsidRPr="004A033D">
        <w:t>.</w:t>
      </w:r>
    </w:p>
    <w:p w:rsidR="0066086E" w:rsidRPr="004A033D" w:rsidRDefault="0066086E" w:rsidP="0066086E">
      <w:pPr>
        <w:pStyle w:val="NormalWeb"/>
        <w:ind w:left="709"/>
      </w:pPr>
    </w:p>
    <w:p w:rsidR="0023522A" w:rsidRPr="00D12EF0" w:rsidRDefault="0023522A" w:rsidP="0066086E">
      <w:pPr>
        <w:pStyle w:val="A1"/>
        <w:spacing w:before="0"/>
        <w:ind w:left="709" w:hanging="709"/>
        <w:rPr>
          <w:rFonts w:cs="Arial"/>
        </w:rPr>
      </w:pPr>
      <w:r w:rsidRPr="00D12EF0">
        <w:rPr>
          <w:rFonts w:cs="Arial"/>
        </w:rPr>
        <w:t>2</w:t>
      </w:r>
      <w:r w:rsidRPr="00D12EF0">
        <w:rPr>
          <w:rFonts w:cs="Arial"/>
        </w:rPr>
        <w:tab/>
        <w:t>Commencement</w:t>
      </w:r>
    </w:p>
    <w:p w:rsidR="0023522A" w:rsidRPr="004A033D" w:rsidRDefault="0023522A" w:rsidP="0066086E">
      <w:pPr>
        <w:ind w:left="709"/>
      </w:pPr>
    </w:p>
    <w:p w:rsidR="0023522A" w:rsidRDefault="0023522A" w:rsidP="0066086E">
      <w:pPr>
        <w:pStyle w:val="BodyText"/>
        <w:ind w:left="709"/>
      </w:pPr>
      <w:r w:rsidRPr="004A033D">
        <w:tab/>
        <w:t>This Determination commences on the day after it is registered on the Federal Register of Legislative Instruments.</w:t>
      </w:r>
    </w:p>
    <w:p w:rsidR="0066086E" w:rsidRPr="004A033D" w:rsidRDefault="0066086E" w:rsidP="0066086E">
      <w:pPr>
        <w:pStyle w:val="BodyText"/>
        <w:ind w:left="709"/>
      </w:pPr>
    </w:p>
    <w:p w:rsidR="003C466E" w:rsidRPr="00D12EF0" w:rsidRDefault="0023522A" w:rsidP="0066086E">
      <w:pPr>
        <w:pStyle w:val="A1"/>
        <w:spacing w:before="0"/>
        <w:ind w:left="709" w:hanging="709"/>
        <w:rPr>
          <w:rFonts w:cs="Arial"/>
        </w:rPr>
      </w:pPr>
      <w:r w:rsidRPr="00D12EF0">
        <w:rPr>
          <w:rFonts w:cs="Arial"/>
        </w:rPr>
        <w:t>3</w:t>
      </w:r>
      <w:r w:rsidR="004D6B67" w:rsidRPr="00D12EF0">
        <w:rPr>
          <w:rFonts w:cs="Arial"/>
        </w:rPr>
        <w:tab/>
        <w:t>Authority for this</w:t>
      </w:r>
      <w:r w:rsidR="003C466E" w:rsidRPr="00D12EF0">
        <w:rPr>
          <w:rFonts w:cs="Arial"/>
        </w:rPr>
        <w:t xml:space="preserve"> Determination</w:t>
      </w:r>
    </w:p>
    <w:p w:rsidR="003C466E" w:rsidRPr="004A033D" w:rsidRDefault="003C466E" w:rsidP="0066086E">
      <w:pPr>
        <w:tabs>
          <w:tab w:val="left" w:pos="900"/>
        </w:tabs>
        <w:ind w:left="709" w:hanging="709"/>
        <w:rPr>
          <w:b/>
        </w:rPr>
      </w:pPr>
    </w:p>
    <w:p w:rsidR="003C466E" w:rsidRPr="004A033D" w:rsidRDefault="003C466E" w:rsidP="0066086E">
      <w:pPr>
        <w:tabs>
          <w:tab w:val="left" w:pos="900"/>
        </w:tabs>
        <w:ind w:left="709" w:hanging="709"/>
      </w:pPr>
      <w:r w:rsidRPr="004A033D">
        <w:rPr>
          <w:b/>
        </w:rPr>
        <w:tab/>
      </w:r>
      <w:r w:rsidRPr="004A033D">
        <w:t>Th</w:t>
      </w:r>
      <w:r w:rsidR="00364B8E">
        <w:t xml:space="preserve">is Determination is </w:t>
      </w:r>
      <w:r w:rsidRPr="004A033D">
        <w:t xml:space="preserve">made under subsection </w:t>
      </w:r>
      <w:proofErr w:type="gramStart"/>
      <w:r w:rsidR="00D467EF">
        <w:t>124A(</w:t>
      </w:r>
      <w:proofErr w:type="gramEnd"/>
      <w:r w:rsidR="00D467EF">
        <w:t xml:space="preserve">1) </w:t>
      </w:r>
      <w:r w:rsidRPr="004A033D">
        <w:t>of the</w:t>
      </w:r>
      <w:r w:rsidR="00DA78C1">
        <w:t xml:space="preserve"> </w:t>
      </w:r>
      <w:r w:rsidR="00DA78C1">
        <w:rPr>
          <w:i/>
        </w:rPr>
        <w:t>Defence Force Retirement and Death Benefits Act 1973</w:t>
      </w:r>
      <w:r w:rsidR="00EF4E59" w:rsidRPr="004A033D">
        <w:t xml:space="preserve"> (the </w:t>
      </w:r>
      <w:r w:rsidR="00DA78C1">
        <w:t>DFRDB</w:t>
      </w:r>
      <w:r w:rsidR="00C8021C" w:rsidRPr="004A033D">
        <w:t xml:space="preserve"> Act</w:t>
      </w:r>
      <w:r w:rsidR="00EF4E59" w:rsidRPr="004A033D">
        <w:t>)</w:t>
      </w:r>
      <w:r w:rsidRPr="004A033D">
        <w:t>.</w:t>
      </w:r>
    </w:p>
    <w:p w:rsidR="002840C4" w:rsidRPr="004A033D" w:rsidRDefault="002840C4" w:rsidP="0066086E">
      <w:pPr>
        <w:pStyle w:val="BodyText"/>
        <w:rPr>
          <w:lang w:val="en-US"/>
        </w:rPr>
      </w:pPr>
    </w:p>
    <w:p w:rsidR="00C526DD" w:rsidRPr="00D12EF0" w:rsidRDefault="003C466E" w:rsidP="0066086E">
      <w:pPr>
        <w:pStyle w:val="A1"/>
        <w:spacing w:before="0" w:line="240" w:lineRule="auto"/>
        <w:ind w:left="709" w:hanging="709"/>
        <w:rPr>
          <w:rFonts w:cs="Arial"/>
        </w:rPr>
      </w:pPr>
      <w:r w:rsidRPr="00D12EF0">
        <w:rPr>
          <w:rFonts w:cs="Arial"/>
        </w:rPr>
        <w:t>4</w:t>
      </w:r>
      <w:r w:rsidR="00C526DD" w:rsidRPr="00D12EF0">
        <w:rPr>
          <w:rFonts w:cs="Arial"/>
        </w:rPr>
        <w:tab/>
      </w:r>
      <w:r w:rsidRPr="00D12EF0">
        <w:rPr>
          <w:rFonts w:cs="Arial"/>
        </w:rPr>
        <w:t xml:space="preserve">Purpose </w:t>
      </w:r>
      <w:r w:rsidR="0028155C" w:rsidRPr="00D12EF0">
        <w:rPr>
          <w:rFonts w:cs="Arial"/>
        </w:rPr>
        <w:t xml:space="preserve">and operation </w:t>
      </w:r>
      <w:r w:rsidRPr="00D12EF0">
        <w:rPr>
          <w:rFonts w:cs="Arial"/>
        </w:rPr>
        <w:t>of th</w:t>
      </w:r>
      <w:r w:rsidR="004D6B67" w:rsidRPr="00D12EF0">
        <w:rPr>
          <w:rFonts w:cs="Arial"/>
        </w:rPr>
        <w:t>is</w:t>
      </w:r>
      <w:r w:rsidRPr="00D12EF0">
        <w:rPr>
          <w:rFonts w:cs="Arial"/>
        </w:rPr>
        <w:t xml:space="preserve"> Determination</w:t>
      </w:r>
    </w:p>
    <w:p w:rsidR="00554DA6" w:rsidRDefault="00554DA6" w:rsidP="0066086E">
      <w:pPr>
        <w:pStyle w:val="shortt"/>
        <w:spacing w:before="0" w:beforeAutospacing="0" w:after="0" w:afterAutospacing="0"/>
        <w:ind w:left="709"/>
        <w:rPr>
          <w:color w:val="000000"/>
        </w:rPr>
      </w:pPr>
    </w:p>
    <w:p w:rsidR="0010780F" w:rsidRPr="0010780F" w:rsidRDefault="0010780F" w:rsidP="0066086E">
      <w:pPr>
        <w:pStyle w:val="shortt"/>
        <w:spacing w:before="0" w:beforeAutospacing="0" w:after="0" w:afterAutospacing="0"/>
        <w:ind w:left="709"/>
        <w:rPr>
          <w:i/>
          <w:color w:val="000000"/>
        </w:rPr>
      </w:pPr>
      <w:r>
        <w:rPr>
          <w:i/>
          <w:color w:val="000000"/>
        </w:rPr>
        <w:t>Background</w:t>
      </w:r>
    </w:p>
    <w:p w:rsidR="0010780F" w:rsidRPr="00404908" w:rsidRDefault="0010780F" w:rsidP="0066086E">
      <w:pPr>
        <w:pStyle w:val="shortt"/>
        <w:spacing w:before="0" w:beforeAutospacing="0" w:after="0" w:afterAutospacing="0"/>
        <w:ind w:left="709"/>
        <w:rPr>
          <w:color w:val="000000"/>
        </w:rPr>
      </w:pPr>
    </w:p>
    <w:p w:rsidR="00004DB8" w:rsidRDefault="00404908" w:rsidP="0066086E">
      <w:pPr>
        <w:pStyle w:val="shortt"/>
        <w:spacing w:before="0" w:beforeAutospacing="0" w:after="0" w:afterAutospacing="0"/>
        <w:ind w:left="709"/>
      </w:pPr>
      <w:r w:rsidRPr="00004DB8">
        <w:t xml:space="preserve">The </w:t>
      </w:r>
      <w:r w:rsidRPr="00004DB8">
        <w:rPr>
          <w:i/>
          <w:iCs/>
        </w:rPr>
        <w:t>Superannuation Legislation Amendment (Superannuation Contributions Tax) Act 1997</w:t>
      </w:r>
      <w:r w:rsidRPr="00004DB8">
        <w:t xml:space="preserve"> (No.187/1997) amended the DFRDB Act by in</w:t>
      </w:r>
      <w:r w:rsidR="0070010B">
        <w:t xml:space="preserve">serting </w:t>
      </w:r>
      <w:r w:rsidRPr="00004DB8">
        <w:t>section 6C</w:t>
      </w:r>
      <w:r w:rsidR="0070010B">
        <w:t xml:space="preserve"> into the Act</w:t>
      </w:r>
      <w:r w:rsidR="00004DB8" w:rsidRPr="00004DB8">
        <w:t xml:space="preserve">. </w:t>
      </w:r>
    </w:p>
    <w:p w:rsidR="00272778" w:rsidRPr="00272778" w:rsidRDefault="00FF7D3B" w:rsidP="00272778">
      <w:pPr>
        <w:pStyle w:val="subsection2"/>
        <w:ind w:left="709"/>
        <w:rPr>
          <w:rFonts w:ascii="Helvetica Neue" w:eastAsia="Times New Roman" w:hAnsi="Helvetica Neue"/>
          <w:lang w:val="en-US"/>
        </w:rPr>
      </w:pPr>
      <w:r>
        <w:t xml:space="preserve">Under </w:t>
      </w:r>
      <w:r w:rsidR="00004DB8" w:rsidRPr="00272778">
        <w:t xml:space="preserve">section 6C of the DFRDB Act, </w:t>
      </w:r>
      <w:r w:rsidR="00272778" w:rsidRPr="00272778">
        <w:t xml:space="preserve">if </w:t>
      </w:r>
      <w:r>
        <w:t xml:space="preserve">a </w:t>
      </w:r>
      <w:r w:rsidR="00272778" w:rsidRPr="00272778">
        <w:t>member’s</w:t>
      </w:r>
      <w:r w:rsidR="00004DB8" w:rsidRPr="00272778">
        <w:t xml:space="preserve"> surcharge debt </w:t>
      </w:r>
      <w:r w:rsidR="00272778" w:rsidRPr="00272778">
        <w:t xml:space="preserve">account </w:t>
      </w:r>
      <w:r w:rsidR="00004DB8" w:rsidRPr="00272778">
        <w:t>applicable</w:t>
      </w:r>
      <w:r w:rsidR="005876E1" w:rsidRPr="00272778">
        <w:t xml:space="preserve"> under the </w:t>
      </w:r>
      <w:r w:rsidR="00C65AA8" w:rsidRPr="00272778">
        <w:rPr>
          <w:bCs/>
          <w:i/>
        </w:rPr>
        <w:t xml:space="preserve">Superannuation Contributions Tax (Assessment and Collection) Act 1997 </w:t>
      </w:r>
      <w:r w:rsidR="00272778" w:rsidRPr="00272778">
        <w:t>is in debit a</w:t>
      </w:r>
      <w:r w:rsidR="00004DB8" w:rsidRPr="00272778">
        <w:t xml:space="preserve">t the time a benefit becomes payable </w:t>
      </w:r>
      <w:r w:rsidR="0070010B">
        <w:t>to or in respect of the member</w:t>
      </w:r>
      <w:r w:rsidR="00272778" w:rsidRPr="00272778">
        <w:t xml:space="preserve">, </w:t>
      </w:r>
      <w:r w:rsidR="00272778" w:rsidRPr="00272778">
        <w:rPr>
          <w:rFonts w:ascii="Helvetica Neue" w:eastAsia="Times New Roman" w:hAnsi="Helvetica Neue"/>
        </w:rPr>
        <w:t>C</w:t>
      </w:r>
      <w:r w:rsidR="006A6188">
        <w:rPr>
          <w:rFonts w:ascii="Helvetica Neue" w:eastAsia="Times New Roman" w:hAnsi="Helvetica Neue"/>
        </w:rPr>
        <w:t xml:space="preserve">ommonwealth Superannuation Corporation (CSC), the statutory body legally </w:t>
      </w:r>
      <w:r w:rsidR="006A6188">
        <w:rPr>
          <w:rFonts w:ascii="Helvetica Neue" w:eastAsia="Times New Roman" w:hAnsi="Helvetica Neue" w:hint="eastAsia"/>
        </w:rPr>
        <w:t>responsible</w:t>
      </w:r>
      <w:r w:rsidR="006A6188">
        <w:rPr>
          <w:rFonts w:ascii="Helvetica Neue" w:eastAsia="Times New Roman" w:hAnsi="Helvetica Neue"/>
        </w:rPr>
        <w:t xml:space="preserve"> for the </w:t>
      </w:r>
      <w:r w:rsidR="006A6188">
        <w:rPr>
          <w:rFonts w:ascii="Helvetica Neue" w:eastAsia="Times New Roman" w:hAnsi="Helvetica Neue" w:hint="eastAsia"/>
        </w:rPr>
        <w:t>administration</w:t>
      </w:r>
      <w:r w:rsidR="006A6188">
        <w:rPr>
          <w:rFonts w:ascii="Helvetica Neue" w:eastAsia="Times New Roman" w:hAnsi="Helvetica Neue"/>
        </w:rPr>
        <w:t xml:space="preserve"> of the DFRDB Act, </w:t>
      </w:r>
      <w:r w:rsidR="00272778" w:rsidRPr="00272778">
        <w:rPr>
          <w:rFonts w:ascii="Helvetica Neue" w:eastAsia="Times New Roman" w:hAnsi="Helvetica Neue"/>
        </w:rPr>
        <w:t>must determine in writing the surcharge deduction amount that, in its opinion, it would be fair and reasonable to take into account in working out the amount of those benefits.</w:t>
      </w:r>
    </w:p>
    <w:p w:rsidR="0010780F" w:rsidRPr="0010780F" w:rsidRDefault="0010780F" w:rsidP="003B01EB">
      <w:pPr>
        <w:pStyle w:val="shortt"/>
        <w:spacing w:before="0" w:beforeAutospacing="0" w:after="0" w:afterAutospacing="0"/>
        <w:ind w:left="709"/>
        <w:rPr>
          <w:i/>
          <w:color w:val="000000"/>
        </w:rPr>
      </w:pPr>
      <w:r>
        <w:rPr>
          <w:i/>
          <w:color w:val="000000"/>
        </w:rPr>
        <w:t>Member election</w:t>
      </w:r>
    </w:p>
    <w:p w:rsidR="0010780F" w:rsidRDefault="0010780F" w:rsidP="003B01EB">
      <w:pPr>
        <w:pStyle w:val="shortt"/>
        <w:spacing w:before="0" w:beforeAutospacing="0" w:after="0" w:afterAutospacing="0"/>
        <w:ind w:left="709"/>
        <w:rPr>
          <w:color w:val="000000"/>
        </w:rPr>
      </w:pPr>
    </w:p>
    <w:p w:rsidR="00272778" w:rsidRPr="003B01EB" w:rsidRDefault="00272778" w:rsidP="003B01EB">
      <w:pPr>
        <w:pStyle w:val="shortt"/>
        <w:spacing w:before="0" w:beforeAutospacing="0" w:after="0" w:afterAutospacing="0"/>
        <w:ind w:left="709"/>
        <w:rPr>
          <w:color w:val="000000"/>
        </w:rPr>
      </w:pPr>
      <w:r w:rsidRPr="003B01EB">
        <w:rPr>
          <w:color w:val="000000"/>
        </w:rPr>
        <w:t xml:space="preserve">Subsection 124(1) of the DFRDB Act provides that a </w:t>
      </w:r>
      <w:r w:rsidRPr="003B01EB">
        <w:t xml:space="preserve">member of the </w:t>
      </w:r>
      <w:r w:rsidR="009E18EF">
        <w:t xml:space="preserve">DFRDB </w:t>
      </w:r>
      <w:r w:rsidRPr="003B01EB">
        <w:t xml:space="preserve">scheme whose surcharge debt account is in debit when benefits (other than deferred benefits) become payable to the member under the DFRDB Act may elect in writing that those benefits </w:t>
      </w:r>
      <w:r w:rsidR="0070010B">
        <w:t xml:space="preserve">(instead of any productivity superannuation benefit) </w:t>
      </w:r>
      <w:r w:rsidRPr="003B01EB">
        <w:t>be adjusted to take the member’s surcharge deduction amount into account.</w:t>
      </w:r>
    </w:p>
    <w:p w:rsidR="00272778" w:rsidRDefault="00272778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</w:p>
    <w:p w:rsidR="00272778" w:rsidRDefault="003B01EB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  <w:r>
        <w:rPr>
          <w:color w:val="000000"/>
        </w:rPr>
        <w:tab/>
      </w:r>
      <w:r w:rsidR="00272778">
        <w:rPr>
          <w:color w:val="000000"/>
        </w:rPr>
        <w:t>For example, a person entitled to r</w:t>
      </w:r>
      <w:r w:rsidR="005876E1">
        <w:rPr>
          <w:color w:val="000000"/>
        </w:rPr>
        <w:t>etirement pay</w:t>
      </w:r>
      <w:r w:rsidR="00272778">
        <w:rPr>
          <w:color w:val="000000"/>
        </w:rPr>
        <w:t xml:space="preserve"> </w:t>
      </w:r>
      <w:r w:rsidR="001A6794">
        <w:rPr>
          <w:color w:val="000000"/>
        </w:rPr>
        <w:t xml:space="preserve">under section 23 of the DFRDB Act </w:t>
      </w:r>
      <w:r w:rsidR="00272778">
        <w:rPr>
          <w:color w:val="000000"/>
        </w:rPr>
        <w:t xml:space="preserve">may </w:t>
      </w:r>
      <w:r w:rsidR="00FF7D3B">
        <w:rPr>
          <w:color w:val="000000"/>
        </w:rPr>
        <w:t xml:space="preserve">make an election under </w:t>
      </w:r>
      <w:r w:rsidR="00272778">
        <w:rPr>
          <w:color w:val="000000"/>
        </w:rPr>
        <w:t>subsection 124(1) of the DFRDB Act</w:t>
      </w:r>
      <w:r w:rsidR="00FF7D3B">
        <w:rPr>
          <w:color w:val="000000"/>
        </w:rPr>
        <w:t xml:space="preserve">. The </w:t>
      </w:r>
      <w:r w:rsidR="009E18EF">
        <w:rPr>
          <w:color w:val="000000"/>
        </w:rPr>
        <w:t xml:space="preserve">person’s </w:t>
      </w:r>
      <w:r w:rsidR="00C20E41">
        <w:rPr>
          <w:color w:val="000000"/>
        </w:rPr>
        <w:t xml:space="preserve">retirement pay is </w:t>
      </w:r>
      <w:r w:rsidR="00FF7D3B">
        <w:rPr>
          <w:color w:val="000000"/>
        </w:rPr>
        <w:t xml:space="preserve">then </w:t>
      </w:r>
      <w:r w:rsidR="00C20E41">
        <w:rPr>
          <w:color w:val="000000"/>
        </w:rPr>
        <w:t>reduced in accordance with the formula s</w:t>
      </w:r>
      <w:r>
        <w:rPr>
          <w:color w:val="000000"/>
        </w:rPr>
        <w:t xml:space="preserve">et out in </w:t>
      </w:r>
      <w:r w:rsidR="00272778">
        <w:rPr>
          <w:color w:val="000000"/>
        </w:rPr>
        <w:t xml:space="preserve">subsection </w:t>
      </w:r>
      <w:r w:rsidR="00272778">
        <w:rPr>
          <w:color w:val="000000"/>
        </w:rPr>
        <w:lastRenderedPageBreak/>
        <w:t>2</w:t>
      </w:r>
      <w:r w:rsidR="001A6794">
        <w:rPr>
          <w:color w:val="000000"/>
        </w:rPr>
        <w:t>3</w:t>
      </w:r>
      <w:r w:rsidR="00272778">
        <w:rPr>
          <w:color w:val="000000"/>
        </w:rPr>
        <w:t>(</w:t>
      </w:r>
      <w:r w:rsidR="001A6794">
        <w:rPr>
          <w:color w:val="000000"/>
        </w:rPr>
        <w:t>6</w:t>
      </w:r>
      <w:r w:rsidR="00272778">
        <w:rPr>
          <w:color w:val="000000"/>
        </w:rPr>
        <w:t xml:space="preserve">) </w:t>
      </w:r>
      <w:r>
        <w:rPr>
          <w:color w:val="000000"/>
        </w:rPr>
        <w:t>o</w:t>
      </w:r>
      <w:r w:rsidR="00272778">
        <w:rPr>
          <w:color w:val="000000"/>
        </w:rPr>
        <w:t>f the DFRDB Act</w:t>
      </w:r>
      <w:r w:rsidR="0010780F">
        <w:rPr>
          <w:color w:val="000000"/>
        </w:rPr>
        <w:t>, instead of having the surcharge debt applied to the person’s productivity superannuation benefit</w:t>
      </w:r>
      <w:r w:rsidR="00272778">
        <w:rPr>
          <w:color w:val="000000"/>
        </w:rPr>
        <w:t xml:space="preserve">.  </w:t>
      </w:r>
    </w:p>
    <w:p w:rsidR="0070010B" w:rsidRDefault="0070010B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</w:p>
    <w:p w:rsidR="0010780F" w:rsidRPr="0010780F" w:rsidRDefault="0010780F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i/>
          <w:color w:val="000000"/>
        </w:rPr>
      </w:pPr>
      <w:r>
        <w:rPr>
          <w:color w:val="000000"/>
        </w:rPr>
        <w:tab/>
      </w:r>
      <w:r w:rsidRPr="0010780F">
        <w:rPr>
          <w:i/>
          <w:color w:val="000000"/>
        </w:rPr>
        <w:t>Election in respect of a deceased member</w:t>
      </w:r>
    </w:p>
    <w:p w:rsidR="0010780F" w:rsidRDefault="0010780F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</w:p>
    <w:p w:rsidR="0070010B" w:rsidRPr="0070010B" w:rsidRDefault="0070010B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  <w:r>
        <w:rPr>
          <w:color w:val="000000"/>
        </w:rPr>
        <w:tab/>
      </w:r>
      <w:r w:rsidRPr="0070010B">
        <w:rPr>
          <w:color w:val="000000"/>
        </w:rPr>
        <w:t xml:space="preserve">Subsection 124(2) of the DFRDB Act provides that </w:t>
      </w:r>
      <w:r w:rsidRPr="0070010B">
        <w:rPr>
          <w:rFonts w:ascii="Helvetica Neue" w:hAnsi="Helvetica Neue"/>
        </w:rPr>
        <w:t>when a benefit becomes payable in respect of the member under subsection 48(1) or 48A</w:t>
      </w:r>
      <w:r w:rsidR="005C7069">
        <w:rPr>
          <w:rFonts w:ascii="Helvetica Neue" w:hAnsi="Helvetica Neue"/>
        </w:rPr>
        <w:t xml:space="preserve"> of the Act</w:t>
      </w:r>
      <w:r w:rsidRPr="0070010B">
        <w:rPr>
          <w:rFonts w:ascii="Helvetica Neue" w:hAnsi="Helvetica Neue"/>
        </w:rPr>
        <w:t>, the deceased person</w:t>
      </w:r>
      <w:r w:rsidRPr="0070010B">
        <w:rPr>
          <w:rFonts w:ascii="Helvetica Neue" w:hAnsi="Helvetica Neue" w:hint="eastAsia"/>
        </w:rPr>
        <w:t>’</w:t>
      </w:r>
      <w:r w:rsidRPr="0070010B">
        <w:rPr>
          <w:rFonts w:ascii="Helvetica Neue" w:hAnsi="Helvetica Neue"/>
        </w:rPr>
        <w:t xml:space="preserve">s </w:t>
      </w:r>
      <w:r w:rsidRPr="0070010B">
        <w:rPr>
          <w:rFonts w:ascii="Helvetica Neue" w:hAnsi="Helvetica Neue" w:hint="eastAsia"/>
        </w:rPr>
        <w:t>personal</w:t>
      </w:r>
      <w:r w:rsidRPr="0070010B">
        <w:rPr>
          <w:rFonts w:ascii="Helvetica Neue" w:hAnsi="Helvetica Neue"/>
        </w:rPr>
        <w:t xml:space="preserve"> representative </w:t>
      </w:r>
      <w:r w:rsidR="0010780F">
        <w:rPr>
          <w:rFonts w:ascii="Helvetica Neue" w:hAnsi="Helvetica Neue"/>
        </w:rPr>
        <w:t>(</w:t>
      </w:r>
      <w:r w:rsidRPr="0070010B">
        <w:rPr>
          <w:rFonts w:ascii="Helvetica Neue" w:hAnsi="Helvetica Neue"/>
        </w:rPr>
        <w:t>or, if there is no legal personal representative, another person determined by CSC</w:t>
      </w:r>
      <w:r w:rsidR="0010780F">
        <w:rPr>
          <w:rFonts w:ascii="Helvetica Neue" w:hAnsi="Helvetica Neue"/>
        </w:rPr>
        <w:t>)</w:t>
      </w:r>
      <w:r w:rsidRPr="0070010B">
        <w:rPr>
          <w:rFonts w:ascii="Helvetica Neue" w:hAnsi="Helvetica Neue"/>
        </w:rPr>
        <w:t xml:space="preserve"> may elect in writing that that benefit (instead of any productivity superannuation benefit payable to the member) be adjusted to take the member’s surcharge deduction amount into account.</w:t>
      </w:r>
    </w:p>
    <w:p w:rsidR="00FF7D3B" w:rsidRDefault="00FF7D3B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</w:p>
    <w:p w:rsidR="0010780F" w:rsidRPr="0010780F" w:rsidRDefault="0010780F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Determination of conversion factors</w:t>
      </w:r>
    </w:p>
    <w:p w:rsidR="0010780F" w:rsidRDefault="0010780F" w:rsidP="003B01E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</w:p>
    <w:p w:rsidR="00C65AA8" w:rsidRDefault="003B01EB" w:rsidP="00FF7D3B">
      <w:pPr>
        <w:pStyle w:val="shortt"/>
        <w:tabs>
          <w:tab w:val="left" w:pos="1134"/>
        </w:tabs>
        <w:spacing w:before="0" w:beforeAutospacing="0" w:after="0" w:afterAutospacing="0"/>
        <w:ind w:left="709" w:hanging="425"/>
        <w:rPr>
          <w:color w:val="000000"/>
        </w:rPr>
      </w:pPr>
      <w:r>
        <w:rPr>
          <w:color w:val="000000"/>
        </w:rPr>
        <w:tab/>
      </w:r>
      <w:r w:rsidR="00F71522">
        <w:rPr>
          <w:color w:val="000000"/>
        </w:rPr>
        <w:t>S</w:t>
      </w:r>
      <w:r w:rsidR="005876E1">
        <w:rPr>
          <w:color w:val="000000"/>
        </w:rPr>
        <w:t xml:space="preserve">ubsection </w:t>
      </w:r>
      <w:proofErr w:type="gramStart"/>
      <w:r w:rsidR="00F71522">
        <w:rPr>
          <w:color w:val="000000"/>
        </w:rPr>
        <w:t>124A</w:t>
      </w:r>
      <w:r w:rsidR="005876E1">
        <w:rPr>
          <w:color w:val="000000"/>
        </w:rPr>
        <w:t>(</w:t>
      </w:r>
      <w:proofErr w:type="gramEnd"/>
      <w:r w:rsidR="005876E1">
        <w:rPr>
          <w:color w:val="000000"/>
        </w:rPr>
        <w:t>1)</w:t>
      </w:r>
      <w:r w:rsidR="00F71522">
        <w:rPr>
          <w:color w:val="000000"/>
        </w:rPr>
        <w:t xml:space="preserve"> of the DFRDB Act provides that CSC must</w:t>
      </w:r>
      <w:r w:rsidR="005876E1">
        <w:rPr>
          <w:color w:val="000000"/>
        </w:rPr>
        <w:t>,</w:t>
      </w:r>
      <w:r w:rsidR="00F71522">
        <w:rPr>
          <w:color w:val="000000"/>
        </w:rPr>
        <w:t xml:space="preserve"> </w:t>
      </w:r>
      <w:r w:rsidR="005876E1">
        <w:rPr>
          <w:color w:val="000000"/>
        </w:rPr>
        <w:t>in accordance with advice from the Australian Government Actuary</w:t>
      </w:r>
      <w:r w:rsidR="009E18EF">
        <w:rPr>
          <w:color w:val="000000"/>
        </w:rPr>
        <w:t xml:space="preserve"> (AGA)</w:t>
      </w:r>
      <w:r w:rsidR="005876E1">
        <w:rPr>
          <w:color w:val="000000"/>
        </w:rPr>
        <w:t>, determine in writing the conversion factor that, having regard to</w:t>
      </w:r>
      <w:r w:rsidR="00C65AA8">
        <w:rPr>
          <w:color w:val="000000"/>
        </w:rPr>
        <w:t xml:space="preserve"> </w:t>
      </w:r>
      <w:r w:rsidR="005876E1">
        <w:rPr>
          <w:color w:val="000000"/>
        </w:rPr>
        <w:t xml:space="preserve">the age of a member of the scheme when a benefit becomes payable </w:t>
      </w:r>
      <w:r w:rsidR="00C65AA8">
        <w:rPr>
          <w:color w:val="000000"/>
        </w:rPr>
        <w:t xml:space="preserve">and any other relevant factors is applicable for the purpose of working out, in relation to the member, the yearly amount that would have to be paid to discharge a liability equal to the member’s surcharge deduction amount. </w:t>
      </w:r>
    </w:p>
    <w:p w:rsidR="001A6794" w:rsidRDefault="001A6794" w:rsidP="006A6188">
      <w:pPr>
        <w:pStyle w:val="shortt"/>
        <w:tabs>
          <w:tab w:val="left" w:pos="709"/>
        </w:tabs>
        <w:spacing w:before="0" w:beforeAutospacing="0" w:after="0" w:afterAutospacing="0"/>
        <w:ind w:left="709"/>
        <w:rPr>
          <w:color w:val="000000"/>
        </w:rPr>
      </w:pPr>
    </w:p>
    <w:p w:rsidR="001A6794" w:rsidRDefault="001A6794" w:rsidP="006A6188">
      <w:pPr>
        <w:pStyle w:val="shortt"/>
        <w:tabs>
          <w:tab w:val="left" w:pos="709"/>
        </w:tabs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 xml:space="preserve">In general terms, </w:t>
      </w:r>
      <w:r w:rsidR="00A240F4">
        <w:rPr>
          <w:color w:val="000000"/>
        </w:rPr>
        <w:t>in order to discharge the surcharge deduction amount liability</w:t>
      </w:r>
      <w:r w:rsidR="0010780F">
        <w:rPr>
          <w:color w:val="000000"/>
        </w:rPr>
        <w:t xml:space="preserve"> to or </w:t>
      </w:r>
      <w:r w:rsidR="00EA6F39">
        <w:rPr>
          <w:color w:val="000000"/>
        </w:rPr>
        <w:t xml:space="preserve">in </w:t>
      </w:r>
      <w:r w:rsidR="0010780F">
        <w:rPr>
          <w:color w:val="000000"/>
        </w:rPr>
        <w:t>respect of a member</w:t>
      </w:r>
      <w:r w:rsidR="00A240F4">
        <w:rPr>
          <w:color w:val="000000"/>
        </w:rPr>
        <w:t xml:space="preserve">, </w:t>
      </w:r>
      <w:r>
        <w:rPr>
          <w:color w:val="000000"/>
        </w:rPr>
        <w:t xml:space="preserve">a standard rate of reduction is applied to the starting rate of the benefit, </w:t>
      </w:r>
      <w:r w:rsidR="0010780F">
        <w:rPr>
          <w:color w:val="000000"/>
        </w:rPr>
        <w:t xml:space="preserve">using the conversion factors determined by CSC, </w:t>
      </w:r>
      <w:r>
        <w:rPr>
          <w:color w:val="000000"/>
        </w:rPr>
        <w:t xml:space="preserve">having regard to the person’s age when the benefit becomes payable.  </w:t>
      </w:r>
    </w:p>
    <w:p w:rsidR="0010780F" w:rsidRDefault="0010780F" w:rsidP="00C65AA8">
      <w:pPr>
        <w:pStyle w:val="shortt"/>
        <w:spacing w:before="0" w:beforeAutospacing="0" w:after="0" w:afterAutospacing="0"/>
        <w:ind w:left="709"/>
        <w:rPr>
          <w:color w:val="000000"/>
        </w:rPr>
      </w:pPr>
    </w:p>
    <w:p w:rsidR="0070010B" w:rsidRPr="0070010B" w:rsidRDefault="0070010B" w:rsidP="00C65AA8">
      <w:pPr>
        <w:pStyle w:val="shortt"/>
        <w:spacing w:before="0" w:beforeAutospacing="0" w:after="0" w:afterAutospacing="0"/>
        <w:ind w:left="709"/>
        <w:rPr>
          <w:i/>
          <w:color w:val="000000"/>
        </w:rPr>
      </w:pPr>
      <w:r>
        <w:rPr>
          <w:i/>
          <w:color w:val="000000"/>
        </w:rPr>
        <w:t>Advice from the Australian Government Actuary</w:t>
      </w:r>
    </w:p>
    <w:p w:rsidR="0070010B" w:rsidRDefault="0070010B" w:rsidP="00C65AA8">
      <w:pPr>
        <w:pStyle w:val="shortt"/>
        <w:spacing w:before="0" w:beforeAutospacing="0" w:after="0" w:afterAutospacing="0"/>
        <w:ind w:left="709"/>
        <w:rPr>
          <w:color w:val="000000"/>
        </w:rPr>
      </w:pPr>
    </w:p>
    <w:p w:rsidR="00A81137" w:rsidRPr="00A81137" w:rsidRDefault="003B01EB" w:rsidP="00C65AA8">
      <w:pPr>
        <w:pStyle w:val="shortt"/>
        <w:spacing w:before="0" w:beforeAutospacing="0" w:after="0" w:afterAutospacing="0"/>
        <w:ind w:left="709"/>
        <w:rPr>
          <w:iCs/>
        </w:rPr>
      </w:pPr>
      <w:r>
        <w:rPr>
          <w:color w:val="000000"/>
        </w:rPr>
        <w:t>On 22 September 2015 t</w:t>
      </w:r>
      <w:r w:rsidR="00C65AA8">
        <w:rPr>
          <w:color w:val="000000"/>
        </w:rPr>
        <w:t>he A</w:t>
      </w:r>
      <w:r w:rsidR="009E18EF">
        <w:rPr>
          <w:color w:val="000000"/>
        </w:rPr>
        <w:t>GA</w:t>
      </w:r>
      <w:r w:rsidR="00C65AA8">
        <w:rPr>
          <w:color w:val="000000"/>
        </w:rPr>
        <w:t xml:space="preserve"> </w:t>
      </w:r>
      <w:r w:rsidR="009E18EF">
        <w:rPr>
          <w:color w:val="000000"/>
        </w:rPr>
        <w:t xml:space="preserve">advised CSC of updated </w:t>
      </w:r>
      <w:r>
        <w:rPr>
          <w:color w:val="000000"/>
        </w:rPr>
        <w:t xml:space="preserve">conversion </w:t>
      </w:r>
      <w:r w:rsidR="00C65AA8">
        <w:rPr>
          <w:color w:val="000000"/>
        </w:rPr>
        <w:t xml:space="preserve">factors </w:t>
      </w:r>
      <w:r w:rsidR="009E18EF">
        <w:rPr>
          <w:rFonts w:eastAsiaTheme="minorHAnsi"/>
          <w:color w:val="000000"/>
        </w:rPr>
        <w:t>for the purposes of subsection 124(1) of the DFRDB Act</w:t>
      </w:r>
      <w:r w:rsidR="00C65AA8">
        <w:rPr>
          <w:color w:val="000000"/>
        </w:rPr>
        <w:t xml:space="preserve">. </w:t>
      </w:r>
      <w:r>
        <w:rPr>
          <w:rFonts w:eastAsiaTheme="minorHAnsi"/>
          <w:color w:val="000000"/>
        </w:rPr>
        <w:t>The</w:t>
      </w:r>
      <w:r w:rsidR="009E18EF">
        <w:rPr>
          <w:rFonts w:eastAsiaTheme="minorHAnsi"/>
          <w:color w:val="000000"/>
        </w:rPr>
        <w:t xml:space="preserve">se updated conversion factors </w:t>
      </w:r>
      <w:r w:rsidR="00FF7D3B">
        <w:rPr>
          <w:rFonts w:eastAsiaTheme="minorHAnsi"/>
          <w:color w:val="000000"/>
        </w:rPr>
        <w:t xml:space="preserve">are intended to </w:t>
      </w:r>
      <w:r>
        <w:rPr>
          <w:rFonts w:eastAsiaTheme="minorHAnsi"/>
          <w:color w:val="000000"/>
        </w:rPr>
        <w:t xml:space="preserve">replace </w:t>
      </w:r>
      <w:r w:rsidR="009E18EF">
        <w:rPr>
          <w:rFonts w:eastAsiaTheme="minorHAnsi"/>
          <w:color w:val="000000"/>
        </w:rPr>
        <w:t xml:space="preserve">the </w:t>
      </w:r>
      <w:r>
        <w:rPr>
          <w:rFonts w:eastAsiaTheme="minorHAnsi"/>
          <w:color w:val="000000"/>
        </w:rPr>
        <w:t xml:space="preserve">factors </w:t>
      </w:r>
      <w:r w:rsidR="009E18EF">
        <w:rPr>
          <w:rFonts w:eastAsiaTheme="minorHAnsi"/>
          <w:color w:val="000000"/>
        </w:rPr>
        <w:t xml:space="preserve">last </w:t>
      </w:r>
      <w:r>
        <w:rPr>
          <w:rFonts w:eastAsiaTheme="minorHAnsi"/>
          <w:color w:val="000000"/>
        </w:rPr>
        <w:t>provided by the A</w:t>
      </w:r>
      <w:r w:rsidR="009E18EF">
        <w:rPr>
          <w:rFonts w:eastAsiaTheme="minorHAnsi"/>
          <w:color w:val="000000"/>
        </w:rPr>
        <w:t>GA</w:t>
      </w:r>
      <w:r>
        <w:rPr>
          <w:rFonts w:eastAsiaTheme="minorHAnsi"/>
          <w:color w:val="000000"/>
        </w:rPr>
        <w:t xml:space="preserve"> in 2003. </w:t>
      </w:r>
    </w:p>
    <w:p w:rsidR="00A81137" w:rsidRDefault="00A81137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</w:p>
    <w:p w:rsidR="0010780F" w:rsidRPr="0010780F" w:rsidRDefault="0010780F" w:rsidP="00554DA6">
      <w:pPr>
        <w:pStyle w:val="shortt"/>
        <w:spacing w:before="0" w:beforeAutospacing="0" w:after="0" w:afterAutospacing="0"/>
        <w:ind w:left="709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Application of new factors</w:t>
      </w:r>
    </w:p>
    <w:p w:rsidR="0010780F" w:rsidRDefault="0010780F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</w:p>
    <w:p w:rsidR="00C20E41" w:rsidRDefault="00C20E41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DFRDB benefits payable </w:t>
      </w:r>
      <w:r w:rsidR="0010780F">
        <w:rPr>
          <w:color w:val="0D0D0D" w:themeColor="text1" w:themeTint="F2"/>
        </w:rPr>
        <w:t xml:space="preserve">to or in respect of a member </w:t>
      </w:r>
      <w:r>
        <w:rPr>
          <w:color w:val="0D0D0D" w:themeColor="text1" w:themeTint="F2"/>
        </w:rPr>
        <w:t xml:space="preserve">after the commencement date of this Determination will </w:t>
      </w:r>
      <w:r w:rsidR="009E18EF">
        <w:rPr>
          <w:color w:val="0D0D0D" w:themeColor="text1" w:themeTint="F2"/>
        </w:rPr>
        <w:t>apply</w:t>
      </w:r>
      <w:r>
        <w:rPr>
          <w:color w:val="0D0D0D" w:themeColor="text1" w:themeTint="F2"/>
        </w:rPr>
        <w:t xml:space="preserve"> the conversion factors set out in this Determination </w:t>
      </w:r>
      <w:r w:rsidR="008B7D2C">
        <w:rPr>
          <w:color w:val="0D0D0D" w:themeColor="text1" w:themeTint="F2"/>
        </w:rPr>
        <w:t xml:space="preserve">  </w:t>
      </w:r>
      <w:r w:rsidR="006A6188">
        <w:rPr>
          <w:color w:val="0D0D0D" w:themeColor="text1" w:themeTint="F2"/>
        </w:rPr>
        <w:t xml:space="preserve">in order </w:t>
      </w:r>
      <w:r>
        <w:rPr>
          <w:color w:val="0D0D0D" w:themeColor="text1" w:themeTint="F2"/>
        </w:rPr>
        <w:t>to calculate</w:t>
      </w:r>
      <w:r w:rsidR="001A6794">
        <w:rPr>
          <w:color w:val="0D0D0D" w:themeColor="text1" w:themeTint="F2"/>
        </w:rPr>
        <w:t>, where necessary,</w:t>
      </w:r>
      <w:r>
        <w:rPr>
          <w:color w:val="0D0D0D" w:themeColor="text1" w:themeTint="F2"/>
        </w:rPr>
        <w:t xml:space="preserve"> the reduction in benefits to discharge the surcharge deduction amount.</w:t>
      </w:r>
    </w:p>
    <w:p w:rsidR="0010780F" w:rsidRDefault="0010780F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</w:p>
    <w:p w:rsidR="0070010B" w:rsidRPr="0070010B" w:rsidRDefault="0070010B" w:rsidP="00554DA6">
      <w:pPr>
        <w:pStyle w:val="shortt"/>
        <w:spacing w:before="0" w:beforeAutospacing="0" w:after="0" w:afterAutospacing="0"/>
        <w:ind w:left="709"/>
        <w:rPr>
          <w:i/>
          <w:color w:val="0D0D0D" w:themeColor="text1" w:themeTint="F2"/>
        </w:rPr>
      </w:pPr>
      <w:r w:rsidRPr="0070010B">
        <w:rPr>
          <w:i/>
          <w:color w:val="0D0D0D" w:themeColor="text1" w:themeTint="F2"/>
        </w:rPr>
        <w:t>Repeal of previous determination</w:t>
      </w:r>
    </w:p>
    <w:p w:rsidR="0070010B" w:rsidRPr="0070010B" w:rsidRDefault="0070010B" w:rsidP="00554DA6">
      <w:pPr>
        <w:pStyle w:val="shortt"/>
        <w:spacing w:before="0" w:beforeAutospacing="0" w:after="0" w:afterAutospacing="0"/>
        <w:ind w:left="709"/>
        <w:rPr>
          <w:i/>
          <w:color w:val="0D0D0D" w:themeColor="text1" w:themeTint="F2"/>
        </w:rPr>
      </w:pPr>
    </w:p>
    <w:p w:rsidR="0070010B" w:rsidRDefault="00C20E41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  <w:r w:rsidRPr="00B536BF">
        <w:rPr>
          <w:color w:val="0D0D0D" w:themeColor="text1" w:themeTint="F2"/>
        </w:rPr>
        <w:t xml:space="preserve">The conversion factors </w:t>
      </w:r>
      <w:r w:rsidR="00B536BF">
        <w:rPr>
          <w:color w:val="0D0D0D" w:themeColor="text1" w:themeTint="F2"/>
        </w:rPr>
        <w:t xml:space="preserve">in this Determination </w:t>
      </w:r>
      <w:r w:rsidRPr="00B536BF">
        <w:rPr>
          <w:color w:val="0D0D0D" w:themeColor="text1" w:themeTint="F2"/>
        </w:rPr>
        <w:t>replace any conversion factors previously determined under subsection 124(1) of the DFRDB Act</w:t>
      </w:r>
      <w:r w:rsidR="003B01EB">
        <w:rPr>
          <w:color w:val="0D0D0D" w:themeColor="text1" w:themeTint="F2"/>
        </w:rPr>
        <w:t xml:space="preserve">. </w:t>
      </w:r>
    </w:p>
    <w:p w:rsidR="0070010B" w:rsidRDefault="0070010B" w:rsidP="00554DA6">
      <w:pPr>
        <w:pStyle w:val="shortt"/>
        <w:spacing w:before="0" w:beforeAutospacing="0" w:after="0" w:afterAutospacing="0"/>
        <w:ind w:left="709"/>
        <w:rPr>
          <w:color w:val="0D0D0D" w:themeColor="text1" w:themeTint="F2"/>
        </w:rPr>
      </w:pPr>
    </w:p>
    <w:p w:rsidR="0070010B" w:rsidRDefault="003B01EB" w:rsidP="00554DA6">
      <w:pPr>
        <w:pStyle w:val="shortt"/>
        <w:spacing w:before="0" w:beforeAutospacing="0" w:after="0" w:afterAutospacing="0"/>
        <w:ind w:left="709"/>
        <w:rPr>
          <w:bCs/>
          <w:lang w:eastAsia="en-US"/>
        </w:rPr>
      </w:pPr>
      <w:r>
        <w:rPr>
          <w:color w:val="0D0D0D" w:themeColor="text1" w:themeTint="F2"/>
        </w:rPr>
        <w:t>Accordingly, Schedule 1 of th</w:t>
      </w:r>
      <w:r w:rsidR="00FF7D3B">
        <w:rPr>
          <w:color w:val="0D0D0D" w:themeColor="text1" w:themeTint="F2"/>
        </w:rPr>
        <w:t xml:space="preserve">is </w:t>
      </w:r>
      <w:r>
        <w:rPr>
          <w:color w:val="0D0D0D" w:themeColor="text1" w:themeTint="F2"/>
        </w:rPr>
        <w:t xml:space="preserve">Determination repeals </w:t>
      </w:r>
      <w:r w:rsidR="00C20E41" w:rsidRPr="00B536BF">
        <w:rPr>
          <w:color w:val="0D0D0D" w:themeColor="text1" w:themeTint="F2"/>
        </w:rPr>
        <w:t xml:space="preserve">the </w:t>
      </w:r>
      <w:r w:rsidR="00B536BF" w:rsidRPr="00B536BF">
        <w:rPr>
          <w:bCs/>
          <w:lang w:eastAsia="en-US"/>
        </w:rPr>
        <w:t xml:space="preserve">Superannuation (DFRDB Scheme) (Surcharge Deduction Amount </w:t>
      </w:r>
      <w:r w:rsidR="00FF7D3B">
        <w:rPr>
          <w:bCs/>
          <w:lang w:eastAsia="en-US"/>
        </w:rPr>
        <w:t xml:space="preserve">– </w:t>
      </w:r>
      <w:r w:rsidR="00B536BF" w:rsidRPr="00B536BF">
        <w:rPr>
          <w:bCs/>
          <w:lang w:eastAsia="en-US"/>
        </w:rPr>
        <w:t>Conversion Factors) Determination No. 1</w:t>
      </w:r>
      <w:r w:rsidR="00FF7D3B">
        <w:rPr>
          <w:bCs/>
          <w:lang w:eastAsia="en-US"/>
        </w:rPr>
        <w:t xml:space="preserve">: </w:t>
      </w:r>
      <w:proofErr w:type="spellStart"/>
      <w:r w:rsidR="00B536BF" w:rsidRPr="00B536BF">
        <w:rPr>
          <w:bCs/>
          <w:lang w:eastAsia="en-US"/>
        </w:rPr>
        <w:t>ComLaw</w:t>
      </w:r>
      <w:proofErr w:type="spellEnd"/>
      <w:r w:rsidR="00B536BF" w:rsidRPr="00B536BF">
        <w:rPr>
          <w:bCs/>
          <w:lang w:eastAsia="en-US"/>
        </w:rPr>
        <w:t xml:space="preserve"> reference: </w:t>
      </w:r>
      <w:hyperlink r:id="rId9" w:history="1">
        <w:r w:rsidRPr="00095BA1">
          <w:rPr>
            <w:rStyle w:val="Hyperlink"/>
            <w:bCs/>
            <w:lang w:eastAsia="en-US"/>
          </w:rPr>
          <w:t>https://www.comlaw.gov.au/Series/F2008B00368</w:t>
        </w:r>
      </w:hyperlink>
      <w:r>
        <w:rPr>
          <w:bCs/>
          <w:lang w:eastAsia="en-US"/>
        </w:rPr>
        <w:t xml:space="preserve">. </w:t>
      </w:r>
    </w:p>
    <w:p w:rsidR="0070010B" w:rsidRDefault="0070010B" w:rsidP="00554DA6">
      <w:pPr>
        <w:pStyle w:val="shortt"/>
        <w:spacing w:before="0" w:beforeAutospacing="0" w:after="0" w:afterAutospacing="0"/>
        <w:ind w:left="709"/>
        <w:rPr>
          <w:bCs/>
          <w:lang w:eastAsia="en-US"/>
        </w:rPr>
      </w:pPr>
    </w:p>
    <w:p w:rsidR="0010780F" w:rsidRDefault="0010780F" w:rsidP="00554DA6">
      <w:pPr>
        <w:pStyle w:val="shortt"/>
        <w:spacing w:before="0" w:beforeAutospacing="0" w:after="0" w:afterAutospacing="0"/>
        <w:ind w:left="709"/>
        <w:rPr>
          <w:bCs/>
          <w:lang w:eastAsia="en-US"/>
        </w:rPr>
      </w:pPr>
    </w:p>
    <w:p w:rsidR="0010780F" w:rsidRDefault="0010780F" w:rsidP="00554DA6">
      <w:pPr>
        <w:pStyle w:val="shortt"/>
        <w:spacing w:before="0" w:beforeAutospacing="0" w:after="0" w:afterAutospacing="0"/>
        <w:ind w:left="709"/>
        <w:rPr>
          <w:bCs/>
          <w:lang w:eastAsia="en-US"/>
        </w:rPr>
      </w:pPr>
    </w:p>
    <w:p w:rsidR="00957E46" w:rsidRPr="00D12EF0" w:rsidRDefault="00EB5BB3" w:rsidP="00554DA6">
      <w:pPr>
        <w:pStyle w:val="A1"/>
        <w:spacing w:before="0" w:line="240" w:lineRule="auto"/>
        <w:ind w:left="709" w:hanging="709"/>
        <w:rPr>
          <w:rFonts w:cs="Arial"/>
        </w:rPr>
      </w:pPr>
      <w:r w:rsidRPr="00D12EF0">
        <w:rPr>
          <w:rFonts w:cs="Arial"/>
        </w:rPr>
        <w:lastRenderedPageBreak/>
        <w:t>5</w:t>
      </w:r>
      <w:r w:rsidR="00915309" w:rsidRPr="00D12EF0">
        <w:rPr>
          <w:rFonts w:cs="Arial"/>
        </w:rPr>
        <w:tab/>
        <w:t>Legislative Instruments Act 2003</w:t>
      </w:r>
    </w:p>
    <w:p w:rsidR="00957E46" w:rsidRPr="004A033D" w:rsidRDefault="00957E46" w:rsidP="00554DA6">
      <w:pPr>
        <w:autoSpaceDE w:val="0"/>
        <w:autoSpaceDN w:val="0"/>
        <w:adjustRightInd w:val="0"/>
        <w:rPr>
          <w:lang w:eastAsia="en-AU"/>
        </w:rPr>
      </w:pPr>
    </w:p>
    <w:p w:rsidR="002840C4" w:rsidRDefault="00957E46" w:rsidP="00554DA6">
      <w:pPr>
        <w:ind w:left="709"/>
      </w:pPr>
      <w:r w:rsidRPr="004A033D">
        <w:t>Th</w:t>
      </w:r>
      <w:r w:rsidR="00C8021C" w:rsidRPr="004A033D">
        <w:t>is</w:t>
      </w:r>
      <w:r w:rsidRPr="004A033D">
        <w:t xml:space="preserve"> Determination is a legislative instrument for the purposes of section 5 of the </w:t>
      </w:r>
      <w:r w:rsidRPr="004A033D">
        <w:rPr>
          <w:i/>
          <w:iCs/>
        </w:rPr>
        <w:t>Legislati</w:t>
      </w:r>
      <w:r w:rsidR="005C7069">
        <w:rPr>
          <w:i/>
          <w:iCs/>
        </w:rPr>
        <w:t xml:space="preserve">ve Instruments Act </w:t>
      </w:r>
      <w:r w:rsidRPr="005C7069">
        <w:rPr>
          <w:i/>
          <w:iCs/>
        </w:rPr>
        <w:t>2003</w:t>
      </w:r>
      <w:r w:rsidRPr="004A033D">
        <w:t xml:space="preserve"> (L</w:t>
      </w:r>
      <w:r w:rsidR="005C7069">
        <w:t>I</w:t>
      </w:r>
      <w:r w:rsidRPr="004A033D">
        <w:t>A). However, as th</w:t>
      </w:r>
      <w:r w:rsidR="000F7579">
        <w:t>is</w:t>
      </w:r>
      <w:r w:rsidRPr="004A033D">
        <w:t xml:space="preserve"> Determination is an instrument relating to superannuation, it is exempted from disallowance by item 39 of the table in subsection 44(2) of the L</w:t>
      </w:r>
      <w:r w:rsidR="005C7069">
        <w:t>I</w:t>
      </w:r>
      <w:r w:rsidRPr="004A033D">
        <w:t>A.</w:t>
      </w:r>
    </w:p>
    <w:p w:rsidR="00C65AA8" w:rsidRDefault="00C65AA8" w:rsidP="00554DA6">
      <w:pPr>
        <w:ind w:left="709"/>
      </w:pPr>
    </w:p>
    <w:p w:rsidR="00C65AA8" w:rsidRPr="00404908" w:rsidRDefault="00C65AA8" w:rsidP="00C65AA8">
      <w:pPr>
        <w:pStyle w:val="NormalWeb"/>
        <w:ind w:left="709"/>
        <w:rPr>
          <w:color w:val="000000"/>
          <w:lang w:eastAsia="en-AU"/>
        </w:rPr>
      </w:pPr>
      <w:r>
        <w:rPr>
          <w:color w:val="000000"/>
          <w:lang w:eastAsia="en-AU"/>
        </w:rPr>
        <w:t xml:space="preserve">The publication requirement specified in subsection </w:t>
      </w:r>
      <w:proofErr w:type="gramStart"/>
      <w:r>
        <w:rPr>
          <w:color w:val="000000"/>
          <w:lang w:eastAsia="en-AU"/>
        </w:rPr>
        <w:t>124A(</w:t>
      </w:r>
      <w:proofErr w:type="gramEnd"/>
      <w:r>
        <w:rPr>
          <w:color w:val="000000"/>
          <w:lang w:eastAsia="en-AU"/>
        </w:rPr>
        <w:t>2) of the DFRDB Act is</w:t>
      </w:r>
      <w:r w:rsidR="009E18EF">
        <w:rPr>
          <w:color w:val="000000"/>
          <w:lang w:eastAsia="en-AU"/>
        </w:rPr>
        <w:t xml:space="preserve"> satisfied by </w:t>
      </w:r>
      <w:r>
        <w:rPr>
          <w:color w:val="000000"/>
          <w:lang w:eastAsia="en-AU"/>
        </w:rPr>
        <w:t>registration of this Determination on the Federal Register of Legislative Instruments – see section 56 of the L</w:t>
      </w:r>
      <w:r w:rsidR="005C7069">
        <w:rPr>
          <w:color w:val="000000"/>
          <w:lang w:eastAsia="en-AU"/>
        </w:rPr>
        <w:t>I</w:t>
      </w:r>
      <w:r>
        <w:rPr>
          <w:color w:val="000000"/>
          <w:lang w:eastAsia="en-AU"/>
        </w:rPr>
        <w:t xml:space="preserve">A. </w:t>
      </w:r>
      <w:r w:rsidRPr="00404908">
        <w:rPr>
          <w:color w:val="000000"/>
          <w:lang w:eastAsia="en-AU"/>
        </w:rPr>
        <w:t xml:space="preserve">  </w:t>
      </w:r>
    </w:p>
    <w:p w:rsidR="00914B5B" w:rsidRPr="004A033D" w:rsidRDefault="00914B5B" w:rsidP="00554DA6">
      <w:pPr>
        <w:ind w:left="709"/>
      </w:pPr>
    </w:p>
    <w:p w:rsidR="001C4ED1" w:rsidRPr="00D12EF0" w:rsidRDefault="00EB5BB3" w:rsidP="00554DA6">
      <w:pPr>
        <w:pStyle w:val="A1"/>
        <w:spacing w:before="0" w:line="240" w:lineRule="auto"/>
        <w:ind w:left="709" w:hanging="709"/>
        <w:rPr>
          <w:rFonts w:cs="Arial"/>
        </w:rPr>
      </w:pPr>
      <w:r w:rsidRPr="00D12EF0">
        <w:rPr>
          <w:rFonts w:cs="Arial"/>
        </w:rPr>
        <w:t>6</w:t>
      </w:r>
      <w:r w:rsidR="001C4ED1" w:rsidRPr="00D12EF0">
        <w:rPr>
          <w:rFonts w:cs="Arial"/>
        </w:rPr>
        <w:tab/>
        <w:t>Consultation</w:t>
      </w:r>
    </w:p>
    <w:p w:rsidR="001C4ED1" w:rsidRPr="004A033D" w:rsidRDefault="001C4ED1" w:rsidP="00554DA6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554DA6" w:rsidRDefault="001C4ED1" w:rsidP="00554DA6">
      <w:pPr>
        <w:autoSpaceDE w:val="0"/>
        <w:autoSpaceDN w:val="0"/>
        <w:adjustRightInd w:val="0"/>
        <w:ind w:left="709"/>
        <w:rPr>
          <w:rFonts w:eastAsiaTheme="minorHAnsi"/>
          <w:color w:val="000000"/>
        </w:rPr>
      </w:pPr>
      <w:r w:rsidRPr="004A033D">
        <w:rPr>
          <w:rFonts w:eastAsiaTheme="minorHAnsi"/>
          <w:color w:val="000000"/>
        </w:rPr>
        <w:t>Section 17 of the L</w:t>
      </w:r>
      <w:r w:rsidR="005C7069">
        <w:rPr>
          <w:rFonts w:eastAsiaTheme="minorHAnsi"/>
          <w:color w:val="000000"/>
        </w:rPr>
        <w:t>I</w:t>
      </w:r>
      <w:r w:rsidRPr="004A033D">
        <w:rPr>
          <w:rFonts w:eastAsiaTheme="minorHAnsi"/>
          <w:color w:val="000000"/>
        </w:rPr>
        <w:t>A specifies that rule-makers should consult before making legislative instruments. Actuarial advice was obtained regar</w:t>
      </w:r>
      <w:r w:rsidR="000F7579">
        <w:rPr>
          <w:rFonts w:eastAsiaTheme="minorHAnsi"/>
          <w:color w:val="000000"/>
        </w:rPr>
        <w:t>ding the factors included in this</w:t>
      </w:r>
      <w:r w:rsidRPr="004A033D">
        <w:rPr>
          <w:rFonts w:eastAsiaTheme="minorHAnsi"/>
          <w:color w:val="000000"/>
        </w:rPr>
        <w:t xml:space="preserve"> Determination.</w:t>
      </w:r>
    </w:p>
    <w:p w:rsidR="001C4ED1" w:rsidRPr="004A033D" w:rsidRDefault="001C4ED1" w:rsidP="00554DA6">
      <w:pPr>
        <w:autoSpaceDE w:val="0"/>
        <w:autoSpaceDN w:val="0"/>
        <w:adjustRightInd w:val="0"/>
        <w:ind w:left="709"/>
        <w:rPr>
          <w:rFonts w:eastAsiaTheme="minorHAnsi"/>
          <w:color w:val="000000"/>
        </w:rPr>
      </w:pPr>
      <w:r w:rsidRPr="004A033D">
        <w:rPr>
          <w:rFonts w:eastAsiaTheme="minorHAnsi"/>
          <w:color w:val="000000"/>
        </w:rPr>
        <w:t xml:space="preserve"> </w:t>
      </w:r>
    </w:p>
    <w:p w:rsidR="001C4ED1" w:rsidRPr="00D12EF0" w:rsidRDefault="00EB5BB3" w:rsidP="00554DA6">
      <w:pPr>
        <w:pStyle w:val="A1"/>
        <w:spacing w:before="0" w:line="240" w:lineRule="auto"/>
        <w:ind w:left="709" w:hanging="709"/>
        <w:rPr>
          <w:rFonts w:cs="Arial"/>
        </w:rPr>
      </w:pPr>
      <w:r w:rsidRPr="00D12EF0">
        <w:rPr>
          <w:rFonts w:cs="Arial"/>
        </w:rPr>
        <w:t>7</w:t>
      </w:r>
      <w:r w:rsidR="001C4ED1" w:rsidRPr="00D12EF0">
        <w:rPr>
          <w:rFonts w:cs="Arial"/>
        </w:rPr>
        <w:tab/>
        <w:t xml:space="preserve">Statement of Compatibility with Human Rights </w:t>
      </w:r>
    </w:p>
    <w:p w:rsidR="001C4ED1" w:rsidRPr="004A033D" w:rsidRDefault="001C4ED1" w:rsidP="00554DA6">
      <w:pPr>
        <w:autoSpaceDE w:val="0"/>
        <w:autoSpaceDN w:val="0"/>
        <w:adjustRightInd w:val="0"/>
        <w:ind w:left="709"/>
        <w:rPr>
          <w:rFonts w:eastAsiaTheme="minorHAnsi"/>
        </w:rPr>
      </w:pPr>
    </w:p>
    <w:p w:rsidR="00BC0FF9" w:rsidRPr="00C526DD" w:rsidRDefault="001C4ED1" w:rsidP="009E18EF">
      <w:pPr>
        <w:ind w:left="709"/>
      </w:pPr>
      <w:r w:rsidRPr="004A033D">
        <w:rPr>
          <w:rFonts w:eastAsiaTheme="minorHAnsi"/>
          <w:color w:val="000000"/>
        </w:rPr>
        <w:t xml:space="preserve">Subsection 9(1) of the </w:t>
      </w:r>
      <w:r w:rsidRPr="004A033D">
        <w:rPr>
          <w:rFonts w:eastAsiaTheme="minorHAnsi"/>
          <w:i/>
          <w:iCs/>
          <w:color w:val="000000"/>
        </w:rPr>
        <w:t xml:space="preserve">Human Rights (Parliamentary Scrutiny) Act </w:t>
      </w:r>
      <w:r w:rsidRPr="004A033D">
        <w:rPr>
          <w:rFonts w:eastAsiaTheme="minorHAnsi"/>
          <w:iCs/>
          <w:color w:val="000000"/>
        </w:rPr>
        <w:t xml:space="preserve">2011 </w:t>
      </w:r>
      <w:r w:rsidRPr="004A033D">
        <w:rPr>
          <w:rFonts w:eastAsiaTheme="minorHAnsi"/>
          <w:color w:val="000000"/>
        </w:rPr>
        <w:t>requires a Statement of Compatibility with Human Rights for all legislative instruments subject to disallowance under section 42 of the L</w:t>
      </w:r>
      <w:r w:rsidR="005C7069">
        <w:rPr>
          <w:rFonts w:eastAsiaTheme="minorHAnsi"/>
          <w:color w:val="000000"/>
        </w:rPr>
        <w:t>I</w:t>
      </w:r>
      <w:r w:rsidRPr="004A033D">
        <w:rPr>
          <w:rFonts w:eastAsiaTheme="minorHAnsi"/>
          <w:color w:val="000000"/>
        </w:rPr>
        <w:t>A</w:t>
      </w:r>
      <w:r w:rsidRPr="004A033D">
        <w:rPr>
          <w:rFonts w:eastAsiaTheme="minorHAnsi"/>
          <w:i/>
          <w:iCs/>
          <w:color w:val="000000"/>
        </w:rPr>
        <w:t xml:space="preserve">. </w:t>
      </w:r>
      <w:r w:rsidRPr="004A033D">
        <w:rPr>
          <w:rFonts w:eastAsiaTheme="minorHAnsi"/>
          <w:color w:val="000000"/>
        </w:rPr>
        <w:t xml:space="preserve">As mentioned above, </w:t>
      </w:r>
      <w:r w:rsidR="006D1D0E">
        <w:rPr>
          <w:rFonts w:eastAsiaTheme="minorHAnsi"/>
          <w:color w:val="000000"/>
        </w:rPr>
        <w:t>this</w:t>
      </w:r>
      <w:r w:rsidRPr="004A033D">
        <w:rPr>
          <w:rFonts w:eastAsiaTheme="minorHAnsi"/>
          <w:color w:val="000000"/>
        </w:rPr>
        <w:t xml:space="preserve"> Determination is exempt from disallowance which means that a Statement of Compatibility with Human Rights is not required</w:t>
      </w:r>
      <w:r w:rsidR="009E18EF">
        <w:rPr>
          <w:rFonts w:eastAsiaTheme="minorHAnsi"/>
          <w:color w:val="000000"/>
        </w:rPr>
        <w:t>.</w:t>
      </w:r>
    </w:p>
    <w:sectPr w:rsidR="00BC0FF9" w:rsidRPr="00C526DD" w:rsidSect="00C35EEC">
      <w:headerReference w:type="even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0F" w:rsidRDefault="0010780F" w:rsidP="007238EE">
      <w:r>
        <w:separator/>
      </w:r>
    </w:p>
  </w:endnote>
  <w:endnote w:type="continuationSeparator" w:id="0">
    <w:p w:rsidR="0010780F" w:rsidRDefault="0010780F" w:rsidP="0072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7370"/>
      <w:docPartObj>
        <w:docPartGallery w:val="Page Numbers (Bottom of Page)"/>
        <w:docPartUnique/>
      </w:docPartObj>
    </w:sdtPr>
    <w:sdtContent>
      <w:p w:rsidR="0010780F" w:rsidRDefault="008603F7">
        <w:pPr>
          <w:pStyle w:val="Footer"/>
          <w:jc w:val="right"/>
        </w:pPr>
        <w:fldSimple w:instr=" PAGE   \* MERGEFORMAT ">
          <w:r w:rsidR="008B7D2C">
            <w:rPr>
              <w:noProof/>
            </w:rPr>
            <w:t>1</w:t>
          </w:r>
        </w:fldSimple>
      </w:p>
    </w:sdtContent>
  </w:sdt>
  <w:p w:rsidR="0010780F" w:rsidRDefault="0010780F" w:rsidP="000A5418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0F" w:rsidRDefault="0010780F" w:rsidP="007238EE">
      <w:r>
        <w:separator/>
      </w:r>
    </w:p>
  </w:footnote>
  <w:footnote w:type="continuationSeparator" w:id="0">
    <w:p w:rsidR="0010780F" w:rsidRDefault="0010780F" w:rsidP="00723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10780F">
      <w:tc>
        <w:tcPr>
          <w:tcW w:w="1494" w:type="dxa"/>
        </w:tcPr>
        <w:p w:rsidR="0010780F" w:rsidRDefault="0010780F">
          <w:pPr>
            <w:pStyle w:val="HeaderLiteEven"/>
          </w:pPr>
        </w:p>
      </w:tc>
      <w:tc>
        <w:tcPr>
          <w:tcW w:w="12574" w:type="dxa"/>
        </w:tcPr>
        <w:p w:rsidR="0010780F" w:rsidRDefault="0010780F">
          <w:pPr>
            <w:pStyle w:val="HeaderLiteEven"/>
          </w:pPr>
        </w:p>
      </w:tc>
    </w:tr>
    <w:tr w:rsidR="0010780F">
      <w:tc>
        <w:tcPr>
          <w:tcW w:w="1494" w:type="dxa"/>
        </w:tcPr>
        <w:p w:rsidR="0010780F" w:rsidRDefault="0010780F">
          <w:pPr>
            <w:pStyle w:val="HeaderLiteEven"/>
          </w:pPr>
        </w:p>
      </w:tc>
      <w:tc>
        <w:tcPr>
          <w:tcW w:w="12574" w:type="dxa"/>
        </w:tcPr>
        <w:p w:rsidR="0010780F" w:rsidRDefault="0010780F">
          <w:pPr>
            <w:pStyle w:val="HeaderLiteEven"/>
          </w:pPr>
        </w:p>
      </w:tc>
    </w:tr>
    <w:tr w:rsidR="0010780F">
      <w:tc>
        <w:tcPr>
          <w:tcW w:w="14068" w:type="dxa"/>
          <w:gridSpan w:val="2"/>
          <w:tcBorders>
            <w:bottom w:val="single" w:sz="4" w:space="0" w:color="auto"/>
          </w:tcBorders>
        </w:tcPr>
        <w:p w:rsidR="0010780F" w:rsidRDefault="0010780F">
          <w:pPr>
            <w:pStyle w:val="HeaderBoldEven"/>
          </w:pPr>
        </w:p>
      </w:tc>
    </w:tr>
  </w:tbl>
  <w:p w:rsidR="0010780F" w:rsidRDefault="001078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7D48"/>
    <w:multiLevelType w:val="hybridMultilevel"/>
    <w:tmpl w:val="94BEA0BE"/>
    <w:lvl w:ilvl="0" w:tplc="BE50AA94">
      <w:start w:val="1"/>
      <w:numFmt w:val="lowerLetter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4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A3C0C"/>
    <w:multiLevelType w:val="hybridMultilevel"/>
    <w:tmpl w:val="590A71DE"/>
    <w:lvl w:ilvl="0" w:tplc="D87CA1C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ase-text-paragraph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F6494"/>
    <w:multiLevelType w:val="multilevel"/>
    <w:tmpl w:val="A316FE50"/>
    <w:numStyleLink w:val="ChapterList"/>
  </w:abstractNum>
  <w:abstractNum w:abstractNumId="26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4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27"/>
  </w:num>
  <w:num w:numId="13">
    <w:abstractNumId w:val="21"/>
  </w:num>
  <w:num w:numId="14">
    <w:abstractNumId w:val="20"/>
  </w:num>
  <w:num w:numId="15">
    <w:abstractNumId w:val="23"/>
  </w:num>
  <w:num w:numId="16">
    <w:abstractNumId w:val="19"/>
  </w:num>
  <w:num w:numId="17">
    <w:abstractNumId w:val="24"/>
  </w:num>
  <w:num w:numId="18">
    <w:abstractNumId w:val="13"/>
  </w:num>
  <w:num w:numId="19">
    <w:abstractNumId w:val="18"/>
  </w:num>
  <w:num w:numId="20">
    <w:abstractNumId w:val="9"/>
  </w:num>
  <w:num w:numId="21">
    <w:abstractNumId w:val="11"/>
  </w:num>
  <w:num w:numId="22">
    <w:abstractNumId w:val="8"/>
  </w:num>
  <w:num w:numId="23">
    <w:abstractNumId w:val="26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8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2"/>
  </w:num>
  <w:num w:numId="35">
    <w:abstractNumId w:val="7"/>
  </w:num>
  <w:num w:numId="36">
    <w:abstractNumId w:val="15"/>
  </w:num>
  <w:num w:numId="37">
    <w:abstractNumId w:val="25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25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7C13D1"/>
    <w:rsid w:val="00004DB8"/>
    <w:rsid w:val="00017C95"/>
    <w:rsid w:val="000255D9"/>
    <w:rsid w:val="0008639B"/>
    <w:rsid w:val="000A5418"/>
    <w:rsid w:val="000B1909"/>
    <w:rsid w:val="000D3636"/>
    <w:rsid w:val="000F7436"/>
    <w:rsid w:val="000F7579"/>
    <w:rsid w:val="0010780F"/>
    <w:rsid w:val="0011154A"/>
    <w:rsid w:val="0012327C"/>
    <w:rsid w:val="00183C86"/>
    <w:rsid w:val="00185CD0"/>
    <w:rsid w:val="00195B88"/>
    <w:rsid w:val="001A6794"/>
    <w:rsid w:val="001C4ED1"/>
    <w:rsid w:val="001E5A87"/>
    <w:rsid w:val="001E7FF7"/>
    <w:rsid w:val="001F4487"/>
    <w:rsid w:val="001F7F72"/>
    <w:rsid w:val="00210F0A"/>
    <w:rsid w:val="00224C4A"/>
    <w:rsid w:val="002265DE"/>
    <w:rsid w:val="002279A1"/>
    <w:rsid w:val="002333B3"/>
    <w:rsid w:val="0023522A"/>
    <w:rsid w:val="00272778"/>
    <w:rsid w:val="0028155C"/>
    <w:rsid w:val="002840C4"/>
    <w:rsid w:val="00290B2A"/>
    <w:rsid w:val="002B3E44"/>
    <w:rsid w:val="002D5F02"/>
    <w:rsid w:val="00364B8E"/>
    <w:rsid w:val="00385CFC"/>
    <w:rsid w:val="003B01EB"/>
    <w:rsid w:val="003C466E"/>
    <w:rsid w:val="003C7FD9"/>
    <w:rsid w:val="003F1C8C"/>
    <w:rsid w:val="00403852"/>
    <w:rsid w:val="00404908"/>
    <w:rsid w:val="00411BF0"/>
    <w:rsid w:val="00433550"/>
    <w:rsid w:val="00433779"/>
    <w:rsid w:val="00455D8E"/>
    <w:rsid w:val="004610A8"/>
    <w:rsid w:val="00471837"/>
    <w:rsid w:val="004A033D"/>
    <w:rsid w:val="004B0AA0"/>
    <w:rsid w:val="004D6B67"/>
    <w:rsid w:val="005128C2"/>
    <w:rsid w:val="0051529E"/>
    <w:rsid w:val="005157EA"/>
    <w:rsid w:val="005212CA"/>
    <w:rsid w:val="00522D8F"/>
    <w:rsid w:val="00524E64"/>
    <w:rsid w:val="00554DA6"/>
    <w:rsid w:val="00576505"/>
    <w:rsid w:val="005876E1"/>
    <w:rsid w:val="005C7069"/>
    <w:rsid w:val="005E176D"/>
    <w:rsid w:val="005E488D"/>
    <w:rsid w:val="005F14D0"/>
    <w:rsid w:val="005F36F7"/>
    <w:rsid w:val="00631EDF"/>
    <w:rsid w:val="00634807"/>
    <w:rsid w:val="00656719"/>
    <w:rsid w:val="0066086E"/>
    <w:rsid w:val="006A35D7"/>
    <w:rsid w:val="006A6188"/>
    <w:rsid w:val="006B38EB"/>
    <w:rsid w:val="006B44D4"/>
    <w:rsid w:val="006D1D0E"/>
    <w:rsid w:val="0070010B"/>
    <w:rsid w:val="00714C56"/>
    <w:rsid w:val="007238EE"/>
    <w:rsid w:val="007901BA"/>
    <w:rsid w:val="00796DDD"/>
    <w:rsid w:val="007C13D1"/>
    <w:rsid w:val="007D041E"/>
    <w:rsid w:val="007D17D5"/>
    <w:rsid w:val="007D4C57"/>
    <w:rsid w:val="007F1428"/>
    <w:rsid w:val="007F57DD"/>
    <w:rsid w:val="00844743"/>
    <w:rsid w:val="00855EFB"/>
    <w:rsid w:val="008603F7"/>
    <w:rsid w:val="00862AED"/>
    <w:rsid w:val="00896EBC"/>
    <w:rsid w:val="008A2CB9"/>
    <w:rsid w:val="008B0F8C"/>
    <w:rsid w:val="008B7D2C"/>
    <w:rsid w:val="008C2586"/>
    <w:rsid w:val="008C52F1"/>
    <w:rsid w:val="008E4416"/>
    <w:rsid w:val="008E707C"/>
    <w:rsid w:val="008F1EEF"/>
    <w:rsid w:val="008F546D"/>
    <w:rsid w:val="008F7237"/>
    <w:rsid w:val="009025DD"/>
    <w:rsid w:val="00910F31"/>
    <w:rsid w:val="00914B5B"/>
    <w:rsid w:val="00915309"/>
    <w:rsid w:val="00957E46"/>
    <w:rsid w:val="00960284"/>
    <w:rsid w:val="009619C3"/>
    <w:rsid w:val="009665E0"/>
    <w:rsid w:val="009E18EF"/>
    <w:rsid w:val="009F6ADA"/>
    <w:rsid w:val="00A01A30"/>
    <w:rsid w:val="00A23748"/>
    <w:rsid w:val="00A240F4"/>
    <w:rsid w:val="00A35ED1"/>
    <w:rsid w:val="00A54558"/>
    <w:rsid w:val="00A6766D"/>
    <w:rsid w:val="00A81137"/>
    <w:rsid w:val="00AA24D6"/>
    <w:rsid w:val="00AC1CF7"/>
    <w:rsid w:val="00AD45D3"/>
    <w:rsid w:val="00AF2394"/>
    <w:rsid w:val="00B37A5A"/>
    <w:rsid w:val="00B536BF"/>
    <w:rsid w:val="00B53B85"/>
    <w:rsid w:val="00B920FD"/>
    <w:rsid w:val="00BA1C7F"/>
    <w:rsid w:val="00BB771C"/>
    <w:rsid w:val="00BC0FF9"/>
    <w:rsid w:val="00BF5392"/>
    <w:rsid w:val="00C04FE9"/>
    <w:rsid w:val="00C158AB"/>
    <w:rsid w:val="00C20E41"/>
    <w:rsid w:val="00C2115F"/>
    <w:rsid w:val="00C3181F"/>
    <w:rsid w:val="00C33DCD"/>
    <w:rsid w:val="00C35EEC"/>
    <w:rsid w:val="00C40570"/>
    <w:rsid w:val="00C526DD"/>
    <w:rsid w:val="00C65AA8"/>
    <w:rsid w:val="00C8021C"/>
    <w:rsid w:val="00CA7988"/>
    <w:rsid w:val="00CA7A92"/>
    <w:rsid w:val="00CB72CE"/>
    <w:rsid w:val="00CD3990"/>
    <w:rsid w:val="00CE0687"/>
    <w:rsid w:val="00CE5006"/>
    <w:rsid w:val="00D12708"/>
    <w:rsid w:val="00D12EF0"/>
    <w:rsid w:val="00D2486B"/>
    <w:rsid w:val="00D4339A"/>
    <w:rsid w:val="00D467EF"/>
    <w:rsid w:val="00D52BF4"/>
    <w:rsid w:val="00D93A78"/>
    <w:rsid w:val="00DA49FD"/>
    <w:rsid w:val="00DA59F2"/>
    <w:rsid w:val="00DA71B6"/>
    <w:rsid w:val="00DA78C1"/>
    <w:rsid w:val="00DE10ED"/>
    <w:rsid w:val="00E67F2B"/>
    <w:rsid w:val="00E81677"/>
    <w:rsid w:val="00E87A23"/>
    <w:rsid w:val="00E93998"/>
    <w:rsid w:val="00E970D2"/>
    <w:rsid w:val="00EA6F39"/>
    <w:rsid w:val="00EB566D"/>
    <w:rsid w:val="00EB5BB3"/>
    <w:rsid w:val="00EF32D7"/>
    <w:rsid w:val="00EF4E59"/>
    <w:rsid w:val="00F00BC4"/>
    <w:rsid w:val="00F14548"/>
    <w:rsid w:val="00F168B3"/>
    <w:rsid w:val="00F43B48"/>
    <w:rsid w:val="00F47B5C"/>
    <w:rsid w:val="00F60D43"/>
    <w:rsid w:val="00F71522"/>
    <w:rsid w:val="00F7505F"/>
    <w:rsid w:val="00F878F3"/>
    <w:rsid w:val="00F94F7E"/>
    <w:rsid w:val="00FB154F"/>
    <w:rsid w:val="00FB39B9"/>
    <w:rsid w:val="00FC578D"/>
    <w:rsid w:val="00FE7E84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uiPriority w:val="99"/>
    <w:qFormat/>
    <w:rsid w:val="00017C95"/>
  </w:style>
  <w:style w:type="character" w:customStyle="1" w:styleId="BodyTextChar">
    <w:name w:val="Body Text Char"/>
    <w:basedOn w:val="DefaultParagraphFont"/>
    <w:link w:val="BodyText"/>
    <w:uiPriority w:val="99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BoldEven">
    <w:name w:val="HeaderBoldEven"/>
    <w:basedOn w:val="Normal"/>
    <w:rsid w:val="00C526DD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C526D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FooterInfo">
    <w:name w:val="FooterInfo"/>
    <w:basedOn w:val="Normal"/>
    <w:semiHidden/>
    <w:rsid w:val="00C526DD"/>
    <w:rPr>
      <w:rFonts w:ascii="Arial" w:hAnsi="Arial"/>
      <w:sz w:val="12"/>
    </w:rPr>
  </w:style>
  <w:style w:type="paragraph" w:styleId="Title">
    <w:name w:val="Title"/>
    <w:basedOn w:val="Normal"/>
    <w:next w:val="Normal"/>
    <w:link w:val="TitleChar"/>
    <w:qFormat/>
    <w:rsid w:val="00C526DD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26DD"/>
    <w:rPr>
      <w:rFonts w:ascii="Arial" w:eastAsia="Times New Roman" w:hAnsi="Arial" w:cs="Arial"/>
      <w:b/>
      <w:bCs/>
      <w:sz w:val="40"/>
      <w:szCs w:val="40"/>
      <w:lang w:val="en-AU"/>
    </w:rPr>
  </w:style>
  <w:style w:type="paragraph" w:customStyle="1" w:styleId="A1">
    <w:name w:val="A1"/>
    <w:aliases w:val="Heading Amendment,1. Amendment"/>
    <w:basedOn w:val="Normal"/>
    <w:next w:val="Normal"/>
    <w:rsid w:val="00C526D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SchedSectionBreak">
    <w:name w:val="SchedSectionBreak"/>
    <w:basedOn w:val="Normal"/>
    <w:next w:val="Normal"/>
    <w:rsid w:val="00C526DD"/>
  </w:style>
  <w:style w:type="paragraph" w:customStyle="1" w:styleId="default">
    <w:name w:val="default"/>
    <w:basedOn w:val="Normal"/>
    <w:rsid w:val="00C526DD"/>
    <w:pPr>
      <w:spacing w:before="100" w:beforeAutospacing="1" w:after="100" w:afterAutospacing="1"/>
    </w:pPr>
    <w:rPr>
      <w:lang w:eastAsia="en-AU"/>
    </w:rPr>
  </w:style>
  <w:style w:type="paragraph" w:customStyle="1" w:styleId="Default0">
    <w:name w:val="Default"/>
    <w:rsid w:val="00C52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NormalWeb">
    <w:name w:val="Normal (Web)"/>
    <w:basedOn w:val="Normal"/>
    <w:semiHidden/>
    <w:rsid w:val="00C526DD"/>
  </w:style>
  <w:style w:type="paragraph" w:customStyle="1" w:styleId="paragraph">
    <w:name w:val="paragraph"/>
    <w:aliases w:val="a"/>
    <w:basedOn w:val="Normal"/>
    <w:rsid w:val="00C526DD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526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6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0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08"/>
    <w:rPr>
      <w:b/>
      <w:bCs/>
    </w:rPr>
  </w:style>
  <w:style w:type="paragraph" w:styleId="Revision">
    <w:name w:val="Revision"/>
    <w:hidden/>
    <w:uiPriority w:val="99"/>
    <w:semiHidden/>
    <w:rsid w:val="0065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pterHeading">
    <w:name w:val="Chapter Heading"/>
    <w:next w:val="Heading2"/>
    <w:rsid w:val="007F1428"/>
    <w:pPr>
      <w:numPr>
        <w:numId w:val="37"/>
      </w:numPr>
      <w:pBdr>
        <w:top w:val="single" w:sz="4" w:space="1" w:color="auto"/>
        <w:bottom w:val="single" w:sz="4" w:space="1" w:color="auto"/>
      </w:pBdr>
      <w:spacing w:before="240" w:after="0" w:line="260" w:lineRule="atLeast"/>
    </w:pPr>
    <w:rPr>
      <w:rFonts w:ascii="Helvetica" w:eastAsia="Times New Roman" w:hAnsi="Helvetica" w:cs="Times New Roman"/>
      <w:b/>
      <w:i/>
      <w:sz w:val="38"/>
      <w:szCs w:val="20"/>
      <w:lang w:val="en-AU" w:eastAsia="en-AU"/>
    </w:rPr>
  </w:style>
  <w:style w:type="paragraph" w:customStyle="1" w:styleId="TableHeadingoutsidetable">
    <w:name w:val="Table Heading (outside table)"/>
    <w:basedOn w:val="Heading4"/>
    <w:rsid w:val="007F1428"/>
    <w:pPr>
      <w:keepLines w:val="0"/>
      <w:numPr>
        <w:ilvl w:val="4"/>
        <w:numId w:val="37"/>
      </w:numPr>
      <w:tabs>
        <w:tab w:val="num" w:pos="360"/>
      </w:tabs>
    </w:pPr>
    <w:rPr>
      <w:rFonts w:eastAsia="Times New Roman" w:cs="Times New Roman"/>
      <w:bCs w:val="0"/>
      <w:i w:val="0"/>
      <w:iCs w:val="0"/>
      <w:sz w:val="22"/>
      <w:szCs w:val="20"/>
      <w:lang w:eastAsia="en-AU"/>
    </w:rPr>
  </w:style>
  <w:style w:type="paragraph" w:customStyle="1" w:styleId="base-text-paragraph">
    <w:name w:val="base-text-paragraph"/>
    <w:basedOn w:val="Normal"/>
    <w:link w:val="base-text-paragraphChar"/>
    <w:rsid w:val="007F1428"/>
    <w:pPr>
      <w:numPr>
        <w:ilvl w:val="1"/>
        <w:numId w:val="37"/>
      </w:numPr>
      <w:spacing w:before="120" w:after="120"/>
    </w:pPr>
    <w:rPr>
      <w:sz w:val="22"/>
      <w:szCs w:val="20"/>
      <w:lang w:eastAsia="en-AU"/>
    </w:rPr>
  </w:style>
  <w:style w:type="paragraph" w:customStyle="1" w:styleId="ExampleHeading">
    <w:name w:val="Example Heading"/>
    <w:basedOn w:val="Normal"/>
    <w:next w:val="Normal"/>
    <w:rsid w:val="007F1428"/>
    <w:pPr>
      <w:keepNext/>
      <w:numPr>
        <w:ilvl w:val="3"/>
        <w:numId w:val="37"/>
      </w:numPr>
      <w:tabs>
        <w:tab w:val="num" w:pos="360"/>
      </w:tabs>
      <w:spacing w:before="120" w:after="120"/>
    </w:pPr>
    <w:rPr>
      <w:b/>
      <w:sz w:val="22"/>
      <w:szCs w:val="20"/>
      <w:lang w:eastAsia="en-AU"/>
    </w:rPr>
  </w:style>
  <w:style w:type="paragraph" w:customStyle="1" w:styleId="Diagram">
    <w:name w:val="Diagram"/>
    <w:basedOn w:val="Normal"/>
    <w:next w:val="Normal"/>
    <w:rsid w:val="007F1428"/>
    <w:pPr>
      <w:keepNext/>
      <w:numPr>
        <w:ilvl w:val="2"/>
        <w:numId w:val="37"/>
      </w:numPr>
    </w:pPr>
    <w:rPr>
      <w:b/>
      <w:sz w:val="22"/>
      <w:szCs w:val="20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7F1428"/>
    <w:rPr>
      <w:rFonts w:ascii="Times New Roman" w:eastAsia="Times New Roman" w:hAnsi="Times New Roman" w:cs="Times New Roman"/>
      <w:szCs w:val="20"/>
      <w:lang w:val="en-AU" w:eastAsia="en-AU"/>
    </w:rPr>
  </w:style>
  <w:style w:type="numbering" w:customStyle="1" w:styleId="ChapterList">
    <w:name w:val="ChapterList"/>
    <w:uiPriority w:val="99"/>
    <w:rsid w:val="007F1428"/>
    <w:pPr>
      <w:numPr>
        <w:numId w:val="36"/>
      </w:numPr>
    </w:pPr>
  </w:style>
  <w:style w:type="paragraph" w:customStyle="1" w:styleId="shortt">
    <w:name w:val="shortt"/>
    <w:basedOn w:val="Normal"/>
    <w:rsid w:val="00EB5BB3"/>
    <w:pPr>
      <w:spacing w:before="100" w:beforeAutospacing="1" w:after="100" w:afterAutospacing="1"/>
    </w:pPr>
    <w:rPr>
      <w:lang w:eastAsia="en-AU"/>
    </w:rPr>
  </w:style>
  <w:style w:type="character" w:customStyle="1" w:styleId="legtitle1">
    <w:name w:val="legtitle1"/>
    <w:basedOn w:val="DefaultParagraphFont"/>
    <w:rsid w:val="00DA78C1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ShortT0">
    <w:name w:val="ShortT"/>
    <w:basedOn w:val="Normal"/>
    <w:next w:val="Normal"/>
    <w:qFormat/>
    <w:rsid w:val="00403852"/>
    <w:rPr>
      <w:b/>
      <w:sz w:val="40"/>
      <w:szCs w:val="20"/>
      <w:lang w:eastAsia="en-AU"/>
    </w:rPr>
  </w:style>
  <w:style w:type="paragraph" w:customStyle="1" w:styleId="acthead5">
    <w:name w:val="acthead5"/>
    <w:basedOn w:val="Normal"/>
    <w:rsid w:val="005876E1"/>
    <w:pPr>
      <w:spacing w:before="100" w:beforeAutospacing="1" w:after="100" w:afterAutospacing="1"/>
    </w:pPr>
    <w:rPr>
      <w:rFonts w:eastAsiaTheme="minorHAnsi"/>
      <w:lang w:eastAsia="en-AU"/>
    </w:rPr>
  </w:style>
  <w:style w:type="paragraph" w:customStyle="1" w:styleId="subsection">
    <w:name w:val="subsection"/>
    <w:basedOn w:val="Normal"/>
    <w:rsid w:val="005876E1"/>
    <w:pPr>
      <w:spacing w:before="100" w:beforeAutospacing="1" w:after="100" w:afterAutospacing="1"/>
    </w:pPr>
    <w:rPr>
      <w:rFonts w:eastAsiaTheme="minorHAnsi"/>
      <w:lang w:eastAsia="en-AU"/>
    </w:rPr>
  </w:style>
  <w:style w:type="paragraph" w:customStyle="1" w:styleId="subsection2">
    <w:name w:val="subsection2"/>
    <w:basedOn w:val="Normal"/>
    <w:rsid w:val="005876E1"/>
    <w:pPr>
      <w:spacing w:before="100" w:beforeAutospacing="1" w:after="100" w:afterAutospacing="1"/>
    </w:pPr>
    <w:rPr>
      <w:rFonts w:eastAsiaTheme="minorHAnsi"/>
      <w:lang w:eastAsia="en-AU"/>
    </w:rPr>
  </w:style>
  <w:style w:type="character" w:customStyle="1" w:styleId="charsectno">
    <w:name w:val="charsectno"/>
    <w:basedOn w:val="DefaultParagraphFont"/>
    <w:rsid w:val="005876E1"/>
  </w:style>
  <w:style w:type="paragraph" w:styleId="FootnoteText">
    <w:name w:val="footnote text"/>
    <w:basedOn w:val="Normal"/>
    <w:link w:val="FootnoteTextChar"/>
    <w:uiPriority w:val="99"/>
    <w:semiHidden/>
    <w:unhideWhenUsed/>
    <w:rsid w:val="00EA6F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F3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6F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6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625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6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3643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7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0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881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7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mlaw.gov.au/Series/F2008B00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CC575-EEE9-493D-AE30-818CDD35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White</dc:creator>
  <cp:lastModifiedBy>streetp</cp:lastModifiedBy>
  <cp:revision>2</cp:revision>
  <cp:lastPrinted>2015-06-17T05:19:00Z</cp:lastPrinted>
  <dcterms:created xsi:type="dcterms:W3CDTF">2015-12-14T04:53:00Z</dcterms:created>
  <dcterms:modified xsi:type="dcterms:W3CDTF">2015-12-14T04:53:00Z</dcterms:modified>
</cp:coreProperties>
</file>