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9B1" w:rsidRPr="00AE2141" w:rsidRDefault="003E19B1" w:rsidP="0015408C">
      <w:pPr>
        <w:pStyle w:val="Heading"/>
        <w:spacing w:after="240"/>
        <w:jc w:val="center"/>
        <w:rPr>
          <w:rFonts w:ascii="Times New Roman" w:hAnsi="Times New Roman"/>
          <w:sz w:val="24"/>
          <w:szCs w:val="24"/>
        </w:rPr>
      </w:pPr>
      <w:bookmarkStart w:id="0" w:name="_GoBack"/>
      <w:bookmarkEnd w:id="0"/>
      <w:r w:rsidRPr="00AE2141">
        <w:rPr>
          <w:rFonts w:ascii="Times New Roman" w:hAnsi="Times New Roman"/>
          <w:sz w:val="24"/>
          <w:szCs w:val="24"/>
        </w:rPr>
        <w:t xml:space="preserve">Banking (prudential standard) determination No. </w:t>
      </w:r>
      <w:r w:rsidR="00A764FB">
        <w:rPr>
          <w:rFonts w:ascii="Times New Roman" w:hAnsi="Times New Roman"/>
          <w:sz w:val="24"/>
          <w:szCs w:val="24"/>
        </w:rPr>
        <w:t>4</w:t>
      </w:r>
      <w:r>
        <w:rPr>
          <w:rFonts w:ascii="Times New Roman" w:hAnsi="Times New Roman"/>
          <w:sz w:val="24"/>
          <w:szCs w:val="24"/>
        </w:rPr>
        <w:t xml:space="preserve"> </w:t>
      </w:r>
      <w:r w:rsidRPr="00AE2141">
        <w:rPr>
          <w:rFonts w:ascii="Times New Roman" w:hAnsi="Times New Roman"/>
          <w:sz w:val="24"/>
          <w:szCs w:val="24"/>
        </w:rPr>
        <w:t>of 201</w:t>
      </w:r>
      <w:r w:rsidR="00BC280B">
        <w:rPr>
          <w:rFonts w:ascii="Times New Roman" w:hAnsi="Times New Roman"/>
          <w:sz w:val="24"/>
          <w:szCs w:val="24"/>
        </w:rPr>
        <w:t>5</w:t>
      </w:r>
    </w:p>
    <w:p w:rsidR="003E19B1" w:rsidRPr="00AE2141" w:rsidRDefault="003E19B1" w:rsidP="0015408C">
      <w:pPr>
        <w:pStyle w:val="Heading"/>
        <w:tabs>
          <w:tab w:val="left" w:pos="360"/>
        </w:tabs>
        <w:spacing w:after="240"/>
        <w:jc w:val="center"/>
        <w:rPr>
          <w:rFonts w:ascii="Times New Roman" w:hAnsi="Times New Roman"/>
          <w:sz w:val="24"/>
          <w:szCs w:val="24"/>
          <w:u w:val="single"/>
        </w:rPr>
      </w:pPr>
      <w:bookmarkStart w:id="1" w:name="bkInstrumentSubTitle"/>
      <w:bookmarkEnd w:id="1"/>
      <w:r w:rsidRPr="00AE2141">
        <w:rPr>
          <w:rFonts w:ascii="Times New Roman" w:hAnsi="Times New Roman"/>
          <w:sz w:val="24"/>
          <w:szCs w:val="24"/>
          <w:u w:val="single"/>
        </w:rPr>
        <w:t>EXPLANATORY STATEMENT</w:t>
      </w:r>
    </w:p>
    <w:p w:rsidR="003E19B1" w:rsidRPr="00AE2141" w:rsidRDefault="003E19B1" w:rsidP="0015408C">
      <w:pPr>
        <w:pStyle w:val="Heading"/>
        <w:spacing w:after="240"/>
        <w:jc w:val="center"/>
        <w:rPr>
          <w:rFonts w:ascii="Times New Roman" w:hAnsi="Times New Roman"/>
          <w:sz w:val="24"/>
          <w:szCs w:val="24"/>
        </w:rPr>
      </w:pPr>
      <w:r w:rsidRPr="00AE2141">
        <w:rPr>
          <w:rFonts w:ascii="Times New Roman" w:hAnsi="Times New Roman"/>
          <w:sz w:val="24"/>
          <w:szCs w:val="24"/>
        </w:rPr>
        <w:t>Prepared by the Australian Prudential Regulation Authority (APRA)</w:t>
      </w:r>
    </w:p>
    <w:p w:rsidR="003E19B1" w:rsidRPr="00AE2141" w:rsidRDefault="003E19B1" w:rsidP="0015408C">
      <w:pPr>
        <w:pStyle w:val="Heading"/>
        <w:tabs>
          <w:tab w:val="left" w:pos="360"/>
        </w:tabs>
        <w:spacing w:after="240"/>
        <w:jc w:val="center"/>
        <w:rPr>
          <w:rFonts w:ascii="Times New Roman" w:hAnsi="Times New Roman"/>
          <w:b w:val="0"/>
          <w:sz w:val="24"/>
          <w:szCs w:val="24"/>
        </w:rPr>
      </w:pPr>
      <w:r w:rsidRPr="00AE2141">
        <w:rPr>
          <w:rFonts w:ascii="Times New Roman" w:hAnsi="Times New Roman"/>
          <w:b w:val="0"/>
          <w:i/>
          <w:sz w:val="24"/>
          <w:szCs w:val="24"/>
        </w:rPr>
        <w:t>Banking Act 1959</w:t>
      </w:r>
      <w:r w:rsidRPr="00AE2141">
        <w:rPr>
          <w:rFonts w:ascii="Times New Roman" w:hAnsi="Times New Roman"/>
          <w:b w:val="0"/>
          <w:sz w:val="24"/>
          <w:szCs w:val="24"/>
        </w:rPr>
        <w:t xml:space="preserve">, </w:t>
      </w:r>
      <w:r w:rsidRPr="00AE2141">
        <w:rPr>
          <w:rFonts w:ascii="Times New Roman" w:hAnsi="Times New Roman"/>
          <w:b w:val="0"/>
          <w:color w:val="000000"/>
          <w:sz w:val="24"/>
          <w:szCs w:val="24"/>
        </w:rPr>
        <w:t>section 11AF</w:t>
      </w:r>
    </w:p>
    <w:p w:rsidR="00180225" w:rsidRPr="004B2AA5" w:rsidRDefault="00180225" w:rsidP="0015408C">
      <w:pPr>
        <w:pStyle w:val="Heading"/>
        <w:spacing w:after="240"/>
        <w:outlineLvl w:val="0"/>
        <w:rPr>
          <w:rFonts w:ascii="Times New Roman" w:hAnsi="Times New Roman"/>
          <w:b w:val="0"/>
          <w:sz w:val="24"/>
          <w:szCs w:val="24"/>
        </w:rPr>
      </w:pPr>
      <w:r w:rsidRPr="004B2AA5">
        <w:rPr>
          <w:rFonts w:ascii="Times New Roman" w:hAnsi="Times New Roman"/>
          <w:b w:val="0"/>
          <w:sz w:val="24"/>
          <w:szCs w:val="24"/>
        </w:rPr>
        <w:t xml:space="preserve">Under subsection 11AF(1) of the </w:t>
      </w:r>
      <w:r w:rsidRPr="007C2D16">
        <w:rPr>
          <w:rFonts w:ascii="Times New Roman" w:hAnsi="Times New Roman"/>
          <w:b w:val="0"/>
          <w:i/>
          <w:sz w:val="24"/>
          <w:szCs w:val="24"/>
        </w:rPr>
        <w:t>Banking Act 1959</w:t>
      </w:r>
      <w:r w:rsidRPr="004B2AA5">
        <w:rPr>
          <w:rFonts w:ascii="Times New Roman" w:hAnsi="Times New Roman"/>
          <w:b w:val="0"/>
          <w:sz w:val="24"/>
          <w:szCs w:val="24"/>
        </w:rPr>
        <w:t xml:space="preserve"> (the Act), APRA has the power to determine standards (prudential standards), in writing, in relation to prudential matters to be complied with by authorised deposit-taking institutions (ADIs) and authorised non-operating holding companies (authorised NOHCs). Under subsection </w:t>
      </w:r>
      <w:proofErr w:type="gramStart"/>
      <w:r w:rsidRPr="004B2AA5">
        <w:rPr>
          <w:rFonts w:ascii="Times New Roman" w:hAnsi="Times New Roman"/>
          <w:b w:val="0"/>
          <w:sz w:val="24"/>
          <w:szCs w:val="24"/>
        </w:rPr>
        <w:t>11AF(</w:t>
      </w:r>
      <w:proofErr w:type="gramEnd"/>
      <w:r w:rsidRPr="004B2AA5">
        <w:rPr>
          <w:rFonts w:ascii="Times New Roman" w:hAnsi="Times New Roman"/>
          <w:b w:val="0"/>
          <w:sz w:val="24"/>
          <w:szCs w:val="24"/>
        </w:rPr>
        <w:t xml:space="preserve">3) of the Act, APRA may, in writing, vary or revoke a prudential standard. </w:t>
      </w:r>
    </w:p>
    <w:p w:rsidR="00700962" w:rsidRPr="004B2AA5" w:rsidRDefault="00180225" w:rsidP="00F05535">
      <w:pPr>
        <w:pStyle w:val="Heading"/>
        <w:spacing w:before="240" w:after="120"/>
        <w:outlineLvl w:val="0"/>
        <w:rPr>
          <w:rFonts w:ascii="Times New Roman" w:hAnsi="Times New Roman"/>
          <w:b w:val="0"/>
          <w:sz w:val="24"/>
          <w:szCs w:val="24"/>
        </w:rPr>
      </w:pPr>
      <w:r w:rsidRPr="004B2AA5">
        <w:rPr>
          <w:rFonts w:ascii="Times New Roman" w:hAnsi="Times New Roman"/>
          <w:b w:val="0"/>
          <w:sz w:val="24"/>
          <w:szCs w:val="24"/>
        </w:rPr>
        <w:t xml:space="preserve">On </w:t>
      </w:r>
      <w:r w:rsidR="000E6863">
        <w:rPr>
          <w:rFonts w:ascii="Times New Roman" w:hAnsi="Times New Roman"/>
          <w:b w:val="0"/>
          <w:sz w:val="24"/>
          <w:szCs w:val="24"/>
        </w:rPr>
        <w:t>14</w:t>
      </w:r>
      <w:r w:rsidR="00B76495">
        <w:rPr>
          <w:rFonts w:ascii="Times New Roman" w:hAnsi="Times New Roman"/>
          <w:b w:val="0"/>
          <w:sz w:val="24"/>
          <w:szCs w:val="24"/>
        </w:rPr>
        <w:t xml:space="preserve"> December</w:t>
      </w:r>
      <w:r w:rsidR="00BC280B" w:rsidRPr="004A3809">
        <w:rPr>
          <w:rFonts w:ascii="Times New Roman" w:hAnsi="Times New Roman"/>
          <w:b w:val="0"/>
          <w:sz w:val="24"/>
          <w:szCs w:val="24"/>
        </w:rPr>
        <w:t xml:space="preserve"> 2015</w:t>
      </w:r>
      <w:r w:rsidR="00035A24">
        <w:rPr>
          <w:rFonts w:ascii="Times New Roman" w:hAnsi="Times New Roman"/>
          <w:b w:val="0"/>
          <w:sz w:val="24"/>
          <w:szCs w:val="24"/>
        </w:rPr>
        <w:t xml:space="preserve">, </w:t>
      </w:r>
      <w:r w:rsidR="007933D7" w:rsidRPr="004B2AA5">
        <w:rPr>
          <w:rFonts w:ascii="Times New Roman" w:hAnsi="Times New Roman"/>
          <w:b w:val="0"/>
          <w:sz w:val="24"/>
          <w:szCs w:val="24"/>
        </w:rPr>
        <w:t xml:space="preserve">APRA </w:t>
      </w:r>
      <w:r w:rsidR="0017592E">
        <w:rPr>
          <w:rFonts w:ascii="Times New Roman" w:hAnsi="Times New Roman"/>
          <w:b w:val="0"/>
          <w:sz w:val="24"/>
          <w:szCs w:val="24"/>
        </w:rPr>
        <w:t xml:space="preserve">made </w:t>
      </w:r>
      <w:r w:rsidR="004865FF">
        <w:rPr>
          <w:rFonts w:ascii="Times New Roman" w:hAnsi="Times New Roman"/>
          <w:b w:val="0"/>
          <w:sz w:val="24"/>
          <w:szCs w:val="24"/>
        </w:rPr>
        <w:t xml:space="preserve">Banking (prudential standard) determination No. </w:t>
      </w:r>
      <w:r w:rsidR="00A764FB">
        <w:rPr>
          <w:rFonts w:ascii="Times New Roman" w:hAnsi="Times New Roman"/>
          <w:b w:val="0"/>
          <w:sz w:val="24"/>
          <w:szCs w:val="24"/>
        </w:rPr>
        <w:t>4</w:t>
      </w:r>
      <w:r w:rsidR="004865FF">
        <w:rPr>
          <w:rFonts w:ascii="Times New Roman" w:hAnsi="Times New Roman"/>
          <w:b w:val="0"/>
          <w:sz w:val="24"/>
          <w:szCs w:val="24"/>
        </w:rPr>
        <w:t xml:space="preserve"> of 2015, which </w:t>
      </w:r>
      <w:r w:rsidR="00700962">
        <w:rPr>
          <w:rFonts w:ascii="Times New Roman" w:hAnsi="Times New Roman"/>
          <w:b w:val="0"/>
          <w:sz w:val="24"/>
          <w:szCs w:val="24"/>
        </w:rPr>
        <w:t xml:space="preserve">revokes </w:t>
      </w:r>
      <w:r w:rsidR="00700962">
        <w:rPr>
          <w:rFonts w:ascii="Times New Roman" w:hAnsi="Times New Roman"/>
          <w:b w:val="0"/>
          <w:i/>
          <w:sz w:val="24"/>
          <w:szCs w:val="24"/>
        </w:rPr>
        <w:t xml:space="preserve">Prudential Standard APS 110 Capital Adequacy </w:t>
      </w:r>
      <w:r w:rsidR="00700962">
        <w:rPr>
          <w:rFonts w:ascii="Times New Roman" w:hAnsi="Times New Roman"/>
          <w:b w:val="0"/>
          <w:sz w:val="24"/>
          <w:szCs w:val="24"/>
        </w:rPr>
        <w:t xml:space="preserve">made under Banking (prudential standard) determination </w:t>
      </w:r>
      <w:r w:rsidR="00F05535" w:rsidRPr="0015408C">
        <w:rPr>
          <w:rFonts w:ascii="Times New Roman" w:hAnsi="Times New Roman"/>
          <w:b w:val="0"/>
          <w:sz w:val="24"/>
          <w:szCs w:val="24"/>
        </w:rPr>
        <w:t>No. 1</w:t>
      </w:r>
      <w:r w:rsidR="00700962" w:rsidRPr="0015408C">
        <w:rPr>
          <w:rFonts w:ascii="Times New Roman" w:hAnsi="Times New Roman"/>
          <w:b w:val="0"/>
          <w:sz w:val="24"/>
          <w:szCs w:val="24"/>
        </w:rPr>
        <w:t xml:space="preserve"> of 201</w:t>
      </w:r>
      <w:r w:rsidR="00F05535" w:rsidRPr="0015408C">
        <w:rPr>
          <w:rFonts w:ascii="Times New Roman" w:hAnsi="Times New Roman"/>
          <w:b w:val="0"/>
          <w:sz w:val="24"/>
          <w:szCs w:val="24"/>
        </w:rPr>
        <w:t>5</w:t>
      </w:r>
      <w:r w:rsidR="00700962" w:rsidRPr="004B2AA5">
        <w:rPr>
          <w:rFonts w:ascii="Times New Roman" w:hAnsi="Times New Roman"/>
          <w:b w:val="0"/>
          <w:sz w:val="24"/>
          <w:szCs w:val="24"/>
        </w:rPr>
        <w:t xml:space="preserve">, and determines a new </w:t>
      </w:r>
      <w:r w:rsidR="00700962" w:rsidRPr="008276ED">
        <w:rPr>
          <w:rFonts w:ascii="Times New Roman" w:hAnsi="Times New Roman"/>
          <w:b w:val="0"/>
          <w:i/>
          <w:sz w:val="24"/>
          <w:szCs w:val="24"/>
        </w:rPr>
        <w:t>Prudential Standard</w:t>
      </w:r>
      <w:r w:rsidR="00700962">
        <w:rPr>
          <w:rFonts w:ascii="Times New Roman" w:hAnsi="Times New Roman"/>
          <w:b w:val="0"/>
          <w:i/>
          <w:sz w:val="24"/>
          <w:szCs w:val="24"/>
        </w:rPr>
        <w:t xml:space="preserve"> APS 110 Capital Adequacy </w:t>
      </w:r>
      <w:r w:rsidR="00700962">
        <w:rPr>
          <w:rFonts w:ascii="Times New Roman" w:hAnsi="Times New Roman"/>
          <w:b w:val="0"/>
          <w:sz w:val="24"/>
          <w:szCs w:val="24"/>
        </w:rPr>
        <w:t>(APS 110)</w:t>
      </w:r>
      <w:r w:rsidR="00F05535">
        <w:rPr>
          <w:rFonts w:ascii="Times New Roman" w:hAnsi="Times New Roman"/>
          <w:b w:val="0"/>
          <w:sz w:val="24"/>
          <w:szCs w:val="24"/>
        </w:rPr>
        <w:t>.</w:t>
      </w:r>
    </w:p>
    <w:p w:rsidR="00FA6845" w:rsidRPr="004D214A" w:rsidRDefault="00FA6845" w:rsidP="00C210A3">
      <w:pPr>
        <w:pStyle w:val="Heading"/>
        <w:spacing w:before="240" w:after="120"/>
        <w:outlineLvl w:val="0"/>
        <w:rPr>
          <w:rFonts w:ascii="Times New Roman" w:hAnsi="Times New Roman"/>
          <w:b w:val="0"/>
          <w:sz w:val="24"/>
          <w:szCs w:val="24"/>
        </w:rPr>
      </w:pPr>
      <w:r w:rsidRPr="004B2AA5">
        <w:rPr>
          <w:rFonts w:ascii="Times New Roman" w:hAnsi="Times New Roman"/>
          <w:b w:val="0"/>
          <w:sz w:val="24"/>
          <w:szCs w:val="24"/>
        </w:rPr>
        <w:t xml:space="preserve">The instrument </w:t>
      </w:r>
      <w:r w:rsidRPr="004D214A">
        <w:rPr>
          <w:rFonts w:ascii="Times New Roman" w:hAnsi="Times New Roman"/>
          <w:b w:val="0"/>
          <w:sz w:val="24"/>
          <w:szCs w:val="24"/>
        </w:rPr>
        <w:t>commence</w:t>
      </w:r>
      <w:r w:rsidR="00B76495">
        <w:rPr>
          <w:rFonts w:ascii="Times New Roman" w:hAnsi="Times New Roman"/>
          <w:b w:val="0"/>
          <w:sz w:val="24"/>
          <w:szCs w:val="24"/>
        </w:rPr>
        <w:t>s</w:t>
      </w:r>
      <w:r w:rsidRPr="004D214A">
        <w:rPr>
          <w:rFonts w:ascii="Times New Roman" w:hAnsi="Times New Roman"/>
          <w:b w:val="0"/>
          <w:sz w:val="24"/>
          <w:szCs w:val="24"/>
        </w:rPr>
        <w:t xml:space="preserve"> </w:t>
      </w:r>
      <w:r w:rsidRPr="00A764FB">
        <w:rPr>
          <w:rFonts w:ascii="Times New Roman" w:hAnsi="Times New Roman"/>
          <w:b w:val="0"/>
          <w:sz w:val="24"/>
          <w:szCs w:val="24"/>
        </w:rPr>
        <w:t xml:space="preserve">on </w:t>
      </w:r>
      <w:r w:rsidR="00452B99" w:rsidRPr="00A764FB">
        <w:rPr>
          <w:rFonts w:ascii="Times New Roman" w:hAnsi="Times New Roman"/>
          <w:b w:val="0"/>
          <w:sz w:val="24"/>
          <w:szCs w:val="24"/>
        </w:rPr>
        <w:t xml:space="preserve">1 </w:t>
      </w:r>
      <w:r w:rsidR="00F05535" w:rsidRPr="00A764FB">
        <w:rPr>
          <w:rFonts w:ascii="Times New Roman" w:hAnsi="Times New Roman"/>
          <w:b w:val="0"/>
          <w:sz w:val="24"/>
          <w:szCs w:val="24"/>
        </w:rPr>
        <w:t>January 2016</w:t>
      </w:r>
      <w:r w:rsidRPr="00A764FB">
        <w:rPr>
          <w:rFonts w:ascii="Times New Roman" w:hAnsi="Times New Roman"/>
          <w:b w:val="0"/>
          <w:sz w:val="24"/>
          <w:szCs w:val="24"/>
        </w:rPr>
        <w:t>.</w:t>
      </w:r>
    </w:p>
    <w:p w:rsidR="003464BA" w:rsidRPr="004D214A" w:rsidRDefault="0080090D" w:rsidP="00C210A3">
      <w:pPr>
        <w:pStyle w:val="Heading"/>
        <w:keepNext/>
        <w:numPr>
          <w:ilvl w:val="0"/>
          <w:numId w:val="1"/>
        </w:numPr>
        <w:tabs>
          <w:tab w:val="clear" w:pos="644"/>
        </w:tabs>
        <w:spacing w:before="240" w:after="120"/>
        <w:ind w:left="567" w:hanging="567"/>
        <w:rPr>
          <w:rFonts w:ascii="Times New Roman" w:hAnsi="Times New Roman"/>
          <w:sz w:val="24"/>
          <w:szCs w:val="24"/>
        </w:rPr>
      </w:pPr>
      <w:r w:rsidRPr="004D214A">
        <w:rPr>
          <w:rFonts w:ascii="Times New Roman" w:hAnsi="Times New Roman"/>
          <w:sz w:val="24"/>
          <w:szCs w:val="24"/>
        </w:rPr>
        <w:t>Background</w:t>
      </w:r>
    </w:p>
    <w:p w:rsidR="00403795" w:rsidRPr="00403795" w:rsidRDefault="00D07DC0" w:rsidP="00403795">
      <w:pPr>
        <w:spacing w:after="120"/>
        <w:jc w:val="both"/>
        <w:rPr>
          <w:rFonts w:ascii="Times New Roman" w:hAnsi="Times New Roman"/>
          <w:sz w:val="24"/>
          <w:szCs w:val="24"/>
        </w:rPr>
      </w:pPr>
      <w:r>
        <w:rPr>
          <w:rFonts w:ascii="Times New Roman" w:hAnsi="Times New Roman"/>
          <w:sz w:val="24"/>
          <w:szCs w:val="24"/>
        </w:rPr>
        <w:t>APRA</w:t>
      </w:r>
      <w:r w:rsidR="00403795" w:rsidRPr="00403795">
        <w:rPr>
          <w:rFonts w:ascii="Times New Roman" w:hAnsi="Times New Roman"/>
          <w:sz w:val="24"/>
          <w:szCs w:val="24"/>
        </w:rPr>
        <w:t xml:space="preserve"> regulates banking, insurance and superannuation </w:t>
      </w:r>
      <w:r w:rsidR="00F21AAC">
        <w:rPr>
          <w:rFonts w:ascii="Times New Roman" w:hAnsi="Times New Roman"/>
          <w:sz w:val="24"/>
          <w:szCs w:val="24"/>
        </w:rPr>
        <w:t>entities</w:t>
      </w:r>
      <w:r w:rsidR="00403795" w:rsidRPr="00403795">
        <w:rPr>
          <w:rFonts w:ascii="Times New Roman" w:hAnsi="Times New Roman"/>
          <w:sz w:val="24"/>
          <w:szCs w:val="24"/>
        </w:rPr>
        <w:t xml:space="preserve"> with the aim of ensuring that they can meet their financial promises to depositors, policyholders and superannuation fund members within a stable, efficient and competitive financial system. APRA seeks to fulfil this mandate through an authorisation process, and ongoing supervision of ADIs under a prudential framework consisting of guidance and mandatory rules.</w:t>
      </w:r>
      <w:r w:rsidR="0055253B">
        <w:rPr>
          <w:rFonts w:ascii="Times New Roman" w:hAnsi="Times New Roman"/>
          <w:sz w:val="24"/>
          <w:szCs w:val="24"/>
        </w:rPr>
        <w:t xml:space="preserve"> </w:t>
      </w:r>
      <w:r w:rsidR="00403795" w:rsidRPr="00403795">
        <w:rPr>
          <w:rFonts w:ascii="Times New Roman" w:hAnsi="Times New Roman"/>
          <w:sz w:val="24"/>
          <w:szCs w:val="24"/>
        </w:rPr>
        <w:t>APRA also supervises and regulates with the aim of promoting financial system stability in Australia.</w:t>
      </w:r>
    </w:p>
    <w:p w:rsidR="00F05535" w:rsidRDefault="00403795" w:rsidP="00F05535">
      <w:pPr>
        <w:spacing w:after="120"/>
        <w:jc w:val="both"/>
        <w:rPr>
          <w:rFonts w:ascii="Times New Roman" w:hAnsi="Times New Roman"/>
          <w:b/>
          <w:sz w:val="24"/>
          <w:szCs w:val="24"/>
        </w:rPr>
      </w:pPr>
      <w:r w:rsidRPr="00F12122">
        <w:rPr>
          <w:rFonts w:ascii="Times New Roman" w:hAnsi="Times New Roman"/>
          <w:sz w:val="24"/>
          <w:szCs w:val="24"/>
        </w:rPr>
        <w:t xml:space="preserve">APRA’s prudential framework for ADIs is based on the framework agreed by the Basel Committee on Banking Supervision (Basel Committee). </w:t>
      </w:r>
      <w:r w:rsidR="00D34D88">
        <w:rPr>
          <w:rFonts w:ascii="Times New Roman" w:hAnsi="Times New Roman"/>
          <w:sz w:val="24"/>
          <w:szCs w:val="24"/>
        </w:rPr>
        <w:t xml:space="preserve">In 2012, APRA implemented measures </w:t>
      </w:r>
      <w:r w:rsidR="001D3368">
        <w:rPr>
          <w:rFonts w:ascii="Times New Roman" w:hAnsi="Times New Roman"/>
          <w:sz w:val="24"/>
          <w:szCs w:val="24"/>
        </w:rPr>
        <w:t xml:space="preserve">developed by the Basel Committee that were intended </w:t>
      </w:r>
      <w:r w:rsidR="00D34D88">
        <w:rPr>
          <w:rFonts w:ascii="Times New Roman" w:hAnsi="Times New Roman"/>
          <w:sz w:val="24"/>
          <w:szCs w:val="24"/>
        </w:rPr>
        <w:t xml:space="preserve">to further strengthen this framework </w:t>
      </w:r>
      <w:r w:rsidR="00A764FB">
        <w:rPr>
          <w:rFonts w:ascii="Times New Roman" w:hAnsi="Times New Roman"/>
          <w:sz w:val="24"/>
          <w:szCs w:val="24"/>
        </w:rPr>
        <w:t>to address</w:t>
      </w:r>
      <w:r w:rsidR="00D34D88">
        <w:rPr>
          <w:rFonts w:ascii="Times New Roman" w:hAnsi="Times New Roman"/>
          <w:sz w:val="24"/>
          <w:szCs w:val="24"/>
        </w:rPr>
        <w:t xml:space="preserve"> deficiencies identified during the global financial crisis. These reforms</w:t>
      </w:r>
      <w:r w:rsidR="00B96939">
        <w:rPr>
          <w:rFonts w:ascii="Times New Roman" w:hAnsi="Times New Roman"/>
          <w:sz w:val="24"/>
          <w:szCs w:val="24"/>
        </w:rPr>
        <w:t xml:space="preserve">, </w:t>
      </w:r>
      <w:r w:rsidR="00B96939" w:rsidRPr="00B96939">
        <w:rPr>
          <w:rFonts w:ascii="Times New Roman" w:hAnsi="Times New Roman"/>
          <w:sz w:val="24"/>
          <w:szCs w:val="24"/>
        </w:rPr>
        <w:t>known as ‘Basel III’</w:t>
      </w:r>
      <w:r w:rsidR="00B96939">
        <w:rPr>
          <w:rFonts w:ascii="Times New Roman" w:hAnsi="Times New Roman"/>
          <w:sz w:val="24"/>
          <w:szCs w:val="24"/>
        </w:rPr>
        <w:t xml:space="preserve">, </w:t>
      </w:r>
      <w:r w:rsidR="00D34D88">
        <w:rPr>
          <w:rFonts w:ascii="Times New Roman" w:hAnsi="Times New Roman"/>
          <w:sz w:val="24"/>
          <w:szCs w:val="24"/>
        </w:rPr>
        <w:t>included two new capital buffers to apply to ADIs, the capital conservation buffer and the</w:t>
      </w:r>
      <w:r w:rsidR="00A764FB">
        <w:rPr>
          <w:rFonts w:ascii="Times New Roman" w:hAnsi="Times New Roman"/>
          <w:sz w:val="24"/>
          <w:szCs w:val="24"/>
        </w:rPr>
        <w:t xml:space="preserve"> countercyclical capital buffer</w:t>
      </w:r>
      <w:r w:rsidR="001D3368">
        <w:rPr>
          <w:rFonts w:ascii="Times New Roman" w:hAnsi="Times New Roman"/>
          <w:sz w:val="24"/>
          <w:szCs w:val="24"/>
        </w:rPr>
        <w:t xml:space="preserve">, which </w:t>
      </w:r>
      <w:r w:rsidR="00354F45">
        <w:rPr>
          <w:rFonts w:ascii="Times New Roman" w:hAnsi="Times New Roman"/>
          <w:sz w:val="24"/>
          <w:szCs w:val="24"/>
        </w:rPr>
        <w:t xml:space="preserve">come into effect </w:t>
      </w:r>
      <w:r w:rsidR="0083504A">
        <w:rPr>
          <w:rFonts w:ascii="Times New Roman" w:hAnsi="Times New Roman"/>
          <w:sz w:val="24"/>
          <w:szCs w:val="24"/>
        </w:rPr>
        <w:t xml:space="preserve">on </w:t>
      </w:r>
      <w:r w:rsidR="00354F45">
        <w:rPr>
          <w:rFonts w:ascii="Times New Roman" w:hAnsi="Times New Roman"/>
          <w:sz w:val="24"/>
          <w:szCs w:val="24"/>
        </w:rPr>
        <w:t>1 January 2016.</w:t>
      </w:r>
    </w:p>
    <w:p w:rsidR="006E18E6" w:rsidRDefault="006E18E6" w:rsidP="00D106EB">
      <w:pPr>
        <w:spacing w:after="120"/>
        <w:jc w:val="both"/>
        <w:rPr>
          <w:rFonts w:ascii="Times New Roman" w:hAnsi="Times New Roman"/>
          <w:sz w:val="24"/>
          <w:szCs w:val="24"/>
        </w:rPr>
      </w:pPr>
      <w:r w:rsidRPr="006E18E6">
        <w:rPr>
          <w:rFonts w:ascii="Times New Roman" w:hAnsi="Times New Roman"/>
          <w:bCs/>
          <w:sz w:val="24"/>
          <w:szCs w:val="24"/>
        </w:rPr>
        <w:t>The purpose of the countercyclical capital buffer is to raise banking sector capital requirements in periods of excess credit growth, which have often been associated with the build-up of systemic risk. This additional buffer can then be released during periods of stress, to reduce the risk of the supply of credit being constrained by regulatory capital requirements</w:t>
      </w:r>
      <w:r>
        <w:rPr>
          <w:rFonts w:ascii="Times New Roman" w:hAnsi="Times New Roman"/>
          <w:bCs/>
          <w:sz w:val="24"/>
          <w:szCs w:val="24"/>
        </w:rPr>
        <w:t>.</w:t>
      </w:r>
      <w:r w:rsidR="00AE4754" w:rsidRPr="00AE4754">
        <w:rPr>
          <w:rFonts w:ascii="Times New Roman" w:hAnsi="Times New Roman"/>
          <w:sz w:val="24"/>
          <w:szCs w:val="24"/>
        </w:rPr>
        <w:t xml:space="preserve"> </w:t>
      </w:r>
    </w:p>
    <w:p w:rsidR="006E0898" w:rsidRDefault="00F46267" w:rsidP="00D106EB">
      <w:pPr>
        <w:spacing w:after="120"/>
        <w:jc w:val="both"/>
        <w:rPr>
          <w:rFonts w:ascii="Times New Roman" w:hAnsi="Times New Roman"/>
          <w:sz w:val="24"/>
          <w:szCs w:val="24"/>
        </w:rPr>
      </w:pPr>
      <w:r>
        <w:rPr>
          <w:rFonts w:ascii="Times New Roman" w:hAnsi="Times New Roman"/>
          <w:sz w:val="24"/>
          <w:szCs w:val="24"/>
        </w:rPr>
        <w:t xml:space="preserve">The buffer framework is also designed to ensure that the application of the buffer in a given jurisdiction does not distort the level playing field between domestic banking institutions and foreign banking institutions with exposures to counterparties in the same jurisdiction. </w:t>
      </w:r>
      <w:r w:rsidR="004239FE">
        <w:rPr>
          <w:rFonts w:ascii="Times New Roman" w:hAnsi="Times New Roman"/>
          <w:sz w:val="24"/>
          <w:szCs w:val="24"/>
        </w:rPr>
        <w:t>The buffer that will apply to a</w:t>
      </w:r>
      <w:r w:rsidR="000A0755">
        <w:rPr>
          <w:rFonts w:ascii="Times New Roman" w:hAnsi="Times New Roman"/>
          <w:sz w:val="24"/>
          <w:szCs w:val="24"/>
        </w:rPr>
        <w:t xml:space="preserve">n ADI with private sector credit exposures in other jurisdictions </w:t>
      </w:r>
      <w:r w:rsidR="004239FE">
        <w:rPr>
          <w:rFonts w:ascii="Times New Roman" w:hAnsi="Times New Roman"/>
          <w:sz w:val="24"/>
          <w:szCs w:val="24"/>
        </w:rPr>
        <w:t>is calculated as the weighted average of the buffers applying in each of these jurisdictions.</w:t>
      </w:r>
    </w:p>
    <w:p w:rsidR="004239FE" w:rsidRDefault="004239FE" w:rsidP="00D106EB">
      <w:pPr>
        <w:spacing w:after="120"/>
        <w:jc w:val="both"/>
        <w:rPr>
          <w:rFonts w:ascii="Times New Roman" w:hAnsi="Times New Roman"/>
          <w:sz w:val="24"/>
          <w:szCs w:val="24"/>
        </w:rPr>
      </w:pPr>
    </w:p>
    <w:p w:rsidR="004A3B03" w:rsidRPr="006E3EA1" w:rsidRDefault="004A3B03" w:rsidP="00C210A3">
      <w:pPr>
        <w:pStyle w:val="Heading"/>
        <w:keepNext/>
        <w:numPr>
          <w:ilvl w:val="0"/>
          <w:numId w:val="1"/>
        </w:numPr>
        <w:tabs>
          <w:tab w:val="clear" w:pos="644"/>
        </w:tabs>
        <w:spacing w:before="240" w:after="120"/>
        <w:ind w:left="567" w:hanging="567"/>
        <w:rPr>
          <w:rFonts w:ascii="Times New Roman" w:hAnsi="Times New Roman"/>
          <w:b w:val="0"/>
          <w:sz w:val="24"/>
          <w:szCs w:val="24"/>
        </w:rPr>
      </w:pPr>
      <w:r w:rsidRPr="00927046">
        <w:rPr>
          <w:rFonts w:ascii="Times New Roman" w:hAnsi="Times New Roman"/>
          <w:sz w:val="24"/>
          <w:szCs w:val="24"/>
        </w:rPr>
        <w:lastRenderedPageBreak/>
        <w:t>Purpose and operation of the instrument</w:t>
      </w:r>
    </w:p>
    <w:p w:rsidR="00434045" w:rsidRPr="00434045" w:rsidRDefault="00B2117D" w:rsidP="00193C86">
      <w:pPr>
        <w:pStyle w:val="Heading"/>
        <w:spacing w:before="240" w:after="120"/>
        <w:outlineLvl w:val="0"/>
        <w:rPr>
          <w:rFonts w:ascii="Times New Roman" w:hAnsi="Times New Roman"/>
          <w:sz w:val="24"/>
          <w:szCs w:val="24"/>
        </w:rPr>
      </w:pPr>
      <w:r>
        <w:rPr>
          <w:rFonts w:ascii="Times New Roman" w:hAnsi="Times New Roman"/>
          <w:b w:val="0"/>
          <w:sz w:val="24"/>
          <w:szCs w:val="24"/>
        </w:rPr>
        <w:t xml:space="preserve">The purpose of </w:t>
      </w:r>
      <w:r w:rsidR="00943871">
        <w:rPr>
          <w:rFonts w:ascii="Times New Roman" w:hAnsi="Times New Roman"/>
          <w:b w:val="0"/>
          <w:sz w:val="24"/>
          <w:szCs w:val="24"/>
        </w:rPr>
        <w:t>the</w:t>
      </w:r>
      <w:r w:rsidR="00341CB8">
        <w:rPr>
          <w:rFonts w:ascii="Times New Roman" w:hAnsi="Times New Roman"/>
          <w:b w:val="0"/>
          <w:sz w:val="24"/>
          <w:szCs w:val="24"/>
        </w:rPr>
        <w:t xml:space="preserve"> </w:t>
      </w:r>
      <w:r>
        <w:rPr>
          <w:rFonts w:ascii="Times New Roman" w:hAnsi="Times New Roman"/>
          <w:b w:val="0"/>
          <w:sz w:val="24"/>
          <w:szCs w:val="24"/>
        </w:rPr>
        <w:t>instrument</w:t>
      </w:r>
      <w:r w:rsidR="00341CB8">
        <w:rPr>
          <w:rFonts w:ascii="Times New Roman" w:hAnsi="Times New Roman"/>
          <w:b w:val="0"/>
          <w:sz w:val="24"/>
          <w:szCs w:val="24"/>
        </w:rPr>
        <w:t xml:space="preserve"> is to</w:t>
      </w:r>
      <w:r w:rsidR="00107A7C">
        <w:rPr>
          <w:rFonts w:ascii="Times New Roman" w:hAnsi="Times New Roman"/>
          <w:b w:val="0"/>
          <w:sz w:val="24"/>
          <w:szCs w:val="24"/>
        </w:rPr>
        <w:t xml:space="preserve"> </w:t>
      </w:r>
      <w:r w:rsidR="008048A7">
        <w:rPr>
          <w:rFonts w:ascii="Times New Roman" w:hAnsi="Times New Roman"/>
          <w:b w:val="0"/>
          <w:sz w:val="24"/>
          <w:szCs w:val="24"/>
        </w:rPr>
        <w:t xml:space="preserve">revoke </w:t>
      </w:r>
      <w:r w:rsidR="00341CB8">
        <w:rPr>
          <w:rFonts w:ascii="Times New Roman" w:hAnsi="Times New Roman"/>
          <w:b w:val="0"/>
          <w:sz w:val="24"/>
          <w:szCs w:val="24"/>
        </w:rPr>
        <w:t xml:space="preserve">APS 110 and </w:t>
      </w:r>
      <w:r w:rsidR="00F9506C">
        <w:rPr>
          <w:rFonts w:ascii="Times New Roman" w:hAnsi="Times New Roman"/>
          <w:b w:val="0"/>
          <w:sz w:val="24"/>
          <w:szCs w:val="24"/>
        </w:rPr>
        <w:t xml:space="preserve">replace it with </w:t>
      </w:r>
      <w:r w:rsidR="003C61DC">
        <w:rPr>
          <w:rFonts w:ascii="Times New Roman" w:hAnsi="Times New Roman"/>
          <w:b w:val="0"/>
          <w:sz w:val="24"/>
          <w:szCs w:val="24"/>
        </w:rPr>
        <w:t>an amended</w:t>
      </w:r>
      <w:r w:rsidR="00F9506C">
        <w:rPr>
          <w:rFonts w:ascii="Times New Roman" w:hAnsi="Times New Roman"/>
          <w:b w:val="0"/>
          <w:sz w:val="24"/>
          <w:szCs w:val="24"/>
        </w:rPr>
        <w:t xml:space="preserve"> </w:t>
      </w:r>
      <w:r w:rsidR="003C61DC">
        <w:rPr>
          <w:rFonts w:ascii="Times New Roman" w:hAnsi="Times New Roman"/>
          <w:b w:val="0"/>
          <w:sz w:val="24"/>
          <w:szCs w:val="24"/>
        </w:rPr>
        <w:t>version of the prudential standard</w:t>
      </w:r>
      <w:r w:rsidR="00107A7C">
        <w:rPr>
          <w:rFonts w:ascii="Times New Roman" w:hAnsi="Times New Roman"/>
          <w:b w:val="0"/>
          <w:sz w:val="24"/>
          <w:szCs w:val="24"/>
        </w:rPr>
        <w:t>.</w:t>
      </w:r>
    </w:p>
    <w:p w:rsidR="00D57253" w:rsidRPr="00471AAA" w:rsidRDefault="00D57253" w:rsidP="00471AAA">
      <w:pPr>
        <w:spacing w:after="120"/>
        <w:jc w:val="both"/>
        <w:rPr>
          <w:rFonts w:ascii="Times New Roman" w:hAnsi="Times New Roman"/>
          <w:sz w:val="24"/>
          <w:szCs w:val="24"/>
        </w:rPr>
      </w:pPr>
      <w:r>
        <w:rPr>
          <w:rFonts w:ascii="Times New Roman" w:hAnsi="Times New Roman"/>
          <w:sz w:val="24"/>
          <w:szCs w:val="24"/>
        </w:rPr>
        <w:t xml:space="preserve">The </w:t>
      </w:r>
      <w:r w:rsidR="003C61DC">
        <w:rPr>
          <w:rFonts w:ascii="Times New Roman" w:hAnsi="Times New Roman"/>
          <w:sz w:val="24"/>
          <w:szCs w:val="24"/>
        </w:rPr>
        <w:t>instrument</w:t>
      </w:r>
      <w:r w:rsidR="00E4151D">
        <w:rPr>
          <w:rFonts w:ascii="Times New Roman" w:hAnsi="Times New Roman"/>
          <w:sz w:val="24"/>
          <w:szCs w:val="24"/>
        </w:rPr>
        <w:t xml:space="preserve"> </w:t>
      </w:r>
      <w:r w:rsidR="00E91DF9">
        <w:rPr>
          <w:rFonts w:ascii="Times New Roman" w:hAnsi="Times New Roman"/>
          <w:sz w:val="24"/>
          <w:szCs w:val="24"/>
        </w:rPr>
        <w:t xml:space="preserve">amends the wording in APS 110 to clarify </w:t>
      </w:r>
      <w:r w:rsidR="006E18E6">
        <w:rPr>
          <w:rFonts w:ascii="Times New Roman" w:hAnsi="Times New Roman"/>
          <w:sz w:val="24"/>
          <w:szCs w:val="24"/>
        </w:rPr>
        <w:t xml:space="preserve">the intended </w:t>
      </w:r>
      <w:r w:rsidR="00E91DF9">
        <w:rPr>
          <w:rFonts w:ascii="Times New Roman" w:hAnsi="Times New Roman"/>
          <w:sz w:val="24"/>
          <w:szCs w:val="24"/>
        </w:rPr>
        <w:t xml:space="preserve">operation of the countercyclical capital buffer. In particular, it </w:t>
      </w:r>
      <w:r w:rsidR="00341BE1">
        <w:rPr>
          <w:rFonts w:ascii="Times New Roman" w:hAnsi="Times New Roman"/>
          <w:sz w:val="24"/>
          <w:szCs w:val="24"/>
        </w:rPr>
        <w:t xml:space="preserve">seeks to avoid confusion by clearly separating the </w:t>
      </w:r>
      <w:r w:rsidR="00930307">
        <w:rPr>
          <w:rFonts w:ascii="Times New Roman" w:hAnsi="Times New Roman"/>
          <w:sz w:val="24"/>
          <w:szCs w:val="24"/>
        </w:rPr>
        <w:t>‘</w:t>
      </w:r>
      <w:r w:rsidR="00341BE1">
        <w:rPr>
          <w:rFonts w:ascii="Times New Roman" w:hAnsi="Times New Roman"/>
          <w:sz w:val="24"/>
          <w:szCs w:val="24"/>
        </w:rPr>
        <w:t>ADI-specific</w:t>
      </w:r>
      <w:r w:rsidR="00930307">
        <w:rPr>
          <w:rFonts w:ascii="Times New Roman" w:hAnsi="Times New Roman"/>
          <w:sz w:val="24"/>
          <w:szCs w:val="24"/>
        </w:rPr>
        <w:t>’</w:t>
      </w:r>
      <w:r w:rsidR="00341BE1">
        <w:rPr>
          <w:rFonts w:ascii="Times New Roman" w:hAnsi="Times New Roman"/>
          <w:sz w:val="24"/>
          <w:szCs w:val="24"/>
        </w:rPr>
        <w:t xml:space="preserve"> and </w:t>
      </w:r>
      <w:r w:rsidR="00930307">
        <w:rPr>
          <w:rFonts w:ascii="Times New Roman" w:hAnsi="Times New Roman"/>
          <w:sz w:val="24"/>
          <w:szCs w:val="24"/>
        </w:rPr>
        <w:t>‘</w:t>
      </w:r>
      <w:r w:rsidR="00341BE1">
        <w:rPr>
          <w:rFonts w:ascii="Times New Roman" w:hAnsi="Times New Roman"/>
          <w:sz w:val="24"/>
          <w:szCs w:val="24"/>
        </w:rPr>
        <w:t>Australian jurisdictional</w:t>
      </w:r>
      <w:r w:rsidR="00930307">
        <w:rPr>
          <w:rFonts w:ascii="Times New Roman" w:hAnsi="Times New Roman"/>
          <w:sz w:val="24"/>
          <w:szCs w:val="24"/>
        </w:rPr>
        <w:t>’</w:t>
      </w:r>
      <w:r w:rsidR="00341BE1">
        <w:rPr>
          <w:rFonts w:ascii="Times New Roman" w:hAnsi="Times New Roman"/>
          <w:sz w:val="24"/>
          <w:szCs w:val="24"/>
        </w:rPr>
        <w:t xml:space="preserve"> </w:t>
      </w:r>
      <w:r w:rsidR="00FA2D12">
        <w:rPr>
          <w:rFonts w:ascii="Times New Roman" w:hAnsi="Times New Roman"/>
          <w:sz w:val="24"/>
          <w:szCs w:val="24"/>
        </w:rPr>
        <w:t>elements of the buffer mechanism</w:t>
      </w:r>
      <w:r w:rsidR="00351D84">
        <w:rPr>
          <w:rFonts w:ascii="Times New Roman" w:hAnsi="Times New Roman"/>
          <w:sz w:val="24"/>
          <w:szCs w:val="24"/>
        </w:rPr>
        <w:t>. APRA’s stated policy during consultation was</w:t>
      </w:r>
      <w:r w:rsidR="00930307">
        <w:rPr>
          <w:rFonts w:ascii="Times New Roman" w:hAnsi="Times New Roman"/>
          <w:sz w:val="24"/>
          <w:szCs w:val="24"/>
        </w:rPr>
        <w:t xml:space="preserve"> </w:t>
      </w:r>
      <w:r w:rsidR="00471AAA" w:rsidRPr="00471AAA">
        <w:rPr>
          <w:rFonts w:ascii="Times New Roman" w:hAnsi="Times New Roman"/>
          <w:sz w:val="24"/>
          <w:szCs w:val="24"/>
        </w:rPr>
        <w:t>th</w:t>
      </w:r>
      <w:r w:rsidR="00471AAA">
        <w:rPr>
          <w:rFonts w:ascii="Times New Roman" w:hAnsi="Times New Roman"/>
          <w:sz w:val="24"/>
          <w:szCs w:val="24"/>
        </w:rPr>
        <w:t>at APRA w</w:t>
      </w:r>
      <w:r w:rsidR="00FA2D12">
        <w:rPr>
          <w:rFonts w:ascii="Times New Roman" w:hAnsi="Times New Roman"/>
          <w:sz w:val="24"/>
          <w:szCs w:val="24"/>
        </w:rPr>
        <w:t>ould</w:t>
      </w:r>
      <w:r w:rsidR="00471AAA">
        <w:rPr>
          <w:rFonts w:ascii="Times New Roman" w:hAnsi="Times New Roman"/>
          <w:sz w:val="24"/>
          <w:szCs w:val="24"/>
        </w:rPr>
        <w:t xml:space="preserve"> </w:t>
      </w:r>
      <w:r w:rsidR="00F2696F">
        <w:rPr>
          <w:rFonts w:ascii="Times New Roman" w:hAnsi="Times New Roman"/>
          <w:sz w:val="24"/>
          <w:szCs w:val="24"/>
        </w:rPr>
        <w:t xml:space="preserve">determine the countercyclical capital buffer for the Australian jurisdiction, whereas the ADI-specific countercyclical capital buffer, which also takes account of </w:t>
      </w:r>
      <w:r w:rsidR="00587C1B">
        <w:rPr>
          <w:rFonts w:ascii="Times New Roman" w:hAnsi="Times New Roman"/>
          <w:sz w:val="24"/>
          <w:szCs w:val="24"/>
        </w:rPr>
        <w:t>private sector credit exposures in other jurisdictions</w:t>
      </w:r>
      <w:r w:rsidR="00FA2D12">
        <w:rPr>
          <w:rFonts w:ascii="Times New Roman" w:hAnsi="Times New Roman"/>
          <w:sz w:val="24"/>
          <w:szCs w:val="24"/>
        </w:rPr>
        <w:t xml:space="preserve">, was to be calculated in accordance with </w:t>
      </w:r>
      <w:r w:rsidR="00FA2D12" w:rsidRPr="00FA2D12">
        <w:rPr>
          <w:rFonts w:ascii="Times New Roman" w:hAnsi="Times New Roman"/>
          <w:sz w:val="24"/>
          <w:szCs w:val="24"/>
        </w:rPr>
        <w:t>Attachment C</w:t>
      </w:r>
      <w:r w:rsidR="00587C1B">
        <w:rPr>
          <w:rFonts w:ascii="Times New Roman" w:hAnsi="Times New Roman"/>
          <w:sz w:val="24"/>
          <w:szCs w:val="24"/>
        </w:rPr>
        <w:t xml:space="preserve">. The amendments </w:t>
      </w:r>
      <w:r w:rsidR="00351D84">
        <w:rPr>
          <w:rFonts w:ascii="Times New Roman" w:hAnsi="Times New Roman"/>
          <w:sz w:val="24"/>
          <w:szCs w:val="24"/>
        </w:rPr>
        <w:t xml:space="preserve">also </w:t>
      </w:r>
      <w:r w:rsidR="00410EA7">
        <w:rPr>
          <w:rFonts w:ascii="Times New Roman" w:hAnsi="Times New Roman"/>
          <w:sz w:val="24"/>
          <w:szCs w:val="24"/>
        </w:rPr>
        <w:t xml:space="preserve">more clearly </w:t>
      </w:r>
      <w:r w:rsidR="00587C1B">
        <w:rPr>
          <w:rFonts w:ascii="Times New Roman" w:hAnsi="Times New Roman"/>
          <w:sz w:val="24"/>
          <w:szCs w:val="24"/>
        </w:rPr>
        <w:t>define</w:t>
      </w:r>
      <w:r w:rsidR="00410EA7">
        <w:rPr>
          <w:rFonts w:ascii="Times New Roman" w:hAnsi="Times New Roman"/>
          <w:sz w:val="24"/>
          <w:szCs w:val="24"/>
        </w:rPr>
        <w:t xml:space="preserve"> </w:t>
      </w:r>
      <w:proofErr w:type="gramStart"/>
      <w:r w:rsidR="00410EA7">
        <w:rPr>
          <w:rFonts w:ascii="Times New Roman" w:hAnsi="Times New Roman"/>
          <w:sz w:val="24"/>
          <w:szCs w:val="24"/>
        </w:rPr>
        <w:t xml:space="preserve">the </w:t>
      </w:r>
      <w:r w:rsidR="00471AAA" w:rsidRPr="00471AAA">
        <w:rPr>
          <w:rFonts w:ascii="Times New Roman" w:hAnsi="Times New Roman"/>
          <w:sz w:val="24"/>
          <w:szCs w:val="24"/>
        </w:rPr>
        <w:t xml:space="preserve"> exposures</w:t>
      </w:r>
      <w:proofErr w:type="gramEnd"/>
      <w:r w:rsidR="00471AAA" w:rsidRPr="00471AAA">
        <w:rPr>
          <w:rFonts w:ascii="Times New Roman" w:hAnsi="Times New Roman"/>
          <w:sz w:val="24"/>
          <w:szCs w:val="24"/>
        </w:rPr>
        <w:t xml:space="preserve"> </w:t>
      </w:r>
      <w:r w:rsidR="00410EA7">
        <w:rPr>
          <w:rFonts w:ascii="Times New Roman" w:hAnsi="Times New Roman"/>
          <w:sz w:val="24"/>
          <w:szCs w:val="24"/>
        </w:rPr>
        <w:t>used to calculate</w:t>
      </w:r>
      <w:r w:rsidR="00471AAA" w:rsidRPr="00471AAA">
        <w:rPr>
          <w:rFonts w:ascii="Times New Roman" w:hAnsi="Times New Roman"/>
          <w:sz w:val="24"/>
          <w:szCs w:val="24"/>
        </w:rPr>
        <w:t xml:space="preserve"> </w:t>
      </w:r>
      <w:r w:rsidR="00587C1B">
        <w:rPr>
          <w:rFonts w:ascii="Times New Roman" w:hAnsi="Times New Roman"/>
          <w:sz w:val="24"/>
          <w:szCs w:val="24"/>
        </w:rPr>
        <w:t>the</w:t>
      </w:r>
      <w:r w:rsidR="00471AAA" w:rsidRPr="00471AAA">
        <w:rPr>
          <w:rFonts w:ascii="Times New Roman" w:hAnsi="Times New Roman"/>
          <w:sz w:val="24"/>
          <w:szCs w:val="24"/>
        </w:rPr>
        <w:t xml:space="preserve"> ADI</w:t>
      </w:r>
      <w:r w:rsidR="00587C1B">
        <w:rPr>
          <w:rFonts w:ascii="Times New Roman" w:hAnsi="Times New Roman"/>
          <w:sz w:val="24"/>
          <w:szCs w:val="24"/>
        </w:rPr>
        <w:t>-specific</w:t>
      </w:r>
      <w:r w:rsidR="00471AAA" w:rsidRPr="00471AAA">
        <w:rPr>
          <w:rFonts w:ascii="Times New Roman" w:hAnsi="Times New Roman"/>
          <w:sz w:val="24"/>
          <w:szCs w:val="24"/>
        </w:rPr>
        <w:t xml:space="preserve"> countercyclical capital buffe</w:t>
      </w:r>
      <w:r w:rsidR="00471AAA">
        <w:rPr>
          <w:rFonts w:ascii="Times New Roman" w:hAnsi="Times New Roman"/>
          <w:sz w:val="24"/>
          <w:szCs w:val="24"/>
        </w:rPr>
        <w:t>r</w:t>
      </w:r>
      <w:r w:rsidR="00587C1B">
        <w:rPr>
          <w:rFonts w:ascii="Times New Roman" w:hAnsi="Times New Roman"/>
          <w:sz w:val="24"/>
          <w:szCs w:val="24"/>
        </w:rPr>
        <w:t xml:space="preserve"> and</w:t>
      </w:r>
      <w:r w:rsidR="00410EA7">
        <w:rPr>
          <w:rFonts w:ascii="Times New Roman" w:hAnsi="Times New Roman"/>
          <w:sz w:val="24"/>
          <w:szCs w:val="24"/>
        </w:rPr>
        <w:t xml:space="preserve"> address an ambiguity about the circumstances under which an ADI must consult with APRA over the geographic allocation of some of its trading book exposures.</w:t>
      </w:r>
    </w:p>
    <w:p w:rsidR="0080090D" w:rsidRPr="00927046" w:rsidRDefault="0080090D" w:rsidP="00C210A3">
      <w:pPr>
        <w:pStyle w:val="Heading"/>
        <w:keepNext/>
        <w:numPr>
          <w:ilvl w:val="0"/>
          <w:numId w:val="1"/>
        </w:numPr>
        <w:tabs>
          <w:tab w:val="clear" w:pos="644"/>
        </w:tabs>
        <w:spacing w:before="240" w:after="120"/>
        <w:ind w:left="567" w:hanging="567"/>
        <w:rPr>
          <w:rFonts w:ascii="Times New Roman" w:hAnsi="Times New Roman"/>
          <w:sz w:val="24"/>
          <w:szCs w:val="24"/>
        </w:rPr>
      </w:pPr>
      <w:r w:rsidRPr="00927046">
        <w:rPr>
          <w:rFonts w:ascii="Times New Roman" w:hAnsi="Times New Roman"/>
          <w:sz w:val="24"/>
          <w:szCs w:val="24"/>
        </w:rPr>
        <w:t>Consultation</w:t>
      </w:r>
    </w:p>
    <w:p w:rsidR="00587C1B" w:rsidRDefault="00587C1B" w:rsidP="009C2369">
      <w:pPr>
        <w:spacing w:after="120"/>
        <w:jc w:val="both"/>
        <w:rPr>
          <w:rFonts w:ascii="Times New Roman" w:hAnsi="Times New Roman"/>
          <w:color w:val="000000"/>
          <w:sz w:val="24"/>
          <w:szCs w:val="24"/>
        </w:rPr>
      </w:pPr>
      <w:r>
        <w:rPr>
          <w:rFonts w:ascii="Times New Roman" w:hAnsi="Times New Roman"/>
          <w:color w:val="000000"/>
          <w:sz w:val="24"/>
          <w:szCs w:val="24"/>
        </w:rPr>
        <w:t>APRA initially consulted on the countercyclical capital buf</w:t>
      </w:r>
      <w:r w:rsidR="000C315A">
        <w:rPr>
          <w:rFonts w:ascii="Times New Roman" w:hAnsi="Times New Roman"/>
          <w:color w:val="000000"/>
          <w:sz w:val="24"/>
          <w:szCs w:val="24"/>
        </w:rPr>
        <w:t>fer as part of its</w:t>
      </w:r>
      <w:r>
        <w:rPr>
          <w:rFonts w:ascii="Times New Roman" w:hAnsi="Times New Roman"/>
          <w:color w:val="000000"/>
          <w:sz w:val="24"/>
          <w:szCs w:val="24"/>
        </w:rPr>
        <w:t xml:space="preserve"> consultation on </w:t>
      </w:r>
      <w:r w:rsidR="00351D84">
        <w:rPr>
          <w:rFonts w:ascii="Times New Roman" w:hAnsi="Times New Roman"/>
          <w:color w:val="000000"/>
          <w:sz w:val="24"/>
          <w:szCs w:val="24"/>
        </w:rPr>
        <w:t>the</w:t>
      </w:r>
      <w:r>
        <w:rPr>
          <w:rFonts w:ascii="Times New Roman" w:hAnsi="Times New Roman"/>
          <w:color w:val="000000"/>
          <w:sz w:val="24"/>
          <w:szCs w:val="24"/>
        </w:rPr>
        <w:t xml:space="preserve"> implementation of Basel III in Australia. </w:t>
      </w:r>
      <w:r w:rsidR="00B87B73">
        <w:rPr>
          <w:rFonts w:ascii="Times New Roman" w:hAnsi="Times New Roman"/>
          <w:color w:val="000000"/>
          <w:sz w:val="24"/>
          <w:szCs w:val="24"/>
        </w:rPr>
        <w:t xml:space="preserve">Five submissions were received, from ADIs, industry bodies and other interested parties. The primary concern raised in these submissions was the proposed application of the </w:t>
      </w:r>
      <w:r w:rsidR="00930307">
        <w:rPr>
          <w:rFonts w:ascii="Times New Roman" w:hAnsi="Times New Roman"/>
          <w:color w:val="000000"/>
          <w:sz w:val="24"/>
          <w:szCs w:val="24"/>
        </w:rPr>
        <w:t xml:space="preserve">countercyclical </w:t>
      </w:r>
      <w:r w:rsidR="00B87B73">
        <w:rPr>
          <w:rFonts w:ascii="Times New Roman" w:hAnsi="Times New Roman"/>
          <w:color w:val="000000"/>
          <w:sz w:val="24"/>
          <w:szCs w:val="24"/>
        </w:rPr>
        <w:t xml:space="preserve">capital buffer to all banking institutions, including those that </w:t>
      </w:r>
      <w:r w:rsidR="001D3E09">
        <w:rPr>
          <w:rFonts w:ascii="Times New Roman" w:hAnsi="Times New Roman"/>
          <w:color w:val="000000"/>
          <w:sz w:val="24"/>
          <w:szCs w:val="24"/>
        </w:rPr>
        <w:t xml:space="preserve">may not have contributed to, or benefitted from, </w:t>
      </w:r>
      <w:r w:rsidR="00B87B73">
        <w:rPr>
          <w:rFonts w:ascii="Times New Roman" w:hAnsi="Times New Roman"/>
          <w:color w:val="000000"/>
          <w:sz w:val="24"/>
          <w:szCs w:val="24"/>
        </w:rPr>
        <w:t xml:space="preserve">any </w:t>
      </w:r>
      <w:r w:rsidR="001D3E09">
        <w:rPr>
          <w:rFonts w:ascii="Times New Roman" w:hAnsi="Times New Roman"/>
          <w:color w:val="000000"/>
          <w:sz w:val="24"/>
          <w:szCs w:val="24"/>
        </w:rPr>
        <w:t>excess credit growth</w:t>
      </w:r>
      <w:r w:rsidR="00B87B73">
        <w:rPr>
          <w:rFonts w:ascii="Times New Roman" w:hAnsi="Times New Roman"/>
          <w:color w:val="000000"/>
          <w:sz w:val="24"/>
          <w:szCs w:val="24"/>
        </w:rPr>
        <w:t xml:space="preserve"> giving rise to a non-zero buffer rate</w:t>
      </w:r>
      <w:r w:rsidR="001D3E09">
        <w:rPr>
          <w:rFonts w:ascii="Times New Roman" w:hAnsi="Times New Roman"/>
          <w:color w:val="000000"/>
          <w:sz w:val="24"/>
          <w:szCs w:val="24"/>
        </w:rPr>
        <w:t xml:space="preserve">. In </w:t>
      </w:r>
      <w:r w:rsidR="00B87B73">
        <w:rPr>
          <w:rFonts w:ascii="Times New Roman" w:hAnsi="Times New Roman"/>
          <w:color w:val="000000"/>
          <w:sz w:val="24"/>
          <w:szCs w:val="24"/>
        </w:rPr>
        <w:t xml:space="preserve">two papers </w:t>
      </w:r>
      <w:r w:rsidR="00DA3C71">
        <w:rPr>
          <w:rFonts w:ascii="Times New Roman" w:hAnsi="Times New Roman"/>
          <w:color w:val="000000"/>
          <w:sz w:val="24"/>
          <w:szCs w:val="24"/>
        </w:rPr>
        <w:t xml:space="preserve">in </w:t>
      </w:r>
      <w:r w:rsidR="001D3E09">
        <w:rPr>
          <w:rFonts w:ascii="Times New Roman" w:hAnsi="Times New Roman"/>
          <w:color w:val="000000"/>
          <w:sz w:val="24"/>
          <w:szCs w:val="24"/>
        </w:rPr>
        <w:t>response to these submissions, APRA</w:t>
      </w:r>
      <w:r w:rsidR="00CD5F61">
        <w:rPr>
          <w:rFonts w:ascii="Times New Roman" w:hAnsi="Times New Roman"/>
          <w:color w:val="000000"/>
          <w:sz w:val="24"/>
          <w:szCs w:val="24"/>
        </w:rPr>
        <w:t xml:space="preserve"> confirmed that the countercyclical capital buffer would apply to all </w:t>
      </w:r>
      <w:r w:rsidR="00B87B73">
        <w:rPr>
          <w:rFonts w:ascii="Times New Roman" w:hAnsi="Times New Roman"/>
          <w:color w:val="000000"/>
          <w:sz w:val="24"/>
          <w:szCs w:val="24"/>
        </w:rPr>
        <w:t>ADIs</w:t>
      </w:r>
      <w:r w:rsidR="00CD5F61">
        <w:rPr>
          <w:rFonts w:ascii="Times New Roman" w:hAnsi="Times New Roman"/>
          <w:color w:val="000000"/>
          <w:sz w:val="24"/>
          <w:szCs w:val="24"/>
        </w:rPr>
        <w:t xml:space="preserve"> in Australia (other than providers of purchased payment facilities</w:t>
      </w:r>
      <w:r w:rsidR="00B87B73">
        <w:rPr>
          <w:rFonts w:ascii="Times New Roman" w:hAnsi="Times New Roman"/>
          <w:color w:val="000000"/>
          <w:sz w:val="24"/>
          <w:szCs w:val="24"/>
        </w:rPr>
        <w:t xml:space="preserve"> that are not subject to many aspects of Basel</w:t>
      </w:r>
      <w:r w:rsidR="00930307">
        <w:rPr>
          <w:rFonts w:ascii="Times New Roman" w:hAnsi="Times New Roman"/>
          <w:color w:val="000000"/>
          <w:sz w:val="24"/>
          <w:szCs w:val="24"/>
        </w:rPr>
        <w:t xml:space="preserve"> III</w:t>
      </w:r>
      <w:r w:rsidR="00CD5F61">
        <w:rPr>
          <w:rFonts w:ascii="Times New Roman" w:hAnsi="Times New Roman"/>
          <w:color w:val="000000"/>
          <w:sz w:val="24"/>
          <w:szCs w:val="24"/>
        </w:rPr>
        <w:t>).</w:t>
      </w:r>
    </w:p>
    <w:p w:rsidR="009C2369" w:rsidRDefault="00410EA7" w:rsidP="009C2369">
      <w:pPr>
        <w:spacing w:after="120"/>
        <w:jc w:val="both"/>
        <w:rPr>
          <w:rFonts w:ascii="Times New Roman" w:hAnsi="Times New Roman"/>
          <w:color w:val="000000"/>
          <w:sz w:val="24"/>
          <w:szCs w:val="24"/>
        </w:rPr>
      </w:pPr>
      <w:r>
        <w:rPr>
          <w:rFonts w:ascii="Times New Roman" w:hAnsi="Times New Roman"/>
          <w:color w:val="000000"/>
          <w:sz w:val="24"/>
          <w:szCs w:val="24"/>
        </w:rPr>
        <w:t xml:space="preserve">In September 2015, APRA sought submissions on its proposed amendments to APS </w:t>
      </w:r>
      <w:r w:rsidR="00B87B73">
        <w:rPr>
          <w:rFonts w:ascii="Times New Roman" w:hAnsi="Times New Roman"/>
          <w:color w:val="000000"/>
          <w:sz w:val="24"/>
          <w:szCs w:val="24"/>
        </w:rPr>
        <w:t xml:space="preserve">110 to clarify the operation of </w:t>
      </w:r>
      <w:r w:rsidR="00CD5F61">
        <w:rPr>
          <w:rFonts w:ascii="Times New Roman" w:hAnsi="Times New Roman"/>
          <w:color w:val="000000"/>
          <w:sz w:val="24"/>
          <w:szCs w:val="24"/>
        </w:rPr>
        <w:t>the countercyclical capital buffer</w:t>
      </w:r>
      <w:r>
        <w:rPr>
          <w:rFonts w:ascii="Times New Roman" w:hAnsi="Times New Roman"/>
          <w:color w:val="000000"/>
          <w:sz w:val="24"/>
          <w:szCs w:val="24"/>
        </w:rPr>
        <w:t xml:space="preserve">. </w:t>
      </w:r>
      <w:r w:rsidR="00321EBD">
        <w:rPr>
          <w:rFonts w:ascii="Times New Roman" w:hAnsi="Times New Roman"/>
          <w:color w:val="000000"/>
          <w:sz w:val="24"/>
          <w:szCs w:val="24"/>
        </w:rPr>
        <w:t>APRA received o</w:t>
      </w:r>
      <w:r w:rsidR="00B76495">
        <w:rPr>
          <w:rFonts w:ascii="Times New Roman" w:hAnsi="Times New Roman"/>
          <w:color w:val="000000"/>
          <w:sz w:val="24"/>
          <w:szCs w:val="24"/>
        </w:rPr>
        <w:t>ne</w:t>
      </w:r>
      <w:r w:rsidR="00E7292B">
        <w:rPr>
          <w:rFonts w:ascii="Times New Roman" w:hAnsi="Times New Roman"/>
          <w:color w:val="000000"/>
          <w:sz w:val="24"/>
          <w:szCs w:val="24"/>
        </w:rPr>
        <w:t xml:space="preserve"> submission</w:t>
      </w:r>
      <w:r w:rsidR="00B76495">
        <w:rPr>
          <w:rFonts w:ascii="Times New Roman" w:hAnsi="Times New Roman"/>
          <w:color w:val="000000"/>
          <w:sz w:val="24"/>
          <w:szCs w:val="24"/>
        </w:rPr>
        <w:t xml:space="preserve"> </w:t>
      </w:r>
      <w:r w:rsidR="00321EBD">
        <w:rPr>
          <w:rFonts w:ascii="Times New Roman" w:hAnsi="Times New Roman"/>
          <w:color w:val="000000"/>
          <w:sz w:val="24"/>
          <w:szCs w:val="24"/>
        </w:rPr>
        <w:t xml:space="preserve">from an industry association and subsequently held </w:t>
      </w:r>
      <w:r w:rsidR="00930307">
        <w:rPr>
          <w:rFonts w:ascii="Times New Roman" w:hAnsi="Times New Roman"/>
          <w:color w:val="000000"/>
          <w:sz w:val="24"/>
          <w:szCs w:val="24"/>
        </w:rPr>
        <w:t>discussions</w:t>
      </w:r>
      <w:r w:rsidR="005A5A17">
        <w:rPr>
          <w:rFonts w:ascii="Times New Roman" w:hAnsi="Times New Roman"/>
          <w:color w:val="000000"/>
          <w:sz w:val="24"/>
          <w:szCs w:val="24"/>
        </w:rPr>
        <w:t xml:space="preserve"> with the association and </w:t>
      </w:r>
      <w:r w:rsidR="00F734F3">
        <w:rPr>
          <w:rFonts w:ascii="Times New Roman" w:hAnsi="Times New Roman"/>
          <w:color w:val="000000"/>
          <w:sz w:val="24"/>
          <w:szCs w:val="24"/>
        </w:rPr>
        <w:t>representatives</w:t>
      </w:r>
      <w:r w:rsidR="005A5A17">
        <w:rPr>
          <w:rFonts w:ascii="Times New Roman" w:hAnsi="Times New Roman"/>
          <w:color w:val="000000"/>
          <w:sz w:val="24"/>
          <w:szCs w:val="24"/>
        </w:rPr>
        <w:t xml:space="preserve"> of its members. </w:t>
      </w:r>
      <w:r w:rsidR="00321EBD">
        <w:rPr>
          <w:rFonts w:ascii="Times New Roman" w:hAnsi="Times New Roman"/>
          <w:color w:val="000000"/>
          <w:sz w:val="24"/>
          <w:szCs w:val="24"/>
        </w:rPr>
        <w:t xml:space="preserve">In response to </w:t>
      </w:r>
      <w:r w:rsidR="00223BB6">
        <w:rPr>
          <w:rFonts w:ascii="Times New Roman" w:hAnsi="Times New Roman"/>
          <w:color w:val="000000"/>
          <w:sz w:val="24"/>
          <w:szCs w:val="24"/>
        </w:rPr>
        <w:t>i</w:t>
      </w:r>
      <w:r w:rsidR="00321EBD">
        <w:rPr>
          <w:rFonts w:ascii="Times New Roman" w:hAnsi="Times New Roman"/>
          <w:color w:val="000000"/>
          <w:sz w:val="24"/>
          <w:szCs w:val="24"/>
        </w:rPr>
        <w:t>ssues raised in t</w:t>
      </w:r>
      <w:r w:rsidR="005A5A17">
        <w:rPr>
          <w:rFonts w:ascii="Times New Roman" w:hAnsi="Times New Roman"/>
          <w:color w:val="000000"/>
          <w:sz w:val="24"/>
          <w:szCs w:val="24"/>
        </w:rPr>
        <w:t>he submission</w:t>
      </w:r>
      <w:r w:rsidR="00223BB6">
        <w:rPr>
          <w:rFonts w:ascii="Times New Roman" w:hAnsi="Times New Roman"/>
          <w:color w:val="000000"/>
          <w:sz w:val="24"/>
          <w:szCs w:val="24"/>
        </w:rPr>
        <w:t xml:space="preserve"> and these discussions, </w:t>
      </w:r>
      <w:r w:rsidR="00321EBD">
        <w:rPr>
          <w:rFonts w:ascii="Times New Roman" w:hAnsi="Times New Roman"/>
          <w:color w:val="000000"/>
          <w:sz w:val="24"/>
          <w:szCs w:val="24"/>
        </w:rPr>
        <w:t xml:space="preserve">further refinements were made to the </w:t>
      </w:r>
      <w:r w:rsidR="003C61DC">
        <w:rPr>
          <w:rFonts w:ascii="Times New Roman" w:hAnsi="Times New Roman"/>
          <w:color w:val="000000"/>
          <w:sz w:val="24"/>
          <w:szCs w:val="24"/>
        </w:rPr>
        <w:t>intended amendments to</w:t>
      </w:r>
      <w:r w:rsidR="005A5A17">
        <w:rPr>
          <w:rFonts w:ascii="Times New Roman" w:hAnsi="Times New Roman"/>
          <w:color w:val="000000"/>
          <w:sz w:val="24"/>
          <w:szCs w:val="24"/>
        </w:rPr>
        <w:t xml:space="preserve"> APS 110</w:t>
      </w:r>
      <w:r w:rsidR="00223BB6">
        <w:rPr>
          <w:rFonts w:ascii="Times New Roman" w:hAnsi="Times New Roman"/>
          <w:color w:val="000000"/>
          <w:sz w:val="24"/>
          <w:szCs w:val="24"/>
        </w:rPr>
        <w:t xml:space="preserve"> to more clearly delineate the jurisdictional and ADI-specific elements of the countercyclical capital buffer framework</w:t>
      </w:r>
      <w:r w:rsidR="005A5A17">
        <w:rPr>
          <w:rFonts w:ascii="Times New Roman" w:hAnsi="Times New Roman"/>
          <w:color w:val="000000"/>
          <w:sz w:val="24"/>
          <w:szCs w:val="24"/>
        </w:rPr>
        <w:t>.</w:t>
      </w:r>
    </w:p>
    <w:p w:rsidR="0080090D" w:rsidRPr="00927046" w:rsidRDefault="0080090D" w:rsidP="00C210A3">
      <w:pPr>
        <w:pStyle w:val="Heading"/>
        <w:keepNext/>
        <w:numPr>
          <w:ilvl w:val="0"/>
          <w:numId w:val="1"/>
        </w:numPr>
        <w:tabs>
          <w:tab w:val="clear" w:pos="644"/>
        </w:tabs>
        <w:spacing w:before="240" w:after="120"/>
        <w:ind w:left="567" w:hanging="567"/>
        <w:rPr>
          <w:rFonts w:ascii="Times New Roman" w:hAnsi="Times New Roman"/>
          <w:sz w:val="24"/>
          <w:szCs w:val="24"/>
        </w:rPr>
      </w:pPr>
      <w:r w:rsidRPr="00927046">
        <w:rPr>
          <w:rFonts w:ascii="Times New Roman" w:hAnsi="Times New Roman"/>
          <w:sz w:val="24"/>
          <w:szCs w:val="24"/>
        </w:rPr>
        <w:t>Regulation Impact Statement</w:t>
      </w:r>
    </w:p>
    <w:p w:rsidR="0096296A" w:rsidRPr="00927046" w:rsidRDefault="0015408C" w:rsidP="00C210A3">
      <w:pPr>
        <w:pStyle w:val="Heading"/>
        <w:spacing w:after="120"/>
        <w:rPr>
          <w:rFonts w:ascii="Times New Roman" w:hAnsi="Times New Roman"/>
          <w:b w:val="0"/>
          <w:sz w:val="24"/>
          <w:szCs w:val="24"/>
        </w:rPr>
      </w:pPr>
      <w:r>
        <w:rPr>
          <w:rFonts w:ascii="Times New Roman" w:hAnsi="Times New Roman"/>
          <w:b w:val="0"/>
          <w:sz w:val="24"/>
          <w:szCs w:val="24"/>
        </w:rPr>
        <w:t>T</w:t>
      </w:r>
      <w:r w:rsidR="00B76495">
        <w:rPr>
          <w:rFonts w:ascii="Times New Roman" w:hAnsi="Times New Roman"/>
          <w:b w:val="0"/>
          <w:sz w:val="24"/>
          <w:szCs w:val="24"/>
        </w:rPr>
        <w:t>he Office of Best Practice Regulation</w:t>
      </w:r>
      <w:r>
        <w:rPr>
          <w:rFonts w:ascii="Times New Roman" w:hAnsi="Times New Roman"/>
          <w:b w:val="0"/>
          <w:sz w:val="24"/>
          <w:szCs w:val="24"/>
        </w:rPr>
        <w:t xml:space="preserve"> has advised that </w:t>
      </w:r>
      <w:r w:rsidR="0096296A" w:rsidRPr="00927046">
        <w:rPr>
          <w:rFonts w:ascii="Times New Roman" w:hAnsi="Times New Roman"/>
          <w:b w:val="0"/>
          <w:sz w:val="24"/>
          <w:szCs w:val="24"/>
        </w:rPr>
        <w:t>a Regulation Impa</w:t>
      </w:r>
      <w:r w:rsidR="007D1F9A">
        <w:rPr>
          <w:rFonts w:ascii="Times New Roman" w:hAnsi="Times New Roman"/>
          <w:b w:val="0"/>
          <w:sz w:val="24"/>
          <w:szCs w:val="24"/>
        </w:rPr>
        <w:t>ct Statement</w:t>
      </w:r>
      <w:r w:rsidR="00B76495">
        <w:rPr>
          <w:rFonts w:ascii="Times New Roman" w:hAnsi="Times New Roman"/>
          <w:b w:val="0"/>
          <w:sz w:val="24"/>
          <w:szCs w:val="24"/>
        </w:rPr>
        <w:t xml:space="preserve"> </w:t>
      </w:r>
      <w:r>
        <w:rPr>
          <w:rFonts w:ascii="Times New Roman" w:hAnsi="Times New Roman"/>
          <w:b w:val="0"/>
          <w:sz w:val="24"/>
          <w:szCs w:val="24"/>
        </w:rPr>
        <w:t xml:space="preserve">is not required </w:t>
      </w:r>
      <w:r w:rsidR="00B76495">
        <w:rPr>
          <w:rFonts w:ascii="Times New Roman" w:hAnsi="Times New Roman"/>
          <w:b w:val="0"/>
          <w:sz w:val="24"/>
          <w:szCs w:val="24"/>
        </w:rPr>
        <w:t xml:space="preserve">to correct </w:t>
      </w:r>
      <w:r w:rsidR="001A615B">
        <w:rPr>
          <w:rFonts w:ascii="Times New Roman" w:hAnsi="Times New Roman"/>
          <w:b w:val="0"/>
          <w:sz w:val="24"/>
          <w:szCs w:val="24"/>
        </w:rPr>
        <w:t xml:space="preserve">a </w:t>
      </w:r>
      <w:r w:rsidR="00B76495">
        <w:rPr>
          <w:rFonts w:ascii="Times New Roman" w:hAnsi="Times New Roman"/>
          <w:b w:val="0"/>
          <w:sz w:val="24"/>
          <w:szCs w:val="24"/>
        </w:rPr>
        <w:t>potential ambiguity</w:t>
      </w:r>
      <w:r w:rsidR="00306E3D">
        <w:rPr>
          <w:rFonts w:ascii="Times New Roman" w:hAnsi="Times New Roman"/>
          <w:b w:val="0"/>
          <w:sz w:val="24"/>
          <w:szCs w:val="24"/>
        </w:rPr>
        <w:t xml:space="preserve">. </w:t>
      </w:r>
    </w:p>
    <w:p w:rsidR="007D1F9A" w:rsidRDefault="007D1F9A" w:rsidP="00C210A3">
      <w:pPr>
        <w:pStyle w:val="Heading"/>
        <w:keepNext/>
        <w:numPr>
          <w:ilvl w:val="0"/>
          <w:numId w:val="1"/>
        </w:numPr>
        <w:tabs>
          <w:tab w:val="clear" w:pos="644"/>
        </w:tabs>
        <w:spacing w:before="240" w:after="120"/>
        <w:ind w:left="567" w:hanging="567"/>
        <w:rPr>
          <w:rFonts w:ascii="Times New Roman" w:hAnsi="Times New Roman"/>
          <w:sz w:val="24"/>
          <w:szCs w:val="24"/>
        </w:rPr>
      </w:pPr>
      <w:r w:rsidRPr="009023F2">
        <w:rPr>
          <w:rFonts w:ascii="Times New Roman" w:hAnsi="Times New Roman"/>
          <w:sz w:val="24"/>
          <w:szCs w:val="24"/>
        </w:rPr>
        <w:t xml:space="preserve">Statement of </w:t>
      </w:r>
      <w:r w:rsidR="007A6BDC">
        <w:rPr>
          <w:rFonts w:ascii="Times New Roman" w:hAnsi="Times New Roman"/>
          <w:sz w:val="24"/>
          <w:szCs w:val="24"/>
        </w:rPr>
        <w:t>c</w:t>
      </w:r>
      <w:r w:rsidRPr="009023F2">
        <w:rPr>
          <w:rFonts w:ascii="Times New Roman" w:hAnsi="Times New Roman"/>
          <w:sz w:val="24"/>
          <w:szCs w:val="24"/>
        </w:rPr>
        <w:t xml:space="preserve">ompatibility </w:t>
      </w:r>
      <w:r w:rsidR="007A6BDC">
        <w:rPr>
          <w:rFonts w:ascii="Times New Roman" w:hAnsi="Times New Roman"/>
          <w:sz w:val="24"/>
          <w:szCs w:val="24"/>
        </w:rPr>
        <w:t>p</w:t>
      </w:r>
      <w:r w:rsidRPr="00FF1775">
        <w:rPr>
          <w:rFonts w:ascii="Times New Roman" w:hAnsi="Times New Roman"/>
          <w:sz w:val="24"/>
          <w:szCs w:val="24"/>
        </w:rPr>
        <w:t>repared in accordance with Part 3 of the Human Rights (Parliamentary Scrutiny) Act 2011</w:t>
      </w:r>
    </w:p>
    <w:p w:rsidR="007D1F9A" w:rsidRPr="00026410" w:rsidRDefault="007D1F9A" w:rsidP="00C210A3">
      <w:pPr>
        <w:pStyle w:val="Heading"/>
        <w:spacing w:after="120"/>
        <w:rPr>
          <w:rFonts w:ascii="Times New Roman" w:hAnsi="Times New Roman"/>
          <w:b w:val="0"/>
          <w:sz w:val="24"/>
          <w:szCs w:val="24"/>
        </w:rPr>
      </w:pPr>
      <w:r w:rsidRPr="00026410">
        <w:rPr>
          <w:rFonts w:ascii="Times New Roman" w:hAnsi="Times New Roman"/>
          <w:b w:val="0"/>
          <w:sz w:val="24"/>
          <w:szCs w:val="24"/>
        </w:rPr>
        <w:t>A Statement of Compatibility</w:t>
      </w:r>
      <w:r>
        <w:rPr>
          <w:rFonts w:ascii="Times New Roman" w:hAnsi="Times New Roman"/>
          <w:b w:val="0"/>
          <w:sz w:val="24"/>
          <w:szCs w:val="24"/>
        </w:rPr>
        <w:t xml:space="preserve"> </w:t>
      </w:r>
      <w:r w:rsidR="007A6BDC">
        <w:rPr>
          <w:rFonts w:ascii="Times New Roman" w:hAnsi="Times New Roman"/>
          <w:b w:val="0"/>
          <w:sz w:val="24"/>
          <w:szCs w:val="24"/>
        </w:rPr>
        <w:t xml:space="preserve">prepared in accordance with Part 3 of the </w:t>
      </w:r>
      <w:r w:rsidR="007A6BDC" w:rsidRPr="0081174E">
        <w:rPr>
          <w:rFonts w:ascii="Times New Roman" w:hAnsi="Times New Roman"/>
          <w:b w:val="0"/>
          <w:i/>
          <w:sz w:val="24"/>
          <w:szCs w:val="24"/>
        </w:rPr>
        <w:t>Human Rights (Parliamentary Scrutiny) Act 2011</w:t>
      </w:r>
      <w:r w:rsidR="007A6BDC">
        <w:rPr>
          <w:rFonts w:ascii="Times New Roman" w:hAnsi="Times New Roman"/>
          <w:i/>
          <w:szCs w:val="24"/>
        </w:rPr>
        <w:t xml:space="preserve"> </w:t>
      </w:r>
      <w:r>
        <w:rPr>
          <w:rFonts w:ascii="Times New Roman" w:hAnsi="Times New Roman"/>
          <w:b w:val="0"/>
          <w:sz w:val="24"/>
          <w:szCs w:val="24"/>
        </w:rPr>
        <w:t xml:space="preserve">is </w:t>
      </w:r>
      <w:r w:rsidR="007A6BDC">
        <w:rPr>
          <w:rFonts w:ascii="Times New Roman" w:hAnsi="Times New Roman"/>
          <w:b w:val="0"/>
          <w:sz w:val="24"/>
          <w:szCs w:val="24"/>
        </w:rPr>
        <w:t>provided at Attachment</w:t>
      </w:r>
      <w:r>
        <w:rPr>
          <w:rFonts w:ascii="Times New Roman" w:hAnsi="Times New Roman"/>
          <w:b w:val="0"/>
          <w:sz w:val="24"/>
          <w:szCs w:val="24"/>
        </w:rPr>
        <w:t xml:space="preserve"> A</w:t>
      </w:r>
      <w:r w:rsidRPr="00026410">
        <w:rPr>
          <w:rFonts w:ascii="Times New Roman" w:hAnsi="Times New Roman"/>
          <w:b w:val="0"/>
          <w:sz w:val="24"/>
          <w:szCs w:val="24"/>
        </w:rPr>
        <w:t xml:space="preserve"> to this Explanatory Statement.</w:t>
      </w:r>
    </w:p>
    <w:p w:rsidR="00A7325E" w:rsidRDefault="00A7325E" w:rsidP="00C210A3">
      <w:pPr>
        <w:spacing w:after="120"/>
        <w:jc w:val="both"/>
        <w:rPr>
          <w:rFonts w:ascii="Times New Roman" w:eastAsia="Times New Roman" w:hAnsi="Times New Roman"/>
          <w:b/>
          <w:sz w:val="24"/>
          <w:szCs w:val="24"/>
          <w:lang w:eastAsia="en-AU"/>
        </w:rPr>
      </w:pPr>
      <w:r>
        <w:rPr>
          <w:sz w:val="24"/>
          <w:szCs w:val="24"/>
        </w:rPr>
        <w:br w:type="page"/>
      </w:r>
    </w:p>
    <w:p w:rsidR="007D1F9A" w:rsidRDefault="00306E3D" w:rsidP="00C210A3">
      <w:pPr>
        <w:pStyle w:val="Title"/>
        <w:spacing w:before="0" w:after="120"/>
        <w:jc w:val="both"/>
        <w:rPr>
          <w:sz w:val="24"/>
          <w:szCs w:val="24"/>
        </w:rPr>
      </w:pPr>
      <w:r>
        <w:rPr>
          <w:sz w:val="24"/>
          <w:szCs w:val="24"/>
        </w:rPr>
        <w:lastRenderedPageBreak/>
        <w:t xml:space="preserve">ATTACHMENT A </w:t>
      </w:r>
    </w:p>
    <w:p w:rsidR="00193C86" w:rsidRPr="00026410" w:rsidRDefault="00193C86" w:rsidP="00C210A3">
      <w:pPr>
        <w:pStyle w:val="Title"/>
        <w:spacing w:before="0" w:after="120"/>
        <w:jc w:val="both"/>
        <w:rPr>
          <w:sz w:val="24"/>
          <w:szCs w:val="24"/>
        </w:rPr>
      </w:pPr>
    </w:p>
    <w:p w:rsidR="007D1F9A" w:rsidRPr="00026410" w:rsidRDefault="007D1F9A" w:rsidP="0015408C">
      <w:pPr>
        <w:autoSpaceDE w:val="0"/>
        <w:autoSpaceDN w:val="0"/>
        <w:adjustRightInd w:val="0"/>
        <w:spacing w:after="240"/>
        <w:jc w:val="center"/>
        <w:rPr>
          <w:rFonts w:ascii="Times New Roman" w:hAnsi="Times New Roman"/>
          <w:b/>
          <w:szCs w:val="24"/>
        </w:rPr>
      </w:pPr>
      <w:r w:rsidRPr="00193C86">
        <w:rPr>
          <w:rFonts w:ascii="Times New Roman" w:hAnsi="Times New Roman"/>
          <w:b/>
          <w:sz w:val="24"/>
          <w:szCs w:val="24"/>
        </w:rPr>
        <w:t>Statement of Compatibility with Human Rights</w:t>
      </w:r>
    </w:p>
    <w:p w:rsidR="007D1F9A" w:rsidRPr="00193C86" w:rsidRDefault="007D1F9A" w:rsidP="0015408C">
      <w:pPr>
        <w:autoSpaceDE w:val="0"/>
        <w:autoSpaceDN w:val="0"/>
        <w:adjustRightInd w:val="0"/>
        <w:spacing w:after="240"/>
        <w:jc w:val="center"/>
        <w:rPr>
          <w:rFonts w:ascii="Times New Roman" w:hAnsi="Times New Roman"/>
          <w:i/>
          <w:sz w:val="24"/>
          <w:szCs w:val="24"/>
        </w:rPr>
      </w:pPr>
      <w:r w:rsidRPr="00193C86">
        <w:rPr>
          <w:rFonts w:ascii="Times New Roman" w:hAnsi="Times New Roman"/>
          <w:i/>
          <w:sz w:val="24"/>
          <w:szCs w:val="24"/>
        </w:rPr>
        <w:t>Prepared in accordance with Part 3 of the Human Rights (Parliamentary Scrutiny) Act 2011</w:t>
      </w:r>
    </w:p>
    <w:p w:rsidR="007D1F9A" w:rsidRPr="00193C86" w:rsidRDefault="00D1348D" w:rsidP="0015408C">
      <w:pPr>
        <w:pStyle w:val="Heading"/>
        <w:spacing w:after="240"/>
        <w:jc w:val="center"/>
        <w:rPr>
          <w:u w:val="single"/>
        </w:rPr>
      </w:pPr>
      <w:r w:rsidRPr="0015408C">
        <w:rPr>
          <w:rFonts w:ascii="Times New Roman" w:hAnsi="Times New Roman"/>
          <w:sz w:val="24"/>
          <w:szCs w:val="24"/>
        </w:rPr>
        <w:t xml:space="preserve">Banking (prudential standard) determination No. </w:t>
      </w:r>
      <w:r w:rsidR="00A764FB" w:rsidRPr="0015408C">
        <w:rPr>
          <w:rFonts w:ascii="Times New Roman" w:hAnsi="Times New Roman"/>
          <w:sz w:val="24"/>
          <w:szCs w:val="24"/>
        </w:rPr>
        <w:t>4</w:t>
      </w:r>
      <w:r w:rsidR="00675BB0" w:rsidRPr="0015408C">
        <w:rPr>
          <w:rFonts w:ascii="Times New Roman" w:hAnsi="Times New Roman"/>
          <w:sz w:val="24"/>
          <w:szCs w:val="24"/>
        </w:rPr>
        <w:t xml:space="preserve"> </w:t>
      </w:r>
      <w:r w:rsidRPr="0015408C">
        <w:rPr>
          <w:rFonts w:ascii="Times New Roman" w:hAnsi="Times New Roman"/>
          <w:sz w:val="24"/>
          <w:szCs w:val="24"/>
        </w:rPr>
        <w:t>of 201</w:t>
      </w:r>
      <w:r w:rsidR="00675BB0" w:rsidRPr="0015408C">
        <w:rPr>
          <w:rFonts w:ascii="Times New Roman" w:hAnsi="Times New Roman"/>
          <w:sz w:val="24"/>
          <w:szCs w:val="24"/>
        </w:rPr>
        <w:t>5</w:t>
      </w:r>
    </w:p>
    <w:p w:rsidR="007D1F9A" w:rsidRPr="00026410" w:rsidRDefault="007D1F9A" w:rsidP="00C210A3">
      <w:pPr>
        <w:pStyle w:val="BodyText"/>
        <w:spacing w:after="120"/>
        <w:jc w:val="both"/>
        <w:rPr>
          <w:i/>
          <w:szCs w:val="24"/>
        </w:rPr>
      </w:pPr>
      <w:r w:rsidRPr="00026410">
        <w:rPr>
          <w:szCs w:val="24"/>
        </w:rPr>
        <w:t>Th</w:t>
      </w:r>
      <w:r w:rsidR="00675BB0">
        <w:rPr>
          <w:szCs w:val="24"/>
        </w:rPr>
        <w:t xml:space="preserve">e </w:t>
      </w:r>
      <w:r w:rsidR="00C667A8">
        <w:rPr>
          <w:szCs w:val="24"/>
        </w:rPr>
        <w:t>instrument</w:t>
      </w:r>
      <w:r w:rsidR="001D3368">
        <w:rPr>
          <w:szCs w:val="24"/>
        </w:rPr>
        <w:t xml:space="preserve"> is</w:t>
      </w:r>
      <w:r w:rsidRPr="00026410">
        <w:rPr>
          <w:szCs w:val="24"/>
        </w:rPr>
        <w:t xml:space="preserve"> compatible with the human rights and freedoms recognised or declared in the international instruments listed in section 3 of the </w:t>
      </w:r>
      <w:r w:rsidRPr="00026410">
        <w:rPr>
          <w:i/>
          <w:szCs w:val="24"/>
        </w:rPr>
        <w:t>Human Rights (Parliamentary Scrutiny) Act 2011</w:t>
      </w:r>
      <w:r>
        <w:rPr>
          <w:szCs w:val="24"/>
        </w:rPr>
        <w:t xml:space="preserve"> (HRPS Act)</w:t>
      </w:r>
      <w:r w:rsidRPr="00026410">
        <w:rPr>
          <w:i/>
          <w:szCs w:val="24"/>
        </w:rPr>
        <w:t>.</w:t>
      </w:r>
    </w:p>
    <w:p w:rsidR="007D1F9A" w:rsidRPr="0015408C" w:rsidRDefault="007D1F9A" w:rsidP="00193C86">
      <w:pPr>
        <w:pStyle w:val="BodyText"/>
        <w:keepNext/>
        <w:spacing w:before="240" w:after="120"/>
        <w:jc w:val="both"/>
        <w:rPr>
          <w:b/>
        </w:rPr>
      </w:pPr>
      <w:r w:rsidRPr="0015408C">
        <w:rPr>
          <w:b/>
        </w:rPr>
        <w:t>Overview of the Legislative Instrument</w:t>
      </w:r>
    </w:p>
    <w:p w:rsidR="006D7168" w:rsidRPr="00434045" w:rsidRDefault="006D7168" w:rsidP="005A5A17">
      <w:pPr>
        <w:pStyle w:val="Heading"/>
        <w:spacing w:before="240" w:after="120"/>
        <w:outlineLvl w:val="0"/>
        <w:rPr>
          <w:rFonts w:ascii="Times New Roman" w:hAnsi="Times New Roman"/>
          <w:sz w:val="24"/>
          <w:szCs w:val="24"/>
        </w:rPr>
      </w:pPr>
      <w:r>
        <w:rPr>
          <w:rFonts w:ascii="Times New Roman" w:hAnsi="Times New Roman"/>
          <w:b w:val="0"/>
          <w:sz w:val="24"/>
          <w:szCs w:val="24"/>
        </w:rPr>
        <w:t>The purpose of the instrument</w:t>
      </w:r>
      <w:r w:rsidR="005A5A17">
        <w:rPr>
          <w:rFonts w:ascii="Times New Roman" w:hAnsi="Times New Roman"/>
          <w:b w:val="0"/>
          <w:sz w:val="24"/>
          <w:szCs w:val="24"/>
        </w:rPr>
        <w:t xml:space="preserve"> is to </w:t>
      </w:r>
      <w:r>
        <w:rPr>
          <w:rFonts w:ascii="Times New Roman" w:hAnsi="Times New Roman"/>
          <w:b w:val="0"/>
          <w:sz w:val="24"/>
          <w:szCs w:val="24"/>
        </w:rPr>
        <w:t xml:space="preserve">revoke </w:t>
      </w:r>
      <w:r>
        <w:rPr>
          <w:rFonts w:ascii="Times New Roman" w:hAnsi="Times New Roman"/>
          <w:b w:val="0"/>
          <w:i/>
          <w:sz w:val="24"/>
          <w:szCs w:val="24"/>
        </w:rPr>
        <w:t xml:space="preserve">Prudential Standard APS 110 Capital Adequacy </w:t>
      </w:r>
      <w:r>
        <w:rPr>
          <w:rFonts w:ascii="Times New Roman" w:hAnsi="Times New Roman"/>
          <w:b w:val="0"/>
          <w:sz w:val="24"/>
          <w:szCs w:val="24"/>
        </w:rPr>
        <w:t>and replace it with a</w:t>
      </w:r>
      <w:r w:rsidR="000826E4">
        <w:rPr>
          <w:rFonts w:ascii="Times New Roman" w:hAnsi="Times New Roman"/>
          <w:b w:val="0"/>
          <w:sz w:val="24"/>
          <w:szCs w:val="24"/>
        </w:rPr>
        <w:t>n amended version of the prudential standard</w:t>
      </w:r>
      <w:r w:rsidRPr="00611251">
        <w:rPr>
          <w:rFonts w:ascii="Times New Roman" w:hAnsi="Times New Roman"/>
          <w:b w:val="0"/>
          <w:sz w:val="24"/>
          <w:szCs w:val="24"/>
        </w:rPr>
        <w:t>.</w:t>
      </w:r>
      <w:r>
        <w:rPr>
          <w:rFonts w:ascii="Times New Roman" w:hAnsi="Times New Roman"/>
          <w:b w:val="0"/>
          <w:sz w:val="24"/>
          <w:szCs w:val="24"/>
        </w:rPr>
        <w:t xml:space="preserve"> </w:t>
      </w:r>
      <w:r w:rsidR="00D871D7">
        <w:rPr>
          <w:rFonts w:ascii="Times New Roman" w:hAnsi="Times New Roman"/>
          <w:b w:val="0"/>
          <w:sz w:val="24"/>
          <w:szCs w:val="24"/>
        </w:rPr>
        <w:t xml:space="preserve">APS 110 sets out the regulatory capital requirements applying to authorised deposit-taking institutions (ADIs), which are bodies corporate authorised by the Australian Prudential Regulation Authority (APRA) to carry on banking business in Australia. </w:t>
      </w:r>
      <w:r w:rsidR="00F734F3">
        <w:rPr>
          <w:rFonts w:ascii="Times New Roman" w:hAnsi="Times New Roman"/>
          <w:b w:val="0"/>
          <w:sz w:val="24"/>
          <w:szCs w:val="24"/>
        </w:rPr>
        <w:t>APS 110 i</w:t>
      </w:r>
      <w:r w:rsidR="00A764FB">
        <w:rPr>
          <w:rFonts w:ascii="Times New Roman" w:hAnsi="Times New Roman"/>
          <w:b w:val="0"/>
          <w:sz w:val="24"/>
          <w:szCs w:val="24"/>
        </w:rPr>
        <w:t>nclude</w:t>
      </w:r>
      <w:r w:rsidR="00F734F3">
        <w:rPr>
          <w:rFonts w:ascii="Times New Roman" w:hAnsi="Times New Roman"/>
          <w:b w:val="0"/>
          <w:sz w:val="24"/>
          <w:szCs w:val="24"/>
        </w:rPr>
        <w:t xml:space="preserve">s </w:t>
      </w:r>
      <w:r w:rsidR="00A764FB">
        <w:rPr>
          <w:rFonts w:ascii="Times New Roman" w:hAnsi="Times New Roman"/>
          <w:b w:val="0"/>
          <w:sz w:val="24"/>
          <w:szCs w:val="24"/>
        </w:rPr>
        <w:t xml:space="preserve">a requirement whereby ADIs </w:t>
      </w:r>
      <w:r w:rsidR="00D871D7">
        <w:rPr>
          <w:rFonts w:ascii="Times New Roman" w:hAnsi="Times New Roman"/>
          <w:b w:val="0"/>
          <w:sz w:val="24"/>
          <w:szCs w:val="24"/>
        </w:rPr>
        <w:t xml:space="preserve">may be required to hold additional </w:t>
      </w:r>
      <w:r w:rsidR="003320CD">
        <w:rPr>
          <w:rFonts w:ascii="Times New Roman" w:hAnsi="Times New Roman"/>
          <w:b w:val="0"/>
          <w:sz w:val="24"/>
          <w:szCs w:val="24"/>
        </w:rPr>
        <w:t xml:space="preserve">capital </w:t>
      </w:r>
      <w:r w:rsidR="00D871D7">
        <w:rPr>
          <w:rFonts w:ascii="Times New Roman" w:hAnsi="Times New Roman"/>
          <w:b w:val="0"/>
          <w:sz w:val="24"/>
          <w:szCs w:val="24"/>
        </w:rPr>
        <w:t>as a countercyclical capital buffer</w:t>
      </w:r>
      <w:r w:rsidR="000710DA" w:rsidRPr="000710DA">
        <w:rPr>
          <w:rFonts w:ascii="Times New Roman" w:hAnsi="Times New Roman"/>
          <w:b w:val="0"/>
          <w:sz w:val="24"/>
          <w:szCs w:val="24"/>
        </w:rPr>
        <w:t>, which aims to build capital buffers that can be used in times of stress and to achieve the broader macroprudential goal of protecting the banking system from periods of excess credit growth</w:t>
      </w:r>
      <w:r w:rsidR="000710DA">
        <w:rPr>
          <w:rFonts w:ascii="Times New Roman" w:hAnsi="Times New Roman"/>
          <w:b w:val="0"/>
          <w:sz w:val="24"/>
          <w:szCs w:val="24"/>
        </w:rPr>
        <w:t>.</w:t>
      </w:r>
      <w:r w:rsidR="000710DA" w:rsidRPr="000710DA" w:rsidDel="000710DA">
        <w:rPr>
          <w:rFonts w:ascii="Times New Roman" w:hAnsi="Times New Roman"/>
          <w:sz w:val="24"/>
          <w:szCs w:val="24"/>
        </w:rPr>
        <w:t xml:space="preserve"> </w:t>
      </w:r>
      <w:r>
        <w:rPr>
          <w:rFonts w:ascii="Times New Roman" w:hAnsi="Times New Roman"/>
          <w:b w:val="0"/>
          <w:sz w:val="24"/>
          <w:szCs w:val="24"/>
        </w:rPr>
        <w:t xml:space="preserve">The </w:t>
      </w:r>
      <w:r w:rsidR="000826E4">
        <w:rPr>
          <w:rFonts w:ascii="Times New Roman" w:hAnsi="Times New Roman"/>
          <w:b w:val="0"/>
          <w:sz w:val="24"/>
          <w:szCs w:val="24"/>
        </w:rPr>
        <w:t>instrument</w:t>
      </w:r>
      <w:r w:rsidR="005A5A17">
        <w:rPr>
          <w:rFonts w:ascii="Times New Roman" w:hAnsi="Times New Roman"/>
          <w:b w:val="0"/>
          <w:sz w:val="24"/>
          <w:szCs w:val="24"/>
        </w:rPr>
        <w:t xml:space="preserve"> makes minor amendments to APS 110 to clarify operational aspects of the countercyclical capital buffer framework</w:t>
      </w:r>
      <w:r w:rsidR="00354F45">
        <w:rPr>
          <w:rFonts w:ascii="Times New Roman" w:hAnsi="Times New Roman"/>
          <w:b w:val="0"/>
          <w:sz w:val="24"/>
          <w:szCs w:val="24"/>
        </w:rPr>
        <w:t xml:space="preserve"> that is to commence on 1 January 2016</w:t>
      </w:r>
      <w:r w:rsidR="005A5A17">
        <w:rPr>
          <w:rFonts w:ascii="Times New Roman" w:hAnsi="Times New Roman"/>
          <w:b w:val="0"/>
          <w:sz w:val="24"/>
          <w:szCs w:val="24"/>
        </w:rPr>
        <w:t xml:space="preserve">. </w:t>
      </w:r>
    </w:p>
    <w:p w:rsidR="007D1F9A" w:rsidRPr="00193C86" w:rsidRDefault="007D1F9A" w:rsidP="00193C86">
      <w:pPr>
        <w:pStyle w:val="BodyText"/>
        <w:keepNext/>
        <w:spacing w:before="240" w:after="120"/>
        <w:jc w:val="both"/>
        <w:rPr>
          <w:b/>
          <w:u w:val="single"/>
        </w:rPr>
      </w:pPr>
      <w:r w:rsidRPr="00193C86">
        <w:rPr>
          <w:b/>
          <w:u w:val="single"/>
        </w:rPr>
        <w:t>Human rights implications</w:t>
      </w:r>
    </w:p>
    <w:p w:rsidR="007D1F9A" w:rsidRPr="001739A1" w:rsidRDefault="003F0C48" w:rsidP="007F02C9">
      <w:pPr>
        <w:spacing w:before="100" w:beforeAutospacing="1" w:after="100" w:afterAutospacing="1"/>
        <w:jc w:val="both"/>
      </w:pPr>
      <w:r w:rsidRPr="003F0C48">
        <w:rPr>
          <w:rFonts w:ascii="Times New Roman" w:eastAsia="Times New Roman" w:hAnsi="Times New Roman"/>
          <w:sz w:val="24"/>
          <w:szCs w:val="24"/>
          <w:lang w:eastAsia="en-AU"/>
        </w:rPr>
        <w:t>APRA has assessed the instrument</w:t>
      </w:r>
      <w:r>
        <w:rPr>
          <w:rFonts w:ascii="Times New Roman" w:eastAsia="Times New Roman" w:hAnsi="Times New Roman"/>
          <w:sz w:val="24"/>
          <w:szCs w:val="24"/>
          <w:lang w:eastAsia="en-AU"/>
        </w:rPr>
        <w:t xml:space="preserve"> and is of the view that </w:t>
      </w:r>
      <w:r w:rsidR="005A5A17">
        <w:rPr>
          <w:rFonts w:ascii="Times New Roman" w:eastAsia="Times New Roman" w:hAnsi="Times New Roman"/>
          <w:sz w:val="24"/>
          <w:szCs w:val="24"/>
          <w:lang w:eastAsia="en-AU"/>
        </w:rPr>
        <w:t>it</w:t>
      </w:r>
      <w:r w:rsidRPr="003F0C48">
        <w:rPr>
          <w:rFonts w:ascii="Times New Roman" w:eastAsia="Times New Roman" w:hAnsi="Times New Roman"/>
          <w:sz w:val="24"/>
          <w:szCs w:val="24"/>
          <w:lang w:eastAsia="en-AU"/>
        </w:rPr>
        <w:t xml:space="preserve"> do</w:t>
      </w:r>
      <w:r w:rsidR="005A5A17">
        <w:rPr>
          <w:rFonts w:ascii="Times New Roman" w:eastAsia="Times New Roman" w:hAnsi="Times New Roman"/>
          <w:sz w:val="24"/>
          <w:szCs w:val="24"/>
          <w:lang w:eastAsia="en-AU"/>
        </w:rPr>
        <w:t>es</w:t>
      </w:r>
      <w:r>
        <w:rPr>
          <w:rFonts w:ascii="Times New Roman" w:eastAsia="Times New Roman" w:hAnsi="Times New Roman"/>
          <w:sz w:val="24"/>
          <w:szCs w:val="24"/>
          <w:lang w:eastAsia="en-AU"/>
        </w:rPr>
        <w:t xml:space="preserve"> </w:t>
      </w:r>
      <w:r w:rsidRPr="003F0C48">
        <w:rPr>
          <w:rFonts w:ascii="Times New Roman" w:eastAsia="Times New Roman" w:hAnsi="Times New Roman"/>
          <w:sz w:val="24"/>
          <w:szCs w:val="24"/>
          <w:lang w:eastAsia="en-AU"/>
        </w:rPr>
        <w:t>not engage any of the applicable rights or freedoms recognised or declared in the international instruments listed in section 3 of the HRPS Act. Accordingly, in APRA’s assessment, the instrument</w:t>
      </w:r>
      <w:r w:rsidR="005A5A17">
        <w:rPr>
          <w:rFonts w:ascii="Times New Roman" w:eastAsia="Times New Roman" w:hAnsi="Times New Roman"/>
          <w:sz w:val="24"/>
          <w:szCs w:val="24"/>
          <w:lang w:eastAsia="en-AU"/>
        </w:rPr>
        <w:t xml:space="preserve"> is</w:t>
      </w:r>
      <w:r w:rsidRPr="003F0C48">
        <w:rPr>
          <w:rFonts w:ascii="Times New Roman" w:eastAsia="Times New Roman" w:hAnsi="Times New Roman"/>
          <w:sz w:val="24"/>
          <w:szCs w:val="24"/>
          <w:lang w:eastAsia="en-AU"/>
        </w:rPr>
        <w:t xml:space="preserve"> compatible with human rights.</w:t>
      </w:r>
    </w:p>
    <w:p w:rsidR="007D1F9A" w:rsidRPr="00193C86" w:rsidRDefault="007D1F9A" w:rsidP="00C210A3">
      <w:pPr>
        <w:pStyle w:val="BodyText"/>
        <w:keepNext/>
        <w:spacing w:before="240" w:after="120"/>
        <w:jc w:val="both"/>
        <w:rPr>
          <w:b/>
          <w:u w:val="single"/>
        </w:rPr>
      </w:pPr>
      <w:r w:rsidRPr="00193C86">
        <w:rPr>
          <w:b/>
          <w:u w:val="single"/>
        </w:rPr>
        <w:t>Conclusion</w:t>
      </w:r>
    </w:p>
    <w:p w:rsidR="007D1F9A" w:rsidRPr="00927046" w:rsidRDefault="007D1F9A" w:rsidP="00C210A3">
      <w:pPr>
        <w:pStyle w:val="BodyText"/>
        <w:spacing w:after="120"/>
        <w:jc w:val="both"/>
        <w:rPr>
          <w:b/>
        </w:rPr>
      </w:pPr>
      <w:r w:rsidRPr="00026410">
        <w:t>Th</w:t>
      </w:r>
      <w:r w:rsidR="00675BB0">
        <w:t>e</w:t>
      </w:r>
      <w:r w:rsidRPr="00026410">
        <w:t xml:space="preserve"> </w:t>
      </w:r>
      <w:r w:rsidR="00C667A8">
        <w:t>i</w:t>
      </w:r>
      <w:r w:rsidRPr="00026410">
        <w:t>nstrument</w:t>
      </w:r>
      <w:r w:rsidR="005A5A17">
        <w:t xml:space="preserve"> is</w:t>
      </w:r>
      <w:r w:rsidRPr="00026410">
        <w:t xml:space="preserve"> compatible with human rights as </w:t>
      </w:r>
      <w:r w:rsidR="005A5A17">
        <w:t>it</w:t>
      </w:r>
      <w:r w:rsidRPr="00026410">
        <w:t xml:space="preserve"> do</w:t>
      </w:r>
      <w:r w:rsidR="005A5A17">
        <w:t>es</w:t>
      </w:r>
      <w:r w:rsidR="00E7676A">
        <w:t xml:space="preserve"> </w:t>
      </w:r>
      <w:r w:rsidRPr="00026410">
        <w:t>not raise any human rights issues.</w:t>
      </w:r>
    </w:p>
    <w:sectPr w:rsidR="007D1F9A" w:rsidRPr="00927046" w:rsidSect="003D5032">
      <w:footerReference w:type="default" r:id="rId9"/>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408" w:rsidRDefault="003A3408" w:rsidP="002E0EA0">
      <w:r>
        <w:separator/>
      </w:r>
    </w:p>
  </w:endnote>
  <w:endnote w:type="continuationSeparator" w:id="0">
    <w:p w:rsidR="003A3408" w:rsidRDefault="003A3408" w:rsidP="002E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465655520"/>
      <w:docPartObj>
        <w:docPartGallery w:val="Page Numbers (Bottom of Page)"/>
        <w:docPartUnique/>
      </w:docPartObj>
    </w:sdtPr>
    <w:sdtEndPr>
      <w:rPr>
        <w:rFonts w:ascii="Times New Roman" w:hAnsi="Times New Roman"/>
        <w:b w:val="0"/>
      </w:rPr>
    </w:sdtEndPr>
    <w:sdtContent>
      <w:p w:rsidR="00904CE6" w:rsidRPr="00C65199" w:rsidRDefault="00904CE6" w:rsidP="00C65199">
        <w:pPr>
          <w:pStyle w:val="Footer"/>
          <w:jc w:val="center"/>
          <w:rPr>
            <w:rFonts w:ascii="Times New Roman" w:hAnsi="Times New Roman"/>
          </w:rPr>
        </w:pPr>
        <w:r w:rsidRPr="00C65199">
          <w:rPr>
            <w:rFonts w:ascii="Times New Roman" w:hAnsi="Times New Roman"/>
          </w:rPr>
          <w:fldChar w:fldCharType="begin"/>
        </w:r>
        <w:r w:rsidRPr="00C65199">
          <w:rPr>
            <w:rFonts w:ascii="Times New Roman" w:hAnsi="Times New Roman"/>
          </w:rPr>
          <w:instrText xml:space="preserve"> PAGE  \* Arabic  \* MERGEFORMAT </w:instrText>
        </w:r>
        <w:r w:rsidRPr="00C65199">
          <w:rPr>
            <w:rFonts w:ascii="Times New Roman" w:hAnsi="Times New Roman"/>
          </w:rPr>
          <w:fldChar w:fldCharType="separate"/>
        </w:r>
        <w:r w:rsidR="00041B6F">
          <w:rPr>
            <w:rFonts w:ascii="Times New Roman" w:hAnsi="Times New Roman"/>
            <w:noProof/>
          </w:rPr>
          <w:t>3</w:t>
        </w:r>
        <w:r w:rsidRPr="00C65199">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408" w:rsidRDefault="003A3408" w:rsidP="002E0EA0">
      <w:r>
        <w:separator/>
      </w:r>
    </w:p>
  </w:footnote>
  <w:footnote w:type="continuationSeparator" w:id="0">
    <w:p w:rsidR="003A3408" w:rsidRDefault="003A3408" w:rsidP="002E0E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B5198"/>
    <w:multiLevelType w:val="hybridMultilevel"/>
    <w:tmpl w:val="61521854"/>
    <w:lvl w:ilvl="0" w:tplc="C2AA66AE">
      <w:start w:val="1"/>
      <w:numFmt w:val="bullet"/>
      <w:pStyle w:val="Dotpoin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4A81249"/>
    <w:multiLevelType w:val="hybridMultilevel"/>
    <w:tmpl w:val="98903850"/>
    <w:lvl w:ilvl="0" w:tplc="0C09000F">
      <w:start w:val="1"/>
      <w:numFmt w:val="decimal"/>
      <w:lvlText w:val="%1."/>
      <w:lvlJc w:val="left"/>
      <w:pPr>
        <w:tabs>
          <w:tab w:val="num" w:pos="644"/>
        </w:tabs>
        <w:ind w:left="644"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15AA56C6"/>
    <w:multiLevelType w:val="hybridMultilevel"/>
    <w:tmpl w:val="7234D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E304899"/>
    <w:multiLevelType w:val="hybridMultilevel"/>
    <w:tmpl w:val="691CCA5C"/>
    <w:lvl w:ilvl="0" w:tplc="CBEEE58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1FB068D9"/>
    <w:multiLevelType w:val="hybridMultilevel"/>
    <w:tmpl w:val="453A1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6A24308"/>
    <w:multiLevelType w:val="hybridMultilevel"/>
    <w:tmpl w:val="0BDA1EFE"/>
    <w:lvl w:ilvl="0" w:tplc="365CD908">
      <w:start w:val="1"/>
      <w:numFmt w:val="decimal"/>
      <w:pStyle w:val="Paragraphtex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BC72C8B"/>
    <w:multiLevelType w:val="hybridMultilevel"/>
    <w:tmpl w:val="BF80221C"/>
    <w:lvl w:ilvl="0" w:tplc="B400FE56">
      <w:start w:val="40"/>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45303F8"/>
    <w:multiLevelType w:val="hybridMultilevel"/>
    <w:tmpl w:val="804AF7CE"/>
    <w:lvl w:ilvl="0" w:tplc="CE923DE8">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F5C7B90"/>
    <w:multiLevelType w:val="hybridMultilevel"/>
    <w:tmpl w:val="4BC0743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9">
    <w:nsid w:val="472F2A67"/>
    <w:multiLevelType w:val="hybridMultilevel"/>
    <w:tmpl w:val="ED44CBA8"/>
    <w:lvl w:ilvl="0" w:tplc="0C090001">
      <w:start w:val="1"/>
      <w:numFmt w:val="bullet"/>
      <w:lvlText w:val=""/>
      <w:lvlJc w:val="left"/>
      <w:pPr>
        <w:ind w:left="1155" w:hanging="360"/>
      </w:pPr>
      <w:rPr>
        <w:rFonts w:ascii="Symbol" w:hAnsi="Symbol" w:hint="default"/>
      </w:rPr>
    </w:lvl>
    <w:lvl w:ilvl="1" w:tplc="0C090003" w:tentative="1">
      <w:start w:val="1"/>
      <w:numFmt w:val="bullet"/>
      <w:lvlText w:val="o"/>
      <w:lvlJc w:val="left"/>
      <w:pPr>
        <w:ind w:left="1875" w:hanging="360"/>
      </w:pPr>
      <w:rPr>
        <w:rFonts w:ascii="Courier New" w:hAnsi="Courier New" w:cs="Courier New" w:hint="default"/>
      </w:rPr>
    </w:lvl>
    <w:lvl w:ilvl="2" w:tplc="0C090005" w:tentative="1">
      <w:start w:val="1"/>
      <w:numFmt w:val="bullet"/>
      <w:lvlText w:val=""/>
      <w:lvlJc w:val="left"/>
      <w:pPr>
        <w:ind w:left="2595" w:hanging="360"/>
      </w:pPr>
      <w:rPr>
        <w:rFonts w:ascii="Wingdings" w:hAnsi="Wingdings" w:hint="default"/>
      </w:rPr>
    </w:lvl>
    <w:lvl w:ilvl="3" w:tplc="0C090001" w:tentative="1">
      <w:start w:val="1"/>
      <w:numFmt w:val="bullet"/>
      <w:lvlText w:val=""/>
      <w:lvlJc w:val="left"/>
      <w:pPr>
        <w:ind w:left="3315" w:hanging="360"/>
      </w:pPr>
      <w:rPr>
        <w:rFonts w:ascii="Symbol" w:hAnsi="Symbol" w:hint="default"/>
      </w:rPr>
    </w:lvl>
    <w:lvl w:ilvl="4" w:tplc="0C090003" w:tentative="1">
      <w:start w:val="1"/>
      <w:numFmt w:val="bullet"/>
      <w:lvlText w:val="o"/>
      <w:lvlJc w:val="left"/>
      <w:pPr>
        <w:ind w:left="4035" w:hanging="360"/>
      </w:pPr>
      <w:rPr>
        <w:rFonts w:ascii="Courier New" w:hAnsi="Courier New" w:cs="Courier New" w:hint="default"/>
      </w:rPr>
    </w:lvl>
    <w:lvl w:ilvl="5" w:tplc="0C090005" w:tentative="1">
      <w:start w:val="1"/>
      <w:numFmt w:val="bullet"/>
      <w:lvlText w:val=""/>
      <w:lvlJc w:val="left"/>
      <w:pPr>
        <w:ind w:left="4755" w:hanging="360"/>
      </w:pPr>
      <w:rPr>
        <w:rFonts w:ascii="Wingdings" w:hAnsi="Wingdings" w:hint="default"/>
      </w:rPr>
    </w:lvl>
    <w:lvl w:ilvl="6" w:tplc="0C090001" w:tentative="1">
      <w:start w:val="1"/>
      <w:numFmt w:val="bullet"/>
      <w:lvlText w:val=""/>
      <w:lvlJc w:val="left"/>
      <w:pPr>
        <w:ind w:left="5475" w:hanging="360"/>
      </w:pPr>
      <w:rPr>
        <w:rFonts w:ascii="Symbol" w:hAnsi="Symbol" w:hint="default"/>
      </w:rPr>
    </w:lvl>
    <w:lvl w:ilvl="7" w:tplc="0C090003" w:tentative="1">
      <w:start w:val="1"/>
      <w:numFmt w:val="bullet"/>
      <w:lvlText w:val="o"/>
      <w:lvlJc w:val="left"/>
      <w:pPr>
        <w:ind w:left="6195" w:hanging="360"/>
      </w:pPr>
      <w:rPr>
        <w:rFonts w:ascii="Courier New" w:hAnsi="Courier New" w:cs="Courier New" w:hint="default"/>
      </w:rPr>
    </w:lvl>
    <w:lvl w:ilvl="8" w:tplc="0C090005" w:tentative="1">
      <w:start w:val="1"/>
      <w:numFmt w:val="bullet"/>
      <w:lvlText w:val=""/>
      <w:lvlJc w:val="left"/>
      <w:pPr>
        <w:ind w:left="6915" w:hanging="360"/>
      </w:pPr>
      <w:rPr>
        <w:rFonts w:ascii="Wingdings" w:hAnsi="Wingdings" w:hint="default"/>
      </w:rPr>
    </w:lvl>
  </w:abstractNum>
  <w:abstractNum w:abstractNumId="10">
    <w:nsid w:val="501C7CA2"/>
    <w:multiLevelType w:val="hybridMultilevel"/>
    <w:tmpl w:val="522819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770F52ED"/>
    <w:multiLevelType w:val="hybridMultilevel"/>
    <w:tmpl w:val="052A6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BBF214B"/>
    <w:multiLevelType w:val="hybridMultilevel"/>
    <w:tmpl w:val="C7905EA2"/>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num w:numId="1">
    <w:abstractNumId w:val="1"/>
  </w:num>
  <w:num w:numId="2">
    <w:abstractNumId w:val="3"/>
  </w:num>
  <w:num w:numId="3">
    <w:abstractNumId w:val="6"/>
  </w:num>
  <w:num w:numId="4">
    <w:abstractNumId w:val="10"/>
  </w:num>
  <w:num w:numId="5">
    <w:abstractNumId w:val="4"/>
  </w:num>
  <w:num w:numId="6">
    <w:abstractNumId w:val="8"/>
  </w:num>
  <w:num w:numId="7">
    <w:abstractNumId w:val="12"/>
  </w:num>
  <w:num w:numId="8">
    <w:abstractNumId w:val="2"/>
  </w:num>
  <w:num w:numId="9">
    <w:abstractNumId w:val="5"/>
  </w:num>
  <w:num w:numId="10">
    <w:abstractNumId w:val="11"/>
  </w:num>
  <w:num w:numId="11">
    <w:abstractNumId w:val="0"/>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204"/>
    <w:rsid w:val="00000AF7"/>
    <w:rsid w:val="00032474"/>
    <w:rsid w:val="0003431F"/>
    <w:rsid w:val="00035A24"/>
    <w:rsid w:val="00037D9B"/>
    <w:rsid w:val="00041B6F"/>
    <w:rsid w:val="0004381B"/>
    <w:rsid w:val="00052F3B"/>
    <w:rsid w:val="00054AF1"/>
    <w:rsid w:val="00064DCC"/>
    <w:rsid w:val="000710DA"/>
    <w:rsid w:val="00081440"/>
    <w:rsid w:val="000826E4"/>
    <w:rsid w:val="00086ABD"/>
    <w:rsid w:val="0009075E"/>
    <w:rsid w:val="000942F5"/>
    <w:rsid w:val="000A0755"/>
    <w:rsid w:val="000A45FB"/>
    <w:rsid w:val="000B3F29"/>
    <w:rsid w:val="000C315A"/>
    <w:rsid w:val="000C7BF0"/>
    <w:rsid w:val="000D0606"/>
    <w:rsid w:val="000D78DC"/>
    <w:rsid w:val="000E27E2"/>
    <w:rsid w:val="000E6863"/>
    <w:rsid w:val="000E725B"/>
    <w:rsid w:val="000F36A1"/>
    <w:rsid w:val="000F79A4"/>
    <w:rsid w:val="000F7EC5"/>
    <w:rsid w:val="001013E3"/>
    <w:rsid w:val="00103CBA"/>
    <w:rsid w:val="00105C86"/>
    <w:rsid w:val="00107A7C"/>
    <w:rsid w:val="00116B77"/>
    <w:rsid w:val="001234C7"/>
    <w:rsid w:val="0013269B"/>
    <w:rsid w:val="00150656"/>
    <w:rsid w:val="001506A6"/>
    <w:rsid w:val="0015408C"/>
    <w:rsid w:val="001728E3"/>
    <w:rsid w:val="00172AF0"/>
    <w:rsid w:val="0017592E"/>
    <w:rsid w:val="00177296"/>
    <w:rsid w:val="00180225"/>
    <w:rsid w:val="00182FA1"/>
    <w:rsid w:val="00193C86"/>
    <w:rsid w:val="001A615B"/>
    <w:rsid w:val="001B69A1"/>
    <w:rsid w:val="001C402D"/>
    <w:rsid w:val="001C7098"/>
    <w:rsid w:val="001D1E2E"/>
    <w:rsid w:val="001D3368"/>
    <w:rsid w:val="001D3E09"/>
    <w:rsid w:val="001D7230"/>
    <w:rsid w:val="001D786A"/>
    <w:rsid w:val="001E20FA"/>
    <w:rsid w:val="00200574"/>
    <w:rsid w:val="00223BB6"/>
    <w:rsid w:val="00225AC4"/>
    <w:rsid w:val="002273C7"/>
    <w:rsid w:val="00247FB6"/>
    <w:rsid w:val="00253215"/>
    <w:rsid w:val="002603AB"/>
    <w:rsid w:val="00272E77"/>
    <w:rsid w:val="0028145A"/>
    <w:rsid w:val="002925EC"/>
    <w:rsid w:val="00297A77"/>
    <w:rsid w:val="002A3805"/>
    <w:rsid w:val="002A6603"/>
    <w:rsid w:val="002B1497"/>
    <w:rsid w:val="002B1B80"/>
    <w:rsid w:val="002B777A"/>
    <w:rsid w:val="002D19A2"/>
    <w:rsid w:val="002E0EA0"/>
    <w:rsid w:val="002F78BE"/>
    <w:rsid w:val="00301CC1"/>
    <w:rsid w:val="003045F4"/>
    <w:rsid w:val="00306C4D"/>
    <w:rsid w:val="00306E3D"/>
    <w:rsid w:val="00315C7C"/>
    <w:rsid w:val="00321EBD"/>
    <w:rsid w:val="003320CD"/>
    <w:rsid w:val="00341BE1"/>
    <w:rsid w:val="00341CB8"/>
    <w:rsid w:val="003464BA"/>
    <w:rsid w:val="00347F31"/>
    <w:rsid w:val="00351D84"/>
    <w:rsid w:val="00353ECD"/>
    <w:rsid w:val="00354F45"/>
    <w:rsid w:val="00356E5F"/>
    <w:rsid w:val="00357F2B"/>
    <w:rsid w:val="00366C65"/>
    <w:rsid w:val="00374ABD"/>
    <w:rsid w:val="003909F8"/>
    <w:rsid w:val="003A0F35"/>
    <w:rsid w:val="003A3408"/>
    <w:rsid w:val="003A6941"/>
    <w:rsid w:val="003A78B4"/>
    <w:rsid w:val="003A7B9C"/>
    <w:rsid w:val="003B0F26"/>
    <w:rsid w:val="003C4C82"/>
    <w:rsid w:val="003C599D"/>
    <w:rsid w:val="003C61DC"/>
    <w:rsid w:val="003C61FA"/>
    <w:rsid w:val="003C6E9F"/>
    <w:rsid w:val="003D09FD"/>
    <w:rsid w:val="003D5032"/>
    <w:rsid w:val="003E19B1"/>
    <w:rsid w:val="003F0C48"/>
    <w:rsid w:val="003F0D70"/>
    <w:rsid w:val="003F3A3A"/>
    <w:rsid w:val="00403795"/>
    <w:rsid w:val="004046B3"/>
    <w:rsid w:val="00406627"/>
    <w:rsid w:val="00410EA7"/>
    <w:rsid w:val="00411D80"/>
    <w:rsid w:val="004239FE"/>
    <w:rsid w:val="0042657B"/>
    <w:rsid w:val="004307D9"/>
    <w:rsid w:val="00434045"/>
    <w:rsid w:val="00436550"/>
    <w:rsid w:val="00437577"/>
    <w:rsid w:val="0045257D"/>
    <w:rsid w:val="00452B99"/>
    <w:rsid w:val="004541EC"/>
    <w:rsid w:val="00456318"/>
    <w:rsid w:val="00456822"/>
    <w:rsid w:val="00456C63"/>
    <w:rsid w:val="00471AAA"/>
    <w:rsid w:val="00484D1D"/>
    <w:rsid w:val="004852E9"/>
    <w:rsid w:val="004865FF"/>
    <w:rsid w:val="004A3809"/>
    <w:rsid w:val="004A3B03"/>
    <w:rsid w:val="004A6197"/>
    <w:rsid w:val="004A6D64"/>
    <w:rsid w:val="004B2AA5"/>
    <w:rsid w:val="004C053A"/>
    <w:rsid w:val="004C3D07"/>
    <w:rsid w:val="004D214A"/>
    <w:rsid w:val="004D67B2"/>
    <w:rsid w:val="004D7B65"/>
    <w:rsid w:val="004E2733"/>
    <w:rsid w:val="004E5C57"/>
    <w:rsid w:val="004E774B"/>
    <w:rsid w:val="004F59DB"/>
    <w:rsid w:val="00500C00"/>
    <w:rsid w:val="005231BB"/>
    <w:rsid w:val="00523396"/>
    <w:rsid w:val="005358BD"/>
    <w:rsid w:val="00535C99"/>
    <w:rsid w:val="005422C0"/>
    <w:rsid w:val="0055253B"/>
    <w:rsid w:val="005548A0"/>
    <w:rsid w:val="005551B6"/>
    <w:rsid w:val="005553C6"/>
    <w:rsid w:val="00560EFC"/>
    <w:rsid w:val="00563DA0"/>
    <w:rsid w:val="005743E9"/>
    <w:rsid w:val="0057680B"/>
    <w:rsid w:val="0058440F"/>
    <w:rsid w:val="00587C1B"/>
    <w:rsid w:val="00595C0B"/>
    <w:rsid w:val="005A5A17"/>
    <w:rsid w:val="005B29AB"/>
    <w:rsid w:val="005B6652"/>
    <w:rsid w:val="005C3831"/>
    <w:rsid w:val="005D251A"/>
    <w:rsid w:val="005D6D5F"/>
    <w:rsid w:val="005E5910"/>
    <w:rsid w:val="005F3276"/>
    <w:rsid w:val="005F6D63"/>
    <w:rsid w:val="00604573"/>
    <w:rsid w:val="00611251"/>
    <w:rsid w:val="006154B7"/>
    <w:rsid w:val="00617236"/>
    <w:rsid w:val="00622480"/>
    <w:rsid w:val="00624307"/>
    <w:rsid w:val="00626637"/>
    <w:rsid w:val="0062712C"/>
    <w:rsid w:val="00631C30"/>
    <w:rsid w:val="00647D58"/>
    <w:rsid w:val="0065072E"/>
    <w:rsid w:val="00653922"/>
    <w:rsid w:val="006550B6"/>
    <w:rsid w:val="00661575"/>
    <w:rsid w:val="0066716C"/>
    <w:rsid w:val="00675BB0"/>
    <w:rsid w:val="0068091D"/>
    <w:rsid w:val="00684F73"/>
    <w:rsid w:val="00696221"/>
    <w:rsid w:val="006A6079"/>
    <w:rsid w:val="006A70D0"/>
    <w:rsid w:val="006B08E4"/>
    <w:rsid w:val="006C2773"/>
    <w:rsid w:val="006D0316"/>
    <w:rsid w:val="006D070A"/>
    <w:rsid w:val="006D7168"/>
    <w:rsid w:val="006E0898"/>
    <w:rsid w:val="006E18E6"/>
    <w:rsid w:val="006E3EA1"/>
    <w:rsid w:val="006E5A7A"/>
    <w:rsid w:val="006F3023"/>
    <w:rsid w:val="006F7CD1"/>
    <w:rsid w:val="007003E4"/>
    <w:rsid w:val="00700962"/>
    <w:rsid w:val="007031F4"/>
    <w:rsid w:val="007044C9"/>
    <w:rsid w:val="00716480"/>
    <w:rsid w:val="00721FAC"/>
    <w:rsid w:val="007244FC"/>
    <w:rsid w:val="00730533"/>
    <w:rsid w:val="00734078"/>
    <w:rsid w:val="00736F9F"/>
    <w:rsid w:val="00771C67"/>
    <w:rsid w:val="007933D7"/>
    <w:rsid w:val="007A6BDC"/>
    <w:rsid w:val="007C2D16"/>
    <w:rsid w:val="007C4E92"/>
    <w:rsid w:val="007D072E"/>
    <w:rsid w:val="007D1F9A"/>
    <w:rsid w:val="007D45DF"/>
    <w:rsid w:val="007D4C4E"/>
    <w:rsid w:val="007E5D0E"/>
    <w:rsid w:val="007F02C9"/>
    <w:rsid w:val="007F2160"/>
    <w:rsid w:val="0080090D"/>
    <w:rsid w:val="008048A7"/>
    <w:rsid w:val="008055A5"/>
    <w:rsid w:val="0081174E"/>
    <w:rsid w:val="00816F5A"/>
    <w:rsid w:val="008276ED"/>
    <w:rsid w:val="008348F7"/>
    <w:rsid w:val="00834CE5"/>
    <w:rsid w:val="0083504A"/>
    <w:rsid w:val="0085437B"/>
    <w:rsid w:val="00870EE1"/>
    <w:rsid w:val="00873128"/>
    <w:rsid w:val="00882E76"/>
    <w:rsid w:val="008A0DEE"/>
    <w:rsid w:val="008A50BD"/>
    <w:rsid w:val="008A5F13"/>
    <w:rsid w:val="008B6DA5"/>
    <w:rsid w:val="008C0460"/>
    <w:rsid w:val="008D19EE"/>
    <w:rsid w:val="008D27FE"/>
    <w:rsid w:val="008D2968"/>
    <w:rsid w:val="008E0D7B"/>
    <w:rsid w:val="008F0F69"/>
    <w:rsid w:val="008F1B9B"/>
    <w:rsid w:val="009023E5"/>
    <w:rsid w:val="0090269D"/>
    <w:rsid w:val="00904CE6"/>
    <w:rsid w:val="00905647"/>
    <w:rsid w:val="009108CD"/>
    <w:rsid w:val="00912BCE"/>
    <w:rsid w:val="009138BC"/>
    <w:rsid w:val="00914EDB"/>
    <w:rsid w:val="00917415"/>
    <w:rsid w:val="00927046"/>
    <w:rsid w:val="00930307"/>
    <w:rsid w:val="009425E0"/>
    <w:rsid w:val="00943871"/>
    <w:rsid w:val="0096296A"/>
    <w:rsid w:val="00975D79"/>
    <w:rsid w:val="009857AF"/>
    <w:rsid w:val="00992FB4"/>
    <w:rsid w:val="00994256"/>
    <w:rsid w:val="009B3BF4"/>
    <w:rsid w:val="009B585F"/>
    <w:rsid w:val="009C2369"/>
    <w:rsid w:val="009C5368"/>
    <w:rsid w:val="009D69D2"/>
    <w:rsid w:val="009E5649"/>
    <w:rsid w:val="009F1ABC"/>
    <w:rsid w:val="00A10D7C"/>
    <w:rsid w:val="00A218C1"/>
    <w:rsid w:val="00A258A4"/>
    <w:rsid w:val="00A25E4B"/>
    <w:rsid w:val="00A262F1"/>
    <w:rsid w:val="00A63A2B"/>
    <w:rsid w:val="00A7325E"/>
    <w:rsid w:val="00A764FB"/>
    <w:rsid w:val="00A841BE"/>
    <w:rsid w:val="00A87D02"/>
    <w:rsid w:val="00A974A7"/>
    <w:rsid w:val="00AC22BF"/>
    <w:rsid w:val="00AC2517"/>
    <w:rsid w:val="00AC3CE4"/>
    <w:rsid w:val="00AC771B"/>
    <w:rsid w:val="00AD10F1"/>
    <w:rsid w:val="00AD3FC0"/>
    <w:rsid w:val="00AE4754"/>
    <w:rsid w:val="00B04B20"/>
    <w:rsid w:val="00B148DB"/>
    <w:rsid w:val="00B2117D"/>
    <w:rsid w:val="00B21FE6"/>
    <w:rsid w:val="00B41D42"/>
    <w:rsid w:val="00B429A4"/>
    <w:rsid w:val="00B474E2"/>
    <w:rsid w:val="00B573EF"/>
    <w:rsid w:val="00B7076D"/>
    <w:rsid w:val="00B76495"/>
    <w:rsid w:val="00B843F6"/>
    <w:rsid w:val="00B87B73"/>
    <w:rsid w:val="00B87D0C"/>
    <w:rsid w:val="00B90FC2"/>
    <w:rsid w:val="00B950D6"/>
    <w:rsid w:val="00B95C9D"/>
    <w:rsid w:val="00B96939"/>
    <w:rsid w:val="00BA5D86"/>
    <w:rsid w:val="00BA67D4"/>
    <w:rsid w:val="00BB02DF"/>
    <w:rsid w:val="00BB3D1A"/>
    <w:rsid w:val="00BC280B"/>
    <w:rsid w:val="00BD4EFC"/>
    <w:rsid w:val="00BE7C7C"/>
    <w:rsid w:val="00BF0E61"/>
    <w:rsid w:val="00BF4D97"/>
    <w:rsid w:val="00C03015"/>
    <w:rsid w:val="00C14D83"/>
    <w:rsid w:val="00C210A3"/>
    <w:rsid w:val="00C302FA"/>
    <w:rsid w:val="00C623F4"/>
    <w:rsid w:val="00C65199"/>
    <w:rsid w:val="00C6629A"/>
    <w:rsid w:val="00C667A8"/>
    <w:rsid w:val="00C86FDC"/>
    <w:rsid w:val="00C95CFE"/>
    <w:rsid w:val="00CA1A19"/>
    <w:rsid w:val="00CA2F8B"/>
    <w:rsid w:val="00CA6CB3"/>
    <w:rsid w:val="00CB0713"/>
    <w:rsid w:val="00CC6297"/>
    <w:rsid w:val="00CC7A2E"/>
    <w:rsid w:val="00CD05B2"/>
    <w:rsid w:val="00CD50AF"/>
    <w:rsid w:val="00CD5F61"/>
    <w:rsid w:val="00CD664F"/>
    <w:rsid w:val="00CF19C9"/>
    <w:rsid w:val="00CF29E1"/>
    <w:rsid w:val="00CF5572"/>
    <w:rsid w:val="00CF6955"/>
    <w:rsid w:val="00D0160E"/>
    <w:rsid w:val="00D068F7"/>
    <w:rsid w:val="00D07DC0"/>
    <w:rsid w:val="00D106EB"/>
    <w:rsid w:val="00D1348D"/>
    <w:rsid w:val="00D21907"/>
    <w:rsid w:val="00D305F5"/>
    <w:rsid w:val="00D32F21"/>
    <w:rsid w:val="00D34D88"/>
    <w:rsid w:val="00D364FA"/>
    <w:rsid w:val="00D56CEC"/>
    <w:rsid w:val="00D57253"/>
    <w:rsid w:val="00D61F58"/>
    <w:rsid w:val="00D62773"/>
    <w:rsid w:val="00D64906"/>
    <w:rsid w:val="00D677CD"/>
    <w:rsid w:val="00D74039"/>
    <w:rsid w:val="00D871D7"/>
    <w:rsid w:val="00D945AF"/>
    <w:rsid w:val="00D94A96"/>
    <w:rsid w:val="00D97693"/>
    <w:rsid w:val="00DA3C71"/>
    <w:rsid w:val="00DA7690"/>
    <w:rsid w:val="00DD267B"/>
    <w:rsid w:val="00DD5B17"/>
    <w:rsid w:val="00DE7A7F"/>
    <w:rsid w:val="00DF0AEE"/>
    <w:rsid w:val="00DF3FF2"/>
    <w:rsid w:val="00DF7DBE"/>
    <w:rsid w:val="00E07C0E"/>
    <w:rsid w:val="00E11FE5"/>
    <w:rsid w:val="00E15497"/>
    <w:rsid w:val="00E201A8"/>
    <w:rsid w:val="00E24CD1"/>
    <w:rsid w:val="00E30A7D"/>
    <w:rsid w:val="00E30E3A"/>
    <w:rsid w:val="00E32E99"/>
    <w:rsid w:val="00E4151D"/>
    <w:rsid w:val="00E434BD"/>
    <w:rsid w:val="00E46EC9"/>
    <w:rsid w:val="00E5525B"/>
    <w:rsid w:val="00E7292B"/>
    <w:rsid w:val="00E7676A"/>
    <w:rsid w:val="00E865DD"/>
    <w:rsid w:val="00E86F09"/>
    <w:rsid w:val="00E90C89"/>
    <w:rsid w:val="00E91DF9"/>
    <w:rsid w:val="00EB1647"/>
    <w:rsid w:val="00EB2111"/>
    <w:rsid w:val="00EB38EB"/>
    <w:rsid w:val="00EC3613"/>
    <w:rsid w:val="00EC5653"/>
    <w:rsid w:val="00EC7863"/>
    <w:rsid w:val="00ED5169"/>
    <w:rsid w:val="00EF0165"/>
    <w:rsid w:val="00EF15E8"/>
    <w:rsid w:val="00EF533E"/>
    <w:rsid w:val="00EF5BCB"/>
    <w:rsid w:val="00F01AEF"/>
    <w:rsid w:val="00F04506"/>
    <w:rsid w:val="00F05535"/>
    <w:rsid w:val="00F12122"/>
    <w:rsid w:val="00F16EC1"/>
    <w:rsid w:val="00F16F86"/>
    <w:rsid w:val="00F21AAC"/>
    <w:rsid w:val="00F23596"/>
    <w:rsid w:val="00F2696F"/>
    <w:rsid w:val="00F26D88"/>
    <w:rsid w:val="00F42AB1"/>
    <w:rsid w:val="00F45B64"/>
    <w:rsid w:val="00F46267"/>
    <w:rsid w:val="00F4719F"/>
    <w:rsid w:val="00F64021"/>
    <w:rsid w:val="00F734F3"/>
    <w:rsid w:val="00F7706D"/>
    <w:rsid w:val="00F9506C"/>
    <w:rsid w:val="00F959EB"/>
    <w:rsid w:val="00FA010C"/>
    <w:rsid w:val="00FA2D12"/>
    <w:rsid w:val="00FA5345"/>
    <w:rsid w:val="00FA6845"/>
    <w:rsid w:val="00FA7204"/>
    <w:rsid w:val="00FA72F8"/>
    <w:rsid w:val="00FB3907"/>
    <w:rsid w:val="00FB659A"/>
    <w:rsid w:val="00FC20FF"/>
    <w:rsid w:val="00FC464C"/>
    <w:rsid w:val="00FD29EE"/>
    <w:rsid w:val="00FD2CE2"/>
    <w:rsid w:val="00FD4366"/>
    <w:rsid w:val="00FD4AB7"/>
    <w:rsid w:val="00FE1352"/>
    <w:rsid w:val="00FE52F2"/>
    <w:rsid w:val="00FE720E"/>
    <w:rsid w:val="00FF39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031F4"/>
    <w:rPr>
      <w:rFonts w:ascii="Trebuchet MS" w:hAnsi="Trebuchet MS"/>
      <w:sz w:val="22"/>
      <w:szCs w:val="22"/>
      <w:lang w:eastAsia="en-US"/>
    </w:rPr>
  </w:style>
  <w:style w:type="paragraph" w:styleId="Heading1">
    <w:name w:val="heading 1"/>
    <w:basedOn w:val="Normal"/>
    <w:next w:val="Normal"/>
    <w:link w:val="Heading1Char"/>
    <w:uiPriority w:val="5"/>
    <w:qFormat/>
    <w:rsid w:val="009C5368"/>
    <w:pPr>
      <w:keepNext/>
      <w:keepLines/>
      <w:outlineLvl w:val="0"/>
    </w:pPr>
    <w:rPr>
      <w:rFonts w:eastAsia="Times New Roman"/>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rFonts w:eastAsia="Times New Roman"/>
      <w:b/>
      <w:bCs/>
      <w:color w:val="000000"/>
    </w:rPr>
  </w:style>
  <w:style w:type="paragraph" w:styleId="Heading3">
    <w:name w:val="heading 3"/>
    <w:basedOn w:val="Normal"/>
    <w:next w:val="Normal"/>
    <w:link w:val="Heading3Char"/>
    <w:uiPriority w:val="7"/>
    <w:unhideWhenUsed/>
    <w:qFormat/>
    <w:rsid w:val="00F7706D"/>
    <w:pPr>
      <w:keepNext/>
      <w:keepLines/>
      <w:outlineLvl w:val="2"/>
    </w:pPr>
    <w:rPr>
      <w:rFonts w:eastAsia="Times New Roman"/>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rFonts w:eastAsia="Times New Roman"/>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basedOn w:val="DefaultParagraphFont"/>
    <w:link w:val="Heading2"/>
    <w:uiPriority w:val="6"/>
    <w:rsid w:val="00F7706D"/>
    <w:rPr>
      <w:rFonts w:ascii="Trebuchet MS" w:eastAsia="Times New Roman" w:hAnsi="Trebuchet MS" w:cs="Times New Roman"/>
      <w:b/>
      <w:bCs/>
      <w:color w:val="000000"/>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99"/>
    <w:semiHidden/>
    <w:rsid w:val="00B04B20"/>
    <w:rPr>
      <w:rFonts w:ascii="Tahoma" w:hAnsi="Tahoma" w:cs="Tahoma"/>
      <w:sz w:val="16"/>
      <w:szCs w:val="16"/>
    </w:rPr>
  </w:style>
  <w:style w:type="character" w:customStyle="1" w:styleId="Heading3Char">
    <w:name w:val="Heading 3 Char"/>
    <w:basedOn w:val="DefaultParagraphFont"/>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basedOn w:val="DefaultParagraphFont"/>
    <w:link w:val="Heading4"/>
    <w:uiPriority w:val="3"/>
    <w:rsid w:val="00F7706D"/>
    <w:rPr>
      <w:rFonts w:ascii="Trebuchet MS" w:hAnsi="Trebuchet MS"/>
      <w:color w:val="0C2577"/>
      <w:sz w:val="60"/>
    </w:rPr>
  </w:style>
  <w:style w:type="character" w:customStyle="1" w:styleId="Heading5Char">
    <w:name w:val="Heading 5 Char"/>
    <w:aliases w:val="Chapter Heading Char"/>
    <w:basedOn w:val="DefaultParagraphFont"/>
    <w:link w:val="Heading5"/>
    <w:uiPriority w:val="4"/>
    <w:rsid w:val="00F7706D"/>
    <w:rPr>
      <w:rFonts w:ascii="Trebuchet MS" w:hAnsi="Trebuchet MS"/>
      <w:b/>
      <w:sz w:val="32"/>
    </w:rPr>
  </w:style>
  <w:style w:type="character" w:customStyle="1" w:styleId="Heading6Char">
    <w:name w:val="Heading 6 Char"/>
    <w:aliases w:val="Cover Page Heading Char"/>
    <w:basedOn w:val="DefaultParagraphFont"/>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imes New Roman"/>
      <w:szCs w:val="24"/>
    </w:rPr>
  </w:style>
  <w:style w:type="paragraph" w:styleId="EnvelopeReturn">
    <w:name w:val="envelope return"/>
    <w:basedOn w:val="Normal"/>
    <w:uiPriority w:val="99"/>
    <w:semiHidden/>
    <w:unhideWhenUsed/>
    <w:rsid w:val="007031F4"/>
    <w:rPr>
      <w:rFonts w:eastAsia="Times New Roman"/>
      <w:sz w:val="20"/>
      <w:szCs w:val="20"/>
    </w:rPr>
  </w:style>
  <w:style w:type="paragraph" w:customStyle="1" w:styleId="Heading">
    <w:name w:val="Heading"/>
    <w:basedOn w:val="Normal"/>
    <w:rsid w:val="003E19B1"/>
    <w:pPr>
      <w:jc w:val="both"/>
    </w:pPr>
    <w:rPr>
      <w:rFonts w:eastAsia="Times New Roman"/>
      <w:b/>
      <w:sz w:val="26"/>
      <w:lang w:eastAsia="en-AU"/>
    </w:rPr>
  </w:style>
  <w:style w:type="character" w:styleId="CommentReference">
    <w:name w:val="annotation reference"/>
    <w:basedOn w:val="DefaultParagraphFont"/>
    <w:unhideWhenUsed/>
    <w:rsid w:val="002B777A"/>
    <w:rPr>
      <w:sz w:val="16"/>
      <w:szCs w:val="16"/>
    </w:rPr>
  </w:style>
  <w:style w:type="paragraph" w:styleId="CommentText">
    <w:name w:val="annotation text"/>
    <w:basedOn w:val="Normal"/>
    <w:link w:val="CommentTextChar"/>
    <w:uiPriority w:val="99"/>
    <w:unhideWhenUsed/>
    <w:rsid w:val="002B777A"/>
    <w:rPr>
      <w:sz w:val="20"/>
      <w:szCs w:val="20"/>
    </w:rPr>
  </w:style>
  <w:style w:type="character" w:customStyle="1" w:styleId="CommentTextChar">
    <w:name w:val="Comment Text Char"/>
    <w:basedOn w:val="DefaultParagraphFont"/>
    <w:link w:val="CommentText"/>
    <w:uiPriority w:val="99"/>
    <w:rsid w:val="002B777A"/>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2B777A"/>
    <w:rPr>
      <w:b/>
      <w:bCs/>
    </w:rPr>
  </w:style>
  <w:style w:type="character" w:customStyle="1" w:styleId="CommentSubjectChar">
    <w:name w:val="Comment Subject Char"/>
    <w:basedOn w:val="CommentTextChar"/>
    <w:link w:val="CommentSubject"/>
    <w:uiPriority w:val="99"/>
    <w:semiHidden/>
    <w:rsid w:val="002B777A"/>
    <w:rPr>
      <w:rFonts w:ascii="Trebuchet MS" w:hAnsi="Trebuchet MS"/>
      <w:b/>
      <w:bCs/>
      <w:sz w:val="20"/>
      <w:szCs w:val="20"/>
    </w:rPr>
  </w:style>
  <w:style w:type="paragraph" w:customStyle="1" w:styleId="Default">
    <w:name w:val="Default"/>
    <w:rsid w:val="00B148DB"/>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037D9B"/>
    <w:pPr>
      <w:ind w:left="720"/>
      <w:contextualSpacing/>
    </w:pPr>
  </w:style>
  <w:style w:type="character" w:styleId="Hyperlink">
    <w:name w:val="Hyperlink"/>
    <w:basedOn w:val="DefaultParagraphFont"/>
    <w:uiPriority w:val="99"/>
    <w:unhideWhenUsed/>
    <w:rsid w:val="002E0EA0"/>
    <w:rPr>
      <w:color w:val="0000FF"/>
      <w:u w:val="single"/>
    </w:rPr>
  </w:style>
  <w:style w:type="paragraph" w:styleId="FootnoteText">
    <w:name w:val="footnote text"/>
    <w:basedOn w:val="Normal"/>
    <w:link w:val="FootnoteTextChar"/>
    <w:uiPriority w:val="99"/>
    <w:unhideWhenUsed/>
    <w:rsid w:val="002E0EA0"/>
    <w:rPr>
      <w:rFonts w:eastAsia="Times New Roman"/>
      <w:sz w:val="20"/>
      <w:szCs w:val="20"/>
    </w:rPr>
  </w:style>
  <w:style w:type="character" w:customStyle="1" w:styleId="FootnoteTextChar">
    <w:name w:val="Footnote Text Char"/>
    <w:basedOn w:val="DefaultParagraphFont"/>
    <w:link w:val="FootnoteText"/>
    <w:uiPriority w:val="99"/>
    <w:rsid w:val="002E0EA0"/>
    <w:rPr>
      <w:rFonts w:ascii="Trebuchet MS" w:eastAsia="Times New Roman" w:hAnsi="Trebuchet MS"/>
      <w:lang w:eastAsia="en-US"/>
    </w:rPr>
  </w:style>
  <w:style w:type="character" w:styleId="FootnoteReference">
    <w:name w:val="footnote reference"/>
    <w:basedOn w:val="DefaultParagraphFont"/>
    <w:uiPriority w:val="99"/>
    <w:unhideWhenUsed/>
    <w:rsid w:val="002E0EA0"/>
    <w:rPr>
      <w:vertAlign w:val="superscript"/>
    </w:rPr>
  </w:style>
  <w:style w:type="paragraph" w:styleId="Title">
    <w:name w:val="Title"/>
    <w:basedOn w:val="Normal"/>
    <w:link w:val="TitleChar"/>
    <w:qFormat/>
    <w:rsid w:val="007D1F9A"/>
    <w:pPr>
      <w:spacing w:before="360"/>
      <w:jc w:val="center"/>
    </w:pPr>
    <w:rPr>
      <w:rFonts w:ascii="Times New Roman" w:eastAsia="Times New Roman" w:hAnsi="Times New Roman"/>
      <w:b/>
      <w:sz w:val="32"/>
      <w:szCs w:val="20"/>
      <w:lang w:eastAsia="en-AU"/>
    </w:rPr>
  </w:style>
  <w:style w:type="character" w:customStyle="1" w:styleId="TitleChar">
    <w:name w:val="Title Char"/>
    <w:basedOn w:val="DefaultParagraphFont"/>
    <w:link w:val="Title"/>
    <w:rsid w:val="007D1F9A"/>
    <w:rPr>
      <w:rFonts w:ascii="Times New Roman" w:eastAsia="Times New Roman" w:hAnsi="Times New Roman"/>
      <w:b/>
      <w:sz w:val="32"/>
    </w:rPr>
  </w:style>
  <w:style w:type="paragraph" w:styleId="BodyText">
    <w:name w:val="Body Text"/>
    <w:basedOn w:val="Normal"/>
    <w:link w:val="BodyTextChar"/>
    <w:rsid w:val="007D1F9A"/>
    <w:pPr>
      <w:spacing w:after="240"/>
    </w:pPr>
    <w:rPr>
      <w:rFonts w:ascii="Times New Roman" w:eastAsia="Times New Roman" w:hAnsi="Times New Roman"/>
      <w:sz w:val="24"/>
      <w:szCs w:val="20"/>
      <w:lang w:eastAsia="en-AU"/>
    </w:rPr>
  </w:style>
  <w:style w:type="character" w:customStyle="1" w:styleId="BodyTextChar">
    <w:name w:val="Body Text Char"/>
    <w:basedOn w:val="DefaultParagraphFont"/>
    <w:link w:val="BodyText"/>
    <w:rsid w:val="007D1F9A"/>
    <w:rPr>
      <w:rFonts w:ascii="Times New Roman" w:eastAsia="Times New Roman" w:hAnsi="Times New Roman"/>
      <w:sz w:val="24"/>
    </w:rPr>
  </w:style>
  <w:style w:type="character" w:styleId="FollowedHyperlink">
    <w:name w:val="FollowedHyperlink"/>
    <w:basedOn w:val="DefaultParagraphFont"/>
    <w:uiPriority w:val="99"/>
    <w:semiHidden/>
    <w:unhideWhenUsed/>
    <w:rsid w:val="00356E5F"/>
    <w:rPr>
      <w:color w:val="800080" w:themeColor="followedHyperlink"/>
      <w:u w:val="single"/>
    </w:rPr>
  </w:style>
  <w:style w:type="paragraph" w:customStyle="1" w:styleId="Paragraphtext">
    <w:name w:val="Paragraph text"/>
    <w:basedOn w:val="Default"/>
    <w:qFormat/>
    <w:rsid w:val="00AE4754"/>
    <w:pPr>
      <w:widowControl w:val="0"/>
      <w:numPr>
        <w:numId w:val="9"/>
      </w:numPr>
      <w:spacing w:before="240" w:after="200" w:line="360" w:lineRule="auto"/>
      <w:ind w:left="567" w:hanging="567"/>
      <w:jc w:val="both"/>
    </w:pPr>
    <w:rPr>
      <w:rFonts w:eastAsiaTheme="minorHAnsi"/>
      <w:lang w:eastAsia="en-US"/>
    </w:rPr>
  </w:style>
  <w:style w:type="paragraph" w:customStyle="1" w:styleId="Dotpoints">
    <w:name w:val="Dot points"/>
    <w:basedOn w:val="Default"/>
    <w:qFormat/>
    <w:rsid w:val="00403795"/>
    <w:pPr>
      <w:numPr>
        <w:numId w:val="11"/>
      </w:numPr>
      <w:spacing w:before="240" w:after="200" w:line="360" w:lineRule="auto"/>
      <w:ind w:left="1134" w:hanging="567"/>
      <w:jc w:val="both"/>
    </w:pPr>
    <w:rPr>
      <w:rFonts w:eastAsiaTheme="minorHAnsi"/>
      <w:lang w:eastAsia="en-US"/>
    </w:rPr>
  </w:style>
  <w:style w:type="paragraph" w:styleId="Header">
    <w:name w:val="header"/>
    <w:basedOn w:val="Normal"/>
    <w:link w:val="HeaderChar"/>
    <w:uiPriority w:val="99"/>
    <w:unhideWhenUsed/>
    <w:rsid w:val="00904CE6"/>
    <w:pPr>
      <w:tabs>
        <w:tab w:val="center" w:pos="4513"/>
        <w:tab w:val="right" w:pos="9026"/>
      </w:tabs>
    </w:pPr>
  </w:style>
  <w:style w:type="character" w:customStyle="1" w:styleId="HeaderChar">
    <w:name w:val="Header Char"/>
    <w:basedOn w:val="DefaultParagraphFont"/>
    <w:link w:val="Header"/>
    <w:uiPriority w:val="99"/>
    <w:rsid w:val="00904CE6"/>
    <w:rPr>
      <w:rFonts w:ascii="Trebuchet MS" w:hAnsi="Trebuchet MS"/>
      <w:sz w:val="22"/>
      <w:szCs w:val="22"/>
      <w:lang w:eastAsia="en-US"/>
    </w:rPr>
  </w:style>
  <w:style w:type="paragraph" w:styleId="Footer">
    <w:name w:val="footer"/>
    <w:basedOn w:val="Normal"/>
    <w:link w:val="FooterChar"/>
    <w:uiPriority w:val="99"/>
    <w:unhideWhenUsed/>
    <w:rsid w:val="00904CE6"/>
    <w:pPr>
      <w:tabs>
        <w:tab w:val="center" w:pos="4513"/>
        <w:tab w:val="right" w:pos="9026"/>
      </w:tabs>
    </w:pPr>
  </w:style>
  <w:style w:type="character" w:customStyle="1" w:styleId="FooterChar">
    <w:name w:val="Footer Char"/>
    <w:basedOn w:val="DefaultParagraphFont"/>
    <w:link w:val="Footer"/>
    <w:uiPriority w:val="99"/>
    <w:rsid w:val="00904CE6"/>
    <w:rPr>
      <w:rFonts w:ascii="Trebuchet MS" w:hAnsi="Trebuchet M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031F4"/>
    <w:rPr>
      <w:rFonts w:ascii="Trebuchet MS" w:hAnsi="Trebuchet MS"/>
      <w:sz w:val="22"/>
      <w:szCs w:val="22"/>
      <w:lang w:eastAsia="en-US"/>
    </w:rPr>
  </w:style>
  <w:style w:type="paragraph" w:styleId="Heading1">
    <w:name w:val="heading 1"/>
    <w:basedOn w:val="Normal"/>
    <w:next w:val="Normal"/>
    <w:link w:val="Heading1Char"/>
    <w:uiPriority w:val="5"/>
    <w:qFormat/>
    <w:rsid w:val="009C5368"/>
    <w:pPr>
      <w:keepNext/>
      <w:keepLines/>
      <w:outlineLvl w:val="0"/>
    </w:pPr>
    <w:rPr>
      <w:rFonts w:eastAsia="Times New Roman"/>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rFonts w:eastAsia="Times New Roman"/>
      <w:b/>
      <w:bCs/>
      <w:color w:val="000000"/>
    </w:rPr>
  </w:style>
  <w:style w:type="paragraph" w:styleId="Heading3">
    <w:name w:val="heading 3"/>
    <w:basedOn w:val="Normal"/>
    <w:next w:val="Normal"/>
    <w:link w:val="Heading3Char"/>
    <w:uiPriority w:val="7"/>
    <w:unhideWhenUsed/>
    <w:qFormat/>
    <w:rsid w:val="00F7706D"/>
    <w:pPr>
      <w:keepNext/>
      <w:keepLines/>
      <w:outlineLvl w:val="2"/>
    </w:pPr>
    <w:rPr>
      <w:rFonts w:eastAsia="Times New Roman"/>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rFonts w:eastAsia="Times New Roman"/>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basedOn w:val="DefaultParagraphFont"/>
    <w:link w:val="Heading2"/>
    <w:uiPriority w:val="6"/>
    <w:rsid w:val="00F7706D"/>
    <w:rPr>
      <w:rFonts w:ascii="Trebuchet MS" w:eastAsia="Times New Roman" w:hAnsi="Trebuchet MS" w:cs="Times New Roman"/>
      <w:b/>
      <w:bCs/>
      <w:color w:val="000000"/>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99"/>
    <w:semiHidden/>
    <w:rsid w:val="00B04B20"/>
    <w:rPr>
      <w:rFonts w:ascii="Tahoma" w:hAnsi="Tahoma" w:cs="Tahoma"/>
      <w:sz w:val="16"/>
      <w:szCs w:val="16"/>
    </w:rPr>
  </w:style>
  <w:style w:type="character" w:customStyle="1" w:styleId="Heading3Char">
    <w:name w:val="Heading 3 Char"/>
    <w:basedOn w:val="DefaultParagraphFont"/>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basedOn w:val="DefaultParagraphFont"/>
    <w:link w:val="Heading4"/>
    <w:uiPriority w:val="3"/>
    <w:rsid w:val="00F7706D"/>
    <w:rPr>
      <w:rFonts w:ascii="Trebuchet MS" w:hAnsi="Trebuchet MS"/>
      <w:color w:val="0C2577"/>
      <w:sz w:val="60"/>
    </w:rPr>
  </w:style>
  <w:style w:type="character" w:customStyle="1" w:styleId="Heading5Char">
    <w:name w:val="Heading 5 Char"/>
    <w:aliases w:val="Chapter Heading Char"/>
    <w:basedOn w:val="DefaultParagraphFont"/>
    <w:link w:val="Heading5"/>
    <w:uiPriority w:val="4"/>
    <w:rsid w:val="00F7706D"/>
    <w:rPr>
      <w:rFonts w:ascii="Trebuchet MS" w:hAnsi="Trebuchet MS"/>
      <w:b/>
      <w:sz w:val="32"/>
    </w:rPr>
  </w:style>
  <w:style w:type="character" w:customStyle="1" w:styleId="Heading6Char">
    <w:name w:val="Heading 6 Char"/>
    <w:aliases w:val="Cover Page Heading Char"/>
    <w:basedOn w:val="DefaultParagraphFont"/>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imes New Roman"/>
      <w:szCs w:val="24"/>
    </w:rPr>
  </w:style>
  <w:style w:type="paragraph" w:styleId="EnvelopeReturn">
    <w:name w:val="envelope return"/>
    <w:basedOn w:val="Normal"/>
    <w:uiPriority w:val="99"/>
    <w:semiHidden/>
    <w:unhideWhenUsed/>
    <w:rsid w:val="007031F4"/>
    <w:rPr>
      <w:rFonts w:eastAsia="Times New Roman"/>
      <w:sz w:val="20"/>
      <w:szCs w:val="20"/>
    </w:rPr>
  </w:style>
  <w:style w:type="paragraph" w:customStyle="1" w:styleId="Heading">
    <w:name w:val="Heading"/>
    <w:basedOn w:val="Normal"/>
    <w:rsid w:val="003E19B1"/>
    <w:pPr>
      <w:jc w:val="both"/>
    </w:pPr>
    <w:rPr>
      <w:rFonts w:eastAsia="Times New Roman"/>
      <w:b/>
      <w:sz w:val="26"/>
      <w:lang w:eastAsia="en-AU"/>
    </w:rPr>
  </w:style>
  <w:style w:type="character" w:styleId="CommentReference">
    <w:name w:val="annotation reference"/>
    <w:basedOn w:val="DefaultParagraphFont"/>
    <w:unhideWhenUsed/>
    <w:rsid w:val="002B777A"/>
    <w:rPr>
      <w:sz w:val="16"/>
      <w:szCs w:val="16"/>
    </w:rPr>
  </w:style>
  <w:style w:type="paragraph" w:styleId="CommentText">
    <w:name w:val="annotation text"/>
    <w:basedOn w:val="Normal"/>
    <w:link w:val="CommentTextChar"/>
    <w:uiPriority w:val="99"/>
    <w:unhideWhenUsed/>
    <w:rsid w:val="002B777A"/>
    <w:rPr>
      <w:sz w:val="20"/>
      <w:szCs w:val="20"/>
    </w:rPr>
  </w:style>
  <w:style w:type="character" w:customStyle="1" w:styleId="CommentTextChar">
    <w:name w:val="Comment Text Char"/>
    <w:basedOn w:val="DefaultParagraphFont"/>
    <w:link w:val="CommentText"/>
    <w:uiPriority w:val="99"/>
    <w:rsid w:val="002B777A"/>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2B777A"/>
    <w:rPr>
      <w:b/>
      <w:bCs/>
    </w:rPr>
  </w:style>
  <w:style w:type="character" w:customStyle="1" w:styleId="CommentSubjectChar">
    <w:name w:val="Comment Subject Char"/>
    <w:basedOn w:val="CommentTextChar"/>
    <w:link w:val="CommentSubject"/>
    <w:uiPriority w:val="99"/>
    <w:semiHidden/>
    <w:rsid w:val="002B777A"/>
    <w:rPr>
      <w:rFonts w:ascii="Trebuchet MS" w:hAnsi="Trebuchet MS"/>
      <w:b/>
      <w:bCs/>
      <w:sz w:val="20"/>
      <w:szCs w:val="20"/>
    </w:rPr>
  </w:style>
  <w:style w:type="paragraph" w:customStyle="1" w:styleId="Default">
    <w:name w:val="Default"/>
    <w:rsid w:val="00B148DB"/>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037D9B"/>
    <w:pPr>
      <w:ind w:left="720"/>
      <w:contextualSpacing/>
    </w:pPr>
  </w:style>
  <w:style w:type="character" w:styleId="Hyperlink">
    <w:name w:val="Hyperlink"/>
    <w:basedOn w:val="DefaultParagraphFont"/>
    <w:uiPriority w:val="99"/>
    <w:unhideWhenUsed/>
    <w:rsid w:val="002E0EA0"/>
    <w:rPr>
      <w:color w:val="0000FF"/>
      <w:u w:val="single"/>
    </w:rPr>
  </w:style>
  <w:style w:type="paragraph" w:styleId="FootnoteText">
    <w:name w:val="footnote text"/>
    <w:basedOn w:val="Normal"/>
    <w:link w:val="FootnoteTextChar"/>
    <w:uiPriority w:val="99"/>
    <w:unhideWhenUsed/>
    <w:rsid w:val="002E0EA0"/>
    <w:rPr>
      <w:rFonts w:eastAsia="Times New Roman"/>
      <w:sz w:val="20"/>
      <w:szCs w:val="20"/>
    </w:rPr>
  </w:style>
  <w:style w:type="character" w:customStyle="1" w:styleId="FootnoteTextChar">
    <w:name w:val="Footnote Text Char"/>
    <w:basedOn w:val="DefaultParagraphFont"/>
    <w:link w:val="FootnoteText"/>
    <w:uiPriority w:val="99"/>
    <w:rsid w:val="002E0EA0"/>
    <w:rPr>
      <w:rFonts w:ascii="Trebuchet MS" w:eastAsia="Times New Roman" w:hAnsi="Trebuchet MS"/>
      <w:lang w:eastAsia="en-US"/>
    </w:rPr>
  </w:style>
  <w:style w:type="character" w:styleId="FootnoteReference">
    <w:name w:val="footnote reference"/>
    <w:basedOn w:val="DefaultParagraphFont"/>
    <w:uiPriority w:val="99"/>
    <w:unhideWhenUsed/>
    <w:rsid w:val="002E0EA0"/>
    <w:rPr>
      <w:vertAlign w:val="superscript"/>
    </w:rPr>
  </w:style>
  <w:style w:type="paragraph" w:styleId="Title">
    <w:name w:val="Title"/>
    <w:basedOn w:val="Normal"/>
    <w:link w:val="TitleChar"/>
    <w:qFormat/>
    <w:rsid w:val="007D1F9A"/>
    <w:pPr>
      <w:spacing w:before="360"/>
      <w:jc w:val="center"/>
    </w:pPr>
    <w:rPr>
      <w:rFonts w:ascii="Times New Roman" w:eastAsia="Times New Roman" w:hAnsi="Times New Roman"/>
      <w:b/>
      <w:sz w:val="32"/>
      <w:szCs w:val="20"/>
      <w:lang w:eastAsia="en-AU"/>
    </w:rPr>
  </w:style>
  <w:style w:type="character" w:customStyle="1" w:styleId="TitleChar">
    <w:name w:val="Title Char"/>
    <w:basedOn w:val="DefaultParagraphFont"/>
    <w:link w:val="Title"/>
    <w:rsid w:val="007D1F9A"/>
    <w:rPr>
      <w:rFonts w:ascii="Times New Roman" w:eastAsia="Times New Roman" w:hAnsi="Times New Roman"/>
      <w:b/>
      <w:sz w:val="32"/>
    </w:rPr>
  </w:style>
  <w:style w:type="paragraph" w:styleId="BodyText">
    <w:name w:val="Body Text"/>
    <w:basedOn w:val="Normal"/>
    <w:link w:val="BodyTextChar"/>
    <w:rsid w:val="007D1F9A"/>
    <w:pPr>
      <w:spacing w:after="240"/>
    </w:pPr>
    <w:rPr>
      <w:rFonts w:ascii="Times New Roman" w:eastAsia="Times New Roman" w:hAnsi="Times New Roman"/>
      <w:sz w:val="24"/>
      <w:szCs w:val="20"/>
      <w:lang w:eastAsia="en-AU"/>
    </w:rPr>
  </w:style>
  <w:style w:type="character" w:customStyle="1" w:styleId="BodyTextChar">
    <w:name w:val="Body Text Char"/>
    <w:basedOn w:val="DefaultParagraphFont"/>
    <w:link w:val="BodyText"/>
    <w:rsid w:val="007D1F9A"/>
    <w:rPr>
      <w:rFonts w:ascii="Times New Roman" w:eastAsia="Times New Roman" w:hAnsi="Times New Roman"/>
      <w:sz w:val="24"/>
    </w:rPr>
  </w:style>
  <w:style w:type="character" w:styleId="FollowedHyperlink">
    <w:name w:val="FollowedHyperlink"/>
    <w:basedOn w:val="DefaultParagraphFont"/>
    <w:uiPriority w:val="99"/>
    <w:semiHidden/>
    <w:unhideWhenUsed/>
    <w:rsid w:val="00356E5F"/>
    <w:rPr>
      <w:color w:val="800080" w:themeColor="followedHyperlink"/>
      <w:u w:val="single"/>
    </w:rPr>
  </w:style>
  <w:style w:type="paragraph" w:customStyle="1" w:styleId="Paragraphtext">
    <w:name w:val="Paragraph text"/>
    <w:basedOn w:val="Default"/>
    <w:qFormat/>
    <w:rsid w:val="00AE4754"/>
    <w:pPr>
      <w:widowControl w:val="0"/>
      <w:numPr>
        <w:numId w:val="9"/>
      </w:numPr>
      <w:spacing w:before="240" w:after="200" w:line="360" w:lineRule="auto"/>
      <w:ind w:left="567" w:hanging="567"/>
      <w:jc w:val="both"/>
    </w:pPr>
    <w:rPr>
      <w:rFonts w:eastAsiaTheme="minorHAnsi"/>
      <w:lang w:eastAsia="en-US"/>
    </w:rPr>
  </w:style>
  <w:style w:type="paragraph" w:customStyle="1" w:styleId="Dotpoints">
    <w:name w:val="Dot points"/>
    <w:basedOn w:val="Default"/>
    <w:qFormat/>
    <w:rsid w:val="00403795"/>
    <w:pPr>
      <w:numPr>
        <w:numId w:val="11"/>
      </w:numPr>
      <w:spacing w:before="240" w:after="200" w:line="360" w:lineRule="auto"/>
      <w:ind w:left="1134" w:hanging="567"/>
      <w:jc w:val="both"/>
    </w:pPr>
    <w:rPr>
      <w:rFonts w:eastAsiaTheme="minorHAnsi"/>
      <w:lang w:eastAsia="en-US"/>
    </w:rPr>
  </w:style>
  <w:style w:type="paragraph" w:styleId="Header">
    <w:name w:val="header"/>
    <w:basedOn w:val="Normal"/>
    <w:link w:val="HeaderChar"/>
    <w:uiPriority w:val="99"/>
    <w:unhideWhenUsed/>
    <w:rsid w:val="00904CE6"/>
    <w:pPr>
      <w:tabs>
        <w:tab w:val="center" w:pos="4513"/>
        <w:tab w:val="right" w:pos="9026"/>
      </w:tabs>
    </w:pPr>
  </w:style>
  <w:style w:type="character" w:customStyle="1" w:styleId="HeaderChar">
    <w:name w:val="Header Char"/>
    <w:basedOn w:val="DefaultParagraphFont"/>
    <w:link w:val="Header"/>
    <w:uiPriority w:val="99"/>
    <w:rsid w:val="00904CE6"/>
    <w:rPr>
      <w:rFonts w:ascii="Trebuchet MS" w:hAnsi="Trebuchet MS"/>
      <w:sz w:val="22"/>
      <w:szCs w:val="22"/>
      <w:lang w:eastAsia="en-US"/>
    </w:rPr>
  </w:style>
  <w:style w:type="paragraph" w:styleId="Footer">
    <w:name w:val="footer"/>
    <w:basedOn w:val="Normal"/>
    <w:link w:val="FooterChar"/>
    <w:uiPriority w:val="99"/>
    <w:unhideWhenUsed/>
    <w:rsid w:val="00904CE6"/>
    <w:pPr>
      <w:tabs>
        <w:tab w:val="center" w:pos="4513"/>
        <w:tab w:val="right" w:pos="9026"/>
      </w:tabs>
    </w:pPr>
  </w:style>
  <w:style w:type="character" w:customStyle="1" w:styleId="FooterChar">
    <w:name w:val="Footer Char"/>
    <w:basedOn w:val="DefaultParagraphFont"/>
    <w:link w:val="Footer"/>
    <w:uiPriority w:val="99"/>
    <w:rsid w:val="00904CE6"/>
    <w:rPr>
      <w:rFonts w:ascii="Trebuchet MS" w:hAnsi="Trebuchet M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821825">
      <w:bodyDiv w:val="1"/>
      <w:marLeft w:val="0"/>
      <w:marRight w:val="0"/>
      <w:marTop w:val="0"/>
      <w:marBottom w:val="0"/>
      <w:divBdr>
        <w:top w:val="none" w:sz="0" w:space="0" w:color="auto"/>
        <w:left w:val="none" w:sz="0" w:space="0" w:color="auto"/>
        <w:bottom w:val="none" w:sz="0" w:space="0" w:color="auto"/>
        <w:right w:val="none" w:sz="0" w:space="0" w:color="auto"/>
      </w:divBdr>
    </w:div>
    <w:div w:id="1012609805">
      <w:bodyDiv w:val="1"/>
      <w:marLeft w:val="0"/>
      <w:marRight w:val="0"/>
      <w:marTop w:val="0"/>
      <w:marBottom w:val="0"/>
      <w:divBdr>
        <w:top w:val="none" w:sz="0" w:space="0" w:color="auto"/>
        <w:left w:val="none" w:sz="0" w:space="0" w:color="auto"/>
        <w:bottom w:val="none" w:sz="0" w:space="0" w:color="auto"/>
        <w:right w:val="none" w:sz="0" w:space="0" w:color="auto"/>
      </w:divBdr>
      <w:divsChild>
        <w:div w:id="1660115208">
          <w:marLeft w:val="0"/>
          <w:marRight w:val="0"/>
          <w:marTop w:val="0"/>
          <w:marBottom w:val="0"/>
          <w:divBdr>
            <w:top w:val="none" w:sz="0" w:space="0" w:color="auto"/>
            <w:left w:val="none" w:sz="0" w:space="0" w:color="auto"/>
            <w:bottom w:val="none" w:sz="0" w:space="0" w:color="auto"/>
            <w:right w:val="none" w:sz="0" w:space="0" w:color="auto"/>
          </w:divBdr>
          <w:divsChild>
            <w:div w:id="628323589">
              <w:marLeft w:val="0"/>
              <w:marRight w:val="0"/>
              <w:marTop w:val="0"/>
              <w:marBottom w:val="0"/>
              <w:divBdr>
                <w:top w:val="none" w:sz="0" w:space="0" w:color="auto"/>
                <w:left w:val="none" w:sz="0" w:space="0" w:color="auto"/>
                <w:bottom w:val="none" w:sz="0" w:space="0" w:color="auto"/>
                <w:right w:val="none" w:sz="0" w:space="0" w:color="auto"/>
              </w:divBdr>
              <w:divsChild>
                <w:div w:id="491069273">
                  <w:marLeft w:val="0"/>
                  <w:marRight w:val="0"/>
                  <w:marTop w:val="0"/>
                  <w:marBottom w:val="0"/>
                  <w:divBdr>
                    <w:top w:val="none" w:sz="0" w:space="0" w:color="auto"/>
                    <w:left w:val="none" w:sz="0" w:space="0" w:color="auto"/>
                    <w:bottom w:val="none" w:sz="0" w:space="0" w:color="auto"/>
                    <w:right w:val="none" w:sz="0" w:space="0" w:color="auto"/>
                  </w:divBdr>
                  <w:divsChild>
                    <w:div w:id="22175308">
                      <w:marLeft w:val="0"/>
                      <w:marRight w:val="0"/>
                      <w:marTop w:val="0"/>
                      <w:marBottom w:val="0"/>
                      <w:divBdr>
                        <w:top w:val="none" w:sz="0" w:space="0" w:color="auto"/>
                        <w:left w:val="none" w:sz="0" w:space="0" w:color="auto"/>
                        <w:bottom w:val="none" w:sz="0" w:space="0" w:color="auto"/>
                        <w:right w:val="none" w:sz="0" w:space="0" w:color="auto"/>
                      </w:divBdr>
                      <w:divsChild>
                        <w:div w:id="1107388747">
                          <w:marLeft w:val="0"/>
                          <w:marRight w:val="0"/>
                          <w:marTop w:val="0"/>
                          <w:marBottom w:val="0"/>
                          <w:divBdr>
                            <w:top w:val="single" w:sz="6" w:space="0" w:color="828282"/>
                            <w:left w:val="single" w:sz="6" w:space="0" w:color="828282"/>
                            <w:bottom w:val="single" w:sz="6" w:space="0" w:color="828282"/>
                            <w:right w:val="single" w:sz="6" w:space="0" w:color="828282"/>
                          </w:divBdr>
                          <w:divsChild>
                            <w:div w:id="1655790507">
                              <w:marLeft w:val="0"/>
                              <w:marRight w:val="0"/>
                              <w:marTop w:val="0"/>
                              <w:marBottom w:val="0"/>
                              <w:divBdr>
                                <w:top w:val="none" w:sz="0" w:space="0" w:color="auto"/>
                                <w:left w:val="none" w:sz="0" w:space="0" w:color="auto"/>
                                <w:bottom w:val="none" w:sz="0" w:space="0" w:color="auto"/>
                                <w:right w:val="none" w:sz="0" w:space="0" w:color="auto"/>
                              </w:divBdr>
                              <w:divsChild>
                                <w:div w:id="1954045544">
                                  <w:marLeft w:val="0"/>
                                  <w:marRight w:val="0"/>
                                  <w:marTop w:val="0"/>
                                  <w:marBottom w:val="0"/>
                                  <w:divBdr>
                                    <w:top w:val="none" w:sz="0" w:space="0" w:color="auto"/>
                                    <w:left w:val="none" w:sz="0" w:space="0" w:color="auto"/>
                                    <w:bottom w:val="none" w:sz="0" w:space="0" w:color="auto"/>
                                    <w:right w:val="none" w:sz="0" w:space="0" w:color="auto"/>
                                  </w:divBdr>
                                  <w:divsChild>
                                    <w:div w:id="532157239">
                                      <w:marLeft w:val="0"/>
                                      <w:marRight w:val="0"/>
                                      <w:marTop w:val="0"/>
                                      <w:marBottom w:val="0"/>
                                      <w:divBdr>
                                        <w:top w:val="none" w:sz="0" w:space="0" w:color="auto"/>
                                        <w:left w:val="none" w:sz="0" w:space="0" w:color="auto"/>
                                        <w:bottom w:val="none" w:sz="0" w:space="0" w:color="auto"/>
                                        <w:right w:val="none" w:sz="0" w:space="0" w:color="auto"/>
                                      </w:divBdr>
                                      <w:divsChild>
                                        <w:div w:id="560555303">
                                          <w:marLeft w:val="0"/>
                                          <w:marRight w:val="0"/>
                                          <w:marTop w:val="0"/>
                                          <w:marBottom w:val="0"/>
                                          <w:divBdr>
                                            <w:top w:val="none" w:sz="0" w:space="0" w:color="auto"/>
                                            <w:left w:val="none" w:sz="0" w:space="0" w:color="auto"/>
                                            <w:bottom w:val="none" w:sz="0" w:space="0" w:color="auto"/>
                                            <w:right w:val="none" w:sz="0" w:space="0" w:color="auto"/>
                                          </w:divBdr>
                                          <w:divsChild>
                                            <w:div w:id="2059276523">
                                              <w:marLeft w:val="0"/>
                                              <w:marRight w:val="0"/>
                                              <w:marTop w:val="0"/>
                                              <w:marBottom w:val="0"/>
                                              <w:divBdr>
                                                <w:top w:val="none" w:sz="0" w:space="0" w:color="auto"/>
                                                <w:left w:val="none" w:sz="0" w:space="0" w:color="auto"/>
                                                <w:bottom w:val="none" w:sz="0" w:space="0" w:color="auto"/>
                                                <w:right w:val="none" w:sz="0" w:space="0" w:color="auto"/>
                                              </w:divBdr>
                                              <w:divsChild>
                                                <w:div w:id="175967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096494">
      <w:bodyDiv w:val="1"/>
      <w:marLeft w:val="0"/>
      <w:marRight w:val="0"/>
      <w:marTop w:val="0"/>
      <w:marBottom w:val="0"/>
      <w:divBdr>
        <w:top w:val="none" w:sz="0" w:space="0" w:color="auto"/>
        <w:left w:val="none" w:sz="0" w:space="0" w:color="auto"/>
        <w:bottom w:val="none" w:sz="0" w:space="0" w:color="auto"/>
        <w:right w:val="none" w:sz="0" w:space="0" w:color="auto"/>
      </w:divBdr>
    </w:div>
    <w:div w:id="170146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30D47-FE4B-4B2B-9CFC-6A069B592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1107</Words>
  <Characters>6311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wkchan</dc:creator>
  <cp:lastModifiedBy>Watson, Jill</cp:lastModifiedBy>
  <cp:revision>2</cp:revision>
  <cp:lastPrinted>2015-02-24T00:06:00Z</cp:lastPrinted>
  <dcterms:created xsi:type="dcterms:W3CDTF">2015-12-14T20:54:00Z</dcterms:created>
  <dcterms:modified xsi:type="dcterms:W3CDTF">2015-12-14T20:54:00Z</dcterms:modified>
</cp:coreProperties>
</file>