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A8FD9" w14:textId="77777777" w:rsidR="00C63C44" w:rsidRPr="00F127EE" w:rsidRDefault="00C63C44" w:rsidP="00E818EB">
      <w:pPr>
        <w:pStyle w:val="Heading2"/>
        <w:spacing w:before="120" w:after="120" w:line="240" w:lineRule="atLeast"/>
        <w:jc w:val="center"/>
        <w:rPr>
          <w:i w:val="0"/>
          <w:sz w:val="20"/>
          <w:szCs w:val="20"/>
        </w:rPr>
      </w:pPr>
      <w:bookmarkStart w:id="0" w:name="_GoBack"/>
      <w:bookmarkEnd w:id="0"/>
      <w:r w:rsidRPr="00F127EE">
        <w:rPr>
          <w:i w:val="0"/>
          <w:sz w:val="20"/>
          <w:szCs w:val="20"/>
        </w:rPr>
        <w:t>EXPLANATORY STATEMENT</w:t>
      </w:r>
    </w:p>
    <w:p w14:paraId="6C0D49A7" w14:textId="77777777" w:rsidR="00E818EB" w:rsidRPr="00F127EE" w:rsidRDefault="00E818EB" w:rsidP="00E818EB">
      <w:pPr>
        <w:spacing w:before="120" w:after="120" w:line="240" w:lineRule="atLeast"/>
        <w:jc w:val="center"/>
        <w:rPr>
          <w:rFonts w:cs="Arial"/>
          <w:b/>
          <w:color w:val="262626"/>
          <w:lang w:eastAsia="en-AU" w:bidi="ar-SA"/>
        </w:rPr>
      </w:pPr>
      <w:r w:rsidRPr="00F127EE">
        <w:rPr>
          <w:rFonts w:cs="Arial"/>
          <w:b/>
          <w:color w:val="262626"/>
          <w:lang w:eastAsia="en-AU" w:bidi="ar-SA"/>
        </w:rPr>
        <w:t>Issued by the Australian Communications and Media Authority</w:t>
      </w:r>
    </w:p>
    <w:p w14:paraId="54CF72FE" w14:textId="7FD0BC4A" w:rsidR="00C63C44" w:rsidRPr="00F127EE" w:rsidRDefault="00C63C44" w:rsidP="00E818EB">
      <w:pPr>
        <w:spacing w:before="120" w:after="120" w:line="240" w:lineRule="atLeast"/>
        <w:jc w:val="center"/>
        <w:rPr>
          <w:rFonts w:cs="Arial"/>
          <w:b/>
          <w:i/>
        </w:rPr>
      </w:pPr>
      <w:r w:rsidRPr="00F127EE">
        <w:rPr>
          <w:rFonts w:cs="Arial"/>
          <w:b/>
          <w:i/>
        </w:rPr>
        <w:t xml:space="preserve">Radiocommunications (Transmitter Licence Tax) Amendment Determination </w:t>
      </w:r>
      <w:r w:rsidR="0061517D" w:rsidRPr="00F127EE">
        <w:rPr>
          <w:rFonts w:cs="Arial"/>
          <w:b/>
          <w:i/>
        </w:rPr>
        <w:t>2015</w:t>
      </w:r>
      <w:r w:rsidRPr="00F127EE">
        <w:rPr>
          <w:rFonts w:cs="Arial"/>
          <w:b/>
          <w:i/>
        </w:rPr>
        <w:t xml:space="preserve"> </w:t>
      </w:r>
      <w:r w:rsidRPr="00014341">
        <w:rPr>
          <w:rFonts w:cs="Arial"/>
          <w:b/>
          <w:i/>
        </w:rPr>
        <w:t xml:space="preserve">(No. </w:t>
      </w:r>
      <w:r w:rsidR="0012135E" w:rsidRPr="00014341">
        <w:rPr>
          <w:rFonts w:cs="Arial"/>
          <w:b/>
          <w:i/>
        </w:rPr>
        <w:t>1</w:t>
      </w:r>
      <w:r w:rsidRPr="00014341">
        <w:rPr>
          <w:rFonts w:cs="Arial"/>
          <w:b/>
          <w:i/>
        </w:rPr>
        <w:t>)</w:t>
      </w:r>
    </w:p>
    <w:p w14:paraId="357B66B2" w14:textId="77777777" w:rsidR="00E818EB" w:rsidRPr="00F127EE" w:rsidRDefault="00E818EB" w:rsidP="00E818EB">
      <w:pPr>
        <w:pStyle w:val="Subtitle"/>
        <w:spacing w:after="80"/>
        <w:rPr>
          <w:b/>
          <w:i/>
          <w:color w:val="262626"/>
          <w:sz w:val="20"/>
          <w:szCs w:val="20"/>
        </w:rPr>
      </w:pPr>
      <w:r w:rsidRPr="00F127EE">
        <w:rPr>
          <w:b/>
          <w:i/>
          <w:color w:val="262626"/>
          <w:sz w:val="20"/>
          <w:szCs w:val="20"/>
        </w:rPr>
        <w:t>Radiocommunications Act 1992</w:t>
      </w:r>
    </w:p>
    <w:p w14:paraId="5A1F8E22" w14:textId="77777777" w:rsidR="00E818EB" w:rsidRPr="00F127EE" w:rsidRDefault="00E818EB" w:rsidP="002C46ED">
      <w:pPr>
        <w:pStyle w:val="Heading2"/>
        <w:jc w:val="both"/>
        <w:rPr>
          <w:i w:val="0"/>
          <w:sz w:val="20"/>
          <w:szCs w:val="20"/>
        </w:rPr>
      </w:pPr>
      <w:r w:rsidRPr="00F127EE">
        <w:rPr>
          <w:i w:val="0"/>
          <w:sz w:val="20"/>
          <w:szCs w:val="20"/>
        </w:rPr>
        <w:t>Purpose</w:t>
      </w:r>
    </w:p>
    <w:p w14:paraId="5F4CDFC3" w14:textId="77777777" w:rsidR="004F30A7" w:rsidRDefault="00E818EB" w:rsidP="002C46ED">
      <w:pPr>
        <w:jc w:val="both"/>
        <w:rPr>
          <w:rFonts w:cs="Arial"/>
        </w:rPr>
      </w:pPr>
      <w:r w:rsidRPr="00F127EE">
        <w:rPr>
          <w:rFonts w:cs="Arial"/>
        </w:rPr>
        <w:t xml:space="preserve">The </w:t>
      </w:r>
      <w:r w:rsidRPr="00F127EE">
        <w:rPr>
          <w:rFonts w:cs="Arial"/>
          <w:i/>
        </w:rPr>
        <w:t>Radiocommunications (Transmitter Licence Tax) Amendment Determination 201</w:t>
      </w:r>
      <w:r w:rsidR="0061517D" w:rsidRPr="00F127EE">
        <w:rPr>
          <w:rFonts w:cs="Arial"/>
          <w:i/>
        </w:rPr>
        <w:t>5</w:t>
      </w:r>
      <w:r w:rsidRPr="00F127EE">
        <w:rPr>
          <w:rFonts w:cs="Arial"/>
          <w:i/>
        </w:rPr>
        <w:t xml:space="preserve"> </w:t>
      </w:r>
      <w:r w:rsidRPr="00014341">
        <w:rPr>
          <w:rFonts w:cs="Arial"/>
          <w:i/>
        </w:rPr>
        <w:t xml:space="preserve">(No. </w:t>
      </w:r>
      <w:r w:rsidR="00D01D7D" w:rsidRPr="00014341">
        <w:rPr>
          <w:rFonts w:cs="Arial"/>
          <w:i/>
        </w:rPr>
        <w:t>1</w:t>
      </w:r>
      <w:r w:rsidRPr="00014341">
        <w:rPr>
          <w:rFonts w:cs="Arial"/>
          <w:i/>
        </w:rPr>
        <w:t>)</w:t>
      </w:r>
      <w:r w:rsidRPr="00F127EE">
        <w:rPr>
          <w:rFonts w:cs="Arial"/>
        </w:rPr>
        <w:t xml:space="preserve"> (the </w:t>
      </w:r>
      <w:r w:rsidRPr="00014341">
        <w:rPr>
          <w:rFonts w:cs="Arial"/>
          <w:b/>
        </w:rPr>
        <w:t>Amendment Determination</w:t>
      </w:r>
      <w:r w:rsidRPr="00F127EE">
        <w:rPr>
          <w:rFonts w:cs="Arial"/>
        </w:rPr>
        <w:t xml:space="preserve">) amends the </w:t>
      </w:r>
      <w:r w:rsidRPr="00F127EE">
        <w:rPr>
          <w:rFonts w:cs="Arial"/>
          <w:i/>
        </w:rPr>
        <w:t>Radiocommunications (Transmitter Licence Tax) Determination 20</w:t>
      </w:r>
      <w:r w:rsidR="0061517D" w:rsidRPr="00F127EE">
        <w:rPr>
          <w:rFonts w:cs="Arial"/>
          <w:i/>
        </w:rPr>
        <w:t>15</w:t>
      </w:r>
      <w:r w:rsidRPr="00F127EE">
        <w:rPr>
          <w:rFonts w:cs="Arial"/>
          <w:i/>
        </w:rPr>
        <w:t xml:space="preserve"> </w:t>
      </w:r>
      <w:r w:rsidRPr="00F127EE">
        <w:rPr>
          <w:rFonts w:cs="Arial"/>
        </w:rPr>
        <w:t xml:space="preserve">(the </w:t>
      </w:r>
      <w:r w:rsidRPr="00014341">
        <w:rPr>
          <w:rFonts w:cs="Arial"/>
          <w:b/>
        </w:rPr>
        <w:t>Determination</w:t>
      </w:r>
      <w:r w:rsidRPr="00F127EE">
        <w:rPr>
          <w:rFonts w:cs="Arial"/>
        </w:rPr>
        <w:t>)</w:t>
      </w:r>
      <w:r w:rsidR="004F30A7">
        <w:rPr>
          <w:rFonts w:cs="Arial"/>
        </w:rPr>
        <w:t xml:space="preserve"> to:</w:t>
      </w:r>
    </w:p>
    <w:p w14:paraId="75664FEF" w14:textId="276B9958" w:rsidR="004F30A7" w:rsidRDefault="004F30A7" w:rsidP="002C46ED">
      <w:pPr>
        <w:pStyle w:val="ListParagraph"/>
        <w:numPr>
          <w:ilvl w:val="0"/>
          <w:numId w:val="54"/>
        </w:numPr>
        <w:jc w:val="both"/>
        <w:rPr>
          <w:rFonts w:cs="Arial"/>
        </w:rPr>
      </w:pPr>
      <w:r>
        <w:rPr>
          <w:rFonts w:cs="Arial"/>
        </w:rPr>
        <w:t>increase the transmitter licence tax amount for transmitter licences (except for assigned fixed point to point and point to multipoint licences operating in spectrum below 960 MHz in remote density areas) by 1.5 per cent, based on the increase in the consumer price index (</w:t>
      </w:r>
      <w:r w:rsidRPr="00DB5349">
        <w:rPr>
          <w:rFonts w:cs="Arial"/>
          <w:b/>
        </w:rPr>
        <w:t>CPI</w:t>
      </w:r>
      <w:r>
        <w:rPr>
          <w:rFonts w:cs="Arial"/>
        </w:rPr>
        <w:t>);</w:t>
      </w:r>
    </w:p>
    <w:p w14:paraId="711587FF" w14:textId="3EE331BB" w:rsidR="004F30A7" w:rsidRPr="00826869" w:rsidRDefault="004F30A7" w:rsidP="002C46ED">
      <w:pPr>
        <w:pStyle w:val="ListParagraph"/>
        <w:numPr>
          <w:ilvl w:val="0"/>
          <w:numId w:val="54"/>
        </w:numPr>
        <w:jc w:val="both"/>
        <w:rPr>
          <w:rFonts w:cs="Arial"/>
        </w:rPr>
      </w:pPr>
      <w:r>
        <w:rPr>
          <w:rFonts w:cs="Arial"/>
        </w:rPr>
        <w:t>adjust the transmitter licence tax payable by licensees operating transmitters in certain parts of the 400 MHz frequency band to implement opportunity cost</w:t>
      </w:r>
      <w:r w:rsidR="00EB7ADE">
        <w:rPr>
          <w:rFonts w:cs="Arial"/>
        </w:rPr>
        <w:t xml:space="preserve"> (</w:t>
      </w:r>
      <w:r w:rsidR="00042657" w:rsidRPr="002C46ED">
        <w:rPr>
          <w:rFonts w:cs="Arial"/>
          <w:b/>
        </w:rPr>
        <w:t>OC</w:t>
      </w:r>
      <w:r w:rsidR="00EB7ADE">
        <w:rPr>
          <w:rFonts w:cs="Arial"/>
        </w:rPr>
        <w:t>)</w:t>
      </w:r>
      <w:r>
        <w:rPr>
          <w:rFonts w:cs="Arial"/>
        </w:rPr>
        <w:t xml:space="preserve"> pricing in the band; and</w:t>
      </w:r>
    </w:p>
    <w:p w14:paraId="31C55016" w14:textId="55D22A02" w:rsidR="004F30A7" w:rsidRPr="004F30A7" w:rsidRDefault="004F30A7" w:rsidP="002C46ED">
      <w:pPr>
        <w:pStyle w:val="ListParagraph"/>
        <w:numPr>
          <w:ilvl w:val="0"/>
          <w:numId w:val="54"/>
        </w:numPr>
        <w:jc w:val="both"/>
        <w:rPr>
          <w:rFonts w:cs="Arial"/>
        </w:rPr>
      </w:pPr>
      <w:proofErr w:type="gramStart"/>
      <w:r>
        <w:rPr>
          <w:rFonts w:cs="Arial"/>
        </w:rPr>
        <w:t>introduce</w:t>
      </w:r>
      <w:proofErr w:type="gramEnd"/>
      <w:r>
        <w:rPr>
          <w:rFonts w:cs="Arial"/>
        </w:rPr>
        <w:t xml:space="preserve"> a new tax regime for government licences in the 400 MHz band.</w:t>
      </w:r>
    </w:p>
    <w:p w14:paraId="079C9588" w14:textId="2A7320D8" w:rsidR="00E818EB" w:rsidRPr="00F127EE" w:rsidRDefault="00E818EB" w:rsidP="002C46ED">
      <w:pPr>
        <w:jc w:val="both"/>
        <w:rPr>
          <w:rFonts w:cs="Arial"/>
        </w:rPr>
      </w:pPr>
    </w:p>
    <w:p w14:paraId="1D213A74" w14:textId="77777777" w:rsidR="00C63C44" w:rsidRPr="00F127EE" w:rsidRDefault="00C63C44" w:rsidP="002C46ED">
      <w:pPr>
        <w:pStyle w:val="Heading2"/>
        <w:jc w:val="both"/>
        <w:rPr>
          <w:i w:val="0"/>
          <w:sz w:val="20"/>
          <w:szCs w:val="20"/>
        </w:rPr>
      </w:pPr>
      <w:r w:rsidRPr="00F127EE">
        <w:rPr>
          <w:i w:val="0"/>
          <w:sz w:val="20"/>
          <w:szCs w:val="20"/>
        </w:rPr>
        <w:t>Legislative Provisions</w:t>
      </w:r>
    </w:p>
    <w:p w14:paraId="1ECC48E3" w14:textId="3DF89A86" w:rsidR="00C63C44" w:rsidRPr="00F127EE" w:rsidRDefault="00C63C44" w:rsidP="002C46ED">
      <w:pPr>
        <w:jc w:val="both"/>
        <w:rPr>
          <w:rFonts w:cs="Arial"/>
        </w:rPr>
      </w:pPr>
      <w:r w:rsidRPr="00F127EE">
        <w:rPr>
          <w:rFonts w:cs="Arial"/>
        </w:rPr>
        <w:t xml:space="preserve">The Determination and Amendment Determination are both made under subsection 7(1) of the </w:t>
      </w:r>
      <w:r w:rsidRPr="00F127EE">
        <w:rPr>
          <w:rFonts w:cs="Arial"/>
          <w:i/>
        </w:rPr>
        <w:t>Radiocommunications (Transmitter Licence Tax) Act 1983</w:t>
      </w:r>
      <w:r w:rsidR="00454F83">
        <w:rPr>
          <w:rFonts w:cs="Arial"/>
          <w:i/>
        </w:rPr>
        <w:t xml:space="preserve"> </w:t>
      </w:r>
      <w:r w:rsidR="00454F83">
        <w:rPr>
          <w:rFonts w:cs="Arial"/>
        </w:rPr>
        <w:t xml:space="preserve">(the </w:t>
      </w:r>
      <w:r w:rsidR="00454F83">
        <w:rPr>
          <w:rFonts w:cs="Arial"/>
          <w:b/>
        </w:rPr>
        <w:t>Act</w:t>
      </w:r>
      <w:r w:rsidR="00454F83">
        <w:rPr>
          <w:rFonts w:cs="Arial"/>
        </w:rPr>
        <w:t>). Section 6 of the Act imposes tax on</w:t>
      </w:r>
      <w:r w:rsidRPr="00F127EE">
        <w:rPr>
          <w:rFonts w:cs="Arial"/>
        </w:rPr>
        <w:t>:</w:t>
      </w:r>
    </w:p>
    <w:p w14:paraId="1E14F0A7" w14:textId="77777777" w:rsidR="00C63C44" w:rsidRPr="00F127EE" w:rsidRDefault="00C63C44" w:rsidP="002C46ED">
      <w:pPr>
        <w:pStyle w:val="Dotpoints"/>
        <w:tabs>
          <w:tab w:val="clear" w:pos="720"/>
        </w:tabs>
        <w:spacing w:before="120"/>
        <w:ind w:left="709"/>
        <w:jc w:val="both"/>
        <w:rPr>
          <w:rFonts w:ascii="Arial" w:hAnsi="Arial" w:cs="Arial"/>
          <w:sz w:val="20"/>
          <w:szCs w:val="20"/>
          <w:lang w:eastAsia="en-US" w:bidi="he-IL"/>
        </w:rPr>
      </w:pPr>
      <w:r w:rsidRPr="00F127EE">
        <w:rPr>
          <w:rFonts w:ascii="Arial" w:hAnsi="Arial" w:cs="Arial"/>
          <w:sz w:val="20"/>
          <w:szCs w:val="20"/>
          <w:lang w:eastAsia="en-US" w:bidi="he-IL"/>
        </w:rPr>
        <w:t>the issue of a transmitter licence;</w:t>
      </w:r>
    </w:p>
    <w:p w14:paraId="2460F563" w14:textId="77777777" w:rsidR="00C63C44" w:rsidRPr="00F127EE" w:rsidRDefault="00C63C44" w:rsidP="002C46ED">
      <w:pPr>
        <w:pStyle w:val="Dotpoints"/>
        <w:tabs>
          <w:tab w:val="clear" w:pos="720"/>
        </w:tabs>
        <w:ind w:left="709" w:hanging="357"/>
        <w:jc w:val="both"/>
        <w:rPr>
          <w:rFonts w:ascii="Arial" w:hAnsi="Arial" w:cs="Arial"/>
          <w:sz w:val="20"/>
          <w:szCs w:val="20"/>
          <w:lang w:eastAsia="en-US" w:bidi="he-IL"/>
        </w:rPr>
      </w:pPr>
      <w:r w:rsidRPr="00F127EE">
        <w:rPr>
          <w:rFonts w:ascii="Arial" w:hAnsi="Arial" w:cs="Arial"/>
          <w:sz w:val="20"/>
          <w:szCs w:val="20"/>
          <w:lang w:eastAsia="en-US" w:bidi="he-IL"/>
        </w:rPr>
        <w:t xml:space="preserve">the anniversary of a transmitter licence coming into force; and </w:t>
      </w:r>
    </w:p>
    <w:p w14:paraId="36B28BB7" w14:textId="77777777" w:rsidR="00C63C44" w:rsidRPr="00F127EE" w:rsidRDefault="00C63C44" w:rsidP="002C46ED">
      <w:pPr>
        <w:pStyle w:val="Dotpoints"/>
        <w:tabs>
          <w:tab w:val="clear" w:pos="720"/>
        </w:tabs>
        <w:ind w:left="709" w:hanging="357"/>
        <w:jc w:val="both"/>
        <w:rPr>
          <w:rFonts w:ascii="Arial" w:hAnsi="Arial" w:cs="Arial"/>
          <w:sz w:val="20"/>
          <w:szCs w:val="20"/>
          <w:lang w:eastAsia="en-US" w:bidi="he-IL"/>
        </w:rPr>
      </w:pPr>
      <w:proofErr w:type="gramStart"/>
      <w:r w:rsidRPr="00F127EE">
        <w:rPr>
          <w:rFonts w:ascii="Arial" w:hAnsi="Arial" w:cs="Arial"/>
          <w:sz w:val="20"/>
          <w:szCs w:val="20"/>
          <w:lang w:eastAsia="en-US" w:bidi="he-IL"/>
        </w:rPr>
        <w:t>the</w:t>
      </w:r>
      <w:proofErr w:type="gramEnd"/>
      <w:r w:rsidRPr="00F127EE">
        <w:rPr>
          <w:rFonts w:ascii="Arial" w:hAnsi="Arial" w:cs="Arial"/>
          <w:sz w:val="20"/>
          <w:szCs w:val="20"/>
          <w:lang w:eastAsia="en-US" w:bidi="he-IL"/>
        </w:rPr>
        <w:t xml:space="preserve"> holding of a transmitter licence.</w:t>
      </w:r>
    </w:p>
    <w:p w14:paraId="7AA6C085" w14:textId="77777777" w:rsidR="00732CBF" w:rsidRPr="00F127EE" w:rsidRDefault="00732CBF" w:rsidP="002C46ED">
      <w:pPr>
        <w:pStyle w:val="Dotpoints"/>
        <w:numPr>
          <w:ilvl w:val="0"/>
          <w:numId w:val="0"/>
        </w:numPr>
        <w:jc w:val="both"/>
        <w:rPr>
          <w:rFonts w:ascii="Arial" w:hAnsi="Arial" w:cs="Arial"/>
          <w:i/>
          <w:sz w:val="20"/>
          <w:szCs w:val="20"/>
          <w:lang w:eastAsia="en-US" w:bidi="he-IL"/>
        </w:rPr>
      </w:pPr>
    </w:p>
    <w:p w14:paraId="60BA0C5F" w14:textId="77777777" w:rsidR="00454F83" w:rsidRDefault="00454F83" w:rsidP="002C46ED">
      <w:pPr>
        <w:jc w:val="both"/>
        <w:rPr>
          <w:rFonts w:cs="Arial"/>
        </w:rPr>
      </w:pPr>
      <w:r>
        <w:rPr>
          <w:rFonts w:cs="Arial"/>
        </w:rPr>
        <w:t xml:space="preserve">Subsection 7(1) </w:t>
      </w:r>
      <w:r w:rsidRPr="00943D9A">
        <w:rPr>
          <w:rFonts w:cs="Arial"/>
        </w:rPr>
        <w:t xml:space="preserve">provides that the Australian Communications and Media Authority (the </w:t>
      </w:r>
      <w:r w:rsidRPr="006329E9">
        <w:rPr>
          <w:rFonts w:cs="Arial"/>
          <w:b/>
        </w:rPr>
        <w:t>ACMA</w:t>
      </w:r>
      <w:r w:rsidRPr="00943D9A">
        <w:rPr>
          <w:rFonts w:cs="Arial"/>
        </w:rPr>
        <w:t xml:space="preserve">) may determine the amount of tax </w:t>
      </w:r>
      <w:r>
        <w:rPr>
          <w:rFonts w:cs="Arial"/>
        </w:rPr>
        <w:t>imposed by the Act.</w:t>
      </w:r>
    </w:p>
    <w:p w14:paraId="4006D22E" w14:textId="77777777" w:rsidR="00454F83" w:rsidRDefault="00454F83" w:rsidP="002C46ED">
      <w:pPr>
        <w:jc w:val="both"/>
        <w:rPr>
          <w:rFonts w:cs="Arial"/>
        </w:rPr>
      </w:pPr>
    </w:p>
    <w:p w14:paraId="6A34B4BC" w14:textId="054CCC84" w:rsidR="00732CBF" w:rsidRDefault="00732CBF" w:rsidP="002C46ED">
      <w:pPr>
        <w:jc w:val="both"/>
        <w:rPr>
          <w:rFonts w:cs="Arial"/>
        </w:rPr>
      </w:pPr>
      <w:r w:rsidRPr="00F127EE">
        <w:rPr>
          <w:rFonts w:cs="Arial"/>
        </w:rPr>
        <w:t xml:space="preserve">Subsection 33(3) of the </w:t>
      </w:r>
      <w:r w:rsidRPr="00F127EE">
        <w:rPr>
          <w:rFonts w:cs="Arial"/>
          <w:i/>
        </w:rPr>
        <w:t>Acts Interpretation Act 1901</w:t>
      </w:r>
      <w:r w:rsidRPr="00F127EE">
        <w:rPr>
          <w:rFonts w:cs="Arial"/>
        </w:rPr>
        <w:t xml:space="preserve"> provides that whe</w:t>
      </w:r>
      <w:r w:rsidR="00454F83">
        <w:rPr>
          <w:rFonts w:cs="Arial"/>
        </w:rPr>
        <w:t>re</w:t>
      </w:r>
      <w:r w:rsidRPr="00F127EE">
        <w:rPr>
          <w:rFonts w:cs="Arial"/>
        </w:rPr>
        <w:t xml:space="preserve"> an Act confers a power to make an instrument, that power shall, unless the contrary intention appears, be construed as including a power exercisable in a like manner and subject to like conditions, to amend that instrument.</w:t>
      </w:r>
    </w:p>
    <w:p w14:paraId="7C0B5C29" w14:textId="77777777" w:rsidR="00E81AB2" w:rsidRDefault="00E81AB2" w:rsidP="002C46ED">
      <w:pPr>
        <w:jc w:val="both"/>
        <w:rPr>
          <w:rFonts w:cs="Arial"/>
        </w:rPr>
      </w:pPr>
    </w:p>
    <w:p w14:paraId="405DD173" w14:textId="77777777" w:rsidR="00E81AB2" w:rsidRPr="007F3A21" w:rsidRDefault="00E81AB2" w:rsidP="002C46ED">
      <w:pPr>
        <w:jc w:val="both"/>
        <w:rPr>
          <w:rFonts w:cs="Arial"/>
        </w:rPr>
      </w:pPr>
      <w:r>
        <w:rPr>
          <w:rFonts w:cs="Arial"/>
        </w:rPr>
        <w:t xml:space="preserve">The Amendment Determination is a disallowable legislative instrument under the </w:t>
      </w:r>
      <w:r>
        <w:rPr>
          <w:rFonts w:cs="Arial"/>
          <w:i/>
        </w:rPr>
        <w:t xml:space="preserve">Legislative Instruments Act 2003 </w:t>
      </w:r>
      <w:r>
        <w:rPr>
          <w:rFonts w:cs="Arial"/>
        </w:rPr>
        <w:t>(</w:t>
      </w:r>
      <w:r w:rsidRPr="002C46ED">
        <w:rPr>
          <w:rFonts w:cs="Arial"/>
          <w:b/>
        </w:rPr>
        <w:t>LIA</w:t>
      </w:r>
      <w:r>
        <w:rPr>
          <w:rFonts w:cs="Arial"/>
        </w:rPr>
        <w:t xml:space="preserve">). </w:t>
      </w:r>
    </w:p>
    <w:p w14:paraId="03068B68" w14:textId="77777777" w:rsidR="00C63C44" w:rsidRPr="00F127EE" w:rsidRDefault="00C63C44" w:rsidP="002C46ED">
      <w:pPr>
        <w:pStyle w:val="Heading2"/>
        <w:jc w:val="both"/>
        <w:rPr>
          <w:i w:val="0"/>
          <w:sz w:val="20"/>
          <w:szCs w:val="20"/>
        </w:rPr>
      </w:pPr>
      <w:r w:rsidRPr="00F127EE">
        <w:rPr>
          <w:i w:val="0"/>
          <w:sz w:val="20"/>
          <w:szCs w:val="20"/>
        </w:rPr>
        <w:t>Background</w:t>
      </w:r>
    </w:p>
    <w:p w14:paraId="2D1ED8F8" w14:textId="3F45005D" w:rsidR="00C63C44" w:rsidRPr="00F127EE" w:rsidRDefault="00454F83" w:rsidP="002C46ED">
      <w:pPr>
        <w:jc w:val="both"/>
        <w:rPr>
          <w:rFonts w:cs="Arial"/>
        </w:rPr>
      </w:pPr>
      <w:r>
        <w:rPr>
          <w:rFonts w:cs="Arial"/>
        </w:rPr>
        <w:t>It is an object of</w:t>
      </w:r>
      <w:r w:rsidRPr="00F127EE">
        <w:rPr>
          <w:rFonts w:cs="Arial"/>
        </w:rPr>
        <w:t xml:space="preserve"> </w:t>
      </w:r>
      <w:r w:rsidR="00C63C44" w:rsidRPr="00F127EE">
        <w:rPr>
          <w:rFonts w:cs="Arial"/>
        </w:rPr>
        <w:t xml:space="preserve">the </w:t>
      </w:r>
      <w:r w:rsidR="00C63C44" w:rsidRPr="00F127EE">
        <w:rPr>
          <w:rFonts w:cs="Arial"/>
          <w:i/>
        </w:rPr>
        <w:t>Radiocommunications Act 1992</w:t>
      </w:r>
      <w:r w:rsidR="00C63C44" w:rsidRPr="00F127EE">
        <w:rPr>
          <w:rFonts w:cs="Arial"/>
        </w:rPr>
        <w:t xml:space="preserve"> </w:t>
      </w:r>
      <w:r>
        <w:rPr>
          <w:rFonts w:cs="Arial"/>
        </w:rPr>
        <w:t xml:space="preserve">to provide for management of the radiofrequency spectrum in order to provide </w:t>
      </w:r>
      <w:r w:rsidR="00C63C44" w:rsidRPr="00F127EE">
        <w:rPr>
          <w:rFonts w:cs="Arial"/>
        </w:rPr>
        <w:t>an efficient, equitable and transparent system of charging for the use of spectrum. The annual tax levied on apparatus licences</w:t>
      </w:r>
      <w:r w:rsidR="00DC5ADF" w:rsidRPr="00F127EE">
        <w:rPr>
          <w:rFonts w:cs="Arial"/>
        </w:rPr>
        <w:t xml:space="preserve"> </w:t>
      </w:r>
      <w:r w:rsidR="00C63C44" w:rsidRPr="00F127EE">
        <w:rPr>
          <w:rFonts w:cs="Arial"/>
        </w:rPr>
        <w:t xml:space="preserve">allows the ACMA to create economic incentives for efficient use of the spectrum. It </w:t>
      </w:r>
      <w:r>
        <w:rPr>
          <w:rFonts w:cs="Arial"/>
        </w:rPr>
        <w:t xml:space="preserve">also </w:t>
      </w:r>
      <w:r w:rsidR="00C63C44" w:rsidRPr="00F127EE">
        <w:rPr>
          <w:rFonts w:cs="Arial"/>
        </w:rPr>
        <w:t xml:space="preserve">encourages licensees to use the minimum amount of bandwidth for their needs, </w:t>
      </w:r>
      <w:r>
        <w:rPr>
          <w:rFonts w:cs="Arial"/>
        </w:rPr>
        <w:t xml:space="preserve">to </w:t>
      </w:r>
      <w:r w:rsidR="00C63C44" w:rsidRPr="00F127EE">
        <w:rPr>
          <w:rFonts w:cs="Arial"/>
        </w:rPr>
        <w:t xml:space="preserve">move to less congested bands, and </w:t>
      </w:r>
      <w:r>
        <w:rPr>
          <w:rFonts w:cs="Arial"/>
        </w:rPr>
        <w:t xml:space="preserve">to </w:t>
      </w:r>
      <w:r w:rsidR="00C63C44" w:rsidRPr="00F127EE">
        <w:rPr>
          <w:rFonts w:cs="Arial"/>
        </w:rPr>
        <w:t>surrender licences that are no longer needed.</w:t>
      </w:r>
    </w:p>
    <w:p w14:paraId="137660D0" w14:textId="77777777" w:rsidR="00C63C44" w:rsidRPr="00F127EE" w:rsidRDefault="00C63C44" w:rsidP="002C46ED">
      <w:pPr>
        <w:jc w:val="both"/>
        <w:rPr>
          <w:rFonts w:cs="Arial"/>
        </w:rPr>
      </w:pPr>
    </w:p>
    <w:p w14:paraId="3F6CD751" w14:textId="23CCC335" w:rsidR="00C63C44" w:rsidRPr="00F127EE" w:rsidRDefault="00D01D7D" w:rsidP="002C46ED">
      <w:pPr>
        <w:jc w:val="both"/>
        <w:rPr>
          <w:rFonts w:cs="Arial"/>
        </w:rPr>
      </w:pPr>
      <w:r w:rsidRPr="00F127EE">
        <w:rPr>
          <w:rFonts w:cs="Arial"/>
        </w:rPr>
        <w:t>T</w:t>
      </w:r>
      <w:r w:rsidR="00C63C44" w:rsidRPr="00F127EE">
        <w:rPr>
          <w:rFonts w:cs="Arial"/>
        </w:rPr>
        <w:t xml:space="preserve">he ACMA seeks to ensure efficient use of spectrum by allocating </w:t>
      </w:r>
      <w:r w:rsidR="00454F83">
        <w:rPr>
          <w:rFonts w:cs="Arial"/>
        </w:rPr>
        <w:t>frequencies</w:t>
      </w:r>
      <w:r w:rsidR="00454F83" w:rsidRPr="00F127EE">
        <w:rPr>
          <w:rFonts w:cs="Arial"/>
        </w:rPr>
        <w:t xml:space="preserve"> </w:t>
      </w:r>
      <w:r w:rsidR="00C63C44" w:rsidRPr="00F127EE">
        <w:rPr>
          <w:rFonts w:cs="Arial"/>
        </w:rPr>
        <w:t xml:space="preserve">to licensees with the greatest willingness to pay. If a tax is too low, licensees with </w:t>
      </w:r>
      <w:r w:rsidRPr="00F127EE">
        <w:rPr>
          <w:rFonts w:cs="Arial"/>
        </w:rPr>
        <w:t xml:space="preserve">low value uses can viably occupy </w:t>
      </w:r>
      <w:r w:rsidR="00454F83">
        <w:rPr>
          <w:rFonts w:cs="Arial"/>
        </w:rPr>
        <w:t>frequencies</w:t>
      </w:r>
      <w:r w:rsidR="0081004C">
        <w:rPr>
          <w:rFonts w:cs="Arial"/>
        </w:rPr>
        <w:t>,</w:t>
      </w:r>
      <w:r w:rsidR="00454F83" w:rsidRPr="00F127EE">
        <w:rPr>
          <w:rFonts w:cs="Arial"/>
        </w:rPr>
        <w:t xml:space="preserve"> </w:t>
      </w:r>
      <w:r w:rsidR="00FF04F3" w:rsidRPr="00F127EE">
        <w:rPr>
          <w:rFonts w:cs="Arial"/>
        </w:rPr>
        <w:t xml:space="preserve">excluding </w:t>
      </w:r>
      <w:r w:rsidR="00C63C44" w:rsidRPr="00F127EE">
        <w:rPr>
          <w:rFonts w:cs="Arial"/>
        </w:rPr>
        <w:t>more economically efficient uses.</w:t>
      </w:r>
    </w:p>
    <w:p w14:paraId="4D8D0A67" w14:textId="77777777" w:rsidR="00E818EB" w:rsidRPr="00F127EE" w:rsidRDefault="00E818EB" w:rsidP="002C46ED">
      <w:pPr>
        <w:jc w:val="both"/>
        <w:rPr>
          <w:rFonts w:cs="Arial"/>
        </w:rPr>
      </w:pPr>
    </w:p>
    <w:p w14:paraId="36D4F24D" w14:textId="552BD40A" w:rsidR="00E818EB" w:rsidRPr="00F127EE" w:rsidRDefault="00E818EB" w:rsidP="002C46ED">
      <w:pPr>
        <w:jc w:val="both"/>
        <w:rPr>
          <w:rFonts w:cs="Arial"/>
        </w:rPr>
      </w:pPr>
      <w:r w:rsidRPr="00F127EE">
        <w:rPr>
          <w:rFonts w:cs="Arial"/>
        </w:rPr>
        <w:t xml:space="preserve">The Determination sets out the </w:t>
      </w:r>
      <w:r w:rsidR="00DC5ADF" w:rsidRPr="00F127EE">
        <w:rPr>
          <w:rFonts w:cs="Arial"/>
        </w:rPr>
        <w:t xml:space="preserve">different </w:t>
      </w:r>
      <w:r w:rsidRPr="00F127EE">
        <w:rPr>
          <w:rFonts w:cs="Arial"/>
        </w:rPr>
        <w:t>amount</w:t>
      </w:r>
      <w:r w:rsidR="00DC5ADF" w:rsidRPr="00F127EE">
        <w:rPr>
          <w:rFonts w:cs="Arial"/>
        </w:rPr>
        <w:t>s</w:t>
      </w:r>
      <w:r w:rsidRPr="00F127EE">
        <w:rPr>
          <w:rFonts w:cs="Arial"/>
        </w:rPr>
        <w:t xml:space="preserve"> of transmitter licence tax that </w:t>
      </w:r>
      <w:r w:rsidR="00DC5ADF" w:rsidRPr="00F127EE">
        <w:rPr>
          <w:rFonts w:cs="Arial"/>
        </w:rPr>
        <w:t>the ACMA has determined</w:t>
      </w:r>
      <w:r w:rsidR="000044EB" w:rsidRPr="00F127EE">
        <w:rPr>
          <w:rFonts w:cs="Arial"/>
        </w:rPr>
        <w:t xml:space="preserve"> and </w:t>
      </w:r>
      <w:r w:rsidR="0081004C">
        <w:rPr>
          <w:rFonts w:cs="Arial"/>
        </w:rPr>
        <w:t>that are</w:t>
      </w:r>
      <w:r w:rsidRPr="00F127EE">
        <w:rPr>
          <w:rFonts w:cs="Arial"/>
        </w:rPr>
        <w:t xml:space="preserve"> payable by </w:t>
      </w:r>
      <w:r w:rsidR="00DC5ADF" w:rsidRPr="00F127EE">
        <w:rPr>
          <w:rFonts w:cs="Arial"/>
        </w:rPr>
        <w:t>licensees of particular apparatus licences</w:t>
      </w:r>
      <w:r w:rsidR="00454F83">
        <w:rPr>
          <w:rFonts w:cs="Arial"/>
        </w:rPr>
        <w:t xml:space="preserve"> for </w:t>
      </w:r>
      <w:r w:rsidR="00E3425D">
        <w:rPr>
          <w:rFonts w:cs="Arial"/>
        </w:rPr>
        <w:t>transmitters</w:t>
      </w:r>
      <w:r w:rsidR="00DC5ADF" w:rsidRPr="00F127EE">
        <w:rPr>
          <w:rFonts w:cs="Arial"/>
        </w:rPr>
        <w:t>.</w:t>
      </w:r>
    </w:p>
    <w:p w14:paraId="2260487E" w14:textId="77777777" w:rsidR="00C63C44" w:rsidRPr="00F127EE" w:rsidRDefault="00C63C44" w:rsidP="002C46ED">
      <w:pPr>
        <w:pStyle w:val="Heading2"/>
        <w:jc w:val="both"/>
        <w:rPr>
          <w:i w:val="0"/>
          <w:sz w:val="20"/>
          <w:szCs w:val="20"/>
        </w:rPr>
      </w:pPr>
      <w:r w:rsidRPr="00F127EE">
        <w:rPr>
          <w:i w:val="0"/>
          <w:sz w:val="20"/>
          <w:szCs w:val="20"/>
        </w:rPr>
        <w:lastRenderedPageBreak/>
        <w:t>Operation</w:t>
      </w:r>
    </w:p>
    <w:p w14:paraId="62C9DF6A" w14:textId="28C8D2B8" w:rsidR="00EA05D0" w:rsidRPr="00F127EE" w:rsidRDefault="00C63C44" w:rsidP="002C46ED">
      <w:pPr>
        <w:jc w:val="both"/>
        <w:rPr>
          <w:rFonts w:cs="Arial"/>
        </w:rPr>
      </w:pPr>
      <w:r w:rsidRPr="00F127EE">
        <w:rPr>
          <w:rFonts w:cs="Arial"/>
        </w:rPr>
        <w:t xml:space="preserve">The Amendment Determination amends the taxing regime for radiocommunications transmitter licences to adjust </w:t>
      </w:r>
      <w:r w:rsidR="0081004C">
        <w:rPr>
          <w:rFonts w:cs="Arial"/>
        </w:rPr>
        <w:t xml:space="preserve">almost </w:t>
      </w:r>
      <w:r w:rsidRPr="00F127EE">
        <w:rPr>
          <w:rFonts w:cs="Arial"/>
        </w:rPr>
        <w:t xml:space="preserve">all taxes by a </w:t>
      </w:r>
      <w:r w:rsidR="0061517D" w:rsidRPr="00F127EE">
        <w:rPr>
          <w:rFonts w:cs="Arial"/>
        </w:rPr>
        <w:t>1</w:t>
      </w:r>
      <w:r w:rsidR="00F05308" w:rsidRPr="00F127EE">
        <w:rPr>
          <w:rFonts w:cs="Arial"/>
        </w:rPr>
        <w:t>.</w:t>
      </w:r>
      <w:r w:rsidR="0061517D" w:rsidRPr="00F127EE">
        <w:rPr>
          <w:rFonts w:cs="Arial"/>
        </w:rPr>
        <w:t>5</w:t>
      </w:r>
      <w:r w:rsidR="00F05308" w:rsidRPr="00F127EE">
        <w:rPr>
          <w:rFonts w:cs="Arial"/>
        </w:rPr>
        <w:t xml:space="preserve"> percent</w:t>
      </w:r>
      <w:r w:rsidRPr="00F127EE">
        <w:rPr>
          <w:rFonts w:cs="Arial"/>
        </w:rPr>
        <w:t xml:space="preserve"> </w:t>
      </w:r>
      <w:r w:rsidR="00BA4F01" w:rsidRPr="00F127EE">
        <w:rPr>
          <w:rFonts w:cs="Arial"/>
        </w:rPr>
        <w:t xml:space="preserve">increase </w:t>
      </w:r>
      <w:r w:rsidRPr="00F127EE">
        <w:rPr>
          <w:rFonts w:cs="Arial"/>
        </w:rPr>
        <w:t xml:space="preserve">based on the </w:t>
      </w:r>
      <w:r w:rsidR="00FF04F3" w:rsidRPr="00F127EE">
        <w:rPr>
          <w:rFonts w:cs="Arial"/>
        </w:rPr>
        <w:t xml:space="preserve">increase in the </w:t>
      </w:r>
      <w:r w:rsidRPr="00F127EE">
        <w:rPr>
          <w:rFonts w:cs="Arial"/>
        </w:rPr>
        <w:t xml:space="preserve">CPI </w:t>
      </w:r>
      <w:r w:rsidR="00FF04F3" w:rsidRPr="00F127EE">
        <w:rPr>
          <w:rFonts w:cs="Arial"/>
          <w:color w:val="000000"/>
        </w:rPr>
        <w:t>over the year to June 2015</w:t>
      </w:r>
      <w:r w:rsidR="0061517D" w:rsidRPr="00F127EE">
        <w:rPr>
          <w:rStyle w:val="FootnoteReference"/>
          <w:rFonts w:cs="Arial"/>
          <w:color w:val="000000"/>
        </w:rPr>
        <w:footnoteReference w:id="1"/>
      </w:r>
      <w:r w:rsidR="0061517D" w:rsidRPr="00F127EE">
        <w:rPr>
          <w:rFonts w:cs="Arial"/>
          <w:color w:val="000000"/>
        </w:rPr>
        <w:t>.</w:t>
      </w:r>
      <w:r w:rsidR="00732CBF" w:rsidRPr="00F127EE">
        <w:rPr>
          <w:rFonts w:cs="Arial"/>
        </w:rPr>
        <w:t xml:space="preserve"> </w:t>
      </w:r>
      <w:r w:rsidR="00EA05D0" w:rsidRPr="00F127EE">
        <w:rPr>
          <w:rFonts w:cs="Arial"/>
        </w:rPr>
        <w:t xml:space="preserve">In real terms there </w:t>
      </w:r>
      <w:r w:rsidR="00C601B7">
        <w:rPr>
          <w:rFonts w:cs="Arial"/>
        </w:rPr>
        <w:t>should be</w:t>
      </w:r>
      <w:r w:rsidR="00C601B7" w:rsidRPr="00F127EE">
        <w:rPr>
          <w:rFonts w:cs="Arial"/>
        </w:rPr>
        <w:t xml:space="preserve"> </w:t>
      </w:r>
      <w:r w:rsidR="00EA05D0" w:rsidRPr="00F127EE">
        <w:rPr>
          <w:rFonts w:cs="Arial"/>
        </w:rPr>
        <w:t>no effect on businesses, as the nominal dollar increase</w:t>
      </w:r>
      <w:r w:rsidR="006C28A9" w:rsidRPr="00F127EE">
        <w:rPr>
          <w:rFonts w:cs="Arial"/>
        </w:rPr>
        <w:t>s</w:t>
      </w:r>
      <w:r w:rsidR="00EA05D0" w:rsidRPr="00F127EE">
        <w:rPr>
          <w:rFonts w:cs="Arial"/>
        </w:rPr>
        <w:t xml:space="preserve"> merely preserve the value of the licence taxes</w:t>
      </w:r>
      <w:r w:rsidR="00FF04F3" w:rsidRPr="00F127EE">
        <w:rPr>
          <w:rFonts w:cs="Arial"/>
        </w:rPr>
        <w:t xml:space="preserve"> (and therefore the incentives toward efficient use of spectrum)</w:t>
      </w:r>
      <w:r w:rsidR="00EA05D0" w:rsidRPr="00F127EE">
        <w:rPr>
          <w:rFonts w:cs="Arial"/>
        </w:rPr>
        <w:t xml:space="preserve"> </w:t>
      </w:r>
      <w:r w:rsidR="007F0D4D" w:rsidRPr="00F127EE">
        <w:rPr>
          <w:rFonts w:cs="Arial"/>
        </w:rPr>
        <w:t>against erosion by</w:t>
      </w:r>
      <w:r w:rsidR="006C28A9" w:rsidRPr="00F127EE">
        <w:rPr>
          <w:rFonts w:cs="Arial"/>
        </w:rPr>
        <w:t xml:space="preserve"> inflation.</w:t>
      </w:r>
    </w:p>
    <w:p w14:paraId="758CD6F2" w14:textId="77777777" w:rsidR="00EA05D0" w:rsidRPr="00F127EE" w:rsidRDefault="00EA05D0" w:rsidP="002C46ED">
      <w:pPr>
        <w:jc w:val="both"/>
        <w:rPr>
          <w:rFonts w:cs="Arial"/>
        </w:rPr>
      </w:pPr>
    </w:p>
    <w:p w14:paraId="08994DB9" w14:textId="223AEBBE" w:rsidR="00C601B7" w:rsidRDefault="0055220B" w:rsidP="002C46ED">
      <w:pPr>
        <w:jc w:val="both"/>
        <w:rPr>
          <w:rFonts w:cs="Arial"/>
        </w:rPr>
      </w:pPr>
      <w:r w:rsidRPr="00F127EE">
        <w:rPr>
          <w:rFonts w:cs="Arial"/>
        </w:rPr>
        <w:t xml:space="preserve">The only exception to </w:t>
      </w:r>
      <w:r w:rsidR="009E204A">
        <w:rPr>
          <w:rFonts w:cs="Arial"/>
        </w:rPr>
        <w:t xml:space="preserve">this </w:t>
      </w:r>
      <w:r w:rsidRPr="00F127EE">
        <w:rPr>
          <w:rFonts w:cs="Arial"/>
        </w:rPr>
        <w:t xml:space="preserve">CPI </w:t>
      </w:r>
      <w:r w:rsidR="00F127EE">
        <w:rPr>
          <w:rFonts w:cs="Arial"/>
        </w:rPr>
        <w:t>increase</w:t>
      </w:r>
      <w:r w:rsidR="00F127EE" w:rsidRPr="00F127EE">
        <w:rPr>
          <w:rFonts w:cs="Arial"/>
        </w:rPr>
        <w:t xml:space="preserve"> </w:t>
      </w:r>
      <w:r w:rsidRPr="00F127EE">
        <w:rPr>
          <w:rFonts w:cs="Arial"/>
        </w:rPr>
        <w:t xml:space="preserve">is that the </w:t>
      </w:r>
      <w:r w:rsidR="00C601B7">
        <w:rPr>
          <w:rFonts w:cs="Arial"/>
        </w:rPr>
        <w:t>ACMA has decided to</w:t>
      </w:r>
      <w:r w:rsidRPr="00F127EE">
        <w:rPr>
          <w:rFonts w:cs="Arial"/>
        </w:rPr>
        <w:t xml:space="preserve"> continue the freeze, in dollar amounts, </w:t>
      </w:r>
      <w:r w:rsidR="00EB7ADE">
        <w:rPr>
          <w:rFonts w:cs="Arial"/>
        </w:rPr>
        <w:t xml:space="preserve">of </w:t>
      </w:r>
      <w:r w:rsidRPr="00F127EE">
        <w:rPr>
          <w:rFonts w:cs="Arial"/>
        </w:rPr>
        <w:t xml:space="preserve">taxes levied on point to point and point to multi-point </w:t>
      </w:r>
      <w:r w:rsidR="00CB3339">
        <w:rPr>
          <w:rFonts w:cs="Arial"/>
        </w:rPr>
        <w:t>licences operating in frequencies</w:t>
      </w:r>
      <w:r w:rsidRPr="00F127EE">
        <w:rPr>
          <w:rFonts w:cs="Arial"/>
        </w:rPr>
        <w:t xml:space="preserve"> below 960 MHz in remote density areas</w:t>
      </w:r>
      <w:r w:rsidR="0081004C">
        <w:rPr>
          <w:rFonts w:cs="Arial"/>
        </w:rPr>
        <w:t xml:space="preserve"> (</w:t>
      </w:r>
      <w:r w:rsidR="0081004C" w:rsidRPr="00A30165">
        <w:rPr>
          <w:rFonts w:cs="Arial"/>
          <w:b/>
        </w:rPr>
        <w:t>RDAs</w:t>
      </w:r>
      <w:r w:rsidR="0081004C">
        <w:rPr>
          <w:rFonts w:cs="Arial"/>
        </w:rPr>
        <w:t>)</w:t>
      </w:r>
      <w:r w:rsidRPr="00F127EE">
        <w:rPr>
          <w:rFonts w:cs="Arial"/>
        </w:rPr>
        <w:t xml:space="preserve"> at their 2008 levels. </w:t>
      </w:r>
    </w:p>
    <w:p w14:paraId="578559BB" w14:textId="77777777" w:rsidR="00C601B7" w:rsidRDefault="00C601B7" w:rsidP="002C46ED">
      <w:pPr>
        <w:jc w:val="both"/>
        <w:rPr>
          <w:rFonts w:cs="Arial"/>
        </w:rPr>
      </w:pPr>
    </w:p>
    <w:p w14:paraId="371F0244" w14:textId="230D6B46" w:rsidR="0055220B" w:rsidRPr="00F127EE" w:rsidRDefault="00C601B7" w:rsidP="002C46ED">
      <w:pPr>
        <w:jc w:val="both"/>
        <w:rPr>
          <w:rFonts w:cs="Arial"/>
        </w:rPr>
      </w:pPr>
      <w:r>
        <w:rPr>
          <w:rFonts w:cs="Arial"/>
        </w:rPr>
        <w:t>However, in</w:t>
      </w:r>
      <w:r w:rsidR="00B45DEF" w:rsidRPr="00F127EE">
        <w:rPr>
          <w:rFonts w:cs="Arial"/>
        </w:rPr>
        <w:t xml:space="preserve"> the frequency range of 403 to 520 MHz </w:t>
      </w:r>
      <w:r w:rsidR="00E81AB2">
        <w:rPr>
          <w:rFonts w:cs="Arial"/>
        </w:rPr>
        <w:t>(</w:t>
      </w:r>
      <w:r w:rsidR="00E81AB2" w:rsidRPr="00A30165">
        <w:rPr>
          <w:rFonts w:cs="Arial"/>
          <w:b/>
        </w:rPr>
        <w:t>400 MHz band</w:t>
      </w:r>
      <w:r w:rsidR="00E81AB2">
        <w:rPr>
          <w:rFonts w:cs="Arial"/>
        </w:rPr>
        <w:t xml:space="preserve">) </w:t>
      </w:r>
      <w:r w:rsidR="00B45DEF" w:rsidRPr="00F127EE">
        <w:rPr>
          <w:rFonts w:cs="Arial"/>
        </w:rPr>
        <w:t xml:space="preserve">the ACMA has applied </w:t>
      </w:r>
      <w:r w:rsidR="00CB3339">
        <w:rPr>
          <w:rFonts w:cs="Arial"/>
        </w:rPr>
        <w:t>OC</w:t>
      </w:r>
      <w:r w:rsidR="00B45DEF" w:rsidRPr="00F127EE">
        <w:rPr>
          <w:rFonts w:cs="Arial"/>
        </w:rPr>
        <w:t xml:space="preserve"> prices.</w:t>
      </w:r>
      <w:r w:rsidR="00B45DEF" w:rsidRPr="00F127EE">
        <w:rPr>
          <w:rFonts w:cs="Arial"/>
          <w:color w:val="000000"/>
        </w:rPr>
        <w:t xml:space="preserve"> </w:t>
      </w:r>
      <w:r w:rsidR="00E81AB2">
        <w:rPr>
          <w:rFonts w:cs="Arial"/>
          <w:color w:val="000000"/>
        </w:rPr>
        <w:t xml:space="preserve">Using </w:t>
      </w:r>
      <w:r w:rsidR="00CB3339">
        <w:rPr>
          <w:rFonts w:cs="Arial"/>
          <w:color w:val="000000"/>
        </w:rPr>
        <w:t>OC</w:t>
      </w:r>
      <w:r w:rsidR="00E81AB2">
        <w:rPr>
          <w:rFonts w:cs="Arial"/>
          <w:color w:val="000000"/>
        </w:rPr>
        <w:t xml:space="preserve"> principles</w:t>
      </w:r>
      <w:r w:rsidR="00B45DEF" w:rsidRPr="00F127EE">
        <w:rPr>
          <w:rFonts w:cs="Arial"/>
          <w:color w:val="000000"/>
        </w:rPr>
        <w:t xml:space="preserve"> reduces the licence tax rate to $0.00/kHz in </w:t>
      </w:r>
      <w:r w:rsidR="0081004C">
        <w:rPr>
          <w:rFonts w:cs="Arial"/>
          <w:color w:val="000000"/>
        </w:rPr>
        <w:t>RDAs</w:t>
      </w:r>
      <w:r w:rsidR="00B45DEF" w:rsidRPr="00F127EE">
        <w:rPr>
          <w:rFonts w:cs="Arial"/>
          <w:color w:val="000000"/>
        </w:rPr>
        <w:t xml:space="preserve"> (subject to the minimum tax </w:t>
      </w:r>
      <w:r w:rsidR="00CB3339">
        <w:rPr>
          <w:rFonts w:cs="Arial"/>
          <w:color w:val="000000"/>
        </w:rPr>
        <w:t>amount</w:t>
      </w:r>
      <w:r w:rsidR="00B45DEF" w:rsidRPr="00F127EE">
        <w:rPr>
          <w:rFonts w:cs="Arial"/>
          <w:color w:val="000000"/>
        </w:rPr>
        <w:t>)</w:t>
      </w:r>
      <w:r w:rsidR="0081004C">
        <w:rPr>
          <w:rFonts w:cs="Arial"/>
          <w:color w:val="000000"/>
        </w:rPr>
        <w:t>,</w:t>
      </w:r>
      <w:r w:rsidR="00B45DEF" w:rsidRPr="00F127EE">
        <w:rPr>
          <w:rFonts w:cs="Arial"/>
          <w:color w:val="000000"/>
        </w:rPr>
        <w:t xml:space="preserve"> given low current demand</w:t>
      </w:r>
      <w:r w:rsidR="00E81AB2">
        <w:rPr>
          <w:rFonts w:cs="Arial"/>
          <w:color w:val="000000"/>
        </w:rPr>
        <w:t xml:space="preserve"> for</w:t>
      </w:r>
      <w:r w:rsidR="00B45DEF" w:rsidRPr="00F127EE">
        <w:rPr>
          <w:rFonts w:cs="Arial"/>
          <w:color w:val="000000"/>
        </w:rPr>
        <w:t xml:space="preserve"> </w:t>
      </w:r>
      <w:r w:rsidR="00014341">
        <w:rPr>
          <w:rFonts w:cs="Arial"/>
          <w:color w:val="000000"/>
        </w:rPr>
        <w:t xml:space="preserve">spectrum </w:t>
      </w:r>
      <w:r w:rsidR="00B45DEF" w:rsidRPr="00F127EE">
        <w:rPr>
          <w:rFonts w:cs="Arial"/>
          <w:color w:val="000000"/>
        </w:rPr>
        <w:t>and low forward risk of congestion</w:t>
      </w:r>
      <w:r w:rsidR="00E81AB2">
        <w:rPr>
          <w:rFonts w:cs="Arial"/>
          <w:color w:val="000000"/>
        </w:rPr>
        <w:t xml:space="preserve"> in the 400 MHz band in these areas</w:t>
      </w:r>
      <w:r w:rsidR="00B45DEF" w:rsidRPr="00F127EE">
        <w:rPr>
          <w:rFonts w:cs="Arial"/>
          <w:color w:val="000000"/>
        </w:rPr>
        <w:t>.</w:t>
      </w:r>
    </w:p>
    <w:p w14:paraId="3BA6CA63" w14:textId="77777777" w:rsidR="00A406B6" w:rsidRPr="00F127EE" w:rsidRDefault="00A406B6" w:rsidP="002C46ED">
      <w:pPr>
        <w:jc w:val="both"/>
        <w:rPr>
          <w:rFonts w:cs="Arial"/>
        </w:rPr>
      </w:pPr>
    </w:p>
    <w:p w14:paraId="0A82DBC6" w14:textId="283B1253" w:rsidR="00647006" w:rsidRPr="00F127EE" w:rsidRDefault="00647006" w:rsidP="002C46ED">
      <w:pPr>
        <w:jc w:val="both"/>
        <w:rPr>
          <w:rFonts w:cs="Arial"/>
          <w:color w:val="000000"/>
        </w:rPr>
      </w:pPr>
      <w:r w:rsidRPr="00F127EE">
        <w:rPr>
          <w:rFonts w:cs="Arial"/>
          <w:color w:val="000000"/>
        </w:rPr>
        <w:t xml:space="preserve">The Amendment </w:t>
      </w:r>
      <w:r w:rsidR="00637E01" w:rsidRPr="00F127EE">
        <w:rPr>
          <w:rFonts w:cs="Arial"/>
          <w:color w:val="000000"/>
        </w:rPr>
        <w:t>D</w:t>
      </w:r>
      <w:r w:rsidRPr="00F127EE">
        <w:rPr>
          <w:rFonts w:cs="Arial"/>
          <w:color w:val="000000"/>
        </w:rPr>
        <w:t xml:space="preserve">etermination also progresses the application of </w:t>
      </w:r>
      <w:r w:rsidR="00E81AB2">
        <w:rPr>
          <w:rFonts w:cs="Arial"/>
          <w:color w:val="000000"/>
        </w:rPr>
        <w:t>the AC</w:t>
      </w:r>
      <w:r w:rsidR="002C59DB">
        <w:rPr>
          <w:rFonts w:cs="Arial"/>
          <w:color w:val="000000"/>
        </w:rPr>
        <w:t>M</w:t>
      </w:r>
      <w:r w:rsidR="00E81AB2">
        <w:rPr>
          <w:rFonts w:cs="Arial"/>
          <w:color w:val="000000"/>
        </w:rPr>
        <w:t xml:space="preserve">A’s </w:t>
      </w:r>
      <w:r w:rsidR="00CB3339">
        <w:rPr>
          <w:rFonts w:cs="Arial"/>
          <w:color w:val="000000"/>
        </w:rPr>
        <w:t>OC</w:t>
      </w:r>
      <w:r w:rsidRPr="00F127EE">
        <w:rPr>
          <w:rFonts w:cs="Arial"/>
          <w:color w:val="000000"/>
        </w:rPr>
        <w:t xml:space="preserve"> principles in </w:t>
      </w:r>
      <w:r w:rsidR="00B45DEF" w:rsidRPr="00F127EE">
        <w:rPr>
          <w:rFonts w:cs="Arial"/>
          <w:color w:val="000000"/>
        </w:rPr>
        <w:t xml:space="preserve">high density areas </w:t>
      </w:r>
      <w:r w:rsidR="00E81AB2">
        <w:rPr>
          <w:rFonts w:cs="Arial"/>
          <w:color w:val="000000"/>
        </w:rPr>
        <w:t>(</w:t>
      </w:r>
      <w:r w:rsidR="00E81AB2" w:rsidRPr="00014341">
        <w:rPr>
          <w:rFonts w:cs="Arial"/>
          <w:b/>
          <w:color w:val="000000"/>
        </w:rPr>
        <w:t>HDAs</w:t>
      </w:r>
      <w:r w:rsidR="00E81AB2">
        <w:rPr>
          <w:rFonts w:cs="Arial"/>
          <w:color w:val="000000"/>
        </w:rPr>
        <w:t xml:space="preserve">) </w:t>
      </w:r>
      <w:r w:rsidR="00B45DEF" w:rsidRPr="00F127EE">
        <w:rPr>
          <w:rFonts w:cs="Arial"/>
          <w:color w:val="000000"/>
        </w:rPr>
        <w:t xml:space="preserve">of </w:t>
      </w:r>
      <w:r w:rsidRPr="00F127EE">
        <w:rPr>
          <w:rFonts w:cs="Arial"/>
          <w:color w:val="000000"/>
        </w:rPr>
        <w:t xml:space="preserve">the 400 MHz band.  This involves a second 15 per cent increase </w:t>
      </w:r>
      <w:r w:rsidR="00E81AB2">
        <w:rPr>
          <w:rFonts w:cs="Arial"/>
          <w:color w:val="000000"/>
        </w:rPr>
        <w:t xml:space="preserve">in taxes to reflect </w:t>
      </w:r>
      <w:r w:rsidR="00CB3339">
        <w:rPr>
          <w:rFonts w:cs="Arial"/>
          <w:color w:val="000000"/>
        </w:rPr>
        <w:t>OC</w:t>
      </w:r>
      <w:r w:rsidRPr="00F127EE">
        <w:rPr>
          <w:rFonts w:cs="Arial"/>
          <w:color w:val="000000"/>
        </w:rPr>
        <w:t xml:space="preserve"> in HDAs</w:t>
      </w:r>
      <w:r w:rsidR="0081004C">
        <w:rPr>
          <w:rFonts w:cs="Arial"/>
          <w:color w:val="000000"/>
        </w:rPr>
        <w:t xml:space="preserve"> (the first occurred in 2012)</w:t>
      </w:r>
      <w:r w:rsidR="00E81AB2">
        <w:rPr>
          <w:rFonts w:cs="Arial"/>
          <w:color w:val="000000"/>
        </w:rPr>
        <w:t>, which is</w:t>
      </w:r>
      <w:r w:rsidRPr="00F127EE">
        <w:rPr>
          <w:rFonts w:cs="Arial"/>
          <w:color w:val="000000"/>
        </w:rPr>
        <w:t xml:space="preserve"> designed to address congestion</w:t>
      </w:r>
      <w:r w:rsidR="007F2CA4" w:rsidRPr="00F127EE">
        <w:rPr>
          <w:rFonts w:cs="Arial"/>
          <w:color w:val="000000"/>
        </w:rPr>
        <w:t xml:space="preserve"> risk</w:t>
      </w:r>
      <w:r w:rsidR="00E81AB2">
        <w:rPr>
          <w:rFonts w:cs="Arial"/>
          <w:color w:val="000000"/>
        </w:rPr>
        <w:t xml:space="preserve"> in the 400 MHz band in these areas</w:t>
      </w:r>
      <w:r w:rsidRPr="00F127EE">
        <w:rPr>
          <w:rFonts w:cs="Arial"/>
          <w:color w:val="000000"/>
        </w:rPr>
        <w:t xml:space="preserve">.  </w:t>
      </w:r>
    </w:p>
    <w:p w14:paraId="0A69F909" w14:textId="77777777" w:rsidR="00647006" w:rsidRPr="00F127EE" w:rsidRDefault="00647006" w:rsidP="002C46ED">
      <w:pPr>
        <w:jc w:val="both"/>
        <w:rPr>
          <w:rFonts w:cs="Arial"/>
        </w:rPr>
      </w:pPr>
    </w:p>
    <w:p w14:paraId="5935ECFB" w14:textId="5079FFF4" w:rsidR="00647006" w:rsidRPr="00F127EE" w:rsidRDefault="00637E01" w:rsidP="002C46ED">
      <w:pPr>
        <w:jc w:val="both"/>
        <w:rPr>
          <w:rFonts w:cs="Arial"/>
        </w:rPr>
      </w:pPr>
      <w:r w:rsidRPr="00F127EE">
        <w:rPr>
          <w:rFonts w:cs="Arial"/>
        </w:rPr>
        <w:t>The Amendment Determination also establishes the long term licensing tax arrangements for the harmonised government spectrum</w:t>
      </w:r>
      <w:r w:rsidR="00E81AB2">
        <w:rPr>
          <w:rFonts w:cs="Arial"/>
        </w:rPr>
        <w:t xml:space="preserve"> within the 400 MHz band</w:t>
      </w:r>
      <w:r w:rsidRPr="00F127EE">
        <w:rPr>
          <w:rFonts w:cs="Arial"/>
        </w:rPr>
        <w:t>.</w:t>
      </w:r>
      <w:r w:rsidR="00E81AB2">
        <w:rPr>
          <w:rFonts w:cs="Arial"/>
        </w:rPr>
        <w:t xml:space="preserve"> The tax arrangements reflect the ACMA’s decision to issue a new </w:t>
      </w:r>
      <w:r w:rsidR="002C59DB">
        <w:rPr>
          <w:rFonts w:cs="Arial"/>
        </w:rPr>
        <w:t>class</w:t>
      </w:r>
      <w:r w:rsidR="00E81AB2">
        <w:rPr>
          <w:rFonts w:cs="Arial"/>
        </w:rPr>
        <w:t xml:space="preserve"> of </w:t>
      </w:r>
      <w:r w:rsidR="002C59DB">
        <w:rPr>
          <w:rFonts w:cs="Arial"/>
        </w:rPr>
        <w:t>land mobile</w:t>
      </w:r>
      <w:r w:rsidR="00E81AB2">
        <w:rPr>
          <w:rFonts w:cs="Arial"/>
        </w:rPr>
        <w:t xml:space="preserve"> licence – the harmonised government band spectrum area </w:t>
      </w:r>
      <w:r w:rsidR="00F26A74">
        <w:rPr>
          <w:rFonts w:cs="Arial"/>
        </w:rPr>
        <w:t>(</w:t>
      </w:r>
      <w:r w:rsidR="00F26A74" w:rsidRPr="00546C03">
        <w:rPr>
          <w:rFonts w:cs="Arial"/>
          <w:b/>
        </w:rPr>
        <w:t>HGSA</w:t>
      </w:r>
      <w:r w:rsidR="00F26A74">
        <w:rPr>
          <w:rFonts w:cs="Arial"/>
        </w:rPr>
        <w:t xml:space="preserve">) </w:t>
      </w:r>
      <w:r w:rsidR="00E81AB2" w:rsidRPr="00F26A74">
        <w:rPr>
          <w:rFonts w:cs="Arial"/>
        </w:rPr>
        <w:t>licence</w:t>
      </w:r>
      <w:r w:rsidR="00E81AB2">
        <w:rPr>
          <w:rFonts w:cs="Arial"/>
        </w:rPr>
        <w:t xml:space="preserve">. </w:t>
      </w:r>
    </w:p>
    <w:p w14:paraId="1E8390BC" w14:textId="77777777" w:rsidR="00647006" w:rsidRPr="00F127EE" w:rsidRDefault="00647006" w:rsidP="002C46ED">
      <w:pPr>
        <w:jc w:val="both"/>
        <w:rPr>
          <w:rFonts w:cs="Arial"/>
        </w:rPr>
      </w:pPr>
    </w:p>
    <w:p w14:paraId="08AF1016" w14:textId="77777777" w:rsidR="00C63C44" w:rsidRPr="00F127EE" w:rsidRDefault="00C63C44" w:rsidP="002C46ED">
      <w:pPr>
        <w:pStyle w:val="Heading2"/>
        <w:spacing w:before="120"/>
        <w:jc w:val="both"/>
        <w:rPr>
          <w:i w:val="0"/>
          <w:sz w:val="20"/>
          <w:szCs w:val="20"/>
        </w:rPr>
      </w:pPr>
      <w:r w:rsidRPr="00F127EE">
        <w:rPr>
          <w:i w:val="0"/>
          <w:sz w:val="20"/>
          <w:szCs w:val="20"/>
        </w:rPr>
        <w:t>Consultation</w:t>
      </w:r>
    </w:p>
    <w:p w14:paraId="24109080" w14:textId="2A8431FA" w:rsidR="00E81AB2" w:rsidRDefault="00E81AB2" w:rsidP="002C46ED">
      <w:pPr>
        <w:jc w:val="both"/>
        <w:rPr>
          <w:rFonts w:cs="Arial"/>
          <w:i/>
        </w:rPr>
      </w:pPr>
      <w:r>
        <w:rPr>
          <w:rFonts w:cs="Arial"/>
          <w:i/>
        </w:rPr>
        <w:t>CPI amendments</w:t>
      </w:r>
    </w:p>
    <w:p w14:paraId="29346CEA" w14:textId="77777777" w:rsidR="00E81AB2" w:rsidRPr="00014341" w:rsidRDefault="00E81AB2" w:rsidP="002C46ED">
      <w:pPr>
        <w:jc w:val="both"/>
        <w:rPr>
          <w:rFonts w:cs="Arial"/>
          <w:i/>
        </w:rPr>
      </w:pPr>
    </w:p>
    <w:p w14:paraId="5136F560" w14:textId="16F2012F" w:rsidR="00FF04F3" w:rsidRPr="00F127EE" w:rsidRDefault="00E54B3A" w:rsidP="002C46ED">
      <w:pPr>
        <w:jc w:val="both"/>
        <w:rPr>
          <w:rFonts w:cs="Arial"/>
        </w:rPr>
      </w:pPr>
      <w:r w:rsidRPr="00F127EE">
        <w:rPr>
          <w:rFonts w:cs="Arial"/>
        </w:rPr>
        <w:t>Subsection 18(1) of the</w:t>
      </w:r>
      <w:r w:rsidR="00E81AB2">
        <w:rPr>
          <w:rFonts w:cs="Arial"/>
          <w:i/>
        </w:rPr>
        <w:t xml:space="preserve"> </w:t>
      </w:r>
      <w:r w:rsidR="00E81AB2">
        <w:rPr>
          <w:rFonts w:cs="Arial"/>
        </w:rPr>
        <w:t>LIA</w:t>
      </w:r>
      <w:r w:rsidRPr="00F127EE">
        <w:rPr>
          <w:rFonts w:cs="Arial"/>
        </w:rPr>
        <w:t xml:space="preserve"> provides that the nature of an instrument may be such that consultation may be unnecessary or inappropriate. </w:t>
      </w:r>
    </w:p>
    <w:p w14:paraId="20D9E8B5" w14:textId="77777777" w:rsidR="00FF04F3" w:rsidRPr="00F127EE" w:rsidRDefault="00FF04F3" w:rsidP="002C46ED">
      <w:pPr>
        <w:jc w:val="both"/>
        <w:rPr>
          <w:rFonts w:cs="Arial"/>
        </w:rPr>
      </w:pPr>
    </w:p>
    <w:p w14:paraId="1A720C3F" w14:textId="09888D9F" w:rsidR="003B7E4A" w:rsidRPr="00F127EE" w:rsidRDefault="00C53CF0" w:rsidP="002C46ED">
      <w:pPr>
        <w:jc w:val="both"/>
        <w:rPr>
          <w:rFonts w:cs="Arial"/>
        </w:rPr>
      </w:pPr>
      <w:r w:rsidRPr="00F127EE">
        <w:rPr>
          <w:rFonts w:cs="Arial"/>
        </w:rPr>
        <w:t>The ACMA</w:t>
      </w:r>
      <w:r w:rsidR="00E54B3A" w:rsidRPr="00F127EE">
        <w:rPr>
          <w:rFonts w:cs="Arial"/>
        </w:rPr>
        <w:t xml:space="preserve"> consider</w:t>
      </w:r>
      <w:r w:rsidR="003B7E4A">
        <w:rPr>
          <w:rFonts w:cs="Arial"/>
        </w:rPr>
        <w:t>ed</w:t>
      </w:r>
      <w:r w:rsidR="00E54B3A" w:rsidRPr="00F127EE">
        <w:rPr>
          <w:rFonts w:cs="Arial"/>
        </w:rPr>
        <w:t xml:space="preserve"> that it </w:t>
      </w:r>
      <w:r w:rsidR="003B7E4A">
        <w:rPr>
          <w:rFonts w:cs="Arial"/>
        </w:rPr>
        <w:t>was</w:t>
      </w:r>
      <w:r w:rsidR="00E54B3A" w:rsidRPr="00F127EE">
        <w:rPr>
          <w:rFonts w:cs="Arial"/>
        </w:rPr>
        <w:t xml:space="preserve"> unnecessary in this instance to consult on the </w:t>
      </w:r>
      <w:r w:rsidR="003B7E4A">
        <w:rPr>
          <w:rFonts w:cs="Arial"/>
        </w:rPr>
        <w:t xml:space="preserve">changes in the </w:t>
      </w:r>
      <w:r w:rsidR="007E070F" w:rsidRPr="00F127EE">
        <w:rPr>
          <w:rFonts w:cs="Arial"/>
        </w:rPr>
        <w:t>Amendment Determination</w:t>
      </w:r>
      <w:r w:rsidR="003B7E4A">
        <w:rPr>
          <w:rFonts w:cs="Arial"/>
        </w:rPr>
        <w:t xml:space="preserve"> to increase taxes by the CPI</w:t>
      </w:r>
      <w:r w:rsidR="00E54B3A" w:rsidRPr="00F127EE">
        <w:rPr>
          <w:rFonts w:cs="Arial"/>
        </w:rPr>
        <w:t>, in particular as CPI increases are routine and machinery in nature.</w:t>
      </w:r>
      <w:r w:rsidR="003B7E4A">
        <w:rPr>
          <w:rFonts w:cs="Arial"/>
        </w:rPr>
        <w:t xml:space="preserve"> I</w:t>
      </w:r>
      <w:r w:rsidR="003B7E4A" w:rsidRPr="00F127EE">
        <w:rPr>
          <w:rFonts w:cs="Arial"/>
        </w:rPr>
        <w:t>ndustry is aware of adjustments to apparatus fees to account for</w:t>
      </w:r>
      <w:r w:rsidR="00F26A74">
        <w:rPr>
          <w:rFonts w:cs="Arial"/>
        </w:rPr>
        <w:t xml:space="preserve"> annual</w:t>
      </w:r>
      <w:r w:rsidR="003B7E4A" w:rsidRPr="00F127EE">
        <w:rPr>
          <w:rFonts w:cs="Arial"/>
        </w:rPr>
        <w:t xml:space="preserve"> CPI increases.  Such adjustments have been made by the Spectrum Management Agency, Australian Communications Authority and the ACMA since 1995.  Information is available from the ACMA website (</w:t>
      </w:r>
      <w:hyperlink r:id="rId8" w:history="1">
        <w:r w:rsidR="003B7E4A" w:rsidRPr="00F127EE">
          <w:rPr>
            <w:rStyle w:val="Hyperlink"/>
            <w:rFonts w:cs="Arial"/>
          </w:rPr>
          <w:t>acma.gov.au</w:t>
        </w:r>
      </w:hyperlink>
      <w:r w:rsidR="003B7E4A" w:rsidRPr="00F127EE">
        <w:t>)</w:t>
      </w:r>
      <w:r w:rsidR="003B7E4A" w:rsidRPr="00F127EE">
        <w:rPr>
          <w:rFonts w:cs="Arial"/>
        </w:rPr>
        <w:t xml:space="preserve"> about apparatus licence fees including the statement that “All apparatus licence taxes are adjusted annually for changes in the CPI, to compensat</w:t>
      </w:r>
      <w:r w:rsidR="009E204A">
        <w:rPr>
          <w:rFonts w:cs="Arial"/>
        </w:rPr>
        <w:t>e for the effects of inflation</w:t>
      </w:r>
      <w:r w:rsidR="00582303">
        <w:rPr>
          <w:rFonts w:cs="Arial"/>
        </w:rPr>
        <w:t>”</w:t>
      </w:r>
      <w:r w:rsidR="009E204A">
        <w:rPr>
          <w:rFonts w:cs="Arial"/>
        </w:rPr>
        <w:t>.</w:t>
      </w:r>
    </w:p>
    <w:p w14:paraId="4DCD1A21" w14:textId="77777777" w:rsidR="00E54B3A" w:rsidRPr="00F127EE" w:rsidRDefault="00E54B3A" w:rsidP="002C46ED">
      <w:pPr>
        <w:jc w:val="both"/>
        <w:rPr>
          <w:rFonts w:cs="Arial"/>
        </w:rPr>
      </w:pPr>
    </w:p>
    <w:p w14:paraId="50704FF6" w14:textId="12A2E42C" w:rsidR="00E54B3A" w:rsidRPr="00F127EE" w:rsidRDefault="00752F6D" w:rsidP="002C46ED">
      <w:pPr>
        <w:jc w:val="both"/>
        <w:rPr>
          <w:rFonts w:cs="Arial"/>
        </w:rPr>
      </w:pPr>
      <w:r w:rsidRPr="00F127EE">
        <w:rPr>
          <w:rFonts w:cs="Arial"/>
        </w:rPr>
        <w:t xml:space="preserve">The formula the ACMA uses for calculating apparatus licence taxes </w:t>
      </w:r>
      <w:r w:rsidR="00E54B3A" w:rsidRPr="00F127EE">
        <w:rPr>
          <w:rFonts w:cs="Arial"/>
        </w:rPr>
        <w:t xml:space="preserve">has </w:t>
      </w:r>
      <w:r w:rsidR="00075E72" w:rsidRPr="00F127EE">
        <w:rPr>
          <w:rFonts w:cs="Arial"/>
        </w:rPr>
        <w:t>been in place since 1995 (it was updated in 2005)</w:t>
      </w:r>
      <w:r w:rsidR="00E54B3A" w:rsidRPr="00F127EE">
        <w:rPr>
          <w:rFonts w:cs="Arial"/>
        </w:rPr>
        <w:t xml:space="preserve"> and the </w:t>
      </w:r>
      <w:r w:rsidR="000F575A" w:rsidRPr="00F127EE">
        <w:rPr>
          <w:rFonts w:cs="Arial"/>
        </w:rPr>
        <w:t xml:space="preserve">Amendment </w:t>
      </w:r>
      <w:r w:rsidR="001E55CF" w:rsidRPr="00F127EE">
        <w:rPr>
          <w:rFonts w:cs="Arial"/>
        </w:rPr>
        <w:t>Determination</w:t>
      </w:r>
      <w:r w:rsidR="000F575A" w:rsidRPr="00F127EE">
        <w:rPr>
          <w:rFonts w:cs="Arial"/>
        </w:rPr>
        <w:t xml:space="preserve"> is</w:t>
      </w:r>
      <w:r w:rsidR="00E54B3A" w:rsidRPr="00F127EE">
        <w:rPr>
          <w:rFonts w:cs="Arial"/>
        </w:rPr>
        <w:t xml:space="preserve"> merely applying the </w:t>
      </w:r>
      <w:r w:rsidR="003B7E4A">
        <w:rPr>
          <w:rFonts w:cs="Arial"/>
        </w:rPr>
        <w:t xml:space="preserve">same </w:t>
      </w:r>
      <w:r w:rsidR="00E54B3A" w:rsidRPr="00F127EE">
        <w:rPr>
          <w:rFonts w:cs="Arial"/>
        </w:rPr>
        <w:t>formula. Information about the CPI is freely available to the general public</w:t>
      </w:r>
      <w:r w:rsidR="003B7E4A">
        <w:rPr>
          <w:rFonts w:cs="Arial"/>
        </w:rPr>
        <w:t xml:space="preserve"> from the Australian Bureau of Statistics</w:t>
      </w:r>
      <w:r w:rsidR="00E54B3A" w:rsidRPr="00F127EE">
        <w:rPr>
          <w:rFonts w:cs="Arial"/>
        </w:rPr>
        <w:t>.</w:t>
      </w:r>
    </w:p>
    <w:p w14:paraId="7FB86063" w14:textId="77777777" w:rsidR="00E54B3A" w:rsidRPr="00F127EE" w:rsidRDefault="00E54B3A" w:rsidP="002C46ED">
      <w:pPr>
        <w:jc w:val="both"/>
        <w:rPr>
          <w:rFonts w:cs="Arial"/>
        </w:rPr>
      </w:pPr>
    </w:p>
    <w:p w14:paraId="3D658BF2" w14:textId="503A9E9D" w:rsidR="0055220B" w:rsidRPr="00F127EE" w:rsidRDefault="0055220B" w:rsidP="002C46ED">
      <w:pPr>
        <w:jc w:val="both"/>
        <w:rPr>
          <w:rFonts w:cs="Arial"/>
        </w:rPr>
      </w:pPr>
      <w:r w:rsidRPr="00F127EE">
        <w:rPr>
          <w:rFonts w:cs="Arial"/>
        </w:rPr>
        <w:t xml:space="preserve">In the special case of the unchanged taxes for point to point and point to multi-point </w:t>
      </w:r>
      <w:r w:rsidR="00CB3339">
        <w:rPr>
          <w:rFonts w:cs="Arial"/>
        </w:rPr>
        <w:t>licences operating</w:t>
      </w:r>
      <w:r w:rsidRPr="00F127EE">
        <w:rPr>
          <w:rFonts w:cs="Arial"/>
        </w:rPr>
        <w:t xml:space="preserve"> below 960 MHz in </w:t>
      </w:r>
      <w:r w:rsidR="0081004C">
        <w:rPr>
          <w:rFonts w:cs="Arial"/>
        </w:rPr>
        <w:t>RDA</w:t>
      </w:r>
      <w:r w:rsidRPr="00F127EE">
        <w:rPr>
          <w:rFonts w:cs="Arial"/>
        </w:rPr>
        <w:t xml:space="preserve">s, the ACMA considered it unnecessary to consult with </w:t>
      </w:r>
      <w:r w:rsidR="003B7E4A">
        <w:rPr>
          <w:rFonts w:cs="Arial"/>
        </w:rPr>
        <w:t xml:space="preserve">relevant </w:t>
      </w:r>
      <w:r w:rsidRPr="00F127EE">
        <w:rPr>
          <w:rFonts w:cs="Arial"/>
        </w:rPr>
        <w:t xml:space="preserve">stakeholders as there were no changes made affecting their licences. </w:t>
      </w:r>
    </w:p>
    <w:p w14:paraId="7BB68B84" w14:textId="77777777" w:rsidR="00141D1B" w:rsidRPr="00F127EE" w:rsidRDefault="00141D1B" w:rsidP="002C46ED">
      <w:pPr>
        <w:pStyle w:val="ACMANumberedList"/>
        <w:numPr>
          <w:ilvl w:val="0"/>
          <w:numId w:val="0"/>
        </w:numPr>
        <w:jc w:val="both"/>
        <w:rPr>
          <w:rFonts w:ascii="Arial" w:hAnsi="Arial" w:cs="Arial"/>
          <w:sz w:val="20"/>
        </w:rPr>
      </w:pPr>
    </w:p>
    <w:p w14:paraId="3499A226" w14:textId="73E3DCC0" w:rsidR="009339AD" w:rsidRDefault="009339AD" w:rsidP="002C46ED">
      <w:pPr>
        <w:keepNext/>
        <w:jc w:val="both"/>
        <w:rPr>
          <w:rFonts w:cs="Arial"/>
          <w:i/>
        </w:rPr>
      </w:pPr>
      <w:r>
        <w:rPr>
          <w:rFonts w:cs="Arial"/>
          <w:i/>
        </w:rPr>
        <w:lastRenderedPageBreak/>
        <w:t xml:space="preserve">Amendments relating to </w:t>
      </w:r>
      <w:r w:rsidR="00E76D92">
        <w:rPr>
          <w:rFonts w:cs="Arial"/>
          <w:i/>
        </w:rPr>
        <w:t>OC</w:t>
      </w:r>
      <w:r>
        <w:rPr>
          <w:rFonts w:cs="Arial"/>
          <w:i/>
        </w:rPr>
        <w:t xml:space="preserve"> pricing </w:t>
      </w:r>
    </w:p>
    <w:p w14:paraId="04EE6D71" w14:textId="77777777" w:rsidR="009339AD" w:rsidRPr="00DB5349" w:rsidRDefault="009339AD" w:rsidP="002C46ED">
      <w:pPr>
        <w:keepNext/>
        <w:jc w:val="both"/>
        <w:rPr>
          <w:rFonts w:cs="Arial"/>
          <w:i/>
        </w:rPr>
      </w:pPr>
    </w:p>
    <w:p w14:paraId="54853940" w14:textId="06EFDAFA" w:rsidR="00B56469" w:rsidRPr="00A90022" w:rsidRDefault="00B56469" w:rsidP="002C46ED">
      <w:pPr>
        <w:jc w:val="both"/>
        <w:rPr>
          <w:rFonts w:cs="Arial"/>
        </w:rPr>
      </w:pPr>
      <w:r w:rsidRPr="00A90022">
        <w:rPr>
          <w:rFonts w:cs="Arial"/>
        </w:rPr>
        <w:t xml:space="preserve">In January 2010, the ACMA announced its in-principle decision to use </w:t>
      </w:r>
      <w:r w:rsidRPr="002C46ED">
        <w:rPr>
          <w:rFonts w:cs="Arial"/>
        </w:rPr>
        <w:t>OC</w:t>
      </w:r>
      <w:r w:rsidRPr="00A90022">
        <w:rPr>
          <w:rFonts w:cs="Arial"/>
        </w:rPr>
        <w:t xml:space="preserve"> principles as one of its suite of tools to manage spectrum.  The OC of a part of the radiofrequency spectrum is the highest value alternative use that is denied by granting access to one party rather than to the alternative.</w:t>
      </w:r>
    </w:p>
    <w:p w14:paraId="022A632F" w14:textId="77777777" w:rsidR="00B56469" w:rsidRPr="00B56469" w:rsidRDefault="00B56469" w:rsidP="002C46ED">
      <w:pPr>
        <w:jc w:val="both"/>
        <w:rPr>
          <w:rFonts w:cs="Arial"/>
          <w:snapToGrid w:val="0"/>
          <w:color w:val="000000" w:themeColor="text1"/>
        </w:rPr>
      </w:pPr>
    </w:p>
    <w:p w14:paraId="4E7A973A" w14:textId="3AB058ED" w:rsidR="009339AD" w:rsidRDefault="003B7E4A" w:rsidP="002C46ED">
      <w:pPr>
        <w:jc w:val="both"/>
        <w:rPr>
          <w:rFonts w:cs="Arial"/>
          <w:snapToGrid w:val="0"/>
          <w:color w:val="000000" w:themeColor="text1"/>
        </w:rPr>
      </w:pPr>
      <w:r>
        <w:rPr>
          <w:rFonts w:cs="Arial"/>
          <w:snapToGrid w:val="0"/>
          <w:color w:val="000000" w:themeColor="text1"/>
        </w:rPr>
        <w:t xml:space="preserve">In 2012, the ACMA increased taxes in the 400 MHz band </w:t>
      </w:r>
      <w:r w:rsidRPr="00B56469">
        <w:rPr>
          <w:rFonts w:cs="Arial"/>
          <w:snapToGrid w:val="0"/>
          <w:color w:val="000000" w:themeColor="text1"/>
        </w:rPr>
        <w:t xml:space="preserve">by 15 per cent, as the first step towards fully rolling out </w:t>
      </w:r>
      <w:r w:rsidR="00CB3339">
        <w:rPr>
          <w:rFonts w:cs="Arial"/>
          <w:snapToGrid w:val="0"/>
          <w:color w:val="000000" w:themeColor="text1"/>
        </w:rPr>
        <w:t>OC</w:t>
      </w:r>
      <w:r w:rsidRPr="00B56469">
        <w:rPr>
          <w:rFonts w:cs="Arial"/>
          <w:snapToGrid w:val="0"/>
          <w:color w:val="000000" w:themeColor="text1"/>
        </w:rPr>
        <w:t xml:space="preserve"> pricing in the band. </w:t>
      </w:r>
      <w:r w:rsidR="00B56469" w:rsidRPr="00B56469">
        <w:rPr>
          <w:rFonts w:cs="Arial"/>
          <w:snapToGrid w:val="0"/>
          <w:color w:val="000000" w:themeColor="text1"/>
        </w:rPr>
        <w:t xml:space="preserve"> T</w:t>
      </w:r>
      <w:r w:rsidR="00B56469" w:rsidRPr="00A90022">
        <w:t>he ACMA flagged that it would monitor the impacts on demand and congestion before implementing further tax i</w:t>
      </w:r>
      <w:r w:rsidR="00B56469">
        <w:t>ncreases</w:t>
      </w:r>
      <w:r w:rsidR="00B56469" w:rsidRPr="00B56469">
        <w:rPr>
          <w:rFonts w:cs="Arial"/>
          <w:snapToGrid w:val="0"/>
          <w:color w:val="000000" w:themeColor="text1"/>
        </w:rPr>
        <w:t xml:space="preserve"> </w:t>
      </w:r>
      <w:r w:rsidRPr="00B56469">
        <w:rPr>
          <w:rFonts w:cs="Arial"/>
          <w:snapToGrid w:val="0"/>
          <w:color w:val="000000" w:themeColor="text1"/>
        </w:rPr>
        <w:t xml:space="preserve"> </w:t>
      </w:r>
      <w:r w:rsidR="00752D6F" w:rsidRPr="00B56469">
        <w:rPr>
          <w:rFonts w:cs="Arial"/>
          <w:snapToGrid w:val="0"/>
          <w:color w:val="000000" w:themeColor="text1"/>
        </w:rPr>
        <w:t xml:space="preserve">In June 2014 the ACMA consulted with stakeholders </w:t>
      </w:r>
      <w:r w:rsidR="009339AD" w:rsidRPr="00B56469">
        <w:rPr>
          <w:rFonts w:cs="Arial"/>
          <w:snapToGrid w:val="0"/>
          <w:color w:val="000000" w:themeColor="text1"/>
        </w:rPr>
        <w:t>(relevant papers are available</w:t>
      </w:r>
      <w:r w:rsidR="009339AD">
        <w:rPr>
          <w:rFonts w:cs="Arial"/>
          <w:snapToGrid w:val="0"/>
          <w:color w:val="000000" w:themeColor="text1"/>
        </w:rPr>
        <w:t xml:space="preserve"> on the ACMA website) </w:t>
      </w:r>
      <w:r w:rsidR="00752D6F" w:rsidRPr="00F127EE">
        <w:rPr>
          <w:rFonts w:cs="Arial"/>
          <w:snapToGrid w:val="0"/>
          <w:color w:val="000000" w:themeColor="text1"/>
        </w:rPr>
        <w:t>on the monitoring undertaken to identify the impacts on demand and congestion of th</w:t>
      </w:r>
      <w:r w:rsidR="009339AD">
        <w:rPr>
          <w:rFonts w:cs="Arial"/>
          <w:snapToGrid w:val="0"/>
          <w:color w:val="000000" w:themeColor="text1"/>
        </w:rPr>
        <w:t>at</w:t>
      </w:r>
      <w:r w:rsidR="00752D6F" w:rsidRPr="00F127EE">
        <w:rPr>
          <w:rFonts w:cs="Arial"/>
          <w:snapToGrid w:val="0"/>
          <w:color w:val="000000" w:themeColor="text1"/>
        </w:rPr>
        <w:t xml:space="preserve"> increase</w:t>
      </w:r>
      <w:r w:rsidR="003F18B8">
        <w:rPr>
          <w:rFonts w:cs="Arial"/>
          <w:snapToGrid w:val="0"/>
          <w:color w:val="000000" w:themeColor="text1"/>
        </w:rPr>
        <w:t xml:space="preserve">. </w:t>
      </w:r>
      <w:r w:rsidR="00752D6F" w:rsidRPr="00F127EE">
        <w:rPr>
          <w:rFonts w:cs="Arial"/>
          <w:snapToGrid w:val="0"/>
          <w:color w:val="000000" w:themeColor="text1"/>
        </w:rPr>
        <w:t xml:space="preserve"> </w:t>
      </w:r>
      <w:r w:rsidR="009339AD">
        <w:rPr>
          <w:rFonts w:cs="Arial"/>
          <w:snapToGrid w:val="0"/>
          <w:color w:val="000000" w:themeColor="text1"/>
        </w:rPr>
        <w:t>The ACMA also published</w:t>
      </w:r>
      <w:r w:rsidR="00752D6F" w:rsidRPr="00F127EE">
        <w:rPr>
          <w:rFonts w:cs="Arial"/>
          <w:snapToGrid w:val="0"/>
          <w:color w:val="000000" w:themeColor="text1"/>
        </w:rPr>
        <w:t xml:space="preserve"> the key findings of the monitoring analysis </w:t>
      </w:r>
      <w:r w:rsidR="00F57680" w:rsidRPr="00F127EE">
        <w:rPr>
          <w:rFonts w:cs="Arial"/>
          <w:snapToGrid w:val="0"/>
          <w:color w:val="000000" w:themeColor="text1"/>
        </w:rPr>
        <w:t>relating to the demand and congestion</w:t>
      </w:r>
      <w:r w:rsidR="009339AD">
        <w:rPr>
          <w:rFonts w:cs="Arial"/>
          <w:snapToGrid w:val="0"/>
          <w:color w:val="000000" w:themeColor="text1"/>
        </w:rPr>
        <w:t>,</w:t>
      </w:r>
      <w:r w:rsidR="00F57680" w:rsidRPr="00F127EE">
        <w:rPr>
          <w:rFonts w:cs="Arial"/>
          <w:snapToGrid w:val="0"/>
          <w:color w:val="000000" w:themeColor="text1"/>
        </w:rPr>
        <w:t xml:space="preserve"> </w:t>
      </w:r>
      <w:r w:rsidR="00752D6F" w:rsidRPr="00F127EE">
        <w:rPr>
          <w:rFonts w:cs="Arial"/>
          <w:snapToGrid w:val="0"/>
          <w:color w:val="000000" w:themeColor="text1"/>
        </w:rPr>
        <w:t xml:space="preserve">and </w:t>
      </w:r>
      <w:r w:rsidR="009339AD">
        <w:rPr>
          <w:rFonts w:cs="Arial"/>
          <w:snapToGrid w:val="0"/>
          <w:color w:val="000000" w:themeColor="text1"/>
        </w:rPr>
        <w:t>proposed</w:t>
      </w:r>
      <w:r w:rsidR="009339AD" w:rsidRPr="00F127EE">
        <w:rPr>
          <w:rFonts w:cs="Arial"/>
          <w:snapToGrid w:val="0"/>
          <w:color w:val="000000" w:themeColor="text1"/>
        </w:rPr>
        <w:t xml:space="preserve"> </w:t>
      </w:r>
      <w:r w:rsidR="00752D6F" w:rsidRPr="00F127EE">
        <w:rPr>
          <w:rFonts w:cs="Arial"/>
          <w:snapToGrid w:val="0"/>
          <w:color w:val="000000" w:themeColor="text1"/>
        </w:rPr>
        <w:t>implementing the second 15</w:t>
      </w:r>
      <w:r w:rsidR="00647006" w:rsidRPr="00F127EE">
        <w:rPr>
          <w:rFonts w:cs="Arial"/>
          <w:snapToGrid w:val="0"/>
          <w:color w:val="000000" w:themeColor="text1"/>
        </w:rPr>
        <w:t xml:space="preserve"> per cent</w:t>
      </w:r>
      <w:r w:rsidR="00752D6F" w:rsidRPr="00F127EE">
        <w:rPr>
          <w:rFonts w:cs="Arial"/>
          <w:snapToGrid w:val="0"/>
          <w:color w:val="000000" w:themeColor="text1"/>
        </w:rPr>
        <w:t xml:space="preserve"> tax increase in </w:t>
      </w:r>
      <w:r w:rsidR="009339AD">
        <w:rPr>
          <w:rFonts w:cs="Arial"/>
          <w:snapToGrid w:val="0"/>
          <w:color w:val="000000" w:themeColor="text1"/>
        </w:rPr>
        <w:t>HDAs</w:t>
      </w:r>
      <w:r w:rsidR="00752D6F" w:rsidRPr="00F127EE">
        <w:rPr>
          <w:rFonts w:cs="Arial"/>
          <w:snapToGrid w:val="0"/>
          <w:color w:val="000000" w:themeColor="text1"/>
        </w:rPr>
        <w:t xml:space="preserve"> </w:t>
      </w:r>
      <w:r w:rsidR="009339AD">
        <w:rPr>
          <w:rFonts w:cs="Arial"/>
          <w:snapToGrid w:val="0"/>
          <w:color w:val="000000" w:themeColor="text1"/>
        </w:rPr>
        <w:t>in</w:t>
      </w:r>
      <w:r w:rsidR="009339AD" w:rsidRPr="00F127EE">
        <w:rPr>
          <w:rFonts w:cs="Arial"/>
          <w:snapToGrid w:val="0"/>
          <w:color w:val="000000" w:themeColor="text1"/>
        </w:rPr>
        <w:t xml:space="preserve"> </w:t>
      </w:r>
      <w:r w:rsidR="00752D6F" w:rsidRPr="00F127EE">
        <w:rPr>
          <w:rFonts w:cs="Arial"/>
          <w:snapToGrid w:val="0"/>
          <w:color w:val="000000" w:themeColor="text1"/>
        </w:rPr>
        <w:t xml:space="preserve">the </w:t>
      </w:r>
      <w:r w:rsidR="0081004C" w:rsidRPr="00F127EE">
        <w:rPr>
          <w:rFonts w:cs="Arial"/>
          <w:snapToGrid w:val="0"/>
          <w:color w:val="000000" w:themeColor="text1"/>
        </w:rPr>
        <w:t>400</w:t>
      </w:r>
      <w:r w:rsidR="0081004C">
        <w:rPr>
          <w:rFonts w:cs="Arial"/>
          <w:snapToGrid w:val="0"/>
          <w:color w:val="000000" w:themeColor="text1"/>
        </w:rPr>
        <w:t> </w:t>
      </w:r>
      <w:r w:rsidR="00752D6F" w:rsidRPr="00F127EE">
        <w:rPr>
          <w:rFonts w:cs="Arial"/>
          <w:snapToGrid w:val="0"/>
          <w:color w:val="000000" w:themeColor="text1"/>
        </w:rPr>
        <w:t>MHz band</w:t>
      </w:r>
      <w:r w:rsidR="00B45DEF" w:rsidRPr="00F127EE">
        <w:rPr>
          <w:rFonts w:cs="Arial"/>
          <w:snapToGrid w:val="0"/>
          <w:color w:val="000000" w:themeColor="text1"/>
        </w:rPr>
        <w:t xml:space="preserve"> and the reduction of tax in the </w:t>
      </w:r>
      <w:r w:rsidR="0081004C">
        <w:rPr>
          <w:rFonts w:cs="Arial"/>
          <w:snapToGrid w:val="0"/>
          <w:color w:val="000000" w:themeColor="text1"/>
        </w:rPr>
        <w:t>RDAs</w:t>
      </w:r>
      <w:r w:rsidR="00752D6F" w:rsidRPr="00F127EE">
        <w:rPr>
          <w:rFonts w:cs="Arial"/>
          <w:snapToGrid w:val="0"/>
          <w:color w:val="000000" w:themeColor="text1"/>
        </w:rPr>
        <w:t>. Seven submission</w:t>
      </w:r>
      <w:r w:rsidR="00F57680" w:rsidRPr="00F127EE">
        <w:rPr>
          <w:rFonts w:cs="Arial"/>
          <w:snapToGrid w:val="0"/>
          <w:color w:val="000000" w:themeColor="text1"/>
        </w:rPr>
        <w:t>s</w:t>
      </w:r>
      <w:r w:rsidR="00752D6F" w:rsidRPr="00F127EE">
        <w:rPr>
          <w:rFonts w:cs="Arial"/>
          <w:snapToGrid w:val="0"/>
          <w:color w:val="000000" w:themeColor="text1"/>
        </w:rPr>
        <w:t xml:space="preserve"> were received </w:t>
      </w:r>
      <w:r w:rsidR="003204F7" w:rsidRPr="00F127EE">
        <w:rPr>
          <w:rFonts w:cs="Arial"/>
          <w:snapToGrid w:val="0"/>
          <w:color w:val="000000" w:themeColor="text1"/>
        </w:rPr>
        <w:t xml:space="preserve">from interested stakeholders.  </w:t>
      </w:r>
    </w:p>
    <w:p w14:paraId="6D686B3F" w14:textId="77777777" w:rsidR="009339AD" w:rsidRDefault="009339AD" w:rsidP="002C46ED">
      <w:pPr>
        <w:jc w:val="both"/>
        <w:rPr>
          <w:rFonts w:cs="Arial"/>
          <w:snapToGrid w:val="0"/>
          <w:color w:val="000000" w:themeColor="text1"/>
        </w:rPr>
      </w:pPr>
    </w:p>
    <w:p w14:paraId="1A3D4B12" w14:textId="4042F2C1" w:rsidR="00B56469" w:rsidRDefault="003204F7" w:rsidP="002C46ED">
      <w:pPr>
        <w:jc w:val="both"/>
        <w:rPr>
          <w:rFonts w:cs="Arial"/>
          <w:snapToGrid w:val="0"/>
          <w:color w:val="000000" w:themeColor="text1"/>
        </w:rPr>
      </w:pPr>
      <w:r w:rsidRPr="00F127EE">
        <w:rPr>
          <w:rFonts w:cs="Arial"/>
          <w:snapToGrid w:val="0"/>
          <w:color w:val="000000" w:themeColor="text1"/>
        </w:rPr>
        <w:t xml:space="preserve">The main concerns </w:t>
      </w:r>
      <w:r w:rsidR="00AC51CE" w:rsidRPr="00F127EE">
        <w:rPr>
          <w:rFonts w:cs="Arial"/>
          <w:snapToGrid w:val="0"/>
          <w:color w:val="000000" w:themeColor="text1"/>
        </w:rPr>
        <w:t xml:space="preserve">raised by stakeholders </w:t>
      </w:r>
      <w:r w:rsidR="00B56469">
        <w:rPr>
          <w:rFonts w:cs="Arial"/>
          <w:snapToGrid w:val="0"/>
          <w:color w:val="000000" w:themeColor="text1"/>
        </w:rPr>
        <w:t>were that the monitoring framework did not:</w:t>
      </w:r>
    </w:p>
    <w:p w14:paraId="11C77229" w14:textId="614C3FE0" w:rsidR="00B56469" w:rsidRPr="00A90022" w:rsidRDefault="003204F7" w:rsidP="002C46ED">
      <w:pPr>
        <w:pStyle w:val="ListParagraph"/>
        <w:numPr>
          <w:ilvl w:val="0"/>
          <w:numId w:val="57"/>
        </w:numPr>
        <w:jc w:val="both"/>
        <w:rPr>
          <w:rFonts w:cs="Arial"/>
          <w:snapToGrid w:val="0"/>
          <w:color w:val="000000" w:themeColor="text1"/>
        </w:rPr>
      </w:pPr>
      <w:r w:rsidRPr="00A90022">
        <w:rPr>
          <w:rFonts w:cs="Arial"/>
          <w:snapToGrid w:val="0"/>
          <w:color w:val="000000" w:themeColor="text1"/>
        </w:rPr>
        <w:t xml:space="preserve">relate to </w:t>
      </w:r>
      <w:r w:rsidR="00B56469">
        <w:rPr>
          <w:rFonts w:cs="Arial"/>
          <w:snapToGrid w:val="0"/>
          <w:color w:val="000000" w:themeColor="text1"/>
        </w:rPr>
        <w:t xml:space="preserve">spectrum </w:t>
      </w:r>
      <w:r w:rsidRPr="00A90022">
        <w:rPr>
          <w:rFonts w:cs="Arial"/>
          <w:snapToGrid w:val="0"/>
          <w:color w:val="000000" w:themeColor="text1"/>
        </w:rPr>
        <w:t>congestion</w:t>
      </w:r>
      <w:r w:rsidR="00B56469">
        <w:rPr>
          <w:rFonts w:cs="Arial"/>
          <w:snapToGrid w:val="0"/>
          <w:color w:val="000000" w:themeColor="text1"/>
        </w:rPr>
        <w:t>;</w:t>
      </w:r>
    </w:p>
    <w:p w14:paraId="66B2B55E" w14:textId="1A50471A" w:rsidR="00B56469" w:rsidRPr="00A90022" w:rsidRDefault="00B56469" w:rsidP="002C46ED">
      <w:pPr>
        <w:pStyle w:val="ListParagraph"/>
        <w:numPr>
          <w:ilvl w:val="0"/>
          <w:numId w:val="57"/>
        </w:numPr>
        <w:jc w:val="both"/>
        <w:rPr>
          <w:rFonts w:cs="Arial"/>
          <w:snapToGrid w:val="0"/>
          <w:color w:val="000000" w:themeColor="text1"/>
        </w:rPr>
      </w:pPr>
      <w:r>
        <w:rPr>
          <w:rFonts w:cs="Arial"/>
          <w:snapToGrid w:val="0"/>
          <w:color w:val="000000" w:themeColor="text1"/>
        </w:rPr>
        <w:t xml:space="preserve">adequately capture the response </w:t>
      </w:r>
      <w:r w:rsidR="00D81083">
        <w:rPr>
          <w:rFonts w:cs="Arial"/>
          <w:snapToGrid w:val="0"/>
          <w:color w:val="000000" w:themeColor="text1"/>
        </w:rPr>
        <w:t xml:space="preserve">from </w:t>
      </w:r>
      <w:r>
        <w:rPr>
          <w:rFonts w:cs="Arial"/>
          <w:snapToGrid w:val="0"/>
          <w:color w:val="000000" w:themeColor="text1"/>
        </w:rPr>
        <w:t>p</w:t>
      </w:r>
      <w:r w:rsidR="003204F7" w:rsidRPr="00A90022">
        <w:rPr>
          <w:rFonts w:cs="Arial"/>
          <w:snapToGrid w:val="0"/>
          <w:color w:val="000000" w:themeColor="text1"/>
        </w:rPr>
        <w:t>ublic sector</w:t>
      </w:r>
      <w:r>
        <w:rPr>
          <w:rFonts w:cs="Arial"/>
          <w:snapToGrid w:val="0"/>
          <w:color w:val="000000" w:themeColor="text1"/>
        </w:rPr>
        <w:t xml:space="preserve"> licensees</w:t>
      </w:r>
      <w:r w:rsidR="0086713E">
        <w:rPr>
          <w:rFonts w:cs="Arial"/>
          <w:snapToGrid w:val="0"/>
          <w:color w:val="000000" w:themeColor="text1"/>
        </w:rPr>
        <w:t>;</w:t>
      </w:r>
    </w:p>
    <w:p w14:paraId="140CE18E" w14:textId="6E5D8412" w:rsidR="00B56469" w:rsidRPr="00A90022" w:rsidRDefault="00B56469" w:rsidP="002C46ED">
      <w:pPr>
        <w:pStyle w:val="ListParagraph"/>
        <w:numPr>
          <w:ilvl w:val="0"/>
          <w:numId w:val="57"/>
        </w:numPr>
        <w:jc w:val="both"/>
        <w:rPr>
          <w:rFonts w:cs="Arial"/>
          <w:color w:val="000000"/>
        </w:rPr>
      </w:pPr>
      <w:r>
        <w:rPr>
          <w:rFonts w:cs="Arial"/>
          <w:snapToGrid w:val="0"/>
          <w:color w:val="000000" w:themeColor="text1"/>
        </w:rPr>
        <w:t xml:space="preserve">adequately address </w:t>
      </w:r>
      <w:r w:rsidR="00F57680" w:rsidRPr="00B56469">
        <w:rPr>
          <w:rFonts w:cs="Arial"/>
          <w:snapToGrid w:val="0"/>
          <w:color w:val="000000" w:themeColor="text1"/>
        </w:rPr>
        <w:t>related</w:t>
      </w:r>
      <w:r w:rsidR="00AC51CE" w:rsidRPr="0086713E">
        <w:rPr>
          <w:rFonts w:cs="Arial"/>
          <w:snapToGrid w:val="0"/>
          <w:color w:val="000000" w:themeColor="text1"/>
        </w:rPr>
        <w:t xml:space="preserve"> complexities caused by the </w:t>
      </w:r>
      <w:r w:rsidR="007B0D1D" w:rsidRPr="00A90022">
        <w:rPr>
          <w:rFonts w:cs="Arial"/>
          <w:color w:val="000000"/>
        </w:rPr>
        <w:t>e</w:t>
      </w:r>
      <w:r w:rsidR="00AC51CE" w:rsidRPr="00A90022">
        <w:rPr>
          <w:rFonts w:cs="Arial"/>
          <w:color w:val="000000"/>
        </w:rPr>
        <w:t>stablishment of harmonised government spectrum</w:t>
      </w:r>
      <w:r w:rsidR="00F57680" w:rsidRPr="00A90022">
        <w:rPr>
          <w:rFonts w:cs="Arial"/>
          <w:color w:val="000000"/>
        </w:rPr>
        <w:t xml:space="preserve"> </w:t>
      </w:r>
      <w:r w:rsidR="008540EE" w:rsidRPr="00A90022">
        <w:rPr>
          <w:rFonts w:cs="Arial"/>
          <w:color w:val="000000"/>
        </w:rPr>
        <w:t>(</w:t>
      </w:r>
      <w:r w:rsidR="008540EE" w:rsidRPr="00A90022">
        <w:rPr>
          <w:rFonts w:cs="Arial"/>
          <w:b/>
          <w:color w:val="000000"/>
        </w:rPr>
        <w:t>HGS</w:t>
      </w:r>
      <w:r w:rsidR="008540EE" w:rsidRPr="00A90022">
        <w:rPr>
          <w:rFonts w:cs="Arial"/>
          <w:color w:val="000000"/>
        </w:rPr>
        <w:t>)</w:t>
      </w:r>
      <w:r>
        <w:rPr>
          <w:rFonts w:cs="Arial"/>
          <w:color w:val="000000"/>
        </w:rPr>
        <w:t>;</w:t>
      </w:r>
      <w:r w:rsidR="008540EE" w:rsidRPr="00A90022">
        <w:rPr>
          <w:rFonts w:cs="Arial"/>
          <w:color w:val="000000"/>
        </w:rPr>
        <w:t xml:space="preserve"> </w:t>
      </w:r>
      <w:r w:rsidR="00F57680" w:rsidRPr="00A90022">
        <w:rPr>
          <w:rFonts w:cs="Arial"/>
          <w:color w:val="000000"/>
        </w:rPr>
        <w:t>and</w:t>
      </w:r>
    </w:p>
    <w:p w14:paraId="1516678C" w14:textId="6E5DB8A2" w:rsidR="003204F7" w:rsidRPr="00A90022" w:rsidRDefault="00B56469" w:rsidP="002C46ED">
      <w:pPr>
        <w:pStyle w:val="ListParagraph"/>
        <w:numPr>
          <w:ilvl w:val="0"/>
          <w:numId w:val="57"/>
        </w:numPr>
        <w:jc w:val="both"/>
        <w:rPr>
          <w:rFonts w:cs="Arial"/>
          <w:color w:val="000000"/>
        </w:rPr>
      </w:pPr>
      <w:proofErr w:type="gramStart"/>
      <w:r>
        <w:rPr>
          <w:rFonts w:cs="Arial"/>
          <w:color w:val="000000"/>
        </w:rPr>
        <w:t>reflect</w:t>
      </w:r>
      <w:proofErr w:type="gramEnd"/>
      <w:r>
        <w:rPr>
          <w:rFonts w:cs="Arial"/>
          <w:color w:val="000000"/>
        </w:rPr>
        <w:t xml:space="preserve"> </w:t>
      </w:r>
      <w:r w:rsidR="00F57680" w:rsidRPr="00A90022">
        <w:rPr>
          <w:rFonts w:cs="Arial"/>
          <w:color w:val="000000"/>
        </w:rPr>
        <w:t>impacts of the new band planning arrangements</w:t>
      </w:r>
      <w:r w:rsidR="009339AD" w:rsidRPr="00A90022">
        <w:rPr>
          <w:rFonts w:cs="Arial"/>
          <w:color w:val="000000"/>
        </w:rPr>
        <w:t xml:space="preserve"> in the 400 MHz band</w:t>
      </w:r>
      <w:r w:rsidR="00AC51CE" w:rsidRPr="00A90022">
        <w:rPr>
          <w:rFonts w:cs="Arial"/>
          <w:color w:val="000000"/>
        </w:rPr>
        <w:t>.</w:t>
      </w:r>
    </w:p>
    <w:p w14:paraId="25C4A789" w14:textId="77777777" w:rsidR="003204F7" w:rsidRPr="00F127EE" w:rsidRDefault="003204F7" w:rsidP="002C46ED">
      <w:pPr>
        <w:jc w:val="both"/>
        <w:rPr>
          <w:rFonts w:cs="Arial"/>
          <w:color w:val="000000"/>
        </w:rPr>
      </w:pPr>
    </w:p>
    <w:p w14:paraId="3D64D7F4" w14:textId="64C95677" w:rsidR="00C56442" w:rsidRDefault="009339AD" w:rsidP="002C46ED">
      <w:pPr>
        <w:jc w:val="both"/>
        <w:rPr>
          <w:rFonts w:cs="Arial"/>
          <w:lang w:val="en-US"/>
        </w:rPr>
      </w:pPr>
      <w:r>
        <w:rPr>
          <w:rFonts w:cs="Arial"/>
          <w:color w:val="000000"/>
        </w:rPr>
        <w:t>The ACMA</w:t>
      </w:r>
      <w:r w:rsidRPr="00943D9A">
        <w:rPr>
          <w:rFonts w:cs="Arial"/>
          <w:color w:val="000000"/>
        </w:rPr>
        <w:t xml:space="preserve"> </w:t>
      </w:r>
      <w:r w:rsidR="002C59DB">
        <w:rPr>
          <w:rFonts w:cs="Arial"/>
          <w:color w:val="000000"/>
        </w:rPr>
        <w:t xml:space="preserve">has </w:t>
      </w:r>
      <w:r w:rsidRPr="00943D9A">
        <w:rPr>
          <w:rFonts w:cs="Arial"/>
          <w:color w:val="000000"/>
        </w:rPr>
        <w:t xml:space="preserve">considered the views </w:t>
      </w:r>
      <w:r w:rsidR="00CB3339">
        <w:rPr>
          <w:rFonts w:cs="Arial"/>
          <w:color w:val="000000"/>
        </w:rPr>
        <w:t>of</w:t>
      </w:r>
      <w:r w:rsidRPr="00943D9A">
        <w:rPr>
          <w:rFonts w:cs="Arial"/>
          <w:color w:val="000000"/>
        </w:rPr>
        <w:t xml:space="preserve"> stakeholders and modified the monitoring framework partly in response to the feedback received.</w:t>
      </w:r>
      <w:r>
        <w:rPr>
          <w:rFonts w:cs="Arial"/>
          <w:color w:val="000000"/>
        </w:rPr>
        <w:t xml:space="preserve"> </w:t>
      </w:r>
      <w:r>
        <w:rPr>
          <w:rFonts w:cs="Arial"/>
          <w:lang w:val="en-US"/>
        </w:rPr>
        <w:t>The ACMA</w:t>
      </w:r>
      <w:r w:rsidR="00C56442" w:rsidRPr="00F127EE">
        <w:rPr>
          <w:rFonts w:cs="Arial"/>
          <w:lang w:val="en-US"/>
        </w:rPr>
        <w:t xml:space="preserve"> </w:t>
      </w:r>
      <w:r w:rsidR="00F57680" w:rsidRPr="00F127EE">
        <w:rPr>
          <w:rFonts w:cs="Arial"/>
          <w:lang w:val="en-US"/>
        </w:rPr>
        <w:t>undertook further</w:t>
      </w:r>
      <w:r w:rsidR="00C56442" w:rsidRPr="00F127EE">
        <w:rPr>
          <w:rFonts w:cs="Arial"/>
          <w:lang w:val="en-US"/>
        </w:rPr>
        <w:t xml:space="preserve"> monitoring</w:t>
      </w:r>
      <w:r w:rsidR="002067F2">
        <w:rPr>
          <w:rFonts w:cs="Arial"/>
          <w:lang w:val="en-US"/>
        </w:rPr>
        <w:t>,</w:t>
      </w:r>
      <w:r w:rsidR="00C56442" w:rsidRPr="00F127EE">
        <w:rPr>
          <w:rFonts w:cs="Arial"/>
          <w:lang w:val="en-US"/>
        </w:rPr>
        <w:t xml:space="preserve"> </w:t>
      </w:r>
      <w:r w:rsidR="00AC51CE" w:rsidRPr="00F127EE">
        <w:rPr>
          <w:rFonts w:cs="Arial"/>
          <w:lang w:val="en-US"/>
        </w:rPr>
        <w:t xml:space="preserve">focusing </w:t>
      </w:r>
      <w:r w:rsidR="007B0D1D" w:rsidRPr="00F127EE">
        <w:rPr>
          <w:rFonts w:cs="Arial"/>
          <w:lang w:val="en-US"/>
        </w:rPr>
        <w:t xml:space="preserve">on </w:t>
      </w:r>
      <w:r w:rsidR="009E204A">
        <w:rPr>
          <w:rFonts w:cs="Arial"/>
          <w:lang w:val="en-US"/>
        </w:rPr>
        <w:t xml:space="preserve">the projected </w:t>
      </w:r>
      <w:r w:rsidR="00AC51CE" w:rsidRPr="00F127EE">
        <w:rPr>
          <w:rFonts w:cs="Arial"/>
          <w:lang w:val="en-US"/>
        </w:rPr>
        <w:t xml:space="preserve">congestion </w:t>
      </w:r>
      <w:r w:rsidR="007B0D1D" w:rsidRPr="00F127EE">
        <w:rPr>
          <w:rFonts w:cs="Arial"/>
          <w:lang w:val="en-US"/>
        </w:rPr>
        <w:t xml:space="preserve">risk </w:t>
      </w:r>
      <w:r w:rsidR="00C56442" w:rsidRPr="00F127EE">
        <w:rPr>
          <w:rFonts w:cs="Arial"/>
          <w:lang w:val="en-US"/>
        </w:rPr>
        <w:t>over the next few years.</w:t>
      </w:r>
      <w:r w:rsidR="003204F7" w:rsidRPr="00F127EE">
        <w:rPr>
          <w:rFonts w:cs="Arial"/>
          <w:lang w:val="en-US"/>
        </w:rPr>
        <w:t xml:space="preserve">  </w:t>
      </w:r>
      <w:r w:rsidR="007B0D1D" w:rsidRPr="00F127EE">
        <w:rPr>
          <w:rFonts w:cs="Arial"/>
          <w:lang w:val="en-US"/>
        </w:rPr>
        <w:t xml:space="preserve">The ACMA has also modified the monitoring analysis to exclude public sector demand for spectrum which will generally migrate to the HGS.  </w:t>
      </w:r>
      <w:r w:rsidR="00CB3339">
        <w:rPr>
          <w:rFonts w:cs="Arial"/>
          <w:lang w:val="en-US"/>
        </w:rPr>
        <w:t xml:space="preserve">This revised monitoring framework has been used to inform the ACMA’s decision to proceed with the increase in licence taxes of around 15 per cent, as flagged in the </w:t>
      </w:r>
      <w:r w:rsidR="009E204A">
        <w:rPr>
          <w:rFonts w:cs="Arial"/>
          <w:lang w:val="en-US"/>
        </w:rPr>
        <w:t>consultation</w:t>
      </w:r>
      <w:r w:rsidR="00CB3339">
        <w:rPr>
          <w:rFonts w:cs="Arial"/>
          <w:lang w:val="en-US"/>
        </w:rPr>
        <w:t xml:space="preserve"> paper. </w:t>
      </w:r>
    </w:p>
    <w:p w14:paraId="6575D291" w14:textId="77777777" w:rsidR="002067F2" w:rsidRPr="00F127EE" w:rsidRDefault="002067F2" w:rsidP="002C46ED">
      <w:pPr>
        <w:jc w:val="both"/>
        <w:rPr>
          <w:rFonts w:cs="Arial"/>
          <w:snapToGrid w:val="0"/>
          <w:color w:val="000000" w:themeColor="text1"/>
        </w:rPr>
      </w:pPr>
    </w:p>
    <w:p w14:paraId="7C84DD1C" w14:textId="7482348B" w:rsidR="00752D6F" w:rsidRDefault="00752D6F" w:rsidP="002C46ED">
      <w:pPr>
        <w:jc w:val="both"/>
        <w:rPr>
          <w:rFonts w:cs="Arial"/>
          <w:color w:val="000000"/>
        </w:rPr>
      </w:pPr>
      <w:r w:rsidRPr="00F127EE">
        <w:t xml:space="preserve">The consultation </w:t>
      </w:r>
      <w:r w:rsidR="009339AD">
        <w:t xml:space="preserve">paper released in June 2014 </w:t>
      </w:r>
      <w:r w:rsidRPr="00F127EE">
        <w:t>also flagged an intention to apply opportunity cost principles in the RDAs</w:t>
      </w:r>
      <w:r w:rsidR="0081004C">
        <w:t xml:space="preserve"> in</w:t>
      </w:r>
      <w:r w:rsidRPr="00F127EE">
        <w:t xml:space="preserve"> the 400 MHz band</w:t>
      </w:r>
      <w:r w:rsidR="009339AD">
        <w:t>,</w:t>
      </w:r>
      <w:r w:rsidRPr="00F127EE">
        <w:t xml:space="preserve"> by reducing the </w:t>
      </w:r>
      <w:r w:rsidR="002C59DB">
        <w:t xml:space="preserve">transmitter </w:t>
      </w:r>
      <w:r w:rsidRPr="00F127EE">
        <w:t>licence tax rate to $0.00/kHz</w:t>
      </w:r>
      <w:r w:rsidR="0081004C">
        <w:t>,</w:t>
      </w:r>
      <w:r w:rsidRPr="00F127EE">
        <w:t xml:space="preserve"> given low demand and the lack of congestion</w:t>
      </w:r>
      <w:r w:rsidR="009339AD">
        <w:t>. That consultation also foreshadowed that</w:t>
      </w:r>
      <w:r w:rsidRPr="00F127EE">
        <w:t xml:space="preserve"> the minimum tax </w:t>
      </w:r>
      <w:r w:rsidR="009339AD">
        <w:t xml:space="preserve">amount would continue to apply. </w:t>
      </w:r>
      <w:r w:rsidR="009E204A">
        <w:t>Responses received</w:t>
      </w:r>
      <w:r w:rsidR="00CB3339">
        <w:t xml:space="preserve"> generally supported the application of OC pricing in the RDAs. </w:t>
      </w:r>
    </w:p>
    <w:p w14:paraId="27E74352" w14:textId="77777777" w:rsidR="009339AD" w:rsidRDefault="009339AD" w:rsidP="002C46ED">
      <w:pPr>
        <w:jc w:val="both"/>
        <w:rPr>
          <w:rFonts w:cs="Arial"/>
          <w:color w:val="000000"/>
        </w:rPr>
      </w:pPr>
    </w:p>
    <w:p w14:paraId="3C132934" w14:textId="6154EA89" w:rsidR="009339AD" w:rsidRDefault="009339AD" w:rsidP="002C46ED">
      <w:pPr>
        <w:jc w:val="both"/>
        <w:rPr>
          <w:rFonts w:cs="Arial"/>
          <w:color w:val="000000"/>
        </w:rPr>
      </w:pPr>
      <w:r>
        <w:rPr>
          <w:rFonts w:cs="Arial"/>
          <w:color w:val="000000"/>
        </w:rPr>
        <w:t xml:space="preserve">The difference between the tax amounts </w:t>
      </w:r>
      <w:r w:rsidR="00CB3339">
        <w:rPr>
          <w:rFonts w:cs="Arial"/>
          <w:color w:val="000000"/>
        </w:rPr>
        <w:t xml:space="preserve">proposed </w:t>
      </w:r>
      <w:r>
        <w:rPr>
          <w:rFonts w:cs="Arial"/>
          <w:color w:val="000000"/>
        </w:rPr>
        <w:t xml:space="preserve">in the June 2014 paper and those specified in the Amendment Determination </w:t>
      </w:r>
      <w:r w:rsidR="0086713E">
        <w:rPr>
          <w:rFonts w:cs="Arial"/>
          <w:color w:val="000000"/>
        </w:rPr>
        <w:t xml:space="preserve">relate to </w:t>
      </w:r>
      <w:r>
        <w:rPr>
          <w:rFonts w:cs="Arial"/>
          <w:color w:val="000000"/>
        </w:rPr>
        <w:t xml:space="preserve">an increase of 1.5 per cent, to account for the CPI </w:t>
      </w:r>
      <w:r w:rsidR="00F1685B">
        <w:rPr>
          <w:rFonts w:cs="Arial"/>
          <w:color w:val="000000"/>
        </w:rPr>
        <w:t>increase over the year to June</w:t>
      </w:r>
      <w:r w:rsidR="009E204A">
        <w:rPr>
          <w:rFonts w:cs="Arial"/>
          <w:color w:val="000000"/>
        </w:rPr>
        <w:t xml:space="preserve"> 2015, as discussed above. </w:t>
      </w:r>
      <w:r>
        <w:rPr>
          <w:rFonts w:cs="Arial"/>
          <w:color w:val="000000"/>
        </w:rPr>
        <w:t xml:space="preserve"> </w:t>
      </w:r>
    </w:p>
    <w:p w14:paraId="6E0E77B4" w14:textId="77777777" w:rsidR="009339AD" w:rsidRPr="00F127EE" w:rsidRDefault="009339AD" w:rsidP="002C46ED">
      <w:pPr>
        <w:jc w:val="both"/>
        <w:rPr>
          <w:rFonts w:cs="Arial"/>
          <w:color w:val="000000"/>
        </w:rPr>
      </w:pPr>
    </w:p>
    <w:p w14:paraId="5853F995" w14:textId="6A5910B5" w:rsidR="00752D6F" w:rsidRDefault="009339AD" w:rsidP="002C46ED">
      <w:pPr>
        <w:jc w:val="both"/>
        <w:rPr>
          <w:rFonts w:cs="Arial"/>
          <w:i/>
        </w:rPr>
      </w:pPr>
      <w:r>
        <w:rPr>
          <w:rFonts w:cs="Arial"/>
          <w:i/>
        </w:rPr>
        <w:t>Amendments related to harmonised government spectrum (400 MHz band)</w:t>
      </w:r>
    </w:p>
    <w:p w14:paraId="104D9CF8" w14:textId="77777777" w:rsidR="00546C03" w:rsidRPr="003162CB" w:rsidRDefault="00546C03" w:rsidP="002C46ED">
      <w:pPr>
        <w:jc w:val="both"/>
        <w:rPr>
          <w:rFonts w:cs="Arial"/>
          <w:i/>
        </w:rPr>
      </w:pPr>
    </w:p>
    <w:p w14:paraId="2432575A" w14:textId="28E7195B" w:rsidR="0061664C" w:rsidRPr="00F127EE" w:rsidRDefault="006C2778" w:rsidP="002C46ED">
      <w:pPr>
        <w:pStyle w:val="ACMANumberedList"/>
        <w:numPr>
          <w:ilvl w:val="0"/>
          <w:numId w:val="0"/>
        </w:numPr>
        <w:spacing w:after="120"/>
        <w:jc w:val="both"/>
        <w:rPr>
          <w:rFonts w:cs="Arial"/>
        </w:rPr>
      </w:pPr>
      <w:r w:rsidRPr="00F127EE">
        <w:rPr>
          <w:rFonts w:ascii="Arial" w:hAnsi="Arial" w:cs="Arial"/>
          <w:sz w:val="20"/>
        </w:rPr>
        <w:t>The ACMA undertook extensive consultation around the implementation of the</w:t>
      </w:r>
      <w:r w:rsidR="008D730C">
        <w:rPr>
          <w:rFonts w:ascii="Arial" w:hAnsi="Arial" w:cs="Arial"/>
          <w:sz w:val="20"/>
        </w:rPr>
        <w:t xml:space="preserve"> taxing arrangements for</w:t>
      </w:r>
      <w:r w:rsidRPr="00F127EE">
        <w:rPr>
          <w:rFonts w:ascii="Arial" w:hAnsi="Arial" w:cs="Arial"/>
          <w:sz w:val="20"/>
        </w:rPr>
        <w:t xml:space="preserve"> </w:t>
      </w:r>
      <w:r w:rsidR="00CB3339">
        <w:rPr>
          <w:rFonts w:ascii="Arial" w:hAnsi="Arial" w:cs="Arial"/>
          <w:sz w:val="20"/>
        </w:rPr>
        <w:t>HGS</w:t>
      </w:r>
      <w:r w:rsidR="008D730C">
        <w:rPr>
          <w:rFonts w:ascii="Arial" w:hAnsi="Arial" w:cs="Arial"/>
          <w:sz w:val="20"/>
        </w:rPr>
        <w:t xml:space="preserve"> in the 400 MHz band, as well as about the introduction of a new licensing regime and the introduction of HGSA licences</w:t>
      </w:r>
      <w:r w:rsidRPr="00F127EE">
        <w:rPr>
          <w:rFonts w:ascii="Arial" w:hAnsi="Arial" w:cs="Arial"/>
          <w:sz w:val="20"/>
        </w:rPr>
        <w:t xml:space="preserve">.  </w:t>
      </w:r>
      <w:r w:rsidR="0061664C" w:rsidRPr="00F127EE">
        <w:rPr>
          <w:rFonts w:ascii="Arial" w:hAnsi="Arial" w:cs="Arial"/>
          <w:sz w:val="20"/>
        </w:rPr>
        <w:t xml:space="preserve">The </w:t>
      </w:r>
      <w:r w:rsidRPr="00F127EE">
        <w:rPr>
          <w:rFonts w:ascii="Arial" w:hAnsi="Arial" w:cs="Arial"/>
          <w:sz w:val="20"/>
        </w:rPr>
        <w:t xml:space="preserve">ACMA </w:t>
      </w:r>
      <w:r w:rsidR="0061664C" w:rsidRPr="00F127EE">
        <w:rPr>
          <w:rFonts w:ascii="Arial" w:hAnsi="Arial" w:cs="Arial"/>
          <w:sz w:val="20"/>
        </w:rPr>
        <w:t xml:space="preserve">met </w:t>
      </w:r>
      <w:r w:rsidR="00CB3339">
        <w:rPr>
          <w:rFonts w:ascii="Arial" w:hAnsi="Arial" w:cs="Arial"/>
          <w:sz w:val="20"/>
        </w:rPr>
        <w:t xml:space="preserve">regularly </w:t>
      </w:r>
      <w:r w:rsidR="0061664C" w:rsidRPr="00F127EE">
        <w:rPr>
          <w:rFonts w:ascii="Arial" w:hAnsi="Arial" w:cs="Arial"/>
          <w:sz w:val="20"/>
        </w:rPr>
        <w:t>with the N</w:t>
      </w:r>
      <w:r w:rsidRPr="00F127EE">
        <w:rPr>
          <w:rFonts w:ascii="Arial" w:hAnsi="Arial" w:cs="Arial"/>
          <w:sz w:val="20"/>
        </w:rPr>
        <w:t>ational Coordinating Committee for Government Radiocommunications (</w:t>
      </w:r>
      <w:r w:rsidRPr="00A90022">
        <w:rPr>
          <w:rFonts w:ascii="Arial" w:hAnsi="Arial" w:cs="Arial"/>
          <w:b/>
          <w:sz w:val="20"/>
        </w:rPr>
        <w:t>N</w:t>
      </w:r>
      <w:r w:rsidR="0061664C" w:rsidRPr="00A90022">
        <w:rPr>
          <w:rFonts w:ascii="Arial" w:hAnsi="Arial" w:cs="Arial"/>
          <w:b/>
          <w:sz w:val="20"/>
        </w:rPr>
        <w:t>CCGR</w:t>
      </w:r>
      <w:r w:rsidRPr="00F127EE">
        <w:rPr>
          <w:rFonts w:ascii="Arial" w:hAnsi="Arial" w:cs="Arial"/>
          <w:sz w:val="20"/>
        </w:rPr>
        <w:t>)</w:t>
      </w:r>
      <w:r w:rsidR="0061664C" w:rsidRPr="00F127EE">
        <w:rPr>
          <w:rFonts w:ascii="Arial" w:hAnsi="Arial" w:cs="Arial"/>
          <w:sz w:val="20"/>
        </w:rPr>
        <w:t xml:space="preserve"> to discuss the proposed arrangements. The matter has been discussed as part of 400 MHz </w:t>
      </w:r>
      <w:r w:rsidR="00CB3339">
        <w:rPr>
          <w:rFonts w:ascii="Arial" w:hAnsi="Arial" w:cs="Arial"/>
          <w:sz w:val="20"/>
        </w:rPr>
        <w:t>‘</w:t>
      </w:r>
      <w:r w:rsidR="0061664C" w:rsidRPr="00F127EE">
        <w:rPr>
          <w:rFonts w:ascii="Arial" w:hAnsi="Arial" w:cs="Arial"/>
          <w:sz w:val="20"/>
        </w:rPr>
        <w:t>Tune-up</w:t>
      </w:r>
      <w:r w:rsidR="00CB3339">
        <w:rPr>
          <w:rFonts w:ascii="Arial" w:hAnsi="Arial" w:cs="Arial"/>
          <w:sz w:val="20"/>
        </w:rPr>
        <w:t>’</w:t>
      </w:r>
      <w:r w:rsidR="0061664C" w:rsidRPr="00F127EE">
        <w:rPr>
          <w:rFonts w:ascii="Arial" w:hAnsi="Arial" w:cs="Arial"/>
          <w:sz w:val="20"/>
        </w:rPr>
        <w:t xml:space="preserve"> sessions and </w:t>
      </w:r>
      <w:r w:rsidR="00FF04F3" w:rsidRPr="00F127EE">
        <w:rPr>
          <w:rFonts w:ascii="Arial" w:hAnsi="Arial" w:cs="Arial"/>
          <w:sz w:val="20"/>
        </w:rPr>
        <w:t xml:space="preserve">at </w:t>
      </w:r>
      <w:r w:rsidR="0061664C" w:rsidRPr="00F127EE">
        <w:rPr>
          <w:rFonts w:ascii="Arial" w:hAnsi="Arial" w:cs="Arial"/>
          <w:sz w:val="20"/>
        </w:rPr>
        <w:t>external conferences</w:t>
      </w:r>
      <w:r w:rsidR="009339AD">
        <w:rPr>
          <w:rFonts w:ascii="Arial" w:hAnsi="Arial" w:cs="Arial"/>
          <w:sz w:val="20"/>
        </w:rPr>
        <w:t xml:space="preserve"> held by the ACMA</w:t>
      </w:r>
      <w:r w:rsidR="0061664C" w:rsidRPr="00F127EE">
        <w:rPr>
          <w:rFonts w:ascii="Arial" w:hAnsi="Arial" w:cs="Arial"/>
          <w:sz w:val="20"/>
        </w:rPr>
        <w:t xml:space="preserve">. Workshops were held with interested stakeholders on 19 March 2015 and </w:t>
      </w:r>
      <w:r w:rsidR="002C59DB" w:rsidRPr="00F127EE">
        <w:rPr>
          <w:rFonts w:ascii="Arial" w:hAnsi="Arial" w:cs="Arial"/>
          <w:sz w:val="20"/>
        </w:rPr>
        <w:t>6</w:t>
      </w:r>
      <w:r w:rsidR="002C59DB">
        <w:rPr>
          <w:rFonts w:ascii="Arial" w:hAnsi="Arial" w:cs="Arial"/>
          <w:sz w:val="20"/>
        </w:rPr>
        <w:t> </w:t>
      </w:r>
      <w:r w:rsidR="0061664C" w:rsidRPr="00F127EE">
        <w:rPr>
          <w:rFonts w:ascii="Arial" w:hAnsi="Arial" w:cs="Arial"/>
          <w:sz w:val="20"/>
        </w:rPr>
        <w:t>May 2015. These were attended by the NCCGR, the Australian Radio Communicatio</w:t>
      </w:r>
      <w:r w:rsidR="009E204A">
        <w:rPr>
          <w:rFonts w:ascii="Arial" w:hAnsi="Arial" w:cs="Arial"/>
          <w:sz w:val="20"/>
        </w:rPr>
        <w:t>ns Industry Association and the</w:t>
      </w:r>
      <w:r w:rsidR="009339AD">
        <w:rPr>
          <w:rFonts w:ascii="Arial" w:hAnsi="Arial" w:cs="Arial"/>
          <w:sz w:val="20"/>
        </w:rPr>
        <w:t xml:space="preserve"> </w:t>
      </w:r>
      <w:r w:rsidR="0061664C" w:rsidRPr="00F127EE">
        <w:rPr>
          <w:rFonts w:ascii="Arial" w:hAnsi="Arial" w:cs="Arial"/>
          <w:sz w:val="20"/>
        </w:rPr>
        <w:t xml:space="preserve">Department of Communications. The concept was also discussed with </w:t>
      </w:r>
      <w:r w:rsidR="00FE2EAA">
        <w:rPr>
          <w:rFonts w:ascii="Arial" w:hAnsi="Arial" w:cs="Arial"/>
          <w:sz w:val="20"/>
        </w:rPr>
        <w:t>a</w:t>
      </w:r>
      <w:r w:rsidR="0061664C" w:rsidRPr="00F127EE">
        <w:rPr>
          <w:rFonts w:ascii="Arial" w:hAnsi="Arial" w:cs="Arial"/>
          <w:sz w:val="20"/>
        </w:rPr>
        <w:t xml:space="preserve">ccredited </w:t>
      </w:r>
      <w:r w:rsidR="00FE2EAA">
        <w:rPr>
          <w:rFonts w:ascii="Arial" w:hAnsi="Arial" w:cs="Arial"/>
          <w:sz w:val="20"/>
        </w:rPr>
        <w:t>p</w:t>
      </w:r>
      <w:r w:rsidR="0061664C" w:rsidRPr="00F127EE">
        <w:rPr>
          <w:rFonts w:ascii="Arial" w:hAnsi="Arial" w:cs="Arial"/>
          <w:sz w:val="20"/>
        </w:rPr>
        <w:t>ersons</w:t>
      </w:r>
      <w:r w:rsidR="0086713E">
        <w:rPr>
          <w:rStyle w:val="FootnoteReference"/>
          <w:rFonts w:ascii="Arial" w:hAnsi="Arial" w:cs="Arial"/>
          <w:sz w:val="20"/>
        </w:rPr>
        <w:footnoteReference w:id="2"/>
      </w:r>
      <w:r w:rsidR="0061664C" w:rsidRPr="00F127EE">
        <w:rPr>
          <w:rFonts w:ascii="Arial" w:hAnsi="Arial" w:cs="Arial"/>
          <w:sz w:val="20"/>
        </w:rPr>
        <w:t xml:space="preserve"> on 4 March 2015</w:t>
      </w:r>
      <w:r w:rsidR="001F11C5" w:rsidRPr="00F127EE">
        <w:rPr>
          <w:rFonts w:ascii="Arial" w:hAnsi="Arial" w:cs="Arial"/>
          <w:sz w:val="20"/>
        </w:rPr>
        <w:t xml:space="preserve">.  </w:t>
      </w:r>
    </w:p>
    <w:p w14:paraId="580A768A" w14:textId="77777777" w:rsidR="0061664C" w:rsidRPr="00F127EE" w:rsidRDefault="0061664C" w:rsidP="002C46ED">
      <w:pPr>
        <w:pStyle w:val="ACMANumberedList"/>
        <w:numPr>
          <w:ilvl w:val="0"/>
          <w:numId w:val="0"/>
        </w:numPr>
        <w:jc w:val="both"/>
        <w:rPr>
          <w:rFonts w:ascii="Arial" w:hAnsi="Arial" w:cs="Arial"/>
          <w:sz w:val="20"/>
        </w:rPr>
      </w:pPr>
    </w:p>
    <w:p w14:paraId="6F696298" w14:textId="13AEA4BC" w:rsidR="001F11C5" w:rsidRPr="00F127EE" w:rsidRDefault="00F1685B" w:rsidP="002C46ED">
      <w:pPr>
        <w:pStyle w:val="ACMANumberedList"/>
        <w:numPr>
          <w:ilvl w:val="0"/>
          <w:numId w:val="0"/>
        </w:numPr>
        <w:jc w:val="both"/>
        <w:rPr>
          <w:rFonts w:ascii="Arial" w:hAnsi="Arial" w:cs="Arial"/>
          <w:sz w:val="20"/>
        </w:rPr>
      </w:pPr>
      <w:r>
        <w:rPr>
          <w:rFonts w:ascii="Arial" w:hAnsi="Arial" w:cs="Arial"/>
          <w:sz w:val="20"/>
          <w:lang w:val="en"/>
        </w:rPr>
        <w:lastRenderedPageBreak/>
        <w:t>In September</w:t>
      </w:r>
      <w:r w:rsidR="005839A8">
        <w:rPr>
          <w:rFonts w:ascii="Arial" w:hAnsi="Arial" w:cs="Arial"/>
          <w:sz w:val="20"/>
          <w:lang w:val="en"/>
        </w:rPr>
        <w:t xml:space="preserve"> 2015</w:t>
      </w:r>
      <w:r>
        <w:rPr>
          <w:rFonts w:ascii="Arial" w:hAnsi="Arial" w:cs="Arial"/>
          <w:sz w:val="20"/>
          <w:lang w:val="en"/>
        </w:rPr>
        <w:t>, t</w:t>
      </w:r>
      <w:r w:rsidR="001F11C5" w:rsidRPr="00F127EE">
        <w:rPr>
          <w:rFonts w:ascii="Arial" w:hAnsi="Arial" w:cs="Arial"/>
          <w:sz w:val="20"/>
          <w:lang w:val="en"/>
        </w:rPr>
        <w:t xml:space="preserve">he ACMA released a </w:t>
      </w:r>
      <w:r w:rsidR="008D730C">
        <w:rPr>
          <w:rFonts w:ascii="Arial" w:hAnsi="Arial" w:cs="Arial"/>
          <w:sz w:val="20"/>
          <w:lang w:val="en"/>
        </w:rPr>
        <w:t>d</w:t>
      </w:r>
      <w:r w:rsidR="001F11C5" w:rsidRPr="00F127EE">
        <w:rPr>
          <w:rFonts w:ascii="Arial" w:hAnsi="Arial" w:cs="Arial"/>
          <w:sz w:val="20"/>
          <w:lang w:val="en"/>
        </w:rPr>
        <w:t>iscussion paper</w:t>
      </w:r>
      <w:r w:rsidR="008D730C">
        <w:rPr>
          <w:rFonts w:ascii="Arial" w:hAnsi="Arial" w:cs="Arial"/>
          <w:sz w:val="20"/>
          <w:lang w:val="en"/>
        </w:rPr>
        <w:t>,</w:t>
      </w:r>
      <w:r w:rsidR="001F11C5" w:rsidRPr="00F127EE">
        <w:rPr>
          <w:rFonts w:ascii="Arial" w:hAnsi="Arial" w:cs="Arial"/>
          <w:sz w:val="20"/>
          <w:lang w:val="en"/>
        </w:rPr>
        <w:t xml:space="preserve"> </w:t>
      </w:r>
      <w:r w:rsidR="001F11C5" w:rsidRPr="00F127EE">
        <w:rPr>
          <w:rStyle w:val="Emphasis"/>
          <w:rFonts w:ascii="Arial" w:hAnsi="Arial" w:cs="Arial"/>
          <w:sz w:val="20"/>
        </w:rPr>
        <w:t>Licensing of harmonised government spectrum in the 400 MHz band</w:t>
      </w:r>
      <w:r w:rsidR="008D730C">
        <w:rPr>
          <w:rFonts w:ascii="Arial" w:hAnsi="Arial" w:cs="Arial"/>
          <w:sz w:val="20"/>
        </w:rPr>
        <w:t>,</w:t>
      </w:r>
      <w:r w:rsidR="001F11C5" w:rsidRPr="00F127EE">
        <w:rPr>
          <w:rFonts w:ascii="Arial" w:hAnsi="Arial" w:cs="Arial"/>
          <w:sz w:val="20"/>
        </w:rPr>
        <w:t xml:space="preserve"> which detailed</w:t>
      </w:r>
      <w:r w:rsidR="001F11C5" w:rsidRPr="00F127EE">
        <w:rPr>
          <w:rFonts w:ascii="Arial" w:hAnsi="Arial" w:cs="Arial"/>
          <w:sz w:val="20"/>
          <w:lang w:val="en"/>
        </w:rPr>
        <w:t xml:space="preserve"> the proposed </w:t>
      </w:r>
      <w:r w:rsidR="008D730C" w:rsidRPr="00F127EE">
        <w:rPr>
          <w:rFonts w:ascii="Arial" w:hAnsi="Arial" w:cs="Arial"/>
          <w:sz w:val="20"/>
          <w:lang w:val="en"/>
        </w:rPr>
        <w:t>licensing</w:t>
      </w:r>
      <w:r w:rsidR="001F11C5" w:rsidRPr="00F127EE">
        <w:rPr>
          <w:rFonts w:ascii="Arial" w:hAnsi="Arial" w:cs="Arial"/>
          <w:sz w:val="20"/>
          <w:lang w:val="en"/>
        </w:rPr>
        <w:t xml:space="preserve">, engineering, governance and </w:t>
      </w:r>
      <w:r w:rsidR="003162CB">
        <w:rPr>
          <w:rFonts w:ascii="Arial" w:hAnsi="Arial" w:cs="Arial"/>
          <w:sz w:val="20"/>
          <w:lang w:val="en"/>
        </w:rPr>
        <w:t>taxation</w:t>
      </w:r>
      <w:r w:rsidR="003162CB" w:rsidRPr="00F127EE">
        <w:rPr>
          <w:rFonts w:ascii="Arial" w:hAnsi="Arial" w:cs="Arial"/>
          <w:sz w:val="20"/>
          <w:lang w:val="en"/>
        </w:rPr>
        <w:t xml:space="preserve"> </w:t>
      </w:r>
      <w:r w:rsidR="001F11C5" w:rsidRPr="00F127EE">
        <w:rPr>
          <w:rFonts w:ascii="Arial" w:hAnsi="Arial" w:cs="Arial"/>
          <w:sz w:val="20"/>
          <w:lang w:val="en"/>
        </w:rPr>
        <w:t xml:space="preserve">arrangements for HGSA licences and sought stakeholder feedback. </w:t>
      </w:r>
      <w:r w:rsidR="005839A8">
        <w:rPr>
          <w:rFonts w:ascii="Arial" w:hAnsi="Arial" w:cs="Arial"/>
          <w:sz w:val="20"/>
          <w:lang w:val="en"/>
        </w:rPr>
        <w:t xml:space="preserve"> The paper is available on the ACMA website.  </w:t>
      </w:r>
      <w:r w:rsidR="008D730C">
        <w:rPr>
          <w:rFonts w:ascii="Arial" w:hAnsi="Arial" w:cs="Arial"/>
          <w:sz w:val="20"/>
          <w:lang w:val="en"/>
        </w:rPr>
        <w:t>The paper also attached a draft Amendment Determination</w:t>
      </w:r>
      <w:r w:rsidR="002C59DB">
        <w:rPr>
          <w:rFonts w:ascii="Arial" w:hAnsi="Arial" w:cs="Arial"/>
          <w:sz w:val="20"/>
          <w:lang w:val="en"/>
        </w:rPr>
        <w:t xml:space="preserve">, </w:t>
      </w:r>
      <w:r w:rsidR="00546C03">
        <w:rPr>
          <w:rFonts w:ascii="Arial" w:hAnsi="Arial" w:cs="Arial"/>
          <w:sz w:val="20"/>
          <w:lang w:val="en"/>
        </w:rPr>
        <w:t xml:space="preserve">proposing how </w:t>
      </w:r>
      <w:r w:rsidR="002C59DB">
        <w:rPr>
          <w:rFonts w:ascii="Arial" w:hAnsi="Arial" w:cs="Arial"/>
          <w:sz w:val="20"/>
          <w:lang w:val="en"/>
        </w:rPr>
        <w:t>particular taxation arrangements for the HGSA licences</w:t>
      </w:r>
      <w:r w:rsidR="00546C03">
        <w:rPr>
          <w:rFonts w:ascii="Arial" w:hAnsi="Arial" w:cs="Arial"/>
          <w:sz w:val="20"/>
          <w:lang w:val="en"/>
        </w:rPr>
        <w:t xml:space="preserve"> may be implemented by the ACMA</w:t>
      </w:r>
      <w:r w:rsidR="002C59DB">
        <w:rPr>
          <w:rFonts w:ascii="Arial" w:hAnsi="Arial" w:cs="Arial"/>
          <w:sz w:val="20"/>
          <w:lang w:val="en"/>
        </w:rPr>
        <w:t>.</w:t>
      </w:r>
      <w:r w:rsidR="00E24EA3">
        <w:rPr>
          <w:rFonts w:ascii="Arial" w:hAnsi="Arial" w:cs="Arial"/>
          <w:sz w:val="20"/>
          <w:lang w:val="en"/>
        </w:rPr>
        <w:t xml:space="preserve"> C</w:t>
      </w:r>
      <w:r w:rsidR="001F11C5" w:rsidRPr="00F127EE">
        <w:rPr>
          <w:rFonts w:ascii="Arial" w:hAnsi="Arial" w:cs="Arial"/>
          <w:sz w:val="20"/>
          <w:lang w:val="en"/>
        </w:rPr>
        <w:t>omment</w:t>
      </w:r>
      <w:r w:rsidR="008D730C">
        <w:rPr>
          <w:rFonts w:ascii="Arial" w:hAnsi="Arial" w:cs="Arial"/>
          <w:sz w:val="20"/>
          <w:lang w:val="en"/>
        </w:rPr>
        <w:t>s</w:t>
      </w:r>
      <w:r w:rsidR="001F11C5" w:rsidRPr="00F127EE">
        <w:rPr>
          <w:rFonts w:ascii="Arial" w:hAnsi="Arial" w:cs="Arial"/>
          <w:sz w:val="20"/>
          <w:lang w:val="en"/>
        </w:rPr>
        <w:t xml:space="preserve"> w</w:t>
      </w:r>
      <w:r w:rsidR="008D730C">
        <w:rPr>
          <w:rFonts w:ascii="Arial" w:hAnsi="Arial" w:cs="Arial"/>
          <w:sz w:val="20"/>
          <w:lang w:val="en"/>
        </w:rPr>
        <w:t>ere</w:t>
      </w:r>
      <w:r w:rsidR="001F11C5" w:rsidRPr="00F127EE">
        <w:rPr>
          <w:rFonts w:ascii="Arial" w:hAnsi="Arial" w:cs="Arial"/>
          <w:sz w:val="20"/>
          <w:lang w:val="en"/>
        </w:rPr>
        <w:t xml:space="preserve"> sought on the proposed </w:t>
      </w:r>
      <w:r w:rsidR="00546C03">
        <w:rPr>
          <w:rFonts w:ascii="Arial" w:hAnsi="Arial" w:cs="Arial"/>
          <w:sz w:val="20"/>
          <w:lang w:val="en"/>
        </w:rPr>
        <w:t xml:space="preserve">policies and taxation arrangements. </w:t>
      </w:r>
      <w:r w:rsidR="001F11C5" w:rsidRPr="00F127EE">
        <w:rPr>
          <w:rFonts w:ascii="Arial" w:hAnsi="Arial" w:cs="Arial"/>
          <w:sz w:val="20"/>
          <w:lang w:val="en"/>
        </w:rPr>
        <w:t xml:space="preserve"> Nine submissions were received.</w:t>
      </w:r>
      <w:r w:rsidR="00637E01" w:rsidRPr="00F127EE">
        <w:rPr>
          <w:rFonts w:ascii="Arial" w:hAnsi="Arial" w:cs="Arial"/>
          <w:sz w:val="20"/>
          <w:lang w:val="en"/>
        </w:rPr>
        <w:t xml:space="preserve"> </w:t>
      </w:r>
      <w:r w:rsidR="00637E01" w:rsidRPr="00F127EE">
        <w:rPr>
          <w:rFonts w:ascii="Arial" w:hAnsi="Arial" w:cs="Arial"/>
          <w:color w:val="000000"/>
          <w:sz w:val="20"/>
        </w:rPr>
        <w:t xml:space="preserve">The ACMA considered the views from stakeholders and has taken them into account </w:t>
      </w:r>
      <w:r w:rsidR="00692C5D">
        <w:rPr>
          <w:rFonts w:ascii="Arial" w:hAnsi="Arial" w:cs="Arial"/>
          <w:color w:val="000000"/>
          <w:sz w:val="20"/>
        </w:rPr>
        <w:t xml:space="preserve">by adjusting the base amounts used to calculate the taxes and in </w:t>
      </w:r>
      <w:r w:rsidR="00CB3339">
        <w:rPr>
          <w:rFonts w:ascii="Arial" w:hAnsi="Arial" w:cs="Arial"/>
          <w:color w:val="000000"/>
          <w:sz w:val="20"/>
        </w:rPr>
        <w:t xml:space="preserve">amending </w:t>
      </w:r>
      <w:r w:rsidR="00692C5D">
        <w:rPr>
          <w:rFonts w:ascii="Arial" w:hAnsi="Arial" w:cs="Arial"/>
          <w:color w:val="000000"/>
          <w:sz w:val="20"/>
        </w:rPr>
        <w:t>the transmit frequencies to be included in the HGSA licences</w:t>
      </w:r>
      <w:r w:rsidR="00637E01" w:rsidRPr="00F127EE">
        <w:rPr>
          <w:rFonts w:ascii="Arial" w:hAnsi="Arial" w:cs="Arial"/>
          <w:color w:val="000000"/>
          <w:sz w:val="20"/>
        </w:rPr>
        <w:t>.</w:t>
      </w:r>
      <w:r w:rsidR="00692C5D" w:rsidRPr="00F127EE">
        <w:rPr>
          <w:rFonts w:ascii="Arial" w:hAnsi="Arial" w:cs="Arial"/>
          <w:sz w:val="20"/>
        </w:rPr>
        <w:t xml:space="preserve"> </w:t>
      </w:r>
    </w:p>
    <w:p w14:paraId="38F842DA" w14:textId="77777777" w:rsidR="001F11C5" w:rsidRPr="00F127EE" w:rsidRDefault="001F11C5" w:rsidP="002C46ED">
      <w:pPr>
        <w:pStyle w:val="ACMANumberedList"/>
        <w:numPr>
          <w:ilvl w:val="0"/>
          <w:numId w:val="0"/>
        </w:numPr>
        <w:jc w:val="both"/>
        <w:rPr>
          <w:rFonts w:ascii="Arial" w:hAnsi="Arial" w:cs="Arial"/>
          <w:sz w:val="20"/>
        </w:rPr>
      </w:pPr>
    </w:p>
    <w:p w14:paraId="67980C0A" w14:textId="71E09110" w:rsidR="0007065C" w:rsidRDefault="0007065C" w:rsidP="002C46ED">
      <w:pPr>
        <w:pStyle w:val="ACMANumberedList"/>
        <w:numPr>
          <w:ilvl w:val="0"/>
          <w:numId w:val="0"/>
        </w:numPr>
        <w:spacing w:after="120"/>
        <w:jc w:val="both"/>
        <w:rPr>
          <w:rFonts w:ascii="Arial" w:hAnsi="Arial" w:cs="Arial"/>
          <w:b/>
          <w:color w:val="262626"/>
          <w:sz w:val="20"/>
        </w:rPr>
      </w:pPr>
      <w:r>
        <w:rPr>
          <w:rFonts w:ascii="Arial" w:hAnsi="Arial" w:cs="Arial"/>
          <w:b/>
          <w:color w:val="262626"/>
          <w:sz w:val="20"/>
        </w:rPr>
        <w:t>Documents incorporated with reference</w:t>
      </w:r>
    </w:p>
    <w:p w14:paraId="1C472EF1" w14:textId="749FC949" w:rsidR="0007065C" w:rsidRDefault="00245478" w:rsidP="002C46ED">
      <w:pPr>
        <w:pStyle w:val="ACMANumberedList"/>
        <w:numPr>
          <w:ilvl w:val="0"/>
          <w:numId w:val="0"/>
        </w:numPr>
        <w:spacing w:after="120"/>
        <w:jc w:val="both"/>
        <w:rPr>
          <w:rFonts w:ascii="Arial" w:hAnsi="Arial" w:cs="Arial"/>
          <w:color w:val="262626"/>
          <w:sz w:val="20"/>
        </w:rPr>
      </w:pPr>
      <w:r>
        <w:rPr>
          <w:rFonts w:ascii="Arial" w:hAnsi="Arial" w:cs="Arial"/>
          <w:color w:val="262626"/>
          <w:sz w:val="20"/>
        </w:rPr>
        <w:t>In accordance with paragraph 14(1</w:t>
      </w:r>
      <w:proofErr w:type="gramStart"/>
      <w:r>
        <w:rPr>
          <w:rFonts w:ascii="Arial" w:hAnsi="Arial" w:cs="Arial"/>
          <w:color w:val="262626"/>
          <w:sz w:val="20"/>
        </w:rPr>
        <w:t>)(</w:t>
      </w:r>
      <w:proofErr w:type="gramEnd"/>
      <w:r>
        <w:rPr>
          <w:rFonts w:ascii="Arial" w:hAnsi="Arial" w:cs="Arial"/>
          <w:color w:val="262626"/>
          <w:sz w:val="20"/>
        </w:rPr>
        <w:t>a) of the LIA, t</w:t>
      </w:r>
      <w:r w:rsidR="0007065C">
        <w:rPr>
          <w:rFonts w:ascii="Arial" w:hAnsi="Arial" w:cs="Arial"/>
          <w:color w:val="262626"/>
          <w:sz w:val="20"/>
        </w:rPr>
        <w:t xml:space="preserve">he following </w:t>
      </w:r>
      <w:r>
        <w:rPr>
          <w:rFonts w:ascii="Arial" w:hAnsi="Arial" w:cs="Arial"/>
          <w:color w:val="262626"/>
          <w:sz w:val="20"/>
        </w:rPr>
        <w:t xml:space="preserve">instrument </w:t>
      </w:r>
      <w:r w:rsidR="0007065C">
        <w:rPr>
          <w:rFonts w:ascii="Arial" w:hAnsi="Arial" w:cs="Arial"/>
          <w:color w:val="262626"/>
          <w:sz w:val="20"/>
        </w:rPr>
        <w:t>is incorporated by reference</w:t>
      </w:r>
      <w:r>
        <w:rPr>
          <w:rFonts w:ascii="Arial" w:hAnsi="Arial" w:cs="Arial"/>
          <w:color w:val="262626"/>
          <w:sz w:val="20"/>
        </w:rPr>
        <w:t>, as in force from time to time</w:t>
      </w:r>
      <w:r w:rsidR="0007065C">
        <w:rPr>
          <w:rFonts w:ascii="Arial" w:hAnsi="Arial" w:cs="Arial"/>
          <w:color w:val="262626"/>
          <w:sz w:val="20"/>
        </w:rPr>
        <w:t>:</w:t>
      </w:r>
    </w:p>
    <w:p w14:paraId="738717DB" w14:textId="30F9EC95" w:rsidR="0007065C" w:rsidRPr="0007065C" w:rsidRDefault="0007065C" w:rsidP="0007065C">
      <w:pPr>
        <w:pStyle w:val="ACMANumberedList"/>
        <w:numPr>
          <w:ilvl w:val="0"/>
          <w:numId w:val="58"/>
        </w:numPr>
        <w:spacing w:after="120"/>
        <w:jc w:val="both"/>
        <w:rPr>
          <w:rFonts w:ascii="Arial" w:hAnsi="Arial" w:cs="Arial"/>
          <w:color w:val="262626"/>
          <w:sz w:val="20"/>
        </w:rPr>
      </w:pPr>
      <w:r w:rsidRPr="0007065C">
        <w:rPr>
          <w:rFonts w:ascii="Arial" w:hAnsi="Arial" w:cs="Arial"/>
          <w:i/>
          <w:sz w:val="20"/>
          <w:lang w:eastAsia="en-AU"/>
        </w:rPr>
        <w:t>Radiocommunications (Mid-West Radio Quiet Zone) Frequency Band Plan 2011</w:t>
      </w:r>
      <w:r>
        <w:rPr>
          <w:rFonts w:ascii="Arial" w:hAnsi="Arial" w:cs="Arial"/>
          <w:sz w:val="20"/>
          <w:lang w:eastAsia="en-AU"/>
        </w:rPr>
        <w:t>.</w:t>
      </w:r>
    </w:p>
    <w:p w14:paraId="60691A6C" w14:textId="7E97CDB5" w:rsidR="00245478" w:rsidRDefault="00245478" w:rsidP="002C46ED">
      <w:pPr>
        <w:pStyle w:val="ACMANumberedList"/>
        <w:numPr>
          <w:ilvl w:val="0"/>
          <w:numId w:val="0"/>
        </w:numPr>
        <w:spacing w:after="120"/>
        <w:jc w:val="both"/>
        <w:rPr>
          <w:rFonts w:ascii="Arial" w:hAnsi="Arial" w:cs="Arial"/>
          <w:b/>
          <w:color w:val="262626"/>
          <w:sz w:val="20"/>
        </w:rPr>
      </w:pPr>
      <w:r>
        <w:rPr>
          <w:rFonts w:ascii="Arial" w:hAnsi="Arial" w:cs="Arial"/>
          <w:color w:val="262626"/>
          <w:sz w:val="20"/>
        </w:rPr>
        <w:t xml:space="preserve">This instrument is available from the </w:t>
      </w:r>
      <w:proofErr w:type="spellStart"/>
      <w:r>
        <w:rPr>
          <w:rFonts w:ascii="Arial" w:hAnsi="Arial" w:cs="Arial"/>
          <w:color w:val="262626"/>
          <w:sz w:val="20"/>
        </w:rPr>
        <w:t>Comlaw</w:t>
      </w:r>
      <w:proofErr w:type="spellEnd"/>
      <w:r>
        <w:rPr>
          <w:rFonts w:ascii="Arial" w:hAnsi="Arial" w:cs="Arial"/>
          <w:color w:val="262626"/>
          <w:sz w:val="20"/>
        </w:rPr>
        <w:t xml:space="preserve"> website:  </w:t>
      </w:r>
      <w:hyperlink r:id="rId9" w:history="1">
        <w:r w:rsidR="00E84B55" w:rsidRPr="00E84B55">
          <w:rPr>
            <w:rStyle w:val="Hyperlink"/>
            <w:rFonts w:ascii="Arial" w:hAnsi="Arial" w:cs="Arial"/>
            <w:sz w:val="20"/>
          </w:rPr>
          <w:t>http://www.comlaw.gov.au</w:t>
        </w:r>
      </w:hyperlink>
      <w:r>
        <w:rPr>
          <w:rFonts w:ascii="Arial" w:hAnsi="Arial" w:cs="Arial"/>
          <w:color w:val="262626"/>
          <w:sz w:val="20"/>
        </w:rPr>
        <w:t>.</w:t>
      </w:r>
    </w:p>
    <w:p w14:paraId="24728392" w14:textId="6DAD0FE1" w:rsidR="00141D1B" w:rsidRPr="00F127EE" w:rsidRDefault="00141D1B" w:rsidP="002C46ED">
      <w:pPr>
        <w:pStyle w:val="ACMANumberedList"/>
        <w:numPr>
          <w:ilvl w:val="0"/>
          <w:numId w:val="0"/>
        </w:numPr>
        <w:spacing w:after="120"/>
        <w:jc w:val="both"/>
        <w:rPr>
          <w:rFonts w:ascii="Arial" w:hAnsi="Arial" w:cs="Arial"/>
          <w:b/>
          <w:color w:val="262626"/>
          <w:sz w:val="20"/>
        </w:rPr>
      </w:pPr>
      <w:r w:rsidRPr="00F127EE">
        <w:rPr>
          <w:rFonts w:ascii="Arial" w:hAnsi="Arial" w:cs="Arial"/>
          <w:b/>
          <w:color w:val="262626"/>
          <w:sz w:val="20"/>
        </w:rPr>
        <w:t>Regulatory Impact</w:t>
      </w:r>
      <w:r w:rsidR="00E24EA3">
        <w:rPr>
          <w:rFonts w:ascii="Arial" w:hAnsi="Arial" w:cs="Arial"/>
          <w:b/>
          <w:color w:val="262626"/>
          <w:sz w:val="20"/>
        </w:rPr>
        <w:t xml:space="preserve"> Statement (RIS)</w:t>
      </w:r>
    </w:p>
    <w:p w14:paraId="368D0CBD" w14:textId="06687804" w:rsidR="00141D1B" w:rsidRPr="00F127EE" w:rsidRDefault="00141D1B" w:rsidP="002C46ED">
      <w:pPr>
        <w:contextualSpacing/>
        <w:jc w:val="both"/>
        <w:rPr>
          <w:rFonts w:cs="Arial"/>
        </w:rPr>
      </w:pPr>
      <w:r w:rsidRPr="00F127EE">
        <w:rPr>
          <w:rFonts w:cs="Arial"/>
        </w:rPr>
        <w:t>The Office of Best Practice Regulation (</w:t>
      </w:r>
      <w:r w:rsidRPr="00A90022">
        <w:rPr>
          <w:rFonts w:cs="Arial"/>
          <w:b/>
        </w:rPr>
        <w:t>OBPR</w:t>
      </w:r>
      <w:r w:rsidRPr="00F127EE">
        <w:rPr>
          <w:rFonts w:cs="Arial"/>
        </w:rPr>
        <w:t xml:space="preserve">) has considered the </w:t>
      </w:r>
      <w:r w:rsidR="00FF04F3" w:rsidRPr="00F127EE">
        <w:rPr>
          <w:rFonts w:cs="Arial"/>
        </w:rPr>
        <w:t xml:space="preserve">routine annual </w:t>
      </w:r>
      <w:r w:rsidR="00E24EA3">
        <w:rPr>
          <w:rFonts w:cs="Arial"/>
        </w:rPr>
        <w:t>increase in</w:t>
      </w:r>
      <w:r w:rsidR="00D05C12" w:rsidRPr="00F127EE">
        <w:rPr>
          <w:rFonts w:cs="Arial"/>
        </w:rPr>
        <w:t xml:space="preserve"> licence tax rates </w:t>
      </w:r>
      <w:r w:rsidR="00FF04F3" w:rsidRPr="00F127EE">
        <w:rPr>
          <w:rFonts w:cs="Arial"/>
        </w:rPr>
        <w:t>by CPI</w:t>
      </w:r>
      <w:r w:rsidR="00E24EA3">
        <w:rPr>
          <w:rFonts w:cs="Arial"/>
        </w:rPr>
        <w:t>,</w:t>
      </w:r>
      <w:r w:rsidRPr="00F127EE">
        <w:rPr>
          <w:rFonts w:cs="Arial"/>
        </w:rPr>
        <w:t xml:space="preserve"> and formed the opinion that no regulatory impact analysis is required. The OBPR reference number is ID1</w:t>
      </w:r>
      <w:r w:rsidR="005B787B" w:rsidRPr="00F127EE">
        <w:rPr>
          <w:rFonts w:cs="Arial"/>
        </w:rPr>
        <w:t>2297</w:t>
      </w:r>
      <w:r w:rsidRPr="00F127EE">
        <w:rPr>
          <w:rFonts w:cs="Arial"/>
        </w:rPr>
        <w:t>.</w:t>
      </w:r>
    </w:p>
    <w:p w14:paraId="5C2E8008" w14:textId="77777777" w:rsidR="00826554" w:rsidRPr="00F127EE" w:rsidRDefault="00826554" w:rsidP="002C46ED">
      <w:pPr>
        <w:jc w:val="both"/>
        <w:rPr>
          <w:rFonts w:cs="Arial"/>
        </w:rPr>
      </w:pPr>
    </w:p>
    <w:p w14:paraId="7EF296C8" w14:textId="44C46FBB" w:rsidR="00826554" w:rsidRPr="00F127EE" w:rsidRDefault="00826554" w:rsidP="002C46ED">
      <w:pPr>
        <w:jc w:val="both"/>
        <w:rPr>
          <w:rFonts w:cs="Arial"/>
          <w:snapToGrid w:val="0"/>
        </w:rPr>
      </w:pPr>
      <w:r w:rsidRPr="00F127EE">
        <w:rPr>
          <w:rFonts w:cs="Arial"/>
          <w:snapToGrid w:val="0"/>
        </w:rPr>
        <w:t xml:space="preserve">In April 2012, the ACMA released the general consultation paper </w:t>
      </w:r>
      <w:r w:rsidRPr="00F127EE">
        <w:rPr>
          <w:rFonts w:cs="Arial"/>
          <w:i/>
          <w:snapToGrid w:val="0"/>
        </w:rPr>
        <w:t>Adoption of opportunity cost prices for apparatus licences in the 400 MHz band</w:t>
      </w:r>
      <w:r w:rsidRPr="00F127EE">
        <w:rPr>
          <w:rFonts w:cs="Arial"/>
          <w:snapToGrid w:val="0"/>
        </w:rPr>
        <w:t xml:space="preserve"> seeking views on the methodology and proposed </w:t>
      </w:r>
      <w:r w:rsidR="00CB3339">
        <w:rPr>
          <w:rFonts w:cs="Arial"/>
          <w:snapToGrid w:val="0"/>
        </w:rPr>
        <w:t>OC</w:t>
      </w:r>
      <w:r w:rsidR="002C59DB">
        <w:rPr>
          <w:rFonts w:cs="Arial"/>
          <w:snapToGrid w:val="0"/>
        </w:rPr>
        <w:t>-</w:t>
      </w:r>
      <w:r w:rsidRPr="00F127EE">
        <w:rPr>
          <w:rFonts w:cs="Arial"/>
          <w:snapToGrid w:val="0"/>
        </w:rPr>
        <w:t xml:space="preserve">based licence tax rates to be set in the HDAs </w:t>
      </w:r>
      <w:r w:rsidR="0034053C">
        <w:rPr>
          <w:rFonts w:cs="Arial"/>
          <w:snapToGrid w:val="0"/>
        </w:rPr>
        <w:t xml:space="preserve">in relation to </w:t>
      </w:r>
      <w:r w:rsidRPr="00F127EE">
        <w:rPr>
          <w:rFonts w:cs="Arial"/>
          <w:snapToGrid w:val="0"/>
        </w:rPr>
        <w:t xml:space="preserve">the </w:t>
      </w:r>
      <w:r w:rsidR="0034053C">
        <w:rPr>
          <w:rFonts w:cs="Arial"/>
          <w:snapToGrid w:val="0"/>
        </w:rPr>
        <w:t xml:space="preserve">400 MHz </w:t>
      </w:r>
      <w:r w:rsidRPr="00F127EE">
        <w:rPr>
          <w:rFonts w:cs="Arial"/>
          <w:snapToGrid w:val="0"/>
        </w:rPr>
        <w:t>band</w:t>
      </w:r>
      <w:r w:rsidR="009E204A">
        <w:rPr>
          <w:rFonts w:cs="Arial"/>
          <w:snapToGrid w:val="0"/>
        </w:rPr>
        <w:t>,</w:t>
      </w:r>
      <w:r w:rsidRPr="00F127EE">
        <w:rPr>
          <w:rFonts w:cs="Arial"/>
          <w:snapToGrid w:val="0"/>
        </w:rPr>
        <w:t xml:space="preserve"> and flagging the introduction of </w:t>
      </w:r>
      <w:r w:rsidR="00FE2EAA">
        <w:rPr>
          <w:rFonts w:cs="Arial"/>
          <w:snapToGrid w:val="0"/>
        </w:rPr>
        <w:t>OC</w:t>
      </w:r>
      <w:r w:rsidRPr="00F127EE">
        <w:rPr>
          <w:rFonts w:cs="Arial"/>
          <w:snapToGrid w:val="0"/>
        </w:rPr>
        <w:t xml:space="preserve"> principles in setting the licence tax rate </w:t>
      </w:r>
      <w:r w:rsidR="0034053C">
        <w:rPr>
          <w:rFonts w:cs="Arial"/>
          <w:snapToGrid w:val="0"/>
        </w:rPr>
        <w:t>in</w:t>
      </w:r>
      <w:r w:rsidR="0034053C" w:rsidRPr="00F127EE">
        <w:rPr>
          <w:rFonts w:cs="Arial"/>
          <w:snapToGrid w:val="0"/>
        </w:rPr>
        <w:t xml:space="preserve"> </w:t>
      </w:r>
      <w:r w:rsidRPr="00F127EE">
        <w:rPr>
          <w:rFonts w:cs="Arial"/>
          <w:snapToGrid w:val="0"/>
        </w:rPr>
        <w:t xml:space="preserve">RDAs </w:t>
      </w:r>
      <w:r w:rsidR="0034053C">
        <w:rPr>
          <w:rFonts w:cs="Arial"/>
          <w:snapToGrid w:val="0"/>
        </w:rPr>
        <w:t xml:space="preserve">in relation to </w:t>
      </w:r>
      <w:r w:rsidRPr="00F127EE">
        <w:rPr>
          <w:rFonts w:cs="Arial"/>
          <w:snapToGrid w:val="0"/>
        </w:rPr>
        <w:t>the 400 MHz band. The ACMA undertook a RIS which OBPR endorsed - reference Number 13381.</w:t>
      </w:r>
    </w:p>
    <w:p w14:paraId="3B8F7BBB" w14:textId="77777777" w:rsidR="00826554" w:rsidRPr="00F127EE" w:rsidRDefault="00826554" w:rsidP="002C46ED">
      <w:pPr>
        <w:jc w:val="both"/>
        <w:rPr>
          <w:rFonts w:cs="Arial"/>
          <w:snapToGrid w:val="0"/>
        </w:rPr>
      </w:pPr>
    </w:p>
    <w:p w14:paraId="0A8A7F31" w14:textId="3DA93369" w:rsidR="00826554" w:rsidRPr="00F127EE" w:rsidRDefault="00AB4994" w:rsidP="002C46ED">
      <w:pPr>
        <w:jc w:val="both"/>
        <w:rPr>
          <w:rFonts w:cs="Arial"/>
          <w:snapToGrid w:val="0"/>
        </w:rPr>
      </w:pPr>
      <w:r w:rsidRPr="00F127EE">
        <w:rPr>
          <w:rFonts w:cs="Arial"/>
          <w:snapToGrid w:val="0"/>
        </w:rPr>
        <w:t>T</w:t>
      </w:r>
      <w:r w:rsidR="00826554" w:rsidRPr="00F127EE">
        <w:rPr>
          <w:rFonts w:cs="Arial"/>
          <w:snapToGrid w:val="0"/>
        </w:rPr>
        <w:t xml:space="preserve">he ACMA </w:t>
      </w:r>
      <w:r w:rsidRPr="00F127EE">
        <w:rPr>
          <w:rFonts w:cs="Arial"/>
          <w:snapToGrid w:val="0"/>
        </w:rPr>
        <w:t xml:space="preserve">also </w:t>
      </w:r>
      <w:r w:rsidR="00826554" w:rsidRPr="00F127EE">
        <w:rPr>
          <w:rFonts w:cs="Arial"/>
          <w:snapToGrid w:val="0"/>
        </w:rPr>
        <w:t xml:space="preserve">considered whether a regulatory impact analysis process is required by undertaking a preliminary assessment of the impact of the introduction of </w:t>
      </w:r>
      <w:r w:rsidR="00FE2EAA">
        <w:rPr>
          <w:rFonts w:cs="Arial"/>
          <w:snapToGrid w:val="0"/>
        </w:rPr>
        <w:t>OC</w:t>
      </w:r>
      <w:r w:rsidR="00826554" w:rsidRPr="00F127EE">
        <w:rPr>
          <w:rFonts w:cs="Arial"/>
          <w:snapToGrid w:val="0"/>
        </w:rPr>
        <w:t xml:space="preserve"> principles in </w:t>
      </w:r>
      <w:r w:rsidR="007B53DE">
        <w:rPr>
          <w:rFonts w:cs="Arial"/>
          <w:snapToGrid w:val="0"/>
        </w:rPr>
        <w:t>RDAs in relation to</w:t>
      </w:r>
      <w:r w:rsidR="00826554" w:rsidRPr="00F127EE">
        <w:rPr>
          <w:rFonts w:cs="Arial"/>
          <w:snapToGrid w:val="0"/>
        </w:rPr>
        <w:t xml:space="preserve"> the 400 MHz band.  Based on this preliminary assessment the OBPR has determined that the proposed regulatory change in the </w:t>
      </w:r>
      <w:r w:rsidR="00546C03">
        <w:rPr>
          <w:rFonts w:cs="Arial"/>
          <w:snapToGrid w:val="0"/>
        </w:rPr>
        <w:t>RDAs</w:t>
      </w:r>
      <w:r w:rsidR="00826554" w:rsidRPr="00F127EE">
        <w:rPr>
          <w:rFonts w:cs="Arial"/>
          <w:snapToGrid w:val="0"/>
        </w:rPr>
        <w:t xml:space="preserve"> of the 400 MHz band is minor or machinery in nature and has therefore verified that no further regulatory impact analysis is required – OBPR reference number 14683.</w:t>
      </w:r>
    </w:p>
    <w:p w14:paraId="7E3E2E7F" w14:textId="77777777" w:rsidR="00826554" w:rsidRPr="00F127EE" w:rsidRDefault="00826554" w:rsidP="002C46ED">
      <w:pPr>
        <w:contextualSpacing/>
        <w:jc w:val="both"/>
        <w:rPr>
          <w:rFonts w:cs="Arial"/>
        </w:rPr>
      </w:pPr>
    </w:p>
    <w:p w14:paraId="63F02805" w14:textId="57FFDD69" w:rsidR="00752D6F" w:rsidRPr="00F127EE" w:rsidRDefault="00AB4994" w:rsidP="002C46ED">
      <w:pPr>
        <w:contextualSpacing/>
        <w:jc w:val="both"/>
        <w:rPr>
          <w:rFonts w:cs="Arial"/>
        </w:rPr>
      </w:pPr>
      <w:r w:rsidRPr="00F127EE">
        <w:t xml:space="preserve">Further, the ACMA </w:t>
      </w:r>
      <w:r w:rsidR="00752D6F" w:rsidRPr="00F127EE">
        <w:t xml:space="preserve">considered whether a regulatory impact analysis process is required </w:t>
      </w:r>
      <w:r w:rsidRPr="00F127EE">
        <w:t>to implement</w:t>
      </w:r>
      <w:r w:rsidR="007B53DE">
        <w:t xml:space="preserve"> </w:t>
      </w:r>
      <w:r w:rsidR="002C59DB">
        <w:t xml:space="preserve">new </w:t>
      </w:r>
      <w:r w:rsidR="007B53DE">
        <w:t>tax</w:t>
      </w:r>
      <w:r w:rsidR="002C59DB">
        <w:t>ation</w:t>
      </w:r>
      <w:r w:rsidR="007B53DE">
        <w:t xml:space="preserve"> arrangements for</w:t>
      </w:r>
      <w:r w:rsidRPr="00F127EE">
        <w:t xml:space="preserve"> the </w:t>
      </w:r>
      <w:r w:rsidR="007B53DE">
        <w:t xml:space="preserve">HGSA licences </w:t>
      </w:r>
      <w:r w:rsidR="00752D6F" w:rsidRPr="00F127EE">
        <w:t>by undertaking a preliminary assessment</w:t>
      </w:r>
      <w:r w:rsidRPr="00F127EE">
        <w:t>.  B</w:t>
      </w:r>
      <w:r w:rsidR="00752D6F" w:rsidRPr="00F127EE">
        <w:t>ased on this preliminary assessment</w:t>
      </w:r>
      <w:r w:rsidRPr="00F127EE">
        <w:t>, t</w:t>
      </w:r>
      <w:r w:rsidR="00752D6F" w:rsidRPr="00F127EE">
        <w:t xml:space="preserve">he </w:t>
      </w:r>
      <w:r w:rsidR="00FF04F3" w:rsidRPr="00F127EE">
        <w:t>OBPR</w:t>
      </w:r>
      <w:r w:rsidR="00752D6F" w:rsidRPr="00F127EE">
        <w:t xml:space="preserve"> has determined that the proposed regulatory change is minor or machinery in nature and has verified that no further regulatory impact analysis is required – OBPR reference number 11209.</w:t>
      </w:r>
    </w:p>
    <w:p w14:paraId="328ACB14" w14:textId="77777777" w:rsidR="005B787B" w:rsidRPr="00F127EE" w:rsidRDefault="005B787B" w:rsidP="002C46ED">
      <w:pPr>
        <w:spacing w:before="240" w:after="120" w:line="280" w:lineRule="atLeast"/>
        <w:jc w:val="both"/>
        <w:rPr>
          <w:rFonts w:cs="Arial"/>
          <w:b/>
          <w:color w:val="262626"/>
        </w:rPr>
      </w:pPr>
      <w:r w:rsidRPr="00F127EE">
        <w:rPr>
          <w:rFonts w:cs="Arial"/>
          <w:b/>
          <w:color w:val="262626"/>
        </w:rPr>
        <w:t>Amendment Determination Details</w:t>
      </w:r>
    </w:p>
    <w:p w14:paraId="119D8B5F" w14:textId="77777777" w:rsidR="005B787B" w:rsidRPr="00F127EE" w:rsidRDefault="005B787B" w:rsidP="002C46ED">
      <w:pPr>
        <w:spacing w:before="80" w:after="120" w:line="280" w:lineRule="atLeast"/>
        <w:jc w:val="both"/>
        <w:rPr>
          <w:rFonts w:cs="Arial"/>
          <w:color w:val="262626"/>
        </w:rPr>
      </w:pPr>
      <w:r w:rsidRPr="00F127EE">
        <w:rPr>
          <w:rFonts w:cs="Arial"/>
          <w:color w:val="262626"/>
        </w:rPr>
        <w:t xml:space="preserve">Details of the Amendment Determination are provided </w:t>
      </w:r>
      <w:r w:rsidR="00264F85" w:rsidRPr="00F127EE">
        <w:rPr>
          <w:rFonts w:cs="Arial"/>
          <w:color w:val="262626"/>
        </w:rPr>
        <w:t>in</w:t>
      </w:r>
      <w:r w:rsidRPr="00F127EE">
        <w:rPr>
          <w:rFonts w:cs="Arial"/>
          <w:color w:val="262626"/>
        </w:rPr>
        <w:t xml:space="preserve"> </w:t>
      </w:r>
      <w:r w:rsidRPr="00F127EE">
        <w:rPr>
          <w:rFonts w:cs="Arial"/>
          <w:b/>
          <w:color w:val="262626"/>
        </w:rPr>
        <w:t>Attachment</w:t>
      </w:r>
      <w:r w:rsidR="001F0ED7" w:rsidRPr="00F127EE">
        <w:rPr>
          <w:rFonts w:cs="Arial"/>
          <w:b/>
          <w:color w:val="262626"/>
        </w:rPr>
        <w:t xml:space="preserve"> 1</w:t>
      </w:r>
      <w:r w:rsidRPr="00F127EE">
        <w:rPr>
          <w:rFonts w:cs="Arial"/>
          <w:color w:val="262626"/>
        </w:rPr>
        <w:t>.</w:t>
      </w:r>
    </w:p>
    <w:p w14:paraId="63F86B77" w14:textId="77777777" w:rsidR="00C747E9" w:rsidRPr="00F127EE" w:rsidRDefault="00C747E9" w:rsidP="002C46ED">
      <w:pPr>
        <w:spacing w:before="240" w:after="120" w:line="280" w:lineRule="atLeast"/>
        <w:jc w:val="both"/>
        <w:rPr>
          <w:rFonts w:cs="Arial"/>
          <w:b/>
          <w:color w:val="262626"/>
        </w:rPr>
      </w:pPr>
      <w:r w:rsidRPr="00F127EE">
        <w:rPr>
          <w:rFonts w:cs="Arial"/>
          <w:b/>
          <w:color w:val="262626"/>
        </w:rPr>
        <w:t>Statement of Compatibility with Human Rights</w:t>
      </w:r>
    </w:p>
    <w:p w14:paraId="26A09363" w14:textId="4B9AAA38" w:rsidR="007B53DE" w:rsidRPr="00943D9A" w:rsidRDefault="007B53DE" w:rsidP="00BE69BD">
      <w:pPr>
        <w:spacing w:after="240"/>
        <w:jc w:val="both"/>
        <w:rPr>
          <w:rFonts w:cs="Arial"/>
          <w:lang w:eastAsia="en-AU"/>
        </w:rPr>
      </w:pPr>
      <w:r>
        <w:rPr>
          <w:rFonts w:cs="Arial"/>
          <w:lang w:eastAsia="en-AU"/>
        </w:rPr>
        <w:t xml:space="preserve">In accordance with Part 3 of the </w:t>
      </w:r>
      <w:r>
        <w:rPr>
          <w:rFonts w:cs="Arial"/>
          <w:i/>
          <w:lang w:eastAsia="en-AU"/>
        </w:rPr>
        <w:t xml:space="preserve">Human Rights (Parliamentary Scrutiny) Act 2011 </w:t>
      </w:r>
      <w:r>
        <w:rPr>
          <w:rFonts w:cs="Arial"/>
          <w:lang w:eastAsia="en-AU"/>
        </w:rPr>
        <w:t>t</w:t>
      </w:r>
      <w:r w:rsidRPr="00943D9A">
        <w:rPr>
          <w:rFonts w:cs="Arial"/>
          <w:lang w:eastAsia="en-AU"/>
        </w:rPr>
        <w:t>he ACMA has considered whether the</w:t>
      </w:r>
      <w:r>
        <w:rPr>
          <w:rFonts w:cs="Arial"/>
          <w:lang w:eastAsia="en-AU"/>
        </w:rPr>
        <w:t xml:space="preserve"> Amendment</w:t>
      </w:r>
      <w:r w:rsidRPr="00943D9A">
        <w:rPr>
          <w:rFonts w:cs="Arial"/>
          <w:lang w:eastAsia="en-AU"/>
        </w:rPr>
        <w:t xml:space="preserve"> Determination engages any applicable human rights </w:t>
      </w:r>
      <w:r>
        <w:rPr>
          <w:rFonts w:cs="Arial"/>
          <w:lang w:eastAsia="en-AU"/>
        </w:rPr>
        <w:t xml:space="preserve">and </w:t>
      </w:r>
      <w:r w:rsidRPr="00943D9A">
        <w:rPr>
          <w:rFonts w:cs="Arial"/>
          <w:lang w:eastAsia="en-AU"/>
        </w:rPr>
        <w:t xml:space="preserve">freedoms </w:t>
      </w:r>
      <w:r>
        <w:rPr>
          <w:rFonts w:cs="Arial"/>
          <w:lang w:eastAsia="en-AU"/>
        </w:rPr>
        <w:t xml:space="preserve">recognised or declared in the international instruments listed in section 3 of the </w:t>
      </w:r>
      <w:r>
        <w:rPr>
          <w:rFonts w:cs="Arial"/>
          <w:i/>
          <w:lang w:eastAsia="en-AU"/>
        </w:rPr>
        <w:t>Human Rights (Parliamentary Scrutiny) Act 2011</w:t>
      </w:r>
      <w:r>
        <w:rPr>
          <w:rFonts w:cs="Arial"/>
          <w:lang w:eastAsia="en-AU"/>
        </w:rPr>
        <w:t>,</w:t>
      </w:r>
      <w:r>
        <w:rPr>
          <w:rFonts w:cs="Arial"/>
          <w:i/>
          <w:lang w:eastAsia="en-AU"/>
        </w:rPr>
        <w:t xml:space="preserve"> </w:t>
      </w:r>
      <w:r w:rsidRPr="00943D9A">
        <w:rPr>
          <w:rFonts w:cs="Arial"/>
          <w:lang w:eastAsia="en-AU"/>
        </w:rPr>
        <w:t xml:space="preserve">and has formed the view that it does not.  </w:t>
      </w:r>
      <w:r>
        <w:rPr>
          <w:rFonts w:cs="Arial"/>
          <w:lang w:eastAsia="en-AU"/>
        </w:rPr>
        <w:t xml:space="preserve">The Amendment Determination is made under subsection 7(1) of the Act and amends the Determination by changing the tax amounts payable by licensees to account for an increase in CPI, to implement the ACMA’s </w:t>
      </w:r>
      <w:r w:rsidR="00CB3339">
        <w:rPr>
          <w:rFonts w:cs="Arial"/>
          <w:lang w:eastAsia="en-AU"/>
        </w:rPr>
        <w:t>OC</w:t>
      </w:r>
      <w:r>
        <w:rPr>
          <w:rFonts w:cs="Arial"/>
          <w:lang w:eastAsia="en-AU"/>
        </w:rPr>
        <w:t xml:space="preserve"> pricing principles </w:t>
      </w:r>
      <w:r w:rsidR="009B37EA">
        <w:rPr>
          <w:rFonts w:cs="Arial"/>
          <w:lang w:eastAsia="en-AU"/>
        </w:rPr>
        <w:t xml:space="preserve">in the 400 MHz band, </w:t>
      </w:r>
      <w:r>
        <w:rPr>
          <w:rFonts w:cs="Arial"/>
          <w:lang w:eastAsia="en-AU"/>
        </w:rPr>
        <w:t xml:space="preserve">and to implement </w:t>
      </w:r>
      <w:r w:rsidR="002C59DB">
        <w:rPr>
          <w:rFonts w:cs="Arial"/>
          <w:lang w:eastAsia="en-AU"/>
        </w:rPr>
        <w:t>a new taxation</w:t>
      </w:r>
      <w:r>
        <w:rPr>
          <w:rFonts w:cs="Arial"/>
          <w:lang w:eastAsia="en-AU"/>
        </w:rPr>
        <w:t xml:space="preserve"> regime </w:t>
      </w:r>
      <w:r>
        <w:rPr>
          <w:rFonts w:cs="Arial"/>
          <w:lang w:eastAsia="en-AU"/>
        </w:rPr>
        <w:lastRenderedPageBreak/>
        <w:t xml:space="preserve">for HGSA </w:t>
      </w:r>
      <w:r w:rsidR="009B37EA">
        <w:rPr>
          <w:rFonts w:cs="Arial"/>
          <w:lang w:eastAsia="en-AU"/>
        </w:rPr>
        <w:t>licences</w:t>
      </w:r>
      <w:r>
        <w:rPr>
          <w:rFonts w:cs="Arial"/>
          <w:lang w:eastAsia="en-AU"/>
        </w:rPr>
        <w:t xml:space="preserve"> in the 400 MHz band. The Amendment Determination </w:t>
      </w:r>
      <w:r w:rsidRPr="00943D9A">
        <w:rPr>
          <w:rFonts w:cs="Arial"/>
          <w:lang w:eastAsia="en-AU"/>
        </w:rPr>
        <w:t>is compatible with human rights as it does not raise any human rights issues.</w:t>
      </w:r>
    </w:p>
    <w:p w14:paraId="3EAA09A8" w14:textId="77777777" w:rsidR="00C747E9" w:rsidRPr="00F127EE" w:rsidRDefault="00C747E9" w:rsidP="002C46ED">
      <w:pPr>
        <w:spacing w:before="80" w:after="120" w:line="280" w:lineRule="atLeast"/>
        <w:jc w:val="both"/>
        <w:rPr>
          <w:rFonts w:cs="Arial"/>
          <w:color w:val="262626"/>
        </w:rPr>
      </w:pPr>
    </w:p>
    <w:p w14:paraId="1C415504" w14:textId="07810309" w:rsidR="00C63C44" w:rsidRPr="00F127EE" w:rsidRDefault="00C63C44" w:rsidP="002C46ED">
      <w:pPr>
        <w:keepNext/>
        <w:jc w:val="both"/>
        <w:rPr>
          <w:rFonts w:cs="Arial"/>
          <w:b/>
        </w:rPr>
      </w:pPr>
      <w:r w:rsidRPr="00F127EE">
        <w:rPr>
          <w:rFonts w:cs="Arial"/>
          <w:b/>
        </w:rPr>
        <w:t>ATTACHMENT</w:t>
      </w:r>
      <w:r w:rsidR="00C747E9" w:rsidRPr="00F127EE">
        <w:rPr>
          <w:rFonts w:cs="Arial"/>
          <w:b/>
        </w:rPr>
        <w:t xml:space="preserve"> 1</w:t>
      </w:r>
      <w:r w:rsidRPr="00F127EE">
        <w:rPr>
          <w:rFonts w:cs="Arial"/>
          <w:b/>
        </w:rPr>
        <w:t xml:space="preserve"> </w:t>
      </w:r>
    </w:p>
    <w:p w14:paraId="11672BE9" w14:textId="77777777" w:rsidR="00C63C44" w:rsidRPr="00F127EE" w:rsidRDefault="00C63C44" w:rsidP="002C46ED">
      <w:pPr>
        <w:keepNext/>
        <w:jc w:val="both"/>
        <w:rPr>
          <w:rFonts w:cs="Arial"/>
          <w:b/>
        </w:rPr>
      </w:pPr>
    </w:p>
    <w:p w14:paraId="3E0C38A0" w14:textId="0D7E72A5" w:rsidR="00C63C44" w:rsidRPr="00F127EE" w:rsidRDefault="009B37EA" w:rsidP="002C46ED">
      <w:pPr>
        <w:keepNext/>
        <w:jc w:val="both"/>
        <w:rPr>
          <w:rFonts w:cs="Arial"/>
          <w:b/>
        </w:rPr>
      </w:pPr>
      <w:r>
        <w:rPr>
          <w:rFonts w:cs="Arial"/>
          <w:b/>
        </w:rPr>
        <w:t>DETAILS OF THE AMENDMENT DETERMINATION</w:t>
      </w:r>
    </w:p>
    <w:p w14:paraId="75E527B1" w14:textId="77777777" w:rsidR="00C63C44" w:rsidRPr="00F127EE" w:rsidRDefault="00C63C44" w:rsidP="002C46ED">
      <w:pPr>
        <w:keepNext/>
        <w:jc w:val="both"/>
        <w:rPr>
          <w:rFonts w:cs="Arial"/>
          <w:b/>
        </w:rPr>
      </w:pPr>
    </w:p>
    <w:p w14:paraId="73309BC5" w14:textId="77777777" w:rsidR="00C63C44" w:rsidRPr="00F127EE" w:rsidRDefault="00CE4A8A" w:rsidP="002C46ED">
      <w:pPr>
        <w:pStyle w:val="Heading2"/>
        <w:jc w:val="both"/>
        <w:rPr>
          <w:sz w:val="20"/>
          <w:szCs w:val="20"/>
        </w:rPr>
      </w:pPr>
      <w:bookmarkStart w:id="1" w:name="_Toc78106018"/>
      <w:r w:rsidRPr="00F127EE">
        <w:rPr>
          <w:sz w:val="20"/>
          <w:szCs w:val="20"/>
        </w:rPr>
        <w:t>Section 1</w:t>
      </w:r>
      <w:r w:rsidRPr="00F127EE">
        <w:rPr>
          <w:sz w:val="20"/>
          <w:szCs w:val="20"/>
        </w:rPr>
        <w:tab/>
      </w:r>
      <w:r w:rsidRPr="00F127EE">
        <w:rPr>
          <w:sz w:val="20"/>
          <w:szCs w:val="20"/>
        </w:rPr>
        <w:tab/>
      </w:r>
      <w:r w:rsidR="00C63C44" w:rsidRPr="00F127EE">
        <w:rPr>
          <w:sz w:val="20"/>
          <w:szCs w:val="20"/>
        </w:rPr>
        <w:t>Name of De</w:t>
      </w:r>
      <w:bookmarkEnd w:id="1"/>
      <w:r w:rsidR="00C63C44" w:rsidRPr="00F127EE">
        <w:rPr>
          <w:sz w:val="20"/>
          <w:szCs w:val="20"/>
        </w:rPr>
        <w:t>termination</w:t>
      </w:r>
    </w:p>
    <w:p w14:paraId="2AD4D91E" w14:textId="4700CD87" w:rsidR="00C63C44" w:rsidRPr="00F127EE" w:rsidRDefault="00C63C44" w:rsidP="002C46ED">
      <w:pPr>
        <w:keepNext/>
        <w:jc w:val="both"/>
        <w:rPr>
          <w:rFonts w:cs="Arial"/>
        </w:rPr>
      </w:pPr>
      <w:r w:rsidRPr="00F127EE">
        <w:rPr>
          <w:rFonts w:cs="Arial"/>
        </w:rPr>
        <w:t xml:space="preserve">Section 1 </w:t>
      </w:r>
      <w:r w:rsidR="009B37EA">
        <w:rPr>
          <w:rFonts w:cs="Arial"/>
        </w:rPr>
        <w:t>specifies</w:t>
      </w:r>
      <w:r w:rsidR="009B37EA" w:rsidRPr="00F127EE">
        <w:rPr>
          <w:rFonts w:cs="Arial"/>
        </w:rPr>
        <w:t xml:space="preserve"> </w:t>
      </w:r>
      <w:r w:rsidRPr="00F127EE">
        <w:rPr>
          <w:rFonts w:cs="Arial"/>
        </w:rPr>
        <w:t>the name of the Amendment Determination.</w:t>
      </w:r>
    </w:p>
    <w:p w14:paraId="429A13D0" w14:textId="77777777" w:rsidR="00C63C44" w:rsidRPr="00F127EE" w:rsidRDefault="00C63C44" w:rsidP="002C46ED">
      <w:pPr>
        <w:pStyle w:val="Heading2"/>
        <w:jc w:val="both"/>
        <w:rPr>
          <w:sz w:val="20"/>
          <w:szCs w:val="20"/>
        </w:rPr>
      </w:pPr>
      <w:bookmarkStart w:id="2" w:name="_Toc78106019"/>
      <w:r w:rsidRPr="00F127EE">
        <w:rPr>
          <w:sz w:val="20"/>
          <w:szCs w:val="20"/>
        </w:rPr>
        <w:t>Section 2</w:t>
      </w:r>
      <w:r w:rsidR="00CE4A8A" w:rsidRPr="00F127EE">
        <w:rPr>
          <w:rStyle w:val="CharSectno"/>
          <w:sz w:val="20"/>
          <w:szCs w:val="20"/>
        </w:rPr>
        <w:tab/>
      </w:r>
      <w:r w:rsidR="00CE4A8A" w:rsidRPr="00F127EE">
        <w:rPr>
          <w:rStyle w:val="CharSectno"/>
          <w:sz w:val="20"/>
          <w:szCs w:val="20"/>
        </w:rPr>
        <w:tab/>
      </w:r>
      <w:r w:rsidRPr="00F127EE">
        <w:rPr>
          <w:sz w:val="20"/>
          <w:szCs w:val="20"/>
        </w:rPr>
        <w:t>Commencement</w:t>
      </w:r>
      <w:bookmarkEnd w:id="2"/>
    </w:p>
    <w:p w14:paraId="2BF6EA15" w14:textId="1DD8BA89" w:rsidR="00C63C44" w:rsidRPr="00F127EE" w:rsidRDefault="009E204A" w:rsidP="002C46ED">
      <w:pPr>
        <w:jc w:val="both"/>
        <w:rPr>
          <w:rFonts w:cs="Arial"/>
          <w:lang w:val="en-US"/>
        </w:rPr>
      </w:pPr>
      <w:r>
        <w:rPr>
          <w:rFonts w:cs="Arial"/>
          <w:lang w:val="en-US"/>
        </w:rPr>
        <w:t xml:space="preserve">Paragraph 2(a) </w:t>
      </w:r>
      <w:r w:rsidR="00C63C44" w:rsidRPr="00F127EE">
        <w:rPr>
          <w:rFonts w:cs="Arial"/>
          <w:lang w:val="en-US"/>
        </w:rPr>
        <w:t xml:space="preserve">provides that </w:t>
      </w:r>
      <w:r>
        <w:rPr>
          <w:rFonts w:cs="Arial"/>
          <w:lang w:val="en-US"/>
        </w:rPr>
        <w:t xml:space="preserve">section 2 and the whole of the rest of </w:t>
      </w:r>
      <w:r w:rsidR="00C63C44" w:rsidRPr="00F127EE">
        <w:rPr>
          <w:rFonts w:cs="Arial"/>
          <w:lang w:val="en-US"/>
        </w:rPr>
        <w:t xml:space="preserve">the Amendment Determination </w:t>
      </w:r>
      <w:r>
        <w:rPr>
          <w:rFonts w:cs="Arial"/>
          <w:lang w:val="en-US"/>
        </w:rPr>
        <w:t>apart from subsection 3(1) and Schedule 1 commence on the day after the Amendment Determination is registered on the Federal Register of Legislative Instruments. Paragraph 2(b) provides that subsection 3(1) and Schedule 1 commence</w:t>
      </w:r>
      <w:r w:rsidRPr="00F127EE">
        <w:rPr>
          <w:rFonts w:cs="Arial"/>
          <w:lang w:val="en-US"/>
        </w:rPr>
        <w:t xml:space="preserve"> </w:t>
      </w:r>
      <w:r w:rsidR="00C63C44" w:rsidRPr="00F127EE">
        <w:rPr>
          <w:rFonts w:cs="Arial"/>
          <w:lang w:val="en-US"/>
        </w:rPr>
        <w:t xml:space="preserve">on </w:t>
      </w:r>
      <w:r>
        <w:rPr>
          <w:rFonts w:cs="Arial"/>
          <w:lang w:val="en-US"/>
        </w:rPr>
        <w:t>5 April 2016.</w:t>
      </w:r>
      <w:r w:rsidR="00EA2B9E">
        <w:rPr>
          <w:rFonts w:cs="Arial"/>
          <w:lang w:val="en-US"/>
        </w:rPr>
        <w:t xml:space="preserve"> </w:t>
      </w:r>
    </w:p>
    <w:p w14:paraId="3A7EE119" w14:textId="280E1552" w:rsidR="00C63C44" w:rsidRPr="00F127EE" w:rsidRDefault="00C63C44" w:rsidP="002C46ED">
      <w:pPr>
        <w:pStyle w:val="Heading2"/>
        <w:jc w:val="both"/>
        <w:rPr>
          <w:rStyle w:val="CharSectno"/>
          <w:rFonts w:cs="Times New Roman"/>
          <w:b w:val="0"/>
          <w:bCs w:val="0"/>
          <w:i w:val="0"/>
          <w:iCs w:val="0"/>
          <w:sz w:val="20"/>
          <w:szCs w:val="20"/>
          <w:lang w:eastAsia="en-US" w:bidi="he-IL"/>
        </w:rPr>
      </w:pPr>
      <w:bookmarkStart w:id="3" w:name="_Toc78106021"/>
      <w:r w:rsidRPr="00F127EE">
        <w:rPr>
          <w:sz w:val="20"/>
          <w:szCs w:val="20"/>
        </w:rPr>
        <w:t>Section 3</w:t>
      </w:r>
      <w:bookmarkEnd w:id="3"/>
      <w:r w:rsidR="00CE4A8A" w:rsidRPr="00F127EE">
        <w:rPr>
          <w:rStyle w:val="CharSectno"/>
          <w:sz w:val="20"/>
          <w:szCs w:val="20"/>
        </w:rPr>
        <w:tab/>
      </w:r>
      <w:r w:rsidR="00CE4A8A" w:rsidRPr="00F127EE">
        <w:rPr>
          <w:rStyle w:val="CharSectno"/>
          <w:sz w:val="20"/>
          <w:szCs w:val="20"/>
        </w:rPr>
        <w:tab/>
      </w:r>
      <w:r w:rsidRPr="00F127EE">
        <w:rPr>
          <w:sz w:val="20"/>
          <w:szCs w:val="20"/>
        </w:rPr>
        <w:t xml:space="preserve">Amendment </w:t>
      </w:r>
    </w:p>
    <w:p w14:paraId="308E6223" w14:textId="05ACEC7D" w:rsidR="00C63C44" w:rsidRPr="00F127EE" w:rsidRDefault="00C63C44" w:rsidP="002C46ED">
      <w:pPr>
        <w:jc w:val="both"/>
        <w:rPr>
          <w:rFonts w:cs="Arial"/>
        </w:rPr>
      </w:pPr>
      <w:r w:rsidRPr="00F127EE">
        <w:rPr>
          <w:rFonts w:cs="Arial"/>
        </w:rPr>
        <w:t>Section 3 provides that Schedule</w:t>
      </w:r>
      <w:r w:rsidR="009B37EA">
        <w:rPr>
          <w:rFonts w:cs="Arial"/>
        </w:rPr>
        <w:t>s</w:t>
      </w:r>
      <w:r w:rsidRPr="00F127EE">
        <w:rPr>
          <w:rFonts w:cs="Arial"/>
        </w:rPr>
        <w:t xml:space="preserve"> 1 </w:t>
      </w:r>
      <w:r w:rsidR="009B37EA">
        <w:rPr>
          <w:rFonts w:cs="Arial"/>
        </w:rPr>
        <w:t xml:space="preserve">and 2 </w:t>
      </w:r>
      <w:r w:rsidRPr="00F127EE">
        <w:rPr>
          <w:rFonts w:cs="Arial"/>
        </w:rPr>
        <w:t xml:space="preserve">of the Amendment Determination amend the </w:t>
      </w:r>
      <w:r w:rsidR="005F5B1A">
        <w:rPr>
          <w:rFonts w:cs="Arial"/>
        </w:rPr>
        <w:t>Determination</w:t>
      </w:r>
      <w:r w:rsidRPr="00F127EE">
        <w:rPr>
          <w:rFonts w:cs="Arial"/>
        </w:rPr>
        <w:t>.</w:t>
      </w:r>
    </w:p>
    <w:p w14:paraId="77305A42" w14:textId="77777777" w:rsidR="0061664C" w:rsidRPr="00F127EE" w:rsidRDefault="0061664C" w:rsidP="002C46ED">
      <w:pPr>
        <w:jc w:val="both"/>
        <w:rPr>
          <w:rFonts w:cs="Arial"/>
        </w:rPr>
      </w:pPr>
    </w:p>
    <w:p w14:paraId="1667D822" w14:textId="77777777" w:rsidR="00EA2B9E" w:rsidRDefault="00826554" w:rsidP="002C46ED">
      <w:pPr>
        <w:pStyle w:val="Heading2"/>
        <w:jc w:val="both"/>
        <w:rPr>
          <w:sz w:val="20"/>
          <w:szCs w:val="20"/>
        </w:rPr>
      </w:pPr>
      <w:r w:rsidRPr="00F127EE">
        <w:rPr>
          <w:sz w:val="20"/>
          <w:szCs w:val="20"/>
        </w:rPr>
        <w:t>Schedule 1</w:t>
      </w:r>
      <w:r w:rsidRPr="00F127EE">
        <w:rPr>
          <w:sz w:val="20"/>
          <w:szCs w:val="20"/>
        </w:rPr>
        <w:tab/>
        <w:t xml:space="preserve">Amendments </w:t>
      </w:r>
      <w:r w:rsidR="009B37EA">
        <w:rPr>
          <w:sz w:val="20"/>
          <w:szCs w:val="20"/>
        </w:rPr>
        <w:t xml:space="preserve">to the Radiocommunications (Transmitter Licence Tax) Determination 2015 (harmonised government spectrum area licence) </w:t>
      </w:r>
    </w:p>
    <w:p w14:paraId="52688B65" w14:textId="28DB5FED" w:rsidR="00520C15" w:rsidRPr="003342C9" w:rsidRDefault="00520C15" w:rsidP="002C46ED">
      <w:pPr>
        <w:pStyle w:val="Heading2"/>
        <w:jc w:val="both"/>
        <w:rPr>
          <w:b w:val="0"/>
          <w:i w:val="0"/>
          <w:sz w:val="20"/>
          <w:szCs w:val="20"/>
        </w:rPr>
      </w:pPr>
      <w:r w:rsidRPr="003342C9">
        <w:rPr>
          <w:b w:val="0"/>
          <w:i w:val="0"/>
          <w:sz w:val="20"/>
          <w:szCs w:val="20"/>
        </w:rPr>
        <w:t>The amendments in Schedule 1 relate to the implementation of tax</w:t>
      </w:r>
      <w:r w:rsidR="00CB7CF0">
        <w:rPr>
          <w:b w:val="0"/>
          <w:i w:val="0"/>
          <w:sz w:val="20"/>
          <w:szCs w:val="20"/>
        </w:rPr>
        <w:t>ation</w:t>
      </w:r>
      <w:r w:rsidRPr="003342C9">
        <w:rPr>
          <w:b w:val="0"/>
          <w:i w:val="0"/>
          <w:sz w:val="20"/>
          <w:szCs w:val="20"/>
        </w:rPr>
        <w:t xml:space="preserve"> arrangements for HGSA licences in the 400 MHz band. </w:t>
      </w:r>
      <w:r>
        <w:rPr>
          <w:b w:val="0"/>
          <w:i w:val="0"/>
          <w:sz w:val="20"/>
          <w:szCs w:val="20"/>
        </w:rPr>
        <w:t xml:space="preserve"> </w:t>
      </w:r>
    </w:p>
    <w:p w14:paraId="43C24A2F" w14:textId="3E88C785" w:rsidR="00826554" w:rsidRPr="00F570F3" w:rsidRDefault="00826554" w:rsidP="002C46ED">
      <w:pPr>
        <w:pStyle w:val="Heading2"/>
        <w:jc w:val="both"/>
        <w:rPr>
          <w:sz w:val="20"/>
          <w:szCs w:val="20"/>
        </w:rPr>
      </w:pPr>
      <w:r w:rsidRPr="003342C9">
        <w:rPr>
          <w:i w:val="0"/>
          <w:sz w:val="20"/>
          <w:szCs w:val="20"/>
        </w:rPr>
        <w:t xml:space="preserve">Item </w:t>
      </w:r>
      <w:r w:rsidR="009B37EA" w:rsidRPr="003342C9">
        <w:rPr>
          <w:i w:val="0"/>
          <w:sz w:val="20"/>
          <w:szCs w:val="20"/>
        </w:rPr>
        <w:t>[</w:t>
      </w:r>
      <w:r w:rsidRPr="003342C9">
        <w:rPr>
          <w:i w:val="0"/>
          <w:sz w:val="20"/>
          <w:szCs w:val="20"/>
        </w:rPr>
        <w:t>1</w:t>
      </w:r>
      <w:r w:rsidR="009B37EA" w:rsidRPr="003342C9">
        <w:rPr>
          <w:i w:val="0"/>
          <w:sz w:val="20"/>
          <w:szCs w:val="20"/>
        </w:rPr>
        <w:t>]</w:t>
      </w:r>
    </w:p>
    <w:p w14:paraId="0FA4CF3C" w14:textId="5A316DD8" w:rsidR="00826554" w:rsidRPr="00F127EE" w:rsidRDefault="00826554" w:rsidP="002C46ED">
      <w:pPr>
        <w:jc w:val="both"/>
        <w:rPr>
          <w:rFonts w:cs="Arial"/>
        </w:rPr>
      </w:pPr>
      <w:r w:rsidRPr="00F127EE">
        <w:rPr>
          <w:rFonts w:cs="Arial"/>
        </w:rPr>
        <w:t xml:space="preserve">Item </w:t>
      </w:r>
      <w:r w:rsidR="00727C10">
        <w:rPr>
          <w:rFonts w:cs="Arial"/>
        </w:rPr>
        <w:t>[</w:t>
      </w:r>
      <w:r w:rsidRPr="00F127EE">
        <w:rPr>
          <w:rFonts w:cs="Arial"/>
        </w:rPr>
        <w:t>1</w:t>
      </w:r>
      <w:r w:rsidR="00727C10">
        <w:rPr>
          <w:rFonts w:cs="Arial"/>
        </w:rPr>
        <w:t>]</w:t>
      </w:r>
      <w:r w:rsidR="00E778E8" w:rsidRPr="00F127EE">
        <w:rPr>
          <w:rFonts w:cs="Arial"/>
        </w:rPr>
        <w:t xml:space="preserve"> amends subsection 2.1(2) </w:t>
      </w:r>
      <w:r w:rsidR="009B37EA">
        <w:rPr>
          <w:rFonts w:cs="Arial"/>
        </w:rPr>
        <w:t xml:space="preserve">of the Determination </w:t>
      </w:r>
      <w:r w:rsidR="00E778E8" w:rsidRPr="00F127EE">
        <w:rPr>
          <w:rFonts w:cs="Arial"/>
        </w:rPr>
        <w:t xml:space="preserve">to include a reference to </w:t>
      </w:r>
      <w:r w:rsidR="009B37EA">
        <w:rPr>
          <w:rFonts w:cs="Arial"/>
        </w:rPr>
        <w:t xml:space="preserve">new Part 3A of Schedule 2 </w:t>
      </w:r>
      <w:r w:rsidR="005D6A1A">
        <w:rPr>
          <w:rFonts w:cs="Arial"/>
        </w:rPr>
        <w:t xml:space="preserve">(see </w:t>
      </w:r>
      <w:r w:rsidR="00FE2EAA">
        <w:rPr>
          <w:rFonts w:cs="Arial"/>
        </w:rPr>
        <w:t>i</w:t>
      </w:r>
      <w:r w:rsidR="005D6A1A">
        <w:rPr>
          <w:rFonts w:cs="Arial"/>
        </w:rPr>
        <w:t>tem [</w:t>
      </w:r>
      <w:r w:rsidR="00CB3339">
        <w:rPr>
          <w:rFonts w:cs="Arial"/>
        </w:rPr>
        <w:t>6</w:t>
      </w:r>
      <w:r w:rsidR="005D6A1A">
        <w:rPr>
          <w:rFonts w:cs="Arial"/>
        </w:rPr>
        <w:t>] below)</w:t>
      </w:r>
      <w:r w:rsidR="00CB7CF0">
        <w:rPr>
          <w:rFonts w:cs="Arial"/>
        </w:rPr>
        <w:t>,</w:t>
      </w:r>
      <w:r w:rsidR="005D6A1A">
        <w:rPr>
          <w:rFonts w:cs="Arial"/>
        </w:rPr>
        <w:t xml:space="preserve"> </w:t>
      </w:r>
      <w:r w:rsidR="009B37EA">
        <w:rPr>
          <w:rFonts w:cs="Arial"/>
        </w:rPr>
        <w:t xml:space="preserve">which sets out </w:t>
      </w:r>
      <w:r w:rsidR="00E778E8" w:rsidRPr="00F127EE">
        <w:rPr>
          <w:rFonts w:cs="Arial"/>
        </w:rPr>
        <w:t>the transmitter licence tax amounts relevant</w:t>
      </w:r>
      <w:r w:rsidR="00FF04F3" w:rsidRPr="00F127EE">
        <w:rPr>
          <w:rFonts w:cs="Arial"/>
        </w:rPr>
        <w:t xml:space="preserve"> for </w:t>
      </w:r>
      <w:r w:rsidR="009B37EA">
        <w:rPr>
          <w:rFonts w:cs="Arial"/>
        </w:rPr>
        <w:t xml:space="preserve">HGSA </w:t>
      </w:r>
      <w:r w:rsidR="00E778E8" w:rsidRPr="00F127EE">
        <w:rPr>
          <w:rFonts w:cs="Arial"/>
        </w:rPr>
        <w:t>licences.</w:t>
      </w:r>
      <w:r w:rsidR="00727C10">
        <w:rPr>
          <w:rFonts w:cs="Arial"/>
        </w:rPr>
        <w:t xml:space="preserve"> Section 2.2 of the Determination sets out how to work out an amount of transmitter licence tax</w:t>
      </w:r>
      <w:r w:rsidR="00EA2B9E">
        <w:rPr>
          <w:rFonts w:cs="Arial"/>
        </w:rPr>
        <w:t>.</w:t>
      </w:r>
      <w:r w:rsidR="00727C10">
        <w:rPr>
          <w:rFonts w:cs="Arial"/>
        </w:rPr>
        <w:t xml:space="preserve"> </w:t>
      </w:r>
    </w:p>
    <w:p w14:paraId="40AEE253" w14:textId="77777777" w:rsidR="00826554" w:rsidRPr="00F127EE" w:rsidRDefault="00826554" w:rsidP="002C46ED">
      <w:pPr>
        <w:jc w:val="both"/>
        <w:rPr>
          <w:rFonts w:cs="Arial"/>
        </w:rPr>
      </w:pPr>
    </w:p>
    <w:p w14:paraId="102D6678" w14:textId="4898093C" w:rsidR="000F0E1E" w:rsidRPr="00F127EE" w:rsidRDefault="000F0E1E" w:rsidP="002C46ED">
      <w:pPr>
        <w:pStyle w:val="Heading3"/>
        <w:jc w:val="both"/>
        <w:rPr>
          <w:sz w:val="20"/>
          <w:szCs w:val="20"/>
        </w:rPr>
      </w:pPr>
      <w:r w:rsidRPr="00F127EE">
        <w:rPr>
          <w:sz w:val="20"/>
          <w:szCs w:val="20"/>
        </w:rPr>
        <w:t xml:space="preserve">Item </w:t>
      </w:r>
      <w:r w:rsidR="005D6A1A">
        <w:rPr>
          <w:sz w:val="20"/>
          <w:szCs w:val="20"/>
        </w:rPr>
        <w:t>[</w:t>
      </w:r>
      <w:r w:rsidRPr="00F127EE">
        <w:rPr>
          <w:sz w:val="20"/>
          <w:szCs w:val="20"/>
        </w:rPr>
        <w:t>2</w:t>
      </w:r>
      <w:r w:rsidR="005D6A1A">
        <w:rPr>
          <w:sz w:val="20"/>
          <w:szCs w:val="20"/>
        </w:rPr>
        <w:t>]</w:t>
      </w:r>
    </w:p>
    <w:p w14:paraId="38C0B4AE" w14:textId="534F6AE5" w:rsidR="00E778E8" w:rsidRPr="00F127EE" w:rsidRDefault="00E778E8" w:rsidP="002C46ED">
      <w:pPr>
        <w:jc w:val="both"/>
        <w:rPr>
          <w:rFonts w:cs="Arial"/>
        </w:rPr>
      </w:pPr>
      <w:r w:rsidRPr="00F127EE">
        <w:rPr>
          <w:rFonts w:cs="Arial"/>
        </w:rPr>
        <w:t xml:space="preserve">Item </w:t>
      </w:r>
      <w:r w:rsidR="00727C10">
        <w:rPr>
          <w:rFonts w:cs="Arial"/>
        </w:rPr>
        <w:t>[</w:t>
      </w:r>
      <w:r w:rsidR="000F0E1E" w:rsidRPr="00F127EE">
        <w:rPr>
          <w:rFonts w:cs="Arial"/>
        </w:rPr>
        <w:t>2</w:t>
      </w:r>
      <w:r w:rsidR="00727C10">
        <w:rPr>
          <w:rFonts w:cs="Arial"/>
        </w:rPr>
        <w:t>]</w:t>
      </w:r>
      <w:r w:rsidRPr="00F127EE">
        <w:rPr>
          <w:rFonts w:cs="Arial"/>
        </w:rPr>
        <w:t xml:space="preserve"> </w:t>
      </w:r>
      <w:r w:rsidR="000D0BD0">
        <w:rPr>
          <w:rFonts w:cs="Arial"/>
        </w:rPr>
        <w:t>substitutes</w:t>
      </w:r>
      <w:r w:rsidR="000D0BD0" w:rsidRPr="00F127EE">
        <w:rPr>
          <w:rFonts w:cs="Arial"/>
        </w:rPr>
        <w:t xml:space="preserve"> </w:t>
      </w:r>
      <w:r w:rsidR="00727C10">
        <w:rPr>
          <w:rFonts w:cs="Arial"/>
        </w:rPr>
        <w:t>subparagraph</w:t>
      </w:r>
      <w:r w:rsidRPr="00F127EE">
        <w:rPr>
          <w:rFonts w:cs="Arial"/>
        </w:rPr>
        <w:t xml:space="preserve"> 2.</w:t>
      </w:r>
      <w:r w:rsidR="000F0E1E" w:rsidRPr="00F127EE">
        <w:rPr>
          <w:rFonts w:cs="Arial"/>
        </w:rPr>
        <w:t>2(b</w:t>
      </w:r>
      <w:proofErr w:type="gramStart"/>
      <w:r w:rsidR="000F0E1E" w:rsidRPr="00F127EE">
        <w:rPr>
          <w:rFonts w:cs="Arial"/>
        </w:rPr>
        <w:t>)(</w:t>
      </w:r>
      <w:proofErr w:type="gramEnd"/>
      <w:r w:rsidR="000F0E1E" w:rsidRPr="00F127EE">
        <w:rPr>
          <w:rFonts w:cs="Arial"/>
        </w:rPr>
        <w:t>ii)</w:t>
      </w:r>
      <w:r w:rsidRPr="00F127EE">
        <w:rPr>
          <w:rFonts w:cs="Arial"/>
        </w:rPr>
        <w:t xml:space="preserve"> </w:t>
      </w:r>
      <w:r w:rsidR="000D0BD0">
        <w:rPr>
          <w:rFonts w:cs="Arial"/>
        </w:rPr>
        <w:t>and inserts</w:t>
      </w:r>
      <w:r w:rsidR="00727C10">
        <w:rPr>
          <w:rFonts w:cs="Arial"/>
        </w:rPr>
        <w:t xml:space="preserve"> new subparagraph</w:t>
      </w:r>
      <w:r w:rsidR="000D0BD0">
        <w:rPr>
          <w:rFonts w:cs="Arial"/>
        </w:rPr>
        <w:t xml:space="preserve"> (iii)</w:t>
      </w:r>
      <w:r w:rsidR="003E6C6F">
        <w:rPr>
          <w:rFonts w:cs="Arial"/>
        </w:rPr>
        <w:t>.</w:t>
      </w:r>
      <w:r w:rsidR="000D0BD0">
        <w:rPr>
          <w:rFonts w:cs="Arial"/>
        </w:rPr>
        <w:t xml:space="preserve">  The changes </w:t>
      </w:r>
      <w:r w:rsidR="005F5B1A">
        <w:rPr>
          <w:rFonts w:cs="Arial"/>
        </w:rPr>
        <w:t>reflect</w:t>
      </w:r>
      <w:r w:rsidR="000D0BD0">
        <w:rPr>
          <w:rFonts w:cs="Arial"/>
        </w:rPr>
        <w:t xml:space="preserve"> that, in relation to HGSA licences, a person must just follow the instructions in the relevant Part of Schedule 2 to work out the amount of transmitter licence tax for a HGSA licence (rather than the </w:t>
      </w:r>
      <w:r w:rsidR="000D0BD0" w:rsidRPr="003342C9">
        <w:rPr>
          <w:rFonts w:cs="Arial"/>
          <w:i/>
        </w:rPr>
        <w:t xml:space="preserve">annual </w:t>
      </w:r>
      <w:r w:rsidR="000D0BD0">
        <w:rPr>
          <w:rFonts w:cs="Arial"/>
        </w:rPr>
        <w:t>amount of transmitter licence tax or the annual amount for spectrum accesses, as is the case for other Parts of Schedule 2</w:t>
      </w:r>
      <w:r w:rsidR="009D71B3">
        <w:rPr>
          <w:rFonts w:cs="Arial"/>
        </w:rPr>
        <w:t>)</w:t>
      </w:r>
      <w:r w:rsidR="000D0BD0">
        <w:rPr>
          <w:rFonts w:cs="Arial"/>
        </w:rPr>
        <w:t>.</w:t>
      </w:r>
    </w:p>
    <w:p w14:paraId="76A2AF10" w14:textId="77777777" w:rsidR="006A273B" w:rsidRPr="00F127EE" w:rsidRDefault="006A273B" w:rsidP="002C46ED">
      <w:pPr>
        <w:jc w:val="both"/>
        <w:rPr>
          <w:rFonts w:cs="Arial"/>
        </w:rPr>
      </w:pPr>
    </w:p>
    <w:p w14:paraId="5A22F125" w14:textId="712A1E37" w:rsidR="000F0E1E" w:rsidRPr="00F127EE" w:rsidRDefault="000F0E1E" w:rsidP="002C46ED">
      <w:pPr>
        <w:pStyle w:val="Heading3"/>
        <w:jc w:val="both"/>
        <w:rPr>
          <w:sz w:val="20"/>
          <w:szCs w:val="20"/>
        </w:rPr>
      </w:pPr>
      <w:r w:rsidRPr="00F127EE">
        <w:rPr>
          <w:sz w:val="20"/>
          <w:szCs w:val="20"/>
        </w:rPr>
        <w:t xml:space="preserve">Item </w:t>
      </w:r>
      <w:r w:rsidR="005D6A1A">
        <w:rPr>
          <w:sz w:val="20"/>
          <w:szCs w:val="20"/>
        </w:rPr>
        <w:t>[</w:t>
      </w:r>
      <w:r w:rsidR="002614A2">
        <w:rPr>
          <w:sz w:val="20"/>
          <w:szCs w:val="20"/>
        </w:rPr>
        <w:t>3</w:t>
      </w:r>
      <w:r w:rsidR="005D6A1A">
        <w:rPr>
          <w:sz w:val="20"/>
          <w:szCs w:val="20"/>
        </w:rPr>
        <w:t>]</w:t>
      </w:r>
    </w:p>
    <w:p w14:paraId="7414C7E7" w14:textId="6D6D8E70" w:rsidR="00B8767B" w:rsidRPr="00F127EE" w:rsidRDefault="000F0E1E" w:rsidP="002C46ED">
      <w:pPr>
        <w:jc w:val="both"/>
        <w:rPr>
          <w:rFonts w:cs="Arial"/>
        </w:rPr>
      </w:pPr>
      <w:r w:rsidRPr="00F127EE">
        <w:rPr>
          <w:rFonts w:cs="Arial"/>
        </w:rPr>
        <w:t xml:space="preserve">Item </w:t>
      </w:r>
      <w:r w:rsidR="003E6C6F">
        <w:rPr>
          <w:rFonts w:cs="Arial"/>
        </w:rPr>
        <w:t>[</w:t>
      </w:r>
      <w:r w:rsidR="002614A2">
        <w:rPr>
          <w:rFonts w:cs="Arial"/>
        </w:rPr>
        <w:t>3</w:t>
      </w:r>
      <w:r w:rsidR="003E6C6F">
        <w:rPr>
          <w:rFonts w:cs="Arial"/>
        </w:rPr>
        <w:t>]</w:t>
      </w:r>
      <w:r w:rsidR="00DD163C" w:rsidRPr="00F127EE">
        <w:rPr>
          <w:rFonts w:cs="Arial"/>
        </w:rPr>
        <w:t xml:space="preserve"> </w:t>
      </w:r>
      <w:r w:rsidR="00520C15">
        <w:rPr>
          <w:rFonts w:cs="Arial"/>
        </w:rPr>
        <w:t>amends</w:t>
      </w:r>
      <w:r w:rsidR="003E6C6F">
        <w:rPr>
          <w:rFonts w:cs="Arial"/>
        </w:rPr>
        <w:t xml:space="preserve"> paragraph 201(1</w:t>
      </w:r>
      <w:proofErr w:type="gramStart"/>
      <w:r w:rsidR="003E6C6F">
        <w:rPr>
          <w:rFonts w:cs="Arial"/>
        </w:rPr>
        <w:t>)(</w:t>
      </w:r>
      <w:proofErr w:type="gramEnd"/>
      <w:r w:rsidR="003E6C6F">
        <w:rPr>
          <w:rFonts w:cs="Arial"/>
        </w:rPr>
        <w:t>i)</w:t>
      </w:r>
      <w:r w:rsidR="00895908">
        <w:rPr>
          <w:rFonts w:cs="Arial"/>
        </w:rPr>
        <w:t xml:space="preserve"> of Schedule 2 to the Determination</w:t>
      </w:r>
      <w:r w:rsidR="003E6C6F">
        <w:rPr>
          <w:rFonts w:cs="Arial"/>
        </w:rPr>
        <w:t xml:space="preserve"> to exclude </w:t>
      </w:r>
      <w:r w:rsidR="00DD163C" w:rsidRPr="00F127EE">
        <w:rPr>
          <w:rFonts w:cs="Arial"/>
        </w:rPr>
        <w:t xml:space="preserve">an ambulatory station operated under a </w:t>
      </w:r>
      <w:r w:rsidR="003E6C6F">
        <w:rPr>
          <w:rFonts w:cs="Arial"/>
        </w:rPr>
        <w:t>HGSA</w:t>
      </w:r>
      <w:r w:rsidR="00DD163C" w:rsidRPr="00F127EE">
        <w:rPr>
          <w:rFonts w:cs="Arial"/>
        </w:rPr>
        <w:t xml:space="preserve"> licence </w:t>
      </w:r>
      <w:r w:rsidR="003E6C6F">
        <w:rPr>
          <w:rFonts w:cs="Arial"/>
        </w:rPr>
        <w:t>from being</w:t>
      </w:r>
      <w:r w:rsidR="00DD163C" w:rsidRPr="00F127EE">
        <w:rPr>
          <w:rFonts w:cs="Arial"/>
        </w:rPr>
        <w:t xml:space="preserve"> covered by Part 2</w:t>
      </w:r>
      <w:r w:rsidR="003E6C6F">
        <w:rPr>
          <w:rFonts w:cs="Arial"/>
        </w:rPr>
        <w:t xml:space="preserve"> of </w:t>
      </w:r>
      <w:r w:rsidR="00520C15">
        <w:rPr>
          <w:rFonts w:cs="Arial"/>
        </w:rPr>
        <w:t xml:space="preserve">Schedule 2 to </w:t>
      </w:r>
      <w:r w:rsidR="003E6C6F">
        <w:rPr>
          <w:rFonts w:cs="Arial"/>
        </w:rPr>
        <w:t xml:space="preserve">the </w:t>
      </w:r>
      <w:r w:rsidR="00520C15">
        <w:rPr>
          <w:rFonts w:cs="Arial"/>
        </w:rPr>
        <w:t>Determination</w:t>
      </w:r>
      <w:r w:rsidR="00DD163C" w:rsidRPr="00F127EE">
        <w:rPr>
          <w:rFonts w:cs="Arial"/>
        </w:rPr>
        <w:t>.</w:t>
      </w:r>
      <w:r w:rsidR="00B8767B">
        <w:rPr>
          <w:rFonts w:cs="Arial"/>
        </w:rPr>
        <w:t xml:space="preserve"> Such licences are covered by new Part 3A of Schedule 2. </w:t>
      </w:r>
    </w:p>
    <w:p w14:paraId="098A0DDC" w14:textId="54199277" w:rsidR="006A273B" w:rsidRPr="00F127EE" w:rsidRDefault="006A273B" w:rsidP="002C46ED">
      <w:pPr>
        <w:jc w:val="both"/>
        <w:rPr>
          <w:rFonts w:cs="Arial"/>
        </w:rPr>
      </w:pPr>
    </w:p>
    <w:p w14:paraId="5BF3272B" w14:textId="1EFE4484" w:rsidR="00DD163C" w:rsidRPr="00F127EE" w:rsidRDefault="00DD163C" w:rsidP="002C46ED">
      <w:pPr>
        <w:pStyle w:val="Heading3"/>
        <w:jc w:val="both"/>
        <w:rPr>
          <w:sz w:val="20"/>
          <w:szCs w:val="20"/>
        </w:rPr>
      </w:pPr>
      <w:r w:rsidRPr="00F127EE">
        <w:rPr>
          <w:sz w:val="20"/>
          <w:szCs w:val="20"/>
        </w:rPr>
        <w:t xml:space="preserve">Item </w:t>
      </w:r>
      <w:r w:rsidR="005D6A1A">
        <w:rPr>
          <w:sz w:val="20"/>
          <w:szCs w:val="20"/>
        </w:rPr>
        <w:t>[</w:t>
      </w:r>
      <w:r w:rsidR="002614A2">
        <w:rPr>
          <w:sz w:val="20"/>
          <w:szCs w:val="20"/>
        </w:rPr>
        <w:t>4</w:t>
      </w:r>
      <w:r w:rsidR="005D6A1A">
        <w:rPr>
          <w:sz w:val="20"/>
          <w:szCs w:val="20"/>
        </w:rPr>
        <w:t>]</w:t>
      </w:r>
    </w:p>
    <w:p w14:paraId="23ED5858" w14:textId="15C3F5F5" w:rsidR="00B8767B" w:rsidRPr="00F127EE" w:rsidRDefault="00DD163C" w:rsidP="002C46ED">
      <w:pPr>
        <w:jc w:val="both"/>
        <w:rPr>
          <w:rFonts w:cs="Arial"/>
        </w:rPr>
      </w:pPr>
      <w:r w:rsidRPr="00F127EE">
        <w:rPr>
          <w:rFonts w:cs="Arial"/>
        </w:rPr>
        <w:t xml:space="preserve">Item </w:t>
      </w:r>
      <w:r w:rsidR="00520C15">
        <w:rPr>
          <w:rFonts w:cs="Arial"/>
        </w:rPr>
        <w:t>[</w:t>
      </w:r>
      <w:r w:rsidR="002614A2">
        <w:rPr>
          <w:rFonts w:cs="Arial"/>
        </w:rPr>
        <w:t>4</w:t>
      </w:r>
      <w:r w:rsidR="00520C15">
        <w:rPr>
          <w:rFonts w:cs="Arial"/>
        </w:rPr>
        <w:t>] substitutes paragraph 301(d)</w:t>
      </w:r>
      <w:r w:rsidR="00895908">
        <w:rPr>
          <w:rFonts w:cs="Arial"/>
        </w:rPr>
        <w:t xml:space="preserve"> of Schedule 2 to the Determination</w:t>
      </w:r>
      <w:r w:rsidR="00520C15">
        <w:rPr>
          <w:rFonts w:cs="Arial"/>
        </w:rPr>
        <w:t xml:space="preserve"> with a new provision which excludes wireless audio system</w:t>
      </w:r>
      <w:r w:rsidR="001A0170">
        <w:rPr>
          <w:rFonts w:cs="Arial"/>
        </w:rPr>
        <w:t>s</w:t>
      </w:r>
      <w:r w:rsidR="00520C15">
        <w:rPr>
          <w:rFonts w:cs="Arial"/>
        </w:rPr>
        <w:t xml:space="preserve"> and </w:t>
      </w:r>
      <w:r w:rsidRPr="00F127EE">
        <w:rPr>
          <w:rFonts w:cs="Arial"/>
        </w:rPr>
        <w:t>land mobile system</w:t>
      </w:r>
      <w:r w:rsidR="001A0170">
        <w:rPr>
          <w:rFonts w:cs="Arial"/>
        </w:rPr>
        <w:t>s</w:t>
      </w:r>
      <w:r w:rsidRPr="00F127EE">
        <w:rPr>
          <w:rFonts w:cs="Arial"/>
        </w:rPr>
        <w:t xml:space="preserve"> operated under a </w:t>
      </w:r>
      <w:r w:rsidR="00520C15">
        <w:rPr>
          <w:rFonts w:cs="Arial"/>
        </w:rPr>
        <w:t>HGSA</w:t>
      </w:r>
      <w:r w:rsidRPr="00F127EE">
        <w:rPr>
          <w:rFonts w:cs="Arial"/>
        </w:rPr>
        <w:t xml:space="preserve"> licence</w:t>
      </w:r>
      <w:r w:rsidR="00CB3339">
        <w:rPr>
          <w:rFonts w:cs="Arial"/>
        </w:rPr>
        <w:t>,</w:t>
      </w:r>
      <w:r w:rsidRPr="00F127EE">
        <w:rPr>
          <w:rFonts w:cs="Arial"/>
        </w:rPr>
        <w:t xml:space="preserve"> </w:t>
      </w:r>
      <w:r w:rsidR="00520C15">
        <w:rPr>
          <w:rFonts w:cs="Arial"/>
        </w:rPr>
        <w:t xml:space="preserve">from </w:t>
      </w:r>
      <w:r w:rsidR="00520C15">
        <w:rPr>
          <w:rFonts w:cs="Arial"/>
        </w:rPr>
        <w:lastRenderedPageBreak/>
        <w:t>being</w:t>
      </w:r>
      <w:r w:rsidRPr="00F127EE">
        <w:rPr>
          <w:rFonts w:cs="Arial"/>
        </w:rPr>
        <w:t xml:space="preserve"> covered by Part 3</w:t>
      </w:r>
      <w:r w:rsidR="00520C15">
        <w:rPr>
          <w:rFonts w:cs="Arial"/>
        </w:rPr>
        <w:t xml:space="preserve"> of Schedule 2 to the Determination</w:t>
      </w:r>
      <w:r w:rsidRPr="00F127EE">
        <w:rPr>
          <w:rFonts w:cs="Arial"/>
        </w:rPr>
        <w:t>.</w:t>
      </w:r>
      <w:r w:rsidR="00B8767B">
        <w:rPr>
          <w:rFonts w:cs="Arial"/>
        </w:rPr>
        <w:t xml:space="preserve"> </w:t>
      </w:r>
      <w:r w:rsidR="00895908">
        <w:rPr>
          <w:rFonts w:cs="Arial"/>
        </w:rPr>
        <w:t>Land mobile systems operated under HGSA</w:t>
      </w:r>
      <w:r w:rsidR="00B8767B">
        <w:rPr>
          <w:rFonts w:cs="Arial"/>
        </w:rPr>
        <w:t xml:space="preserve"> licences are covered by new Part 3A of Schedule 2. </w:t>
      </w:r>
    </w:p>
    <w:p w14:paraId="1EA3AB46" w14:textId="77777777" w:rsidR="006A273B" w:rsidRPr="00F127EE" w:rsidRDefault="006A273B" w:rsidP="002C46ED">
      <w:pPr>
        <w:jc w:val="both"/>
        <w:rPr>
          <w:rFonts w:cs="Arial"/>
        </w:rPr>
      </w:pPr>
    </w:p>
    <w:p w14:paraId="07EE4F3C" w14:textId="16E8A840" w:rsidR="00DD163C" w:rsidRPr="00F127EE" w:rsidRDefault="00DD163C" w:rsidP="002C46ED">
      <w:pPr>
        <w:pStyle w:val="Heading3"/>
        <w:jc w:val="both"/>
        <w:rPr>
          <w:sz w:val="20"/>
          <w:szCs w:val="20"/>
        </w:rPr>
      </w:pPr>
      <w:r w:rsidRPr="00F127EE">
        <w:rPr>
          <w:sz w:val="20"/>
          <w:szCs w:val="20"/>
        </w:rPr>
        <w:t xml:space="preserve">Item </w:t>
      </w:r>
      <w:r w:rsidR="00520C15">
        <w:rPr>
          <w:sz w:val="20"/>
          <w:szCs w:val="20"/>
        </w:rPr>
        <w:t>[</w:t>
      </w:r>
      <w:r w:rsidR="002614A2">
        <w:rPr>
          <w:sz w:val="20"/>
          <w:szCs w:val="20"/>
        </w:rPr>
        <w:t>5</w:t>
      </w:r>
      <w:r w:rsidR="00520C15">
        <w:rPr>
          <w:sz w:val="20"/>
          <w:szCs w:val="20"/>
        </w:rPr>
        <w:t>]</w:t>
      </w:r>
    </w:p>
    <w:p w14:paraId="25A1169C" w14:textId="632E7574" w:rsidR="00B8767B" w:rsidRPr="00F127EE" w:rsidRDefault="00DD163C" w:rsidP="002C46ED">
      <w:pPr>
        <w:jc w:val="both"/>
        <w:rPr>
          <w:rFonts w:cs="Arial"/>
        </w:rPr>
      </w:pPr>
      <w:r w:rsidRPr="00F127EE">
        <w:rPr>
          <w:rFonts w:cs="Arial"/>
        </w:rPr>
        <w:t xml:space="preserve">Item </w:t>
      </w:r>
      <w:r w:rsidR="00520C15">
        <w:rPr>
          <w:rFonts w:cs="Arial"/>
        </w:rPr>
        <w:t>[</w:t>
      </w:r>
      <w:r w:rsidR="002614A2">
        <w:rPr>
          <w:rFonts w:cs="Arial"/>
        </w:rPr>
        <w:t>5</w:t>
      </w:r>
      <w:r w:rsidR="00520C15">
        <w:rPr>
          <w:rFonts w:cs="Arial"/>
        </w:rPr>
        <w:t>]</w:t>
      </w:r>
      <w:r w:rsidRPr="00F127EE">
        <w:rPr>
          <w:rFonts w:cs="Arial"/>
        </w:rPr>
        <w:t xml:space="preserve"> </w:t>
      </w:r>
      <w:proofErr w:type="gramStart"/>
      <w:r w:rsidR="00B8767B">
        <w:rPr>
          <w:rFonts w:cs="Arial"/>
        </w:rPr>
        <w:t>substitutes</w:t>
      </w:r>
      <w:proofErr w:type="gramEnd"/>
      <w:r w:rsidR="00B8767B">
        <w:rPr>
          <w:rFonts w:cs="Arial"/>
        </w:rPr>
        <w:t xml:space="preserve"> paragraph 301(f) </w:t>
      </w:r>
      <w:r w:rsidR="00895908">
        <w:rPr>
          <w:rFonts w:cs="Arial"/>
        </w:rPr>
        <w:t xml:space="preserve">of Schedule 2 to the Determination </w:t>
      </w:r>
      <w:r w:rsidR="00B8767B">
        <w:rPr>
          <w:rFonts w:cs="Arial"/>
        </w:rPr>
        <w:t>with a new provision which excludes wireless audio system</w:t>
      </w:r>
      <w:r w:rsidR="001A0170">
        <w:rPr>
          <w:rFonts w:cs="Arial"/>
        </w:rPr>
        <w:t>s</w:t>
      </w:r>
      <w:r w:rsidR="00B8767B">
        <w:rPr>
          <w:rFonts w:cs="Arial"/>
        </w:rPr>
        <w:t xml:space="preserve"> and ambulatory </w:t>
      </w:r>
      <w:r w:rsidR="00B8767B" w:rsidRPr="00F127EE">
        <w:rPr>
          <w:rFonts w:cs="Arial"/>
        </w:rPr>
        <w:t>system</w:t>
      </w:r>
      <w:r w:rsidR="001A0170">
        <w:rPr>
          <w:rFonts w:cs="Arial"/>
        </w:rPr>
        <w:t>s</w:t>
      </w:r>
      <w:r w:rsidR="00B8767B" w:rsidRPr="00F127EE">
        <w:rPr>
          <w:rFonts w:cs="Arial"/>
        </w:rPr>
        <w:t xml:space="preserve"> operated under a </w:t>
      </w:r>
      <w:r w:rsidR="00B8767B">
        <w:rPr>
          <w:rFonts w:cs="Arial"/>
        </w:rPr>
        <w:t>HGSA</w:t>
      </w:r>
      <w:r w:rsidR="00B8767B" w:rsidRPr="00F127EE">
        <w:rPr>
          <w:rFonts w:cs="Arial"/>
        </w:rPr>
        <w:t xml:space="preserve"> licence</w:t>
      </w:r>
      <w:r w:rsidR="00B8767B">
        <w:rPr>
          <w:rFonts w:cs="Arial"/>
        </w:rPr>
        <w:t>,</w:t>
      </w:r>
      <w:r w:rsidR="00B8767B" w:rsidRPr="00F127EE">
        <w:rPr>
          <w:rFonts w:cs="Arial"/>
        </w:rPr>
        <w:t xml:space="preserve"> </w:t>
      </w:r>
      <w:r w:rsidR="00B8767B">
        <w:rPr>
          <w:rFonts w:cs="Arial"/>
        </w:rPr>
        <w:t>from being</w:t>
      </w:r>
      <w:r w:rsidR="00B8767B" w:rsidRPr="00F127EE">
        <w:rPr>
          <w:rFonts w:cs="Arial"/>
        </w:rPr>
        <w:t xml:space="preserve"> covered by Part 3</w:t>
      </w:r>
      <w:r w:rsidR="00B8767B">
        <w:rPr>
          <w:rFonts w:cs="Arial"/>
        </w:rPr>
        <w:t xml:space="preserve"> of Schedule 2 to the Determination</w:t>
      </w:r>
      <w:r w:rsidR="00B8767B" w:rsidRPr="00F127EE">
        <w:rPr>
          <w:rFonts w:cs="Arial"/>
        </w:rPr>
        <w:t>.</w:t>
      </w:r>
      <w:r w:rsidR="00B8767B">
        <w:rPr>
          <w:rFonts w:cs="Arial"/>
        </w:rPr>
        <w:t xml:space="preserve"> </w:t>
      </w:r>
      <w:r w:rsidR="00895908">
        <w:rPr>
          <w:rFonts w:cs="Arial"/>
        </w:rPr>
        <w:t>Ambulatory systems operated under HGSA</w:t>
      </w:r>
      <w:r w:rsidR="00B8767B">
        <w:rPr>
          <w:rFonts w:cs="Arial"/>
        </w:rPr>
        <w:t xml:space="preserve"> licences are covered by new Part 3A of Schedule 2. </w:t>
      </w:r>
    </w:p>
    <w:p w14:paraId="468DD904" w14:textId="77777777" w:rsidR="006A273B" w:rsidRPr="00F127EE" w:rsidRDefault="006A273B" w:rsidP="002C46ED">
      <w:pPr>
        <w:jc w:val="both"/>
        <w:rPr>
          <w:rFonts w:cs="Arial"/>
        </w:rPr>
      </w:pPr>
    </w:p>
    <w:p w14:paraId="4ACB394E" w14:textId="39861663" w:rsidR="00DD163C" w:rsidRPr="00F127EE" w:rsidRDefault="00DD163C" w:rsidP="002C46ED">
      <w:pPr>
        <w:pStyle w:val="Heading3"/>
        <w:jc w:val="both"/>
        <w:rPr>
          <w:sz w:val="20"/>
          <w:szCs w:val="20"/>
        </w:rPr>
      </w:pPr>
      <w:r w:rsidRPr="00F127EE">
        <w:rPr>
          <w:sz w:val="20"/>
          <w:szCs w:val="20"/>
        </w:rPr>
        <w:t xml:space="preserve">Item </w:t>
      </w:r>
      <w:r w:rsidR="00B8767B">
        <w:rPr>
          <w:sz w:val="20"/>
          <w:szCs w:val="20"/>
        </w:rPr>
        <w:t>[</w:t>
      </w:r>
      <w:r w:rsidR="002614A2">
        <w:rPr>
          <w:sz w:val="20"/>
          <w:szCs w:val="20"/>
        </w:rPr>
        <w:t>6</w:t>
      </w:r>
      <w:r w:rsidR="00B8767B">
        <w:rPr>
          <w:sz w:val="20"/>
          <w:szCs w:val="20"/>
        </w:rPr>
        <w:t>]</w:t>
      </w:r>
    </w:p>
    <w:p w14:paraId="716250C8" w14:textId="1F5F38DA" w:rsidR="00DD163C" w:rsidRDefault="00DD163C" w:rsidP="002C46ED">
      <w:pPr>
        <w:jc w:val="both"/>
        <w:rPr>
          <w:rFonts w:cs="Arial"/>
        </w:rPr>
      </w:pPr>
      <w:r w:rsidRPr="00F127EE">
        <w:rPr>
          <w:rFonts w:cs="Arial"/>
        </w:rPr>
        <w:t xml:space="preserve">Item </w:t>
      </w:r>
      <w:r w:rsidR="00B8767B">
        <w:rPr>
          <w:rFonts w:cs="Arial"/>
        </w:rPr>
        <w:t>[</w:t>
      </w:r>
      <w:r w:rsidR="002614A2">
        <w:rPr>
          <w:rFonts w:cs="Arial"/>
        </w:rPr>
        <w:t>6</w:t>
      </w:r>
      <w:r w:rsidR="00B8767B">
        <w:rPr>
          <w:rFonts w:cs="Arial"/>
        </w:rPr>
        <w:t>]</w:t>
      </w:r>
      <w:r w:rsidRPr="00F127EE">
        <w:rPr>
          <w:rFonts w:cs="Arial"/>
        </w:rPr>
        <w:t xml:space="preserve"> </w:t>
      </w:r>
      <w:r w:rsidR="00533F75" w:rsidRPr="00F127EE">
        <w:rPr>
          <w:rFonts w:cs="Arial"/>
        </w:rPr>
        <w:t>inserts a new Part 3</w:t>
      </w:r>
      <w:r w:rsidR="006C5323" w:rsidRPr="00F127EE">
        <w:rPr>
          <w:rFonts w:cs="Arial"/>
        </w:rPr>
        <w:t>A</w:t>
      </w:r>
      <w:r w:rsidR="00533F75" w:rsidRPr="00F127EE">
        <w:rPr>
          <w:rFonts w:cs="Arial"/>
        </w:rPr>
        <w:t xml:space="preserve"> </w:t>
      </w:r>
      <w:r w:rsidR="00B8767B">
        <w:rPr>
          <w:rFonts w:cs="Arial"/>
        </w:rPr>
        <w:t xml:space="preserve">of Schedule 2 to the Determination, </w:t>
      </w:r>
      <w:r w:rsidR="00533F75" w:rsidRPr="00F127EE">
        <w:rPr>
          <w:rFonts w:cs="Arial"/>
        </w:rPr>
        <w:t>immediately before Part 4</w:t>
      </w:r>
      <w:r w:rsidR="00B8767B">
        <w:rPr>
          <w:rFonts w:cs="Arial"/>
        </w:rPr>
        <w:t xml:space="preserve"> of Schedule 2</w:t>
      </w:r>
      <w:r w:rsidR="00533F75" w:rsidRPr="00F127EE">
        <w:rPr>
          <w:rFonts w:cs="Arial"/>
        </w:rPr>
        <w:t xml:space="preserve">.  Part 3A </w:t>
      </w:r>
      <w:r w:rsidRPr="00F127EE">
        <w:rPr>
          <w:rFonts w:cs="Arial"/>
        </w:rPr>
        <w:t>details the base amounts and approach to calculating t</w:t>
      </w:r>
      <w:r w:rsidR="005F5B1A">
        <w:rPr>
          <w:rFonts w:cs="Arial"/>
        </w:rPr>
        <w:t>he amount of tax payable for</w:t>
      </w:r>
      <w:r w:rsidRPr="00F127EE">
        <w:rPr>
          <w:rFonts w:cs="Arial"/>
        </w:rPr>
        <w:t xml:space="preserve"> </w:t>
      </w:r>
      <w:r w:rsidR="00895908">
        <w:rPr>
          <w:rFonts w:cs="Arial"/>
        </w:rPr>
        <w:t>HGSA</w:t>
      </w:r>
      <w:r w:rsidRPr="00F127EE">
        <w:rPr>
          <w:rFonts w:cs="Arial"/>
        </w:rPr>
        <w:t xml:space="preserve"> licences.</w:t>
      </w:r>
      <w:r w:rsidR="00D72F18">
        <w:rPr>
          <w:rFonts w:cs="Arial"/>
        </w:rPr>
        <w:t xml:space="preserve"> </w:t>
      </w:r>
    </w:p>
    <w:p w14:paraId="68E8DFDD" w14:textId="77777777" w:rsidR="00895908" w:rsidRPr="00BD2F75" w:rsidRDefault="00895908" w:rsidP="002C46ED">
      <w:pPr>
        <w:jc w:val="both"/>
        <w:rPr>
          <w:rFonts w:cs="Arial"/>
        </w:rPr>
      </w:pPr>
    </w:p>
    <w:p w14:paraId="2C42E29C" w14:textId="69D8EEB2" w:rsidR="00262174" w:rsidRDefault="00BD2F75" w:rsidP="002C46ED">
      <w:pPr>
        <w:jc w:val="both"/>
        <w:rPr>
          <w:rFonts w:cs="Arial"/>
          <w:snapToGrid w:val="0"/>
          <w:lang w:bidi="ar-SA"/>
        </w:rPr>
      </w:pPr>
      <w:r>
        <w:rPr>
          <w:rFonts w:cs="Arial"/>
          <w:snapToGrid w:val="0"/>
          <w:lang w:bidi="ar-SA"/>
        </w:rPr>
        <w:t xml:space="preserve">The </w:t>
      </w:r>
      <w:r w:rsidRPr="005F0EF3">
        <w:rPr>
          <w:rFonts w:cs="Arial"/>
          <w:snapToGrid w:val="0"/>
          <w:lang w:bidi="ar-SA"/>
        </w:rPr>
        <w:t xml:space="preserve">amount of tax to be imposed on each HGSA licence is based on the taxes collected in 2014 from government licensees eligible </w:t>
      </w:r>
      <w:r w:rsidR="00D72F18">
        <w:rPr>
          <w:rFonts w:cs="Arial"/>
          <w:snapToGrid w:val="0"/>
          <w:lang w:bidi="ar-SA"/>
        </w:rPr>
        <w:t>for</w:t>
      </w:r>
      <w:r w:rsidRPr="005F0EF3">
        <w:rPr>
          <w:rFonts w:cs="Arial"/>
          <w:snapToGrid w:val="0"/>
          <w:lang w:bidi="ar-SA"/>
        </w:rPr>
        <w:t xml:space="preserve"> HGS</w:t>
      </w:r>
      <w:r w:rsidR="00D72F18">
        <w:rPr>
          <w:rFonts w:cs="Arial"/>
          <w:snapToGrid w:val="0"/>
          <w:lang w:bidi="ar-SA"/>
        </w:rPr>
        <w:t>A licences</w:t>
      </w:r>
      <w:r w:rsidRPr="005F0EF3">
        <w:rPr>
          <w:rFonts w:cs="Arial"/>
          <w:snapToGrid w:val="0"/>
          <w:lang w:bidi="ar-SA"/>
        </w:rPr>
        <w:t xml:space="preserve">.  </w:t>
      </w:r>
      <w:r w:rsidR="00262174">
        <w:rPr>
          <w:rFonts w:cs="Arial"/>
          <w:snapToGrid w:val="0"/>
          <w:lang w:bidi="ar-SA"/>
        </w:rPr>
        <w:t xml:space="preserve">The base amount for each </w:t>
      </w:r>
      <w:r w:rsidR="00D72F18">
        <w:rPr>
          <w:rFonts w:cs="Arial"/>
          <w:snapToGrid w:val="0"/>
          <w:lang w:bidi="ar-SA"/>
        </w:rPr>
        <w:t>State and Territory</w:t>
      </w:r>
      <w:r w:rsidR="00262174">
        <w:rPr>
          <w:rFonts w:cs="Arial"/>
          <w:snapToGrid w:val="0"/>
          <w:lang w:bidi="ar-SA"/>
        </w:rPr>
        <w:t xml:space="preserve"> was finalised </w:t>
      </w:r>
      <w:r w:rsidR="00D72F18">
        <w:rPr>
          <w:rFonts w:cs="Arial"/>
          <w:snapToGrid w:val="0"/>
          <w:lang w:bidi="ar-SA"/>
        </w:rPr>
        <w:t>after</w:t>
      </w:r>
      <w:r w:rsidR="00262174">
        <w:rPr>
          <w:rFonts w:cs="Arial"/>
          <w:snapToGrid w:val="0"/>
          <w:lang w:bidi="ar-SA"/>
        </w:rPr>
        <w:t xml:space="preserve"> consultation with the jurisdictions.</w:t>
      </w:r>
    </w:p>
    <w:p w14:paraId="13D35ED7" w14:textId="77777777" w:rsidR="00262174" w:rsidRDefault="00262174" w:rsidP="002C46ED">
      <w:pPr>
        <w:jc w:val="both"/>
        <w:rPr>
          <w:rFonts w:cs="Arial"/>
          <w:snapToGrid w:val="0"/>
          <w:lang w:bidi="ar-SA"/>
        </w:rPr>
      </w:pPr>
    </w:p>
    <w:p w14:paraId="11B0581A" w14:textId="30877790" w:rsidR="00BD2F75" w:rsidRDefault="00BD2F75" w:rsidP="002C46ED">
      <w:pPr>
        <w:jc w:val="both"/>
        <w:rPr>
          <w:rFonts w:cs="Arial"/>
          <w:snapToGrid w:val="0"/>
          <w:lang w:bidi="ar-SA"/>
        </w:rPr>
      </w:pPr>
      <w:r w:rsidRPr="005F0EF3">
        <w:rPr>
          <w:rFonts w:cs="Arial"/>
          <w:snapToGrid w:val="0"/>
          <w:lang w:bidi="ar-SA"/>
        </w:rPr>
        <w:t xml:space="preserve">An ongoing public policy discount of 20% is applied </w:t>
      </w:r>
      <w:r w:rsidR="00262174">
        <w:rPr>
          <w:rFonts w:cs="Arial"/>
          <w:snapToGrid w:val="0"/>
          <w:lang w:bidi="ar-SA"/>
        </w:rPr>
        <w:t xml:space="preserve">to that base </w:t>
      </w:r>
      <w:r w:rsidR="00CB3339">
        <w:rPr>
          <w:rFonts w:cs="Arial"/>
          <w:snapToGrid w:val="0"/>
          <w:lang w:bidi="ar-SA"/>
        </w:rPr>
        <w:t>amount</w:t>
      </w:r>
      <w:r w:rsidR="00262174">
        <w:rPr>
          <w:rFonts w:cs="Arial"/>
          <w:snapToGrid w:val="0"/>
          <w:lang w:bidi="ar-SA"/>
        </w:rPr>
        <w:t>. Temporary t</w:t>
      </w:r>
      <w:r w:rsidRPr="005F0EF3">
        <w:rPr>
          <w:rFonts w:cs="Arial"/>
          <w:snapToGrid w:val="0"/>
          <w:lang w:bidi="ar-SA"/>
        </w:rPr>
        <w:t>ransition incentives</w:t>
      </w:r>
      <w:r w:rsidR="00262174">
        <w:rPr>
          <w:rFonts w:cs="Arial"/>
          <w:snapToGrid w:val="0"/>
          <w:lang w:bidi="ar-SA"/>
        </w:rPr>
        <w:t>,</w:t>
      </w:r>
      <w:r w:rsidRPr="005F0EF3">
        <w:rPr>
          <w:rFonts w:cs="Arial"/>
          <w:snapToGrid w:val="0"/>
          <w:lang w:bidi="ar-SA"/>
        </w:rPr>
        <w:t xml:space="preserve"> recognising the extra costs </w:t>
      </w:r>
      <w:r w:rsidR="00262174">
        <w:rPr>
          <w:rFonts w:cs="Arial"/>
          <w:snapToGrid w:val="0"/>
          <w:lang w:bidi="ar-SA"/>
        </w:rPr>
        <w:t>incurred by</w:t>
      </w:r>
      <w:r w:rsidRPr="005F0EF3">
        <w:rPr>
          <w:rFonts w:cs="Arial"/>
          <w:snapToGrid w:val="0"/>
          <w:lang w:bidi="ar-SA"/>
        </w:rPr>
        <w:t xml:space="preserve"> HGS</w:t>
      </w:r>
      <w:r w:rsidR="00FE2EAA">
        <w:rPr>
          <w:rFonts w:cs="Arial"/>
          <w:snapToGrid w:val="0"/>
          <w:lang w:bidi="ar-SA"/>
        </w:rPr>
        <w:t>A</w:t>
      </w:r>
      <w:r w:rsidRPr="005F0EF3">
        <w:rPr>
          <w:rFonts w:cs="Arial"/>
          <w:snapToGrid w:val="0"/>
          <w:lang w:bidi="ar-SA"/>
        </w:rPr>
        <w:t xml:space="preserve"> licensees</w:t>
      </w:r>
      <w:r w:rsidR="00262174">
        <w:rPr>
          <w:rFonts w:cs="Arial"/>
          <w:snapToGrid w:val="0"/>
          <w:lang w:bidi="ar-SA"/>
        </w:rPr>
        <w:t>,</w:t>
      </w:r>
      <w:r w:rsidRPr="005F0EF3">
        <w:rPr>
          <w:rFonts w:cs="Arial"/>
          <w:snapToGrid w:val="0"/>
          <w:lang w:bidi="ar-SA"/>
        </w:rPr>
        <w:t xml:space="preserve"> to </w:t>
      </w:r>
      <w:r w:rsidR="00FE2EAA">
        <w:rPr>
          <w:rFonts w:cs="Arial"/>
          <w:snapToGrid w:val="0"/>
          <w:lang w:bidi="ar-SA"/>
        </w:rPr>
        <w:t>provide an incentive to</w:t>
      </w:r>
      <w:r w:rsidRPr="005F0EF3">
        <w:rPr>
          <w:rFonts w:cs="Arial"/>
          <w:snapToGrid w:val="0"/>
          <w:lang w:bidi="ar-SA"/>
        </w:rPr>
        <w:t xml:space="preserve"> jurisdictions to move to the</w:t>
      </w:r>
      <w:r w:rsidR="00262174">
        <w:rPr>
          <w:rFonts w:cs="Arial"/>
          <w:snapToGrid w:val="0"/>
          <w:lang w:bidi="ar-SA"/>
        </w:rPr>
        <w:t xml:space="preserve"> HGS</w:t>
      </w:r>
      <w:r w:rsidR="00262174" w:rsidRPr="00262174">
        <w:rPr>
          <w:rFonts w:cs="Arial"/>
          <w:snapToGrid w:val="0"/>
          <w:lang w:bidi="ar-SA"/>
        </w:rPr>
        <w:t xml:space="preserve"> </w:t>
      </w:r>
      <w:r w:rsidR="00262174">
        <w:rPr>
          <w:rFonts w:cs="Arial"/>
          <w:snapToGrid w:val="0"/>
          <w:lang w:bidi="ar-SA"/>
        </w:rPr>
        <w:t>are to be applied in both 2016 and 2017</w:t>
      </w:r>
      <w:r w:rsidR="00D72F18">
        <w:rPr>
          <w:rFonts w:cs="Arial"/>
          <w:snapToGrid w:val="0"/>
          <w:lang w:bidi="ar-SA"/>
        </w:rPr>
        <w:t xml:space="preserve">, in the form of discounted tax rates for those years. </w:t>
      </w:r>
    </w:p>
    <w:p w14:paraId="7CA112DB" w14:textId="77777777" w:rsidR="00D72F18" w:rsidRDefault="00D72F18" w:rsidP="002C46ED">
      <w:pPr>
        <w:jc w:val="both"/>
        <w:rPr>
          <w:rFonts w:cs="Arial"/>
          <w:snapToGrid w:val="0"/>
          <w:lang w:bidi="ar-SA"/>
        </w:rPr>
      </w:pPr>
    </w:p>
    <w:p w14:paraId="4A5D53F8" w14:textId="7B73B417" w:rsidR="00D72F18" w:rsidRPr="00BD2F75" w:rsidRDefault="00D72F18" w:rsidP="002C46ED">
      <w:pPr>
        <w:jc w:val="both"/>
        <w:rPr>
          <w:rFonts w:cs="Arial"/>
        </w:rPr>
      </w:pPr>
      <w:r>
        <w:rPr>
          <w:rFonts w:cs="Arial"/>
          <w:snapToGrid w:val="0"/>
          <w:lang w:bidi="ar-SA"/>
        </w:rPr>
        <w:t>Division 1 of Part 3A provides that the Part applies to HGSA licences, and defines the terms ‘base amount’ and ‘state or territory of the licence’</w:t>
      </w:r>
      <w:r w:rsidR="00144563">
        <w:rPr>
          <w:rFonts w:cs="Arial"/>
          <w:snapToGrid w:val="0"/>
          <w:lang w:bidi="ar-SA"/>
        </w:rPr>
        <w:t xml:space="preserve">. </w:t>
      </w:r>
    </w:p>
    <w:p w14:paraId="32701A5E" w14:textId="77777777" w:rsidR="00BD2F75" w:rsidRPr="00262174" w:rsidRDefault="00BD2F75" w:rsidP="002C46ED">
      <w:pPr>
        <w:jc w:val="both"/>
        <w:rPr>
          <w:rFonts w:cs="Arial"/>
        </w:rPr>
      </w:pPr>
    </w:p>
    <w:p w14:paraId="50DE60F0" w14:textId="6B253C11" w:rsidR="00895908" w:rsidRDefault="00895908" w:rsidP="002C46ED">
      <w:pPr>
        <w:jc w:val="both"/>
        <w:rPr>
          <w:rFonts w:cs="Arial"/>
        </w:rPr>
      </w:pPr>
      <w:r>
        <w:rPr>
          <w:rFonts w:cs="Arial"/>
        </w:rPr>
        <w:t>The tax rates in relation to an HGSA licence are set out in Division 2 of new Part 3A:</w:t>
      </w:r>
    </w:p>
    <w:p w14:paraId="7E39B418" w14:textId="5802A94D" w:rsidR="00895908" w:rsidRDefault="00895908" w:rsidP="002C46ED">
      <w:pPr>
        <w:pStyle w:val="ListParagraph"/>
        <w:numPr>
          <w:ilvl w:val="0"/>
          <w:numId w:val="56"/>
        </w:numPr>
        <w:jc w:val="both"/>
        <w:rPr>
          <w:rFonts w:cs="Arial"/>
        </w:rPr>
      </w:pPr>
      <w:proofErr w:type="gramStart"/>
      <w:r>
        <w:rPr>
          <w:rFonts w:cs="Arial"/>
        </w:rPr>
        <w:t>each</w:t>
      </w:r>
      <w:proofErr w:type="gramEnd"/>
      <w:r>
        <w:rPr>
          <w:rFonts w:cs="Arial"/>
        </w:rPr>
        <w:t xml:space="preserve"> HGSA licence will authorise the operation of devices throughout a particular State or Territory (or, in the case of Western Australia, throughout Western Australia except the Radio Quiet Zone).  A different tax rate applies for each State </w:t>
      </w:r>
      <w:r w:rsidR="001A0170">
        <w:rPr>
          <w:rFonts w:cs="Arial"/>
        </w:rPr>
        <w:t>and</w:t>
      </w:r>
      <w:r>
        <w:rPr>
          <w:rFonts w:cs="Arial"/>
        </w:rPr>
        <w:t xml:space="preserve"> Territory;</w:t>
      </w:r>
    </w:p>
    <w:p w14:paraId="2F87D74A" w14:textId="2FAEC9D7" w:rsidR="00895908" w:rsidRDefault="00895908" w:rsidP="002C46ED">
      <w:pPr>
        <w:pStyle w:val="ListParagraph"/>
        <w:numPr>
          <w:ilvl w:val="0"/>
          <w:numId w:val="56"/>
        </w:numPr>
        <w:jc w:val="both"/>
        <w:rPr>
          <w:rFonts w:cs="Arial"/>
        </w:rPr>
      </w:pPr>
      <w:proofErr w:type="gramStart"/>
      <w:r>
        <w:rPr>
          <w:rFonts w:cs="Arial"/>
        </w:rPr>
        <w:t>as</w:t>
      </w:r>
      <w:proofErr w:type="gramEnd"/>
      <w:r>
        <w:rPr>
          <w:rFonts w:cs="Arial"/>
        </w:rPr>
        <w:t xml:space="preserve"> mentioned above, discounted rates of tax apply for the first two years after the introduction of the HGSA licensing regime.  These discounted rates are set out in new clauses 303A (for 2016) and 304A (for 2017).  The tax rates for each year thereafter are set out in new clause 305A.  The ACMA intends to increase the rates annually</w:t>
      </w:r>
      <w:r w:rsidR="00CB3339">
        <w:rPr>
          <w:rFonts w:cs="Arial"/>
        </w:rPr>
        <w:t xml:space="preserve"> from 2016</w:t>
      </w:r>
      <w:r>
        <w:rPr>
          <w:rFonts w:cs="Arial"/>
        </w:rPr>
        <w:t>, to adjust for CPI.</w:t>
      </w:r>
    </w:p>
    <w:p w14:paraId="6CD423EA" w14:textId="77777777" w:rsidR="00895908" w:rsidRPr="00895908" w:rsidRDefault="00895908" w:rsidP="002C46ED">
      <w:pPr>
        <w:ind w:left="360"/>
        <w:jc w:val="both"/>
        <w:rPr>
          <w:rFonts w:cs="Arial"/>
        </w:rPr>
      </w:pPr>
    </w:p>
    <w:p w14:paraId="5583FD59" w14:textId="370D145A" w:rsidR="00390834" w:rsidRDefault="00895908" w:rsidP="002C46ED">
      <w:pPr>
        <w:jc w:val="both"/>
        <w:rPr>
          <w:rFonts w:cs="Arial"/>
        </w:rPr>
      </w:pPr>
      <w:r>
        <w:rPr>
          <w:rFonts w:cs="Arial"/>
        </w:rPr>
        <w:t>Division 3 of new Part 3A sets out the process for calculating the amount of tax imposed on the issue of a HGSA licence, the anniversary of a HGSA licence coming into force, and the holding of a HGSA licence.  These provisions largely replicate the provisions in Schedule 3 of the Determination, modified to apply specifically to HGSA licences.</w:t>
      </w:r>
    </w:p>
    <w:p w14:paraId="5F8209AE" w14:textId="77777777" w:rsidR="00CB3339" w:rsidRDefault="00CB3339" w:rsidP="002C46ED">
      <w:pPr>
        <w:jc w:val="both"/>
        <w:rPr>
          <w:rFonts w:cs="Arial"/>
        </w:rPr>
      </w:pPr>
    </w:p>
    <w:p w14:paraId="7DBFA33D" w14:textId="78E6CEF2" w:rsidR="00390834" w:rsidRDefault="00390834" w:rsidP="002C46ED">
      <w:pPr>
        <w:jc w:val="both"/>
        <w:rPr>
          <w:rFonts w:cs="Arial"/>
        </w:rPr>
      </w:pPr>
      <w:r>
        <w:rPr>
          <w:rFonts w:cs="Arial"/>
        </w:rPr>
        <w:t>New i</w:t>
      </w:r>
      <w:r w:rsidRPr="003342C9">
        <w:rPr>
          <w:rFonts w:cs="Arial"/>
        </w:rPr>
        <w:t xml:space="preserve">tem </w:t>
      </w:r>
      <w:r>
        <w:rPr>
          <w:rFonts w:cs="Arial"/>
        </w:rPr>
        <w:t>306A</w:t>
      </w:r>
      <w:r w:rsidRPr="003342C9">
        <w:rPr>
          <w:rFonts w:cs="Arial"/>
        </w:rPr>
        <w:t xml:space="preserve"> deals with full payment of tax on issue of a </w:t>
      </w:r>
      <w:r>
        <w:rPr>
          <w:rFonts w:cs="Arial"/>
        </w:rPr>
        <w:t xml:space="preserve">HGSA </w:t>
      </w:r>
      <w:r w:rsidRPr="003342C9">
        <w:rPr>
          <w:rFonts w:cs="Arial"/>
        </w:rPr>
        <w:t>licence in force for a period of 12 months or less</w:t>
      </w:r>
      <w:r>
        <w:rPr>
          <w:rFonts w:cs="Arial"/>
        </w:rPr>
        <w:t>.</w:t>
      </w:r>
    </w:p>
    <w:p w14:paraId="10DB5EA2" w14:textId="77777777" w:rsidR="00390834" w:rsidRDefault="00390834" w:rsidP="002C46ED">
      <w:pPr>
        <w:jc w:val="both"/>
        <w:rPr>
          <w:rFonts w:cs="Arial"/>
        </w:rPr>
      </w:pPr>
    </w:p>
    <w:p w14:paraId="4A872E6A" w14:textId="6F73D657" w:rsidR="00390834" w:rsidRDefault="00390834" w:rsidP="002C46ED">
      <w:pPr>
        <w:jc w:val="both"/>
        <w:rPr>
          <w:rFonts w:cs="Arial"/>
        </w:rPr>
      </w:pPr>
      <w:r>
        <w:rPr>
          <w:rFonts w:cs="Arial"/>
        </w:rPr>
        <w:t>New item 307A</w:t>
      </w:r>
      <w:r w:rsidRPr="003342C9">
        <w:rPr>
          <w:rFonts w:cs="Arial"/>
        </w:rPr>
        <w:t xml:space="preserve"> </w:t>
      </w:r>
      <w:r>
        <w:rPr>
          <w:rFonts w:cs="Arial"/>
        </w:rPr>
        <w:t>deals with full payment of tax on issue of a HGSA</w:t>
      </w:r>
      <w:r w:rsidRPr="003342C9">
        <w:rPr>
          <w:rFonts w:cs="Arial"/>
        </w:rPr>
        <w:t xml:space="preserve"> licence in force for a period greater than 12 months</w:t>
      </w:r>
      <w:r w:rsidR="00622456">
        <w:rPr>
          <w:rFonts w:cs="Arial"/>
        </w:rPr>
        <w:t>,</w:t>
      </w:r>
      <w:r w:rsidRPr="003342C9">
        <w:rPr>
          <w:rFonts w:cs="Arial"/>
        </w:rPr>
        <w:t xml:space="preserve"> where the licensee has not elected to pay the tax by instalments.  Table </w:t>
      </w:r>
      <w:r>
        <w:rPr>
          <w:rFonts w:cs="Arial"/>
        </w:rPr>
        <w:t>307A</w:t>
      </w:r>
      <w:r w:rsidRPr="003342C9">
        <w:rPr>
          <w:rFonts w:cs="Arial"/>
        </w:rPr>
        <w:t xml:space="preserve"> effectively requires the addition of the amounts calculated for all </w:t>
      </w:r>
      <w:r>
        <w:rPr>
          <w:rFonts w:cs="Arial"/>
        </w:rPr>
        <w:t xml:space="preserve">years </w:t>
      </w:r>
      <w:r w:rsidRPr="003342C9">
        <w:rPr>
          <w:rFonts w:cs="Arial"/>
        </w:rPr>
        <w:t xml:space="preserve">in </w:t>
      </w:r>
      <w:r>
        <w:rPr>
          <w:rFonts w:cs="Arial"/>
        </w:rPr>
        <w:t xml:space="preserve">which </w:t>
      </w:r>
      <w:r w:rsidRPr="003342C9">
        <w:rPr>
          <w:rFonts w:cs="Arial"/>
        </w:rPr>
        <w:t xml:space="preserve">the licence </w:t>
      </w:r>
      <w:r>
        <w:rPr>
          <w:rFonts w:cs="Arial"/>
        </w:rPr>
        <w:t>is in force</w:t>
      </w:r>
      <w:r w:rsidRPr="003342C9">
        <w:rPr>
          <w:rFonts w:cs="Arial"/>
        </w:rPr>
        <w:t xml:space="preserve">, to determine the transmitter licence tax for the licence.  </w:t>
      </w:r>
      <w:r w:rsidR="00C009B1">
        <w:rPr>
          <w:rFonts w:cs="Arial"/>
        </w:rPr>
        <w:t>Step</w:t>
      </w:r>
      <w:r w:rsidR="00AC3E5A">
        <w:rPr>
          <w:rFonts w:cs="Arial"/>
        </w:rPr>
        <w:t>s</w:t>
      </w:r>
      <w:r w:rsidR="00C009B1">
        <w:rPr>
          <w:rFonts w:cs="Arial"/>
        </w:rPr>
        <w:t xml:space="preserve"> one </w:t>
      </w:r>
      <w:r w:rsidR="00AC3E5A">
        <w:rPr>
          <w:rFonts w:cs="Arial"/>
        </w:rPr>
        <w:t xml:space="preserve">and two </w:t>
      </w:r>
      <w:r w:rsidR="005F5B1A">
        <w:rPr>
          <w:rFonts w:cs="Arial"/>
        </w:rPr>
        <w:t>of table 307A require</w:t>
      </w:r>
      <w:r w:rsidR="00C009B1">
        <w:rPr>
          <w:rFonts w:cs="Arial"/>
        </w:rPr>
        <w:t xml:space="preserve"> </w:t>
      </w:r>
      <w:r w:rsidR="00622456">
        <w:rPr>
          <w:rFonts w:cs="Arial"/>
        </w:rPr>
        <w:t xml:space="preserve">the addition of </w:t>
      </w:r>
      <w:r w:rsidR="00C009B1">
        <w:rPr>
          <w:rFonts w:cs="Arial"/>
        </w:rPr>
        <w:t>the base amounts for the licence for the year that includes the day on which the licence came into force, and for each year that includes the anniversary of the day on which the licence came into force where the licence is in force on that anniversary, other than the year that includes the last anniversary before the end of the licence period. For the year that includes the last anniversary before the end of the licence period,</w:t>
      </w:r>
      <w:r w:rsidR="00AC3E5A">
        <w:rPr>
          <w:rFonts w:cs="Arial"/>
        </w:rPr>
        <w:t xml:space="preserve"> step three of</w:t>
      </w:r>
      <w:r w:rsidR="00C009B1">
        <w:rPr>
          <w:rFonts w:cs="Arial"/>
        </w:rPr>
        <w:t xml:space="preserve"> table 307A requires that the </w:t>
      </w:r>
      <w:r w:rsidR="00C009B1">
        <w:rPr>
          <w:rFonts w:cs="Arial"/>
        </w:rPr>
        <w:lastRenderedPageBreak/>
        <w:t xml:space="preserve">base amount for that year be multiplied by the number of days in the period starting on the last anniversary and ending at the end of the licence period, and divided by 365.  The amounts </w:t>
      </w:r>
      <w:r w:rsidR="00AC3E5A">
        <w:rPr>
          <w:rFonts w:cs="Arial"/>
        </w:rPr>
        <w:t xml:space="preserve">worked out in steps two and three </w:t>
      </w:r>
      <w:r w:rsidR="00C009B1">
        <w:rPr>
          <w:rFonts w:cs="Arial"/>
        </w:rPr>
        <w:t>are added to</w:t>
      </w:r>
      <w:r w:rsidR="00AC3E5A">
        <w:rPr>
          <w:rFonts w:cs="Arial"/>
        </w:rPr>
        <w:t>gether.</w:t>
      </w:r>
      <w:r w:rsidR="00C009B1">
        <w:rPr>
          <w:rFonts w:cs="Arial"/>
        </w:rPr>
        <w:t xml:space="preserve"> </w:t>
      </w:r>
      <w:r w:rsidRPr="003342C9">
        <w:rPr>
          <w:rFonts w:cs="Arial"/>
        </w:rPr>
        <w:t xml:space="preserve">If that works out to be less than the minimum annual amount, the amount becomes the minimum annual amount.  </w:t>
      </w:r>
      <w:r w:rsidR="00FE2EAA">
        <w:rPr>
          <w:rFonts w:cs="Arial"/>
        </w:rPr>
        <w:t xml:space="preserve"> </w:t>
      </w:r>
    </w:p>
    <w:p w14:paraId="33CB5EF0" w14:textId="77777777" w:rsidR="00390834" w:rsidRPr="003342C9" w:rsidRDefault="00390834" w:rsidP="002C46ED">
      <w:pPr>
        <w:jc w:val="both"/>
        <w:rPr>
          <w:rFonts w:cs="Arial"/>
        </w:rPr>
      </w:pPr>
    </w:p>
    <w:p w14:paraId="3F0C6370" w14:textId="61392DB9" w:rsidR="00390834" w:rsidRDefault="00390834" w:rsidP="002C46ED">
      <w:pPr>
        <w:jc w:val="both"/>
        <w:rPr>
          <w:rFonts w:cs="Arial"/>
        </w:rPr>
      </w:pPr>
      <w:r>
        <w:rPr>
          <w:rFonts w:cs="Arial"/>
        </w:rPr>
        <w:t>New i</w:t>
      </w:r>
      <w:r w:rsidRPr="003342C9">
        <w:rPr>
          <w:rFonts w:cs="Arial"/>
        </w:rPr>
        <w:t xml:space="preserve">tem </w:t>
      </w:r>
      <w:r>
        <w:rPr>
          <w:rFonts w:cs="Arial"/>
        </w:rPr>
        <w:t>308A</w:t>
      </w:r>
      <w:r w:rsidRPr="003342C9">
        <w:rPr>
          <w:rFonts w:cs="Arial"/>
        </w:rPr>
        <w:t xml:space="preserve"> deals with imposition of tax on issue of a </w:t>
      </w:r>
      <w:r>
        <w:rPr>
          <w:rFonts w:cs="Arial"/>
        </w:rPr>
        <w:t xml:space="preserve">HGSA </w:t>
      </w:r>
      <w:r w:rsidRPr="003342C9">
        <w:rPr>
          <w:rFonts w:cs="Arial"/>
        </w:rPr>
        <w:t xml:space="preserve">licence in force for more than 12 months, where the licensee has elected to pay the tax by instalments on issue and on </w:t>
      </w:r>
      <w:r>
        <w:rPr>
          <w:rFonts w:cs="Arial"/>
        </w:rPr>
        <w:t>each</w:t>
      </w:r>
      <w:r w:rsidRPr="003342C9">
        <w:rPr>
          <w:rFonts w:cs="Arial"/>
        </w:rPr>
        <w:t xml:space="preserve"> anniversary of the day a licence comes into force.  Table </w:t>
      </w:r>
      <w:r>
        <w:rPr>
          <w:rFonts w:cs="Arial"/>
        </w:rPr>
        <w:t>308A</w:t>
      </w:r>
      <w:r w:rsidRPr="003342C9">
        <w:rPr>
          <w:rFonts w:cs="Arial"/>
        </w:rPr>
        <w:t xml:space="preserve"> effectively calculate</w:t>
      </w:r>
      <w:r>
        <w:rPr>
          <w:rFonts w:cs="Arial"/>
        </w:rPr>
        <w:t>s</w:t>
      </w:r>
      <w:r w:rsidRPr="003342C9">
        <w:rPr>
          <w:rFonts w:cs="Arial"/>
        </w:rPr>
        <w:t xml:space="preserve"> </w:t>
      </w:r>
      <w:r>
        <w:rPr>
          <w:rFonts w:cs="Arial"/>
        </w:rPr>
        <w:t>the annual amount for the HGSA</w:t>
      </w:r>
      <w:r w:rsidRPr="003342C9">
        <w:rPr>
          <w:rFonts w:cs="Arial"/>
        </w:rPr>
        <w:t xml:space="preserve"> licence</w:t>
      </w:r>
      <w:r>
        <w:rPr>
          <w:rFonts w:cs="Arial"/>
        </w:rPr>
        <w:t xml:space="preserve"> for each year</w:t>
      </w:r>
      <w:r w:rsidRPr="003342C9">
        <w:rPr>
          <w:rFonts w:cs="Arial"/>
        </w:rPr>
        <w:t xml:space="preserve"> (pro-rated in any year where the licence is not in force for the entire year), to determine the </w:t>
      </w:r>
      <w:r>
        <w:rPr>
          <w:rFonts w:cs="Arial"/>
        </w:rPr>
        <w:t xml:space="preserve">annual </w:t>
      </w:r>
      <w:r w:rsidRPr="003342C9">
        <w:rPr>
          <w:rFonts w:cs="Arial"/>
        </w:rPr>
        <w:t xml:space="preserve">transmitter licence tax for the licence.  If that works out to be less than the minimum annual amount, the amount becomes the minimum annual amount.  </w:t>
      </w:r>
    </w:p>
    <w:p w14:paraId="699BEE97" w14:textId="77777777" w:rsidR="00390834" w:rsidRPr="003342C9" w:rsidRDefault="00390834" w:rsidP="002C46ED">
      <w:pPr>
        <w:jc w:val="both"/>
        <w:rPr>
          <w:rFonts w:cs="Arial"/>
        </w:rPr>
      </w:pPr>
    </w:p>
    <w:p w14:paraId="439B2D07" w14:textId="5897FF7B" w:rsidR="00390834" w:rsidRPr="00895908" w:rsidRDefault="00A81D75" w:rsidP="002C46ED">
      <w:pPr>
        <w:jc w:val="both"/>
        <w:rPr>
          <w:rFonts w:cs="Arial"/>
        </w:rPr>
      </w:pPr>
      <w:r>
        <w:rPr>
          <w:rFonts w:cs="Arial"/>
        </w:rPr>
        <w:t>New i</w:t>
      </w:r>
      <w:r w:rsidR="00390834" w:rsidRPr="003342C9">
        <w:rPr>
          <w:rFonts w:cs="Arial"/>
        </w:rPr>
        <w:t xml:space="preserve">tem </w:t>
      </w:r>
      <w:r>
        <w:rPr>
          <w:rFonts w:cs="Arial"/>
        </w:rPr>
        <w:t>309A</w:t>
      </w:r>
      <w:r w:rsidR="00390834" w:rsidRPr="003342C9">
        <w:rPr>
          <w:rFonts w:cs="Arial"/>
        </w:rPr>
        <w:t xml:space="preserve"> deals with imposition of the tax on a particular day, being the anniversary of the day the licence comes into force (if subsection 6(5) of the Act applies) or the day after the end of the 60 day period after the anniversary of the day the licence comes into force, (if subsection 6(6) of the Act applies).  It </w:t>
      </w:r>
      <w:r>
        <w:rPr>
          <w:rFonts w:cs="Arial"/>
        </w:rPr>
        <w:t xml:space="preserve">applies if </w:t>
      </w:r>
      <w:r w:rsidR="00390834" w:rsidRPr="003342C9">
        <w:rPr>
          <w:rFonts w:cs="Arial"/>
        </w:rPr>
        <w:t xml:space="preserve">item </w:t>
      </w:r>
      <w:r>
        <w:rPr>
          <w:rFonts w:cs="Arial"/>
        </w:rPr>
        <w:t>308A</w:t>
      </w:r>
      <w:r w:rsidR="00390834" w:rsidRPr="003342C9">
        <w:rPr>
          <w:rFonts w:cs="Arial"/>
        </w:rPr>
        <w:t>, where the licensee has elected to pay the tax by instalments</w:t>
      </w:r>
      <w:r>
        <w:rPr>
          <w:rFonts w:cs="Arial"/>
        </w:rPr>
        <w:t>, ceases to apply before the last instalment is paid</w:t>
      </w:r>
      <w:r w:rsidR="00390834" w:rsidRPr="003342C9">
        <w:rPr>
          <w:rFonts w:cs="Arial"/>
        </w:rPr>
        <w:t xml:space="preserve">.  Table </w:t>
      </w:r>
      <w:r>
        <w:rPr>
          <w:rFonts w:cs="Arial"/>
        </w:rPr>
        <w:t>309A</w:t>
      </w:r>
      <w:r w:rsidR="00390834" w:rsidRPr="003342C9">
        <w:rPr>
          <w:rFonts w:cs="Arial"/>
        </w:rPr>
        <w:t xml:space="preserve"> effectively requires the addition of the amounts calculated for all </w:t>
      </w:r>
      <w:r>
        <w:rPr>
          <w:rFonts w:cs="Arial"/>
        </w:rPr>
        <w:t>years in which the licence is in force after item 308A ceases to apply</w:t>
      </w:r>
      <w:r w:rsidR="00390834" w:rsidRPr="003342C9">
        <w:rPr>
          <w:rFonts w:cs="Arial"/>
        </w:rPr>
        <w:t xml:space="preserve"> (pro-rated in any year where the licence is not in force for the entire year), to determine the</w:t>
      </w:r>
      <w:r w:rsidRPr="00A81D75">
        <w:rPr>
          <w:rFonts w:cs="Arial"/>
        </w:rPr>
        <w:t xml:space="preserve"> remaining </w:t>
      </w:r>
      <w:r w:rsidR="00390834" w:rsidRPr="003342C9">
        <w:rPr>
          <w:rFonts w:cs="Arial"/>
        </w:rPr>
        <w:t xml:space="preserve">transmitter licence tax for the licence.  If that works out to be less than the minimum annual amount, the amount becomes the minimum annual amount.  </w:t>
      </w:r>
    </w:p>
    <w:p w14:paraId="63C1F4A0" w14:textId="77777777" w:rsidR="00DD163C" w:rsidRDefault="00DD163C" w:rsidP="002C46ED">
      <w:pPr>
        <w:jc w:val="both"/>
        <w:rPr>
          <w:rFonts w:cs="Arial"/>
        </w:rPr>
      </w:pPr>
    </w:p>
    <w:p w14:paraId="66E48453" w14:textId="74D6BC73" w:rsidR="00390834" w:rsidRDefault="00A81D75" w:rsidP="002C46ED">
      <w:pPr>
        <w:jc w:val="both"/>
        <w:rPr>
          <w:rFonts w:cs="Arial"/>
        </w:rPr>
      </w:pPr>
      <w:r>
        <w:rPr>
          <w:rFonts w:cs="Arial"/>
        </w:rPr>
        <w:t>New i</w:t>
      </w:r>
      <w:r w:rsidR="00390834" w:rsidRPr="00CF7290">
        <w:rPr>
          <w:rFonts w:cs="Arial"/>
        </w:rPr>
        <w:t xml:space="preserve">tem </w:t>
      </w:r>
      <w:r w:rsidR="00390834">
        <w:rPr>
          <w:rFonts w:cs="Arial"/>
        </w:rPr>
        <w:t>3</w:t>
      </w:r>
      <w:r>
        <w:rPr>
          <w:rFonts w:cs="Arial"/>
        </w:rPr>
        <w:t>10</w:t>
      </w:r>
      <w:r w:rsidR="00390834">
        <w:rPr>
          <w:rFonts w:cs="Arial"/>
        </w:rPr>
        <w:t>A</w:t>
      </w:r>
      <w:r w:rsidR="00390834" w:rsidRPr="00CF7290">
        <w:rPr>
          <w:rFonts w:cs="Arial"/>
        </w:rPr>
        <w:t xml:space="preserve"> discounts February 29 in leap years from any calculation of transmitter licence tax</w:t>
      </w:r>
      <w:r w:rsidR="001661C8">
        <w:rPr>
          <w:rFonts w:cs="Arial"/>
        </w:rPr>
        <w:t xml:space="preserve"> where a licence is issued for a period of 12 months or more</w:t>
      </w:r>
      <w:r w:rsidR="00390834" w:rsidRPr="00CF7290">
        <w:rPr>
          <w:rFonts w:cs="Arial"/>
        </w:rPr>
        <w:t>.</w:t>
      </w:r>
    </w:p>
    <w:p w14:paraId="481F5A04" w14:textId="77777777" w:rsidR="00A81D75" w:rsidRPr="00CF7290" w:rsidRDefault="00A81D75" w:rsidP="002C46ED">
      <w:pPr>
        <w:jc w:val="both"/>
        <w:rPr>
          <w:rFonts w:cs="Arial"/>
        </w:rPr>
      </w:pPr>
    </w:p>
    <w:p w14:paraId="67B55524" w14:textId="56A1E2A9" w:rsidR="00390834" w:rsidRPr="00CF7290" w:rsidRDefault="00A81D75" w:rsidP="002C46ED">
      <w:pPr>
        <w:jc w:val="both"/>
        <w:rPr>
          <w:rFonts w:cs="Arial"/>
        </w:rPr>
      </w:pPr>
      <w:r>
        <w:rPr>
          <w:rFonts w:cs="Arial"/>
        </w:rPr>
        <w:t>New i</w:t>
      </w:r>
      <w:r w:rsidR="00390834" w:rsidRPr="00CF7290">
        <w:rPr>
          <w:rFonts w:cs="Arial"/>
        </w:rPr>
        <w:t xml:space="preserve">tem </w:t>
      </w:r>
      <w:r>
        <w:rPr>
          <w:rFonts w:cs="Arial"/>
        </w:rPr>
        <w:t>311A</w:t>
      </w:r>
      <w:r w:rsidR="00390834" w:rsidRPr="00CF7290">
        <w:rPr>
          <w:rFonts w:cs="Arial"/>
        </w:rPr>
        <w:t xml:space="preserve"> provides for rounding up or down of calculated amounts to the nearest whole dollar.</w:t>
      </w:r>
    </w:p>
    <w:p w14:paraId="390A9AE1" w14:textId="77777777" w:rsidR="00390834" w:rsidRPr="00F127EE" w:rsidRDefault="00390834" w:rsidP="002C46ED">
      <w:pPr>
        <w:jc w:val="both"/>
        <w:rPr>
          <w:rFonts w:cs="Arial"/>
        </w:rPr>
      </w:pPr>
    </w:p>
    <w:p w14:paraId="22D29497" w14:textId="0833CC2B" w:rsidR="008B094B" w:rsidRPr="00F127EE" w:rsidRDefault="008B094B" w:rsidP="002C46ED">
      <w:pPr>
        <w:pStyle w:val="Heading3"/>
        <w:jc w:val="both"/>
        <w:rPr>
          <w:sz w:val="20"/>
          <w:szCs w:val="20"/>
        </w:rPr>
      </w:pPr>
      <w:r w:rsidRPr="00F127EE">
        <w:rPr>
          <w:sz w:val="20"/>
          <w:szCs w:val="20"/>
        </w:rPr>
        <w:t xml:space="preserve">Item </w:t>
      </w:r>
      <w:r w:rsidR="00B8767B">
        <w:rPr>
          <w:sz w:val="20"/>
          <w:szCs w:val="20"/>
        </w:rPr>
        <w:t>[</w:t>
      </w:r>
      <w:r w:rsidR="002614A2">
        <w:rPr>
          <w:sz w:val="20"/>
          <w:szCs w:val="20"/>
        </w:rPr>
        <w:t>7</w:t>
      </w:r>
      <w:r w:rsidR="00B8767B">
        <w:rPr>
          <w:sz w:val="20"/>
          <w:szCs w:val="20"/>
        </w:rPr>
        <w:t>]</w:t>
      </w:r>
    </w:p>
    <w:p w14:paraId="039B1F01" w14:textId="462C3F4C" w:rsidR="008B094B" w:rsidRPr="00F127EE" w:rsidRDefault="008B094B" w:rsidP="002C46ED">
      <w:pPr>
        <w:jc w:val="both"/>
        <w:rPr>
          <w:rFonts w:cs="Arial"/>
        </w:rPr>
      </w:pPr>
      <w:r w:rsidRPr="00F127EE">
        <w:rPr>
          <w:rFonts w:cs="Arial"/>
        </w:rPr>
        <w:t xml:space="preserve">Item </w:t>
      </w:r>
      <w:r w:rsidR="00B8767B">
        <w:rPr>
          <w:rFonts w:cs="Arial"/>
        </w:rPr>
        <w:t>[</w:t>
      </w:r>
      <w:r w:rsidR="002614A2">
        <w:rPr>
          <w:rFonts w:cs="Arial"/>
        </w:rPr>
        <w:t>7</w:t>
      </w:r>
      <w:r w:rsidR="00B8767B">
        <w:rPr>
          <w:rFonts w:cs="Arial"/>
        </w:rPr>
        <w:t xml:space="preserve">] substitutes item 18 of Table 702 of Schedule 2 to the Determination to exclude </w:t>
      </w:r>
      <w:r w:rsidRPr="00F127EE">
        <w:rPr>
          <w:rFonts w:cs="Arial"/>
        </w:rPr>
        <w:t xml:space="preserve">a wireless audio system operated under a </w:t>
      </w:r>
      <w:r w:rsidR="00B8767B">
        <w:rPr>
          <w:rFonts w:cs="Arial"/>
        </w:rPr>
        <w:t>HGSA</w:t>
      </w:r>
      <w:r w:rsidRPr="00F127EE">
        <w:rPr>
          <w:rFonts w:cs="Arial"/>
        </w:rPr>
        <w:t xml:space="preserve"> licence </w:t>
      </w:r>
      <w:r w:rsidR="00B8767B">
        <w:rPr>
          <w:rFonts w:cs="Arial"/>
        </w:rPr>
        <w:t>from being</w:t>
      </w:r>
      <w:r w:rsidRPr="00F127EE">
        <w:rPr>
          <w:rFonts w:cs="Arial"/>
        </w:rPr>
        <w:t xml:space="preserve"> covered by Part 7.</w:t>
      </w:r>
      <w:r w:rsidR="00B8767B">
        <w:rPr>
          <w:rFonts w:cs="Arial"/>
        </w:rPr>
        <w:t xml:space="preserve"> </w:t>
      </w:r>
      <w:r w:rsidR="0069666D">
        <w:rPr>
          <w:rFonts w:cs="Arial"/>
        </w:rPr>
        <w:t>Wireless audio systems operated under HGSA</w:t>
      </w:r>
      <w:r w:rsidR="00B8767B">
        <w:rPr>
          <w:rFonts w:cs="Arial"/>
        </w:rPr>
        <w:t xml:space="preserve"> licences are covered by new Part 3A of Schedule 2. </w:t>
      </w:r>
    </w:p>
    <w:p w14:paraId="71011B0A" w14:textId="0147A159" w:rsidR="006A273B" w:rsidRPr="00F127EE" w:rsidRDefault="00B8767B" w:rsidP="002C46ED">
      <w:pPr>
        <w:jc w:val="both"/>
        <w:rPr>
          <w:rFonts w:cs="Arial"/>
        </w:rPr>
      </w:pPr>
      <w:r>
        <w:rPr>
          <w:rFonts w:cs="Arial"/>
        </w:rPr>
        <w:t xml:space="preserve"> </w:t>
      </w:r>
    </w:p>
    <w:p w14:paraId="527738E1" w14:textId="2A8530DC" w:rsidR="008B094B" w:rsidRPr="00F127EE" w:rsidRDefault="008B094B" w:rsidP="002C46ED">
      <w:pPr>
        <w:pStyle w:val="Heading3"/>
        <w:jc w:val="both"/>
        <w:rPr>
          <w:sz w:val="20"/>
          <w:szCs w:val="20"/>
        </w:rPr>
      </w:pPr>
      <w:r w:rsidRPr="00F570F3">
        <w:rPr>
          <w:sz w:val="20"/>
          <w:szCs w:val="20"/>
        </w:rPr>
        <w:t xml:space="preserve">Item </w:t>
      </w:r>
      <w:r w:rsidR="00B8767B" w:rsidRPr="00F570F3">
        <w:rPr>
          <w:sz w:val="20"/>
          <w:szCs w:val="20"/>
        </w:rPr>
        <w:t>[</w:t>
      </w:r>
      <w:r w:rsidR="002614A2">
        <w:rPr>
          <w:sz w:val="20"/>
          <w:szCs w:val="20"/>
        </w:rPr>
        <w:t>8</w:t>
      </w:r>
      <w:r w:rsidR="00B8767B" w:rsidRPr="00F570F3">
        <w:rPr>
          <w:sz w:val="20"/>
          <w:szCs w:val="20"/>
        </w:rPr>
        <w:t>]</w:t>
      </w:r>
    </w:p>
    <w:p w14:paraId="42CDFF75" w14:textId="52B03120" w:rsidR="006A273B" w:rsidRPr="00F127EE" w:rsidRDefault="008B094B" w:rsidP="002C46ED">
      <w:pPr>
        <w:jc w:val="both"/>
        <w:rPr>
          <w:rFonts w:cs="Arial"/>
        </w:rPr>
      </w:pPr>
      <w:r w:rsidRPr="00F127EE">
        <w:rPr>
          <w:rFonts w:cs="Arial"/>
        </w:rPr>
        <w:t xml:space="preserve">Item </w:t>
      </w:r>
      <w:r w:rsidR="00B8767B">
        <w:rPr>
          <w:rFonts w:cs="Arial"/>
        </w:rPr>
        <w:t>[</w:t>
      </w:r>
      <w:r w:rsidR="002614A2">
        <w:rPr>
          <w:rFonts w:cs="Arial"/>
        </w:rPr>
        <w:t>8</w:t>
      </w:r>
      <w:r w:rsidR="00B8767B">
        <w:rPr>
          <w:rFonts w:cs="Arial"/>
        </w:rPr>
        <w:t>]</w:t>
      </w:r>
      <w:r w:rsidRPr="00F127EE">
        <w:rPr>
          <w:rFonts w:cs="Arial"/>
        </w:rPr>
        <w:t xml:space="preserve"> inserts a definition of </w:t>
      </w:r>
      <w:r w:rsidR="00F570F3">
        <w:rPr>
          <w:rFonts w:cs="Arial"/>
        </w:rPr>
        <w:t>HGSA</w:t>
      </w:r>
      <w:r w:rsidRPr="00F127EE">
        <w:rPr>
          <w:rFonts w:cs="Arial"/>
        </w:rPr>
        <w:t xml:space="preserve"> licence into the Dictionary immediately after the definition of </w:t>
      </w:r>
      <w:r w:rsidRPr="005F5B1A">
        <w:rPr>
          <w:rFonts w:cs="Arial"/>
          <w:i/>
        </w:rPr>
        <w:t>fixed earth station</w:t>
      </w:r>
      <w:r w:rsidRPr="00F127EE">
        <w:rPr>
          <w:rFonts w:cs="Arial"/>
        </w:rPr>
        <w:t>.</w:t>
      </w:r>
      <w:r w:rsidR="00F570F3">
        <w:rPr>
          <w:rFonts w:cs="Arial"/>
        </w:rPr>
        <w:t xml:space="preserve"> A HGSA licence is a land mobile licence that authorises the licensee to operate a device in every part of a State or Territory</w:t>
      </w:r>
      <w:r w:rsidR="0069666D">
        <w:rPr>
          <w:rFonts w:cs="Arial"/>
        </w:rPr>
        <w:t xml:space="preserve"> (except in the case of Western Australia, where a licence cannot be issued in relation to the Radio Quiet Zone, except in certain circumstances)</w:t>
      </w:r>
      <w:r w:rsidR="00F570F3">
        <w:rPr>
          <w:rFonts w:cs="Arial"/>
        </w:rPr>
        <w:t xml:space="preserve"> and on every frequency in one or more of the transmit frequency ranges specified in subparagraphs (b) (i)-(vi</w:t>
      </w:r>
      <w:r w:rsidR="0069666D">
        <w:rPr>
          <w:rFonts w:cs="Arial"/>
        </w:rPr>
        <w:t>ii</w:t>
      </w:r>
      <w:r w:rsidR="00F570F3">
        <w:rPr>
          <w:rFonts w:cs="Arial"/>
        </w:rPr>
        <w:t xml:space="preserve">) of the definition. </w:t>
      </w:r>
      <w:r w:rsidR="0069666D">
        <w:rPr>
          <w:rFonts w:cs="Arial"/>
        </w:rPr>
        <w:t xml:space="preserve"> The ACMA’s policies in relation to the issuing of such licence</w:t>
      </w:r>
      <w:r w:rsidR="001661C8">
        <w:rPr>
          <w:rFonts w:cs="Arial"/>
        </w:rPr>
        <w:t>s</w:t>
      </w:r>
      <w:r w:rsidR="0069666D">
        <w:rPr>
          <w:rFonts w:cs="Arial"/>
        </w:rPr>
        <w:t xml:space="preserve"> will generally be available from the ACMA website.</w:t>
      </w:r>
    </w:p>
    <w:p w14:paraId="73CDFEAC" w14:textId="77777777" w:rsidR="008B094B" w:rsidRPr="00F127EE" w:rsidRDefault="008B094B" w:rsidP="002C46ED">
      <w:pPr>
        <w:jc w:val="both"/>
        <w:rPr>
          <w:rFonts w:cs="Arial"/>
        </w:rPr>
      </w:pPr>
    </w:p>
    <w:p w14:paraId="47089D97" w14:textId="02B52910" w:rsidR="00C63C44" w:rsidRPr="00F127EE" w:rsidRDefault="00CE4A8A" w:rsidP="002C46ED">
      <w:pPr>
        <w:pStyle w:val="Heading2"/>
        <w:jc w:val="both"/>
        <w:rPr>
          <w:sz w:val="20"/>
          <w:szCs w:val="20"/>
        </w:rPr>
      </w:pPr>
      <w:r w:rsidRPr="00F127EE">
        <w:rPr>
          <w:sz w:val="20"/>
          <w:szCs w:val="20"/>
        </w:rPr>
        <w:t xml:space="preserve">Schedule </w:t>
      </w:r>
      <w:r w:rsidR="00826554" w:rsidRPr="00F127EE">
        <w:rPr>
          <w:sz w:val="20"/>
          <w:szCs w:val="20"/>
        </w:rPr>
        <w:t>2</w:t>
      </w:r>
      <w:r w:rsidRPr="00F127EE">
        <w:rPr>
          <w:sz w:val="20"/>
          <w:szCs w:val="20"/>
        </w:rPr>
        <w:tab/>
      </w:r>
      <w:r w:rsidR="00C63C44" w:rsidRPr="00F127EE">
        <w:rPr>
          <w:sz w:val="20"/>
          <w:szCs w:val="20"/>
        </w:rPr>
        <w:t>Amendments</w:t>
      </w:r>
      <w:r w:rsidR="00826554" w:rsidRPr="00F127EE">
        <w:rPr>
          <w:sz w:val="20"/>
          <w:szCs w:val="20"/>
        </w:rPr>
        <w:t xml:space="preserve"> </w:t>
      </w:r>
      <w:r w:rsidR="007F210C">
        <w:rPr>
          <w:sz w:val="20"/>
          <w:szCs w:val="20"/>
        </w:rPr>
        <w:t>to the Radiocommunications (Transmitter Licence Tax) Determination 2015 (consumer price index increase)</w:t>
      </w:r>
    </w:p>
    <w:p w14:paraId="63777C41" w14:textId="3D8D561F" w:rsidR="002614A2" w:rsidRPr="00F127EE" w:rsidRDefault="002614A2" w:rsidP="002C46ED">
      <w:pPr>
        <w:pStyle w:val="Heading3"/>
        <w:jc w:val="both"/>
        <w:rPr>
          <w:sz w:val="20"/>
          <w:szCs w:val="20"/>
        </w:rPr>
      </w:pPr>
      <w:r w:rsidRPr="00F127EE">
        <w:rPr>
          <w:sz w:val="20"/>
          <w:szCs w:val="20"/>
        </w:rPr>
        <w:t xml:space="preserve">Item </w:t>
      </w:r>
      <w:r>
        <w:rPr>
          <w:sz w:val="20"/>
          <w:szCs w:val="20"/>
        </w:rPr>
        <w:t>[1]</w:t>
      </w:r>
    </w:p>
    <w:p w14:paraId="79E6BB0D" w14:textId="7F643EE9" w:rsidR="002614A2" w:rsidRPr="00F127EE" w:rsidRDefault="002614A2" w:rsidP="002C46ED">
      <w:pPr>
        <w:jc w:val="both"/>
        <w:rPr>
          <w:rFonts w:cs="Arial"/>
        </w:rPr>
      </w:pPr>
      <w:r w:rsidRPr="00F127EE">
        <w:rPr>
          <w:rFonts w:cs="Arial"/>
        </w:rPr>
        <w:t xml:space="preserve">Item </w:t>
      </w:r>
      <w:r>
        <w:rPr>
          <w:rFonts w:cs="Arial"/>
        </w:rPr>
        <w:t>[1]</w:t>
      </w:r>
      <w:r w:rsidRPr="00F127EE">
        <w:rPr>
          <w:rFonts w:cs="Arial"/>
        </w:rPr>
        <w:t xml:space="preserve"> </w:t>
      </w:r>
      <w:r>
        <w:rPr>
          <w:rFonts w:cs="Arial"/>
        </w:rPr>
        <w:t xml:space="preserve">corrects an error in the note to section 2.2 of the Determination by replacing the reference to </w:t>
      </w:r>
      <w:r w:rsidR="005F5B1A">
        <w:rPr>
          <w:rFonts w:cs="Arial"/>
        </w:rPr>
        <w:t xml:space="preserve">a </w:t>
      </w:r>
      <w:r w:rsidRPr="00F127EE">
        <w:rPr>
          <w:rFonts w:cs="Arial"/>
        </w:rPr>
        <w:t xml:space="preserve">receiver </w:t>
      </w:r>
      <w:r>
        <w:rPr>
          <w:rFonts w:cs="Arial"/>
        </w:rPr>
        <w:t>with</w:t>
      </w:r>
      <w:r w:rsidRPr="00F127EE">
        <w:rPr>
          <w:rFonts w:cs="Arial"/>
        </w:rPr>
        <w:t xml:space="preserve"> </w:t>
      </w:r>
      <w:r w:rsidR="005F5B1A">
        <w:rPr>
          <w:rFonts w:cs="Arial"/>
        </w:rPr>
        <w:t xml:space="preserve">a reference to </w:t>
      </w:r>
      <w:r w:rsidRPr="00F127EE">
        <w:rPr>
          <w:rFonts w:cs="Arial"/>
        </w:rPr>
        <w:t>transmitter</w:t>
      </w:r>
      <w:r>
        <w:rPr>
          <w:rFonts w:cs="Arial"/>
        </w:rPr>
        <w:t xml:space="preserve">. </w:t>
      </w:r>
    </w:p>
    <w:p w14:paraId="30929514" w14:textId="4C598439" w:rsidR="00C63C44" w:rsidRPr="00F127EE" w:rsidRDefault="00C63C44" w:rsidP="002C46ED">
      <w:pPr>
        <w:pStyle w:val="Heading3"/>
        <w:jc w:val="both"/>
        <w:rPr>
          <w:sz w:val="20"/>
          <w:szCs w:val="20"/>
        </w:rPr>
      </w:pPr>
      <w:r w:rsidRPr="00F127EE">
        <w:rPr>
          <w:sz w:val="20"/>
          <w:szCs w:val="20"/>
        </w:rPr>
        <w:t xml:space="preserve">Item </w:t>
      </w:r>
      <w:r w:rsidR="007F210C">
        <w:rPr>
          <w:sz w:val="20"/>
          <w:szCs w:val="20"/>
        </w:rPr>
        <w:t>[</w:t>
      </w:r>
      <w:r w:rsidR="002614A2">
        <w:rPr>
          <w:sz w:val="20"/>
          <w:szCs w:val="20"/>
        </w:rPr>
        <w:t>2</w:t>
      </w:r>
      <w:r w:rsidR="007F210C">
        <w:rPr>
          <w:sz w:val="20"/>
          <w:szCs w:val="20"/>
        </w:rPr>
        <w:t>]</w:t>
      </w:r>
    </w:p>
    <w:p w14:paraId="026DF756" w14:textId="21325241" w:rsidR="00C63C44" w:rsidRPr="00F127EE" w:rsidRDefault="00C63C44" w:rsidP="002C46ED">
      <w:pPr>
        <w:jc w:val="both"/>
        <w:rPr>
          <w:rFonts w:cs="Arial"/>
          <w:snapToGrid w:val="0"/>
        </w:rPr>
      </w:pPr>
      <w:r w:rsidRPr="00F127EE">
        <w:rPr>
          <w:rFonts w:cs="Arial"/>
        </w:rPr>
        <w:t xml:space="preserve">Item </w:t>
      </w:r>
      <w:r w:rsidR="007F210C">
        <w:rPr>
          <w:rFonts w:cs="Arial"/>
        </w:rPr>
        <w:t>[</w:t>
      </w:r>
      <w:r w:rsidR="002614A2">
        <w:rPr>
          <w:rFonts w:cs="Arial"/>
        </w:rPr>
        <w:t>2</w:t>
      </w:r>
      <w:r w:rsidR="007F210C">
        <w:rPr>
          <w:rFonts w:cs="Arial"/>
        </w:rPr>
        <w:t>]</w:t>
      </w:r>
      <w:r w:rsidRPr="00F127EE">
        <w:rPr>
          <w:rFonts w:cs="Arial"/>
        </w:rPr>
        <w:t xml:space="preserve"> </w:t>
      </w:r>
      <w:r w:rsidR="00267F89" w:rsidRPr="00F127EE">
        <w:rPr>
          <w:rFonts w:cs="Arial"/>
        </w:rPr>
        <w:t xml:space="preserve">substitutes Part </w:t>
      </w:r>
      <w:r w:rsidR="00FF04F3" w:rsidRPr="00F127EE">
        <w:rPr>
          <w:rFonts w:cs="Arial"/>
        </w:rPr>
        <w:t>3</w:t>
      </w:r>
      <w:r w:rsidR="00267F89" w:rsidRPr="00F127EE">
        <w:rPr>
          <w:rFonts w:cs="Arial"/>
        </w:rPr>
        <w:t xml:space="preserve"> of the Determination to introduce new transitional arrangements.  New section </w:t>
      </w:r>
      <w:r w:rsidR="00FF04F3" w:rsidRPr="00F127EE">
        <w:rPr>
          <w:rFonts w:cs="Arial"/>
        </w:rPr>
        <w:t>3</w:t>
      </w:r>
      <w:r w:rsidRPr="00F127EE">
        <w:rPr>
          <w:rFonts w:cs="Arial"/>
        </w:rPr>
        <w:t xml:space="preserve">.1 of </w:t>
      </w:r>
      <w:r w:rsidR="00267F89" w:rsidRPr="00F127EE">
        <w:rPr>
          <w:rFonts w:cs="Arial"/>
        </w:rPr>
        <w:t>the Determination</w:t>
      </w:r>
      <w:r w:rsidRPr="00F127EE">
        <w:rPr>
          <w:rFonts w:cs="Arial"/>
        </w:rPr>
        <w:t xml:space="preserve"> sets out the relevant definitions</w:t>
      </w:r>
      <w:r w:rsidR="00981532" w:rsidRPr="00F127EE">
        <w:rPr>
          <w:rFonts w:cs="Arial"/>
        </w:rPr>
        <w:t xml:space="preserve"> </w:t>
      </w:r>
      <w:r w:rsidR="009F2F88">
        <w:rPr>
          <w:rFonts w:cs="Arial"/>
        </w:rPr>
        <w:t xml:space="preserve">for Part 3 </w:t>
      </w:r>
      <w:r w:rsidR="00981532" w:rsidRPr="00F127EE">
        <w:rPr>
          <w:rFonts w:cs="Arial"/>
        </w:rPr>
        <w:t xml:space="preserve">and new section </w:t>
      </w:r>
      <w:r w:rsidR="00A5076A">
        <w:rPr>
          <w:rFonts w:cs="Arial"/>
        </w:rPr>
        <w:t>3</w:t>
      </w:r>
      <w:r w:rsidR="00981532" w:rsidRPr="00F127EE">
        <w:rPr>
          <w:rFonts w:cs="Arial"/>
        </w:rPr>
        <w:t xml:space="preserve">.2 </w:t>
      </w:r>
      <w:r w:rsidR="00981532" w:rsidRPr="00F127EE">
        <w:rPr>
          <w:rFonts w:cs="Arial"/>
        </w:rPr>
        <w:lastRenderedPageBreak/>
        <w:t xml:space="preserve">provides new transitional arrangements for the implementation of </w:t>
      </w:r>
      <w:r w:rsidR="004D64B7" w:rsidRPr="00F127EE">
        <w:rPr>
          <w:rFonts w:cs="Arial"/>
        </w:rPr>
        <w:t>transmitter</w:t>
      </w:r>
      <w:r w:rsidR="00981532" w:rsidRPr="00F127EE">
        <w:rPr>
          <w:rFonts w:cs="Arial"/>
        </w:rPr>
        <w:t xml:space="preserve"> licence tax increases made by the Amendment Determination</w:t>
      </w:r>
      <w:r w:rsidRPr="00F127EE">
        <w:rPr>
          <w:rFonts w:cs="Arial"/>
          <w:snapToGrid w:val="0"/>
        </w:rPr>
        <w:t>.</w:t>
      </w:r>
      <w:r w:rsidR="00A5076A">
        <w:rPr>
          <w:rFonts w:cs="Arial"/>
          <w:snapToGrid w:val="0"/>
        </w:rPr>
        <w:t xml:space="preserve"> </w:t>
      </w:r>
    </w:p>
    <w:p w14:paraId="4FB65444" w14:textId="77777777" w:rsidR="00C63C44" w:rsidRPr="00F127EE" w:rsidRDefault="00C63C44" w:rsidP="002C46ED">
      <w:pPr>
        <w:jc w:val="both"/>
        <w:rPr>
          <w:rFonts w:cs="Arial"/>
        </w:rPr>
      </w:pPr>
    </w:p>
    <w:p w14:paraId="4F66F58D" w14:textId="3A72FB47" w:rsidR="00A5076A" w:rsidRDefault="00A5076A" w:rsidP="002C46ED">
      <w:pPr>
        <w:jc w:val="both"/>
        <w:rPr>
          <w:rFonts w:cs="Arial"/>
        </w:rPr>
      </w:pPr>
      <w:r>
        <w:rPr>
          <w:rFonts w:cs="Arial"/>
        </w:rPr>
        <w:t>Under the Act, tax is imposed on the issue</w:t>
      </w:r>
      <w:r w:rsidR="00FD5797">
        <w:rPr>
          <w:rFonts w:cs="Arial"/>
        </w:rPr>
        <w:t xml:space="preserve"> of a licence and, subject to decisions and actions of the licen</w:t>
      </w:r>
      <w:r w:rsidR="001661C8">
        <w:rPr>
          <w:rFonts w:cs="Arial"/>
        </w:rPr>
        <w:t>see</w:t>
      </w:r>
      <w:r>
        <w:rPr>
          <w:rFonts w:cs="Arial"/>
        </w:rPr>
        <w:t xml:space="preserve">, </w:t>
      </w:r>
      <w:r w:rsidR="00FD5797">
        <w:rPr>
          <w:rFonts w:cs="Arial"/>
        </w:rPr>
        <w:t xml:space="preserve">on each </w:t>
      </w:r>
      <w:r>
        <w:rPr>
          <w:rFonts w:cs="Arial"/>
        </w:rPr>
        <w:t>anniversary</w:t>
      </w:r>
      <w:r w:rsidR="00FD5797">
        <w:rPr>
          <w:rFonts w:cs="Arial"/>
        </w:rPr>
        <w:t xml:space="preserve"> of the day the licence comes into force,</w:t>
      </w:r>
      <w:r>
        <w:rPr>
          <w:rFonts w:cs="Arial"/>
        </w:rPr>
        <w:t xml:space="preserve"> or</w:t>
      </w:r>
      <w:r w:rsidR="00FD5797">
        <w:rPr>
          <w:rFonts w:cs="Arial"/>
        </w:rPr>
        <w:t xml:space="preserve"> otherwise upon the</w:t>
      </w:r>
      <w:r>
        <w:rPr>
          <w:rFonts w:cs="Arial"/>
        </w:rPr>
        <w:t xml:space="preserve"> holding of a licence. </w:t>
      </w:r>
      <w:r w:rsidR="00567CD2">
        <w:rPr>
          <w:rFonts w:cs="Arial"/>
        </w:rPr>
        <w:t>Where tax is imposed on issue of a licence, t</w:t>
      </w:r>
      <w:r>
        <w:rPr>
          <w:rFonts w:cs="Arial"/>
        </w:rPr>
        <w:t xml:space="preserve">he ACMA intends for the higher tax rates, which account for the increase in CPI and for the increases due to implementation of </w:t>
      </w:r>
      <w:r w:rsidR="00CB3339">
        <w:rPr>
          <w:rFonts w:cs="Arial"/>
        </w:rPr>
        <w:t>OC</w:t>
      </w:r>
      <w:r>
        <w:rPr>
          <w:rFonts w:cs="Arial"/>
        </w:rPr>
        <w:t xml:space="preserve"> pricing, to apply only to those licences that come into force on or after</w:t>
      </w:r>
      <w:r w:rsidR="00567CD2">
        <w:rPr>
          <w:rFonts w:cs="Arial"/>
        </w:rPr>
        <w:t xml:space="preserve"> </w:t>
      </w:r>
      <w:r>
        <w:rPr>
          <w:rFonts w:cs="Arial"/>
        </w:rPr>
        <w:t>5 April 2016 (whether or not the licence was issued before 5 April 2016).</w:t>
      </w:r>
    </w:p>
    <w:p w14:paraId="2A158452" w14:textId="77777777" w:rsidR="00A5076A" w:rsidRDefault="00A5076A" w:rsidP="002C46ED">
      <w:pPr>
        <w:jc w:val="both"/>
        <w:rPr>
          <w:rFonts w:cs="Arial"/>
        </w:rPr>
      </w:pPr>
    </w:p>
    <w:p w14:paraId="3BE70E1F" w14:textId="342D22E5" w:rsidR="00A5076A" w:rsidRDefault="005F5B1A" w:rsidP="002C46ED">
      <w:pPr>
        <w:jc w:val="both"/>
        <w:rPr>
          <w:rFonts w:cs="Arial"/>
        </w:rPr>
      </w:pPr>
      <w:r>
        <w:rPr>
          <w:rFonts w:cs="Arial"/>
        </w:rPr>
        <w:t>In order for a licensee to know, as early as possible, the amount of tax that will be</w:t>
      </w:r>
      <w:r w:rsidR="00A5076A">
        <w:rPr>
          <w:rFonts w:cs="Arial"/>
        </w:rPr>
        <w:t xml:space="preserve"> imposed on the issue of its licence, the Amendment Determination </w:t>
      </w:r>
      <w:r>
        <w:rPr>
          <w:rFonts w:cs="Arial"/>
        </w:rPr>
        <w:t>will commence the day after it is registered</w:t>
      </w:r>
      <w:r w:rsidR="00A5076A">
        <w:rPr>
          <w:rFonts w:cs="Arial"/>
        </w:rPr>
        <w:t>.  However, because the ACMA intends for the tax imposed on licences that come into force before 5 April 201</w:t>
      </w:r>
      <w:r w:rsidR="00255737">
        <w:rPr>
          <w:rFonts w:cs="Arial"/>
        </w:rPr>
        <w:t>6</w:t>
      </w:r>
      <w:r w:rsidR="00A5076A">
        <w:rPr>
          <w:rFonts w:cs="Arial"/>
        </w:rPr>
        <w:t xml:space="preserve"> to be the amount of tax payable before the</w:t>
      </w:r>
      <w:r w:rsidR="00622456">
        <w:rPr>
          <w:rFonts w:cs="Arial"/>
        </w:rPr>
        <w:t xml:space="preserve"> </w:t>
      </w:r>
      <w:r>
        <w:rPr>
          <w:rFonts w:cs="Arial"/>
        </w:rPr>
        <w:t>tax</w:t>
      </w:r>
      <w:r w:rsidR="00A5076A">
        <w:rPr>
          <w:rFonts w:cs="Arial"/>
        </w:rPr>
        <w:t xml:space="preserve"> </w:t>
      </w:r>
      <w:r w:rsidR="00567CD2">
        <w:rPr>
          <w:rFonts w:cs="Arial"/>
        </w:rPr>
        <w:t>i</w:t>
      </w:r>
      <w:r w:rsidR="00A5076A">
        <w:rPr>
          <w:rFonts w:cs="Arial"/>
        </w:rPr>
        <w:t>ncrease</w:t>
      </w:r>
      <w:r w:rsidR="00567CD2">
        <w:rPr>
          <w:rFonts w:cs="Arial"/>
        </w:rPr>
        <w:t>s in the Amendment Determination are</w:t>
      </w:r>
      <w:r w:rsidR="00A5076A">
        <w:rPr>
          <w:rFonts w:cs="Arial"/>
        </w:rPr>
        <w:t xml:space="preserve"> accounted for, transitional provisions are required to ensure that the tax continues to be calculated in accordance with the Determination as in force immediately before the day on which the Amendment Determination commences.</w:t>
      </w:r>
      <w:r w:rsidR="00255737">
        <w:rPr>
          <w:rFonts w:cs="Arial"/>
        </w:rPr>
        <w:t xml:space="preserve">  That is to say, licences issued after the commencement of the Amendment Determination that come into force before 5 April 2016 will have the tax on issue of the licence calculated by reference to tax rates that have not been adjusted for the CPI increase</w:t>
      </w:r>
      <w:r w:rsidR="00BD18C2">
        <w:rPr>
          <w:rFonts w:cs="Arial"/>
        </w:rPr>
        <w:t>, or OC pricing</w:t>
      </w:r>
      <w:r w:rsidR="00255737">
        <w:rPr>
          <w:rFonts w:cs="Arial"/>
        </w:rPr>
        <w:t>.</w:t>
      </w:r>
    </w:p>
    <w:p w14:paraId="4543C8AA" w14:textId="77777777" w:rsidR="00A5076A" w:rsidRDefault="00A5076A" w:rsidP="002C46ED">
      <w:pPr>
        <w:jc w:val="both"/>
        <w:rPr>
          <w:rFonts w:cs="Arial"/>
        </w:rPr>
      </w:pPr>
    </w:p>
    <w:p w14:paraId="3BF1B5A1" w14:textId="2F14AFFB" w:rsidR="00C63C44" w:rsidRPr="00F127EE" w:rsidRDefault="00C63C44" w:rsidP="002C46ED">
      <w:pPr>
        <w:pStyle w:val="Heading3"/>
        <w:jc w:val="both"/>
        <w:rPr>
          <w:sz w:val="20"/>
          <w:szCs w:val="20"/>
        </w:rPr>
      </w:pPr>
      <w:r w:rsidRPr="00F127EE">
        <w:rPr>
          <w:sz w:val="20"/>
          <w:szCs w:val="20"/>
        </w:rPr>
        <w:t xml:space="preserve">Item </w:t>
      </w:r>
      <w:r w:rsidR="00A5076A">
        <w:rPr>
          <w:sz w:val="20"/>
          <w:szCs w:val="20"/>
        </w:rPr>
        <w:t>[</w:t>
      </w:r>
      <w:r w:rsidR="002614A2">
        <w:rPr>
          <w:sz w:val="20"/>
          <w:szCs w:val="20"/>
        </w:rPr>
        <w:t>3</w:t>
      </w:r>
      <w:r w:rsidR="00A5076A">
        <w:rPr>
          <w:sz w:val="20"/>
          <w:szCs w:val="20"/>
        </w:rPr>
        <w:t>]</w:t>
      </w:r>
    </w:p>
    <w:p w14:paraId="42D1B363" w14:textId="2AA021D1" w:rsidR="00C63C44" w:rsidRPr="00F127EE" w:rsidRDefault="00C63C44" w:rsidP="002C46ED">
      <w:pPr>
        <w:pStyle w:val="ACMABodyText"/>
        <w:spacing w:before="0" w:after="0" w:line="240" w:lineRule="auto"/>
        <w:jc w:val="both"/>
        <w:rPr>
          <w:rFonts w:ascii="Arial" w:hAnsi="Arial" w:cs="Arial"/>
          <w:sz w:val="20"/>
        </w:rPr>
      </w:pPr>
      <w:r w:rsidRPr="00F127EE">
        <w:rPr>
          <w:rFonts w:ascii="Arial" w:hAnsi="Arial" w:cs="Arial"/>
          <w:sz w:val="20"/>
        </w:rPr>
        <w:t xml:space="preserve">Item </w:t>
      </w:r>
      <w:r w:rsidR="00A5076A">
        <w:rPr>
          <w:rFonts w:ascii="Arial" w:hAnsi="Arial" w:cs="Arial"/>
          <w:sz w:val="20"/>
        </w:rPr>
        <w:t>[</w:t>
      </w:r>
      <w:r w:rsidR="002614A2">
        <w:rPr>
          <w:rFonts w:ascii="Arial" w:hAnsi="Arial" w:cs="Arial"/>
          <w:sz w:val="20"/>
        </w:rPr>
        <w:t>3</w:t>
      </w:r>
      <w:r w:rsidR="00A5076A">
        <w:rPr>
          <w:rFonts w:ascii="Arial" w:hAnsi="Arial" w:cs="Arial"/>
          <w:sz w:val="20"/>
        </w:rPr>
        <w:t>]</w:t>
      </w:r>
      <w:r w:rsidRPr="00F127EE">
        <w:rPr>
          <w:rFonts w:ascii="Arial" w:hAnsi="Arial" w:cs="Arial"/>
          <w:sz w:val="20"/>
        </w:rPr>
        <w:t xml:space="preserve"> substitutes a new table 202 (and accompanying note) </w:t>
      </w:r>
      <w:r w:rsidR="00567CD2">
        <w:rPr>
          <w:rFonts w:ascii="Arial" w:hAnsi="Arial" w:cs="Arial"/>
          <w:sz w:val="20"/>
        </w:rPr>
        <w:t xml:space="preserve">in Part 2 of Schedule 2 to the Determination, </w:t>
      </w:r>
      <w:r w:rsidRPr="00F127EE">
        <w:rPr>
          <w:rFonts w:ascii="Arial" w:hAnsi="Arial" w:cs="Arial"/>
          <w:sz w:val="20"/>
        </w:rPr>
        <w:t>which sets out the amount of tax for each kHz of bandwidth for the licensing options specified in Part 2 of Schedule 2</w:t>
      </w:r>
      <w:r w:rsidR="00756B73" w:rsidRPr="00F127EE">
        <w:rPr>
          <w:rFonts w:ascii="Arial" w:hAnsi="Arial" w:cs="Arial"/>
          <w:sz w:val="20"/>
        </w:rPr>
        <w:t xml:space="preserve"> (</w:t>
      </w:r>
      <w:r w:rsidR="00BD18C2">
        <w:rPr>
          <w:rFonts w:ascii="Arial" w:hAnsi="Arial" w:cs="Arial"/>
          <w:sz w:val="20"/>
        </w:rPr>
        <w:t>A</w:t>
      </w:r>
      <w:r w:rsidR="00756B73" w:rsidRPr="00F127EE">
        <w:rPr>
          <w:rFonts w:ascii="Arial" w:hAnsi="Arial" w:cs="Arial"/>
          <w:sz w:val="20"/>
        </w:rPr>
        <w:t>ssigned licences)</w:t>
      </w:r>
      <w:r w:rsidR="00402A68" w:rsidRPr="00F127EE">
        <w:rPr>
          <w:rFonts w:ascii="Arial" w:hAnsi="Arial" w:cs="Arial"/>
          <w:sz w:val="20"/>
        </w:rPr>
        <w:t xml:space="preserve"> </w:t>
      </w:r>
      <w:r w:rsidR="002F638E">
        <w:rPr>
          <w:rFonts w:ascii="Arial" w:hAnsi="Arial" w:cs="Arial"/>
          <w:sz w:val="20"/>
        </w:rPr>
        <w:t>to</w:t>
      </w:r>
      <w:r w:rsidR="00402A68" w:rsidRPr="00F127EE">
        <w:rPr>
          <w:rFonts w:ascii="Arial" w:hAnsi="Arial" w:cs="Arial"/>
          <w:sz w:val="20"/>
        </w:rPr>
        <w:t xml:space="preserve"> the Determination</w:t>
      </w:r>
      <w:r w:rsidRPr="00F127EE">
        <w:rPr>
          <w:rFonts w:ascii="Arial" w:hAnsi="Arial" w:cs="Arial"/>
          <w:sz w:val="20"/>
        </w:rPr>
        <w:t xml:space="preserve">. The amount of tax varies with </w:t>
      </w:r>
      <w:r w:rsidR="00567CD2">
        <w:rPr>
          <w:rFonts w:ascii="Arial" w:hAnsi="Arial" w:cs="Arial"/>
          <w:sz w:val="20"/>
        </w:rPr>
        <w:t xml:space="preserve">the </w:t>
      </w:r>
      <w:r w:rsidRPr="00F127EE">
        <w:rPr>
          <w:rFonts w:ascii="Arial" w:hAnsi="Arial" w:cs="Arial"/>
          <w:sz w:val="20"/>
        </w:rPr>
        <w:t xml:space="preserve">frequency range and </w:t>
      </w:r>
      <w:r w:rsidR="00466E73" w:rsidRPr="00F127EE">
        <w:rPr>
          <w:rFonts w:ascii="Arial" w:hAnsi="Arial" w:cs="Arial"/>
          <w:sz w:val="20"/>
        </w:rPr>
        <w:t xml:space="preserve">area density </w:t>
      </w:r>
      <w:r w:rsidRPr="00F127EE">
        <w:rPr>
          <w:rFonts w:ascii="Arial" w:hAnsi="Arial" w:cs="Arial"/>
          <w:sz w:val="20"/>
        </w:rPr>
        <w:t>of the spectrum access</w:t>
      </w:r>
      <w:r w:rsidR="00567CD2">
        <w:rPr>
          <w:rFonts w:ascii="Arial" w:hAnsi="Arial" w:cs="Arial"/>
          <w:sz w:val="20"/>
        </w:rPr>
        <w:t xml:space="preserve"> of a licence</w:t>
      </w:r>
      <w:r w:rsidRPr="00F127EE">
        <w:rPr>
          <w:rFonts w:ascii="Arial" w:hAnsi="Arial" w:cs="Arial"/>
          <w:sz w:val="20"/>
        </w:rPr>
        <w:t xml:space="preserve">. All amounts have been raised by the adjustment of </w:t>
      </w:r>
      <w:r w:rsidR="006C657E" w:rsidRPr="00F127EE">
        <w:rPr>
          <w:rFonts w:ascii="Arial" w:hAnsi="Arial" w:cs="Arial"/>
          <w:sz w:val="20"/>
        </w:rPr>
        <w:t>1</w:t>
      </w:r>
      <w:r w:rsidR="003544CC" w:rsidRPr="00F127EE">
        <w:rPr>
          <w:rFonts w:ascii="Arial" w:hAnsi="Arial" w:cs="Arial"/>
          <w:sz w:val="20"/>
        </w:rPr>
        <w:t>.</w:t>
      </w:r>
      <w:r w:rsidR="006C657E" w:rsidRPr="00F127EE">
        <w:rPr>
          <w:rFonts w:ascii="Arial" w:hAnsi="Arial" w:cs="Arial"/>
          <w:sz w:val="20"/>
        </w:rPr>
        <w:t>5</w:t>
      </w:r>
      <w:r w:rsidR="003544CC" w:rsidRPr="00F127EE">
        <w:rPr>
          <w:rFonts w:ascii="Arial" w:hAnsi="Arial" w:cs="Arial"/>
          <w:sz w:val="20"/>
        </w:rPr>
        <w:t xml:space="preserve"> percent</w:t>
      </w:r>
      <w:r w:rsidRPr="00F127EE">
        <w:rPr>
          <w:rFonts w:ascii="Arial" w:hAnsi="Arial" w:cs="Arial"/>
          <w:sz w:val="20"/>
        </w:rPr>
        <w:t>.</w:t>
      </w:r>
      <w:r w:rsidR="006C5323" w:rsidRPr="00F127EE">
        <w:rPr>
          <w:rFonts w:ascii="Arial" w:hAnsi="Arial" w:cs="Arial"/>
          <w:sz w:val="20"/>
        </w:rPr>
        <w:t xml:space="preserve"> The amounts relevant to the </w:t>
      </w:r>
      <w:r w:rsidR="00482F15">
        <w:rPr>
          <w:rFonts w:ascii="Arial" w:hAnsi="Arial" w:cs="Arial"/>
          <w:sz w:val="20"/>
        </w:rPr>
        <w:t xml:space="preserve">HDAs </w:t>
      </w:r>
      <w:r w:rsidR="006C5323" w:rsidRPr="00F127EE">
        <w:rPr>
          <w:rFonts w:ascii="Arial" w:hAnsi="Arial" w:cs="Arial"/>
          <w:sz w:val="20"/>
        </w:rPr>
        <w:t xml:space="preserve">and </w:t>
      </w:r>
      <w:r w:rsidR="00482F15">
        <w:rPr>
          <w:rFonts w:ascii="Arial" w:hAnsi="Arial" w:cs="Arial"/>
          <w:sz w:val="20"/>
        </w:rPr>
        <w:t>RDAs</w:t>
      </w:r>
      <w:r w:rsidR="006C5323" w:rsidRPr="00F127EE">
        <w:rPr>
          <w:rFonts w:ascii="Arial" w:hAnsi="Arial" w:cs="Arial"/>
          <w:sz w:val="20"/>
        </w:rPr>
        <w:t xml:space="preserve"> of the </w:t>
      </w:r>
      <w:r w:rsidR="00567CD2">
        <w:rPr>
          <w:rFonts w:ascii="Arial" w:hAnsi="Arial" w:cs="Arial"/>
          <w:sz w:val="20"/>
        </w:rPr>
        <w:t>400</w:t>
      </w:r>
      <w:r w:rsidR="006C5323" w:rsidRPr="00F127EE">
        <w:rPr>
          <w:rFonts w:ascii="Arial" w:hAnsi="Arial" w:cs="Arial"/>
          <w:sz w:val="20"/>
        </w:rPr>
        <w:t xml:space="preserve"> MHz </w:t>
      </w:r>
      <w:r w:rsidR="00567CD2">
        <w:rPr>
          <w:rFonts w:ascii="Arial" w:hAnsi="Arial" w:cs="Arial"/>
          <w:sz w:val="20"/>
        </w:rPr>
        <w:t>band</w:t>
      </w:r>
      <w:r w:rsidR="006C5323" w:rsidRPr="00F127EE">
        <w:rPr>
          <w:rFonts w:ascii="Arial" w:hAnsi="Arial" w:cs="Arial"/>
          <w:sz w:val="20"/>
        </w:rPr>
        <w:t xml:space="preserve"> also reflect the implementation of </w:t>
      </w:r>
      <w:r w:rsidR="00FE2EAA">
        <w:rPr>
          <w:rFonts w:ascii="Arial" w:hAnsi="Arial" w:cs="Arial"/>
          <w:sz w:val="20"/>
        </w:rPr>
        <w:t>OC</w:t>
      </w:r>
      <w:r w:rsidR="006C5323" w:rsidRPr="00F127EE">
        <w:rPr>
          <w:rFonts w:ascii="Arial" w:hAnsi="Arial" w:cs="Arial"/>
          <w:sz w:val="20"/>
        </w:rPr>
        <w:t xml:space="preserve"> </w:t>
      </w:r>
      <w:r w:rsidR="00BD18C2">
        <w:rPr>
          <w:rFonts w:ascii="Arial" w:hAnsi="Arial" w:cs="Arial"/>
          <w:sz w:val="20"/>
        </w:rPr>
        <w:t>pricing</w:t>
      </w:r>
      <w:r w:rsidR="006C5323" w:rsidRPr="00F127EE">
        <w:rPr>
          <w:rFonts w:ascii="Arial" w:hAnsi="Arial" w:cs="Arial"/>
          <w:sz w:val="20"/>
        </w:rPr>
        <w:t>.</w:t>
      </w:r>
    </w:p>
    <w:p w14:paraId="01DBA4E6" w14:textId="0B98CA7A" w:rsidR="00C63C44" w:rsidRPr="00F127EE" w:rsidRDefault="00C63C44" w:rsidP="002C46ED">
      <w:pPr>
        <w:pStyle w:val="Heading3"/>
        <w:jc w:val="both"/>
        <w:rPr>
          <w:sz w:val="20"/>
          <w:szCs w:val="20"/>
        </w:rPr>
      </w:pPr>
      <w:r w:rsidRPr="00F127EE">
        <w:rPr>
          <w:sz w:val="20"/>
          <w:szCs w:val="20"/>
        </w:rPr>
        <w:t xml:space="preserve">Item </w:t>
      </w:r>
      <w:r w:rsidR="00567CD2">
        <w:rPr>
          <w:sz w:val="20"/>
          <w:szCs w:val="20"/>
        </w:rPr>
        <w:t>[</w:t>
      </w:r>
      <w:r w:rsidR="002614A2">
        <w:rPr>
          <w:sz w:val="20"/>
          <w:szCs w:val="20"/>
        </w:rPr>
        <w:t>4</w:t>
      </w:r>
      <w:r w:rsidR="00567CD2">
        <w:rPr>
          <w:sz w:val="20"/>
          <w:szCs w:val="20"/>
        </w:rPr>
        <w:t>]</w:t>
      </w:r>
    </w:p>
    <w:p w14:paraId="6251CD6A" w14:textId="539E27B1" w:rsidR="00C63C44" w:rsidRPr="00F127EE" w:rsidRDefault="00402A68" w:rsidP="002C46ED">
      <w:pPr>
        <w:pStyle w:val="ACMABodyText"/>
        <w:spacing w:before="0" w:after="0" w:line="240" w:lineRule="auto"/>
        <w:jc w:val="both"/>
        <w:rPr>
          <w:rFonts w:ascii="Arial" w:hAnsi="Arial" w:cs="Arial"/>
          <w:sz w:val="20"/>
        </w:rPr>
      </w:pPr>
      <w:r w:rsidRPr="00F127EE">
        <w:rPr>
          <w:rFonts w:ascii="Arial" w:hAnsi="Arial" w:cs="Arial"/>
          <w:sz w:val="20"/>
        </w:rPr>
        <w:t xml:space="preserve">Item </w:t>
      </w:r>
      <w:r w:rsidR="00567CD2">
        <w:rPr>
          <w:rFonts w:ascii="Arial" w:hAnsi="Arial" w:cs="Arial"/>
          <w:sz w:val="20"/>
        </w:rPr>
        <w:t>[</w:t>
      </w:r>
      <w:r w:rsidR="002614A2">
        <w:rPr>
          <w:rFonts w:ascii="Arial" w:hAnsi="Arial" w:cs="Arial"/>
          <w:sz w:val="20"/>
        </w:rPr>
        <w:t>4</w:t>
      </w:r>
      <w:r w:rsidR="00567CD2">
        <w:rPr>
          <w:rFonts w:ascii="Arial" w:hAnsi="Arial" w:cs="Arial"/>
          <w:sz w:val="20"/>
        </w:rPr>
        <w:t>]</w:t>
      </w:r>
      <w:r w:rsidRPr="00F127EE">
        <w:rPr>
          <w:rFonts w:ascii="Arial" w:hAnsi="Arial" w:cs="Arial"/>
          <w:sz w:val="20"/>
        </w:rPr>
        <w:t xml:space="preserve"> substitutes a new t</w:t>
      </w:r>
      <w:r w:rsidR="00C63C44" w:rsidRPr="00F127EE">
        <w:rPr>
          <w:rFonts w:ascii="Arial" w:hAnsi="Arial" w:cs="Arial"/>
          <w:sz w:val="20"/>
        </w:rPr>
        <w:t xml:space="preserve">able 302 </w:t>
      </w:r>
      <w:r w:rsidRPr="00F127EE">
        <w:rPr>
          <w:rFonts w:ascii="Arial" w:hAnsi="Arial" w:cs="Arial"/>
          <w:sz w:val="20"/>
        </w:rPr>
        <w:t xml:space="preserve">(and accompanying note) </w:t>
      </w:r>
      <w:r w:rsidR="00C63C44" w:rsidRPr="00F127EE">
        <w:rPr>
          <w:rFonts w:ascii="Arial" w:hAnsi="Arial" w:cs="Arial"/>
          <w:sz w:val="20"/>
        </w:rPr>
        <w:t>in Part 3 of Schedule 2 (</w:t>
      </w:r>
      <w:r w:rsidR="00BD18C2">
        <w:rPr>
          <w:rFonts w:ascii="Arial" w:hAnsi="Arial" w:cs="Arial"/>
          <w:sz w:val="20"/>
        </w:rPr>
        <w:t>A</w:t>
      </w:r>
      <w:r w:rsidR="00C63C44" w:rsidRPr="00F127EE">
        <w:rPr>
          <w:rFonts w:ascii="Arial" w:hAnsi="Arial" w:cs="Arial"/>
          <w:sz w:val="20"/>
        </w:rPr>
        <w:t xml:space="preserve">ssigned licences in high demand frequency bands) </w:t>
      </w:r>
      <w:r w:rsidR="002F638E">
        <w:rPr>
          <w:rFonts w:ascii="Arial" w:hAnsi="Arial" w:cs="Arial"/>
          <w:sz w:val="20"/>
        </w:rPr>
        <w:t>to</w:t>
      </w:r>
      <w:r w:rsidRPr="00F127EE">
        <w:rPr>
          <w:rFonts w:ascii="Arial" w:hAnsi="Arial" w:cs="Arial"/>
          <w:sz w:val="20"/>
        </w:rPr>
        <w:t xml:space="preserve"> the Determination</w:t>
      </w:r>
      <w:r w:rsidR="00520589" w:rsidRPr="00F127EE">
        <w:rPr>
          <w:rFonts w:ascii="Arial" w:hAnsi="Arial" w:cs="Arial"/>
          <w:sz w:val="20"/>
        </w:rPr>
        <w:t>, which</w:t>
      </w:r>
      <w:r w:rsidRPr="00F127EE">
        <w:rPr>
          <w:rFonts w:ascii="Arial" w:hAnsi="Arial" w:cs="Arial"/>
          <w:sz w:val="20"/>
        </w:rPr>
        <w:t xml:space="preserve"> </w:t>
      </w:r>
      <w:r w:rsidR="00C63C44" w:rsidRPr="00F127EE">
        <w:rPr>
          <w:rFonts w:ascii="Arial" w:hAnsi="Arial" w:cs="Arial"/>
          <w:sz w:val="20"/>
        </w:rPr>
        <w:t>sets out the amount of tax for each kHz of bandwidth for the licensing options</w:t>
      </w:r>
      <w:r w:rsidR="00053536" w:rsidRPr="00F127EE">
        <w:rPr>
          <w:rFonts w:ascii="Arial" w:hAnsi="Arial" w:cs="Arial"/>
          <w:sz w:val="20"/>
        </w:rPr>
        <w:t xml:space="preserve"> specified in Part 3 of Schedule 2 </w:t>
      </w:r>
      <w:r w:rsidR="00657F51">
        <w:rPr>
          <w:rFonts w:ascii="Arial" w:hAnsi="Arial" w:cs="Arial"/>
          <w:sz w:val="20"/>
        </w:rPr>
        <w:t>to</w:t>
      </w:r>
      <w:r w:rsidR="00657F51" w:rsidRPr="00F127EE">
        <w:rPr>
          <w:rFonts w:ascii="Arial" w:hAnsi="Arial" w:cs="Arial"/>
          <w:sz w:val="20"/>
        </w:rPr>
        <w:t xml:space="preserve"> </w:t>
      </w:r>
      <w:r w:rsidR="00053536" w:rsidRPr="00F127EE">
        <w:rPr>
          <w:rFonts w:ascii="Arial" w:hAnsi="Arial" w:cs="Arial"/>
          <w:sz w:val="20"/>
        </w:rPr>
        <w:t>the Determination</w:t>
      </w:r>
      <w:r w:rsidR="00C63C44" w:rsidRPr="00F127EE">
        <w:rPr>
          <w:rFonts w:ascii="Arial" w:hAnsi="Arial" w:cs="Arial"/>
          <w:sz w:val="20"/>
        </w:rPr>
        <w:t>. The amount of tax varies with</w:t>
      </w:r>
      <w:r w:rsidR="005367B0">
        <w:rPr>
          <w:rFonts w:ascii="Arial" w:hAnsi="Arial" w:cs="Arial"/>
          <w:sz w:val="20"/>
        </w:rPr>
        <w:t xml:space="preserve"> the</w:t>
      </w:r>
      <w:r w:rsidR="00C63C44" w:rsidRPr="00F127EE">
        <w:rPr>
          <w:rFonts w:ascii="Arial" w:hAnsi="Arial" w:cs="Arial"/>
          <w:sz w:val="20"/>
        </w:rPr>
        <w:t xml:space="preserve"> frequency range and </w:t>
      </w:r>
      <w:r w:rsidR="00C74AF0" w:rsidRPr="00F127EE">
        <w:rPr>
          <w:rFonts w:ascii="Arial" w:hAnsi="Arial" w:cs="Arial"/>
          <w:sz w:val="20"/>
        </w:rPr>
        <w:t xml:space="preserve">area </w:t>
      </w:r>
      <w:r w:rsidR="00C63C44" w:rsidRPr="00F127EE">
        <w:rPr>
          <w:rFonts w:ascii="Arial" w:hAnsi="Arial" w:cs="Arial"/>
          <w:sz w:val="20"/>
        </w:rPr>
        <w:t>density of the spectrum access</w:t>
      </w:r>
      <w:r w:rsidR="005367B0">
        <w:rPr>
          <w:rFonts w:ascii="Arial" w:hAnsi="Arial" w:cs="Arial"/>
          <w:sz w:val="20"/>
        </w:rPr>
        <w:t xml:space="preserve"> of a licence</w:t>
      </w:r>
      <w:r w:rsidR="00C63C44" w:rsidRPr="00F127EE">
        <w:rPr>
          <w:rFonts w:ascii="Arial" w:hAnsi="Arial" w:cs="Arial"/>
          <w:sz w:val="20"/>
        </w:rPr>
        <w:t>. All amounts have be</w:t>
      </w:r>
      <w:r w:rsidR="003544CC" w:rsidRPr="00F127EE">
        <w:rPr>
          <w:rFonts w:ascii="Arial" w:hAnsi="Arial" w:cs="Arial"/>
          <w:sz w:val="20"/>
        </w:rPr>
        <w:t xml:space="preserve">en raised by the adjustment of </w:t>
      </w:r>
      <w:r w:rsidR="006C657E" w:rsidRPr="00F127EE">
        <w:rPr>
          <w:rFonts w:ascii="Arial" w:hAnsi="Arial" w:cs="Arial"/>
          <w:sz w:val="20"/>
        </w:rPr>
        <w:t>1.5</w:t>
      </w:r>
      <w:r w:rsidR="003544CC" w:rsidRPr="00F127EE">
        <w:rPr>
          <w:rFonts w:ascii="Arial" w:hAnsi="Arial" w:cs="Arial"/>
          <w:sz w:val="20"/>
        </w:rPr>
        <w:t xml:space="preserve"> percent</w:t>
      </w:r>
      <w:r w:rsidR="00C63C44" w:rsidRPr="00F127EE">
        <w:rPr>
          <w:rFonts w:ascii="Arial" w:hAnsi="Arial" w:cs="Arial"/>
          <w:sz w:val="20"/>
        </w:rPr>
        <w:t>.</w:t>
      </w:r>
      <w:r w:rsidR="006C5323" w:rsidRPr="00F127EE">
        <w:rPr>
          <w:rFonts w:ascii="Arial" w:hAnsi="Arial" w:cs="Arial"/>
          <w:sz w:val="20"/>
        </w:rPr>
        <w:t xml:space="preserve"> The amounts relevant to the </w:t>
      </w:r>
      <w:r w:rsidR="00482F15">
        <w:rPr>
          <w:rFonts w:ascii="Arial" w:hAnsi="Arial" w:cs="Arial"/>
          <w:sz w:val="20"/>
        </w:rPr>
        <w:t>HDAs</w:t>
      </w:r>
      <w:r w:rsidR="006C5323" w:rsidRPr="00F127EE">
        <w:rPr>
          <w:rFonts w:ascii="Arial" w:hAnsi="Arial" w:cs="Arial"/>
          <w:sz w:val="20"/>
        </w:rPr>
        <w:t xml:space="preserve"> and </w:t>
      </w:r>
      <w:r w:rsidR="00482F15">
        <w:rPr>
          <w:rFonts w:ascii="Arial" w:hAnsi="Arial" w:cs="Arial"/>
          <w:sz w:val="20"/>
        </w:rPr>
        <w:t>RDAs</w:t>
      </w:r>
      <w:r w:rsidR="006C5323" w:rsidRPr="00F127EE">
        <w:rPr>
          <w:rFonts w:ascii="Arial" w:hAnsi="Arial" w:cs="Arial"/>
          <w:sz w:val="20"/>
        </w:rPr>
        <w:t xml:space="preserve"> of the </w:t>
      </w:r>
      <w:r w:rsidR="005367B0">
        <w:rPr>
          <w:rFonts w:ascii="Arial" w:hAnsi="Arial" w:cs="Arial"/>
          <w:sz w:val="20"/>
        </w:rPr>
        <w:t>400</w:t>
      </w:r>
      <w:r w:rsidR="006C5323" w:rsidRPr="00F127EE">
        <w:rPr>
          <w:rFonts w:ascii="Arial" w:hAnsi="Arial" w:cs="Arial"/>
          <w:sz w:val="20"/>
        </w:rPr>
        <w:t xml:space="preserve"> MHz </w:t>
      </w:r>
      <w:r w:rsidR="005367B0">
        <w:rPr>
          <w:rFonts w:ascii="Arial" w:hAnsi="Arial" w:cs="Arial"/>
          <w:sz w:val="20"/>
        </w:rPr>
        <w:t>band</w:t>
      </w:r>
      <w:r w:rsidR="006C5323" w:rsidRPr="00F127EE">
        <w:rPr>
          <w:rFonts w:ascii="Arial" w:hAnsi="Arial" w:cs="Arial"/>
          <w:sz w:val="20"/>
        </w:rPr>
        <w:t xml:space="preserve"> also reflect the implementation of </w:t>
      </w:r>
      <w:r w:rsidR="00FE2EAA">
        <w:rPr>
          <w:rFonts w:ascii="Arial" w:hAnsi="Arial" w:cs="Arial"/>
          <w:sz w:val="20"/>
        </w:rPr>
        <w:t>OC</w:t>
      </w:r>
      <w:r w:rsidR="006C5323" w:rsidRPr="00F127EE">
        <w:rPr>
          <w:rFonts w:ascii="Arial" w:hAnsi="Arial" w:cs="Arial"/>
          <w:sz w:val="20"/>
        </w:rPr>
        <w:t xml:space="preserve"> </w:t>
      </w:r>
      <w:r w:rsidR="00BD18C2">
        <w:rPr>
          <w:rFonts w:ascii="Arial" w:hAnsi="Arial" w:cs="Arial"/>
          <w:sz w:val="20"/>
        </w:rPr>
        <w:t>pricing</w:t>
      </w:r>
      <w:r w:rsidR="006C5323" w:rsidRPr="00F127EE">
        <w:rPr>
          <w:rFonts w:ascii="Arial" w:hAnsi="Arial" w:cs="Arial"/>
          <w:sz w:val="20"/>
        </w:rPr>
        <w:t>.</w:t>
      </w:r>
    </w:p>
    <w:p w14:paraId="77424EBF" w14:textId="672B9919" w:rsidR="00C63C44" w:rsidRPr="00F127EE" w:rsidRDefault="00C63C44" w:rsidP="002C46ED">
      <w:pPr>
        <w:pStyle w:val="Heading3"/>
        <w:jc w:val="both"/>
        <w:rPr>
          <w:sz w:val="20"/>
          <w:szCs w:val="20"/>
        </w:rPr>
      </w:pPr>
      <w:r w:rsidRPr="00F127EE">
        <w:rPr>
          <w:sz w:val="20"/>
          <w:szCs w:val="20"/>
        </w:rPr>
        <w:t xml:space="preserve">Item </w:t>
      </w:r>
      <w:r w:rsidR="007C526A">
        <w:rPr>
          <w:sz w:val="20"/>
          <w:szCs w:val="20"/>
        </w:rPr>
        <w:t>[</w:t>
      </w:r>
      <w:r w:rsidR="002614A2">
        <w:rPr>
          <w:sz w:val="20"/>
          <w:szCs w:val="20"/>
        </w:rPr>
        <w:t>5</w:t>
      </w:r>
      <w:r w:rsidR="007C526A">
        <w:rPr>
          <w:sz w:val="20"/>
          <w:szCs w:val="20"/>
        </w:rPr>
        <w:t>]</w:t>
      </w:r>
    </w:p>
    <w:p w14:paraId="45D3F42A" w14:textId="4211DB78" w:rsidR="00C63C44" w:rsidRPr="003A6FE1" w:rsidRDefault="001A6A2D" w:rsidP="002C46ED">
      <w:pPr>
        <w:jc w:val="both"/>
        <w:rPr>
          <w:rFonts w:cs="Arial"/>
        </w:rPr>
      </w:pPr>
      <w:r w:rsidRPr="00F127EE">
        <w:rPr>
          <w:rFonts w:cs="Arial"/>
        </w:rPr>
        <w:t xml:space="preserve">Item </w:t>
      </w:r>
      <w:r w:rsidR="007C526A">
        <w:rPr>
          <w:rFonts w:cs="Arial"/>
        </w:rPr>
        <w:t>[</w:t>
      </w:r>
      <w:r w:rsidR="002614A2">
        <w:rPr>
          <w:rFonts w:cs="Arial"/>
        </w:rPr>
        <w:t>5</w:t>
      </w:r>
      <w:r w:rsidR="007C526A">
        <w:rPr>
          <w:rFonts w:cs="Arial"/>
        </w:rPr>
        <w:t>]</w:t>
      </w:r>
      <w:r w:rsidRPr="00F127EE">
        <w:rPr>
          <w:rFonts w:cs="Arial"/>
        </w:rPr>
        <w:t xml:space="preserve"> substitutes a new t</w:t>
      </w:r>
      <w:r w:rsidR="00C63C44" w:rsidRPr="00F127EE">
        <w:rPr>
          <w:rFonts w:cs="Arial"/>
        </w:rPr>
        <w:t xml:space="preserve">able 402 </w:t>
      </w:r>
      <w:r w:rsidR="00E9510C" w:rsidRPr="00F127EE">
        <w:rPr>
          <w:rFonts w:cs="Arial"/>
        </w:rPr>
        <w:t xml:space="preserve">(and accompanying note) </w:t>
      </w:r>
      <w:r w:rsidR="00C63C44" w:rsidRPr="00F127EE">
        <w:rPr>
          <w:rFonts w:cs="Arial"/>
        </w:rPr>
        <w:t>in Part 4 of Schedule 2 (</w:t>
      </w:r>
      <w:r w:rsidR="00BD18C2">
        <w:rPr>
          <w:rFonts w:cs="Arial"/>
        </w:rPr>
        <w:t>A</w:t>
      </w:r>
      <w:r w:rsidR="00C63C44" w:rsidRPr="00F127EE">
        <w:rPr>
          <w:rFonts w:cs="Arial"/>
        </w:rPr>
        <w:t xml:space="preserve">ssigned </w:t>
      </w:r>
      <w:r w:rsidR="00BD18C2">
        <w:rPr>
          <w:rFonts w:cs="Arial"/>
        </w:rPr>
        <w:t>F</w:t>
      </w:r>
      <w:r w:rsidR="00C63C44" w:rsidRPr="00F127EE">
        <w:rPr>
          <w:rFonts w:cs="Arial"/>
        </w:rPr>
        <w:t xml:space="preserve">ixed </w:t>
      </w:r>
      <w:r w:rsidR="00BD18C2">
        <w:rPr>
          <w:rFonts w:cs="Arial"/>
        </w:rPr>
        <w:t>P</w:t>
      </w:r>
      <w:r w:rsidR="00C63C44" w:rsidRPr="00F127EE">
        <w:rPr>
          <w:rFonts w:cs="Arial"/>
        </w:rPr>
        <w:t xml:space="preserve">oint to </w:t>
      </w:r>
      <w:r w:rsidR="00BD18C2">
        <w:rPr>
          <w:rFonts w:cs="Arial"/>
        </w:rPr>
        <w:t>P</w:t>
      </w:r>
      <w:r w:rsidR="00C63C44" w:rsidRPr="00F127EE">
        <w:rPr>
          <w:rFonts w:cs="Arial"/>
        </w:rPr>
        <w:t xml:space="preserve">oint </w:t>
      </w:r>
      <w:r w:rsidR="00BD18C2">
        <w:rPr>
          <w:rFonts w:cs="Arial"/>
        </w:rPr>
        <w:t>L</w:t>
      </w:r>
      <w:r w:rsidR="00C63C44" w:rsidRPr="00F127EE">
        <w:rPr>
          <w:rFonts w:cs="Arial"/>
        </w:rPr>
        <w:t xml:space="preserve">icences) </w:t>
      </w:r>
      <w:r w:rsidR="002F638E">
        <w:rPr>
          <w:rFonts w:cs="Arial"/>
        </w:rPr>
        <w:t>to</w:t>
      </w:r>
      <w:r w:rsidRPr="00F127EE">
        <w:rPr>
          <w:rFonts w:cs="Arial"/>
        </w:rPr>
        <w:t xml:space="preserve"> the Determination, which sets out the amount of</w:t>
      </w:r>
      <w:r w:rsidR="00C63C44" w:rsidRPr="00F127EE">
        <w:rPr>
          <w:rFonts w:cs="Arial"/>
        </w:rPr>
        <w:t xml:space="preserve"> tax for each kHz of bandwidth for the licensing options</w:t>
      </w:r>
      <w:r w:rsidRPr="00F127EE">
        <w:rPr>
          <w:rFonts w:cs="Arial"/>
        </w:rPr>
        <w:t xml:space="preserve"> specified in Part 4 of Schedule 2 </w:t>
      </w:r>
      <w:r w:rsidR="00657F51">
        <w:rPr>
          <w:rFonts w:cs="Arial"/>
        </w:rPr>
        <w:t>to</w:t>
      </w:r>
      <w:r w:rsidRPr="00F127EE">
        <w:rPr>
          <w:rFonts w:cs="Arial"/>
        </w:rPr>
        <w:t xml:space="preserve"> the Determination</w:t>
      </w:r>
      <w:r w:rsidR="00C63C44" w:rsidRPr="008540EE">
        <w:rPr>
          <w:rFonts w:cs="Arial"/>
        </w:rPr>
        <w:t xml:space="preserve">. </w:t>
      </w:r>
      <w:bookmarkStart w:id="4" w:name="OLE_LINK8"/>
      <w:bookmarkStart w:id="5" w:name="OLE_LINK9"/>
      <w:r w:rsidR="00C63C44" w:rsidRPr="008540EE">
        <w:rPr>
          <w:rFonts w:cs="Arial"/>
        </w:rPr>
        <w:t xml:space="preserve">All amounts have been raised by the adjustment of </w:t>
      </w:r>
      <w:r w:rsidR="006C657E" w:rsidRPr="008540EE">
        <w:rPr>
          <w:rFonts w:cs="Arial"/>
        </w:rPr>
        <w:t>1.5</w:t>
      </w:r>
      <w:r w:rsidR="00476CF6" w:rsidRPr="008540EE">
        <w:rPr>
          <w:rFonts w:cs="Arial"/>
        </w:rPr>
        <w:t xml:space="preserve"> percent</w:t>
      </w:r>
      <w:r w:rsidR="00C63C44" w:rsidRPr="008540EE">
        <w:rPr>
          <w:rFonts w:cs="Arial"/>
        </w:rPr>
        <w:t xml:space="preserve"> except for frequency bands below 960 MHz in </w:t>
      </w:r>
      <w:r w:rsidR="00482F15">
        <w:rPr>
          <w:rFonts w:cs="Arial"/>
        </w:rPr>
        <w:t>RDAs</w:t>
      </w:r>
      <w:r w:rsidR="00E67ADB" w:rsidRPr="008540EE">
        <w:rPr>
          <w:rFonts w:cs="Arial"/>
        </w:rPr>
        <w:t>,</w:t>
      </w:r>
      <w:r w:rsidR="00C63C44" w:rsidRPr="008540EE">
        <w:rPr>
          <w:rFonts w:cs="Arial"/>
        </w:rPr>
        <w:t xml:space="preserve"> where the amount of tax remain</w:t>
      </w:r>
      <w:r w:rsidR="00742778" w:rsidRPr="008540EE">
        <w:rPr>
          <w:rFonts w:cs="Arial"/>
        </w:rPr>
        <w:t>s</w:t>
      </w:r>
      <w:r w:rsidR="00C63C44" w:rsidRPr="008540EE">
        <w:rPr>
          <w:rFonts w:cs="Arial"/>
        </w:rPr>
        <w:t xml:space="preserve"> set at the 2008 level</w:t>
      </w:r>
      <w:bookmarkEnd w:id="4"/>
      <w:bookmarkEnd w:id="5"/>
      <w:r w:rsidR="00C63C44" w:rsidRPr="008540EE">
        <w:rPr>
          <w:rFonts w:cs="Arial"/>
        </w:rPr>
        <w:t>.</w:t>
      </w:r>
      <w:r w:rsidR="006C5323" w:rsidRPr="00F127EE">
        <w:rPr>
          <w:rFonts w:cs="Arial"/>
        </w:rPr>
        <w:t xml:space="preserve"> The amounts relevant to the </w:t>
      </w:r>
      <w:r w:rsidR="00482F15">
        <w:rPr>
          <w:rFonts w:cs="Arial"/>
        </w:rPr>
        <w:t>HDAs</w:t>
      </w:r>
      <w:r w:rsidR="006C5323" w:rsidRPr="00F127EE">
        <w:rPr>
          <w:rFonts w:cs="Arial"/>
        </w:rPr>
        <w:t xml:space="preserve"> and </w:t>
      </w:r>
      <w:r w:rsidR="00482F15">
        <w:rPr>
          <w:rFonts w:cs="Arial"/>
        </w:rPr>
        <w:t>RDAs</w:t>
      </w:r>
      <w:r w:rsidR="006C5323" w:rsidRPr="00F127EE">
        <w:rPr>
          <w:rFonts w:cs="Arial"/>
        </w:rPr>
        <w:t xml:space="preserve"> of the </w:t>
      </w:r>
      <w:r w:rsidR="007C526A">
        <w:rPr>
          <w:rFonts w:cs="Arial"/>
        </w:rPr>
        <w:t>400</w:t>
      </w:r>
      <w:r w:rsidR="006C5323" w:rsidRPr="00F127EE">
        <w:rPr>
          <w:rFonts w:cs="Arial"/>
        </w:rPr>
        <w:t xml:space="preserve"> MHz </w:t>
      </w:r>
      <w:r w:rsidR="007C526A">
        <w:rPr>
          <w:rFonts w:cs="Arial"/>
        </w:rPr>
        <w:t xml:space="preserve">band </w:t>
      </w:r>
      <w:r w:rsidR="006C5323" w:rsidRPr="00F127EE">
        <w:rPr>
          <w:rFonts w:cs="Arial"/>
        </w:rPr>
        <w:t xml:space="preserve">also reflect the implementation of </w:t>
      </w:r>
      <w:r w:rsidR="00272FA3">
        <w:rPr>
          <w:rFonts w:cs="Arial"/>
        </w:rPr>
        <w:t>OC</w:t>
      </w:r>
      <w:r w:rsidR="006C5323" w:rsidRPr="00F127EE">
        <w:rPr>
          <w:rFonts w:cs="Arial"/>
        </w:rPr>
        <w:t xml:space="preserve"> </w:t>
      </w:r>
      <w:r w:rsidR="00BD18C2">
        <w:rPr>
          <w:rFonts w:cs="Arial"/>
        </w:rPr>
        <w:t>pricing</w:t>
      </w:r>
      <w:r w:rsidR="006C5323" w:rsidRPr="00F127EE">
        <w:rPr>
          <w:rFonts w:cs="Arial"/>
        </w:rPr>
        <w:t>.</w:t>
      </w:r>
    </w:p>
    <w:p w14:paraId="6F4AD5FB" w14:textId="754831E8" w:rsidR="00C63C44" w:rsidRPr="003A6FE1" w:rsidRDefault="00C63C44" w:rsidP="002C46ED">
      <w:pPr>
        <w:pStyle w:val="Heading3"/>
        <w:jc w:val="both"/>
        <w:rPr>
          <w:sz w:val="20"/>
          <w:szCs w:val="20"/>
        </w:rPr>
      </w:pPr>
      <w:bookmarkStart w:id="6" w:name="OLE_LINK7"/>
      <w:r w:rsidRPr="003A6FE1">
        <w:rPr>
          <w:sz w:val="20"/>
          <w:szCs w:val="20"/>
        </w:rPr>
        <w:t xml:space="preserve">Item </w:t>
      </w:r>
      <w:r w:rsidR="007C526A">
        <w:rPr>
          <w:sz w:val="20"/>
          <w:szCs w:val="20"/>
        </w:rPr>
        <w:t>[</w:t>
      </w:r>
      <w:r w:rsidR="002614A2">
        <w:rPr>
          <w:sz w:val="20"/>
          <w:szCs w:val="20"/>
        </w:rPr>
        <w:t>6</w:t>
      </w:r>
      <w:r w:rsidR="007C526A">
        <w:rPr>
          <w:sz w:val="20"/>
          <w:szCs w:val="20"/>
        </w:rPr>
        <w:t>]</w:t>
      </w:r>
    </w:p>
    <w:bookmarkEnd w:id="6"/>
    <w:p w14:paraId="24FFFF83" w14:textId="2A62045F" w:rsidR="00C63C44" w:rsidRPr="00F127EE" w:rsidRDefault="00A42805" w:rsidP="002C46ED">
      <w:pPr>
        <w:jc w:val="both"/>
        <w:rPr>
          <w:rFonts w:cs="Arial"/>
        </w:rPr>
      </w:pPr>
      <w:r w:rsidRPr="003A6FE1">
        <w:rPr>
          <w:rFonts w:cs="Arial"/>
        </w:rPr>
        <w:t xml:space="preserve">Item </w:t>
      </w:r>
      <w:r w:rsidR="007C526A">
        <w:rPr>
          <w:rFonts w:cs="Arial"/>
        </w:rPr>
        <w:t>[</w:t>
      </w:r>
      <w:r w:rsidR="002614A2">
        <w:rPr>
          <w:rFonts w:cs="Arial"/>
        </w:rPr>
        <w:t>6</w:t>
      </w:r>
      <w:r w:rsidR="007C526A">
        <w:rPr>
          <w:rFonts w:cs="Arial"/>
        </w:rPr>
        <w:t>]</w:t>
      </w:r>
      <w:r w:rsidRPr="003A6FE1">
        <w:rPr>
          <w:rFonts w:cs="Arial"/>
        </w:rPr>
        <w:t xml:space="preserve"> substitutes a new t</w:t>
      </w:r>
      <w:r w:rsidR="00C63C44" w:rsidRPr="003A6FE1">
        <w:rPr>
          <w:rFonts w:cs="Arial"/>
        </w:rPr>
        <w:t xml:space="preserve">able 502 </w:t>
      </w:r>
      <w:r w:rsidRPr="003A6FE1">
        <w:rPr>
          <w:rFonts w:cs="Arial"/>
        </w:rPr>
        <w:t xml:space="preserve">(and accompanying note) </w:t>
      </w:r>
      <w:r w:rsidR="00C63C44" w:rsidRPr="003A6FE1">
        <w:rPr>
          <w:rFonts w:cs="Arial"/>
        </w:rPr>
        <w:t>in Part 5 of Schedule 2 (</w:t>
      </w:r>
      <w:r w:rsidR="00BD18C2">
        <w:rPr>
          <w:rFonts w:cs="Arial"/>
        </w:rPr>
        <w:t>A</w:t>
      </w:r>
      <w:r w:rsidR="00C63C44" w:rsidRPr="003A6FE1">
        <w:rPr>
          <w:rFonts w:cs="Arial"/>
        </w:rPr>
        <w:t xml:space="preserve">ssigned </w:t>
      </w:r>
      <w:r w:rsidR="00BD18C2">
        <w:rPr>
          <w:rFonts w:cs="Arial"/>
        </w:rPr>
        <w:t>F</w:t>
      </w:r>
      <w:r w:rsidR="00C63C44" w:rsidRPr="003A6FE1">
        <w:rPr>
          <w:rFonts w:cs="Arial"/>
        </w:rPr>
        <w:t xml:space="preserve">ixed </w:t>
      </w:r>
      <w:r w:rsidR="00BD18C2">
        <w:rPr>
          <w:rFonts w:cs="Arial"/>
        </w:rPr>
        <w:t>P</w:t>
      </w:r>
      <w:r w:rsidR="00C63C44" w:rsidRPr="003A6FE1">
        <w:rPr>
          <w:rFonts w:cs="Arial"/>
        </w:rPr>
        <w:t xml:space="preserve">oint to </w:t>
      </w:r>
      <w:r w:rsidR="00BD18C2">
        <w:rPr>
          <w:rFonts w:cs="Arial"/>
        </w:rPr>
        <w:t>M</w:t>
      </w:r>
      <w:r w:rsidR="00C63C44" w:rsidRPr="003A6FE1">
        <w:rPr>
          <w:rFonts w:cs="Arial"/>
        </w:rPr>
        <w:t xml:space="preserve">ultipoint </w:t>
      </w:r>
      <w:r w:rsidR="00BD18C2">
        <w:rPr>
          <w:rFonts w:cs="Arial"/>
        </w:rPr>
        <w:t>L</w:t>
      </w:r>
      <w:r w:rsidR="00C63C44" w:rsidRPr="003A6FE1">
        <w:rPr>
          <w:rFonts w:cs="Arial"/>
        </w:rPr>
        <w:t>icences)</w:t>
      </w:r>
      <w:r w:rsidR="00A61A5B" w:rsidRPr="003A6FE1">
        <w:rPr>
          <w:rFonts w:cs="Arial"/>
        </w:rPr>
        <w:t xml:space="preserve"> </w:t>
      </w:r>
      <w:r w:rsidR="002F638E">
        <w:rPr>
          <w:rFonts w:cs="Arial"/>
        </w:rPr>
        <w:t>to</w:t>
      </w:r>
      <w:r w:rsidR="00A61A5B" w:rsidRPr="003A6FE1">
        <w:rPr>
          <w:rFonts w:cs="Arial"/>
        </w:rPr>
        <w:t xml:space="preserve"> the Determination, which sets out the amount of</w:t>
      </w:r>
      <w:r w:rsidR="00C63C44" w:rsidRPr="003A6FE1">
        <w:rPr>
          <w:rFonts w:cs="Arial"/>
        </w:rPr>
        <w:t xml:space="preserve"> tax for each kHz of bandwidth for the licensing options</w:t>
      </w:r>
      <w:r w:rsidR="00C508F2" w:rsidRPr="003A6FE1">
        <w:rPr>
          <w:rFonts w:cs="Arial"/>
        </w:rPr>
        <w:t xml:space="preserve"> specified in Part 5 of Schedule 2 </w:t>
      </w:r>
      <w:r w:rsidR="00657F51">
        <w:rPr>
          <w:rFonts w:cs="Arial"/>
        </w:rPr>
        <w:t>to</w:t>
      </w:r>
      <w:r w:rsidR="00C508F2" w:rsidRPr="003A6FE1">
        <w:rPr>
          <w:rFonts w:cs="Arial"/>
        </w:rPr>
        <w:t xml:space="preserve"> the Determination</w:t>
      </w:r>
      <w:r w:rsidR="00C63C44" w:rsidRPr="003A6FE1">
        <w:rPr>
          <w:rFonts w:cs="Arial"/>
        </w:rPr>
        <w:t xml:space="preserve">. </w:t>
      </w:r>
      <w:r w:rsidR="00C63C44" w:rsidRPr="008540EE">
        <w:rPr>
          <w:rFonts w:cs="Arial"/>
        </w:rPr>
        <w:t xml:space="preserve">All amounts have been raised by the adjustment of </w:t>
      </w:r>
      <w:r w:rsidR="006C657E" w:rsidRPr="008540EE">
        <w:rPr>
          <w:rFonts w:cs="Arial"/>
        </w:rPr>
        <w:t>1.5</w:t>
      </w:r>
      <w:r w:rsidR="0085459C" w:rsidRPr="008540EE">
        <w:rPr>
          <w:rFonts w:cs="Arial"/>
        </w:rPr>
        <w:t xml:space="preserve"> percent</w:t>
      </w:r>
      <w:r w:rsidR="00C63C44" w:rsidRPr="008540EE">
        <w:rPr>
          <w:rFonts w:cs="Arial"/>
        </w:rPr>
        <w:t xml:space="preserve"> except for frequency bands below 960 MHz in </w:t>
      </w:r>
      <w:r w:rsidR="00482F15">
        <w:rPr>
          <w:rFonts w:cs="Arial"/>
        </w:rPr>
        <w:t>RDA</w:t>
      </w:r>
      <w:r w:rsidR="00C63C44" w:rsidRPr="008540EE">
        <w:rPr>
          <w:rFonts w:cs="Arial"/>
        </w:rPr>
        <w:t>s</w:t>
      </w:r>
      <w:r w:rsidR="00E67ADB" w:rsidRPr="008540EE">
        <w:rPr>
          <w:rFonts w:cs="Arial"/>
        </w:rPr>
        <w:t>,</w:t>
      </w:r>
      <w:r w:rsidR="00C63C44" w:rsidRPr="008540EE">
        <w:rPr>
          <w:rFonts w:cs="Arial"/>
        </w:rPr>
        <w:t xml:space="preserve"> where the amount of tax remain</w:t>
      </w:r>
      <w:r w:rsidR="00742778" w:rsidRPr="008540EE">
        <w:rPr>
          <w:rFonts w:cs="Arial"/>
        </w:rPr>
        <w:t>s</w:t>
      </w:r>
      <w:r w:rsidR="00C63C44" w:rsidRPr="008540EE">
        <w:rPr>
          <w:rFonts w:cs="Arial"/>
        </w:rPr>
        <w:t xml:space="preserve"> set at the 2008 level.</w:t>
      </w:r>
      <w:r w:rsidR="006C5323" w:rsidRPr="00F127EE">
        <w:rPr>
          <w:rFonts w:cs="Arial"/>
        </w:rPr>
        <w:t xml:space="preserve"> The amounts relevant to the </w:t>
      </w:r>
      <w:r w:rsidR="00482F15">
        <w:rPr>
          <w:rFonts w:cs="Arial"/>
        </w:rPr>
        <w:t>RDAs</w:t>
      </w:r>
      <w:r w:rsidR="006C5323" w:rsidRPr="00F127EE">
        <w:rPr>
          <w:rFonts w:cs="Arial"/>
        </w:rPr>
        <w:t xml:space="preserve"> and </w:t>
      </w:r>
      <w:r w:rsidR="00482F15">
        <w:rPr>
          <w:rFonts w:cs="Arial"/>
        </w:rPr>
        <w:t>RDA</w:t>
      </w:r>
      <w:r w:rsidR="006C5323" w:rsidRPr="00F127EE">
        <w:rPr>
          <w:rFonts w:cs="Arial"/>
        </w:rPr>
        <w:t xml:space="preserve">s of the </w:t>
      </w:r>
      <w:r w:rsidR="007C526A">
        <w:rPr>
          <w:rFonts w:cs="Arial"/>
        </w:rPr>
        <w:t>400</w:t>
      </w:r>
      <w:r w:rsidR="006C5323" w:rsidRPr="00F127EE">
        <w:rPr>
          <w:rFonts w:cs="Arial"/>
        </w:rPr>
        <w:t xml:space="preserve"> MHz </w:t>
      </w:r>
      <w:r w:rsidR="007C526A">
        <w:rPr>
          <w:rFonts w:cs="Arial"/>
        </w:rPr>
        <w:t>band</w:t>
      </w:r>
      <w:r w:rsidR="006C5323" w:rsidRPr="00F127EE">
        <w:rPr>
          <w:rFonts w:cs="Arial"/>
        </w:rPr>
        <w:t xml:space="preserve"> also reflect the implementation of </w:t>
      </w:r>
      <w:r w:rsidR="00272FA3">
        <w:rPr>
          <w:rFonts w:cs="Arial"/>
        </w:rPr>
        <w:t>OC</w:t>
      </w:r>
      <w:r w:rsidR="006C5323" w:rsidRPr="00F127EE">
        <w:rPr>
          <w:rFonts w:cs="Arial"/>
        </w:rPr>
        <w:t xml:space="preserve"> </w:t>
      </w:r>
      <w:r w:rsidR="00BD18C2">
        <w:rPr>
          <w:rFonts w:cs="Arial"/>
        </w:rPr>
        <w:t>pricing</w:t>
      </w:r>
      <w:r w:rsidR="006C5323" w:rsidRPr="00F127EE">
        <w:rPr>
          <w:rFonts w:cs="Arial"/>
        </w:rPr>
        <w:t>.</w:t>
      </w:r>
    </w:p>
    <w:p w14:paraId="0BFA0BDA" w14:textId="70A8E6EB" w:rsidR="00C63C44" w:rsidRPr="007C526A" w:rsidRDefault="00C63C44" w:rsidP="002C46ED">
      <w:pPr>
        <w:pStyle w:val="Heading3"/>
        <w:jc w:val="both"/>
        <w:rPr>
          <w:sz w:val="20"/>
          <w:szCs w:val="20"/>
        </w:rPr>
      </w:pPr>
      <w:r w:rsidRPr="007C526A">
        <w:rPr>
          <w:sz w:val="20"/>
          <w:szCs w:val="20"/>
        </w:rPr>
        <w:lastRenderedPageBreak/>
        <w:t xml:space="preserve">Item </w:t>
      </w:r>
      <w:r w:rsidR="007C526A" w:rsidRPr="007C526A">
        <w:rPr>
          <w:sz w:val="20"/>
          <w:szCs w:val="20"/>
        </w:rPr>
        <w:t>[</w:t>
      </w:r>
      <w:r w:rsidR="002614A2">
        <w:rPr>
          <w:sz w:val="20"/>
          <w:szCs w:val="20"/>
        </w:rPr>
        <w:t>7</w:t>
      </w:r>
      <w:r w:rsidR="007C526A" w:rsidRPr="007C526A">
        <w:rPr>
          <w:sz w:val="20"/>
          <w:szCs w:val="20"/>
        </w:rPr>
        <w:t>]</w:t>
      </w:r>
    </w:p>
    <w:p w14:paraId="7C568ED7" w14:textId="149DC43B" w:rsidR="007C526A" w:rsidRPr="007C526A" w:rsidRDefault="00A42805" w:rsidP="002C46ED">
      <w:pPr>
        <w:pStyle w:val="ACMABodyText"/>
        <w:spacing w:before="0" w:after="0" w:line="240" w:lineRule="auto"/>
        <w:jc w:val="both"/>
        <w:rPr>
          <w:rFonts w:ascii="Arial" w:hAnsi="Arial" w:cs="Arial"/>
          <w:sz w:val="20"/>
        </w:rPr>
      </w:pPr>
      <w:r w:rsidRPr="003342C9">
        <w:rPr>
          <w:rFonts w:ascii="Arial" w:hAnsi="Arial" w:cs="Arial"/>
          <w:sz w:val="20"/>
        </w:rPr>
        <w:t xml:space="preserve">Item </w:t>
      </w:r>
      <w:r w:rsidR="007C526A" w:rsidRPr="003342C9">
        <w:rPr>
          <w:rFonts w:ascii="Arial" w:hAnsi="Arial" w:cs="Arial"/>
          <w:sz w:val="20"/>
        </w:rPr>
        <w:t>[</w:t>
      </w:r>
      <w:r w:rsidR="002614A2">
        <w:rPr>
          <w:rFonts w:ascii="Arial" w:hAnsi="Arial" w:cs="Arial"/>
          <w:sz w:val="20"/>
        </w:rPr>
        <w:t>7</w:t>
      </w:r>
      <w:r w:rsidR="007C526A" w:rsidRPr="003342C9">
        <w:rPr>
          <w:rFonts w:ascii="Arial" w:hAnsi="Arial" w:cs="Arial"/>
          <w:sz w:val="20"/>
        </w:rPr>
        <w:t>]</w:t>
      </w:r>
      <w:r w:rsidRPr="003342C9">
        <w:rPr>
          <w:rFonts w:ascii="Arial" w:hAnsi="Arial" w:cs="Arial"/>
          <w:sz w:val="20"/>
        </w:rPr>
        <w:t xml:space="preserve"> substitutes a new t</w:t>
      </w:r>
      <w:r w:rsidR="00C63C44" w:rsidRPr="003342C9">
        <w:rPr>
          <w:rFonts w:ascii="Arial" w:hAnsi="Arial" w:cs="Arial"/>
          <w:sz w:val="20"/>
        </w:rPr>
        <w:t xml:space="preserve">able 602 </w:t>
      </w:r>
      <w:r w:rsidRPr="003342C9">
        <w:rPr>
          <w:rFonts w:ascii="Arial" w:hAnsi="Arial" w:cs="Arial"/>
          <w:sz w:val="20"/>
        </w:rPr>
        <w:t xml:space="preserve">(and accompanying note) </w:t>
      </w:r>
      <w:r w:rsidR="00C63C44" w:rsidRPr="003342C9">
        <w:rPr>
          <w:rFonts w:ascii="Arial" w:hAnsi="Arial" w:cs="Arial"/>
          <w:sz w:val="20"/>
        </w:rPr>
        <w:t>in Part 6 of Schedule 2 (</w:t>
      </w:r>
      <w:r w:rsidR="00BD18C2">
        <w:rPr>
          <w:rFonts w:ascii="Arial" w:hAnsi="Arial" w:cs="Arial"/>
          <w:sz w:val="20"/>
        </w:rPr>
        <w:t>F</w:t>
      </w:r>
      <w:r w:rsidR="00C63C44" w:rsidRPr="003342C9">
        <w:rPr>
          <w:rFonts w:ascii="Arial" w:hAnsi="Arial" w:cs="Arial"/>
          <w:sz w:val="20"/>
        </w:rPr>
        <w:t>ixed television outside broadcast station)</w:t>
      </w:r>
      <w:r w:rsidR="00A61A5B" w:rsidRPr="003342C9">
        <w:rPr>
          <w:rFonts w:ascii="Arial" w:hAnsi="Arial" w:cs="Arial"/>
          <w:sz w:val="20"/>
        </w:rPr>
        <w:t xml:space="preserve"> of the Determination, which</w:t>
      </w:r>
      <w:r w:rsidR="00C63C44" w:rsidRPr="003342C9">
        <w:rPr>
          <w:rFonts w:ascii="Arial" w:hAnsi="Arial" w:cs="Arial"/>
          <w:sz w:val="20"/>
        </w:rPr>
        <w:t xml:space="preserve"> sets out the amount of tax for each kHz of bandwidth for the licensing options</w:t>
      </w:r>
      <w:r w:rsidR="00C508F2" w:rsidRPr="003342C9">
        <w:rPr>
          <w:rFonts w:ascii="Arial" w:hAnsi="Arial" w:cs="Arial"/>
          <w:sz w:val="20"/>
        </w:rPr>
        <w:t xml:space="preserve"> specified in Part 6 of Schedule 2 </w:t>
      </w:r>
      <w:r w:rsidR="002F638E">
        <w:rPr>
          <w:rFonts w:ascii="Arial" w:hAnsi="Arial" w:cs="Arial"/>
          <w:sz w:val="20"/>
        </w:rPr>
        <w:t>to</w:t>
      </w:r>
      <w:r w:rsidR="00C508F2" w:rsidRPr="003342C9">
        <w:rPr>
          <w:rFonts w:ascii="Arial" w:hAnsi="Arial" w:cs="Arial"/>
          <w:sz w:val="20"/>
        </w:rPr>
        <w:t xml:space="preserve"> the Determination</w:t>
      </w:r>
      <w:r w:rsidR="00C63C44" w:rsidRPr="003342C9">
        <w:rPr>
          <w:rFonts w:ascii="Arial" w:hAnsi="Arial" w:cs="Arial"/>
          <w:sz w:val="20"/>
        </w:rPr>
        <w:t>. The amount of tax varies with</w:t>
      </w:r>
      <w:r w:rsidR="007C526A" w:rsidRPr="003342C9">
        <w:rPr>
          <w:rFonts w:ascii="Arial" w:hAnsi="Arial" w:cs="Arial"/>
          <w:sz w:val="20"/>
        </w:rPr>
        <w:t xml:space="preserve"> the</w:t>
      </w:r>
      <w:r w:rsidR="00C63C44" w:rsidRPr="003342C9">
        <w:rPr>
          <w:rFonts w:ascii="Arial" w:hAnsi="Arial" w:cs="Arial"/>
          <w:sz w:val="20"/>
        </w:rPr>
        <w:t xml:space="preserve"> frequency range and </w:t>
      </w:r>
      <w:r w:rsidR="000F2081" w:rsidRPr="003342C9">
        <w:rPr>
          <w:rFonts w:ascii="Arial" w:hAnsi="Arial" w:cs="Arial"/>
          <w:sz w:val="20"/>
        </w:rPr>
        <w:t xml:space="preserve">area density </w:t>
      </w:r>
      <w:r w:rsidR="00C63C44" w:rsidRPr="003342C9">
        <w:rPr>
          <w:rFonts w:ascii="Arial" w:hAnsi="Arial" w:cs="Arial"/>
          <w:sz w:val="20"/>
        </w:rPr>
        <w:t xml:space="preserve">of the spectrum access. All amounts have been raised by the adjustment of </w:t>
      </w:r>
      <w:r w:rsidR="006C657E" w:rsidRPr="003342C9">
        <w:rPr>
          <w:rFonts w:ascii="Arial" w:hAnsi="Arial" w:cs="Arial"/>
          <w:sz w:val="20"/>
        </w:rPr>
        <w:t>1.5</w:t>
      </w:r>
      <w:r w:rsidR="0085459C" w:rsidRPr="003342C9">
        <w:rPr>
          <w:rFonts w:ascii="Arial" w:hAnsi="Arial" w:cs="Arial"/>
          <w:sz w:val="20"/>
        </w:rPr>
        <w:t xml:space="preserve"> percent</w:t>
      </w:r>
      <w:r w:rsidR="00C63C44" w:rsidRPr="003342C9">
        <w:rPr>
          <w:rFonts w:ascii="Arial" w:hAnsi="Arial" w:cs="Arial"/>
          <w:sz w:val="20"/>
        </w:rPr>
        <w:t>.</w:t>
      </w:r>
      <w:r w:rsidR="007C526A" w:rsidRPr="003342C9">
        <w:rPr>
          <w:rFonts w:ascii="Arial" w:hAnsi="Arial" w:cs="Arial"/>
          <w:sz w:val="20"/>
        </w:rPr>
        <w:t xml:space="preserve"> </w:t>
      </w:r>
      <w:r w:rsidR="007C526A" w:rsidRPr="007C526A">
        <w:rPr>
          <w:rFonts w:ascii="Arial" w:hAnsi="Arial" w:cs="Arial"/>
          <w:sz w:val="20"/>
        </w:rPr>
        <w:t xml:space="preserve">The amounts relevant to the </w:t>
      </w:r>
      <w:r w:rsidR="00482F15">
        <w:rPr>
          <w:rFonts w:ascii="Arial" w:hAnsi="Arial" w:cs="Arial"/>
          <w:sz w:val="20"/>
        </w:rPr>
        <w:t>HDAs</w:t>
      </w:r>
      <w:r w:rsidR="007C526A" w:rsidRPr="007C526A">
        <w:rPr>
          <w:rFonts w:ascii="Arial" w:hAnsi="Arial" w:cs="Arial"/>
          <w:sz w:val="20"/>
        </w:rPr>
        <w:t xml:space="preserve"> and </w:t>
      </w:r>
      <w:r w:rsidR="00482F15">
        <w:rPr>
          <w:rFonts w:ascii="Arial" w:hAnsi="Arial" w:cs="Arial"/>
          <w:sz w:val="20"/>
        </w:rPr>
        <w:t>RDA</w:t>
      </w:r>
      <w:r w:rsidR="007C526A" w:rsidRPr="007C526A">
        <w:rPr>
          <w:rFonts w:ascii="Arial" w:hAnsi="Arial" w:cs="Arial"/>
          <w:sz w:val="20"/>
        </w:rPr>
        <w:t xml:space="preserve">s of the </w:t>
      </w:r>
      <w:r w:rsidR="007C526A" w:rsidRPr="00E45220">
        <w:rPr>
          <w:rFonts w:ascii="Arial" w:hAnsi="Arial" w:cs="Arial"/>
          <w:sz w:val="20"/>
        </w:rPr>
        <w:t xml:space="preserve">400 MHz band also reflect the implementation of </w:t>
      </w:r>
      <w:r w:rsidR="00272FA3">
        <w:rPr>
          <w:rFonts w:ascii="Arial" w:hAnsi="Arial" w:cs="Arial"/>
          <w:sz w:val="20"/>
        </w:rPr>
        <w:t>OC</w:t>
      </w:r>
      <w:r w:rsidR="007C526A" w:rsidRPr="00E45220">
        <w:rPr>
          <w:rFonts w:ascii="Arial" w:hAnsi="Arial" w:cs="Arial"/>
          <w:sz w:val="20"/>
        </w:rPr>
        <w:t xml:space="preserve"> </w:t>
      </w:r>
      <w:r w:rsidR="00BD18C2">
        <w:rPr>
          <w:rFonts w:ascii="Arial" w:hAnsi="Arial" w:cs="Arial"/>
          <w:sz w:val="20"/>
        </w:rPr>
        <w:t>pricing</w:t>
      </w:r>
      <w:r w:rsidR="007C526A" w:rsidRPr="00E45220">
        <w:rPr>
          <w:rFonts w:ascii="Arial" w:hAnsi="Arial" w:cs="Arial"/>
          <w:sz w:val="20"/>
        </w:rPr>
        <w:t>.</w:t>
      </w:r>
    </w:p>
    <w:p w14:paraId="12A553B5" w14:textId="587ADBFE" w:rsidR="00C63C44" w:rsidRPr="003A6FE1" w:rsidRDefault="00C63C44" w:rsidP="002C46ED">
      <w:pPr>
        <w:jc w:val="both"/>
        <w:rPr>
          <w:rFonts w:cs="Arial"/>
        </w:rPr>
      </w:pPr>
    </w:p>
    <w:p w14:paraId="6B89125B" w14:textId="46B07F39" w:rsidR="00C63C44" w:rsidRPr="003A6FE1" w:rsidRDefault="00C63C44" w:rsidP="002C46ED">
      <w:pPr>
        <w:pStyle w:val="Heading3"/>
        <w:jc w:val="both"/>
        <w:rPr>
          <w:sz w:val="20"/>
          <w:szCs w:val="20"/>
        </w:rPr>
      </w:pPr>
      <w:r w:rsidRPr="003A6FE1">
        <w:rPr>
          <w:sz w:val="20"/>
          <w:szCs w:val="20"/>
        </w:rPr>
        <w:t xml:space="preserve">Item </w:t>
      </w:r>
      <w:r w:rsidR="007C526A">
        <w:rPr>
          <w:sz w:val="20"/>
          <w:szCs w:val="20"/>
        </w:rPr>
        <w:t>[</w:t>
      </w:r>
      <w:r w:rsidR="002614A2">
        <w:rPr>
          <w:sz w:val="20"/>
          <w:szCs w:val="20"/>
        </w:rPr>
        <w:t>8</w:t>
      </w:r>
      <w:r w:rsidR="007C526A">
        <w:rPr>
          <w:sz w:val="20"/>
          <w:szCs w:val="20"/>
        </w:rPr>
        <w:t>]</w:t>
      </w:r>
    </w:p>
    <w:p w14:paraId="44138194" w14:textId="42A079DE" w:rsidR="00E45220" w:rsidRPr="00F127EE" w:rsidRDefault="00A42805" w:rsidP="002C46ED">
      <w:pPr>
        <w:jc w:val="both"/>
        <w:rPr>
          <w:rFonts w:cs="Arial"/>
        </w:rPr>
      </w:pPr>
      <w:r w:rsidRPr="003A6FE1">
        <w:rPr>
          <w:rFonts w:cs="Arial"/>
        </w:rPr>
        <w:t xml:space="preserve">Item </w:t>
      </w:r>
      <w:r w:rsidR="007C526A">
        <w:rPr>
          <w:rFonts w:cs="Arial"/>
        </w:rPr>
        <w:t>[</w:t>
      </w:r>
      <w:r w:rsidR="002614A2">
        <w:rPr>
          <w:rFonts w:cs="Arial"/>
        </w:rPr>
        <w:t>8</w:t>
      </w:r>
      <w:r w:rsidR="007C526A">
        <w:rPr>
          <w:rFonts w:cs="Arial"/>
        </w:rPr>
        <w:t>]</w:t>
      </w:r>
      <w:r w:rsidRPr="003A6FE1">
        <w:rPr>
          <w:rFonts w:cs="Arial"/>
        </w:rPr>
        <w:t xml:space="preserve"> substitutes a new t</w:t>
      </w:r>
      <w:r w:rsidR="00C63C44" w:rsidRPr="003A6FE1">
        <w:rPr>
          <w:rFonts w:cs="Arial"/>
        </w:rPr>
        <w:t>able 702 in Part 7 of Schedule 2 (</w:t>
      </w:r>
      <w:r w:rsidR="00BD18C2">
        <w:rPr>
          <w:rFonts w:cs="Arial"/>
        </w:rPr>
        <w:t>A</w:t>
      </w:r>
      <w:r w:rsidR="00C63C44" w:rsidRPr="003A6FE1">
        <w:rPr>
          <w:rFonts w:cs="Arial"/>
        </w:rPr>
        <w:t>ssigned licences subject to a fixed annual tax)</w:t>
      </w:r>
      <w:r w:rsidR="00A61A5B" w:rsidRPr="003A6FE1">
        <w:rPr>
          <w:rFonts w:cs="Arial"/>
        </w:rPr>
        <w:t xml:space="preserve"> </w:t>
      </w:r>
      <w:r w:rsidR="002F638E">
        <w:rPr>
          <w:rFonts w:cs="Arial"/>
        </w:rPr>
        <w:t>to</w:t>
      </w:r>
      <w:r w:rsidR="00A61A5B" w:rsidRPr="003A6FE1">
        <w:rPr>
          <w:rFonts w:cs="Arial"/>
        </w:rPr>
        <w:t xml:space="preserve"> the Determination, which</w:t>
      </w:r>
      <w:r w:rsidR="00C63C44" w:rsidRPr="003A6FE1">
        <w:rPr>
          <w:rFonts w:cs="Arial"/>
        </w:rPr>
        <w:t xml:space="preserve"> sets out the amount of tax for the licensing options</w:t>
      </w:r>
      <w:r w:rsidR="00C508F2" w:rsidRPr="003A6FE1">
        <w:rPr>
          <w:rFonts w:cs="Arial"/>
        </w:rPr>
        <w:t xml:space="preserve"> specified in Part 7 of Schedule 2 </w:t>
      </w:r>
      <w:r w:rsidR="00657F51">
        <w:rPr>
          <w:rFonts w:cs="Arial"/>
        </w:rPr>
        <w:t>to</w:t>
      </w:r>
      <w:r w:rsidR="00C508F2" w:rsidRPr="003A6FE1">
        <w:rPr>
          <w:rFonts w:cs="Arial"/>
        </w:rPr>
        <w:t xml:space="preserve"> the Determination</w:t>
      </w:r>
      <w:r w:rsidR="00C63C44" w:rsidRPr="003A6FE1">
        <w:rPr>
          <w:rFonts w:cs="Arial"/>
        </w:rPr>
        <w:t>. All amounts have been raised by the adjustment of</w:t>
      </w:r>
      <w:r w:rsidR="00A61E82" w:rsidRPr="003A6FE1">
        <w:rPr>
          <w:rFonts w:cs="Arial"/>
        </w:rPr>
        <w:t xml:space="preserve"> </w:t>
      </w:r>
      <w:r w:rsidR="006C657E" w:rsidRPr="003A6FE1">
        <w:rPr>
          <w:rFonts w:cs="Arial"/>
        </w:rPr>
        <w:t>1.5</w:t>
      </w:r>
      <w:r w:rsidR="0085459C" w:rsidRPr="003A6FE1">
        <w:rPr>
          <w:rFonts w:cs="Arial"/>
        </w:rPr>
        <w:t xml:space="preserve"> percent</w:t>
      </w:r>
      <w:r w:rsidR="00C63C44" w:rsidRPr="003A6FE1">
        <w:rPr>
          <w:rFonts w:cs="Arial"/>
        </w:rPr>
        <w:t>.</w:t>
      </w:r>
      <w:r w:rsidR="00E45220">
        <w:rPr>
          <w:rFonts w:cs="Arial"/>
        </w:rPr>
        <w:t xml:space="preserve"> </w:t>
      </w:r>
    </w:p>
    <w:p w14:paraId="40276E27" w14:textId="0669A268" w:rsidR="00E45220" w:rsidRDefault="00E45220" w:rsidP="002C46ED">
      <w:pPr>
        <w:pStyle w:val="Heading3"/>
        <w:jc w:val="both"/>
        <w:rPr>
          <w:sz w:val="20"/>
          <w:szCs w:val="20"/>
        </w:rPr>
      </w:pPr>
      <w:r>
        <w:rPr>
          <w:sz w:val="20"/>
          <w:szCs w:val="20"/>
        </w:rPr>
        <w:t>Item [</w:t>
      </w:r>
      <w:r w:rsidR="002614A2">
        <w:rPr>
          <w:sz w:val="20"/>
          <w:szCs w:val="20"/>
        </w:rPr>
        <w:t>9</w:t>
      </w:r>
      <w:r>
        <w:rPr>
          <w:sz w:val="20"/>
          <w:szCs w:val="20"/>
        </w:rPr>
        <w:t>]</w:t>
      </w:r>
    </w:p>
    <w:p w14:paraId="43B9B2B9" w14:textId="1D6C1D36" w:rsidR="00E45220" w:rsidRPr="00EB3C0E" w:rsidRDefault="00E45220" w:rsidP="002C46ED">
      <w:pPr>
        <w:jc w:val="both"/>
      </w:pPr>
      <w:r>
        <w:rPr>
          <w:lang w:eastAsia="en-AU" w:bidi="ar-SA"/>
        </w:rPr>
        <w:t>Item [</w:t>
      </w:r>
      <w:r w:rsidR="002614A2">
        <w:rPr>
          <w:lang w:eastAsia="en-AU" w:bidi="ar-SA"/>
        </w:rPr>
        <w:t>9</w:t>
      </w:r>
      <w:r>
        <w:rPr>
          <w:lang w:eastAsia="en-AU" w:bidi="ar-SA"/>
        </w:rPr>
        <w:t xml:space="preserve">] </w:t>
      </w:r>
      <w:r w:rsidR="00BD18C2">
        <w:rPr>
          <w:lang w:eastAsia="en-AU" w:bidi="ar-SA"/>
        </w:rPr>
        <w:t xml:space="preserve">amends </w:t>
      </w:r>
      <w:r>
        <w:rPr>
          <w:lang w:eastAsia="en-AU" w:bidi="ar-SA"/>
        </w:rPr>
        <w:t xml:space="preserve">sub-item 704A(3) of Part 7A of Schedule 2 to the Determination which sets out the ‘base rate’ of tax for a Public Mobile Telecommunications Service (PMTS) Class B licence that authorises the operation of a transmitter in the 3.5 GHz band. The </w:t>
      </w:r>
      <w:r w:rsidR="00BD18C2">
        <w:rPr>
          <w:lang w:eastAsia="en-AU" w:bidi="ar-SA"/>
        </w:rPr>
        <w:t xml:space="preserve">base rate of $0.0037/MHz/pop </w:t>
      </w:r>
      <w:r>
        <w:rPr>
          <w:lang w:eastAsia="en-AU" w:bidi="ar-SA"/>
        </w:rPr>
        <w:t>has been raised by the adjustment of 1.5 per cent</w:t>
      </w:r>
      <w:r w:rsidR="00BD18C2">
        <w:rPr>
          <w:lang w:eastAsia="en-AU" w:bidi="ar-SA"/>
        </w:rPr>
        <w:t xml:space="preserve"> to $0.0038/MHz/pop</w:t>
      </w:r>
      <w:r>
        <w:rPr>
          <w:lang w:eastAsia="en-AU" w:bidi="ar-SA"/>
        </w:rPr>
        <w:t xml:space="preserve">. </w:t>
      </w:r>
    </w:p>
    <w:p w14:paraId="72B4C4FD" w14:textId="0BD9FFD9" w:rsidR="00C63C44" w:rsidRPr="003A6FE1" w:rsidRDefault="00C63C44" w:rsidP="002C46ED">
      <w:pPr>
        <w:pStyle w:val="Heading3"/>
        <w:jc w:val="both"/>
        <w:rPr>
          <w:sz w:val="20"/>
          <w:szCs w:val="20"/>
        </w:rPr>
      </w:pPr>
      <w:r w:rsidRPr="003A6FE1">
        <w:rPr>
          <w:sz w:val="20"/>
          <w:szCs w:val="20"/>
        </w:rPr>
        <w:t xml:space="preserve">Item </w:t>
      </w:r>
      <w:r w:rsidR="00E45220">
        <w:rPr>
          <w:sz w:val="20"/>
          <w:szCs w:val="20"/>
        </w:rPr>
        <w:t>[</w:t>
      </w:r>
      <w:r w:rsidR="002614A2">
        <w:rPr>
          <w:sz w:val="20"/>
          <w:szCs w:val="20"/>
        </w:rPr>
        <w:t>10</w:t>
      </w:r>
      <w:r w:rsidR="00E45220">
        <w:rPr>
          <w:sz w:val="20"/>
          <w:szCs w:val="20"/>
        </w:rPr>
        <w:t>]</w:t>
      </w:r>
    </w:p>
    <w:p w14:paraId="1BF6180C" w14:textId="4538E8DF" w:rsidR="00C63C44" w:rsidRDefault="00A42805" w:rsidP="002C46ED">
      <w:pPr>
        <w:jc w:val="both"/>
        <w:rPr>
          <w:rFonts w:cs="Arial"/>
        </w:rPr>
      </w:pPr>
      <w:r w:rsidRPr="003A6FE1">
        <w:rPr>
          <w:rFonts w:cs="Arial"/>
        </w:rPr>
        <w:t xml:space="preserve">Item </w:t>
      </w:r>
      <w:r w:rsidR="00E45220">
        <w:rPr>
          <w:rFonts w:cs="Arial"/>
        </w:rPr>
        <w:t>[</w:t>
      </w:r>
      <w:r w:rsidR="002614A2">
        <w:rPr>
          <w:rFonts w:cs="Arial"/>
        </w:rPr>
        <w:t>10</w:t>
      </w:r>
      <w:r w:rsidR="00E45220">
        <w:rPr>
          <w:rFonts w:cs="Arial"/>
        </w:rPr>
        <w:t>]</w:t>
      </w:r>
      <w:r w:rsidRPr="003A6FE1">
        <w:rPr>
          <w:rFonts w:cs="Arial"/>
        </w:rPr>
        <w:t xml:space="preserve"> substitutes a new t</w:t>
      </w:r>
      <w:r w:rsidR="00C63C44" w:rsidRPr="003A6FE1">
        <w:rPr>
          <w:rFonts w:cs="Arial"/>
        </w:rPr>
        <w:t xml:space="preserve">able 802 </w:t>
      </w:r>
      <w:r w:rsidRPr="003A6FE1">
        <w:rPr>
          <w:rFonts w:cs="Arial"/>
        </w:rPr>
        <w:t xml:space="preserve">(and accompanying note) </w:t>
      </w:r>
      <w:r w:rsidR="00C63C44" w:rsidRPr="003A6FE1">
        <w:rPr>
          <w:rFonts w:cs="Arial"/>
        </w:rPr>
        <w:t xml:space="preserve">in Part 8 of Schedule 2 </w:t>
      </w:r>
      <w:r w:rsidR="00756B73" w:rsidRPr="003A6FE1">
        <w:rPr>
          <w:rFonts w:cs="Arial"/>
        </w:rPr>
        <w:t>(High Power Open Narrowcasting Services — Broadcasting Licences</w:t>
      </w:r>
      <w:r w:rsidR="002F638E">
        <w:rPr>
          <w:rFonts w:cs="Arial"/>
        </w:rPr>
        <w:t>)</w:t>
      </w:r>
      <w:r w:rsidR="00756B73" w:rsidRPr="003A6FE1">
        <w:rPr>
          <w:rFonts w:cs="Arial"/>
        </w:rPr>
        <w:t xml:space="preserve"> </w:t>
      </w:r>
      <w:r w:rsidR="002F638E">
        <w:rPr>
          <w:rFonts w:cs="Arial"/>
        </w:rPr>
        <w:t>to</w:t>
      </w:r>
      <w:r w:rsidR="00C97F10" w:rsidRPr="003A6FE1">
        <w:rPr>
          <w:rFonts w:cs="Arial"/>
        </w:rPr>
        <w:t xml:space="preserve"> the Determination, which</w:t>
      </w:r>
      <w:r w:rsidR="00756B73" w:rsidRPr="003A6FE1">
        <w:rPr>
          <w:rFonts w:cs="Arial"/>
        </w:rPr>
        <w:t xml:space="preserve"> </w:t>
      </w:r>
      <w:r w:rsidR="00C63C44" w:rsidRPr="003A6FE1">
        <w:rPr>
          <w:rFonts w:cs="Arial"/>
        </w:rPr>
        <w:t xml:space="preserve">sets out the amount of tax for certain high power open narrowcasting licences. All amounts have been raised by the adjustment of </w:t>
      </w:r>
      <w:r w:rsidR="006C657E" w:rsidRPr="003A6FE1">
        <w:rPr>
          <w:rFonts w:cs="Arial"/>
        </w:rPr>
        <w:t>1.5</w:t>
      </w:r>
      <w:r w:rsidR="0085459C" w:rsidRPr="003A6FE1">
        <w:rPr>
          <w:rFonts w:cs="Arial"/>
        </w:rPr>
        <w:t xml:space="preserve"> percent</w:t>
      </w:r>
      <w:r w:rsidR="00C63C44" w:rsidRPr="003A6FE1">
        <w:rPr>
          <w:rFonts w:cs="Arial"/>
        </w:rPr>
        <w:t>.</w:t>
      </w:r>
    </w:p>
    <w:p w14:paraId="29990746" w14:textId="77777777" w:rsidR="002F638E" w:rsidRDefault="002F638E" w:rsidP="002C46ED">
      <w:pPr>
        <w:jc w:val="both"/>
        <w:rPr>
          <w:rFonts w:cs="Arial"/>
        </w:rPr>
      </w:pPr>
    </w:p>
    <w:p w14:paraId="6EB8C857" w14:textId="334A7FF7" w:rsidR="002F638E" w:rsidRDefault="002F638E" w:rsidP="002C46ED">
      <w:pPr>
        <w:spacing w:after="120"/>
        <w:jc w:val="both"/>
        <w:rPr>
          <w:rFonts w:cs="Arial"/>
          <w:b/>
        </w:rPr>
      </w:pPr>
      <w:r>
        <w:rPr>
          <w:rFonts w:cs="Arial"/>
          <w:b/>
        </w:rPr>
        <w:t>Item [1</w:t>
      </w:r>
      <w:r w:rsidR="002614A2">
        <w:rPr>
          <w:rFonts w:cs="Arial"/>
          <w:b/>
        </w:rPr>
        <w:t>1</w:t>
      </w:r>
      <w:r>
        <w:rPr>
          <w:rFonts w:cs="Arial"/>
          <w:b/>
        </w:rPr>
        <w:t>]</w:t>
      </w:r>
    </w:p>
    <w:p w14:paraId="41EAAF7C" w14:textId="57A954D7" w:rsidR="002F638E" w:rsidRPr="002F638E" w:rsidRDefault="002F638E" w:rsidP="002C46ED">
      <w:pPr>
        <w:jc w:val="both"/>
        <w:rPr>
          <w:rFonts w:cs="Arial"/>
        </w:rPr>
      </w:pPr>
      <w:r>
        <w:rPr>
          <w:rFonts w:cs="Arial"/>
        </w:rPr>
        <w:t>Item [1</w:t>
      </w:r>
      <w:r w:rsidR="002614A2">
        <w:rPr>
          <w:rFonts w:cs="Arial"/>
        </w:rPr>
        <w:t>1</w:t>
      </w:r>
      <w:r>
        <w:rPr>
          <w:rFonts w:cs="Arial"/>
        </w:rPr>
        <w:t xml:space="preserve">] </w:t>
      </w:r>
      <w:r w:rsidR="002C154C">
        <w:rPr>
          <w:rFonts w:cs="Arial"/>
        </w:rPr>
        <w:t xml:space="preserve">amends </w:t>
      </w:r>
      <w:r>
        <w:rPr>
          <w:rFonts w:cs="Arial"/>
        </w:rPr>
        <w:t>sub-item 803(2) of Part 8 of Schedule 2 to the Determination</w:t>
      </w:r>
      <w:r w:rsidR="00657F51">
        <w:rPr>
          <w:rFonts w:cs="Arial"/>
        </w:rPr>
        <w:t>. Item 803</w:t>
      </w:r>
      <w:r>
        <w:rPr>
          <w:rFonts w:cs="Arial"/>
        </w:rPr>
        <w:t xml:space="preserve"> sets out the amount of tax for high-power open narrowcasting </w:t>
      </w:r>
      <w:r w:rsidR="00272FA3">
        <w:rPr>
          <w:rFonts w:cs="Arial"/>
        </w:rPr>
        <w:t>licences</w:t>
      </w:r>
      <w:r>
        <w:rPr>
          <w:rFonts w:cs="Arial"/>
        </w:rPr>
        <w:t xml:space="preserve"> which are subject to power or coverage limitations. The tax amount is the amount worked out under item 802, divided by 2. Sub-item 803(2) provides that if the amount is less than </w:t>
      </w:r>
      <w:r w:rsidR="003F18B8">
        <w:rPr>
          <w:rFonts w:cs="Arial"/>
        </w:rPr>
        <w:t>a specified amount, the tax is taken to be that amount. The amount specified ($923) has been increased by the adjustment of 1.5 per cent</w:t>
      </w:r>
      <w:r w:rsidR="002C154C">
        <w:rPr>
          <w:rFonts w:cs="Arial"/>
        </w:rPr>
        <w:t xml:space="preserve"> to $937</w:t>
      </w:r>
      <w:r w:rsidR="003F18B8">
        <w:rPr>
          <w:rFonts w:cs="Arial"/>
        </w:rPr>
        <w:t xml:space="preserve">. </w:t>
      </w:r>
    </w:p>
    <w:p w14:paraId="4B053AD5" w14:textId="030C4F36" w:rsidR="00C63C44" w:rsidRPr="003A6FE1" w:rsidRDefault="00C63C44" w:rsidP="002C46ED">
      <w:pPr>
        <w:pStyle w:val="Heading3"/>
        <w:jc w:val="both"/>
        <w:rPr>
          <w:sz w:val="20"/>
          <w:szCs w:val="20"/>
        </w:rPr>
      </w:pPr>
      <w:r w:rsidRPr="003A6FE1">
        <w:rPr>
          <w:sz w:val="20"/>
          <w:szCs w:val="20"/>
        </w:rPr>
        <w:t xml:space="preserve">Item </w:t>
      </w:r>
      <w:r w:rsidR="002F638E">
        <w:rPr>
          <w:sz w:val="20"/>
          <w:szCs w:val="20"/>
        </w:rPr>
        <w:t>[1</w:t>
      </w:r>
      <w:r w:rsidR="002614A2">
        <w:rPr>
          <w:sz w:val="20"/>
          <w:szCs w:val="20"/>
        </w:rPr>
        <w:t>2</w:t>
      </w:r>
      <w:r w:rsidR="002F638E">
        <w:rPr>
          <w:sz w:val="20"/>
          <w:szCs w:val="20"/>
        </w:rPr>
        <w:t>]</w:t>
      </w:r>
    </w:p>
    <w:p w14:paraId="22AED93E" w14:textId="63B007FB" w:rsidR="00C63C44" w:rsidRPr="003A6FE1" w:rsidRDefault="00A42805" w:rsidP="002C46ED">
      <w:pPr>
        <w:jc w:val="both"/>
        <w:rPr>
          <w:rFonts w:cs="Arial"/>
        </w:rPr>
      </w:pPr>
      <w:r w:rsidRPr="003A6FE1">
        <w:rPr>
          <w:rFonts w:cs="Arial"/>
        </w:rPr>
        <w:t xml:space="preserve">Item </w:t>
      </w:r>
      <w:r w:rsidR="002F638E">
        <w:rPr>
          <w:rFonts w:cs="Arial"/>
        </w:rPr>
        <w:t>[1</w:t>
      </w:r>
      <w:r w:rsidR="002614A2">
        <w:rPr>
          <w:rFonts w:cs="Arial"/>
        </w:rPr>
        <w:t>2</w:t>
      </w:r>
      <w:r w:rsidR="002F638E">
        <w:rPr>
          <w:rFonts w:cs="Arial"/>
        </w:rPr>
        <w:t>]</w:t>
      </w:r>
      <w:r w:rsidRPr="003A6FE1">
        <w:rPr>
          <w:rFonts w:cs="Arial"/>
        </w:rPr>
        <w:t xml:space="preserve"> substitutes a new t</w:t>
      </w:r>
      <w:r w:rsidR="00C63C44" w:rsidRPr="003A6FE1">
        <w:rPr>
          <w:rFonts w:cs="Arial"/>
        </w:rPr>
        <w:t xml:space="preserve">able 902 in Part 9 of Schedule 2 </w:t>
      </w:r>
      <w:r w:rsidR="00B56396" w:rsidRPr="003A6FE1">
        <w:rPr>
          <w:rFonts w:cs="Arial"/>
        </w:rPr>
        <w:t>(</w:t>
      </w:r>
      <w:r w:rsidR="002C154C">
        <w:rPr>
          <w:rFonts w:cs="Arial"/>
        </w:rPr>
        <w:t>N</w:t>
      </w:r>
      <w:r w:rsidR="002F638E">
        <w:rPr>
          <w:rFonts w:cs="Arial"/>
        </w:rPr>
        <w:t>on-</w:t>
      </w:r>
      <w:r w:rsidR="002C154C">
        <w:rPr>
          <w:rFonts w:cs="Arial"/>
        </w:rPr>
        <w:t>A</w:t>
      </w:r>
      <w:r w:rsidR="002F638E">
        <w:rPr>
          <w:rFonts w:cs="Arial"/>
        </w:rPr>
        <w:t xml:space="preserve">ssigned </w:t>
      </w:r>
      <w:r w:rsidR="002C154C">
        <w:rPr>
          <w:rFonts w:cs="Arial"/>
        </w:rPr>
        <w:t>L</w:t>
      </w:r>
      <w:r w:rsidR="002F638E">
        <w:rPr>
          <w:rFonts w:cs="Arial"/>
        </w:rPr>
        <w:t>icences)</w:t>
      </w:r>
      <w:r w:rsidR="00B56396" w:rsidRPr="003A6FE1">
        <w:rPr>
          <w:rFonts w:cs="Arial"/>
        </w:rPr>
        <w:t xml:space="preserve"> </w:t>
      </w:r>
      <w:r w:rsidR="00657F51">
        <w:rPr>
          <w:rFonts w:cs="Arial"/>
        </w:rPr>
        <w:t>to</w:t>
      </w:r>
      <w:r w:rsidR="00D95A3B" w:rsidRPr="003A6FE1">
        <w:rPr>
          <w:rFonts w:cs="Arial"/>
        </w:rPr>
        <w:t xml:space="preserve"> the Determination, which </w:t>
      </w:r>
      <w:r w:rsidR="00C63C44" w:rsidRPr="003A6FE1">
        <w:rPr>
          <w:rFonts w:cs="Arial"/>
        </w:rPr>
        <w:t xml:space="preserve">sets out the amount of tax for </w:t>
      </w:r>
      <w:r w:rsidR="00C508F2" w:rsidRPr="003A6FE1">
        <w:rPr>
          <w:rFonts w:cs="Arial"/>
        </w:rPr>
        <w:t xml:space="preserve">certain </w:t>
      </w:r>
      <w:r w:rsidR="002C154C">
        <w:rPr>
          <w:rFonts w:cs="Arial"/>
        </w:rPr>
        <w:t>non-assigned licences</w:t>
      </w:r>
      <w:r w:rsidR="00C63C44" w:rsidRPr="003A6FE1">
        <w:rPr>
          <w:rFonts w:cs="Arial"/>
        </w:rPr>
        <w:t xml:space="preserve">. All amounts have been raised by the adjustment of </w:t>
      </w:r>
      <w:r w:rsidR="006C657E" w:rsidRPr="003A6FE1">
        <w:rPr>
          <w:rFonts w:cs="Arial"/>
        </w:rPr>
        <w:t>1.5</w:t>
      </w:r>
      <w:r w:rsidR="0085459C" w:rsidRPr="003A6FE1">
        <w:rPr>
          <w:rFonts w:cs="Arial"/>
        </w:rPr>
        <w:t xml:space="preserve"> percent</w:t>
      </w:r>
      <w:r w:rsidR="00C63C44" w:rsidRPr="003A6FE1">
        <w:rPr>
          <w:rFonts w:cs="Arial"/>
        </w:rPr>
        <w:t>.</w:t>
      </w:r>
    </w:p>
    <w:p w14:paraId="7AB462E3" w14:textId="199700A9" w:rsidR="00D01D7D" w:rsidRPr="003A6FE1" w:rsidRDefault="00D01D7D" w:rsidP="002C46ED">
      <w:pPr>
        <w:pStyle w:val="Heading3"/>
        <w:jc w:val="both"/>
        <w:rPr>
          <w:sz w:val="20"/>
          <w:szCs w:val="20"/>
        </w:rPr>
      </w:pPr>
      <w:r w:rsidRPr="003A6FE1">
        <w:rPr>
          <w:sz w:val="20"/>
          <w:szCs w:val="20"/>
        </w:rPr>
        <w:t xml:space="preserve">Item </w:t>
      </w:r>
      <w:r w:rsidR="003F18B8">
        <w:rPr>
          <w:sz w:val="20"/>
          <w:szCs w:val="20"/>
        </w:rPr>
        <w:t>[</w:t>
      </w:r>
      <w:r w:rsidRPr="003A6FE1">
        <w:rPr>
          <w:sz w:val="20"/>
          <w:szCs w:val="20"/>
        </w:rPr>
        <w:t>1</w:t>
      </w:r>
      <w:r w:rsidR="00F63533">
        <w:rPr>
          <w:sz w:val="20"/>
          <w:szCs w:val="20"/>
        </w:rPr>
        <w:t>3</w:t>
      </w:r>
      <w:r w:rsidR="003F18B8">
        <w:rPr>
          <w:sz w:val="20"/>
          <w:szCs w:val="20"/>
        </w:rPr>
        <w:t>]</w:t>
      </w:r>
    </w:p>
    <w:p w14:paraId="401E7E40" w14:textId="5101248B" w:rsidR="00D01D7D" w:rsidRPr="003A6FE1" w:rsidRDefault="00D01D7D" w:rsidP="002C46ED">
      <w:pPr>
        <w:pStyle w:val="Heading3"/>
        <w:jc w:val="both"/>
        <w:rPr>
          <w:b w:val="0"/>
          <w:sz w:val="20"/>
          <w:szCs w:val="20"/>
        </w:rPr>
      </w:pPr>
      <w:r w:rsidRPr="003A6FE1">
        <w:rPr>
          <w:b w:val="0"/>
          <w:sz w:val="20"/>
          <w:szCs w:val="20"/>
        </w:rPr>
        <w:t xml:space="preserve">Item </w:t>
      </w:r>
      <w:r w:rsidR="003F18B8">
        <w:rPr>
          <w:b w:val="0"/>
          <w:sz w:val="20"/>
          <w:szCs w:val="20"/>
        </w:rPr>
        <w:t>[</w:t>
      </w:r>
      <w:r w:rsidRPr="003A6FE1">
        <w:rPr>
          <w:b w:val="0"/>
          <w:sz w:val="20"/>
          <w:szCs w:val="20"/>
        </w:rPr>
        <w:t>1</w:t>
      </w:r>
      <w:r w:rsidR="00F63533">
        <w:rPr>
          <w:b w:val="0"/>
          <w:sz w:val="20"/>
          <w:szCs w:val="20"/>
        </w:rPr>
        <w:t>3</w:t>
      </w:r>
      <w:r w:rsidR="003F18B8">
        <w:rPr>
          <w:b w:val="0"/>
          <w:sz w:val="20"/>
          <w:szCs w:val="20"/>
        </w:rPr>
        <w:t>]</w:t>
      </w:r>
      <w:r w:rsidRPr="003A6FE1">
        <w:rPr>
          <w:b w:val="0"/>
          <w:sz w:val="20"/>
          <w:szCs w:val="20"/>
        </w:rPr>
        <w:t xml:space="preserve"> amends the definition of the minimum annual amount of tax </w:t>
      </w:r>
      <w:r w:rsidR="003F18B8">
        <w:rPr>
          <w:b w:val="0"/>
          <w:sz w:val="20"/>
          <w:szCs w:val="20"/>
        </w:rPr>
        <w:t xml:space="preserve">by omitting $38.60 and substituting $39.18. This raises the minimum annual amount of tax by 1.5 per cent, the increase in CPI. </w:t>
      </w:r>
    </w:p>
    <w:p w14:paraId="5FA2E304" w14:textId="38B34F24" w:rsidR="002614A2" w:rsidRPr="00F127EE" w:rsidRDefault="002614A2" w:rsidP="002C46ED">
      <w:pPr>
        <w:pStyle w:val="Heading3"/>
        <w:jc w:val="both"/>
        <w:rPr>
          <w:sz w:val="20"/>
          <w:szCs w:val="20"/>
        </w:rPr>
      </w:pPr>
      <w:r w:rsidRPr="00F127EE">
        <w:rPr>
          <w:sz w:val="20"/>
          <w:szCs w:val="20"/>
        </w:rPr>
        <w:t xml:space="preserve">Item </w:t>
      </w:r>
      <w:r>
        <w:rPr>
          <w:sz w:val="20"/>
          <w:szCs w:val="20"/>
        </w:rPr>
        <w:t>[</w:t>
      </w:r>
      <w:r w:rsidR="00F63533">
        <w:rPr>
          <w:sz w:val="20"/>
          <w:szCs w:val="20"/>
        </w:rPr>
        <w:t>14</w:t>
      </w:r>
      <w:r>
        <w:rPr>
          <w:sz w:val="20"/>
          <w:szCs w:val="20"/>
        </w:rPr>
        <w:t>]</w:t>
      </w:r>
    </w:p>
    <w:p w14:paraId="06EBE99F" w14:textId="256B668C" w:rsidR="002614A2" w:rsidRPr="00F127EE" w:rsidRDefault="002614A2" w:rsidP="002C46ED">
      <w:pPr>
        <w:jc w:val="both"/>
        <w:rPr>
          <w:rFonts w:cs="Arial"/>
        </w:rPr>
      </w:pPr>
      <w:r w:rsidRPr="00F127EE">
        <w:rPr>
          <w:rFonts w:cs="Arial"/>
        </w:rPr>
        <w:t xml:space="preserve">Item </w:t>
      </w:r>
      <w:r>
        <w:rPr>
          <w:rFonts w:cs="Arial"/>
        </w:rPr>
        <w:t>[</w:t>
      </w:r>
      <w:r w:rsidR="00F63533">
        <w:rPr>
          <w:rFonts w:cs="Arial"/>
        </w:rPr>
        <w:t>14</w:t>
      </w:r>
      <w:r>
        <w:rPr>
          <w:rFonts w:cs="Arial"/>
        </w:rPr>
        <w:t>]</w:t>
      </w:r>
      <w:r w:rsidRPr="00F127EE">
        <w:rPr>
          <w:rFonts w:cs="Arial"/>
        </w:rPr>
        <w:t xml:space="preserve"> inserts a definition of </w:t>
      </w:r>
      <w:r w:rsidRPr="005F5B1A">
        <w:rPr>
          <w:rFonts w:cs="Arial"/>
          <w:i/>
        </w:rPr>
        <w:t>transmitter licence tax</w:t>
      </w:r>
      <w:r w:rsidRPr="00F127EE">
        <w:rPr>
          <w:rFonts w:cs="Arial"/>
        </w:rPr>
        <w:t xml:space="preserve"> into the Dictionary immediately after the definition of </w:t>
      </w:r>
      <w:r w:rsidRPr="005F5B1A">
        <w:rPr>
          <w:rFonts w:cs="Arial"/>
          <w:i/>
        </w:rPr>
        <w:t>temporary fixed link station</w:t>
      </w:r>
      <w:r w:rsidRPr="00F127EE">
        <w:rPr>
          <w:rFonts w:cs="Arial"/>
        </w:rPr>
        <w:t>.</w:t>
      </w:r>
      <w:r>
        <w:rPr>
          <w:rFonts w:cs="Arial"/>
        </w:rPr>
        <w:t xml:space="preserve"> </w:t>
      </w:r>
      <w:r>
        <w:t xml:space="preserve">The purpose of this amendment is to </w:t>
      </w:r>
      <w:r w:rsidR="005F5B1A">
        <w:t>clarify</w:t>
      </w:r>
      <w:r>
        <w:t xml:space="preserve"> that the term ‘transmitter licence tax’ means the tax imposed under the Act.</w:t>
      </w:r>
    </w:p>
    <w:p w14:paraId="236E3215" w14:textId="77777777" w:rsidR="002614A2" w:rsidRPr="00F127EE" w:rsidRDefault="002614A2" w:rsidP="002C46ED">
      <w:pPr>
        <w:jc w:val="both"/>
        <w:rPr>
          <w:rFonts w:cs="Arial"/>
        </w:rPr>
      </w:pPr>
    </w:p>
    <w:p w14:paraId="1816CC0A" w14:textId="054A3254" w:rsidR="00D01D7D" w:rsidRPr="003A6FE1" w:rsidRDefault="00D01D7D" w:rsidP="00C63C44">
      <w:pPr>
        <w:rPr>
          <w:rFonts w:cs="Arial"/>
        </w:rPr>
      </w:pPr>
    </w:p>
    <w:p w14:paraId="79C8D9C2" w14:textId="6303EC5D" w:rsidR="00E11AB6" w:rsidRPr="00C747E9" w:rsidRDefault="00E11AB6" w:rsidP="006C657E">
      <w:pPr>
        <w:spacing w:line="360" w:lineRule="auto"/>
        <w:ind w:left="6946"/>
        <w:outlineLvl w:val="0"/>
        <w:rPr>
          <w:b/>
          <w:bCs/>
          <w:i/>
          <w:iCs/>
        </w:rPr>
      </w:pPr>
    </w:p>
    <w:sectPr w:rsidR="00E11AB6" w:rsidRPr="00C747E9" w:rsidSect="002C46ED">
      <w:headerReference w:type="even" r:id="rId10"/>
      <w:footerReference w:type="default" r:id="rId11"/>
      <w:headerReference w:type="first" r:id="rId12"/>
      <w:footerReference w:type="first" r:id="rId13"/>
      <w:type w:val="continuous"/>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C8983" w14:textId="77777777" w:rsidR="00651E7B" w:rsidRDefault="00651E7B">
      <w:r>
        <w:separator/>
      </w:r>
    </w:p>
  </w:endnote>
  <w:endnote w:type="continuationSeparator" w:id="0">
    <w:p w14:paraId="5C340F04" w14:textId="77777777" w:rsidR="00651E7B" w:rsidRDefault="0065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834587"/>
      <w:docPartObj>
        <w:docPartGallery w:val="Page Numbers (Bottom of Page)"/>
        <w:docPartUnique/>
      </w:docPartObj>
    </w:sdtPr>
    <w:sdtEndPr>
      <w:rPr>
        <w:noProof/>
      </w:rPr>
    </w:sdtEndPr>
    <w:sdtContent>
      <w:p w14:paraId="07714E9C" w14:textId="055866F6" w:rsidR="00AA2C39" w:rsidRDefault="00AA2C39">
        <w:pPr>
          <w:pStyle w:val="Footer"/>
          <w:jc w:val="right"/>
        </w:pPr>
        <w:r>
          <w:fldChar w:fldCharType="begin"/>
        </w:r>
        <w:r>
          <w:instrText xml:space="preserve"> PAGE   \* MERGEFORMAT </w:instrText>
        </w:r>
        <w:r>
          <w:fldChar w:fldCharType="separate"/>
        </w:r>
        <w:r w:rsidR="00DE65E7">
          <w:rPr>
            <w:noProof/>
          </w:rPr>
          <w:t>9</w:t>
        </w:r>
        <w:r>
          <w:rPr>
            <w:noProof/>
          </w:rPr>
          <w:fldChar w:fldCharType="end"/>
        </w:r>
      </w:p>
    </w:sdtContent>
  </w:sdt>
  <w:p w14:paraId="0392D107" w14:textId="77777777" w:rsidR="00AA2C39" w:rsidRDefault="00AA2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930178"/>
      <w:docPartObj>
        <w:docPartGallery w:val="Page Numbers (Bottom of Page)"/>
        <w:docPartUnique/>
      </w:docPartObj>
    </w:sdtPr>
    <w:sdtEndPr>
      <w:rPr>
        <w:noProof/>
      </w:rPr>
    </w:sdtEndPr>
    <w:sdtContent>
      <w:p w14:paraId="781594A7" w14:textId="417EEE85" w:rsidR="00AA2C39" w:rsidRDefault="00AA2C3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9748682" w14:textId="77777777" w:rsidR="00AA2C39" w:rsidRDefault="00AA2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F63BE" w14:textId="77777777" w:rsidR="00651E7B" w:rsidRDefault="00651E7B">
      <w:r>
        <w:separator/>
      </w:r>
    </w:p>
  </w:footnote>
  <w:footnote w:type="continuationSeparator" w:id="0">
    <w:p w14:paraId="08DE3ADA" w14:textId="77777777" w:rsidR="00651E7B" w:rsidRDefault="00651E7B">
      <w:r>
        <w:continuationSeparator/>
      </w:r>
    </w:p>
  </w:footnote>
  <w:footnote w:id="1">
    <w:p w14:paraId="6208A4D9" w14:textId="77777777" w:rsidR="00B56469" w:rsidRPr="00240968" w:rsidRDefault="00B56469" w:rsidP="0061517D">
      <w:pPr>
        <w:pStyle w:val="FootnoteText"/>
        <w:rPr>
          <w:rFonts w:ascii="Arial" w:hAnsi="Arial" w:cs="Arial"/>
          <w:sz w:val="16"/>
          <w:szCs w:val="16"/>
        </w:rPr>
      </w:pPr>
      <w:r w:rsidRPr="00240968">
        <w:rPr>
          <w:rStyle w:val="FootnoteReference"/>
          <w:rFonts w:ascii="Arial" w:hAnsi="Arial" w:cs="Arial"/>
          <w:sz w:val="16"/>
          <w:szCs w:val="16"/>
        </w:rPr>
        <w:footnoteRef/>
      </w:r>
      <w:r w:rsidRPr="00240968">
        <w:rPr>
          <w:rFonts w:ascii="Arial" w:hAnsi="Arial" w:cs="Arial"/>
          <w:sz w:val="16"/>
          <w:szCs w:val="16"/>
        </w:rPr>
        <w:t xml:space="preserve"> Australian Bureau of Statistics, Catalogue 6401.0, Consumer Price Index, June Quarter 201</w:t>
      </w:r>
      <w:r>
        <w:rPr>
          <w:rFonts w:ascii="Arial" w:hAnsi="Arial" w:cs="Arial"/>
          <w:sz w:val="16"/>
          <w:szCs w:val="16"/>
        </w:rPr>
        <w:t>5</w:t>
      </w:r>
    </w:p>
  </w:footnote>
  <w:footnote w:id="2">
    <w:p w14:paraId="6ACE7A26" w14:textId="4DCF248E" w:rsidR="0086713E" w:rsidRDefault="0086713E">
      <w:pPr>
        <w:pStyle w:val="FootnoteText"/>
      </w:pPr>
      <w:r>
        <w:rPr>
          <w:rStyle w:val="FootnoteReference"/>
        </w:rPr>
        <w:footnoteRef/>
      </w:r>
      <w:r>
        <w:t xml:space="preserve"> Accredited persons are persons accredited by the ACMA </w:t>
      </w:r>
      <w:r w:rsidR="00546C03">
        <w:t xml:space="preserve">under the </w:t>
      </w:r>
      <w:r w:rsidR="00546C03">
        <w:rPr>
          <w:i/>
        </w:rPr>
        <w:t xml:space="preserve">Radiocommunications Act 1992 </w:t>
      </w:r>
      <w:r>
        <w:t>to perform certain activities related to the use of the radiofrequency spectrum, including frequency coordination and emission level management.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B63D2" w14:textId="77777777" w:rsidR="00B56469" w:rsidRDefault="00DE65E7">
    <w:pPr>
      <w:pStyle w:val="Header"/>
    </w:pPr>
    <w:r>
      <w:rPr>
        <w:noProof/>
        <w:lang w:eastAsia="en-AU" w:bidi="ar-SA"/>
      </w:rPr>
      <w:pict w14:anchorId="120EE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720150" o:spid="_x0000_s2199" type="#_x0000_t75" style="position:absolute;margin-left:0;margin-top:0;width:431.85pt;height:482pt;z-index:-251658752;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3341D" w14:textId="77777777" w:rsidR="00B56469" w:rsidRDefault="00B56469" w:rsidP="008A0882">
    <w:pPr>
      <w:pStyle w:val="Header"/>
      <w:tabs>
        <w:tab w:val="left" w:pos="7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4E3986"/>
    <w:multiLevelType w:val="hybridMultilevel"/>
    <w:tmpl w:val="03D8CC6A"/>
    <w:lvl w:ilvl="0" w:tplc="0C090001">
      <w:start w:val="1"/>
      <w:numFmt w:val="bullet"/>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3">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8905DF"/>
    <w:multiLevelType w:val="hybridMultilevel"/>
    <w:tmpl w:val="67245B28"/>
    <w:lvl w:ilvl="0" w:tplc="290619C0">
      <w:start w:val="50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1557CD5"/>
    <w:multiLevelType w:val="hybridMultilevel"/>
    <w:tmpl w:val="9244B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3F2134"/>
    <w:multiLevelType w:val="hybridMultilevel"/>
    <w:tmpl w:val="32CC0E72"/>
    <w:lvl w:ilvl="0" w:tplc="290619C0">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nsid w:val="359D13CA"/>
    <w:multiLevelType w:val="hybridMultilevel"/>
    <w:tmpl w:val="6C00C094"/>
    <w:lvl w:ilvl="0" w:tplc="E43C77B4">
      <w:start w:val="1"/>
      <w:numFmt w:val="decimal"/>
      <w:pStyle w:val="Body"/>
      <w:lvlText w:val="%1."/>
      <w:lvlJc w:val="left"/>
      <w:pPr>
        <w:tabs>
          <w:tab w:val="num" w:pos="360"/>
        </w:tabs>
        <w:ind w:left="360" w:hanging="360"/>
      </w:pPr>
      <w:rPr>
        <w:rFonts w:hint="default"/>
      </w:rPr>
    </w:lvl>
    <w:lvl w:ilvl="1" w:tplc="2EDE6B5C">
      <w:start w:val="1"/>
      <w:numFmt w:val="lowerRoman"/>
      <w:lvlText w:val="%2."/>
      <w:lvlJc w:val="left"/>
      <w:pPr>
        <w:tabs>
          <w:tab w:val="num" w:pos="1014"/>
        </w:tabs>
        <w:ind w:left="1014" w:hanging="360"/>
      </w:pPr>
      <w:rPr>
        <w:rFonts w:hint="default"/>
      </w:rPr>
    </w:lvl>
    <w:lvl w:ilvl="2" w:tplc="0C090005" w:tentative="1">
      <w:start w:val="1"/>
      <w:numFmt w:val="bullet"/>
      <w:lvlText w:val=""/>
      <w:lvlJc w:val="left"/>
      <w:pPr>
        <w:tabs>
          <w:tab w:val="num" w:pos="1734"/>
        </w:tabs>
        <w:ind w:left="1734" w:hanging="360"/>
      </w:pPr>
      <w:rPr>
        <w:rFonts w:ascii="Wingdings" w:hAnsi="Wingdings" w:hint="default"/>
      </w:rPr>
    </w:lvl>
    <w:lvl w:ilvl="3" w:tplc="0C090001" w:tentative="1">
      <w:start w:val="1"/>
      <w:numFmt w:val="bullet"/>
      <w:lvlText w:val=""/>
      <w:lvlJc w:val="left"/>
      <w:pPr>
        <w:tabs>
          <w:tab w:val="num" w:pos="2454"/>
        </w:tabs>
        <w:ind w:left="2454" w:hanging="360"/>
      </w:pPr>
      <w:rPr>
        <w:rFonts w:ascii="Symbol" w:hAnsi="Symbol" w:hint="default"/>
      </w:rPr>
    </w:lvl>
    <w:lvl w:ilvl="4" w:tplc="0C090003" w:tentative="1">
      <w:start w:val="1"/>
      <w:numFmt w:val="bullet"/>
      <w:lvlText w:val="o"/>
      <w:lvlJc w:val="left"/>
      <w:pPr>
        <w:tabs>
          <w:tab w:val="num" w:pos="3174"/>
        </w:tabs>
        <w:ind w:left="3174" w:hanging="360"/>
      </w:pPr>
      <w:rPr>
        <w:rFonts w:ascii="Courier New" w:hAnsi="Courier New" w:cs="Courier New" w:hint="default"/>
      </w:rPr>
    </w:lvl>
    <w:lvl w:ilvl="5" w:tplc="0C090005" w:tentative="1">
      <w:start w:val="1"/>
      <w:numFmt w:val="bullet"/>
      <w:lvlText w:val=""/>
      <w:lvlJc w:val="left"/>
      <w:pPr>
        <w:tabs>
          <w:tab w:val="num" w:pos="3894"/>
        </w:tabs>
        <w:ind w:left="3894" w:hanging="360"/>
      </w:pPr>
      <w:rPr>
        <w:rFonts w:ascii="Wingdings" w:hAnsi="Wingdings" w:hint="default"/>
      </w:rPr>
    </w:lvl>
    <w:lvl w:ilvl="6" w:tplc="0C090001" w:tentative="1">
      <w:start w:val="1"/>
      <w:numFmt w:val="bullet"/>
      <w:lvlText w:val=""/>
      <w:lvlJc w:val="left"/>
      <w:pPr>
        <w:tabs>
          <w:tab w:val="num" w:pos="4614"/>
        </w:tabs>
        <w:ind w:left="4614" w:hanging="360"/>
      </w:pPr>
      <w:rPr>
        <w:rFonts w:ascii="Symbol" w:hAnsi="Symbol" w:hint="default"/>
      </w:rPr>
    </w:lvl>
    <w:lvl w:ilvl="7" w:tplc="0C090003" w:tentative="1">
      <w:start w:val="1"/>
      <w:numFmt w:val="bullet"/>
      <w:lvlText w:val="o"/>
      <w:lvlJc w:val="left"/>
      <w:pPr>
        <w:tabs>
          <w:tab w:val="num" w:pos="5334"/>
        </w:tabs>
        <w:ind w:left="5334" w:hanging="360"/>
      </w:pPr>
      <w:rPr>
        <w:rFonts w:ascii="Courier New" w:hAnsi="Courier New" w:cs="Courier New" w:hint="default"/>
      </w:rPr>
    </w:lvl>
    <w:lvl w:ilvl="8" w:tplc="0C090005" w:tentative="1">
      <w:start w:val="1"/>
      <w:numFmt w:val="bullet"/>
      <w:lvlText w:val=""/>
      <w:lvlJc w:val="left"/>
      <w:pPr>
        <w:tabs>
          <w:tab w:val="num" w:pos="6054"/>
        </w:tabs>
        <w:ind w:left="6054" w:hanging="360"/>
      </w:pPr>
      <w:rPr>
        <w:rFonts w:ascii="Wingdings" w:hAnsi="Wingdings" w:hint="default"/>
      </w:rPr>
    </w:lvl>
  </w:abstractNum>
  <w:abstractNum w:abstractNumId="13">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DCF5F66"/>
    <w:multiLevelType w:val="hybridMultilevel"/>
    <w:tmpl w:val="308A6A02"/>
    <w:lvl w:ilvl="0" w:tplc="44583D5C">
      <w:start w:val="1"/>
      <w:numFmt w:val="decimal"/>
      <w:lvlText w:val="%1."/>
      <w:lvlJc w:val="left"/>
      <w:pPr>
        <w:tabs>
          <w:tab w:val="num" w:pos="717"/>
        </w:tabs>
        <w:ind w:left="717" w:hanging="360"/>
      </w:pPr>
      <w:rPr>
        <w:rFonts w:ascii="Arial" w:hAnsi="Arial" w:cs="Arial" w:hint="default"/>
      </w:rPr>
    </w:lvl>
    <w:lvl w:ilvl="1" w:tplc="0C09000B">
      <w:start w:val="1"/>
      <w:numFmt w:val="bullet"/>
      <w:lvlText w:val=""/>
      <w:lvlJc w:val="left"/>
      <w:pPr>
        <w:tabs>
          <w:tab w:val="num" w:pos="1437"/>
        </w:tabs>
        <w:ind w:left="1437" w:hanging="360"/>
      </w:pPr>
      <w:rPr>
        <w:rFonts w:ascii="Wingdings" w:hAnsi="Wingdings" w:hint="default"/>
      </w:rPr>
    </w:lvl>
    <w:lvl w:ilvl="2" w:tplc="C9F4220A">
      <w:numFmt w:val="bullet"/>
      <w:lvlText w:val="-"/>
      <w:lvlJc w:val="left"/>
      <w:pPr>
        <w:ind w:left="2337" w:hanging="360"/>
      </w:pPr>
      <w:rPr>
        <w:rFonts w:ascii="Arial" w:eastAsia="Times New Roman" w:hAnsi="Arial" w:cs="Arial" w:hint="default"/>
        <w:i/>
      </w:rPr>
    </w:lvl>
    <w:lvl w:ilvl="3" w:tplc="0C09000F">
      <w:start w:val="1"/>
      <w:numFmt w:val="decimal"/>
      <w:lvlText w:val="%4."/>
      <w:lvlJc w:val="left"/>
      <w:pPr>
        <w:tabs>
          <w:tab w:val="num" w:pos="2877"/>
        </w:tabs>
        <w:ind w:left="2877" w:hanging="360"/>
      </w:pPr>
    </w:lvl>
    <w:lvl w:ilvl="4" w:tplc="0C090019">
      <w:start w:val="1"/>
      <w:numFmt w:val="lowerLetter"/>
      <w:lvlText w:val="%5."/>
      <w:lvlJc w:val="left"/>
      <w:pPr>
        <w:tabs>
          <w:tab w:val="num" w:pos="3597"/>
        </w:tabs>
        <w:ind w:left="3597" w:hanging="360"/>
      </w:pPr>
    </w:lvl>
    <w:lvl w:ilvl="5" w:tplc="0C09001B">
      <w:start w:val="1"/>
      <w:numFmt w:val="lowerRoman"/>
      <w:lvlText w:val="%6."/>
      <w:lvlJc w:val="right"/>
      <w:pPr>
        <w:tabs>
          <w:tab w:val="num" w:pos="4317"/>
        </w:tabs>
        <w:ind w:left="4317" w:hanging="180"/>
      </w:pPr>
    </w:lvl>
    <w:lvl w:ilvl="6" w:tplc="0C09000F">
      <w:start w:val="1"/>
      <w:numFmt w:val="decimal"/>
      <w:lvlText w:val="%7."/>
      <w:lvlJc w:val="left"/>
      <w:pPr>
        <w:tabs>
          <w:tab w:val="num" w:pos="5037"/>
        </w:tabs>
        <w:ind w:left="5037" w:hanging="360"/>
      </w:pPr>
    </w:lvl>
    <w:lvl w:ilvl="7" w:tplc="0C090019">
      <w:start w:val="1"/>
      <w:numFmt w:val="lowerLetter"/>
      <w:lvlText w:val="%8."/>
      <w:lvlJc w:val="left"/>
      <w:pPr>
        <w:tabs>
          <w:tab w:val="num" w:pos="5757"/>
        </w:tabs>
        <w:ind w:left="5757" w:hanging="360"/>
      </w:pPr>
    </w:lvl>
    <w:lvl w:ilvl="8" w:tplc="0C09001B">
      <w:start w:val="1"/>
      <w:numFmt w:val="lowerRoman"/>
      <w:lvlText w:val="%9."/>
      <w:lvlJc w:val="right"/>
      <w:pPr>
        <w:tabs>
          <w:tab w:val="num" w:pos="6477"/>
        </w:tabs>
        <w:ind w:left="6477" w:hanging="180"/>
      </w:pPr>
    </w:lvl>
  </w:abstractNum>
  <w:abstractNum w:abstractNumId="15">
    <w:nsid w:val="4E0A0FBC"/>
    <w:multiLevelType w:val="multilevel"/>
    <w:tmpl w:val="28EEB31C"/>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5"/>
      <w:numFmt w:val="none"/>
      <w:lvlText w:val="(a)"/>
      <w:lvlJc w:val="left"/>
      <w:pPr>
        <w:tabs>
          <w:tab w:val="num" w:pos="1980"/>
        </w:tabs>
        <w:ind w:left="1980" w:hanging="360"/>
      </w:pPr>
      <w:rPr>
        <w:rFonts w:ascii="Times New (W1)" w:hAnsi="Times New (W1)" w:hint="default"/>
        <w:b w:val="0"/>
        <w:i w:val="0"/>
        <w:szCs w:val="24"/>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1F02E5C"/>
    <w:multiLevelType w:val="hybridMultilevel"/>
    <w:tmpl w:val="6246804A"/>
    <w:lvl w:ilvl="0" w:tplc="7B9A2048">
      <w:start w:val="1"/>
      <w:numFmt w:val="bullet"/>
      <w:lvlText w:val=""/>
      <w:lvlJc w:val="left"/>
      <w:pPr>
        <w:tabs>
          <w:tab w:val="num" w:pos="177"/>
        </w:tabs>
        <w:ind w:left="540" w:hanging="360"/>
      </w:pPr>
      <w:rPr>
        <w:rFonts w:ascii="Symbol" w:hAnsi="Symbol" w:hint="default"/>
      </w:rPr>
    </w:lvl>
    <w:lvl w:ilvl="1" w:tplc="8B54880C">
      <w:start w:val="6"/>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51F43DDF"/>
    <w:multiLevelType w:val="hybridMultilevel"/>
    <w:tmpl w:val="A9E669B6"/>
    <w:lvl w:ilvl="0" w:tplc="7B9A2048">
      <w:start w:val="1"/>
      <w:numFmt w:val="bullet"/>
      <w:lvlText w:val=""/>
      <w:lvlJc w:val="left"/>
      <w:pPr>
        <w:tabs>
          <w:tab w:val="num" w:pos="177"/>
        </w:tabs>
        <w:ind w:left="540" w:hanging="360"/>
      </w:pPr>
      <w:rPr>
        <w:rFonts w:ascii="Symbol" w:hAnsi="Symbol" w:hint="default"/>
      </w:rPr>
    </w:lvl>
    <w:lvl w:ilvl="1" w:tplc="8B54880C">
      <w:start w:val="6"/>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B905E86"/>
    <w:multiLevelType w:val="multilevel"/>
    <w:tmpl w:val="AB58DA0A"/>
    <w:lvl w:ilvl="0">
      <w:start w:val="181"/>
      <w:numFmt w:val="bullet"/>
      <w:pStyle w:val="List-Bullet1"/>
      <w:lvlText w:val=""/>
      <w:lvlJc w:val="left"/>
      <w:pPr>
        <w:tabs>
          <w:tab w:val="num" w:pos="357"/>
        </w:tabs>
        <w:ind w:left="357" w:hanging="357"/>
      </w:pPr>
      <w:rPr>
        <w:rFonts w:ascii="Wingdings" w:hAnsi="Wingdings" w:hint="default"/>
        <w:color w:val="82A996"/>
        <w:position w:val="-6"/>
        <w:sz w:val="32"/>
      </w:rPr>
    </w:lvl>
    <w:lvl w:ilvl="1">
      <w:start w:val="1"/>
      <w:numFmt w:val="bullet"/>
      <w:lvlRestart w:val="0"/>
      <w:pStyle w:val="List-Bullet2"/>
      <w:lvlText w:val=""/>
      <w:lvlJc w:val="left"/>
      <w:pPr>
        <w:tabs>
          <w:tab w:val="num" w:pos="714"/>
        </w:tabs>
        <w:ind w:left="714" w:hanging="357"/>
      </w:pPr>
      <w:rPr>
        <w:rFonts w:ascii="Symbol" w:hAnsi="Symbol" w:hint="default"/>
        <w:color w:val="82A996"/>
        <w:sz w:val="28"/>
      </w:rPr>
    </w:lvl>
    <w:lvl w:ilvl="2">
      <w:start w:val="1"/>
      <w:numFmt w:val="bullet"/>
      <w:lvlRestart w:val="0"/>
      <w:pStyle w:val="List-Bullet3"/>
      <w:lvlText w:val=""/>
      <w:lvlJc w:val="left"/>
      <w:pPr>
        <w:tabs>
          <w:tab w:val="num" w:pos="1021"/>
        </w:tabs>
        <w:ind w:left="1021" w:hanging="307"/>
      </w:pPr>
      <w:rPr>
        <w:rFonts w:ascii="Wingdings" w:hAnsi="Wingdings" w:hint="default"/>
        <w:b/>
        <w:i w:val="0"/>
        <w:color w:val="82A996"/>
        <w:sz w:val="22"/>
      </w:rPr>
    </w:lvl>
    <w:lvl w:ilvl="3">
      <w:start w:val="1"/>
      <w:numFmt w:val="bullet"/>
      <w:lvlRestart w:val="0"/>
      <w:lvlText w:val=""/>
      <w:lvlJc w:val="left"/>
      <w:pPr>
        <w:tabs>
          <w:tab w:val="num" w:pos="1381"/>
        </w:tabs>
        <w:ind w:left="1383" w:hanging="362"/>
      </w:pPr>
      <w:rPr>
        <w:rFonts w:ascii="Symbol" w:hAnsi="Symbol" w:hint="default"/>
        <w:color w:val="82A996"/>
        <w:sz w:val="28"/>
      </w:rPr>
    </w:lvl>
    <w:lvl w:ilvl="4">
      <w:start w:val="1"/>
      <w:numFmt w:val="bullet"/>
      <w:lvlRestart w:val="0"/>
      <w:lvlText w:val=""/>
      <w:lvlJc w:val="left"/>
      <w:pPr>
        <w:tabs>
          <w:tab w:val="num" w:pos="1721"/>
        </w:tabs>
        <w:ind w:left="1724" w:hanging="363"/>
      </w:pPr>
      <w:rPr>
        <w:rFonts w:ascii="Symbol" w:hAnsi="Symbol" w:hint="default"/>
        <w:color w:val="82A996"/>
        <w:sz w:val="20"/>
      </w:rPr>
    </w:lvl>
    <w:lvl w:ilvl="5">
      <w:start w:val="1"/>
      <w:numFmt w:val="none"/>
      <w:lvlRestart w:val="0"/>
      <w:lvlText w:val="%6)"/>
      <w:lvlJc w:val="left"/>
      <w:pPr>
        <w:tabs>
          <w:tab w:val="num" w:pos="1152"/>
        </w:tabs>
        <w:ind w:left="1152" w:hanging="432"/>
      </w:pPr>
      <w:rPr>
        <w:rFonts w:cs="Times New Roman" w:hint="default"/>
      </w:rPr>
    </w:lvl>
    <w:lvl w:ilvl="6">
      <w:start w:val="1"/>
      <w:numFmt w:val="none"/>
      <w:lvlRestart w:val="0"/>
      <w:lvlText w:val="%7)"/>
      <w:lvlJc w:val="right"/>
      <w:pPr>
        <w:tabs>
          <w:tab w:val="num" w:pos="1296"/>
        </w:tabs>
        <w:ind w:left="1296" w:hanging="288"/>
      </w:pPr>
      <w:rPr>
        <w:rFonts w:cs="Times New Roman" w:hint="default"/>
      </w:rPr>
    </w:lvl>
    <w:lvl w:ilvl="7">
      <w:start w:val="1"/>
      <w:numFmt w:val="none"/>
      <w:lvlRestart w:val="0"/>
      <w:lvlText w:val="%8."/>
      <w:lvlJc w:val="left"/>
      <w:pPr>
        <w:tabs>
          <w:tab w:val="num" w:pos="1440"/>
        </w:tabs>
        <w:ind w:left="1440" w:hanging="432"/>
      </w:pPr>
      <w:rPr>
        <w:rFonts w:cs="Times New Roman" w:hint="default"/>
      </w:rPr>
    </w:lvl>
    <w:lvl w:ilvl="8">
      <w:start w:val="1"/>
      <w:numFmt w:val="none"/>
      <w:lvlRestart w:val="0"/>
      <w:lvlText w:val="%9."/>
      <w:lvlJc w:val="right"/>
      <w:pPr>
        <w:tabs>
          <w:tab w:val="num" w:pos="1584"/>
        </w:tabs>
        <w:ind w:left="1584" w:hanging="144"/>
      </w:pPr>
      <w:rPr>
        <w:rFonts w:cs="Times New Roman" w:hint="default"/>
      </w:rPr>
    </w:lvl>
  </w:abstractNum>
  <w:abstractNum w:abstractNumId="20">
    <w:nsid w:val="5DD27D42"/>
    <w:multiLevelType w:val="hybridMultilevel"/>
    <w:tmpl w:val="4824E59C"/>
    <w:lvl w:ilvl="0" w:tplc="791CA622">
      <w:start w:val="1"/>
      <w:numFmt w:val="bullet"/>
      <w:lvlText w:val="o"/>
      <w:lvlJc w:val="left"/>
      <w:pPr>
        <w:tabs>
          <w:tab w:val="num" w:pos="644"/>
        </w:tabs>
        <w:ind w:left="644" w:hanging="360"/>
      </w:pPr>
      <w:rPr>
        <w:rFonts w:ascii="Courier New" w:hAnsi="Courier New"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1">
    <w:nsid w:val="5FF467BA"/>
    <w:multiLevelType w:val="hybridMultilevel"/>
    <w:tmpl w:val="1278F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1C45538"/>
    <w:multiLevelType w:val="hybridMultilevel"/>
    <w:tmpl w:val="4494452A"/>
    <w:lvl w:ilvl="0" w:tplc="D9E0DDEC">
      <w:start w:val="1"/>
      <w:numFmt w:val="lowerLetter"/>
      <w:lvlText w:val="%1."/>
      <w:lvlJc w:val="left"/>
      <w:pPr>
        <w:tabs>
          <w:tab w:val="num" w:pos="720"/>
        </w:tabs>
        <w:ind w:left="720" w:hanging="360"/>
      </w:pPr>
      <w:rPr>
        <w:rFonts w:ascii="Arial" w:hAnsi="Arial" w:cs="Arial" w:hint="default"/>
        <w:b/>
      </w:rPr>
    </w:lvl>
    <w:lvl w:ilvl="1" w:tplc="0C09000F">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951239B"/>
    <w:multiLevelType w:val="hybridMultilevel"/>
    <w:tmpl w:val="5C209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D3B526B"/>
    <w:multiLevelType w:val="hybridMultilevel"/>
    <w:tmpl w:val="251AA0A6"/>
    <w:lvl w:ilvl="0" w:tplc="7F9CF1C8">
      <w:start w:val="1"/>
      <w:numFmt w:val="decimal"/>
      <w:lvlText w:val="%1."/>
      <w:lvlJc w:val="left"/>
      <w:pPr>
        <w:tabs>
          <w:tab w:val="num" w:pos="540"/>
        </w:tabs>
        <w:ind w:left="540" w:hanging="360"/>
      </w:pPr>
      <w:rPr>
        <w:rFonts w:ascii="Arial" w:hAnsi="Arial" w:cs="Arial" w:hint="default"/>
      </w:rPr>
    </w:lvl>
    <w:lvl w:ilvl="1" w:tplc="8B54880C">
      <w:start w:val="6"/>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6D9824F9"/>
    <w:multiLevelType w:val="hybridMultilevel"/>
    <w:tmpl w:val="1EE240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710108DC"/>
    <w:multiLevelType w:val="hybridMultilevel"/>
    <w:tmpl w:val="184ED7D6"/>
    <w:lvl w:ilvl="0" w:tplc="0C090001">
      <w:start w:val="1"/>
      <w:numFmt w:val="bullet"/>
      <w:lvlText w:val=""/>
      <w:lvlJc w:val="left"/>
      <w:pPr>
        <w:tabs>
          <w:tab w:val="num" w:pos="786"/>
        </w:tabs>
        <w:ind w:left="786" w:hanging="360"/>
      </w:pPr>
      <w:rPr>
        <w:rFonts w:ascii="Symbol" w:hAnsi="Symbol" w:hint="default"/>
      </w:rPr>
    </w:lvl>
    <w:lvl w:ilvl="1" w:tplc="0C090003" w:tentative="1">
      <w:start w:val="1"/>
      <w:numFmt w:val="bullet"/>
      <w:lvlText w:val="o"/>
      <w:lvlJc w:val="left"/>
      <w:pPr>
        <w:tabs>
          <w:tab w:val="num" w:pos="1506"/>
        </w:tabs>
        <w:ind w:left="1506" w:hanging="360"/>
      </w:pPr>
      <w:rPr>
        <w:rFonts w:ascii="Courier New" w:hAnsi="Courier New" w:cs="Courier New" w:hint="default"/>
      </w:rPr>
    </w:lvl>
    <w:lvl w:ilvl="2" w:tplc="0C090005" w:tentative="1">
      <w:start w:val="1"/>
      <w:numFmt w:val="bullet"/>
      <w:lvlText w:val=""/>
      <w:lvlJc w:val="left"/>
      <w:pPr>
        <w:tabs>
          <w:tab w:val="num" w:pos="2226"/>
        </w:tabs>
        <w:ind w:left="2226" w:hanging="360"/>
      </w:pPr>
      <w:rPr>
        <w:rFonts w:ascii="Wingdings" w:hAnsi="Wingdings" w:hint="default"/>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7">
    <w:nsid w:val="71CB48D1"/>
    <w:multiLevelType w:val="hybridMultilevel"/>
    <w:tmpl w:val="70BC529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99D417E"/>
    <w:multiLevelType w:val="hybridMultilevel"/>
    <w:tmpl w:val="7A7A1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lvlOverride w:ilvl="0">
      <w:startOverride w:val="1"/>
    </w:lvlOverride>
  </w:num>
  <w:num w:numId="4">
    <w:abstractNumId w:val="1"/>
  </w:num>
  <w:num w:numId="5">
    <w:abstractNumId w:val="1"/>
  </w:num>
  <w:num w:numId="6">
    <w:abstractNumId w:val="1"/>
  </w:num>
  <w:num w:numId="7">
    <w:abstractNumId w:val="11"/>
  </w:num>
  <w:num w:numId="8">
    <w:abstractNumId w:val="6"/>
  </w:num>
  <w:num w:numId="9">
    <w:abstractNumId w:val="3"/>
  </w:num>
  <w:num w:numId="10">
    <w:abstractNumId w:val="22"/>
  </w:num>
  <w:num w:numId="11">
    <w:abstractNumId w:val="24"/>
  </w:num>
  <w:num w:numId="12">
    <w:abstractNumId w:val="2"/>
  </w:num>
  <w:num w:numId="13">
    <w:abstractNumId w:val="17"/>
  </w:num>
  <w:num w:numId="14">
    <w:abstractNumId w:val="16"/>
  </w:num>
  <w:num w:numId="15">
    <w:abstractNumId w:val="18"/>
  </w:num>
  <w:num w:numId="16">
    <w:abstractNumId w:val="5"/>
  </w:num>
  <w:num w:numId="17">
    <w:abstractNumId w:val="26"/>
  </w:num>
  <w:num w:numId="18">
    <w:abstractNumId w:val="10"/>
  </w:num>
  <w:num w:numId="19">
    <w:abstractNumId w:val="19"/>
  </w:num>
  <w:num w:numId="20">
    <w:abstractNumId w:val="20"/>
  </w:num>
  <w:num w:numId="21">
    <w:abstractNumId w:val="9"/>
  </w:num>
  <w:num w:numId="22">
    <w:abstractNumId w:val="9"/>
  </w:num>
  <w:num w:numId="23">
    <w:abstractNumId w:val="9"/>
  </w:num>
  <w:num w:numId="24">
    <w:abstractNumId w:val="27"/>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0"/>
  </w:num>
  <w:num w:numId="42">
    <w:abstractNumId w:val="7"/>
  </w:num>
  <w:num w:numId="43">
    <w:abstractNumId w:val="13"/>
  </w:num>
  <w:num w:numId="44">
    <w:abstractNumId w:val="18"/>
  </w:num>
  <w:num w:numId="45">
    <w:abstractNumId w:val="18"/>
  </w:num>
  <w:num w:numId="46">
    <w:abstractNumId w:val="18"/>
  </w:num>
  <w:num w:numId="47">
    <w:abstractNumId w:val="18"/>
  </w:num>
  <w:num w:numId="48">
    <w:abstractNumId w:val="15"/>
  </w:num>
  <w:num w:numId="49">
    <w:abstractNumId w:val="12"/>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num>
  <w:num w:numId="54">
    <w:abstractNumId w:val="28"/>
  </w:num>
  <w:num w:numId="55">
    <w:abstractNumId w:val="25"/>
  </w:num>
  <w:num w:numId="56">
    <w:abstractNumId w:val="23"/>
  </w:num>
  <w:num w:numId="57">
    <w:abstractNumId w:val="8"/>
  </w:num>
  <w:num w:numId="58">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20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2B"/>
    <w:rsid w:val="00002D73"/>
    <w:rsid w:val="000044EB"/>
    <w:rsid w:val="000058EC"/>
    <w:rsid w:val="000068D3"/>
    <w:rsid w:val="00014341"/>
    <w:rsid w:val="000201CB"/>
    <w:rsid w:val="00020B89"/>
    <w:rsid w:val="000304E5"/>
    <w:rsid w:val="00030F70"/>
    <w:rsid w:val="000317D0"/>
    <w:rsid w:val="00034EAB"/>
    <w:rsid w:val="00042657"/>
    <w:rsid w:val="000434D1"/>
    <w:rsid w:val="0004699B"/>
    <w:rsid w:val="00053536"/>
    <w:rsid w:val="00054094"/>
    <w:rsid w:val="00055867"/>
    <w:rsid w:val="000566A9"/>
    <w:rsid w:val="00056FCC"/>
    <w:rsid w:val="00061825"/>
    <w:rsid w:val="0007065C"/>
    <w:rsid w:val="000718BC"/>
    <w:rsid w:val="00073FFB"/>
    <w:rsid w:val="00075E72"/>
    <w:rsid w:val="000770E9"/>
    <w:rsid w:val="0008434F"/>
    <w:rsid w:val="00086FE0"/>
    <w:rsid w:val="00087CCE"/>
    <w:rsid w:val="0009466A"/>
    <w:rsid w:val="000A27B6"/>
    <w:rsid w:val="000B011A"/>
    <w:rsid w:val="000B3F02"/>
    <w:rsid w:val="000B7DBE"/>
    <w:rsid w:val="000C0128"/>
    <w:rsid w:val="000C1989"/>
    <w:rsid w:val="000C2CB2"/>
    <w:rsid w:val="000C3F7E"/>
    <w:rsid w:val="000D0BD0"/>
    <w:rsid w:val="000E3AD3"/>
    <w:rsid w:val="000E3AE1"/>
    <w:rsid w:val="000E3BC4"/>
    <w:rsid w:val="000F0E1E"/>
    <w:rsid w:val="000F1573"/>
    <w:rsid w:val="000F2081"/>
    <w:rsid w:val="000F575A"/>
    <w:rsid w:val="0010149B"/>
    <w:rsid w:val="00102A94"/>
    <w:rsid w:val="00105847"/>
    <w:rsid w:val="00114026"/>
    <w:rsid w:val="00114926"/>
    <w:rsid w:val="00114EAB"/>
    <w:rsid w:val="0012135E"/>
    <w:rsid w:val="00136A8B"/>
    <w:rsid w:val="00141D1B"/>
    <w:rsid w:val="00144563"/>
    <w:rsid w:val="00144C8B"/>
    <w:rsid w:val="00147870"/>
    <w:rsid w:val="00147D64"/>
    <w:rsid w:val="00151062"/>
    <w:rsid w:val="00152414"/>
    <w:rsid w:val="001661C8"/>
    <w:rsid w:val="001708B3"/>
    <w:rsid w:val="00171C26"/>
    <w:rsid w:val="001743AC"/>
    <w:rsid w:val="00174B77"/>
    <w:rsid w:val="00177DB7"/>
    <w:rsid w:val="00186375"/>
    <w:rsid w:val="00194E86"/>
    <w:rsid w:val="001A0170"/>
    <w:rsid w:val="001A1963"/>
    <w:rsid w:val="001A63A9"/>
    <w:rsid w:val="001A6A2D"/>
    <w:rsid w:val="001A70BF"/>
    <w:rsid w:val="001B530E"/>
    <w:rsid w:val="001B6B1D"/>
    <w:rsid w:val="001C01F2"/>
    <w:rsid w:val="001C2A3A"/>
    <w:rsid w:val="001C5671"/>
    <w:rsid w:val="001D2F2B"/>
    <w:rsid w:val="001D59FE"/>
    <w:rsid w:val="001D5B7F"/>
    <w:rsid w:val="001D6810"/>
    <w:rsid w:val="001E55CF"/>
    <w:rsid w:val="001F0ED7"/>
    <w:rsid w:val="001F10E3"/>
    <w:rsid w:val="001F11C5"/>
    <w:rsid w:val="001F2542"/>
    <w:rsid w:val="001F2C5C"/>
    <w:rsid w:val="002017C9"/>
    <w:rsid w:val="002017FD"/>
    <w:rsid w:val="00202956"/>
    <w:rsid w:val="002029C4"/>
    <w:rsid w:val="002030CA"/>
    <w:rsid w:val="002032CA"/>
    <w:rsid w:val="00205965"/>
    <w:rsid w:val="002067F2"/>
    <w:rsid w:val="002177C1"/>
    <w:rsid w:val="002223DE"/>
    <w:rsid w:val="00230F8E"/>
    <w:rsid w:val="00232F58"/>
    <w:rsid w:val="00237A5A"/>
    <w:rsid w:val="002430B7"/>
    <w:rsid w:val="002453C2"/>
    <w:rsid w:val="00245478"/>
    <w:rsid w:val="0025082B"/>
    <w:rsid w:val="00251F20"/>
    <w:rsid w:val="00255737"/>
    <w:rsid w:val="00255D57"/>
    <w:rsid w:val="00257314"/>
    <w:rsid w:val="002614A2"/>
    <w:rsid w:val="00262174"/>
    <w:rsid w:val="00264A12"/>
    <w:rsid w:val="00264E3F"/>
    <w:rsid w:val="00264F37"/>
    <w:rsid w:val="00264F85"/>
    <w:rsid w:val="00267F89"/>
    <w:rsid w:val="00272FA3"/>
    <w:rsid w:val="00276372"/>
    <w:rsid w:val="0028076F"/>
    <w:rsid w:val="00281DE3"/>
    <w:rsid w:val="0028397A"/>
    <w:rsid w:val="00285445"/>
    <w:rsid w:val="002912E2"/>
    <w:rsid w:val="002A0817"/>
    <w:rsid w:val="002A0EA6"/>
    <w:rsid w:val="002A226E"/>
    <w:rsid w:val="002A7C02"/>
    <w:rsid w:val="002B7F5F"/>
    <w:rsid w:val="002C1152"/>
    <w:rsid w:val="002C154C"/>
    <w:rsid w:val="002C351E"/>
    <w:rsid w:val="002C46ED"/>
    <w:rsid w:val="002C47D7"/>
    <w:rsid w:val="002C59DB"/>
    <w:rsid w:val="002D1862"/>
    <w:rsid w:val="002D1A5D"/>
    <w:rsid w:val="002D36A4"/>
    <w:rsid w:val="002D74FC"/>
    <w:rsid w:val="002E28F2"/>
    <w:rsid w:val="002E3EF1"/>
    <w:rsid w:val="002E43B2"/>
    <w:rsid w:val="002F3DF0"/>
    <w:rsid w:val="002F5489"/>
    <w:rsid w:val="002F638E"/>
    <w:rsid w:val="00304672"/>
    <w:rsid w:val="00304E43"/>
    <w:rsid w:val="00306402"/>
    <w:rsid w:val="0031114A"/>
    <w:rsid w:val="00313C79"/>
    <w:rsid w:val="0031583E"/>
    <w:rsid w:val="003162CB"/>
    <w:rsid w:val="003204F7"/>
    <w:rsid w:val="00326C79"/>
    <w:rsid w:val="00333057"/>
    <w:rsid w:val="003342C9"/>
    <w:rsid w:val="0034053C"/>
    <w:rsid w:val="003415C1"/>
    <w:rsid w:val="00351C42"/>
    <w:rsid w:val="003544CC"/>
    <w:rsid w:val="00365DE9"/>
    <w:rsid w:val="003673B6"/>
    <w:rsid w:val="00367420"/>
    <w:rsid w:val="003709F7"/>
    <w:rsid w:val="00375C2C"/>
    <w:rsid w:val="00377546"/>
    <w:rsid w:val="003807FA"/>
    <w:rsid w:val="00382385"/>
    <w:rsid w:val="00383B2D"/>
    <w:rsid w:val="003867BD"/>
    <w:rsid w:val="00390021"/>
    <w:rsid w:val="00390834"/>
    <w:rsid w:val="003910C5"/>
    <w:rsid w:val="003918D9"/>
    <w:rsid w:val="00392B0D"/>
    <w:rsid w:val="003A1530"/>
    <w:rsid w:val="003A4B7C"/>
    <w:rsid w:val="003A6FE1"/>
    <w:rsid w:val="003B56C1"/>
    <w:rsid w:val="003B7E4A"/>
    <w:rsid w:val="003C0079"/>
    <w:rsid w:val="003C0F58"/>
    <w:rsid w:val="003D56D1"/>
    <w:rsid w:val="003D5FB5"/>
    <w:rsid w:val="003E2851"/>
    <w:rsid w:val="003E2C81"/>
    <w:rsid w:val="003E36FE"/>
    <w:rsid w:val="003E4AEE"/>
    <w:rsid w:val="003E6C6F"/>
    <w:rsid w:val="003F14F4"/>
    <w:rsid w:val="003F18B8"/>
    <w:rsid w:val="00402A68"/>
    <w:rsid w:val="00404C9E"/>
    <w:rsid w:val="004069F6"/>
    <w:rsid w:val="004106A3"/>
    <w:rsid w:val="004151B3"/>
    <w:rsid w:val="004316FE"/>
    <w:rsid w:val="004349C5"/>
    <w:rsid w:val="004434DF"/>
    <w:rsid w:val="00443BE3"/>
    <w:rsid w:val="00445BB2"/>
    <w:rsid w:val="004502A4"/>
    <w:rsid w:val="00454F83"/>
    <w:rsid w:val="00456F71"/>
    <w:rsid w:val="00460058"/>
    <w:rsid w:val="00461A7D"/>
    <w:rsid w:val="00466E73"/>
    <w:rsid w:val="00470367"/>
    <w:rsid w:val="004730CC"/>
    <w:rsid w:val="00476CF6"/>
    <w:rsid w:val="00482F15"/>
    <w:rsid w:val="00487ABB"/>
    <w:rsid w:val="004927F4"/>
    <w:rsid w:val="004B289C"/>
    <w:rsid w:val="004B56EF"/>
    <w:rsid w:val="004B5D92"/>
    <w:rsid w:val="004B6682"/>
    <w:rsid w:val="004C51BC"/>
    <w:rsid w:val="004C60E0"/>
    <w:rsid w:val="004D5E83"/>
    <w:rsid w:val="004D64B7"/>
    <w:rsid w:val="004E06BC"/>
    <w:rsid w:val="004E7A86"/>
    <w:rsid w:val="004F053D"/>
    <w:rsid w:val="004F12D3"/>
    <w:rsid w:val="004F30A7"/>
    <w:rsid w:val="004F61AF"/>
    <w:rsid w:val="00502741"/>
    <w:rsid w:val="00515E77"/>
    <w:rsid w:val="00520589"/>
    <w:rsid w:val="00520C15"/>
    <w:rsid w:val="005252D5"/>
    <w:rsid w:val="00527681"/>
    <w:rsid w:val="0053030C"/>
    <w:rsid w:val="00533F75"/>
    <w:rsid w:val="00535E5B"/>
    <w:rsid w:val="005367B0"/>
    <w:rsid w:val="00543B21"/>
    <w:rsid w:val="00544B0B"/>
    <w:rsid w:val="00546C03"/>
    <w:rsid w:val="00547AD5"/>
    <w:rsid w:val="0055220B"/>
    <w:rsid w:val="005529DD"/>
    <w:rsid w:val="00557869"/>
    <w:rsid w:val="00560D26"/>
    <w:rsid w:val="00562C02"/>
    <w:rsid w:val="005645D1"/>
    <w:rsid w:val="00567CD2"/>
    <w:rsid w:val="005708D2"/>
    <w:rsid w:val="00571D21"/>
    <w:rsid w:val="00577F00"/>
    <w:rsid w:val="00582303"/>
    <w:rsid w:val="00583400"/>
    <w:rsid w:val="005839A8"/>
    <w:rsid w:val="00592B40"/>
    <w:rsid w:val="00596EE1"/>
    <w:rsid w:val="005A4B1F"/>
    <w:rsid w:val="005A5266"/>
    <w:rsid w:val="005A6AEA"/>
    <w:rsid w:val="005B4AB2"/>
    <w:rsid w:val="005B787B"/>
    <w:rsid w:val="005C32BB"/>
    <w:rsid w:val="005C4239"/>
    <w:rsid w:val="005C4C0D"/>
    <w:rsid w:val="005C6E09"/>
    <w:rsid w:val="005C7BCB"/>
    <w:rsid w:val="005D4AE7"/>
    <w:rsid w:val="005D6A1A"/>
    <w:rsid w:val="005E3FEC"/>
    <w:rsid w:val="005F0E30"/>
    <w:rsid w:val="005F0EF3"/>
    <w:rsid w:val="005F3A8E"/>
    <w:rsid w:val="005F4163"/>
    <w:rsid w:val="005F5B1A"/>
    <w:rsid w:val="005F6357"/>
    <w:rsid w:val="006052D6"/>
    <w:rsid w:val="00611405"/>
    <w:rsid w:val="0061517D"/>
    <w:rsid w:val="0061664C"/>
    <w:rsid w:val="006177AF"/>
    <w:rsid w:val="00620BC4"/>
    <w:rsid w:val="00621A6D"/>
    <w:rsid w:val="00622456"/>
    <w:rsid w:val="006262A8"/>
    <w:rsid w:val="0063399E"/>
    <w:rsid w:val="0063556E"/>
    <w:rsid w:val="00635A5F"/>
    <w:rsid w:val="00637E01"/>
    <w:rsid w:val="00641D8C"/>
    <w:rsid w:val="00647006"/>
    <w:rsid w:val="00650735"/>
    <w:rsid w:val="00651E7B"/>
    <w:rsid w:val="006521AA"/>
    <w:rsid w:val="006557E6"/>
    <w:rsid w:val="00657F51"/>
    <w:rsid w:val="0068252D"/>
    <w:rsid w:val="006872B0"/>
    <w:rsid w:val="00690982"/>
    <w:rsid w:val="00692C5D"/>
    <w:rsid w:val="00692DD3"/>
    <w:rsid w:val="00695235"/>
    <w:rsid w:val="0069666D"/>
    <w:rsid w:val="00697F58"/>
    <w:rsid w:val="006A273B"/>
    <w:rsid w:val="006A4E87"/>
    <w:rsid w:val="006A58DD"/>
    <w:rsid w:val="006B31FA"/>
    <w:rsid w:val="006B531D"/>
    <w:rsid w:val="006C2778"/>
    <w:rsid w:val="006C28A9"/>
    <w:rsid w:val="006C294F"/>
    <w:rsid w:val="006C5323"/>
    <w:rsid w:val="006C657E"/>
    <w:rsid w:val="006C77B5"/>
    <w:rsid w:val="006D0602"/>
    <w:rsid w:val="006D5420"/>
    <w:rsid w:val="006D5C9C"/>
    <w:rsid w:val="006E09C2"/>
    <w:rsid w:val="006F17E9"/>
    <w:rsid w:val="006F34F1"/>
    <w:rsid w:val="006F59D7"/>
    <w:rsid w:val="006F6966"/>
    <w:rsid w:val="006F6F5B"/>
    <w:rsid w:val="00703B01"/>
    <w:rsid w:val="00705314"/>
    <w:rsid w:val="00706A20"/>
    <w:rsid w:val="0071396B"/>
    <w:rsid w:val="007226E9"/>
    <w:rsid w:val="007259CD"/>
    <w:rsid w:val="00727C10"/>
    <w:rsid w:val="00732652"/>
    <w:rsid w:val="00732CBF"/>
    <w:rsid w:val="00734CEE"/>
    <w:rsid w:val="007408E4"/>
    <w:rsid w:val="0074112E"/>
    <w:rsid w:val="00742778"/>
    <w:rsid w:val="00742DAB"/>
    <w:rsid w:val="00750856"/>
    <w:rsid w:val="00752D6F"/>
    <w:rsid w:val="00752F6D"/>
    <w:rsid w:val="00753E66"/>
    <w:rsid w:val="00756B73"/>
    <w:rsid w:val="0076218C"/>
    <w:rsid w:val="007621B5"/>
    <w:rsid w:val="00767722"/>
    <w:rsid w:val="0077028A"/>
    <w:rsid w:val="00786386"/>
    <w:rsid w:val="007B0D1D"/>
    <w:rsid w:val="007B2A25"/>
    <w:rsid w:val="007B53DE"/>
    <w:rsid w:val="007C3C0E"/>
    <w:rsid w:val="007C526A"/>
    <w:rsid w:val="007C5BD9"/>
    <w:rsid w:val="007D0DB5"/>
    <w:rsid w:val="007E070F"/>
    <w:rsid w:val="007F0D4D"/>
    <w:rsid w:val="007F0F1E"/>
    <w:rsid w:val="007F210C"/>
    <w:rsid w:val="007F2CA4"/>
    <w:rsid w:val="007F56E8"/>
    <w:rsid w:val="00803A10"/>
    <w:rsid w:val="0081004C"/>
    <w:rsid w:val="00821892"/>
    <w:rsid w:val="00821DCA"/>
    <w:rsid w:val="00825672"/>
    <w:rsid w:val="00826554"/>
    <w:rsid w:val="00826947"/>
    <w:rsid w:val="00834DB5"/>
    <w:rsid w:val="008362DE"/>
    <w:rsid w:val="008366C3"/>
    <w:rsid w:val="00842BE2"/>
    <w:rsid w:val="0084385C"/>
    <w:rsid w:val="00844468"/>
    <w:rsid w:val="00852F1D"/>
    <w:rsid w:val="008540EE"/>
    <w:rsid w:val="0085459C"/>
    <w:rsid w:val="0085469D"/>
    <w:rsid w:val="00854BE9"/>
    <w:rsid w:val="00866ECC"/>
    <w:rsid w:val="0086713E"/>
    <w:rsid w:val="0087410A"/>
    <w:rsid w:val="008807FD"/>
    <w:rsid w:val="0088239E"/>
    <w:rsid w:val="00883B39"/>
    <w:rsid w:val="0088460E"/>
    <w:rsid w:val="00886F42"/>
    <w:rsid w:val="00895908"/>
    <w:rsid w:val="008A0882"/>
    <w:rsid w:val="008A4353"/>
    <w:rsid w:val="008A4471"/>
    <w:rsid w:val="008A45F1"/>
    <w:rsid w:val="008A68DC"/>
    <w:rsid w:val="008B094B"/>
    <w:rsid w:val="008B3984"/>
    <w:rsid w:val="008B4825"/>
    <w:rsid w:val="008C7D8D"/>
    <w:rsid w:val="008D3B84"/>
    <w:rsid w:val="008D730C"/>
    <w:rsid w:val="008E7375"/>
    <w:rsid w:val="008E7396"/>
    <w:rsid w:val="008F234A"/>
    <w:rsid w:val="009040D0"/>
    <w:rsid w:val="00915BFE"/>
    <w:rsid w:val="00915CEC"/>
    <w:rsid w:val="00916D9D"/>
    <w:rsid w:val="00922722"/>
    <w:rsid w:val="00922A37"/>
    <w:rsid w:val="009338F9"/>
    <w:rsid w:val="009339AD"/>
    <w:rsid w:val="009359AB"/>
    <w:rsid w:val="00937AB4"/>
    <w:rsid w:val="00945744"/>
    <w:rsid w:val="00947D61"/>
    <w:rsid w:val="00950DEB"/>
    <w:rsid w:val="00952814"/>
    <w:rsid w:val="009745AF"/>
    <w:rsid w:val="00981532"/>
    <w:rsid w:val="009B102B"/>
    <w:rsid w:val="009B37EA"/>
    <w:rsid w:val="009C2535"/>
    <w:rsid w:val="009C33F8"/>
    <w:rsid w:val="009C473A"/>
    <w:rsid w:val="009C5367"/>
    <w:rsid w:val="009C594F"/>
    <w:rsid w:val="009D5303"/>
    <w:rsid w:val="009D71B3"/>
    <w:rsid w:val="009E204A"/>
    <w:rsid w:val="009F2F88"/>
    <w:rsid w:val="009F35EA"/>
    <w:rsid w:val="00A03570"/>
    <w:rsid w:val="00A0692B"/>
    <w:rsid w:val="00A06D43"/>
    <w:rsid w:val="00A10FC4"/>
    <w:rsid w:val="00A15CC4"/>
    <w:rsid w:val="00A2132C"/>
    <w:rsid w:val="00A2153B"/>
    <w:rsid w:val="00A22359"/>
    <w:rsid w:val="00A23CEE"/>
    <w:rsid w:val="00A25259"/>
    <w:rsid w:val="00A25C0F"/>
    <w:rsid w:val="00A2728D"/>
    <w:rsid w:val="00A30165"/>
    <w:rsid w:val="00A37078"/>
    <w:rsid w:val="00A406B6"/>
    <w:rsid w:val="00A42805"/>
    <w:rsid w:val="00A472B9"/>
    <w:rsid w:val="00A5076A"/>
    <w:rsid w:val="00A50CA9"/>
    <w:rsid w:val="00A537AD"/>
    <w:rsid w:val="00A54628"/>
    <w:rsid w:val="00A552FE"/>
    <w:rsid w:val="00A61A5B"/>
    <w:rsid w:val="00A61E82"/>
    <w:rsid w:val="00A621A2"/>
    <w:rsid w:val="00A6430F"/>
    <w:rsid w:val="00A646D6"/>
    <w:rsid w:val="00A75499"/>
    <w:rsid w:val="00A76DDC"/>
    <w:rsid w:val="00A81D75"/>
    <w:rsid w:val="00A8274F"/>
    <w:rsid w:val="00A852A6"/>
    <w:rsid w:val="00A90022"/>
    <w:rsid w:val="00A9062F"/>
    <w:rsid w:val="00A92064"/>
    <w:rsid w:val="00AA16A0"/>
    <w:rsid w:val="00AA2C39"/>
    <w:rsid w:val="00AA6BA3"/>
    <w:rsid w:val="00AB4994"/>
    <w:rsid w:val="00AC394E"/>
    <w:rsid w:val="00AC3E5A"/>
    <w:rsid w:val="00AC3F6E"/>
    <w:rsid w:val="00AC4B1E"/>
    <w:rsid w:val="00AC51CE"/>
    <w:rsid w:val="00AE20A6"/>
    <w:rsid w:val="00AE21B0"/>
    <w:rsid w:val="00AE5CC9"/>
    <w:rsid w:val="00AF6AE2"/>
    <w:rsid w:val="00B04A78"/>
    <w:rsid w:val="00B064AB"/>
    <w:rsid w:val="00B07CDC"/>
    <w:rsid w:val="00B116F6"/>
    <w:rsid w:val="00B127F9"/>
    <w:rsid w:val="00B13593"/>
    <w:rsid w:val="00B14B05"/>
    <w:rsid w:val="00B16C4B"/>
    <w:rsid w:val="00B17E50"/>
    <w:rsid w:val="00B20211"/>
    <w:rsid w:val="00B32F8F"/>
    <w:rsid w:val="00B33B13"/>
    <w:rsid w:val="00B45DEF"/>
    <w:rsid w:val="00B50F4E"/>
    <w:rsid w:val="00B56396"/>
    <w:rsid w:val="00B56469"/>
    <w:rsid w:val="00B61756"/>
    <w:rsid w:val="00B67D70"/>
    <w:rsid w:val="00B80B9A"/>
    <w:rsid w:val="00B8767B"/>
    <w:rsid w:val="00B87DC2"/>
    <w:rsid w:val="00B936A8"/>
    <w:rsid w:val="00BA45AA"/>
    <w:rsid w:val="00BA4F01"/>
    <w:rsid w:val="00BB1778"/>
    <w:rsid w:val="00BB1ABC"/>
    <w:rsid w:val="00BC384A"/>
    <w:rsid w:val="00BC4969"/>
    <w:rsid w:val="00BC4B6C"/>
    <w:rsid w:val="00BD18C2"/>
    <w:rsid w:val="00BD2F75"/>
    <w:rsid w:val="00BD7474"/>
    <w:rsid w:val="00BE022E"/>
    <w:rsid w:val="00BE0775"/>
    <w:rsid w:val="00BE32D0"/>
    <w:rsid w:val="00BE58ED"/>
    <w:rsid w:val="00BE69BD"/>
    <w:rsid w:val="00BF03A1"/>
    <w:rsid w:val="00BF1ADE"/>
    <w:rsid w:val="00BF1F00"/>
    <w:rsid w:val="00BF3CC7"/>
    <w:rsid w:val="00BF6135"/>
    <w:rsid w:val="00C00199"/>
    <w:rsid w:val="00C005A9"/>
    <w:rsid w:val="00C009B1"/>
    <w:rsid w:val="00C01B37"/>
    <w:rsid w:val="00C02973"/>
    <w:rsid w:val="00C05789"/>
    <w:rsid w:val="00C15693"/>
    <w:rsid w:val="00C21F27"/>
    <w:rsid w:val="00C231B0"/>
    <w:rsid w:val="00C27B23"/>
    <w:rsid w:val="00C3465C"/>
    <w:rsid w:val="00C50124"/>
    <w:rsid w:val="00C508F2"/>
    <w:rsid w:val="00C538A3"/>
    <w:rsid w:val="00C53CF0"/>
    <w:rsid w:val="00C56442"/>
    <w:rsid w:val="00C567C2"/>
    <w:rsid w:val="00C601B7"/>
    <w:rsid w:val="00C61F59"/>
    <w:rsid w:val="00C63C44"/>
    <w:rsid w:val="00C66549"/>
    <w:rsid w:val="00C7392F"/>
    <w:rsid w:val="00C73F71"/>
    <w:rsid w:val="00C747E9"/>
    <w:rsid w:val="00C74AF0"/>
    <w:rsid w:val="00C75280"/>
    <w:rsid w:val="00C823F4"/>
    <w:rsid w:val="00C8275E"/>
    <w:rsid w:val="00C91880"/>
    <w:rsid w:val="00C92526"/>
    <w:rsid w:val="00C926AA"/>
    <w:rsid w:val="00C97F10"/>
    <w:rsid w:val="00CA054F"/>
    <w:rsid w:val="00CA29C1"/>
    <w:rsid w:val="00CA2A33"/>
    <w:rsid w:val="00CA37BB"/>
    <w:rsid w:val="00CA3BA1"/>
    <w:rsid w:val="00CA6EF1"/>
    <w:rsid w:val="00CB3339"/>
    <w:rsid w:val="00CB3522"/>
    <w:rsid w:val="00CB47EC"/>
    <w:rsid w:val="00CB5DDB"/>
    <w:rsid w:val="00CB7CF0"/>
    <w:rsid w:val="00CC3B3C"/>
    <w:rsid w:val="00CD109F"/>
    <w:rsid w:val="00CD3EB6"/>
    <w:rsid w:val="00CD51E4"/>
    <w:rsid w:val="00CE251E"/>
    <w:rsid w:val="00CE4A8A"/>
    <w:rsid w:val="00CF1EAF"/>
    <w:rsid w:val="00CF5D3F"/>
    <w:rsid w:val="00D01D7D"/>
    <w:rsid w:val="00D05878"/>
    <w:rsid w:val="00D05C12"/>
    <w:rsid w:val="00D148FA"/>
    <w:rsid w:val="00D21CFA"/>
    <w:rsid w:val="00D21FA8"/>
    <w:rsid w:val="00D25B0A"/>
    <w:rsid w:val="00D3592B"/>
    <w:rsid w:val="00D37D71"/>
    <w:rsid w:val="00D40928"/>
    <w:rsid w:val="00D414E0"/>
    <w:rsid w:val="00D5519F"/>
    <w:rsid w:val="00D62A27"/>
    <w:rsid w:val="00D663D0"/>
    <w:rsid w:val="00D672BF"/>
    <w:rsid w:val="00D72F18"/>
    <w:rsid w:val="00D748D2"/>
    <w:rsid w:val="00D80F8C"/>
    <w:rsid w:val="00D81083"/>
    <w:rsid w:val="00D81A7B"/>
    <w:rsid w:val="00D8379D"/>
    <w:rsid w:val="00D83B76"/>
    <w:rsid w:val="00D8768A"/>
    <w:rsid w:val="00D92A22"/>
    <w:rsid w:val="00D95A3B"/>
    <w:rsid w:val="00DA2BD1"/>
    <w:rsid w:val="00DA4616"/>
    <w:rsid w:val="00DB7ED6"/>
    <w:rsid w:val="00DC02BF"/>
    <w:rsid w:val="00DC11A0"/>
    <w:rsid w:val="00DC5ADF"/>
    <w:rsid w:val="00DC68DE"/>
    <w:rsid w:val="00DD0277"/>
    <w:rsid w:val="00DD0F32"/>
    <w:rsid w:val="00DD163C"/>
    <w:rsid w:val="00DD2659"/>
    <w:rsid w:val="00DD635C"/>
    <w:rsid w:val="00DE2DB2"/>
    <w:rsid w:val="00DE65E7"/>
    <w:rsid w:val="00DF3A47"/>
    <w:rsid w:val="00DF79FA"/>
    <w:rsid w:val="00E07891"/>
    <w:rsid w:val="00E07CC4"/>
    <w:rsid w:val="00E07FFA"/>
    <w:rsid w:val="00E11370"/>
    <w:rsid w:val="00E11AB6"/>
    <w:rsid w:val="00E14891"/>
    <w:rsid w:val="00E1677E"/>
    <w:rsid w:val="00E17BEE"/>
    <w:rsid w:val="00E20215"/>
    <w:rsid w:val="00E20841"/>
    <w:rsid w:val="00E21841"/>
    <w:rsid w:val="00E24EA3"/>
    <w:rsid w:val="00E27830"/>
    <w:rsid w:val="00E3425D"/>
    <w:rsid w:val="00E40846"/>
    <w:rsid w:val="00E43306"/>
    <w:rsid w:val="00E45220"/>
    <w:rsid w:val="00E47AC3"/>
    <w:rsid w:val="00E47C21"/>
    <w:rsid w:val="00E54B3A"/>
    <w:rsid w:val="00E54F43"/>
    <w:rsid w:val="00E55C9D"/>
    <w:rsid w:val="00E63E44"/>
    <w:rsid w:val="00E67ADB"/>
    <w:rsid w:val="00E76D92"/>
    <w:rsid w:val="00E778E8"/>
    <w:rsid w:val="00E818EB"/>
    <w:rsid w:val="00E81AB2"/>
    <w:rsid w:val="00E84B55"/>
    <w:rsid w:val="00E87255"/>
    <w:rsid w:val="00E91E6D"/>
    <w:rsid w:val="00E9510C"/>
    <w:rsid w:val="00E96503"/>
    <w:rsid w:val="00EA05D0"/>
    <w:rsid w:val="00EA1354"/>
    <w:rsid w:val="00EA2B9E"/>
    <w:rsid w:val="00EB3C0E"/>
    <w:rsid w:val="00EB7ADE"/>
    <w:rsid w:val="00EC3106"/>
    <w:rsid w:val="00EE00BE"/>
    <w:rsid w:val="00EE0319"/>
    <w:rsid w:val="00EE37C4"/>
    <w:rsid w:val="00EE661D"/>
    <w:rsid w:val="00EF1419"/>
    <w:rsid w:val="00F00A4E"/>
    <w:rsid w:val="00F05308"/>
    <w:rsid w:val="00F06928"/>
    <w:rsid w:val="00F07995"/>
    <w:rsid w:val="00F127EE"/>
    <w:rsid w:val="00F149F3"/>
    <w:rsid w:val="00F1685B"/>
    <w:rsid w:val="00F26A74"/>
    <w:rsid w:val="00F31266"/>
    <w:rsid w:val="00F43D43"/>
    <w:rsid w:val="00F4764D"/>
    <w:rsid w:val="00F50637"/>
    <w:rsid w:val="00F51211"/>
    <w:rsid w:val="00F513E2"/>
    <w:rsid w:val="00F54F77"/>
    <w:rsid w:val="00F564E8"/>
    <w:rsid w:val="00F570F3"/>
    <w:rsid w:val="00F57680"/>
    <w:rsid w:val="00F63533"/>
    <w:rsid w:val="00F67B67"/>
    <w:rsid w:val="00F849EC"/>
    <w:rsid w:val="00F87FA4"/>
    <w:rsid w:val="00F915D6"/>
    <w:rsid w:val="00F95011"/>
    <w:rsid w:val="00F9502B"/>
    <w:rsid w:val="00FA207A"/>
    <w:rsid w:val="00FA4500"/>
    <w:rsid w:val="00FB02A8"/>
    <w:rsid w:val="00FC0E3D"/>
    <w:rsid w:val="00FC22DA"/>
    <w:rsid w:val="00FC2A1B"/>
    <w:rsid w:val="00FC62B2"/>
    <w:rsid w:val="00FC77B1"/>
    <w:rsid w:val="00FD214E"/>
    <w:rsid w:val="00FD2284"/>
    <w:rsid w:val="00FD5797"/>
    <w:rsid w:val="00FE2EAA"/>
    <w:rsid w:val="00FE43D4"/>
    <w:rsid w:val="00FE4D30"/>
    <w:rsid w:val="00FF04F3"/>
    <w:rsid w:val="00FF0F4F"/>
    <w:rsid w:val="00FF1BBC"/>
    <w:rsid w:val="00FF3F60"/>
    <w:rsid w:val="00FF5D87"/>
    <w:rsid w:val="00FF6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0"/>
    <o:shapelayout v:ext="edit">
      <o:idmap v:ext="edit" data="1"/>
    </o:shapelayout>
  </w:shapeDefaults>
  <w:doNotEmbedSmartTags/>
  <w:decimalSymbol w:val="."/>
  <w:listSeparator w:val=","/>
  <w14:docId w14:val="22917265"/>
  <w15:docId w15:val="{924F17E4-AA89-4B16-AE24-83D58335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92B"/>
    <w:rPr>
      <w:rFonts w:ascii="Arial" w:hAnsi="Arial"/>
      <w:lang w:eastAsia="en-US" w:bidi="he-IL"/>
    </w:rPr>
  </w:style>
  <w:style w:type="paragraph" w:styleId="Heading1">
    <w:name w:val="heading 1"/>
    <w:basedOn w:val="ACMAHeading1"/>
    <w:next w:val="ACMABodyText"/>
    <w:qFormat/>
    <w:rsid w:val="00367420"/>
    <w:pPr>
      <w:outlineLvl w:val="0"/>
    </w:pPr>
    <w:rPr>
      <w:rFonts w:cs="Arial"/>
      <w:bCs/>
    </w:rPr>
  </w:style>
  <w:style w:type="paragraph" w:styleId="Heading2">
    <w:name w:val="heading 2"/>
    <w:basedOn w:val="Normal"/>
    <w:next w:val="Normal"/>
    <w:qFormat/>
    <w:rsid w:val="00C63C44"/>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qFormat/>
    <w:rsid w:val="00C63C44"/>
    <w:pPr>
      <w:keepNext/>
      <w:spacing w:before="240" w:after="60"/>
      <w:outlineLvl w:val="2"/>
    </w:pPr>
    <w:rPr>
      <w:rFonts w:cs="Arial"/>
      <w:b/>
      <w:bCs/>
      <w:sz w:val="24"/>
      <w:szCs w:val="24"/>
      <w:lang w:eastAsia="en-AU" w:bidi="ar-SA"/>
    </w:rPr>
  </w:style>
  <w:style w:type="paragraph" w:styleId="Heading4">
    <w:name w:val="heading 4"/>
    <w:basedOn w:val="Normal"/>
    <w:next w:val="Normal"/>
    <w:qFormat/>
    <w:rsid w:val="009C5367"/>
    <w:pPr>
      <w:keepNext/>
      <w:spacing w:before="240" w:after="60"/>
      <w:outlineLvl w:val="3"/>
    </w:pPr>
    <w:rPr>
      <w:rFonts w:ascii="Times New Roman" w:hAnsi="Times New Roman"/>
      <w:b/>
      <w:bCs/>
      <w:sz w:val="28"/>
      <w:szCs w:val="28"/>
      <w:lang w:eastAsia="en-AU" w:bidi="ar-SA"/>
    </w:rPr>
  </w:style>
  <w:style w:type="paragraph" w:styleId="Heading5">
    <w:name w:val="heading 5"/>
    <w:basedOn w:val="Normal"/>
    <w:next w:val="Normal"/>
    <w:qFormat/>
    <w:rsid w:val="009C5367"/>
    <w:pPr>
      <w:spacing w:before="240" w:after="60"/>
      <w:outlineLvl w:val="4"/>
    </w:pPr>
    <w:rPr>
      <w:rFonts w:ascii="Times New Roman" w:hAnsi="Times New Roman"/>
      <w:b/>
      <w:bCs/>
      <w:i/>
      <w:iCs/>
      <w:sz w:val="26"/>
      <w:szCs w:val="26"/>
      <w:lang w:eastAsia="en-AU" w:bidi="ar-SA"/>
    </w:rPr>
  </w:style>
  <w:style w:type="paragraph" w:styleId="Heading6">
    <w:name w:val="heading 6"/>
    <w:basedOn w:val="Normal"/>
    <w:next w:val="Normal"/>
    <w:qFormat/>
    <w:rsid w:val="009C5367"/>
    <w:pPr>
      <w:spacing w:before="240" w:after="60"/>
      <w:outlineLvl w:val="5"/>
    </w:pPr>
    <w:rPr>
      <w:rFonts w:ascii="Times New Roman" w:hAnsi="Times New Roman"/>
      <w:b/>
      <w:bCs/>
      <w:sz w:val="22"/>
      <w:szCs w:val="22"/>
      <w:lang w:eastAsia="en-AU" w:bidi="ar-SA"/>
    </w:rPr>
  </w:style>
  <w:style w:type="paragraph" w:styleId="Heading7">
    <w:name w:val="heading 7"/>
    <w:basedOn w:val="Normal"/>
    <w:next w:val="Normal"/>
    <w:qFormat/>
    <w:rsid w:val="009C5367"/>
    <w:pPr>
      <w:spacing w:before="240" w:after="60"/>
      <w:outlineLvl w:val="6"/>
    </w:pPr>
    <w:rPr>
      <w:rFonts w:ascii="Times New Roman" w:hAnsi="Times New Roman"/>
      <w:sz w:val="24"/>
      <w:szCs w:val="24"/>
      <w:lang w:eastAsia="en-AU" w:bidi="ar-SA"/>
    </w:rPr>
  </w:style>
  <w:style w:type="paragraph" w:styleId="Heading8">
    <w:name w:val="heading 8"/>
    <w:basedOn w:val="Normal"/>
    <w:next w:val="Normal"/>
    <w:qFormat/>
    <w:rsid w:val="009C5367"/>
    <w:pPr>
      <w:spacing w:before="240" w:after="60"/>
      <w:outlineLvl w:val="7"/>
    </w:pPr>
    <w:rPr>
      <w:rFonts w:ascii="Times New Roman" w:hAnsi="Times New Roman"/>
      <w:i/>
      <w:iCs/>
      <w:sz w:val="24"/>
      <w:szCs w:val="24"/>
      <w:lang w:eastAsia="en-AU" w:bidi="ar-SA"/>
    </w:rPr>
  </w:style>
  <w:style w:type="paragraph" w:styleId="Heading9">
    <w:name w:val="heading 9"/>
    <w:basedOn w:val="Normal"/>
    <w:next w:val="Normal"/>
    <w:qFormat/>
    <w:rsid w:val="009C5367"/>
    <w:pPr>
      <w:spacing w:before="240" w:after="60"/>
      <w:outlineLvl w:val="8"/>
    </w:pPr>
    <w:rPr>
      <w:rFonts w:cs="Arial"/>
      <w:sz w:val="22"/>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1"/>
    <w:rsid w:val="00367420"/>
    <w:pPr>
      <w:suppressAutoHyphens/>
      <w:spacing w:before="80" w:after="120" w:line="280" w:lineRule="atLeast"/>
    </w:pPr>
    <w:rPr>
      <w:snapToGrid w:val="0"/>
      <w:sz w:val="24"/>
      <w:lang w:eastAsia="en-US"/>
    </w:rPr>
  </w:style>
  <w:style w:type="paragraph" w:customStyle="1" w:styleId="ACMAHeading1">
    <w:name w:val="ACMA Heading 1"/>
    <w:next w:val="ACMABodyText"/>
    <w:rsid w:val="008D3613"/>
    <w:pPr>
      <w:keepNext/>
      <w:suppressAutoHyphens/>
      <w:spacing w:before="320"/>
      <w:outlineLvl w:val="1"/>
    </w:pPr>
    <w:rPr>
      <w:rFonts w:ascii="Arial" w:hAnsi="Arial"/>
      <w:b/>
      <w:sz w:val="32"/>
      <w:szCs w:val="32"/>
      <w:lang w:val="en-US" w:eastAsia="en-US"/>
    </w:rPr>
  </w:style>
  <w:style w:type="paragraph" w:customStyle="1" w:styleId="ACMABulletLevel1">
    <w:name w:val="ACMA Bullet Level 1"/>
    <w:rsid w:val="008D3613"/>
    <w:pPr>
      <w:numPr>
        <w:numId w:val="7"/>
      </w:numPr>
      <w:spacing w:after="120"/>
    </w:pPr>
    <w:rPr>
      <w:sz w:val="24"/>
      <w:lang w:eastAsia="en-US"/>
    </w:rPr>
  </w:style>
  <w:style w:type="paragraph" w:customStyle="1" w:styleId="ACMABulletLevel2">
    <w:name w:val="ACMA Bullet Level 2"/>
    <w:rsid w:val="00697F29"/>
    <w:pPr>
      <w:numPr>
        <w:numId w:val="8"/>
      </w:numPr>
      <w:tabs>
        <w:tab w:val="clear" w:pos="-31680"/>
        <w:tab w:val="num" w:pos="1008"/>
      </w:tabs>
      <w:spacing w:after="120"/>
      <w:ind w:left="1368" w:hanging="360"/>
    </w:pPr>
    <w:rPr>
      <w:sz w:val="24"/>
      <w:lang w:eastAsia="en-US"/>
    </w:rPr>
  </w:style>
  <w:style w:type="paragraph" w:customStyle="1" w:styleId="ACMAChapterHeading">
    <w:name w:val="ACMA Chapter Heading"/>
    <w:next w:val="ACMABodyText"/>
    <w:rsid w:val="008D3613"/>
    <w:pPr>
      <w:keepNext/>
      <w:suppressAutoHyphens/>
      <w:spacing w:before="2160" w:after="480"/>
      <w:outlineLvl w:val="0"/>
    </w:pPr>
    <w:rPr>
      <w:sz w:val="56"/>
      <w:szCs w:val="56"/>
      <w:lang w:eastAsia="en-US"/>
    </w:rPr>
  </w:style>
  <w:style w:type="paragraph" w:customStyle="1" w:styleId="ACMAConclusion">
    <w:name w:val="ACMA Conclusion"/>
    <w:rsid w:val="00367420"/>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8D3613"/>
    <w:pPr>
      <w:spacing w:before="2160" w:after="480"/>
    </w:pPr>
    <w:rPr>
      <w:sz w:val="56"/>
      <w:szCs w:val="56"/>
      <w:lang w:val="en-US" w:eastAsia="en-US"/>
    </w:rPr>
  </w:style>
  <w:style w:type="paragraph" w:customStyle="1" w:styleId="ACMAFooterEven">
    <w:name w:val="ACMA Footer (Even)"/>
    <w:rsid w:val="008D3613"/>
    <w:pPr>
      <w:pBdr>
        <w:top w:val="single" w:sz="2" w:space="4" w:color="auto"/>
      </w:pBdr>
      <w:tabs>
        <w:tab w:val="right" w:pos="8959"/>
      </w:tabs>
    </w:pPr>
    <w:rPr>
      <w:lang w:eastAsia="en-US"/>
    </w:rPr>
  </w:style>
  <w:style w:type="paragraph" w:customStyle="1" w:styleId="ACMAFooterOdd">
    <w:name w:val="ACMA Footer (Odd)"/>
    <w:rsid w:val="008D3613"/>
    <w:pPr>
      <w:pBdr>
        <w:top w:val="single" w:sz="2" w:space="4" w:color="auto"/>
      </w:pBdr>
      <w:tabs>
        <w:tab w:val="right" w:pos="8959"/>
      </w:tabs>
    </w:pPr>
    <w:rPr>
      <w:lang w:eastAsia="en-US"/>
    </w:rPr>
  </w:style>
  <w:style w:type="paragraph" w:customStyle="1" w:styleId="ACMAFootnote">
    <w:name w:val="ACMA Footnote"/>
    <w:rsid w:val="00367420"/>
    <w:pPr>
      <w:ind w:left="144" w:hanging="144"/>
    </w:pPr>
    <w:rPr>
      <w:sz w:val="16"/>
      <w:lang w:eastAsia="en-US"/>
    </w:rPr>
  </w:style>
  <w:style w:type="paragraph" w:customStyle="1" w:styleId="ACMAHeaderEven">
    <w:name w:val="ACMA Header (Even)"/>
    <w:rsid w:val="008D3613"/>
    <w:rPr>
      <w:i/>
      <w:lang w:val="en-US" w:eastAsia="en-US"/>
    </w:rPr>
  </w:style>
  <w:style w:type="paragraph" w:customStyle="1" w:styleId="ACMAHeaderOdd">
    <w:name w:val="ACMA Header (Odd)"/>
    <w:rsid w:val="008D3613"/>
    <w:pPr>
      <w:jc w:val="right"/>
    </w:pPr>
    <w:rPr>
      <w:i/>
      <w:lang w:val="en-US" w:eastAsia="en-US"/>
    </w:rPr>
  </w:style>
  <w:style w:type="paragraph" w:customStyle="1" w:styleId="ACMAHeading2">
    <w:name w:val="ACMA Heading 2"/>
    <w:next w:val="ACMABodyText"/>
    <w:rsid w:val="008D3613"/>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rsid w:val="008D3613"/>
    <w:pPr>
      <w:keepNext/>
      <w:suppressAutoHyphens/>
      <w:spacing w:before="240"/>
      <w:outlineLvl w:val="3"/>
    </w:pPr>
    <w:rPr>
      <w:rFonts w:ascii="Arial" w:hAnsi="Arial"/>
      <w:b/>
      <w:sz w:val="24"/>
      <w:lang w:val="en-US" w:eastAsia="en-US"/>
    </w:rPr>
  </w:style>
  <w:style w:type="paragraph" w:customStyle="1" w:styleId="ACMAHeading4">
    <w:name w:val="ACMA Heading 4"/>
    <w:next w:val="ACMABodyText"/>
    <w:rsid w:val="008D3613"/>
    <w:pPr>
      <w:keepNext/>
      <w:suppressAutoHyphens/>
      <w:spacing w:before="80"/>
      <w:outlineLvl w:val="4"/>
    </w:pPr>
    <w:rPr>
      <w:rFonts w:ascii="Arial" w:hAnsi="Arial"/>
      <w:b/>
      <w:i/>
      <w:lang w:eastAsia="en-US"/>
    </w:rPr>
  </w:style>
  <w:style w:type="paragraph" w:customStyle="1" w:styleId="ACMAletteredlist">
    <w:name w:val="ACMA lettered list"/>
    <w:rsid w:val="00367420"/>
    <w:pPr>
      <w:numPr>
        <w:numId w:val="1"/>
      </w:numPr>
      <w:tabs>
        <w:tab w:val="clear" w:pos="360"/>
      </w:tabs>
      <w:spacing w:before="20" w:after="20"/>
    </w:pPr>
    <w:rPr>
      <w:sz w:val="24"/>
      <w:lang w:eastAsia="en-US"/>
    </w:rPr>
  </w:style>
  <w:style w:type="paragraph" w:customStyle="1" w:styleId="ACMANumberedList">
    <w:name w:val="ACMA Numbered List"/>
    <w:rsid w:val="00367420"/>
    <w:pPr>
      <w:numPr>
        <w:numId w:val="2"/>
      </w:numPr>
      <w:spacing w:before="20" w:after="20"/>
    </w:pPr>
    <w:rPr>
      <w:sz w:val="24"/>
      <w:lang w:eastAsia="en-US"/>
    </w:rPr>
  </w:style>
  <w:style w:type="paragraph" w:customStyle="1" w:styleId="ACMAQuote">
    <w:name w:val="ACMA Quote"/>
    <w:rsid w:val="00367420"/>
    <w:pPr>
      <w:spacing w:line="240" w:lineRule="atLeast"/>
      <w:ind w:left="562" w:right="562"/>
    </w:pPr>
    <w:rPr>
      <w:sz w:val="22"/>
      <w:lang w:eastAsia="en-US"/>
    </w:rPr>
  </w:style>
  <w:style w:type="paragraph" w:customStyle="1" w:styleId="ACMAReportDate">
    <w:name w:val="ACMA Report Date"/>
    <w:rsid w:val="008D3613"/>
    <w:rPr>
      <w:snapToGrid w:val="0"/>
      <w:lang w:eastAsia="en-US"/>
    </w:rPr>
  </w:style>
  <w:style w:type="paragraph" w:customStyle="1" w:styleId="ACMAReportImprint">
    <w:name w:val="ACMA Report Imprint"/>
    <w:rsid w:val="008D3613"/>
    <w:pPr>
      <w:spacing w:after="80"/>
    </w:pPr>
    <w:rPr>
      <w:rFonts w:cs="Arial"/>
      <w:lang w:eastAsia="en-US"/>
    </w:rPr>
  </w:style>
  <w:style w:type="paragraph" w:customStyle="1" w:styleId="ACMAReportSubtitle">
    <w:name w:val="ACMA Report Subtitle"/>
    <w:rsid w:val="008D3613"/>
    <w:pPr>
      <w:spacing w:before="1440"/>
    </w:pPr>
    <w:rPr>
      <w:sz w:val="36"/>
      <w:lang w:eastAsia="en-US"/>
    </w:rPr>
  </w:style>
  <w:style w:type="paragraph" w:customStyle="1" w:styleId="ACMAReportTitle">
    <w:name w:val="ACMA Report Title"/>
    <w:rsid w:val="008D3613"/>
    <w:pPr>
      <w:spacing w:before="1980"/>
    </w:pPr>
    <w:rPr>
      <w:sz w:val="80"/>
      <w:lang w:eastAsia="en-US"/>
    </w:rPr>
  </w:style>
  <w:style w:type="paragraph" w:customStyle="1" w:styleId="ACMATableBullet">
    <w:name w:val="ACMA Table Bullet"/>
    <w:rsid w:val="008D3613"/>
    <w:pPr>
      <w:numPr>
        <w:numId w:val="9"/>
      </w:numPr>
      <w:tabs>
        <w:tab w:val="clear" w:pos="720"/>
        <w:tab w:val="num" w:pos="1008"/>
      </w:tabs>
      <w:spacing w:before="40" w:after="40"/>
      <w:ind w:left="1008"/>
    </w:pPr>
    <w:rPr>
      <w:rFonts w:ascii="Arial" w:hAnsi="Arial"/>
      <w:lang w:eastAsia="en-US"/>
    </w:rPr>
  </w:style>
  <w:style w:type="paragraph" w:customStyle="1" w:styleId="ACMATableCaption">
    <w:name w:val="ACMA Table Caption"/>
    <w:rsid w:val="00367420"/>
    <w:pPr>
      <w:spacing w:after="120"/>
    </w:pPr>
    <w:rPr>
      <w:rFonts w:ascii="Arial" w:hAnsi="Arial"/>
      <w:lang w:eastAsia="en-US"/>
    </w:rPr>
  </w:style>
  <w:style w:type="paragraph" w:customStyle="1" w:styleId="ACMATableHeading">
    <w:name w:val="ACMA Table Heading"/>
    <w:rsid w:val="00367420"/>
    <w:pPr>
      <w:spacing w:before="40" w:after="40"/>
    </w:pPr>
    <w:rPr>
      <w:rFonts w:ascii="Arial" w:hAnsi="Arial"/>
      <w:b/>
      <w:lang w:eastAsia="en-US"/>
    </w:rPr>
  </w:style>
  <w:style w:type="paragraph" w:customStyle="1" w:styleId="ACMATableNumber">
    <w:name w:val="ACMA Table Number"/>
    <w:rsid w:val="00367420"/>
    <w:pPr>
      <w:spacing w:before="160"/>
    </w:pPr>
    <w:rPr>
      <w:rFonts w:ascii="Arial" w:hAnsi="Arial"/>
      <w:b/>
      <w:lang w:eastAsia="en-US"/>
    </w:rPr>
  </w:style>
  <w:style w:type="paragraph" w:customStyle="1" w:styleId="ACMATableText">
    <w:name w:val="ACMA Table Text"/>
    <w:rsid w:val="00367420"/>
    <w:pPr>
      <w:spacing w:before="40" w:after="40"/>
    </w:pPr>
    <w:rPr>
      <w:rFonts w:ascii="Arial" w:hAnsi="Arial"/>
      <w:lang w:eastAsia="en-US"/>
    </w:rPr>
  </w:style>
  <w:style w:type="paragraph" w:customStyle="1" w:styleId="LegislationLvl1">
    <w:name w:val="Legislation Lvl 1"/>
    <w:rsid w:val="00367420"/>
    <w:pPr>
      <w:numPr>
        <w:numId w:val="3"/>
      </w:numPr>
      <w:tabs>
        <w:tab w:val="clear" w:pos="1080"/>
        <w:tab w:val="num" w:pos="851"/>
      </w:tabs>
      <w:ind w:left="850" w:hanging="493"/>
    </w:pPr>
    <w:rPr>
      <w:bCs/>
      <w:sz w:val="22"/>
      <w:lang w:eastAsia="en-US"/>
    </w:rPr>
  </w:style>
  <w:style w:type="paragraph" w:customStyle="1" w:styleId="LegislationLvl2">
    <w:name w:val="Legislation Lvl 2"/>
    <w:rsid w:val="00367420"/>
    <w:pPr>
      <w:numPr>
        <w:ilvl w:val="1"/>
        <w:numId w:val="4"/>
      </w:numPr>
      <w:tabs>
        <w:tab w:val="clear" w:pos="1440"/>
        <w:tab w:val="num" w:pos="1418"/>
      </w:tabs>
      <w:ind w:left="1418" w:hanging="567"/>
    </w:pPr>
    <w:rPr>
      <w:sz w:val="22"/>
      <w:lang w:eastAsia="en-US"/>
    </w:rPr>
  </w:style>
  <w:style w:type="paragraph" w:customStyle="1" w:styleId="LegislationLvl3">
    <w:name w:val="Legislation Lvl 3"/>
    <w:rsid w:val="00367420"/>
    <w:pPr>
      <w:numPr>
        <w:ilvl w:val="2"/>
        <w:numId w:val="5"/>
      </w:numPr>
      <w:tabs>
        <w:tab w:val="clear" w:pos="2340"/>
        <w:tab w:val="num" w:pos="1985"/>
      </w:tabs>
      <w:ind w:left="1985" w:hanging="567"/>
    </w:pPr>
    <w:rPr>
      <w:sz w:val="22"/>
      <w:lang w:eastAsia="en-US"/>
    </w:rPr>
  </w:style>
  <w:style w:type="paragraph" w:customStyle="1" w:styleId="LegislationLvl4">
    <w:name w:val="Legislation Lvl 4"/>
    <w:rsid w:val="00367420"/>
    <w:pPr>
      <w:numPr>
        <w:ilvl w:val="3"/>
        <w:numId w:val="6"/>
      </w:numPr>
      <w:tabs>
        <w:tab w:val="clear" w:pos="2700"/>
        <w:tab w:val="num" w:pos="2694"/>
      </w:tabs>
      <w:ind w:left="2694" w:hanging="426"/>
    </w:pPr>
    <w:rPr>
      <w:sz w:val="22"/>
      <w:lang w:eastAsia="en-US"/>
    </w:rPr>
  </w:style>
  <w:style w:type="paragraph" w:styleId="FootnoteText">
    <w:name w:val="footnote text"/>
    <w:aliases w:val="ACMA Footnote Text"/>
    <w:rsid w:val="00367420"/>
    <w:pPr>
      <w:tabs>
        <w:tab w:val="left" w:pos="284"/>
      </w:tabs>
      <w:ind w:left="288" w:hanging="288"/>
    </w:pPr>
    <w:rPr>
      <w:lang w:eastAsia="en-US"/>
    </w:rPr>
  </w:style>
  <w:style w:type="paragraph" w:customStyle="1" w:styleId="Pre-NumberedLegisLvl1">
    <w:name w:val="Pre-Numbered Legis Lvl 1"/>
    <w:rsid w:val="00367420"/>
    <w:pPr>
      <w:ind w:left="850" w:hanging="493"/>
    </w:pPr>
    <w:rPr>
      <w:sz w:val="22"/>
      <w:lang w:eastAsia="en-US"/>
    </w:rPr>
  </w:style>
  <w:style w:type="paragraph" w:customStyle="1" w:styleId="Pre-NumberedLegisLvl2">
    <w:name w:val="Pre-Numbered Legis Lvl 2"/>
    <w:rsid w:val="00367420"/>
    <w:pPr>
      <w:ind w:left="1367" w:hanging="516"/>
    </w:pPr>
    <w:rPr>
      <w:sz w:val="22"/>
      <w:lang w:eastAsia="en-US"/>
    </w:rPr>
  </w:style>
  <w:style w:type="paragraph" w:customStyle="1" w:styleId="Pre-NumberedLegisLvl3">
    <w:name w:val="Pre-Numbered Legis Lvl 3"/>
    <w:rsid w:val="00367420"/>
    <w:pPr>
      <w:ind w:left="1985" w:hanging="567"/>
    </w:pPr>
    <w:rPr>
      <w:sz w:val="22"/>
      <w:lang w:eastAsia="en-US"/>
    </w:rPr>
  </w:style>
  <w:style w:type="paragraph" w:customStyle="1" w:styleId="Pre-NumberedLegisLvl4">
    <w:name w:val="Pre-Numbered Legis Lvl 4"/>
    <w:rsid w:val="00367420"/>
    <w:pPr>
      <w:ind w:left="2721" w:hanging="680"/>
    </w:pPr>
    <w:rPr>
      <w:sz w:val="22"/>
      <w:lang w:eastAsia="en-US"/>
    </w:rPr>
  </w:style>
  <w:style w:type="paragraph" w:styleId="TOC1">
    <w:name w:val="toc 1"/>
    <w:aliases w:val="ACMA 1"/>
    <w:rsid w:val="008D3613"/>
    <w:pPr>
      <w:spacing w:before="360"/>
    </w:pPr>
    <w:rPr>
      <w:rFonts w:ascii="Arial" w:hAnsi="Arial"/>
      <w:b/>
      <w:bCs/>
      <w:caps/>
      <w:szCs w:val="28"/>
      <w:lang w:eastAsia="en-US"/>
    </w:rPr>
  </w:style>
  <w:style w:type="paragraph" w:styleId="TOC2">
    <w:name w:val="toc 2"/>
    <w:aliases w:val="ACMA 2"/>
    <w:rsid w:val="008D3613"/>
    <w:pPr>
      <w:spacing w:before="240"/>
    </w:pPr>
    <w:rPr>
      <w:bCs/>
      <w:sz w:val="22"/>
      <w:szCs w:val="24"/>
      <w:lang w:eastAsia="en-US"/>
    </w:rPr>
  </w:style>
  <w:style w:type="paragraph" w:styleId="TOC3">
    <w:name w:val="toc 3"/>
    <w:aliases w:val="ACMA 3"/>
    <w:rsid w:val="008D3613"/>
    <w:pPr>
      <w:ind w:left="198"/>
    </w:pPr>
    <w:rPr>
      <w:sz w:val="22"/>
      <w:szCs w:val="24"/>
      <w:lang w:eastAsia="en-US"/>
    </w:rPr>
  </w:style>
  <w:style w:type="character" w:styleId="Hyperlink">
    <w:name w:val="Hyperlink"/>
    <w:basedOn w:val="DefaultParagraphFont"/>
    <w:rsid w:val="00367420"/>
    <w:rPr>
      <w:color w:val="0000FF"/>
      <w:u w:val="single"/>
    </w:rPr>
  </w:style>
  <w:style w:type="table" w:styleId="TableGrid">
    <w:name w:val="Table Grid"/>
    <w:basedOn w:val="TableNormal"/>
    <w:rsid w:val="005051EC"/>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ImprintLast">
    <w:name w:val="ACMA Report Imprint Last"/>
    <w:basedOn w:val="ACMAReportImprint"/>
    <w:rsid w:val="008D3613"/>
    <w:pPr>
      <w:spacing w:before="480" w:after="420"/>
    </w:pPr>
  </w:style>
  <w:style w:type="paragraph" w:styleId="Footer">
    <w:name w:val="footer"/>
    <w:basedOn w:val="Normal"/>
    <w:link w:val="FooterChar"/>
    <w:uiPriority w:val="99"/>
    <w:rsid w:val="008D3613"/>
    <w:pPr>
      <w:tabs>
        <w:tab w:val="center" w:pos="4320"/>
        <w:tab w:val="right" w:pos="8640"/>
      </w:tabs>
    </w:pPr>
  </w:style>
  <w:style w:type="character" w:styleId="PageNumber">
    <w:name w:val="page number"/>
    <w:basedOn w:val="DefaultParagraphFont"/>
    <w:rsid w:val="00166B3A"/>
    <w:rPr>
      <w:rFonts w:ascii="Times New Roman" w:hAnsi="Times New Roman"/>
      <w:sz w:val="20"/>
      <w:szCs w:val="20"/>
    </w:rPr>
  </w:style>
  <w:style w:type="character" w:styleId="FootnoteReference">
    <w:name w:val="footnote reference"/>
    <w:basedOn w:val="DefaultParagraphFont"/>
    <w:semiHidden/>
    <w:rsid w:val="00697F29"/>
    <w:rPr>
      <w:vertAlign w:val="superscript"/>
    </w:rPr>
  </w:style>
  <w:style w:type="paragraph" w:styleId="Header">
    <w:name w:val="header"/>
    <w:basedOn w:val="Normal"/>
    <w:rsid w:val="000E3AD3"/>
    <w:pPr>
      <w:tabs>
        <w:tab w:val="center" w:pos="4153"/>
        <w:tab w:val="right" w:pos="8306"/>
      </w:tabs>
    </w:pPr>
  </w:style>
  <w:style w:type="paragraph" w:styleId="BalloonText">
    <w:name w:val="Balloon Text"/>
    <w:basedOn w:val="Normal"/>
    <w:semiHidden/>
    <w:rsid w:val="00DD2659"/>
    <w:rPr>
      <w:rFonts w:ascii="Tahoma" w:hAnsi="Tahoma" w:cs="Tahoma"/>
      <w:sz w:val="16"/>
      <w:szCs w:val="16"/>
    </w:rPr>
  </w:style>
  <w:style w:type="character" w:styleId="CommentReference">
    <w:name w:val="annotation reference"/>
    <w:basedOn w:val="DefaultParagraphFont"/>
    <w:semiHidden/>
    <w:rsid w:val="00DC02BF"/>
    <w:rPr>
      <w:sz w:val="16"/>
      <w:szCs w:val="16"/>
    </w:rPr>
  </w:style>
  <w:style w:type="paragraph" w:styleId="CommentText">
    <w:name w:val="annotation text"/>
    <w:basedOn w:val="Normal"/>
    <w:link w:val="CommentTextChar"/>
    <w:semiHidden/>
    <w:rsid w:val="00DC02BF"/>
  </w:style>
  <w:style w:type="paragraph" w:styleId="CommentSubject">
    <w:name w:val="annotation subject"/>
    <w:basedOn w:val="CommentText"/>
    <w:next w:val="CommentText"/>
    <w:semiHidden/>
    <w:rsid w:val="00DC02BF"/>
    <w:rPr>
      <w:b/>
      <w:bCs/>
    </w:rPr>
  </w:style>
  <w:style w:type="character" w:customStyle="1" w:styleId="CharSectno">
    <w:name w:val="CharSectno"/>
    <w:basedOn w:val="DefaultParagraphFont"/>
    <w:rsid w:val="00C63C44"/>
  </w:style>
  <w:style w:type="paragraph" w:customStyle="1" w:styleId="Dotpoints">
    <w:name w:val="Dot points"/>
    <w:basedOn w:val="Normal"/>
    <w:rsid w:val="00C63C44"/>
    <w:pPr>
      <w:numPr>
        <w:numId w:val="15"/>
      </w:numPr>
    </w:pPr>
    <w:rPr>
      <w:rFonts w:ascii="Times New Roman" w:hAnsi="Times New Roman"/>
      <w:sz w:val="24"/>
      <w:szCs w:val="24"/>
      <w:lang w:eastAsia="en-AU" w:bidi="ar-SA"/>
    </w:rPr>
  </w:style>
  <w:style w:type="character" w:customStyle="1" w:styleId="BodyText-Italics">
    <w:name w:val="Body Text - Italics"/>
    <w:basedOn w:val="DefaultParagraphFont"/>
    <w:rsid w:val="00E47AC3"/>
    <w:rPr>
      <w:rFonts w:cs="Times New Roman"/>
      <w:i/>
    </w:rPr>
  </w:style>
  <w:style w:type="paragraph" w:customStyle="1" w:styleId="List-Bullet1">
    <w:name w:val="List - Bullet 1"/>
    <w:basedOn w:val="BodyText"/>
    <w:rsid w:val="00E47AC3"/>
    <w:pPr>
      <w:numPr>
        <w:numId w:val="19"/>
      </w:numPr>
    </w:pPr>
    <w:rPr>
      <w:sz w:val="22"/>
      <w:szCs w:val="22"/>
      <w:lang w:bidi="ar-SA"/>
    </w:rPr>
  </w:style>
  <w:style w:type="paragraph" w:customStyle="1" w:styleId="List-Bullet2">
    <w:name w:val="List - Bullet 2"/>
    <w:basedOn w:val="BodyText"/>
    <w:rsid w:val="00E47AC3"/>
    <w:pPr>
      <w:numPr>
        <w:ilvl w:val="1"/>
        <w:numId w:val="19"/>
      </w:numPr>
    </w:pPr>
    <w:rPr>
      <w:sz w:val="22"/>
      <w:szCs w:val="22"/>
      <w:lang w:bidi="ar-SA"/>
    </w:rPr>
  </w:style>
  <w:style w:type="paragraph" w:customStyle="1" w:styleId="List-Bullet3">
    <w:name w:val="List - Bullet 3"/>
    <w:basedOn w:val="BodyText"/>
    <w:rsid w:val="00E47AC3"/>
    <w:pPr>
      <w:numPr>
        <w:ilvl w:val="2"/>
        <w:numId w:val="19"/>
      </w:numPr>
    </w:pPr>
    <w:rPr>
      <w:sz w:val="22"/>
      <w:szCs w:val="22"/>
      <w:lang w:bidi="ar-SA"/>
    </w:rPr>
  </w:style>
  <w:style w:type="paragraph" w:styleId="BodyText">
    <w:name w:val="Body Text"/>
    <w:basedOn w:val="Normal"/>
    <w:rsid w:val="00E47AC3"/>
    <w:pPr>
      <w:spacing w:after="120"/>
    </w:pPr>
  </w:style>
  <w:style w:type="character" w:customStyle="1" w:styleId="ACMABodyTextChar1">
    <w:name w:val="ACMA Body Text Char1"/>
    <w:basedOn w:val="DefaultParagraphFont"/>
    <w:link w:val="ACMABodyText"/>
    <w:rsid w:val="00086FE0"/>
    <w:rPr>
      <w:snapToGrid w:val="0"/>
      <w:sz w:val="24"/>
      <w:lang w:val="en-AU" w:eastAsia="en-US" w:bidi="ar-SA"/>
    </w:rPr>
  </w:style>
  <w:style w:type="paragraph" w:customStyle="1" w:styleId="HeaderBoldEven">
    <w:name w:val="HeaderBoldEven"/>
    <w:basedOn w:val="Normal"/>
    <w:rsid w:val="009C5367"/>
    <w:pPr>
      <w:spacing w:before="120" w:after="60"/>
    </w:pPr>
    <w:rPr>
      <w:b/>
      <w:szCs w:val="24"/>
      <w:lang w:eastAsia="en-AU" w:bidi="ar-SA"/>
    </w:rPr>
  </w:style>
  <w:style w:type="paragraph" w:customStyle="1" w:styleId="HeaderBoldOdd">
    <w:name w:val="HeaderBoldOdd"/>
    <w:basedOn w:val="Normal"/>
    <w:rsid w:val="009C5367"/>
    <w:pPr>
      <w:spacing w:before="120" w:after="60"/>
      <w:jc w:val="right"/>
    </w:pPr>
    <w:rPr>
      <w:b/>
      <w:szCs w:val="24"/>
      <w:lang w:eastAsia="en-AU" w:bidi="ar-SA"/>
    </w:rPr>
  </w:style>
  <w:style w:type="paragraph" w:customStyle="1" w:styleId="HeaderLiteEven">
    <w:name w:val="HeaderLiteEven"/>
    <w:basedOn w:val="Normal"/>
    <w:rsid w:val="009C5367"/>
    <w:pPr>
      <w:tabs>
        <w:tab w:val="center" w:pos="3969"/>
        <w:tab w:val="right" w:pos="8505"/>
      </w:tabs>
      <w:spacing w:before="60"/>
    </w:pPr>
    <w:rPr>
      <w:sz w:val="18"/>
      <w:szCs w:val="24"/>
      <w:lang w:eastAsia="en-AU" w:bidi="ar-SA"/>
    </w:rPr>
  </w:style>
  <w:style w:type="paragraph" w:customStyle="1" w:styleId="HeaderContentsPage">
    <w:name w:val="HeaderContents&quot;Page&quot;"/>
    <w:basedOn w:val="Normal"/>
    <w:rsid w:val="009C5367"/>
    <w:pPr>
      <w:spacing w:before="120" w:after="120"/>
      <w:jc w:val="right"/>
    </w:pPr>
    <w:rPr>
      <w:szCs w:val="24"/>
      <w:lang w:eastAsia="en-AU" w:bidi="ar-SA"/>
    </w:rPr>
  </w:style>
  <w:style w:type="paragraph" w:customStyle="1" w:styleId="HeaderLiteOdd">
    <w:name w:val="HeaderLiteOdd"/>
    <w:basedOn w:val="Normal"/>
    <w:rsid w:val="009C5367"/>
    <w:pPr>
      <w:tabs>
        <w:tab w:val="center" w:pos="3969"/>
        <w:tab w:val="right" w:pos="8505"/>
      </w:tabs>
      <w:spacing w:before="60"/>
      <w:jc w:val="right"/>
    </w:pPr>
    <w:rPr>
      <w:sz w:val="18"/>
      <w:szCs w:val="24"/>
      <w:lang w:eastAsia="en-AU" w:bidi="ar-SA"/>
    </w:rPr>
  </w:style>
  <w:style w:type="paragraph" w:customStyle="1" w:styleId="FooterDraft">
    <w:name w:val="FooterDraft"/>
    <w:basedOn w:val="Normal"/>
    <w:rsid w:val="009C5367"/>
    <w:pPr>
      <w:jc w:val="center"/>
    </w:pPr>
    <w:rPr>
      <w:b/>
      <w:sz w:val="40"/>
      <w:szCs w:val="24"/>
      <w:lang w:eastAsia="en-AU" w:bidi="ar-SA"/>
    </w:rPr>
  </w:style>
  <w:style w:type="paragraph" w:customStyle="1" w:styleId="FooterInfo">
    <w:name w:val="FooterInfo"/>
    <w:basedOn w:val="Normal"/>
    <w:rsid w:val="009C5367"/>
    <w:rPr>
      <w:sz w:val="12"/>
      <w:szCs w:val="24"/>
      <w:lang w:eastAsia="en-AU" w:bidi="ar-SA"/>
    </w:rPr>
  </w:style>
  <w:style w:type="numbering" w:styleId="111111">
    <w:name w:val="Outline List 2"/>
    <w:basedOn w:val="NoList"/>
    <w:rsid w:val="009C5367"/>
    <w:pPr>
      <w:numPr>
        <w:numId w:val="42"/>
      </w:numPr>
    </w:pPr>
  </w:style>
  <w:style w:type="numbering" w:styleId="1ai">
    <w:name w:val="Outline List 1"/>
    <w:basedOn w:val="NoList"/>
    <w:rsid w:val="009C5367"/>
    <w:pPr>
      <w:numPr>
        <w:numId w:val="43"/>
      </w:numPr>
    </w:pPr>
  </w:style>
  <w:style w:type="numbering" w:styleId="ArticleSection">
    <w:name w:val="Outline List 3"/>
    <w:basedOn w:val="NoList"/>
    <w:rsid w:val="009C5367"/>
    <w:pPr>
      <w:numPr>
        <w:numId w:val="41"/>
      </w:numPr>
    </w:pPr>
  </w:style>
  <w:style w:type="paragraph" w:styleId="BlockText">
    <w:name w:val="Block Text"/>
    <w:basedOn w:val="Normal"/>
    <w:rsid w:val="009C5367"/>
    <w:pPr>
      <w:spacing w:after="120"/>
      <w:ind w:left="1440" w:right="1440"/>
    </w:pPr>
    <w:rPr>
      <w:rFonts w:ascii="Times New Roman" w:hAnsi="Times New Roman"/>
      <w:sz w:val="24"/>
      <w:szCs w:val="24"/>
      <w:lang w:eastAsia="en-AU" w:bidi="ar-SA"/>
    </w:rPr>
  </w:style>
  <w:style w:type="paragraph" w:styleId="BodyText2">
    <w:name w:val="Body Text 2"/>
    <w:basedOn w:val="Normal"/>
    <w:rsid w:val="009C5367"/>
    <w:pPr>
      <w:spacing w:after="120" w:line="480" w:lineRule="auto"/>
    </w:pPr>
    <w:rPr>
      <w:rFonts w:ascii="Times New Roman" w:hAnsi="Times New Roman"/>
      <w:sz w:val="24"/>
      <w:szCs w:val="24"/>
      <w:lang w:eastAsia="en-AU" w:bidi="ar-SA"/>
    </w:rPr>
  </w:style>
  <w:style w:type="paragraph" w:styleId="BodyText3">
    <w:name w:val="Body Text 3"/>
    <w:basedOn w:val="Normal"/>
    <w:rsid w:val="009C5367"/>
    <w:pPr>
      <w:spacing w:after="120"/>
    </w:pPr>
    <w:rPr>
      <w:rFonts w:ascii="Times New Roman" w:hAnsi="Times New Roman"/>
      <w:sz w:val="16"/>
      <w:szCs w:val="16"/>
      <w:lang w:eastAsia="en-AU" w:bidi="ar-SA"/>
    </w:rPr>
  </w:style>
  <w:style w:type="paragraph" w:styleId="BodyTextFirstIndent">
    <w:name w:val="Body Text First Indent"/>
    <w:basedOn w:val="BodyText"/>
    <w:rsid w:val="009C5367"/>
    <w:pPr>
      <w:ind w:firstLine="210"/>
    </w:pPr>
    <w:rPr>
      <w:rFonts w:ascii="Times New Roman" w:hAnsi="Times New Roman"/>
      <w:sz w:val="24"/>
      <w:szCs w:val="24"/>
      <w:lang w:eastAsia="en-AU" w:bidi="ar-SA"/>
    </w:rPr>
  </w:style>
  <w:style w:type="paragraph" w:styleId="BodyTextIndent">
    <w:name w:val="Body Text Indent"/>
    <w:basedOn w:val="Normal"/>
    <w:rsid w:val="009C5367"/>
    <w:pPr>
      <w:spacing w:after="120"/>
      <w:ind w:left="283"/>
    </w:pPr>
    <w:rPr>
      <w:rFonts w:ascii="Times New Roman" w:hAnsi="Times New Roman"/>
      <w:sz w:val="24"/>
      <w:szCs w:val="24"/>
      <w:lang w:eastAsia="en-AU" w:bidi="ar-SA"/>
    </w:rPr>
  </w:style>
  <w:style w:type="paragraph" w:styleId="BodyTextFirstIndent2">
    <w:name w:val="Body Text First Indent 2"/>
    <w:basedOn w:val="BodyTextIndent"/>
    <w:rsid w:val="009C5367"/>
    <w:pPr>
      <w:ind w:firstLine="210"/>
    </w:pPr>
  </w:style>
  <w:style w:type="paragraph" w:styleId="BodyTextIndent2">
    <w:name w:val="Body Text Indent 2"/>
    <w:basedOn w:val="Normal"/>
    <w:rsid w:val="009C5367"/>
    <w:pPr>
      <w:spacing w:after="120" w:line="480" w:lineRule="auto"/>
      <w:ind w:left="283"/>
    </w:pPr>
    <w:rPr>
      <w:rFonts w:ascii="Times New Roman" w:hAnsi="Times New Roman"/>
      <w:sz w:val="24"/>
      <w:szCs w:val="24"/>
      <w:lang w:eastAsia="en-AU" w:bidi="ar-SA"/>
    </w:rPr>
  </w:style>
  <w:style w:type="paragraph" w:styleId="BodyTextIndent3">
    <w:name w:val="Body Text Indent 3"/>
    <w:basedOn w:val="Normal"/>
    <w:rsid w:val="009C5367"/>
    <w:pPr>
      <w:spacing w:after="120"/>
      <w:ind w:left="283"/>
    </w:pPr>
    <w:rPr>
      <w:rFonts w:ascii="Times New Roman" w:hAnsi="Times New Roman"/>
      <w:sz w:val="16"/>
      <w:szCs w:val="16"/>
      <w:lang w:eastAsia="en-AU" w:bidi="ar-SA"/>
    </w:rPr>
  </w:style>
  <w:style w:type="paragraph" w:styleId="Closing">
    <w:name w:val="Closing"/>
    <w:basedOn w:val="Normal"/>
    <w:rsid w:val="009C5367"/>
    <w:pPr>
      <w:ind w:left="4252"/>
    </w:pPr>
    <w:rPr>
      <w:rFonts w:ascii="Times New Roman" w:hAnsi="Times New Roman"/>
      <w:sz w:val="24"/>
      <w:szCs w:val="24"/>
      <w:lang w:eastAsia="en-AU" w:bidi="ar-SA"/>
    </w:rPr>
  </w:style>
  <w:style w:type="paragraph" w:styleId="Date">
    <w:name w:val="Date"/>
    <w:basedOn w:val="Normal"/>
    <w:next w:val="Normal"/>
    <w:rsid w:val="009C5367"/>
    <w:rPr>
      <w:rFonts w:ascii="Times New Roman" w:hAnsi="Times New Roman"/>
      <w:sz w:val="24"/>
      <w:szCs w:val="24"/>
      <w:lang w:eastAsia="en-AU" w:bidi="ar-SA"/>
    </w:rPr>
  </w:style>
  <w:style w:type="paragraph" w:styleId="E-mailSignature">
    <w:name w:val="E-mail Signature"/>
    <w:basedOn w:val="Normal"/>
    <w:rsid w:val="009C5367"/>
    <w:rPr>
      <w:rFonts w:ascii="Times New Roman" w:hAnsi="Times New Roman"/>
      <w:sz w:val="24"/>
      <w:szCs w:val="24"/>
      <w:lang w:eastAsia="en-AU" w:bidi="ar-SA"/>
    </w:rPr>
  </w:style>
  <w:style w:type="character" w:styleId="Emphasis">
    <w:name w:val="Emphasis"/>
    <w:basedOn w:val="DefaultParagraphFont"/>
    <w:uiPriority w:val="20"/>
    <w:qFormat/>
    <w:rsid w:val="009C5367"/>
    <w:rPr>
      <w:i/>
      <w:iCs/>
    </w:rPr>
  </w:style>
  <w:style w:type="paragraph" w:styleId="EnvelopeAddress">
    <w:name w:val="envelope address"/>
    <w:basedOn w:val="Normal"/>
    <w:rsid w:val="009C5367"/>
    <w:pPr>
      <w:framePr w:w="7920" w:h="1980" w:hRule="exact" w:hSpace="180" w:wrap="auto" w:hAnchor="page" w:xAlign="center" w:yAlign="bottom"/>
      <w:ind w:left="2880"/>
    </w:pPr>
    <w:rPr>
      <w:rFonts w:cs="Arial"/>
      <w:sz w:val="24"/>
      <w:szCs w:val="24"/>
      <w:lang w:eastAsia="en-AU" w:bidi="ar-SA"/>
    </w:rPr>
  </w:style>
  <w:style w:type="paragraph" w:styleId="EnvelopeReturn">
    <w:name w:val="envelope return"/>
    <w:basedOn w:val="Normal"/>
    <w:rsid w:val="009C5367"/>
    <w:rPr>
      <w:rFonts w:cs="Arial"/>
      <w:lang w:eastAsia="en-AU" w:bidi="ar-SA"/>
    </w:rPr>
  </w:style>
  <w:style w:type="character" w:styleId="FollowedHyperlink">
    <w:name w:val="FollowedHyperlink"/>
    <w:basedOn w:val="DefaultParagraphFont"/>
    <w:rsid w:val="009C5367"/>
    <w:rPr>
      <w:color w:val="800080"/>
      <w:u w:val="single"/>
    </w:rPr>
  </w:style>
  <w:style w:type="character" w:styleId="HTMLAcronym">
    <w:name w:val="HTML Acronym"/>
    <w:basedOn w:val="DefaultParagraphFont"/>
    <w:rsid w:val="009C5367"/>
  </w:style>
  <w:style w:type="paragraph" w:styleId="HTMLAddress">
    <w:name w:val="HTML Address"/>
    <w:basedOn w:val="Normal"/>
    <w:rsid w:val="009C5367"/>
    <w:rPr>
      <w:rFonts w:ascii="Times New Roman" w:hAnsi="Times New Roman"/>
      <w:i/>
      <w:iCs/>
      <w:sz w:val="24"/>
      <w:szCs w:val="24"/>
      <w:lang w:eastAsia="en-AU" w:bidi="ar-SA"/>
    </w:rPr>
  </w:style>
  <w:style w:type="character" w:styleId="HTMLCite">
    <w:name w:val="HTML Cite"/>
    <w:basedOn w:val="DefaultParagraphFont"/>
    <w:rsid w:val="009C5367"/>
    <w:rPr>
      <w:i/>
      <w:iCs/>
    </w:rPr>
  </w:style>
  <w:style w:type="character" w:styleId="HTMLCode">
    <w:name w:val="HTML Code"/>
    <w:basedOn w:val="DefaultParagraphFont"/>
    <w:rsid w:val="009C5367"/>
    <w:rPr>
      <w:rFonts w:ascii="Courier New" w:hAnsi="Courier New" w:cs="Courier New"/>
      <w:sz w:val="20"/>
      <w:szCs w:val="20"/>
    </w:rPr>
  </w:style>
  <w:style w:type="character" w:styleId="HTMLDefinition">
    <w:name w:val="HTML Definition"/>
    <w:basedOn w:val="DefaultParagraphFont"/>
    <w:rsid w:val="009C5367"/>
    <w:rPr>
      <w:i/>
      <w:iCs/>
    </w:rPr>
  </w:style>
  <w:style w:type="character" w:styleId="HTMLKeyboard">
    <w:name w:val="HTML Keyboard"/>
    <w:basedOn w:val="DefaultParagraphFont"/>
    <w:rsid w:val="009C5367"/>
    <w:rPr>
      <w:rFonts w:ascii="Courier New" w:hAnsi="Courier New" w:cs="Courier New"/>
      <w:sz w:val="20"/>
      <w:szCs w:val="20"/>
    </w:rPr>
  </w:style>
  <w:style w:type="paragraph" w:styleId="HTMLPreformatted">
    <w:name w:val="HTML Preformatted"/>
    <w:basedOn w:val="Normal"/>
    <w:rsid w:val="009C5367"/>
    <w:rPr>
      <w:rFonts w:ascii="Courier New" w:hAnsi="Courier New" w:cs="Courier New"/>
      <w:lang w:eastAsia="en-AU" w:bidi="ar-SA"/>
    </w:rPr>
  </w:style>
  <w:style w:type="character" w:styleId="HTMLSample">
    <w:name w:val="HTML Sample"/>
    <w:basedOn w:val="DefaultParagraphFont"/>
    <w:rsid w:val="009C5367"/>
    <w:rPr>
      <w:rFonts w:ascii="Courier New" w:hAnsi="Courier New" w:cs="Courier New"/>
    </w:rPr>
  </w:style>
  <w:style w:type="character" w:styleId="HTMLTypewriter">
    <w:name w:val="HTML Typewriter"/>
    <w:basedOn w:val="DefaultParagraphFont"/>
    <w:rsid w:val="009C5367"/>
    <w:rPr>
      <w:rFonts w:ascii="Courier New" w:hAnsi="Courier New" w:cs="Courier New"/>
      <w:sz w:val="20"/>
      <w:szCs w:val="20"/>
    </w:rPr>
  </w:style>
  <w:style w:type="character" w:styleId="HTMLVariable">
    <w:name w:val="HTML Variable"/>
    <w:basedOn w:val="DefaultParagraphFont"/>
    <w:rsid w:val="009C5367"/>
    <w:rPr>
      <w:i/>
      <w:iCs/>
    </w:rPr>
  </w:style>
  <w:style w:type="character" w:styleId="LineNumber">
    <w:name w:val="line number"/>
    <w:basedOn w:val="DefaultParagraphFont"/>
    <w:rsid w:val="009C5367"/>
  </w:style>
  <w:style w:type="paragraph" w:styleId="List">
    <w:name w:val="List"/>
    <w:basedOn w:val="Normal"/>
    <w:rsid w:val="009C5367"/>
    <w:pPr>
      <w:ind w:left="283" w:hanging="283"/>
    </w:pPr>
    <w:rPr>
      <w:rFonts w:ascii="Times New Roman" w:hAnsi="Times New Roman"/>
      <w:sz w:val="24"/>
      <w:szCs w:val="24"/>
      <w:lang w:eastAsia="en-AU" w:bidi="ar-SA"/>
    </w:rPr>
  </w:style>
  <w:style w:type="paragraph" w:styleId="List2">
    <w:name w:val="List 2"/>
    <w:basedOn w:val="Normal"/>
    <w:rsid w:val="009C5367"/>
    <w:pPr>
      <w:ind w:left="566" w:hanging="283"/>
    </w:pPr>
    <w:rPr>
      <w:rFonts w:ascii="Times New Roman" w:hAnsi="Times New Roman"/>
      <w:sz w:val="24"/>
      <w:szCs w:val="24"/>
      <w:lang w:eastAsia="en-AU" w:bidi="ar-SA"/>
    </w:rPr>
  </w:style>
  <w:style w:type="paragraph" w:styleId="List3">
    <w:name w:val="List 3"/>
    <w:basedOn w:val="Normal"/>
    <w:rsid w:val="009C5367"/>
    <w:pPr>
      <w:ind w:left="849" w:hanging="283"/>
    </w:pPr>
    <w:rPr>
      <w:rFonts w:ascii="Times New Roman" w:hAnsi="Times New Roman"/>
      <w:sz w:val="24"/>
      <w:szCs w:val="24"/>
      <w:lang w:eastAsia="en-AU" w:bidi="ar-SA"/>
    </w:rPr>
  </w:style>
  <w:style w:type="paragraph" w:styleId="List4">
    <w:name w:val="List 4"/>
    <w:basedOn w:val="Normal"/>
    <w:rsid w:val="009C5367"/>
    <w:pPr>
      <w:ind w:left="1132" w:hanging="283"/>
    </w:pPr>
    <w:rPr>
      <w:rFonts w:ascii="Times New Roman" w:hAnsi="Times New Roman"/>
      <w:sz w:val="24"/>
      <w:szCs w:val="24"/>
      <w:lang w:eastAsia="en-AU" w:bidi="ar-SA"/>
    </w:rPr>
  </w:style>
  <w:style w:type="paragraph" w:styleId="List5">
    <w:name w:val="List 5"/>
    <w:basedOn w:val="Normal"/>
    <w:rsid w:val="009C5367"/>
    <w:pPr>
      <w:ind w:left="1415" w:hanging="283"/>
    </w:pPr>
    <w:rPr>
      <w:rFonts w:ascii="Times New Roman" w:hAnsi="Times New Roman"/>
      <w:sz w:val="24"/>
      <w:szCs w:val="24"/>
      <w:lang w:eastAsia="en-AU" w:bidi="ar-SA"/>
    </w:rPr>
  </w:style>
  <w:style w:type="paragraph" w:styleId="ListBullet">
    <w:name w:val="List Bullet"/>
    <w:basedOn w:val="Normal"/>
    <w:autoRedefine/>
    <w:rsid w:val="009C5367"/>
    <w:pPr>
      <w:tabs>
        <w:tab w:val="num" w:pos="360"/>
      </w:tabs>
      <w:ind w:left="360" w:hanging="360"/>
    </w:pPr>
    <w:rPr>
      <w:rFonts w:ascii="Times New Roman" w:hAnsi="Times New Roman"/>
      <w:sz w:val="24"/>
      <w:szCs w:val="24"/>
      <w:lang w:eastAsia="en-AU" w:bidi="ar-SA"/>
    </w:rPr>
  </w:style>
  <w:style w:type="paragraph" w:styleId="ListBullet2">
    <w:name w:val="List Bullet 2"/>
    <w:basedOn w:val="Normal"/>
    <w:autoRedefine/>
    <w:rsid w:val="009C5367"/>
    <w:pPr>
      <w:tabs>
        <w:tab w:val="num" w:pos="643"/>
      </w:tabs>
      <w:ind w:left="643" w:hanging="360"/>
    </w:pPr>
    <w:rPr>
      <w:rFonts w:ascii="Times New Roman" w:hAnsi="Times New Roman"/>
      <w:sz w:val="24"/>
      <w:szCs w:val="24"/>
      <w:lang w:eastAsia="en-AU" w:bidi="ar-SA"/>
    </w:rPr>
  </w:style>
  <w:style w:type="paragraph" w:styleId="ListBullet3">
    <w:name w:val="List Bullet 3"/>
    <w:basedOn w:val="Normal"/>
    <w:autoRedefine/>
    <w:rsid w:val="009C5367"/>
    <w:pPr>
      <w:tabs>
        <w:tab w:val="num" w:pos="926"/>
      </w:tabs>
      <w:ind w:left="926" w:hanging="360"/>
    </w:pPr>
    <w:rPr>
      <w:rFonts w:ascii="Times New Roman" w:hAnsi="Times New Roman"/>
      <w:sz w:val="24"/>
      <w:szCs w:val="24"/>
      <w:lang w:eastAsia="en-AU" w:bidi="ar-SA"/>
    </w:rPr>
  </w:style>
  <w:style w:type="paragraph" w:styleId="ListBullet4">
    <w:name w:val="List Bullet 4"/>
    <w:basedOn w:val="Normal"/>
    <w:autoRedefine/>
    <w:rsid w:val="009C5367"/>
    <w:pPr>
      <w:tabs>
        <w:tab w:val="num" w:pos="1209"/>
      </w:tabs>
      <w:ind w:left="1209" w:hanging="360"/>
    </w:pPr>
    <w:rPr>
      <w:rFonts w:ascii="Times New Roman" w:hAnsi="Times New Roman"/>
      <w:sz w:val="24"/>
      <w:szCs w:val="24"/>
      <w:lang w:eastAsia="en-AU" w:bidi="ar-SA"/>
    </w:rPr>
  </w:style>
  <w:style w:type="paragraph" w:styleId="ListBullet5">
    <w:name w:val="List Bullet 5"/>
    <w:basedOn w:val="Normal"/>
    <w:autoRedefine/>
    <w:rsid w:val="009C5367"/>
    <w:pPr>
      <w:tabs>
        <w:tab w:val="num" w:pos="1492"/>
      </w:tabs>
      <w:ind w:left="1492" w:hanging="360"/>
    </w:pPr>
    <w:rPr>
      <w:rFonts w:ascii="Times New Roman" w:hAnsi="Times New Roman"/>
      <w:sz w:val="24"/>
      <w:szCs w:val="24"/>
      <w:lang w:eastAsia="en-AU" w:bidi="ar-SA"/>
    </w:rPr>
  </w:style>
  <w:style w:type="paragraph" w:styleId="ListContinue">
    <w:name w:val="List Continue"/>
    <w:basedOn w:val="Normal"/>
    <w:rsid w:val="009C5367"/>
    <w:pPr>
      <w:spacing w:after="120"/>
      <w:ind w:left="283"/>
    </w:pPr>
    <w:rPr>
      <w:rFonts w:ascii="Times New Roman" w:hAnsi="Times New Roman"/>
      <w:sz w:val="24"/>
      <w:szCs w:val="24"/>
      <w:lang w:eastAsia="en-AU" w:bidi="ar-SA"/>
    </w:rPr>
  </w:style>
  <w:style w:type="paragraph" w:styleId="ListContinue2">
    <w:name w:val="List Continue 2"/>
    <w:basedOn w:val="Normal"/>
    <w:rsid w:val="009C5367"/>
    <w:pPr>
      <w:spacing w:after="120"/>
      <w:ind w:left="566"/>
    </w:pPr>
    <w:rPr>
      <w:rFonts w:ascii="Times New Roman" w:hAnsi="Times New Roman"/>
      <w:sz w:val="24"/>
      <w:szCs w:val="24"/>
      <w:lang w:eastAsia="en-AU" w:bidi="ar-SA"/>
    </w:rPr>
  </w:style>
  <w:style w:type="paragraph" w:styleId="ListContinue3">
    <w:name w:val="List Continue 3"/>
    <w:basedOn w:val="Normal"/>
    <w:rsid w:val="009C5367"/>
    <w:pPr>
      <w:spacing w:after="120"/>
      <w:ind w:left="849"/>
    </w:pPr>
    <w:rPr>
      <w:rFonts w:ascii="Times New Roman" w:hAnsi="Times New Roman"/>
      <w:sz w:val="24"/>
      <w:szCs w:val="24"/>
      <w:lang w:eastAsia="en-AU" w:bidi="ar-SA"/>
    </w:rPr>
  </w:style>
  <w:style w:type="paragraph" w:styleId="ListContinue4">
    <w:name w:val="List Continue 4"/>
    <w:basedOn w:val="Normal"/>
    <w:rsid w:val="009C5367"/>
    <w:pPr>
      <w:spacing w:after="120"/>
      <w:ind w:left="1132"/>
    </w:pPr>
    <w:rPr>
      <w:rFonts w:ascii="Times New Roman" w:hAnsi="Times New Roman"/>
      <w:sz w:val="24"/>
      <w:szCs w:val="24"/>
      <w:lang w:eastAsia="en-AU" w:bidi="ar-SA"/>
    </w:rPr>
  </w:style>
  <w:style w:type="paragraph" w:styleId="ListContinue5">
    <w:name w:val="List Continue 5"/>
    <w:basedOn w:val="Normal"/>
    <w:rsid w:val="009C5367"/>
    <w:pPr>
      <w:spacing w:after="120"/>
      <w:ind w:left="1415"/>
    </w:pPr>
    <w:rPr>
      <w:rFonts w:ascii="Times New Roman" w:hAnsi="Times New Roman"/>
      <w:sz w:val="24"/>
      <w:szCs w:val="24"/>
      <w:lang w:eastAsia="en-AU" w:bidi="ar-SA"/>
    </w:rPr>
  </w:style>
  <w:style w:type="paragraph" w:styleId="ListNumber">
    <w:name w:val="List Number"/>
    <w:basedOn w:val="Normal"/>
    <w:rsid w:val="009C5367"/>
    <w:pPr>
      <w:tabs>
        <w:tab w:val="num" w:pos="360"/>
      </w:tabs>
      <w:ind w:left="360" w:hanging="360"/>
    </w:pPr>
    <w:rPr>
      <w:rFonts w:ascii="Times New Roman" w:hAnsi="Times New Roman"/>
      <w:sz w:val="24"/>
      <w:szCs w:val="24"/>
      <w:lang w:eastAsia="en-AU" w:bidi="ar-SA"/>
    </w:rPr>
  </w:style>
  <w:style w:type="paragraph" w:styleId="ListNumber2">
    <w:name w:val="List Number 2"/>
    <w:basedOn w:val="Normal"/>
    <w:rsid w:val="009C5367"/>
    <w:pPr>
      <w:tabs>
        <w:tab w:val="num" w:pos="643"/>
      </w:tabs>
      <w:ind w:left="643" w:hanging="360"/>
    </w:pPr>
    <w:rPr>
      <w:rFonts w:ascii="Times New Roman" w:hAnsi="Times New Roman"/>
      <w:sz w:val="24"/>
      <w:szCs w:val="24"/>
      <w:lang w:eastAsia="en-AU" w:bidi="ar-SA"/>
    </w:rPr>
  </w:style>
  <w:style w:type="paragraph" w:styleId="ListNumber3">
    <w:name w:val="List Number 3"/>
    <w:basedOn w:val="Normal"/>
    <w:rsid w:val="009C5367"/>
    <w:pPr>
      <w:tabs>
        <w:tab w:val="num" w:pos="926"/>
      </w:tabs>
      <w:ind w:left="926" w:hanging="360"/>
    </w:pPr>
    <w:rPr>
      <w:rFonts w:ascii="Times New Roman" w:hAnsi="Times New Roman"/>
      <w:sz w:val="24"/>
      <w:szCs w:val="24"/>
      <w:lang w:eastAsia="en-AU" w:bidi="ar-SA"/>
    </w:rPr>
  </w:style>
  <w:style w:type="paragraph" w:styleId="ListNumber4">
    <w:name w:val="List Number 4"/>
    <w:basedOn w:val="Normal"/>
    <w:rsid w:val="009C5367"/>
    <w:pPr>
      <w:tabs>
        <w:tab w:val="num" w:pos="1209"/>
      </w:tabs>
      <w:ind w:left="1209" w:hanging="360"/>
    </w:pPr>
    <w:rPr>
      <w:rFonts w:ascii="Times New Roman" w:hAnsi="Times New Roman"/>
      <w:sz w:val="24"/>
      <w:szCs w:val="24"/>
      <w:lang w:eastAsia="en-AU" w:bidi="ar-SA"/>
    </w:rPr>
  </w:style>
  <w:style w:type="paragraph" w:styleId="ListNumber5">
    <w:name w:val="List Number 5"/>
    <w:basedOn w:val="Normal"/>
    <w:rsid w:val="009C5367"/>
    <w:pPr>
      <w:tabs>
        <w:tab w:val="num" w:pos="1492"/>
      </w:tabs>
      <w:ind w:left="1492" w:hanging="360"/>
    </w:pPr>
    <w:rPr>
      <w:rFonts w:ascii="Times New Roman" w:hAnsi="Times New Roman"/>
      <w:sz w:val="24"/>
      <w:szCs w:val="24"/>
      <w:lang w:eastAsia="en-AU" w:bidi="ar-SA"/>
    </w:rPr>
  </w:style>
  <w:style w:type="paragraph" w:styleId="MessageHeader">
    <w:name w:val="Message Header"/>
    <w:basedOn w:val="Normal"/>
    <w:rsid w:val="009C536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AU" w:bidi="ar-SA"/>
    </w:rPr>
  </w:style>
  <w:style w:type="paragraph" w:styleId="NormalWeb">
    <w:name w:val="Normal (Web)"/>
    <w:basedOn w:val="Normal"/>
    <w:rsid w:val="009C5367"/>
    <w:rPr>
      <w:rFonts w:ascii="Times New Roman" w:hAnsi="Times New Roman"/>
      <w:sz w:val="24"/>
      <w:szCs w:val="24"/>
      <w:lang w:eastAsia="en-AU" w:bidi="ar-SA"/>
    </w:rPr>
  </w:style>
  <w:style w:type="paragraph" w:styleId="NormalIndent">
    <w:name w:val="Normal Indent"/>
    <w:basedOn w:val="Normal"/>
    <w:rsid w:val="009C5367"/>
    <w:pPr>
      <w:ind w:left="720"/>
    </w:pPr>
    <w:rPr>
      <w:rFonts w:ascii="Times New Roman" w:hAnsi="Times New Roman"/>
      <w:sz w:val="24"/>
      <w:szCs w:val="24"/>
      <w:lang w:eastAsia="en-AU" w:bidi="ar-SA"/>
    </w:rPr>
  </w:style>
  <w:style w:type="paragraph" w:styleId="NoteHeading">
    <w:name w:val="Note Heading"/>
    <w:aliases w:val="HN"/>
    <w:basedOn w:val="Normal"/>
    <w:next w:val="Normal"/>
    <w:rsid w:val="009C5367"/>
    <w:pPr>
      <w:keepNext/>
      <w:keepLines/>
      <w:pageBreakBefore/>
      <w:tabs>
        <w:tab w:val="left" w:pos="1559"/>
      </w:tabs>
      <w:spacing w:before="120" w:line="240" w:lineRule="atLeast"/>
    </w:pPr>
    <w:rPr>
      <w:b/>
      <w:sz w:val="32"/>
      <w:szCs w:val="24"/>
      <w:lang w:eastAsia="en-AU" w:bidi="ar-SA"/>
    </w:rPr>
  </w:style>
  <w:style w:type="paragraph" w:styleId="PlainText">
    <w:name w:val="Plain Text"/>
    <w:basedOn w:val="Normal"/>
    <w:rsid w:val="009C5367"/>
    <w:rPr>
      <w:rFonts w:ascii="Courier New" w:hAnsi="Courier New" w:cs="Courier New"/>
      <w:lang w:eastAsia="en-AU" w:bidi="ar-SA"/>
    </w:rPr>
  </w:style>
  <w:style w:type="paragraph" w:styleId="Salutation">
    <w:name w:val="Salutation"/>
    <w:basedOn w:val="Normal"/>
    <w:next w:val="Normal"/>
    <w:rsid w:val="009C5367"/>
    <w:rPr>
      <w:rFonts w:ascii="Times New Roman" w:hAnsi="Times New Roman"/>
      <w:sz w:val="24"/>
      <w:szCs w:val="24"/>
      <w:lang w:eastAsia="en-AU" w:bidi="ar-SA"/>
    </w:rPr>
  </w:style>
  <w:style w:type="paragraph" w:styleId="Signature">
    <w:name w:val="Signature"/>
    <w:basedOn w:val="Normal"/>
    <w:rsid w:val="009C5367"/>
    <w:pPr>
      <w:ind w:left="4252"/>
    </w:pPr>
    <w:rPr>
      <w:rFonts w:ascii="Times New Roman" w:hAnsi="Times New Roman"/>
      <w:sz w:val="24"/>
      <w:szCs w:val="24"/>
      <w:lang w:eastAsia="en-AU" w:bidi="ar-SA"/>
    </w:rPr>
  </w:style>
  <w:style w:type="character" w:styleId="Strong">
    <w:name w:val="Strong"/>
    <w:basedOn w:val="DefaultParagraphFont"/>
    <w:qFormat/>
    <w:rsid w:val="009C5367"/>
    <w:rPr>
      <w:b/>
      <w:bCs/>
    </w:rPr>
  </w:style>
  <w:style w:type="paragraph" w:styleId="Subtitle">
    <w:name w:val="Subtitle"/>
    <w:basedOn w:val="Normal"/>
    <w:link w:val="SubtitleChar"/>
    <w:qFormat/>
    <w:rsid w:val="009C5367"/>
    <w:pPr>
      <w:spacing w:after="60"/>
      <w:jc w:val="center"/>
      <w:outlineLvl w:val="1"/>
    </w:pPr>
    <w:rPr>
      <w:rFonts w:cs="Arial"/>
      <w:sz w:val="24"/>
      <w:szCs w:val="24"/>
      <w:lang w:eastAsia="en-AU" w:bidi="ar-SA"/>
    </w:rPr>
  </w:style>
  <w:style w:type="table" w:styleId="Table3Deffects1">
    <w:name w:val="Table 3D effects 1"/>
    <w:basedOn w:val="TableNormal"/>
    <w:rsid w:val="009C536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536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536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C53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53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536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536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536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536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536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536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536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536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536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536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C536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536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536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536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536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536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536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536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536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536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536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536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536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536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536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536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C536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536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53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53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536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C5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C536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536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536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9C5367"/>
    <w:pPr>
      <w:spacing w:before="480"/>
    </w:pPr>
    <w:rPr>
      <w:rFonts w:cs="Arial"/>
      <w:b/>
      <w:bCs/>
      <w:sz w:val="40"/>
      <w:szCs w:val="40"/>
      <w:lang w:eastAsia="en-AU" w:bidi="ar-SA"/>
    </w:rPr>
  </w:style>
  <w:style w:type="paragraph" w:customStyle="1" w:styleId="A1">
    <w:name w:val="A1"/>
    <w:aliases w:val="Heading Amendment,1. Amendment"/>
    <w:basedOn w:val="Normal"/>
    <w:next w:val="Normal"/>
    <w:rsid w:val="009C5367"/>
    <w:pPr>
      <w:keepNext/>
      <w:keepLines/>
      <w:spacing w:before="480" w:line="260" w:lineRule="exact"/>
      <w:ind w:left="964" w:hanging="964"/>
    </w:pPr>
    <w:rPr>
      <w:b/>
      <w:sz w:val="24"/>
      <w:szCs w:val="24"/>
      <w:lang w:eastAsia="en-AU" w:bidi="ar-SA"/>
    </w:rPr>
  </w:style>
  <w:style w:type="paragraph" w:customStyle="1" w:styleId="A1S">
    <w:name w:val="A1S"/>
    <w:aliases w:val="1.Schedule Amendment"/>
    <w:basedOn w:val="Normal"/>
    <w:next w:val="A2S"/>
    <w:rsid w:val="009C5367"/>
    <w:pPr>
      <w:keepNext/>
      <w:keepLines/>
      <w:spacing w:before="480" w:line="260" w:lineRule="exact"/>
      <w:ind w:left="964" w:hanging="964"/>
    </w:pPr>
    <w:rPr>
      <w:b/>
      <w:sz w:val="24"/>
      <w:szCs w:val="24"/>
      <w:lang w:eastAsia="en-AU" w:bidi="ar-SA"/>
    </w:rPr>
  </w:style>
  <w:style w:type="paragraph" w:customStyle="1" w:styleId="A2">
    <w:name w:val="A2"/>
    <w:aliases w:val="1.1 amendment,Instruction amendment"/>
    <w:basedOn w:val="Normal"/>
    <w:next w:val="Normal"/>
    <w:rsid w:val="009C5367"/>
    <w:pPr>
      <w:tabs>
        <w:tab w:val="right" w:pos="794"/>
      </w:tabs>
      <w:spacing w:before="120" w:line="260" w:lineRule="exact"/>
      <w:ind w:left="964" w:hanging="964"/>
      <w:jc w:val="both"/>
    </w:pPr>
    <w:rPr>
      <w:rFonts w:ascii="Times New Roman" w:hAnsi="Times New Roman"/>
      <w:sz w:val="24"/>
      <w:szCs w:val="24"/>
      <w:lang w:eastAsia="en-AU" w:bidi="ar-SA"/>
    </w:rPr>
  </w:style>
  <w:style w:type="paragraph" w:customStyle="1" w:styleId="A2S">
    <w:name w:val="A2S"/>
    <w:aliases w:val="Schedule Inst Amendment"/>
    <w:basedOn w:val="Normal"/>
    <w:next w:val="A3S"/>
    <w:rsid w:val="009C5367"/>
    <w:pPr>
      <w:keepNext/>
      <w:spacing w:before="120" w:line="260" w:lineRule="exact"/>
      <w:ind w:left="964"/>
    </w:pPr>
    <w:rPr>
      <w:rFonts w:ascii="Times New Roman" w:hAnsi="Times New Roman"/>
      <w:i/>
      <w:sz w:val="24"/>
      <w:szCs w:val="24"/>
      <w:lang w:eastAsia="en-AU" w:bidi="ar-SA"/>
    </w:rPr>
  </w:style>
  <w:style w:type="paragraph" w:customStyle="1" w:styleId="A3">
    <w:name w:val="A3"/>
    <w:aliases w:val="1.2 amendment"/>
    <w:basedOn w:val="Normal"/>
    <w:rsid w:val="009C5367"/>
    <w:pPr>
      <w:tabs>
        <w:tab w:val="right" w:pos="794"/>
      </w:tabs>
      <w:spacing w:before="180" w:line="260" w:lineRule="exact"/>
      <w:ind w:left="964" w:hanging="964"/>
      <w:jc w:val="both"/>
    </w:pPr>
    <w:rPr>
      <w:rFonts w:ascii="Times New Roman" w:hAnsi="Times New Roman"/>
      <w:sz w:val="24"/>
      <w:szCs w:val="24"/>
      <w:lang w:eastAsia="en-AU" w:bidi="ar-SA"/>
    </w:rPr>
  </w:style>
  <w:style w:type="paragraph" w:customStyle="1" w:styleId="A3S">
    <w:name w:val="A3S"/>
    <w:aliases w:val="Schedule Amendment"/>
    <w:basedOn w:val="Normal"/>
    <w:next w:val="A1S"/>
    <w:rsid w:val="009C5367"/>
    <w:pPr>
      <w:spacing w:before="60" w:line="260" w:lineRule="exact"/>
      <w:ind w:left="1247"/>
      <w:jc w:val="both"/>
    </w:pPr>
    <w:rPr>
      <w:rFonts w:ascii="Times New Roman" w:hAnsi="Times New Roman"/>
      <w:sz w:val="24"/>
      <w:szCs w:val="24"/>
      <w:lang w:eastAsia="en-AU" w:bidi="ar-SA"/>
    </w:rPr>
  </w:style>
  <w:style w:type="paragraph" w:customStyle="1" w:styleId="A4">
    <w:name w:val="A4"/>
    <w:aliases w:val="(a) Amendment"/>
    <w:basedOn w:val="Normal"/>
    <w:rsid w:val="009C5367"/>
    <w:pPr>
      <w:tabs>
        <w:tab w:val="right" w:pos="1247"/>
      </w:tabs>
      <w:spacing w:before="60" w:line="260" w:lineRule="exact"/>
      <w:ind w:left="1531" w:hanging="1531"/>
      <w:jc w:val="both"/>
    </w:pPr>
    <w:rPr>
      <w:rFonts w:ascii="Times New Roman" w:hAnsi="Times New Roman"/>
      <w:sz w:val="24"/>
      <w:szCs w:val="24"/>
      <w:lang w:eastAsia="en-AU" w:bidi="ar-SA"/>
    </w:rPr>
  </w:style>
  <w:style w:type="paragraph" w:customStyle="1" w:styleId="A5">
    <w:name w:val="A5"/>
    <w:aliases w:val="(i) Amendment"/>
    <w:basedOn w:val="Normal"/>
    <w:rsid w:val="009C5367"/>
    <w:pPr>
      <w:tabs>
        <w:tab w:val="right" w:pos="1758"/>
      </w:tabs>
      <w:spacing w:before="60" w:line="260" w:lineRule="exact"/>
      <w:ind w:left="2041" w:hanging="2041"/>
      <w:jc w:val="both"/>
    </w:pPr>
    <w:rPr>
      <w:rFonts w:ascii="Times New Roman" w:hAnsi="Times New Roman"/>
      <w:sz w:val="24"/>
      <w:szCs w:val="24"/>
      <w:lang w:eastAsia="en-AU" w:bidi="ar-SA"/>
    </w:rPr>
  </w:style>
  <w:style w:type="paragraph" w:customStyle="1" w:styleId="AN">
    <w:name w:val="AN"/>
    <w:aliases w:val="Note Amendment"/>
    <w:basedOn w:val="Normal"/>
    <w:next w:val="A1"/>
    <w:rsid w:val="009C5367"/>
    <w:pPr>
      <w:spacing w:before="120" w:line="220" w:lineRule="exact"/>
      <w:ind w:left="964"/>
      <w:jc w:val="both"/>
    </w:pPr>
    <w:rPr>
      <w:rFonts w:ascii="Times New Roman" w:hAnsi="Times New Roman"/>
      <w:szCs w:val="24"/>
      <w:lang w:eastAsia="en-AU" w:bidi="ar-SA"/>
    </w:rPr>
  </w:style>
  <w:style w:type="paragraph" w:customStyle="1" w:styleId="ASref">
    <w:name w:val="AS ref"/>
    <w:basedOn w:val="Normal"/>
    <w:next w:val="A1S"/>
    <w:rsid w:val="009C5367"/>
    <w:pPr>
      <w:keepNext/>
      <w:spacing w:before="60" w:line="200" w:lineRule="exact"/>
      <w:ind w:left="2410"/>
    </w:pPr>
    <w:rPr>
      <w:sz w:val="18"/>
      <w:szCs w:val="18"/>
      <w:lang w:eastAsia="en-AU" w:bidi="ar-SA"/>
    </w:rPr>
  </w:style>
  <w:style w:type="paragraph" w:customStyle="1" w:styleId="AS">
    <w:name w:val="AS"/>
    <w:aliases w:val="Schedule title Amendment"/>
    <w:basedOn w:val="Normal"/>
    <w:next w:val="ASref"/>
    <w:rsid w:val="009C5367"/>
    <w:pPr>
      <w:keepNext/>
      <w:keepLines/>
      <w:spacing w:before="480"/>
      <w:ind w:left="2410" w:hanging="2410"/>
    </w:pPr>
    <w:rPr>
      <w:b/>
      <w:sz w:val="32"/>
      <w:szCs w:val="24"/>
      <w:lang w:eastAsia="en-AU" w:bidi="ar-SA"/>
    </w:rPr>
  </w:style>
  <w:style w:type="paragraph" w:customStyle="1" w:styleId="ASP">
    <w:name w:val="ASP"/>
    <w:aliases w:val="Schedule Part Amendment"/>
    <w:basedOn w:val="Normal"/>
    <w:next w:val="A1S"/>
    <w:rsid w:val="009C5367"/>
    <w:pPr>
      <w:keepNext/>
      <w:keepLines/>
      <w:spacing w:before="360"/>
      <w:ind w:left="2410" w:hanging="2410"/>
    </w:pPr>
    <w:rPr>
      <w:b/>
      <w:sz w:val="28"/>
      <w:szCs w:val="24"/>
      <w:lang w:eastAsia="en-AU" w:bidi="ar-SA"/>
    </w:rPr>
  </w:style>
  <w:style w:type="paragraph" w:styleId="Caption">
    <w:name w:val="caption"/>
    <w:basedOn w:val="Normal"/>
    <w:next w:val="Normal"/>
    <w:qFormat/>
    <w:rsid w:val="009C5367"/>
    <w:pPr>
      <w:spacing w:before="120" w:after="120"/>
    </w:pPr>
    <w:rPr>
      <w:rFonts w:ascii="Times New Roman" w:hAnsi="Times New Roman"/>
      <w:b/>
      <w:bCs/>
      <w:lang w:eastAsia="en-AU" w:bidi="ar-SA"/>
    </w:rPr>
  </w:style>
  <w:style w:type="character" w:customStyle="1" w:styleId="CharAmSchNo">
    <w:name w:val="CharAmSchNo"/>
    <w:basedOn w:val="DefaultParagraphFont"/>
    <w:rsid w:val="009C5367"/>
  </w:style>
  <w:style w:type="character" w:customStyle="1" w:styleId="CharAmSchText">
    <w:name w:val="CharAmSchText"/>
    <w:basedOn w:val="DefaultParagraphFont"/>
    <w:rsid w:val="009C5367"/>
  </w:style>
  <w:style w:type="character" w:customStyle="1" w:styleId="CharChapNo">
    <w:name w:val="CharChapNo"/>
    <w:basedOn w:val="DefaultParagraphFont"/>
    <w:rsid w:val="009C5367"/>
  </w:style>
  <w:style w:type="character" w:customStyle="1" w:styleId="CharChapText">
    <w:name w:val="CharChapText"/>
    <w:basedOn w:val="DefaultParagraphFont"/>
    <w:rsid w:val="009C5367"/>
  </w:style>
  <w:style w:type="character" w:customStyle="1" w:styleId="CharDivNo">
    <w:name w:val="CharDivNo"/>
    <w:basedOn w:val="DefaultParagraphFont"/>
    <w:rsid w:val="009C5367"/>
  </w:style>
  <w:style w:type="character" w:customStyle="1" w:styleId="CharDivText">
    <w:name w:val="CharDivText"/>
    <w:basedOn w:val="DefaultParagraphFont"/>
    <w:rsid w:val="009C5367"/>
  </w:style>
  <w:style w:type="character" w:customStyle="1" w:styleId="CharPartNo">
    <w:name w:val="CharPartNo"/>
    <w:basedOn w:val="DefaultParagraphFont"/>
    <w:rsid w:val="009C5367"/>
  </w:style>
  <w:style w:type="character" w:customStyle="1" w:styleId="CharPartText">
    <w:name w:val="CharPartText"/>
    <w:basedOn w:val="DefaultParagraphFont"/>
    <w:rsid w:val="009C5367"/>
  </w:style>
  <w:style w:type="character" w:customStyle="1" w:styleId="CharSchPTNo">
    <w:name w:val="CharSchPTNo"/>
    <w:basedOn w:val="DefaultParagraphFont"/>
    <w:rsid w:val="009C5367"/>
  </w:style>
  <w:style w:type="character" w:customStyle="1" w:styleId="CharSchPTText">
    <w:name w:val="CharSchPTText"/>
    <w:basedOn w:val="DefaultParagraphFont"/>
    <w:rsid w:val="009C5367"/>
  </w:style>
  <w:style w:type="paragraph" w:customStyle="1" w:styleId="ContentsHead">
    <w:name w:val="ContentsHead"/>
    <w:basedOn w:val="Normal"/>
    <w:next w:val="Normal"/>
    <w:rsid w:val="009C5367"/>
    <w:pPr>
      <w:keepNext/>
      <w:keepLines/>
      <w:spacing w:before="240" w:after="240"/>
    </w:pPr>
    <w:rPr>
      <w:b/>
      <w:sz w:val="28"/>
      <w:szCs w:val="24"/>
      <w:lang w:eastAsia="en-AU" w:bidi="ar-SA"/>
    </w:rPr>
  </w:style>
  <w:style w:type="paragraph" w:customStyle="1" w:styleId="ContentsSectionBreak">
    <w:name w:val="ContentsSectionBreak"/>
    <w:basedOn w:val="Normal"/>
    <w:next w:val="Normal"/>
    <w:rsid w:val="009C5367"/>
    <w:rPr>
      <w:rFonts w:ascii="Times New Roman" w:hAnsi="Times New Roman"/>
      <w:sz w:val="24"/>
      <w:szCs w:val="24"/>
      <w:lang w:eastAsia="en-AU" w:bidi="ar-SA"/>
    </w:rPr>
  </w:style>
  <w:style w:type="paragraph" w:customStyle="1" w:styleId="DD">
    <w:name w:val="DD"/>
    <w:aliases w:val="Dictionary Definition"/>
    <w:basedOn w:val="Normal"/>
    <w:rsid w:val="009C5367"/>
    <w:pPr>
      <w:spacing w:before="80" w:line="260" w:lineRule="exact"/>
      <w:jc w:val="both"/>
    </w:pPr>
    <w:rPr>
      <w:rFonts w:ascii="Times New Roman" w:hAnsi="Times New Roman"/>
      <w:sz w:val="24"/>
      <w:szCs w:val="24"/>
      <w:lang w:eastAsia="en-AU" w:bidi="ar-SA"/>
    </w:rPr>
  </w:style>
  <w:style w:type="paragraph" w:customStyle="1" w:styleId="definition">
    <w:name w:val="definition"/>
    <w:basedOn w:val="Normal"/>
    <w:rsid w:val="009C5367"/>
    <w:pPr>
      <w:spacing w:before="80" w:line="260" w:lineRule="exact"/>
      <w:ind w:left="964"/>
      <w:jc w:val="both"/>
    </w:pPr>
    <w:rPr>
      <w:rFonts w:ascii="Times New Roman" w:hAnsi="Times New Roman"/>
      <w:sz w:val="24"/>
      <w:szCs w:val="24"/>
      <w:lang w:eastAsia="en-AU" w:bidi="ar-SA"/>
    </w:rPr>
  </w:style>
  <w:style w:type="paragraph" w:customStyle="1" w:styleId="DictionaryHeading">
    <w:name w:val="Dictionary Heading"/>
    <w:basedOn w:val="Normal"/>
    <w:next w:val="DD"/>
    <w:rsid w:val="009C5367"/>
    <w:pPr>
      <w:keepNext/>
      <w:keepLines/>
      <w:spacing w:before="480"/>
      <w:ind w:left="2552" w:hanging="2552"/>
    </w:pPr>
    <w:rPr>
      <w:b/>
      <w:sz w:val="32"/>
      <w:szCs w:val="24"/>
      <w:lang w:eastAsia="en-AU" w:bidi="ar-SA"/>
    </w:rPr>
  </w:style>
  <w:style w:type="paragraph" w:customStyle="1" w:styleId="DictionarySectionBreak">
    <w:name w:val="DictionarySectionBreak"/>
    <w:basedOn w:val="Normal"/>
    <w:next w:val="Normal"/>
    <w:rsid w:val="009C5367"/>
    <w:rPr>
      <w:rFonts w:ascii="Times New Roman" w:hAnsi="Times New Roman"/>
      <w:sz w:val="24"/>
      <w:szCs w:val="24"/>
      <w:lang w:eastAsia="en-AU" w:bidi="ar-SA"/>
    </w:rPr>
  </w:style>
  <w:style w:type="paragraph" w:customStyle="1" w:styleId="DNote">
    <w:name w:val="DNote"/>
    <w:aliases w:val="DictionaryNote"/>
    <w:basedOn w:val="Normal"/>
    <w:rsid w:val="009C5367"/>
    <w:pPr>
      <w:spacing w:before="120" w:line="220" w:lineRule="exact"/>
      <w:ind w:left="425"/>
      <w:jc w:val="both"/>
    </w:pPr>
    <w:rPr>
      <w:rFonts w:ascii="Times New Roman" w:hAnsi="Times New Roman"/>
      <w:szCs w:val="24"/>
      <w:lang w:eastAsia="en-AU" w:bidi="ar-SA"/>
    </w:rPr>
  </w:style>
  <w:style w:type="paragraph" w:styleId="DocumentMap">
    <w:name w:val="Document Map"/>
    <w:basedOn w:val="Normal"/>
    <w:rsid w:val="009C5367"/>
    <w:pPr>
      <w:shd w:val="clear" w:color="auto" w:fill="000080"/>
    </w:pPr>
    <w:rPr>
      <w:rFonts w:ascii="Tahoma" w:hAnsi="Tahoma" w:cs="Tahoma"/>
      <w:sz w:val="24"/>
      <w:szCs w:val="24"/>
      <w:lang w:eastAsia="en-AU" w:bidi="ar-SA"/>
    </w:rPr>
  </w:style>
  <w:style w:type="paragraph" w:customStyle="1" w:styleId="DP1a">
    <w:name w:val="DP1(a)"/>
    <w:aliases w:val="Dictionary (a)"/>
    <w:basedOn w:val="Normal"/>
    <w:rsid w:val="009C5367"/>
    <w:pPr>
      <w:tabs>
        <w:tab w:val="right" w:pos="709"/>
      </w:tabs>
      <w:spacing w:before="60" w:line="260" w:lineRule="exact"/>
      <w:ind w:left="936" w:hanging="936"/>
      <w:jc w:val="both"/>
    </w:pPr>
    <w:rPr>
      <w:rFonts w:ascii="Times New Roman" w:hAnsi="Times New Roman"/>
      <w:sz w:val="24"/>
      <w:szCs w:val="24"/>
      <w:lang w:eastAsia="en-AU" w:bidi="ar-SA"/>
    </w:rPr>
  </w:style>
  <w:style w:type="paragraph" w:customStyle="1" w:styleId="DP2i">
    <w:name w:val="DP2(i)"/>
    <w:aliases w:val="Dictionary(i)"/>
    <w:basedOn w:val="Normal"/>
    <w:rsid w:val="009C5367"/>
    <w:pPr>
      <w:tabs>
        <w:tab w:val="right" w:pos="1276"/>
      </w:tabs>
      <w:spacing w:before="60" w:line="260" w:lineRule="exact"/>
      <w:ind w:left="1503" w:hanging="1503"/>
      <w:jc w:val="both"/>
    </w:pPr>
    <w:rPr>
      <w:rFonts w:ascii="Times New Roman" w:hAnsi="Times New Roman"/>
      <w:sz w:val="24"/>
      <w:szCs w:val="24"/>
      <w:lang w:eastAsia="en-AU" w:bidi="ar-SA"/>
    </w:rPr>
  </w:style>
  <w:style w:type="character" w:styleId="EndnoteReference">
    <w:name w:val="endnote reference"/>
    <w:basedOn w:val="DefaultParagraphFont"/>
    <w:rsid w:val="009C5367"/>
    <w:rPr>
      <w:vertAlign w:val="superscript"/>
    </w:rPr>
  </w:style>
  <w:style w:type="paragraph" w:styleId="EndnoteText">
    <w:name w:val="endnote text"/>
    <w:basedOn w:val="Normal"/>
    <w:rsid w:val="009C5367"/>
    <w:rPr>
      <w:rFonts w:ascii="Times New Roman" w:hAnsi="Times New Roman"/>
      <w:lang w:eastAsia="en-AU" w:bidi="ar-SA"/>
    </w:rPr>
  </w:style>
  <w:style w:type="paragraph" w:customStyle="1" w:styleId="ExampleBody">
    <w:name w:val="Example Body"/>
    <w:basedOn w:val="Normal"/>
    <w:rsid w:val="009C5367"/>
    <w:pPr>
      <w:keepLines/>
      <w:spacing w:before="60" w:line="220" w:lineRule="exact"/>
      <w:ind w:left="964"/>
      <w:jc w:val="both"/>
    </w:pPr>
    <w:rPr>
      <w:rFonts w:ascii="Times New Roman" w:hAnsi="Times New Roman"/>
      <w:szCs w:val="24"/>
      <w:lang w:eastAsia="en-AU" w:bidi="ar-SA"/>
    </w:rPr>
  </w:style>
  <w:style w:type="paragraph" w:customStyle="1" w:styleId="ExampleList">
    <w:name w:val="Example List"/>
    <w:basedOn w:val="Normal"/>
    <w:rsid w:val="009C5367"/>
    <w:pPr>
      <w:keepLines/>
      <w:tabs>
        <w:tab w:val="left" w:pos="1247"/>
        <w:tab w:val="left" w:pos="1349"/>
      </w:tabs>
      <w:spacing w:before="60" w:line="220" w:lineRule="exact"/>
      <w:ind w:left="340" w:firstLine="652"/>
      <w:jc w:val="both"/>
    </w:pPr>
    <w:rPr>
      <w:rFonts w:ascii="Times New Roman" w:hAnsi="Times New Roman"/>
      <w:szCs w:val="24"/>
      <w:lang w:eastAsia="en-AU" w:bidi="ar-SA"/>
    </w:rPr>
  </w:style>
  <w:style w:type="paragraph" w:customStyle="1" w:styleId="Formula">
    <w:name w:val="Formula"/>
    <w:basedOn w:val="Normal"/>
    <w:next w:val="Normal"/>
    <w:rsid w:val="009C5367"/>
    <w:pPr>
      <w:spacing w:before="180" w:after="180"/>
      <w:jc w:val="center"/>
    </w:pPr>
    <w:rPr>
      <w:rFonts w:ascii="Times New Roman" w:hAnsi="Times New Roman"/>
      <w:sz w:val="24"/>
      <w:szCs w:val="24"/>
      <w:lang w:eastAsia="en-AU" w:bidi="ar-SA"/>
    </w:rPr>
  </w:style>
  <w:style w:type="paragraph" w:customStyle="1" w:styleId="HC">
    <w:name w:val="HC"/>
    <w:aliases w:val="Chapter Heading"/>
    <w:basedOn w:val="Normal"/>
    <w:next w:val="Normal"/>
    <w:rsid w:val="009C5367"/>
    <w:pPr>
      <w:keepNext/>
      <w:keepLines/>
      <w:pageBreakBefore/>
      <w:spacing w:before="480"/>
      <w:ind w:left="2410" w:hanging="2410"/>
    </w:pPr>
    <w:rPr>
      <w:b/>
      <w:sz w:val="40"/>
      <w:szCs w:val="24"/>
      <w:lang w:eastAsia="en-AU" w:bidi="ar-SA"/>
    </w:rPr>
  </w:style>
  <w:style w:type="paragraph" w:customStyle="1" w:styleId="HD">
    <w:name w:val="HD"/>
    <w:aliases w:val="Division Heading"/>
    <w:basedOn w:val="Normal"/>
    <w:next w:val="HR"/>
    <w:rsid w:val="009C5367"/>
    <w:pPr>
      <w:keepNext/>
      <w:keepLines/>
      <w:spacing w:before="360"/>
      <w:ind w:left="2410" w:hanging="2410"/>
    </w:pPr>
    <w:rPr>
      <w:b/>
      <w:sz w:val="28"/>
      <w:szCs w:val="24"/>
      <w:lang w:eastAsia="en-AU" w:bidi="ar-SA"/>
    </w:rPr>
  </w:style>
  <w:style w:type="paragraph" w:customStyle="1" w:styleId="HE">
    <w:name w:val="HE"/>
    <w:aliases w:val="Example heading"/>
    <w:basedOn w:val="Normal"/>
    <w:next w:val="ExampleBody"/>
    <w:rsid w:val="009C5367"/>
    <w:pPr>
      <w:keepNext/>
      <w:spacing w:before="120" w:line="220" w:lineRule="exact"/>
      <w:ind w:left="964"/>
    </w:pPr>
    <w:rPr>
      <w:rFonts w:ascii="Times New Roman" w:hAnsi="Times New Roman"/>
      <w:i/>
      <w:szCs w:val="24"/>
      <w:lang w:eastAsia="en-AU" w:bidi="ar-SA"/>
    </w:rPr>
  </w:style>
  <w:style w:type="paragraph" w:customStyle="1" w:styleId="HP">
    <w:name w:val="HP"/>
    <w:aliases w:val="Part Heading"/>
    <w:basedOn w:val="Normal"/>
    <w:next w:val="HD"/>
    <w:rsid w:val="009C5367"/>
    <w:pPr>
      <w:keepNext/>
      <w:keepLines/>
      <w:spacing w:before="360"/>
      <w:ind w:left="2410" w:hanging="2410"/>
    </w:pPr>
    <w:rPr>
      <w:b/>
      <w:sz w:val="32"/>
      <w:szCs w:val="24"/>
      <w:lang w:eastAsia="en-AU" w:bidi="ar-SA"/>
    </w:rPr>
  </w:style>
  <w:style w:type="paragraph" w:customStyle="1" w:styleId="HR">
    <w:name w:val="HR"/>
    <w:aliases w:val="Regulation Heading"/>
    <w:basedOn w:val="Normal"/>
    <w:next w:val="R1"/>
    <w:rsid w:val="009C5367"/>
    <w:pPr>
      <w:keepNext/>
      <w:keepLines/>
      <w:spacing w:before="360"/>
      <w:ind w:left="964" w:hanging="964"/>
    </w:pPr>
    <w:rPr>
      <w:b/>
      <w:sz w:val="24"/>
      <w:szCs w:val="24"/>
      <w:lang w:eastAsia="en-AU" w:bidi="ar-SA"/>
    </w:rPr>
  </w:style>
  <w:style w:type="paragraph" w:customStyle="1" w:styleId="HS">
    <w:name w:val="HS"/>
    <w:aliases w:val="Subdiv Heading"/>
    <w:basedOn w:val="Normal"/>
    <w:next w:val="HR"/>
    <w:rsid w:val="009C5367"/>
    <w:pPr>
      <w:keepNext/>
      <w:keepLines/>
      <w:spacing w:before="360"/>
      <w:ind w:left="2410" w:hanging="2410"/>
    </w:pPr>
    <w:rPr>
      <w:b/>
      <w:sz w:val="24"/>
      <w:szCs w:val="24"/>
      <w:lang w:eastAsia="en-AU" w:bidi="ar-SA"/>
    </w:rPr>
  </w:style>
  <w:style w:type="paragraph" w:customStyle="1" w:styleId="HSR">
    <w:name w:val="HSR"/>
    <w:aliases w:val="Subregulation Heading"/>
    <w:basedOn w:val="Normal"/>
    <w:next w:val="Normal"/>
    <w:rsid w:val="009C5367"/>
    <w:pPr>
      <w:keepNext/>
      <w:spacing w:before="300"/>
      <w:ind w:left="964"/>
    </w:pPr>
    <w:rPr>
      <w:i/>
      <w:sz w:val="24"/>
      <w:szCs w:val="24"/>
      <w:lang w:eastAsia="en-AU" w:bidi="ar-SA"/>
    </w:rPr>
  </w:style>
  <w:style w:type="paragraph" w:styleId="Index1">
    <w:name w:val="index 1"/>
    <w:basedOn w:val="Normal"/>
    <w:next w:val="Normal"/>
    <w:autoRedefine/>
    <w:rsid w:val="009C5367"/>
    <w:pPr>
      <w:ind w:left="240" w:hanging="240"/>
    </w:pPr>
    <w:rPr>
      <w:rFonts w:ascii="Times New Roman" w:hAnsi="Times New Roman"/>
      <w:sz w:val="24"/>
      <w:szCs w:val="24"/>
      <w:lang w:eastAsia="en-AU" w:bidi="ar-SA"/>
    </w:rPr>
  </w:style>
  <w:style w:type="paragraph" w:styleId="Index2">
    <w:name w:val="index 2"/>
    <w:basedOn w:val="Normal"/>
    <w:next w:val="Normal"/>
    <w:autoRedefine/>
    <w:rsid w:val="009C5367"/>
    <w:pPr>
      <w:ind w:left="480" w:hanging="240"/>
    </w:pPr>
    <w:rPr>
      <w:rFonts w:ascii="Times New Roman" w:hAnsi="Times New Roman"/>
      <w:sz w:val="24"/>
      <w:szCs w:val="24"/>
      <w:lang w:eastAsia="en-AU" w:bidi="ar-SA"/>
    </w:rPr>
  </w:style>
  <w:style w:type="paragraph" w:styleId="Index3">
    <w:name w:val="index 3"/>
    <w:basedOn w:val="Normal"/>
    <w:next w:val="Normal"/>
    <w:autoRedefine/>
    <w:rsid w:val="009C5367"/>
    <w:pPr>
      <w:ind w:left="720" w:hanging="240"/>
    </w:pPr>
    <w:rPr>
      <w:rFonts w:ascii="Times New Roman" w:hAnsi="Times New Roman"/>
      <w:sz w:val="24"/>
      <w:szCs w:val="24"/>
      <w:lang w:eastAsia="en-AU" w:bidi="ar-SA"/>
    </w:rPr>
  </w:style>
  <w:style w:type="paragraph" w:styleId="Index4">
    <w:name w:val="index 4"/>
    <w:basedOn w:val="Normal"/>
    <w:next w:val="Normal"/>
    <w:autoRedefine/>
    <w:rsid w:val="009C5367"/>
    <w:pPr>
      <w:ind w:left="960" w:hanging="240"/>
    </w:pPr>
    <w:rPr>
      <w:rFonts w:ascii="Times New Roman" w:hAnsi="Times New Roman"/>
      <w:sz w:val="24"/>
      <w:szCs w:val="24"/>
      <w:lang w:eastAsia="en-AU" w:bidi="ar-SA"/>
    </w:rPr>
  </w:style>
  <w:style w:type="paragraph" w:styleId="Index5">
    <w:name w:val="index 5"/>
    <w:basedOn w:val="Normal"/>
    <w:next w:val="Normal"/>
    <w:autoRedefine/>
    <w:rsid w:val="009C5367"/>
    <w:pPr>
      <w:ind w:left="1200" w:hanging="240"/>
    </w:pPr>
    <w:rPr>
      <w:rFonts w:ascii="Times New Roman" w:hAnsi="Times New Roman"/>
      <w:sz w:val="24"/>
      <w:szCs w:val="24"/>
      <w:lang w:eastAsia="en-AU" w:bidi="ar-SA"/>
    </w:rPr>
  </w:style>
  <w:style w:type="paragraph" w:styleId="Index6">
    <w:name w:val="index 6"/>
    <w:basedOn w:val="Normal"/>
    <w:next w:val="Normal"/>
    <w:autoRedefine/>
    <w:rsid w:val="009C5367"/>
    <w:pPr>
      <w:ind w:left="1440" w:hanging="240"/>
    </w:pPr>
    <w:rPr>
      <w:rFonts w:ascii="Times New Roman" w:hAnsi="Times New Roman"/>
      <w:sz w:val="24"/>
      <w:szCs w:val="24"/>
      <w:lang w:eastAsia="en-AU" w:bidi="ar-SA"/>
    </w:rPr>
  </w:style>
  <w:style w:type="paragraph" w:styleId="Index7">
    <w:name w:val="index 7"/>
    <w:basedOn w:val="Normal"/>
    <w:next w:val="Normal"/>
    <w:autoRedefine/>
    <w:rsid w:val="009C5367"/>
    <w:pPr>
      <w:ind w:left="1680" w:hanging="240"/>
    </w:pPr>
    <w:rPr>
      <w:rFonts w:ascii="Times New Roman" w:hAnsi="Times New Roman"/>
      <w:sz w:val="24"/>
      <w:szCs w:val="24"/>
      <w:lang w:eastAsia="en-AU" w:bidi="ar-SA"/>
    </w:rPr>
  </w:style>
  <w:style w:type="paragraph" w:styleId="Index8">
    <w:name w:val="index 8"/>
    <w:basedOn w:val="Normal"/>
    <w:next w:val="Normal"/>
    <w:autoRedefine/>
    <w:rsid w:val="009C5367"/>
    <w:pPr>
      <w:ind w:left="1920" w:hanging="240"/>
    </w:pPr>
    <w:rPr>
      <w:rFonts w:ascii="Times New Roman" w:hAnsi="Times New Roman"/>
      <w:sz w:val="24"/>
      <w:szCs w:val="24"/>
      <w:lang w:eastAsia="en-AU" w:bidi="ar-SA"/>
    </w:rPr>
  </w:style>
  <w:style w:type="paragraph" w:styleId="Index9">
    <w:name w:val="index 9"/>
    <w:basedOn w:val="Normal"/>
    <w:next w:val="Normal"/>
    <w:autoRedefine/>
    <w:rsid w:val="009C5367"/>
    <w:pPr>
      <w:ind w:left="2160" w:hanging="240"/>
    </w:pPr>
    <w:rPr>
      <w:rFonts w:ascii="Times New Roman" w:hAnsi="Times New Roman"/>
      <w:sz w:val="24"/>
      <w:szCs w:val="24"/>
      <w:lang w:eastAsia="en-AU" w:bidi="ar-SA"/>
    </w:rPr>
  </w:style>
  <w:style w:type="paragraph" w:styleId="IndexHeading">
    <w:name w:val="index heading"/>
    <w:basedOn w:val="Normal"/>
    <w:next w:val="Index1"/>
    <w:rsid w:val="009C5367"/>
    <w:rPr>
      <w:rFonts w:cs="Arial"/>
      <w:b/>
      <w:bCs/>
      <w:sz w:val="24"/>
      <w:szCs w:val="24"/>
      <w:lang w:eastAsia="en-AU" w:bidi="ar-SA"/>
    </w:rPr>
  </w:style>
  <w:style w:type="paragraph" w:customStyle="1" w:styleId="Lt">
    <w:name w:val="Lt"/>
    <w:aliases w:val="Long title"/>
    <w:basedOn w:val="Normal"/>
    <w:rsid w:val="009C5367"/>
    <w:pPr>
      <w:spacing w:before="260"/>
    </w:pPr>
    <w:rPr>
      <w:b/>
      <w:sz w:val="28"/>
      <w:szCs w:val="24"/>
      <w:lang w:eastAsia="en-AU" w:bidi="ar-SA"/>
    </w:rPr>
  </w:style>
  <w:style w:type="paragraph" w:customStyle="1" w:styleId="M1">
    <w:name w:val="M1"/>
    <w:aliases w:val="Modification Heading"/>
    <w:basedOn w:val="Normal"/>
    <w:next w:val="Normal"/>
    <w:rsid w:val="009C5367"/>
    <w:pPr>
      <w:keepNext/>
      <w:spacing w:before="480" w:line="260" w:lineRule="exact"/>
      <w:ind w:left="964" w:hanging="964"/>
    </w:pPr>
    <w:rPr>
      <w:b/>
      <w:sz w:val="24"/>
      <w:szCs w:val="24"/>
      <w:lang w:eastAsia="en-AU" w:bidi="ar-SA"/>
    </w:rPr>
  </w:style>
  <w:style w:type="paragraph" w:customStyle="1" w:styleId="M2">
    <w:name w:val="M2"/>
    <w:aliases w:val="Modification Instruction"/>
    <w:basedOn w:val="Normal"/>
    <w:next w:val="Normal"/>
    <w:rsid w:val="009C5367"/>
    <w:pPr>
      <w:keepNext/>
      <w:spacing w:before="120" w:line="260" w:lineRule="exact"/>
      <w:ind w:left="964"/>
    </w:pPr>
    <w:rPr>
      <w:rFonts w:ascii="Times New Roman" w:hAnsi="Times New Roman"/>
      <w:i/>
      <w:sz w:val="24"/>
      <w:szCs w:val="24"/>
      <w:lang w:eastAsia="en-AU" w:bidi="ar-SA"/>
    </w:rPr>
  </w:style>
  <w:style w:type="paragraph" w:customStyle="1" w:styleId="M3">
    <w:name w:val="M3"/>
    <w:aliases w:val="Modification Text"/>
    <w:basedOn w:val="Normal"/>
    <w:next w:val="M1"/>
    <w:rsid w:val="009C5367"/>
    <w:pPr>
      <w:spacing w:before="60" w:line="260" w:lineRule="exact"/>
      <w:ind w:left="1247"/>
      <w:jc w:val="both"/>
    </w:pPr>
    <w:rPr>
      <w:rFonts w:ascii="Times New Roman" w:hAnsi="Times New Roman"/>
      <w:sz w:val="24"/>
      <w:szCs w:val="24"/>
      <w:lang w:eastAsia="en-AU" w:bidi="ar-SA"/>
    </w:rPr>
  </w:style>
  <w:style w:type="paragraph" w:styleId="MacroText">
    <w:name w:val="macro"/>
    <w:rsid w:val="009C53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9C5367"/>
    <w:rPr>
      <w:rFonts w:ascii="Times New Roman" w:hAnsi="Times New Roman"/>
      <w:sz w:val="24"/>
      <w:szCs w:val="24"/>
      <w:lang w:eastAsia="en-AU" w:bidi="ar-SA"/>
    </w:rPr>
  </w:style>
  <w:style w:type="paragraph" w:customStyle="1" w:styleId="Maker">
    <w:name w:val="Maker"/>
    <w:basedOn w:val="Normal"/>
    <w:rsid w:val="009C5367"/>
    <w:pPr>
      <w:tabs>
        <w:tab w:val="left" w:pos="3119"/>
      </w:tabs>
      <w:spacing w:line="300" w:lineRule="atLeast"/>
    </w:pPr>
    <w:rPr>
      <w:rFonts w:ascii="Times New Roman" w:hAnsi="Times New Roman"/>
      <w:sz w:val="24"/>
      <w:szCs w:val="24"/>
      <w:lang w:eastAsia="en-AU" w:bidi="ar-SA"/>
    </w:rPr>
  </w:style>
  <w:style w:type="paragraph" w:customStyle="1" w:styleId="MHD">
    <w:name w:val="MHD"/>
    <w:aliases w:val="Mod Division Heading"/>
    <w:basedOn w:val="Normal"/>
    <w:next w:val="Normal"/>
    <w:rsid w:val="009C5367"/>
    <w:pPr>
      <w:keepNext/>
      <w:spacing w:before="360"/>
      <w:ind w:left="2410" w:hanging="2410"/>
    </w:pPr>
    <w:rPr>
      <w:rFonts w:ascii="Times New Roman" w:hAnsi="Times New Roman"/>
      <w:b/>
      <w:sz w:val="28"/>
      <w:szCs w:val="24"/>
      <w:lang w:eastAsia="en-AU" w:bidi="ar-SA"/>
    </w:rPr>
  </w:style>
  <w:style w:type="paragraph" w:customStyle="1" w:styleId="MHP">
    <w:name w:val="MHP"/>
    <w:aliases w:val="Mod Part Heading"/>
    <w:basedOn w:val="Normal"/>
    <w:next w:val="Normal"/>
    <w:rsid w:val="009C5367"/>
    <w:pPr>
      <w:keepNext/>
      <w:spacing w:before="360"/>
      <w:ind w:left="2410" w:hanging="2410"/>
    </w:pPr>
    <w:rPr>
      <w:rFonts w:ascii="Times New Roman" w:hAnsi="Times New Roman"/>
      <w:b/>
      <w:sz w:val="32"/>
      <w:szCs w:val="24"/>
      <w:lang w:eastAsia="en-AU" w:bidi="ar-SA"/>
    </w:rPr>
  </w:style>
  <w:style w:type="paragraph" w:customStyle="1" w:styleId="MHR">
    <w:name w:val="MHR"/>
    <w:aliases w:val="Mod Regulation Heading"/>
    <w:basedOn w:val="Normal"/>
    <w:next w:val="Normal"/>
    <w:rsid w:val="009C5367"/>
    <w:pPr>
      <w:keepNext/>
      <w:spacing w:before="360"/>
      <w:ind w:left="964" w:hanging="964"/>
    </w:pPr>
    <w:rPr>
      <w:rFonts w:ascii="Times New Roman" w:hAnsi="Times New Roman"/>
      <w:b/>
      <w:sz w:val="24"/>
      <w:szCs w:val="24"/>
      <w:lang w:eastAsia="en-AU" w:bidi="ar-SA"/>
    </w:rPr>
  </w:style>
  <w:style w:type="paragraph" w:customStyle="1" w:styleId="MHS">
    <w:name w:val="MHS"/>
    <w:aliases w:val="Mod Subdivision Heading"/>
    <w:basedOn w:val="Normal"/>
    <w:next w:val="MHR"/>
    <w:rsid w:val="009C5367"/>
    <w:pPr>
      <w:keepNext/>
      <w:spacing w:before="360"/>
      <w:ind w:left="2410" w:hanging="2410"/>
    </w:pPr>
    <w:rPr>
      <w:rFonts w:ascii="Times New Roman" w:hAnsi="Times New Roman"/>
      <w:b/>
      <w:sz w:val="24"/>
      <w:szCs w:val="24"/>
      <w:lang w:eastAsia="en-AU" w:bidi="ar-SA"/>
    </w:rPr>
  </w:style>
  <w:style w:type="paragraph" w:customStyle="1" w:styleId="MHSR">
    <w:name w:val="MHSR"/>
    <w:aliases w:val="Mod Subregulation Heading"/>
    <w:basedOn w:val="Normal"/>
    <w:next w:val="Normal"/>
    <w:rsid w:val="009C5367"/>
    <w:pPr>
      <w:keepNext/>
      <w:spacing w:before="300"/>
      <w:ind w:left="964" w:hanging="964"/>
    </w:pPr>
    <w:rPr>
      <w:rFonts w:ascii="Times New Roman" w:hAnsi="Times New Roman"/>
      <w:i/>
      <w:sz w:val="24"/>
      <w:szCs w:val="24"/>
      <w:lang w:eastAsia="en-AU" w:bidi="ar-SA"/>
    </w:rPr>
  </w:style>
  <w:style w:type="paragraph" w:customStyle="1" w:styleId="Note">
    <w:name w:val="Note"/>
    <w:basedOn w:val="Normal"/>
    <w:rsid w:val="009C5367"/>
    <w:pPr>
      <w:keepLines/>
      <w:spacing w:before="120" w:line="220" w:lineRule="exact"/>
      <w:ind w:left="964"/>
      <w:jc w:val="both"/>
    </w:pPr>
    <w:rPr>
      <w:rFonts w:ascii="Times New Roman" w:hAnsi="Times New Roman"/>
      <w:szCs w:val="24"/>
      <w:lang w:eastAsia="en-AU" w:bidi="ar-SA"/>
    </w:rPr>
  </w:style>
  <w:style w:type="paragraph" w:customStyle="1" w:styleId="NoteEnd">
    <w:name w:val="Note End"/>
    <w:basedOn w:val="Normal"/>
    <w:rsid w:val="009C5367"/>
    <w:pPr>
      <w:keepLines/>
      <w:spacing w:before="120" w:line="240" w:lineRule="exact"/>
      <w:ind w:left="567" w:hanging="567"/>
      <w:jc w:val="both"/>
    </w:pPr>
    <w:rPr>
      <w:rFonts w:ascii="Times New Roman" w:hAnsi="Times New Roman"/>
      <w:sz w:val="22"/>
      <w:szCs w:val="24"/>
      <w:lang w:eastAsia="en-AU" w:bidi="ar-SA"/>
    </w:rPr>
  </w:style>
  <w:style w:type="paragraph" w:customStyle="1" w:styleId="Notepara">
    <w:name w:val="Note para"/>
    <w:basedOn w:val="Normal"/>
    <w:rsid w:val="009C5367"/>
    <w:pPr>
      <w:keepLines/>
      <w:spacing w:before="60" w:line="220" w:lineRule="exact"/>
      <w:ind w:left="1304" w:hanging="340"/>
      <w:jc w:val="both"/>
    </w:pPr>
    <w:rPr>
      <w:rFonts w:ascii="Times New Roman" w:hAnsi="Times New Roman"/>
      <w:szCs w:val="24"/>
      <w:lang w:eastAsia="en-AU" w:bidi="ar-SA"/>
    </w:rPr>
  </w:style>
  <w:style w:type="paragraph" w:customStyle="1" w:styleId="NotesSectionBreak">
    <w:name w:val="NotesSectionBreak"/>
    <w:basedOn w:val="Normal"/>
    <w:next w:val="Normal"/>
    <w:rsid w:val="009C5367"/>
    <w:rPr>
      <w:rFonts w:ascii="Times New Roman" w:hAnsi="Times New Roman"/>
      <w:sz w:val="24"/>
      <w:szCs w:val="24"/>
      <w:lang w:eastAsia="en-AU" w:bidi="ar-SA"/>
    </w:rPr>
  </w:style>
  <w:style w:type="paragraph" w:customStyle="1" w:styleId="P1">
    <w:name w:val="P1"/>
    <w:aliases w:val="(a)"/>
    <w:basedOn w:val="Normal"/>
    <w:rsid w:val="009C5367"/>
    <w:pPr>
      <w:keepLines/>
      <w:tabs>
        <w:tab w:val="right" w:pos="1191"/>
      </w:tabs>
      <w:spacing w:before="60" w:line="260" w:lineRule="exact"/>
      <w:ind w:left="1418" w:hanging="1418"/>
      <w:jc w:val="both"/>
    </w:pPr>
    <w:rPr>
      <w:rFonts w:ascii="Times New Roman" w:hAnsi="Times New Roman"/>
      <w:sz w:val="24"/>
      <w:szCs w:val="24"/>
      <w:lang w:eastAsia="en-AU" w:bidi="ar-SA"/>
    </w:rPr>
  </w:style>
  <w:style w:type="paragraph" w:customStyle="1" w:styleId="P2">
    <w:name w:val="P2"/>
    <w:aliases w:val="(i)"/>
    <w:basedOn w:val="Normal"/>
    <w:rsid w:val="009C5367"/>
    <w:pPr>
      <w:keepLines/>
      <w:tabs>
        <w:tab w:val="right" w:pos="1758"/>
        <w:tab w:val="left" w:pos="2155"/>
      </w:tabs>
      <w:spacing w:before="60" w:line="260" w:lineRule="exact"/>
      <w:ind w:left="1985" w:hanging="1985"/>
      <w:jc w:val="both"/>
    </w:pPr>
    <w:rPr>
      <w:rFonts w:ascii="Times New Roman" w:hAnsi="Times New Roman"/>
      <w:sz w:val="24"/>
      <w:szCs w:val="24"/>
      <w:lang w:eastAsia="en-AU" w:bidi="ar-SA"/>
    </w:rPr>
  </w:style>
  <w:style w:type="paragraph" w:customStyle="1" w:styleId="P3">
    <w:name w:val="P3"/>
    <w:aliases w:val="(A)"/>
    <w:basedOn w:val="Normal"/>
    <w:rsid w:val="009C5367"/>
    <w:pPr>
      <w:tabs>
        <w:tab w:val="right" w:pos="2410"/>
      </w:tabs>
      <w:spacing w:before="60" w:line="260" w:lineRule="exact"/>
      <w:ind w:left="2693" w:hanging="2693"/>
      <w:jc w:val="both"/>
    </w:pPr>
    <w:rPr>
      <w:rFonts w:ascii="Times New Roman" w:hAnsi="Times New Roman"/>
      <w:sz w:val="24"/>
      <w:szCs w:val="24"/>
      <w:lang w:eastAsia="en-AU" w:bidi="ar-SA"/>
    </w:rPr>
  </w:style>
  <w:style w:type="paragraph" w:customStyle="1" w:styleId="P4">
    <w:name w:val="P4"/>
    <w:aliases w:val="(I)"/>
    <w:basedOn w:val="Normal"/>
    <w:rsid w:val="009C5367"/>
    <w:pPr>
      <w:tabs>
        <w:tab w:val="right" w:pos="3119"/>
      </w:tabs>
      <w:spacing w:before="60" w:line="260" w:lineRule="exact"/>
      <w:ind w:left="3419" w:hanging="3419"/>
      <w:jc w:val="both"/>
    </w:pPr>
    <w:rPr>
      <w:rFonts w:ascii="Times New Roman" w:hAnsi="Times New Roman"/>
      <w:sz w:val="24"/>
      <w:szCs w:val="24"/>
      <w:lang w:eastAsia="en-AU" w:bidi="ar-SA"/>
    </w:rPr>
  </w:style>
  <w:style w:type="paragraph" w:customStyle="1" w:styleId="PageBreak">
    <w:name w:val="PageBreak"/>
    <w:aliases w:val="pb"/>
    <w:basedOn w:val="Normal"/>
    <w:next w:val="Normal"/>
    <w:rsid w:val="009C5367"/>
    <w:rPr>
      <w:rFonts w:ascii="Times New Roman" w:hAnsi="Times New Roman"/>
      <w:sz w:val="4"/>
      <w:szCs w:val="2"/>
      <w:lang w:eastAsia="en-AU" w:bidi="ar-SA"/>
    </w:rPr>
  </w:style>
  <w:style w:type="paragraph" w:customStyle="1" w:styleId="Penalty">
    <w:name w:val="Penalty"/>
    <w:basedOn w:val="Normal"/>
    <w:next w:val="Normal"/>
    <w:rsid w:val="009C5367"/>
    <w:pPr>
      <w:spacing w:before="180" w:line="260" w:lineRule="exact"/>
      <w:ind w:left="964"/>
      <w:jc w:val="both"/>
    </w:pPr>
    <w:rPr>
      <w:rFonts w:ascii="Times New Roman" w:hAnsi="Times New Roman"/>
      <w:sz w:val="24"/>
      <w:szCs w:val="24"/>
      <w:lang w:eastAsia="en-AU" w:bidi="ar-SA"/>
    </w:rPr>
  </w:style>
  <w:style w:type="paragraph" w:customStyle="1" w:styleId="Query">
    <w:name w:val="Query"/>
    <w:aliases w:val="QY"/>
    <w:basedOn w:val="Normal"/>
    <w:rsid w:val="009C5367"/>
    <w:pPr>
      <w:spacing w:before="180" w:line="260" w:lineRule="exact"/>
      <w:ind w:left="964" w:hanging="964"/>
      <w:jc w:val="both"/>
    </w:pPr>
    <w:rPr>
      <w:rFonts w:ascii="Times New Roman" w:hAnsi="Times New Roman"/>
      <w:b/>
      <w:i/>
      <w:sz w:val="24"/>
      <w:szCs w:val="24"/>
      <w:lang w:eastAsia="en-AU" w:bidi="ar-SA"/>
    </w:rPr>
  </w:style>
  <w:style w:type="paragraph" w:customStyle="1" w:styleId="R1">
    <w:name w:val="R1"/>
    <w:aliases w:val="1. or 1.(1)"/>
    <w:basedOn w:val="Normal"/>
    <w:next w:val="R2"/>
    <w:rsid w:val="009C5367"/>
    <w:pPr>
      <w:keepLines/>
      <w:tabs>
        <w:tab w:val="right" w:pos="794"/>
      </w:tabs>
      <w:spacing w:before="120" w:line="260" w:lineRule="exact"/>
      <w:ind w:left="964" w:hanging="964"/>
      <w:jc w:val="both"/>
    </w:pPr>
    <w:rPr>
      <w:rFonts w:ascii="Times New Roman" w:hAnsi="Times New Roman"/>
      <w:sz w:val="24"/>
      <w:szCs w:val="24"/>
      <w:lang w:eastAsia="en-AU" w:bidi="ar-SA"/>
    </w:rPr>
  </w:style>
  <w:style w:type="paragraph" w:customStyle="1" w:styleId="R2">
    <w:name w:val="R2"/>
    <w:aliases w:val="(2)"/>
    <w:basedOn w:val="Normal"/>
    <w:rsid w:val="009C5367"/>
    <w:pPr>
      <w:keepLines/>
      <w:tabs>
        <w:tab w:val="right" w:pos="794"/>
      </w:tabs>
      <w:spacing w:before="180" w:line="260" w:lineRule="exact"/>
      <w:ind w:left="964" w:hanging="964"/>
      <w:jc w:val="both"/>
    </w:pPr>
    <w:rPr>
      <w:rFonts w:ascii="Times New Roman" w:hAnsi="Times New Roman"/>
      <w:sz w:val="24"/>
      <w:szCs w:val="24"/>
      <w:lang w:eastAsia="en-AU" w:bidi="ar-SA"/>
    </w:rPr>
  </w:style>
  <w:style w:type="paragraph" w:customStyle="1" w:styleId="Rc">
    <w:name w:val="Rc"/>
    <w:aliases w:val="Rn continued"/>
    <w:basedOn w:val="Normal"/>
    <w:next w:val="R2"/>
    <w:rsid w:val="009C5367"/>
    <w:pPr>
      <w:spacing w:before="60" w:line="260" w:lineRule="exact"/>
      <w:ind w:left="964"/>
      <w:jc w:val="both"/>
    </w:pPr>
    <w:rPr>
      <w:rFonts w:ascii="Times New Roman" w:hAnsi="Times New Roman"/>
      <w:sz w:val="24"/>
      <w:szCs w:val="24"/>
      <w:lang w:eastAsia="en-AU" w:bidi="ar-SA"/>
    </w:rPr>
  </w:style>
  <w:style w:type="paragraph" w:customStyle="1" w:styleId="ReadersGuideSectionBreak">
    <w:name w:val="ReadersGuideSectionBreak"/>
    <w:basedOn w:val="Normal"/>
    <w:next w:val="Normal"/>
    <w:rsid w:val="009C5367"/>
    <w:rPr>
      <w:rFonts w:ascii="Times New Roman" w:hAnsi="Times New Roman"/>
      <w:sz w:val="24"/>
      <w:szCs w:val="24"/>
      <w:lang w:eastAsia="en-AU" w:bidi="ar-SA"/>
    </w:rPr>
  </w:style>
  <w:style w:type="paragraph" w:customStyle="1" w:styleId="RGHead">
    <w:name w:val="RGHead"/>
    <w:basedOn w:val="Normal"/>
    <w:next w:val="Normal"/>
    <w:rsid w:val="009C5367"/>
    <w:pPr>
      <w:keepNext/>
      <w:spacing w:before="360"/>
    </w:pPr>
    <w:rPr>
      <w:b/>
      <w:sz w:val="32"/>
      <w:szCs w:val="24"/>
      <w:lang w:eastAsia="en-AU" w:bidi="ar-SA"/>
    </w:rPr>
  </w:style>
  <w:style w:type="paragraph" w:customStyle="1" w:styleId="RGPara">
    <w:name w:val="RGPara"/>
    <w:aliases w:val="Readers Guide Para"/>
    <w:basedOn w:val="Normal"/>
    <w:rsid w:val="009C5367"/>
    <w:pPr>
      <w:spacing w:before="120" w:line="260" w:lineRule="exact"/>
      <w:jc w:val="both"/>
    </w:pPr>
    <w:rPr>
      <w:rFonts w:ascii="Times New Roman" w:hAnsi="Times New Roman"/>
      <w:sz w:val="24"/>
      <w:szCs w:val="24"/>
      <w:lang w:eastAsia="en-AU" w:bidi="ar-SA"/>
    </w:rPr>
  </w:style>
  <w:style w:type="paragraph" w:customStyle="1" w:styleId="RGPtHd">
    <w:name w:val="RGPtHd"/>
    <w:aliases w:val="Readers Guide PT Heading"/>
    <w:basedOn w:val="Normal"/>
    <w:next w:val="Normal"/>
    <w:rsid w:val="009C5367"/>
    <w:pPr>
      <w:keepNext/>
      <w:spacing w:before="360"/>
    </w:pPr>
    <w:rPr>
      <w:b/>
      <w:sz w:val="28"/>
      <w:szCs w:val="24"/>
      <w:lang w:eastAsia="en-AU" w:bidi="ar-SA"/>
    </w:rPr>
  </w:style>
  <w:style w:type="paragraph" w:customStyle="1" w:styleId="RGSecHdg">
    <w:name w:val="RGSecHdg"/>
    <w:aliases w:val="Readers Guide Sec Heading"/>
    <w:basedOn w:val="Normal"/>
    <w:next w:val="RGPara"/>
    <w:rsid w:val="009C5367"/>
    <w:pPr>
      <w:keepNext/>
      <w:spacing w:before="360"/>
      <w:ind w:left="964" w:hanging="964"/>
    </w:pPr>
    <w:rPr>
      <w:b/>
      <w:sz w:val="24"/>
      <w:szCs w:val="24"/>
      <w:lang w:eastAsia="en-AU" w:bidi="ar-SA"/>
    </w:rPr>
  </w:style>
  <w:style w:type="paragraph" w:customStyle="1" w:styleId="LandscapeSectionBreak">
    <w:name w:val="LandscapeSectionBreak"/>
    <w:basedOn w:val="Normal"/>
    <w:next w:val="Normal"/>
    <w:rsid w:val="009C5367"/>
    <w:rPr>
      <w:rFonts w:ascii="Times New Roman" w:hAnsi="Times New Roman"/>
      <w:sz w:val="24"/>
      <w:szCs w:val="24"/>
      <w:lang w:eastAsia="en-AU" w:bidi="ar-SA"/>
    </w:rPr>
  </w:style>
  <w:style w:type="paragraph" w:customStyle="1" w:styleId="ScheduleDivision">
    <w:name w:val="Schedule Division"/>
    <w:basedOn w:val="Normal"/>
    <w:next w:val="ScheduleHeading"/>
    <w:rsid w:val="009C5367"/>
    <w:pPr>
      <w:keepNext/>
      <w:keepLines/>
      <w:spacing w:before="360"/>
      <w:ind w:left="1559" w:hanging="1559"/>
    </w:pPr>
    <w:rPr>
      <w:b/>
      <w:sz w:val="24"/>
      <w:szCs w:val="24"/>
      <w:lang w:eastAsia="en-AU" w:bidi="ar-SA"/>
    </w:rPr>
  </w:style>
  <w:style w:type="character" w:customStyle="1" w:styleId="CharSchNo">
    <w:name w:val="CharSchNo"/>
    <w:basedOn w:val="DefaultParagraphFont"/>
    <w:rsid w:val="009C5367"/>
  </w:style>
  <w:style w:type="character" w:customStyle="1" w:styleId="CharSchText">
    <w:name w:val="CharSchText"/>
    <w:basedOn w:val="DefaultParagraphFont"/>
    <w:rsid w:val="009C5367"/>
  </w:style>
  <w:style w:type="paragraph" w:customStyle="1" w:styleId="IntroP1a">
    <w:name w:val="IntroP1(a)"/>
    <w:basedOn w:val="Normal"/>
    <w:rsid w:val="009C5367"/>
    <w:pPr>
      <w:spacing w:before="60" w:line="260" w:lineRule="exact"/>
      <w:ind w:left="454" w:hanging="454"/>
      <w:jc w:val="both"/>
    </w:pPr>
    <w:rPr>
      <w:rFonts w:ascii="Times New Roman" w:hAnsi="Times New Roman"/>
      <w:sz w:val="24"/>
      <w:szCs w:val="24"/>
      <w:lang w:eastAsia="en-AU" w:bidi="ar-SA"/>
    </w:rPr>
  </w:style>
  <w:style w:type="character" w:customStyle="1" w:styleId="CharAmSchPTNo">
    <w:name w:val="CharAmSchPTNo"/>
    <w:basedOn w:val="DefaultParagraphFont"/>
    <w:rsid w:val="009C5367"/>
  </w:style>
  <w:style w:type="character" w:customStyle="1" w:styleId="CharAmSchPTText">
    <w:name w:val="CharAmSchPTText"/>
    <w:basedOn w:val="DefaultParagraphFont"/>
    <w:rsid w:val="009C5367"/>
  </w:style>
  <w:style w:type="paragraph" w:customStyle="1" w:styleId="Footerinfo0">
    <w:name w:val="Footerinfo"/>
    <w:basedOn w:val="Footer"/>
    <w:rsid w:val="009C5367"/>
    <w:pPr>
      <w:tabs>
        <w:tab w:val="clear" w:pos="4320"/>
        <w:tab w:val="clear" w:pos="8640"/>
        <w:tab w:val="center" w:pos="3600"/>
        <w:tab w:val="right" w:pos="7201"/>
      </w:tabs>
      <w:spacing w:before="20"/>
      <w:jc w:val="center"/>
    </w:pPr>
    <w:rPr>
      <w:i/>
      <w:sz w:val="12"/>
      <w:szCs w:val="18"/>
      <w:lang w:eastAsia="en-AU" w:bidi="ar-SA"/>
    </w:rPr>
  </w:style>
  <w:style w:type="paragraph" w:customStyle="1" w:styleId="FooterPageEven">
    <w:name w:val="FooterPageEven"/>
    <w:basedOn w:val="FooterPageOdd"/>
    <w:rsid w:val="009C5367"/>
    <w:pPr>
      <w:jc w:val="left"/>
    </w:pPr>
  </w:style>
  <w:style w:type="paragraph" w:customStyle="1" w:styleId="FooterPageOdd">
    <w:name w:val="FooterPageOdd"/>
    <w:basedOn w:val="Footer"/>
    <w:rsid w:val="009C5367"/>
    <w:pPr>
      <w:tabs>
        <w:tab w:val="clear" w:pos="4320"/>
        <w:tab w:val="clear" w:pos="8640"/>
        <w:tab w:val="center" w:pos="3600"/>
        <w:tab w:val="right" w:pos="7201"/>
      </w:tabs>
      <w:spacing w:before="20"/>
      <w:jc w:val="right"/>
    </w:pPr>
    <w:rPr>
      <w:sz w:val="22"/>
      <w:szCs w:val="18"/>
      <w:lang w:eastAsia="en-AU" w:bidi="ar-SA"/>
    </w:rPr>
  </w:style>
  <w:style w:type="paragraph" w:customStyle="1" w:styleId="FooterCitation">
    <w:name w:val="FooterCitation"/>
    <w:basedOn w:val="Footer"/>
    <w:rsid w:val="009C5367"/>
    <w:pPr>
      <w:tabs>
        <w:tab w:val="clear" w:pos="4320"/>
        <w:tab w:val="clear" w:pos="8640"/>
        <w:tab w:val="center" w:pos="4153"/>
        <w:tab w:val="right" w:pos="8306"/>
      </w:tabs>
      <w:spacing w:before="20" w:line="240" w:lineRule="exact"/>
      <w:jc w:val="center"/>
    </w:pPr>
    <w:rPr>
      <w:i/>
      <w:sz w:val="18"/>
      <w:szCs w:val="24"/>
      <w:lang w:eastAsia="en-AU" w:bidi="ar-SA"/>
    </w:rPr>
  </w:style>
  <w:style w:type="paragraph" w:customStyle="1" w:styleId="SchedSectionBreak">
    <w:name w:val="SchedSectionBreak"/>
    <w:basedOn w:val="Normal"/>
    <w:next w:val="Normal"/>
    <w:rsid w:val="009C5367"/>
    <w:rPr>
      <w:rFonts w:ascii="Times New Roman" w:hAnsi="Times New Roman"/>
      <w:sz w:val="24"/>
      <w:szCs w:val="24"/>
      <w:lang w:eastAsia="en-AU" w:bidi="ar-SA"/>
    </w:rPr>
  </w:style>
  <w:style w:type="paragraph" w:customStyle="1" w:styleId="ScheduleHeading">
    <w:name w:val="Schedule Heading"/>
    <w:basedOn w:val="Normal"/>
    <w:next w:val="Normal"/>
    <w:rsid w:val="009C5367"/>
    <w:pPr>
      <w:keepNext/>
      <w:keepLines/>
      <w:spacing w:before="360"/>
      <w:ind w:left="964" w:hanging="964"/>
    </w:pPr>
    <w:rPr>
      <w:b/>
      <w:sz w:val="24"/>
      <w:szCs w:val="24"/>
      <w:lang w:eastAsia="en-AU" w:bidi="ar-SA"/>
    </w:rPr>
  </w:style>
  <w:style w:type="paragraph" w:customStyle="1" w:styleId="Schedulelist">
    <w:name w:val="Schedule list"/>
    <w:basedOn w:val="Normal"/>
    <w:rsid w:val="009C5367"/>
    <w:pPr>
      <w:tabs>
        <w:tab w:val="right" w:pos="1985"/>
      </w:tabs>
      <w:spacing w:before="60" w:line="260" w:lineRule="exact"/>
      <w:ind w:left="454"/>
    </w:pPr>
    <w:rPr>
      <w:rFonts w:ascii="Times New Roman" w:hAnsi="Times New Roman"/>
      <w:sz w:val="24"/>
      <w:szCs w:val="24"/>
      <w:lang w:eastAsia="en-AU" w:bidi="ar-SA"/>
    </w:rPr>
  </w:style>
  <w:style w:type="paragraph" w:customStyle="1" w:styleId="Schedulepara">
    <w:name w:val="Schedule para"/>
    <w:basedOn w:val="Normal"/>
    <w:rsid w:val="009C5367"/>
    <w:pPr>
      <w:tabs>
        <w:tab w:val="right" w:pos="567"/>
      </w:tabs>
      <w:spacing w:before="180" w:line="260" w:lineRule="exact"/>
      <w:ind w:left="964" w:hanging="964"/>
      <w:jc w:val="both"/>
    </w:pPr>
    <w:rPr>
      <w:rFonts w:ascii="Times New Roman" w:hAnsi="Times New Roman"/>
      <w:sz w:val="24"/>
      <w:szCs w:val="24"/>
      <w:lang w:eastAsia="en-AU" w:bidi="ar-SA"/>
    </w:rPr>
  </w:style>
  <w:style w:type="paragraph" w:customStyle="1" w:styleId="Schedulepart">
    <w:name w:val="Schedule part"/>
    <w:basedOn w:val="Normal"/>
    <w:rsid w:val="009C5367"/>
    <w:pPr>
      <w:keepNext/>
      <w:keepLines/>
      <w:spacing w:before="360"/>
      <w:ind w:left="1559" w:hanging="1559"/>
    </w:pPr>
    <w:rPr>
      <w:b/>
      <w:sz w:val="28"/>
      <w:szCs w:val="24"/>
      <w:lang w:eastAsia="en-AU" w:bidi="ar-SA"/>
    </w:rPr>
  </w:style>
  <w:style w:type="paragraph" w:customStyle="1" w:styleId="Schedulereference">
    <w:name w:val="Schedule reference"/>
    <w:basedOn w:val="Normal"/>
    <w:next w:val="Schedulepart"/>
    <w:rsid w:val="009C5367"/>
    <w:pPr>
      <w:keepNext/>
      <w:keepLines/>
      <w:spacing w:before="60" w:line="200" w:lineRule="exact"/>
      <w:ind w:left="2410"/>
    </w:pPr>
    <w:rPr>
      <w:sz w:val="18"/>
      <w:szCs w:val="24"/>
      <w:lang w:eastAsia="en-AU" w:bidi="ar-SA"/>
    </w:rPr>
  </w:style>
  <w:style w:type="paragraph" w:customStyle="1" w:styleId="Scheduletitle">
    <w:name w:val="Schedule title"/>
    <w:basedOn w:val="Normal"/>
    <w:next w:val="Schedulereference"/>
    <w:rsid w:val="009C5367"/>
    <w:pPr>
      <w:keepNext/>
      <w:keepLines/>
      <w:spacing w:before="480"/>
      <w:ind w:left="2410" w:hanging="2410"/>
    </w:pPr>
    <w:rPr>
      <w:b/>
      <w:sz w:val="32"/>
      <w:szCs w:val="24"/>
      <w:lang w:eastAsia="en-AU" w:bidi="ar-SA"/>
    </w:rPr>
  </w:style>
  <w:style w:type="paragraph" w:customStyle="1" w:styleId="SigningPageBreak">
    <w:name w:val="SigningPageBreak"/>
    <w:basedOn w:val="Normal"/>
    <w:next w:val="Normal"/>
    <w:rsid w:val="009C5367"/>
    <w:rPr>
      <w:rFonts w:ascii="Times New Roman" w:hAnsi="Times New Roman"/>
      <w:sz w:val="24"/>
      <w:szCs w:val="24"/>
      <w:lang w:eastAsia="en-AU" w:bidi="ar-SA"/>
    </w:rPr>
  </w:style>
  <w:style w:type="paragraph" w:customStyle="1" w:styleId="SRNo">
    <w:name w:val="SRNo"/>
    <w:basedOn w:val="Normal"/>
    <w:next w:val="Normal"/>
    <w:rsid w:val="009C5367"/>
    <w:pPr>
      <w:pBdr>
        <w:bottom w:val="single" w:sz="4" w:space="3" w:color="auto"/>
      </w:pBdr>
      <w:spacing w:before="480"/>
    </w:pPr>
    <w:rPr>
      <w:b/>
      <w:sz w:val="24"/>
      <w:szCs w:val="24"/>
      <w:lang w:eastAsia="en-AU" w:bidi="ar-SA"/>
    </w:rPr>
  </w:style>
  <w:style w:type="paragraph" w:styleId="TableofAuthorities">
    <w:name w:val="table of authorities"/>
    <w:basedOn w:val="Normal"/>
    <w:next w:val="Normal"/>
    <w:rsid w:val="009C5367"/>
    <w:pPr>
      <w:ind w:left="240" w:hanging="240"/>
    </w:pPr>
    <w:rPr>
      <w:rFonts w:ascii="Times New Roman" w:hAnsi="Times New Roman"/>
      <w:sz w:val="24"/>
      <w:szCs w:val="24"/>
      <w:lang w:eastAsia="en-AU" w:bidi="ar-SA"/>
    </w:rPr>
  </w:style>
  <w:style w:type="paragraph" w:styleId="TableofFigures">
    <w:name w:val="table of figures"/>
    <w:basedOn w:val="Normal"/>
    <w:next w:val="Normal"/>
    <w:rsid w:val="009C5367"/>
    <w:pPr>
      <w:ind w:left="480" w:hanging="480"/>
    </w:pPr>
    <w:rPr>
      <w:rFonts w:ascii="Times New Roman" w:hAnsi="Times New Roman"/>
      <w:sz w:val="24"/>
      <w:szCs w:val="24"/>
      <w:lang w:eastAsia="en-AU" w:bidi="ar-SA"/>
    </w:rPr>
  </w:style>
  <w:style w:type="paragraph" w:customStyle="1" w:styleId="TableColHead">
    <w:name w:val="TableColHead"/>
    <w:basedOn w:val="Normal"/>
    <w:rsid w:val="009C5367"/>
    <w:pPr>
      <w:keepNext/>
      <w:spacing w:before="120" w:after="60" w:line="200" w:lineRule="exact"/>
    </w:pPr>
    <w:rPr>
      <w:b/>
      <w:sz w:val="18"/>
      <w:szCs w:val="24"/>
      <w:lang w:eastAsia="en-AU" w:bidi="ar-SA"/>
    </w:rPr>
  </w:style>
  <w:style w:type="table" w:customStyle="1" w:styleId="TableGeneral">
    <w:name w:val="TableGeneral"/>
    <w:basedOn w:val="TableNormal"/>
    <w:rsid w:val="009C5367"/>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9C5367"/>
    <w:pPr>
      <w:tabs>
        <w:tab w:val="right" w:pos="408"/>
      </w:tabs>
      <w:spacing w:after="60" w:line="240" w:lineRule="exact"/>
      <w:ind w:left="533" w:hanging="533"/>
    </w:pPr>
    <w:rPr>
      <w:rFonts w:ascii="Times New Roman" w:hAnsi="Times New Roman"/>
      <w:sz w:val="22"/>
      <w:szCs w:val="24"/>
      <w:lang w:eastAsia="en-AU" w:bidi="ar-SA"/>
    </w:rPr>
  </w:style>
  <w:style w:type="paragraph" w:customStyle="1" w:styleId="TableP2i">
    <w:name w:val="TableP2(i)"/>
    <w:basedOn w:val="Normal"/>
    <w:rsid w:val="009C5367"/>
    <w:pPr>
      <w:tabs>
        <w:tab w:val="right" w:pos="726"/>
      </w:tabs>
      <w:spacing w:after="60" w:line="240" w:lineRule="exact"/>
      <w:ind w:left="868" w:hanging="868"/>
    </w:pPr>
    <w:rPr>
      <w:rFonts w:ascii="Times New Roman" w:hAnsi="Times New Roman"/>
      <w:sz w:val="22"/>
      <w:szCs w:val="24"/>
      <w:lang w:eastAsia="en-AU" w:bidi="ar-SA"/>
    </w:rPr>
  </w:style>
  <w:style w:type="paragraph" w:customStyle="1" w:styleId="TableText">
    <w:name w:val="TableText"/>
    <w:basedOn w:val="Normal"/>
    <w:rsid w:val="009C5367"/>
    <w:pPr>
      <w:spacing w:before="60" w:after="60" w:line="240" w:lineRule="exact"/>
    </w:pPr>
    <w:rPr>
      <w:rFonts w:ascii="Times New Roman" w:hAnsi="Times New Roman"/>
      <w:sz w:val="22"/>
      <w:szCs w:val="24"/>
      <w:lang w:eastAsia="en-AU" w:bidi="ar-SA"/>
    </w:rPr>
  </w:style>
  <w:style w:type="paragraph" w:styleId="TOAHeading">
    <w:name w:val="toa heading"/>
    <w:basedOn w:val="Normal"/>
    <w:next w:val="Normal"/>
    <w:rsid w:val="009C5367"/>
    <w:pPr>
      <w:spacing w:before="120"/>
    </w:pPr>
    <w:rPr>
      <w:rFonts w:cs="Arial"/>
      <w:b/>
      <w:bCs/>
      <w:sz w:val="24"/>
      <w:szCs w:val="24"/>
      <w:lang w:eastAsia="en-AU" w:bidi="ar-SA"/>
    </w:rPr>
  </w:style>
  <w:style w:type="paragraph" w:customStyle="1" w:styleId="TOC">
    <w:name w:val="TOC"/>
    <w:basedOn w:val="Normal"/>
    <w:next w:val="Normal"/>
    <w:rsid w:val="009C5367"/>
    <w:pPr>
      <w:tabs>
        <w:tab w:val="right" w:pos="7088"/>
      </w:tabs>
      <w:spacing w:after="120"/>
    </w:pPr>
    <w:rPr>
      <w:szCs w:val="24"/>
      <w:lang w:bidi="ar-SA"/>
    </w:rPr>
  </w:style>
  <w:style w:type="paragraph" w:styleId="TOC4">
    <w:name w:val="toc 4"/>
    <w:basedOn w:val="Normal"/>
    <w:next w:val="Normal"/>
    <w:autoRedefine/>
    <w:rsid w:val="009C5367"/>
    <w:pPr>
      <w:keepNext/>
      <w:tabs>
        <w:tab w:val="right" w:pos="8278"/>
      </w:tabs>
      <w:spacing w:before="80"/>
      <w:ind w:left="1843" w:hanging="1843"/>
    </w:pPr>
    <w:rPr>
      <w:b/>
      <w:sz w:val="18"/>
      <w:szCs w:val="24"/>
      <w:lang w:bidi="ar-SA"/>
    </w:rPr>
  </w:style>
  <w:style w:type="paragraph" w:styleId="TOC5">
    <w:name w:val="toc 5"/>
    <w:basedOn w:val="Normal"/>
    <w:next w:val="Normal"/>
    <w:autoRedefine/>
    <w:rsid w:val="009C5367"/>
    <w:pPr>
      <w:tabs>
        <w:tab w:val="right" w:pos="1559"/>
        <w:tab w:val="right" w:pos="8278"/>
      </w:tabs>
      <w:spacing w:before="40"/>
      <w:ind w:left="1843" w:right="714" w:hanging="1843"/>
    </w:pPr>
    <w:rPr>
      <w:szCs w:val="24"/>
      <w:lang w:bidi="ar-SA"/>
    </w:rPr>
  </w:style>
  <w:style w:type="paragraph" w:styleId="TOC6">
    <w:name w:val="toc 6"/>
    <w:basedOn w:val="Normal"/>
    <w:next w:val="Normal"/>
    <w:autoRedefine/>
    <w:rsid w:val="009C5367"/>
    <w:pPr>
      <w:keepNext/>
      <w:tabs>
        <w:tab w:val="right" w:pos="8278"/>
      </w:tabs>
      <w:spacing w:before="120"/>
      <w:ind w:left="1843" w:right="561" w:hanging="1843"/>
    </w:pPr>
    <w:rPr>
      <w:b/>
      <w:szCs w:val="24"/>
      <w:lang w:bidi="ar-SA"/>
    </w:rPr>
  </w:style>
  <w:style w:type="paragraph" w:styleId="TOC7">
    <w:name w:val="toc 7"/>
    <w:basedOn w:val="Normal"/>
    <w:next w:val="Normal"/>
    <w:autoRedefine/>
    <w:rsid w:val="009C5367"/>
    <w:pPr>
      <w:tabs>
        <w:tab w:val="right" w:pos="8278"/>
      </w:tabs>
      <w:spacing w:before="240" w:after="120"/>
      <w:ind w:left="1134" w:right="714" w:hanging="1134"/>
    </w:pPr>
    <w:rPr>
      <w:b/>
      <w:szCs w:val="24"/>
      <w:lang w:bidi="ar-SA"/>
    </w:rPr>
  </w:style>
  <w:style w:type="paragraph" w:styleId="TOC8">
    <w:name w:val="toc 8"/>
    <w:basedOn w:val="Normal"/>
    <w:next w:val="Normal"/>
    <w:autoRedefine/>
    <w:rsid w:val="009C5367"/>
    <w:pPr>
      <w:tabs>
        <w:tab w:val="right" w:pos="8278"/>
      </w:tabs>
      <w:spacing w:before="60"/>
      <w:ind w:left="1843" w:right="714" w:hanging="1843"/>
    </w:pPr>
    <w:rPr>
      <w:szCs w:val="24"/>
      <w:lang w:bidi="ar-SA"/>
    </w:rPr>
  </w:style>
  <w:style w:type="paragraph" w:styleId="TOC9">
    <w:name w:val="toc 9"/>
    <w:basedOn w:val="Normal"/>
    <w:next w:val="Normal"/>
    <w:autoRedefine/>
    <w:rsid w:val="009C5367"/>
    <w:pPr>
      <w:tabs>
        <w:tab w:val="right" w:pos="8278"/>
      </w:tabs>
      <w:spacing w:before="240" w:after="120"/>
    </w:pPr>
    <w:rPr>
      <w:b/>
      <w:szCs w:val="24"/>
      <w:lang w:bidi="ar-SA"/>
    </w:rPr>
  </w:style>
  <w:style w:type="paragraph" w:customStyle="1" w:styleId="IntroP2i">
    <w:name w:val="IntroP2(i)"/>
    <w:basedOn w:val="Normal"/>
    <w:rsid w:val="009C5367"/>
    <w:pPr>
      <w:tabs>
        <w:tab w:val="right" w:pos="709"/>
      </w:tabs>
      <w:spacing w:before="60" w:line="260" w:lineRule="exact"/>
      <w:ind w:left="907" w:hanging="907"/>
      <w:jc w:val="both"/>
    </w:pPr>
    <w:rPr>
      <w:rFonts w:ascii="Times New Roman" w:hAnsi="Times New Roman"/>
      <w:sz w:val="24"/>
      <w:szCs w:val="24"/>
      <w:lang w:eastAsia="en-AU" w:bidi="ar-SA"/>
    </w:rPr>
  </w:style>
  <w:style w:type="paragraph" w:customStyle="1" w:styleId="IntroP3A">
    <w:name w:val="IntroP3(A)"/>
    <w:basedOn w:val="Normal"/>
    <w:rsid w:val="009C5367"/>
    <w:pPr>
      <w:tabs>
        <w:tab w:val="right" w:pos="1276"/>
      </w:tabs>
      <w:spacing w:before="60" w:line="260" w:lineRule="exact"/>
      <w:ind w:left="1503" w:hanging="1503"/>
      <w:jc w:val="both"/>
    </w:pPr>
    <w:rPr>
      <w:rFonts w:ascii="Times New Roman" w:hAnsi="Times New Roman"/>
      <w:sz w:val="24"/>
      <w:szCs w:val="24"/>
      <w:lang w:eastAsia="en-AU" w:bidi="ar-SA"/>
    </w:rPr>
  </w:style>
  <w:style w:type="paragraph" w:customStyle="1" w:styleId="InstructorsNote">
    <w:name w:val="InstructorsNote"/>
    <w:basedOn w:val="Normal"/>
    <w:next w:val="Normal"/>
    <w:rsid w:val="009C5367"/>
    <w:pPr>
      <w:spacing w:before="120"/>
      <w:ind w:left="958" w:hanging="958"/>
    </w:pPr>
    <w:rPr>
      <w:rFonts w:cs="Arial"/>
      <w:b/>
      <w:sz w:val="16"/>
      <w:szCs w:val="18"/>
      <w:lang w:bidi="ar-SA"/>
    </w:rPr>
  </w:style>
  <w:style w:type="paragraph" w:customStyle="1" w:styleId="ZA2">
    <w:name w:val="ZA2"/>
    <w:basedOn w:val="A2"/>
    <w:rsid w:val="009C5367"/>
    <w:pPr>
      <w:keepNext/>
    </w:pPr>
  </w:style>
  <w:style w:type="paragraph" w:customStyle="1" w:styleId="ZA3">
    <w:name w:val="ZA3"/>
    <w:basedOn w:val="A3"/>
    <w:rsid w:val="009C5367"/>
    <w:pPr>
      <w:keepNext/>
    </w:pPr>
  </w:style>
  <w:style w:type="paragraph" w:customStyle="1" w:styleId="ZA4">
    <w:name w:val="ZA4"/>
    <w:basedOn w:val="Normal"/>
    <w:next w:val="A4"/>
    <w:rsid w:val="009C5367"/>
    <w:pPr>
      <w:keepNext/>
      <w:tabs>
        <w:tab w:val="right" w:pos="1247"/>
      </w:tabs>
      <w:spacing w:before="60" w:line="260" w:lineRule="exact"/>
      <w:ind w:left="1531" w:hanging="1531"/>
      <w:jc w:val="both"/>
    </w:pPr>
    <w:rPr>
      <w:rFonts w:ascii="Times New Roman" w:hAnsi="Times New Roman"/>
      <w:sz w:val="24"/>
      <w:szCs w:val="24"/>
      <w:lang w:eastAsia="en-AU" w:bidi="ar-SA"/>
    </w:rPr>
  </w:style>
  <w:style w:type="paragraph" w:customStyle="1" w:styleId="ZDD">
    <w:name w:val="ZDD"/>
    <w:aliases w:val="Dict Def"/>
    <w:basedOn w:val="DD"/>
    <w:rsid w:val="009C5367"/>
    <w:pPr>
      <w:keepNext/>
    </w:pPr>
  </w:style>
  <w:style w:type="paragraph" w:customStyle="1" w:styleId="Zdefinition">
    <w:name w:val="Zdefinition"/>
    <w:basedOn w:val="definition"/>
    <w:rsid w:val="009C5367"/>
    <w:pPr>
      <w:keepNext/>
    </w:pPr>
  </w:style>
  <w:style w:type="paragraph" w:customStyle="1" w:styleId="ZDP1">
    <w:name w:val="ZDP1"/>
    <w:basedOn w:val="DP1a"/>
    <w:rsid w:val="009C5367"/>
    <w:pPr>
      <w:keepNext/>
    </w:pPr>
  </w:style>
  <w:style w:type="paragraph" w:customStyle="1" w:styleId="ZExampleBody">
    <w:name w:val="ZExample Body"/>
    <w:basedOn w:val="ExampleBody"/>
    <w:rsid w:val="009C5367"/>
    <w:pPr>
      <w:keepNext/>
    </w:pPr>
  </w:style>
  <w:style w:type="paragraph" w:customStyle="1" w:styleId="ZNote">
    <w:name w:val="ZNote"/>
    <w:basedOn w:val="Note"/>
    <w:rsid w:val="009C5367"/>
    <w:pPr>
      <w:keepNext/>
    </w:pPr>
  </w:style>
  <w:style w:type="paragraph" w:customStyle="1" w:styleId="ZP1">
    <w:name w:val="ZP1"/>
    <w:basedOn w:val="P1"/>
    <w:rsid w:val="009C5367"/>
    <w:pPr>
      <w:keepNext/>
    </w:pPr>
  </w:style>
  <w:style w:type="paragraph" w:customStyle="1" w:styleId="ZP2">
    <w:name w:val="ZP2"/>
    <w:basedOn w:val="P2"/>
    <w:rsid w:val="009C5367"/>
    <w:pPr>
      <w:keepNext/>
    </w:pPr>
  </w:style>
  <w:style w:type="paragraph" w:customStyle="1" w:styleId="ZP3">
    <w:name w:val="ZP3"/>
    <w:basedOn w:val="P3"/>
    <w:rsid w:val="009C5367"/>
    <w:pPr>
      <w:keepNext/>
    </w:pPr>
  </w:style>
  <w:style w:type="paragraph" w:customStyle="1" w:styleId="ZR1">
    <w:name w:val="ZR1"/>
    <w:basedOn w:val="R1"/>
    <w:rsid w:val="009C5367"/>
    <w:pPr>
      <w:keepNext/>
    </w:pPr>
  </w:style>
  <w:style w:type="paragraph" w:customStyle="1" w:styleId="ZR2">
    <w:name w:val="ZR2"/>
    <w:basedOn w:val="R2"/>
    <w:rsid w:val="009C5367"/>
    <w:pPr>
      <w:keepNext/>
    </w:pPr>
  </w:style>
  <w:style w:type="paragraph" w:customStyle="1" w:styleId="ZRcN">
    <w:name w:val="ZRcN"/>
    <w:basedOn w:val="Rc"/>
    <w:rsid w:val="009C5367"/>
    <w:pPr>
      <w:keepNext/>
    </w:pPr>
  </w:style>
  <w:style w:type="character" w:customStyle="1" w:styleId="SubtitleChar">
    <w:name w:val="Subtitle Char"/>
    <w:basedOn w:val="DefaultParagraphFont"/>
    <w:link w:val="Subtitle"/>
    <w:rsid w:val="00E818EB"/>
    <w:rPr>
      <w:rFonts w:ascii="Arial" w:hAnsi="Arial" w:cs="Arial"/>
      <w:sz w:val="24"/>
      <w:szCs w:val="24"/>
    </w:rPr>
  </w:style>
  <w:style w:type="paragraph" w:styleId="Revision">
    <w:name w:val="Revision"/>
    <w:hidden/>
    <w:uiPriority w:val="99"/>
    <w:semiHidden/>
    <w:rsid w:val="00611405"/>
    <w:rPr>
      <w:rFonts w:ascii="Arial" w:hAnsi="Arial"/>
      <w:lang w:eastAsia="en-US" w:bidi="he-IL"/>
    </w:rPr>
  </w:style>
  <w:style w:type="paragraph" w:customStyle="1" w:styleId="Body">
    <w:name w:val="Body"/>
    <w:basedOn w:val="Normal"/>
    <w:rsid w:val="00C747E9"/>
    <w:pPr>
      <w:numPr>
        <w:numId w:val="49"/>
      </w:numPr>
      <w:spacing w:before="120" w:after="120"/>
    </w:pPr>
    <w:rPr>
      <w:rFonts w:ascii="Times New Roman" w:hAnsi="Times New Roman"/>
      <w:sz w:val="24"/>
      <w:lang w:eastAsia="en-AU" w:bidi="ar-SA"/>
    </w:rPr>
  </w:style>
  <w:style w:type="character" w:customStyle="1" w:styleId="CommentTextChar">
    <w:name w:val="Comment Text Char"/>
    <w:basedOn w:val="DefaultParagraphFont"/>
    <w:link w:val="CommentText"/>
    <w:semiHidden/>
    <w:rsid w:val="00264F85"/>
    <w:rPr>
      <w:rFonts w:ascii="Arial" w:hAnsi="Arial"/>
      <w:lang w:eastAsia="en-US" w:bidi="he-IL"/>
    </w:rPr>
  </w:style>
  <w:style w:type="character" w:customStyle="1" w:styleId="Heading3Char">
    <w:name w:val="Heading 3 Char"/>
    <w:basedOn w:val="DefaultParagraphFont"/>
    <w:link w:val="Heading3"/>
    <w:rsid w:val="00D01D7D"/>
    <w:rPr>
      <w:rFonts w:ascii="Arial" w:hAnsi="Arial" w:cs="Arial"/>
      <w:b/>
      <w:bCs/>
      <w:sz w:val="24"/>
      <w:szCs w:val="24"/>
    </w:rPr>
  </w:style>
  <w:style w:type="paragraph" w:styleId="ListParagraph">
    <w:name w:val="List Paragraph"/>
    <w:basedOn w:val="Normal"/>
    <w:uiPriority w:val="34"/>
    <w:qFormat/>
    <w:rsid w:val="004F30A7"/>
    <w:pPr>
      <w:ind w:left="720"/>
      <w:contextualSpacing/>
    </w:pPr>
  </w:style>
  <w:style w:type="character" w:customStyle="1" w:styleId="FooterChar">
    <w:name w:val="Footer Char"/>
    <w:basedOn w:val="DefaultParagraphFont"/>
    <w:link w:val="Footer"/>
    <w:uiPriority w:val="99"/>
    <w:rsid w:val="00AA2C39"/>
    <w:rPr>
      <w:rFonts w:ascii="Arial" w:hAnsi="Arial"/>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282066">
      <w:bodyDiv w:val="1"/>
      <w:marLeft w:val="0"/>
      <w:marRight w:val="0"/>
      <w:marTop w:val="0"/>
      <w:marBottom w:val="0"/>
      <w:divBdr>
        <w:top w:val="none" w:sz="0" w:space="0" w:color="auto"/>
        <w:left w:val="none" w:sz="0" w:space="0" w:color="auto"/>
        <w:bottom w:val="none" w:sz="0" w:space="0" w:color="auto"/>
        <w:right w:val="none" w:sz="0" w:space="0" w:color="auto"/>
      </w:divBdr>
      <w:divsChild>
        <w:div w:id="2100103099">
          <w:marLeft w:val="0"/>
          <w:marRight w:val="0"/>
          <w:marTop w:val="0"/>
          <w:marBottom w:val="0"/>
          <w:divBdr>
            <w:top w:val="none" w:sz="0" w:space="0" w:color="auto"/>
            <w:left w:val="none" w:sz="0" w:space="0" w:color="auto"/>
            <w:bottom w:val="none" w:sz="0" w:space="0" w:color="auto"/>
            <w:right w:val="none" w:sz="0" w:space="0" w:color="auto"/>
          </w:divBdr>
          <w:divsChild>
            <w:div w:id="1079475819">
              <w:marLeft w:val="0"/>
              <w:marRight w:val="0"/>
              <w:marTop w:val="0"/>
              <w:marBottom w:val="0"/>
              <w:divBdr>
                <w:top w:val="none" w:sz="0" w:space="0" w:color="auto"/>
                <w:left w:val="none" w:sz="0" w:space="0" w:color="auto"/>
                <w:bottom w:val="none" w:sz="0" w:space="0" w:color="auto"/>
                <w:right w:val="none" w:sz="0" w:space="0" w:color="auto"/>
              </w:divBdr>
              <w:divsChild>
                <w:div w:id="1931771100">
                  <w:marLeft w:val="0"/>
                  <w:marRight w:val="0"/>
                  <w:marTop w:val="0"/>
                  <w:marBottom w:val="0"/>
                  <w:divBdr>
                    <w:top w:val="none" w:sz="0" w:space="0" w:color="auto"/>
                    <w:left w:val="none" w:sz="0" w:space="0" w:color="auto"/>
                    <w:bottom w:val="none" w:sz="0" w:space="0" w:color="auto"/>
                    <w:right w:val="none" w:sz="0" w:space="0" w:color="auto"/>
                  </w:divBdr>
                  <w:divsChild>
                    <w:div w:id="1533690848">
                      <w:marLeft w:val="0"/>
                      <w:marRight w:val="0"/>
                      <w:marTop w:val="0"/>
                      <w:marBottom w:val="0"/>
                      <w:divBdr>
                        <w:top w:val="none" w:sz="0" w:space="0" w:color="auto"/>
                        <w:left w:val="none" w:sz="0" w:space="0" w:color="auto"/>
                        <w:bottom w:val="none" w:sz="0" w:space="0" w:color="auto"/>
                        <w:right w:val="none" w:sz="0" w:space="0" w:color="auto"/>
                      </w:divBdr>
                      <w:divsChild>
                        <w:div w:id="1746951464">
                          <w:marLeft w:val="0"/>
                          <w:marRight w:val="0"/>
                          <w:marTop w:val="0"/>
                          <w:marBottom w:val="0"/>
                          <w:divBdr>
                            <w:top w:val="none" w:sz="0" w:space="0" w:color="auto"/>
                            <w:left w:val="none" w:sz="0" w:space="0" w:color="auto"/>
                            <w:bottom w:val="none" w:sz="0" w:space="0" w:color="auto"/>
                            <w:right w:val="none" w:sz="0" w:space="0" w:color="auto"/>
                          </w:divBdr>
                          <w:divsChild>
                            <w:div w:id="2049140906">
                              <w:marLeft w:val="0"/>
                              <w:marRight w:val="0"/>
                              <w:marTop w:val="0"/>
                              <w:marBottom w:val="0"/>
                              <w:divBdr>
                                <w:top w:val="single" w:sz="6" w:space="0" w:color="828282"/>
                                <w:left w:val="single" w:sz="6" w:space="0" w:color="828282"/>
                                <w:bottom w:val="single" w:sz="6" w:space="0" w:color="828282"/>
                                <w:right w:val="single" w:sz="6" w:space="0" w:color="828282"/>
                              </w:divBdr>
                              <w:divsChild>
                                <w:div w:id="1435442031">
                                  <w:marLeft w:val="0"/>
                                  <w:marRight w:val="0"/>
                                  <w:marTop w:val="0"/>
                                  <w:marBottom w:val="0"/>
                                  <w:divBdr>
                                    <w:top w:val="none" w:sz="0" w:space="0" w:color="auto"/>
                                    <w:left w:val="none" w:sz="0" w:space="0" w:color="auto"/>
                                    <w:bottom w:val="none" w:sz="0" w:space="0" w:color="auto"/>
                                    <w:right w:val="none" w:sz="0" w:space="0" w:color="auto"/>
                                  </w:divBdr>
                                  <w:divsChild>
                                    <w:div w:id="1254243528">
                                      <w:marLeft w:val="0"/>
                                      <w:marRight w:val="0"/>
                                      <w:marTop w:val="0"/>
                                      <w:marBottom w:val="0"/>
                                      <w:divBdr>
                                        <w:top w:val="none" w:sz="0" w:space="0" w:color="auto"/>
                                        <w:left w:val="none" w:sz="0" w:space="0" w:color="auto"/>
                                        <w:bottom w:val="none" w:sz="0" w:space="0" w:color="auto"/>
                                        <w:right w:val="none" w:sz="0" w:space="0" w:color="auto"/>
                                      </w:divBdr>
                                      <w:divsChild>
                                        <w:div w:id="729960717">
                                          <w:marLeft w:val="0"/>
                                          <w:marRight w:val="0"/>
                                          <w:marTop w:val="0"/>
                                          <w:marBottom w:val="0"/>
                                          <w:divBdr>
                                            <w:top w:val="none" w:sz="0" w:space="0" w:color="auto"/>
                                            <w:left w:val="none" w:sz="0" w:space="0" w:color="auto"/>
                                            <w:bottom w:val="none" w:sz="0" w:space="0" w:color="auto"/>
                                            <w:right w:val="none" w:sz="0" w:space="0" w:color="auto"/>
                                          </w:divBdr>
                                          <w:divsChild>
                                            <w:div w:id="397019791">
                                              <w:marLeft w:val="0"/>
                                              <w:marRight w:val="0"/>
                                              <w:marTop w:val="0"/>
                                              <w:marBottom w:val="0"/>
                                              <w:divBdr>
                                                <w:top w:val="none" w:sz="0" w:space="0" w:color="auto"/>
                                                <w:left w:val="none" w:sz="0" w:space="0" w:color="auto"/>
                                                <w:bottom w:val="none" w:sz="0" w:space="0" w:color="auto"/>
                                                <w:right w:val="none" w:sz="0" w:space="0" w:color="auto"/>
                                              </w:divBdr>
                                              <w:divsChild>
                                                <w:div w:id="338777795">
                                                  <w:marLeft w:val="0"/>
                                                  <w:marRight w:val="0"/>
                                                  <w:marTop w:val="0"/>
                                                  <w:marBottom w:val="0"/>
                                                  <w:divBdr>
                                                    <w:top w:val="none" w:sz="0" w:space="0" w:color="auto"/>
                                                    <w:left w:val="none" w:sz="0" w:space="0" w:color="auto"/>
                                                    <w:bottom w:val="none" w:sz="0" w:space="0" w:color="auto"/>
                                                    <w:right w:val="none" w:sz="0" w:space="0" w:color="auto"/>
                                                  </w:divBdr>
                                                  <w:divsChild>
                                                    <w:div w:id="2203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942627">
      <w:bodyDiv w:val="1"/>
      <w:marLeft w:val="0"/>
      <w:marRight w:val="0"/>
      <w:marTop w:val="0"/>
      <w:marBottom w:val="0"/>
      <w:divBdr>
        <w:top w:val="none" w:sz="0" w:space="0" w:color="auto"/>
        <w:left w:val="none" w:sz="0" w:space="0" w:color="auto"/>
        <w:bottom w:val="none" w:sz="0" w:space="0" w:color="auto"/>
        <w:right w:val="none" w:sz="0" w:space="0" w:color="auto"/>
      </w:divBdr>
    </w:div>
    <w:div w:id="606543854">
      <w:bodyDiv w:val="1"/>
      <w:marLeft w:val="0"/>
      <w:marRight w:val="0"/>
      <w:marTop w:val="0"/>
      <w:marBottom w:val="0"/>
      <w:divBdr>
        <w:top w:val="none" w:sz="0" w:space="0" w:color="auto"/>
        <w:left w:val="none" w:sz="0" w:space="0" w:color="auto"/>
        <w:bottom w:val="none" w:sz="0" w:space="0" w:color="auto"/>
        <w:right w:val="none" w:sz="0" w:space="0" w:color="auto"/>
      </w:divBdr>
    </w:div>
    <w:div w:id="839351179">
      <w:bodyDiv w:val="1"/>
      <w:marLeft w:val="0"/>
      <w:marRight w:val="0"/>
      <w:marTop w:val="0"/>
      <w:marBottom w:val="0"/>
      <w:divBdr>
        <w:top w:val="none" w:sz="0" w:space="0" w:color="auto"/>
        <w:left w:val="none" w:sz="0" w:space="0" w:color="auto"/>
        <w:bottom w:val="none" w:sz="0" w:space="0" w:color="auto"/>
        <w:right w:val="none" w:sz="0" w:space="0" w:color="auto"/>
      </w:divBdr>
    </w:div>
    <w:div w:id="865141737">
      <w:bodyDiv w:val="1"/>
      <w:marLeft w:val="0"/>
      <w:marRight w:val="0"/>
      <w:marTop w:val="0"/>
      <w:marBottom w:val="0"/>
      <w:divBdr>
        <w:top w:val="none" w:sz="0" w:space="0" w:color="auto"/>
        <w:left w:val="none" w:sz="0" w:space="0" w:color="auto"/>
        <w:bottom w:val="none" w:sz="0" w:space="0" w:color="auto"/>
        <w:right w:val="none" w:sz="0" w:space="0" w:color="auto"/>
      </w:divBdr>
    </w:div>
    <w:div w:id="1381900425">
      <w:bodyDiv w:val="1"/>
      <w:marLeft w:val="0"/>
      <w:marRight w:val="0"/>
      <w:marTop w:val="0"/>
      <w:marBottom w:val="0"/>
      <w:divBdr>
        <w:top w:val="none" w:sz="0" w:space="0" w:color="auto"/>
        <w:left w:val="none" w:sz="0" w:space="0" w:color="auto"/>
        <w:bottom w:val="none" w:sz="0" w:space="0" w:color="auto"/>
        <w:right w:val="none" w:sz="0" w:space="0" w:color="auto"/>
      </w:divBdr>
    </w:div>
    <w:div w:id="1449394730">
      <w:bodyDiv w:val="1"/>
      <w:marLeft w:val="0"/>
      <w:marRight w:val="0"/>
      <w:marTop w:val="0"/>
      <w:marBottom w:val="0"/>
      <w:divBdr>
        <w:top w:val="none" w:sz="0" w:space="0" w:color="auto"/>
        <w:left w:val="none" w:sz="0" w:space="0" w:color="auto"/>
        <w:bottom w:val="none" w:sz="0" w:space="0" w:color="auto"/>
        <w:right w:val="none" w:sz="0" w:space="0" w:color="auto"/>
      </w:divBdr>
    </w:div>
    <w:div w:id="1538464821">
      <w:bodyDiv w:val="1"/>
      <w:marLeft w:val="0"/>
      <w:marRight w:val="0"/>
      <w:marTop w:val="0"/>
      <w:marBottom w:val="0"/>
      <w:divBdr>
        <w:top w:val="none" w:sz="0" w:space="0" w:color="auto"/>
        <w:left w:val="none" w:sz="0" w:space="0" w:color="auto"/>
        <w:bottom w:val="none" w:sz="0" w:space="0" w:color="auto"/>
        <w:right w:val="none" w:sz="0" w:space="0" w:color="auto"/>
      </w:divBdr>
    </w:div>
    <w:div w:id="1675188604">
      <w:bodyDiv w:val="1"/>
      <w:marLeft w:val="0"/>
      <w:marRight w:val="0"/>
      <w:marTop w:val="0"/>
      <w:marBottom w:val="0"/>
      <w:divBdr>
        <w:top w:val="none" w:sz="0" w:space="0" w:color="auto"/>
        <w:left w:val="none" w:sz="0" w:space="0" w:color="auto"/>
        <w:bottom w:val="none" w:sz="0" w:space="0" w:color="auto"/>
        <w:right w:val="none" w:sz="0" w:space="0" w:color="auto"/>
      </w:divBdr>
    </w:div>
    <w:div w:id="1876624777">
      <w:bodyDiv w:val="1"/>
      <w:marLeft w:val="0"/>
      <w:marRight w:val="0"/>
      <w:marTop w:val="0"/>
      <w:marBottom w:val="0"/>
      <w:divBdr>
        <w:top w:val="none" w:sz="0" w:space="0" w:color="auto"/>
        <w:left w:val="none" w:sz="0" w:space="0" w:color="auto"/>
        <w:bottom w:val="none" w:sz="0" w:space="0" w:color="auto"/>
        <w:right w:val="none" w:sz="0" w:space="0" w:color="auto"/>
      </w:divBdr>
    </w:div>
    <w:div w:id="19535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WEB/HOMEPAGE/PC=HO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EA791-8B44-4669-A3DC-9998F2DD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4769</Words>
  <Characters>24282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ACMA Normal Template</vt:lpstr>
    </vt:vector>
  </TitlesOfParts>
  <Company>Australian Communications Media Authority</Company>
  <LinksUpToDate>false</LinksUpToDate>
  <CharactersWithSpaces>28994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ACMA Normal Template</dc:title>
  <dc:creator>ebatema</dc:creator>
  <cp:lastModifiedBy>Sudharshini Jeyaseelan</cp:lastModifiedBy>
  <cp:revision>4</cp:revision>
  <cp:lastPrinted>2015-12-09T03:14:00Z</cp:lastPrinted>
  <dcterms:created xsi:type="dcterms:W3CDTF">2015-12-17T00:57:00Z</dcterms:created>
  <dcterms:modified xsi:type="dcterms:W3CDTF">2015-12-17T01:10:00Z</dcterms:modified>
</cp:coreProperties>
</file>