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F8BC7" w14:textId="77777777" w:rsidR="002421E3" w:rsidRPr="002C0653" w:rsidRDefault="002421E3" w:rsidP="002421E3">
      <w:pPr>
        <w:pStyle w:val="Heading2"/>
        <w:ind w:left="0" w:firstLine="0"/>
        <w:rPr>
          <w:b w:val="0"/>
          <w:bCs w:val="0"/>
        </w:rPr>
      </w:pPr>
      <w:r>
        <w:t xml:space="preserve">Explanatory </w:t>
      </w:r>
      <w:r w:rsidRPr="002C0653">
        <w:t>Statement</w:t>
      </w:r>
    </w:p>
    <w:p w14:paraId="51B22DD4" w14:textId="77777777" w:rsidR="002421E3" w:rsidRPr="002A13BC" w:rsidRDefault="002421E3" w:rsidP="002421E3">
      <w:pPr>
        <w:rPr>
          <w:b/>
          <w:lang w:val="en-AU" w:eastAsia="en-GB" w:bidi="ar-SA"/>
        </w:rPr>
      </w:pPr>
      <w:r w:rsidRPr="002A13BC">
        <w:rPr>
          <w:b/>
          <w:lang w:val="en-AU" w:eastAsia="en-GB" w:bidi="ar-SA"/>
        </w:rPr>
        <w:t>1.</w:t>
      </w:r>
      <w:r w:rsidRPr="002A13BC">
        <w:rPr>
          <w:b/>
          <w:lang w:val="en-AU" w:eastAsia="en-GB" w:bidi="ar-SA"/>
        </w:rPr>
        <w:tab/>
        <w:t>Authority</w:t>
      </w:r>
    </w:p>
    <w:p w14:paraId="3B95045E" w14:textId="77777777" w:rsidR="002421E3" w:rsidRPr="002A13BC" w:rsidRDefault="002421E3" w:rsidP="002421E3">
      <w:pPr>
        <w:rPr>
          <w:lang w:val="en-AU" w:eastAsia="en-GB" w:bidi="ar-SA"/>
        </w:rPr>
      </w:pPr>
    </w:p>
    <w:p w14:paraId="5ED568A2" w14:textId="77777777" w:rsidR="002421E3" w:rsidRPr="002A13BC" w:rsidRDefault="002421E3" w:rsidP="002421E3">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Section 13 of the </w:t>
      </w:r>
      <w:r w:rsidRPr="002A13BC">
        <w:rPr>
          <w:rFonts w:eastAsia="Calibri" w:cs="Arial"/>
          <w:bCs/>
          <w:i/>
          <w:szCs w:val="22"/>
          <w:lang w:val="en-AU" w:bidi="ar-SA"/>
        </w:rPr>
        <w:t>Food Standards Australia New Zealand Act 1991</w:t>
      </w:r>
      <w:r w:rsidRPr="002A13B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A13BC">
        <w:rPr>
          <w:rFonts w:eastAsia="Calibri" w:cs="Arial"/>
          <w:bCs/>
          <w:i/>
          <w:szCs w:val="22"/>
          <w:lang w:val="en-AU" w:bidi="ar-SA"/>
        </w:rPr>
        <w:t>Australia New Zealand Food Standards Code</w:t>
      </w:r>
      <w:r w:rsidRPr="002A13BC">
        <w:rPr>
          <w:rFonts w:eastAsia="Calibri" w:cs="Arial"/>
          <w:bCs/>
          <w:szCs w:val="22"/>
          <w:lang w:val="en-AU" w:bidi="ar-SA"/>
        </w:rPr>
        <w:t xml:space="preserve"> (the Code).</w:t>
      </w:r>
    </w:p>
    <w:p w14:paraId="3C1BEA90" w14:textId="77777777" w:rsidR="002421E3" w:rsidRPr="002A13BC" w:rsidRDefault="002421E3" w:rsidP="002421E3">
      <w:pPr>
        <w:widowControl/>
        <w:autoSpaceDE w:val="0"/>
        <w:autoSpaceDN w:val="0"/>
        <w:adjustRightInd w:val="0"/>
        <w:rPr>
          <w:rFonts w:eastAsia="Calibri" w:cs="Arial"/>
          <w:bCs/>
          <w:szCs w:val="22"/>
          <w:lang w:val="en-AU" w:bidi="ar-SA"/>
        </w:rPr>
      </w:pPr>
    </w:p>
    <w:p w14:paraId="16027CBE" w14:textId="77777777" w:rsidR="002421E3" w:rsidRPr="002A13BC" w:rsidRDefault="002421E3" w:rsidP="002421E3">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78441C" w14:textId="77777777" w:rsidR="002421E3" w:rsidRPr="002A13BC" w:rsidRDefault="002421E3" w:rsidP="002421E3">
      <w:pPr>
        <w:widowControl/>
        <w:autoSpaceDE w:val="0"/>
        <w:autoSpaceDN w:val="0"/>
        <w:adjustRightInd w:val="0"/>
        <w:rPr>
          <w:rFonts w:eastAsia="Calibri" w:cs="Arial"/>
          <w:bCs/>
          <w:szCs w:val="22"/>
          <w:lang w:val="en-AU" w:bidi="ar-SA"/>
        </w:rPr>
      </w:pPr>
    </w:p>
    <w:p w14:paraId="38D9E421" w14:textId="77777777" w:rsidR="002421E3" w:rsidRPr="002A13BC" w:rsidRDefault="002421E3" w:rsidP="002421E3">
      <w:pPr>
        <w:widowControl/>
        <w:autoSpaceDE w:val="0"/>
        <w:autoSpaceDN w:val="0"/>
        <w:adjustRightInd w:val="0"/>
        <w:rPr>
          <w:rFonts w:eastAsia="Calibri" w:cs="Arial"/>
          <w:bCs/>
          <w:szCs w:val="22"/>
          <w:lang w:val="en-AU" w:bidi="ar-SA"/>
        </w:rPr>
      </w:pPr>
      <w:r w:rsidRPr="002A13BC">
        <w:rPr>
          <w:rFonts w:eastAsia="Calibri" w:cs="Arial"/>
          <w:bCs/>
          <w:szCs w:val="22"/>
          <w:lang w:val="en-AU" w:bidi="ar-SA"/>
        </w:rPr>
        <w:t xml:space="preserve">FSANZ accepted Application A1108 which seeks permission for rebaudioside M to be added to the list of permitted steviol glycosides used as intense sweeteners. The Authority considered the Application in accordance with Division 1 of Part 3 and has </w:t>
      </w:r>
      <w:r w:rsidRPr="002A13BC">
        <w:rPr>
          <w:rFonts w:eastAsia="Calibri" w:cs="Arial"/>
          <w:bCs/>
          <w:lang w:val="en-AU"/>
        </w:rPr>
        <w:t>approved</w:t>
      </w:r>
      <w:r w:rsidRPr="002A13BC">
        <w:rPr>
          <w:rFonts w:eastAsia="Calibri" w:cs="Arial"/>
          <w:bCs/>
          <w:szCs w:val="22"/>
          <w:lang w:val="en-AU" w:bidi="ar-SA"/>
        </w:rPr>
        <w:t xml:space="preserve"> a draft variation. </w:t>
      </w:r>
    </w:p>
    <w:p w14:paraId="1A118681" w14:textId="77777777" w:rsidR="002421E3" w:rsidRPr="002A13BC" w:rsidRDefault="002421E3" w:rsidP="002421E3">
      <w:pPr>
        <w:widowControl/>
        <w:autoSpaceDE w:val="0"/>
        <w:autoSpaceDN w:val="0"/>
        <w:adjustRightInd w:val="0"/>
        <w:rPr>
          <w:rFonts w:eastAsia="Calibri" w:cs="Arial"/>
          <w:bCs/>
          <w:szCs w:val="22"/>
          <w:lang w:val="en-AU" w:bidi="ar-SA"/>
        </w:rPr>
      </w:pPr>
    </w:p>
    <w:p w14:paraId="2D61C567" w14:textId="77777777" w:rsidR="002421E3" w:rsidRPr="00D13E34" w:rsidRDefault="002421E3" w:rsidP="002421E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DEBF49" w14:textId="77777777" w:rsidR="002421E3" w:rsidRPr="00D13E34" w:rsidRDefault="002421E3" w:rsidP="002421E3">
      <w:pPr>
        <w:widowControl/>
        <w:autoSpaceDE w:val="0"/>
        <w:autoSpaceDN w:val="0"/>
        <w:adjustRightInd w:val="0"/>
        <w:rPr>
          <w:rFonts w:eastAsia="Calibri" w:cs="Arial"/>
          <w:bCs/>
          <w:szCs w:val="22"/>
          <w:lang w:val="en-AU" w:bidi="ar-SA"/>
        </w:rPr>
      </w:pPr>
    </w:p>
    <w:p w14:paraId="6E5D1634" w14:textId="77777777" w:rsidR="002421E3" w:rsidRDefault="002421E3" w:rsidP="002421E3">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0429BC0F" w14:textId="77777777" w:rsidR="002421E3" w:rsidRPr="00D13E34" w:rsidRDefault="002421E3" w:rsidP="002421E3">
      <w:pPr>
        <w:widowControl/>
        <w:autoSpaceDE w:val="0"/>
        <w:autoSpaceDN w:val="0"/>
        <w:adjustRightInd w:val="0"/>
        <w:rPr>
          <w:rFonts w:eastAsia="Calibri" w:cs="Arial"/>
          <w:color w:val="000000"/>
          <w:szCs w:val="22"/>
          <w:lang w:val="en-AU" w:bidi="ar-SA"/>
        </w:rPr>
      </w:pPr>
    </w:p>
    <w:p w14:paraId="502045F8" w14:textId="77777777" w:rsidR="002421E3" w:rsidRPr="002A13BC" w:rsidRDefault="002421E3" w:rsidP="002421E3">
      <w:pPr>
        <w:rPr>
          <w:b/>
          <w:lang w:val="en-AU" w:eastAsia="en-GB" w:bidi="ar-SA"/>
        </w:rPr>
      </w:pPr>
      <w:r w:rsidRPr="002A13BC">
        <w:rPr>
          <w:b/>
          <w:lang w:val="en-AU" w:eastAsia="en-GB" w:bidi="ar-SA"/>
        </w:rPr>
        <w:t>2.</w:t>
      </w:r>
      <w:r w:rsidRPr="002A13BC">
        <w:rPr>
          <w:b/>
          <w:lang w:val="en-AU" w:eastAsia="en-GB" w:bidi="ar-SA"/>
        </w:rPr>
        <w:tab/>
        <w:t xml:space="preserve">Purpose </w:t>
      </w:r>
    </w:p>
    <w:p w14:paraId="01290F9E" w14:textId="77777777" w:rsidR="002421E3" w:rsidRPr="002A13BC" w:rsidRDefault="002421E3" w:rsidP="002421E3">
      <w:pPr>
        <w:rPr>
          <w:lang w:val="en-AU" w:eastAsia="en-GB" w:bidi="ar-SA"/>
        </w:rPr>
      </w:pPr>
    </w:p>
    <w:p w14:paraId="1F48CFAE" w14:textId="77777777" w:rsidR="002421E3" w:rsidRPr="002A13BC" w:rsidRDefault="002421E3" w:rsidP="002421E3">
      <w:pPr>
        <w:rPr>
          <w:lang w:val="en-AU" w:eastAsia="en-GB" w:bidi="ar-SA"/>
        </w:rPr>
      </w:pPr>
      <w:r w:rsidRPr="002A13BC">
        <w:rPr>
          <w:lang w:val="en-AU" w:eastAsia="en-GB" w:bidi="ar-SA"/>
        </w:rPr>
        <w:t xml:space="preserve">The </w:t>
      </w:r>
      <w:r w:rsidRPr="002A13BC">
        <w:rPr>
          <w:lang w:val="en-AU" w:eastAsia="en-GB"/>
        </w:rPr>
        <w:t>approved draft variation adds</w:t>
      </w:r>
      <w:r w:rsidRPr="002A13BC">
        <w:rPr>
          <w:lang w:val="en-AU" w:eastAsia="en-GB" w:bidi="ar-SA"/>
        </w:rPr>
        <w:t xml:space="preserve"> rebaudioside M to the list of permitted steviol glycosides</w:t>
      </w:r>
      <w:r w:rsidRPr="002A13BC">
        <w:rPr>
          <w:lang w:val="en-AU" w:eastAsia="en-GB"/>
        </w:rPr>
        <w:t xml:space="preserve"> that can be added as a food additive intense sweetener preparation to food or sold for use in food</w:t>
      </w:r>
      <w:r w:rsidRPr="002A13BC">
        <w:rPr>
          <w:lang w:val="en-AU" w:eastAsia="en-GB" w:bidi="ar-SA"/>
        </w:rPr>
        <w:t>. It also includes new specification</w:t>
      </w:r>
      <w:r w:rsidRPr="002A13BC">
        <w:rPr>
          <w:lang w:val="en-AU" w:eastAsia="en-GB"/>
        </w:rPr>
        <w:t>s</w:t>
      </w:r>
      <w:r w:rsidRPr="002A13BC">
        <w:rPr>
          <w:lang w:val="en-AU" w:eastAsia="en-GB" w:bidi="ar-SA"/>
        </w:rPr>
        <w:t xml:space="preserve"> in Schedule 3 of the Code for rebaudioside M and for </w:t>
      </w:r>
      <w:r w:rsidRPr="002A13BC">
        <w:rPr>
          <w:szCs w:val="22"/>
        </w:rPr>
        <w:t xml:space="preserve">a </w:t>
      </w:r>
      <w:r w:rsidRPr="002A13BC">
        <w:rPr>
          <w:rFonts w:eastAsia="Calibri"/>
        </w:rPr>
        <w:t xml:space="preserve">steviol glycoside mixture or preparation that includes </w:t>
      </w:r>
      <w:r w:rsidRPr="002A13BC">
        <w:rPr>
          <w:rFonts w:eastAsia="Calibri"/>
          <w:szCs w:val="20"/>
        </w:rPr>
        <w:t>rebaudioside M</w:t>
      </w:r>
      <w:r w:rsidRPr="002A13BC">
        <w:rPr>
          <w:lang w:val="en-AU" w:eastAsia="en-GB" w:bidi="ar-SA"/>
        </w:rPr>
        <w:t xml:space="preserve">. </w:t>
      </w:r>
    </w:p>
    <w:p w14:paraId="4754114A" w14:textId="77777777" w:rsidR="002421E3" w:rsidRPr="002A13BC" w:rsidRDefault="002421E3" w:rsidP="002421E3">
      <w:pPr>
        <w:rPr>
          <w:lang w:val="en-AU" w:eastAsia="en-GB" w:bidi="ar-SA"/>
        </w:rPr>
      </w:pPr>
    </w:p>
    <w:p w14:paraId="7F28295F" w14:textId="77777777" w:rsidR="002421E3" w:rsidRPr="002A13BC" w:rsidRDefault="002421E3" w:rsidP="002421E3">
      <w:pPr>
        <w:rPr>
          <w:b/>
          <w:lang w:val="en-AU" w:eastAsia="en-GB" w:bidi="ar-SA"/>
        </w:rPr>
      </w:pPr>
      <w:r w:rsidRPr="002A13BC">
        <w:rPr>
          <w:b/>
          <w:lang w:val="en-AU" w:eastAsia="en-GB" w:bidi="ar-SA"/>
        </w:rPr>
        <w:t>3.</w:t>
      </w:r>
      <w:r w:rsidRPr="002A13BC">
        <w:rPr>
          <w:b/>
          <w:lang w:val="en-AU" w:eastAsia="en-GB" w:bidi="ar-SA"/>
        </w:rPr>
        <w:tab/>
        <w:t>Documents incorporated by reference</w:t>
      </w:r>
    </w:p>
    <w:p w14:paraId="42C80FCE" w14:textId="77777777" w:rsidR="002421E3" w:rsidRPr="002A13BC" w:rsidRDefault="002421E3" w:rsidP="002421E3">
      <w:pPr>
        <w:rPr>
          <w:lang w:val="en-AU" w:eastAsia="en-GB" w:bidi="ar-SA"/>
        </w:rPr>
      </w:pPr>
    </w:p>
    <w:p w14:paraId="10133A10" w14:textId="77777777" w:rsidR="002421E3" w:rsidRPr="002A13BC" w:rsidRDefault="002421E3" w:rsidP="002421E3">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approved draft variation </w:t>
      </w:r>
      <w:r w:rsidRPr="002A13BC">
        <w:rPr>
          <w:rFonts w:eastAsia="Calibri" w:cs="Arial"/>
          <w:color w:val="000000"/>
          <w:szCs w:val="22"/>
          <w:lang w:bidi="ar-SA"/>
        </w:rPr>
        <w:t>incorporates a number of specifications by reference to specific documents in force or existing at the commencement of the variation.</w:t>
      </w:r>
    </w:p>
    <w:p w14:paraId="4CA744B0" w14:textId="77777777" w:rsidR="002421E3" w:rsidRPr="002A13BC" w:rsidRDefault="002421E3" w:rsidP="002421E3">
      <w:pPr>
        <w:widowControl/>
        <w:autoSpaceDE w:val="0"/>
        <w:autoSpaceDN w:val="0"/>
        <w:adjustRightInd w:val="0"/>
        <w:rPr>
          <w:rFonts w:eastAsia="Calibri" w:cs="Arial"/>
          <w:color w:val="000000"/>
          <w:szCs w:val="22"/>
          <w:lang w:bidi="ar-SA"/>
        </w:rPr>
      </w:pPr>
    </w:p>
    <w:p w14:paraId="4802FBB7" w14:textId="77777777" w:rsidR="002421E3" w:rsidRPr="002A13BC" w:rsidRDefault="002421E3" w:rsidP="002421E3">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incorporated specifications are contained in the specific editions of publications listed in section </w:t>
      </w:r>
      <w:r w:rsidRPr="002A13BC">
        <w:rPr>
          <w:rFonts w:eastAsia="Calibri" w:cs="Arial"/>
          <w:color w:val="000000"/>
          <w:szCs w:val="22"/>
          <w:lang w:bidi="ar-SA"/>
        </w:rPr>
        <w:t>S3—2 of Schedule 3 of the Code</w:t>
      </w:r>
      <w:r w:rsidRPr="002A13BC">
        <w:rPr>
          <w:rFonts w:eastAsia="Calibri" w:cs="Arial"/>
          <w:bCs/>
          <w:color w:val="000000"/>
          <w:szCs w:val="22"/>
          <w:lang w:val="en-AU" w:bidi="ar-SA"/>
        </w:rPr>
        <w:t xml:space="preserve">. </w:t>
      </w:r>
      <w:r w:rsidRPr="002A13BC">
        <w:rPr>
          <w:rFonts w:eastAsia="Calibri" w:cs="Arial"/>
          <w:color w:val="000000"/>
          <w:szCs w:val="22"/>
          <w:lang w:bidi="ar-SA"/>
        </w:rPr>
        <w:t>In</w:t>
      </w:r>
      <w:r w:rsidRPr="002A13BC">
        <w:rPr>
          <w:rFonts w:eastAsia="Calibri" w:cs="Arial"/>
          <w:bCs/>
          <w:color w:val="000000"/>
          <w:szCs w:val="22"/>
          <w:lang w:val="en-AU" w:bidi="ar-SA"/>
        </w:rPr>
        <w:t xml:space="preserve"> </w:t>
      </w:r>
      <w:r w:rsidRPr="002A13BC">
        <w:rPr>
          <w:rFonts w:eastAsia="Calibri" w:cs="Arial"/>
          <w:color w:val="000000"/>
          <w:szCs w:val="22"/>
          <w:lang w:bidi="ar-SA"/>
        </w:rPr>
        <w:t>general, these specifications and publications are referred to in order to provide further technical detail</w:t>
      </w:r>
      <w:r w:rsidRPr="002A13BC">
        <w:rPr>
          <w:rFonts w:eastAsia="Calibri" w:cs="Arial"/>
          <w:bCs/>
          <w:color w:val="000000"/>
          <w:szCs w:val="22"/>
          <w:lang w:val="en-AU" w:bidi="ar-SA"/>
        </w:rPr>
        <w:t xml:space="preserve"> </w:t>
      </w:r>
      <w:r w:rsidRPr="002A13BC">
        <w:rPr>
          <w:rFonts w:eastAsia="Calibri" w:cs="Arial"/>
          <w:color w:val="000000"/>
          <w:szCs w:val="22"/>
          <w:lang w:bidi="ar-SA"/>
        </w:rPr>
        <w:t>to support the provisions of the Code. These references by incorporation are consistent with the current</w:t>
      </w:r>
      <w:r w:rsidRPr="002A13BC">
        <w:rPr>
          <w:rFonts w:eastAsia="Calibri" w:cs="Arial"/>
          <w:bCs/>
          <w:color w:val="000000"/>
          <w:szCs w:val="22"/>
          <w:lang w:val="en-AU" w:bidi="ar-SA"/>
        </w:rPr>
        <w:t xml:space="preserve"> </w:t>
      </w:r>
      <w:r w:rsidRPr="002A13BC">
        <w:rPr>
          <w:rFonts w:eastAsia="Calibri" w:cs="Arial"/>
          <w:color w:val="000000"/>
          <w:szCs w:val="22"/>
          <w:lang w:bidi="ar-SA"/>
        </w:rPr>
        <w:t xml:space="preserve">practice in the Code, particularly </w:t>
      </w:r>
      <w:r w:rsidRPr="002A13BC">
        <w:rPr>
          <w:rFonts w:eastAsia="Calibri" w:cs="Arial"/>
          <w:bCs/>
          <w:color w:val="000000"/>
          <w:szCs w:val="22"/>
          <w:lang w:val="en-AU" w:bidi="ar-SA"/>
        </w:rPr>
        <w:t xml:space="preserve">Schedule 3 which itself already </w:t>
      </w:r>
      <w:r w:rsidRPr="002A13BC">
        <w:rPr>
          <w:rFonts w:eastAsia="Calibri" w:cs="Arial"/>
          <w:color w:val="000000"/>
          <w:szCs w:val="22"/>
          <w:lang w:bidi="ar-SA"/>
        </w:rPr>
        <w:t>incorporates the specifications in these documents by reference</w:t>
      </w:r>
      <w:r w:rsidRPr="002A13BC">
        <w:rPr>
          <w:rFonts w:eastAsia="Calibri" w:cs="Arial"/>
          <w:bCs/>
          <w:color w:val="000000"/>
          <w:szCs w:val="22"/>
          <w:lang w:val="en-AU" w:bidi="ar-SA"/>
        </w:rPr>
        <w:t>.</w:t>
      </w:r>
    </w:p>
    <w:p w14:paraId="357F64E9" w14:textId="77777777" w:rsidR="002421E3" w:rsidRPr="002A13BC" w:rsidRDefault="002421E3" w:rsidP="002421E3">
      <w:pPr>
        <w:widowControl/>
        <w:autoSpaceDE w:val="0"/>
        <w:autoSpaceDN w:val="0"/>
        <w:adjustRightInd w:val="0"/>
        <w:rPr>
          <w:rFonts w:eastAsia="Calibri" w:cs="Arial"/>
          <w:bCs/>
          <w:szCs w:val="22"/>
          <w:lang w:val="en-AU" w:bidi="ar-SA"/>
        </w:rPr>
      </w:pPr>
    </w:p>
    <w:p w14:paraId="734F18C8" w14:textId="77777777" w:rsidR="002421E3" w:rsidRPr="002A13BC" w:rsidRDefault="002421E3" w:rsidP="002421E3">
      <w:pPr>
        <w:widowControl/>
        <w:autoSpaceDE w:val="0"/>
        <w:autoSpaceDN w:val="0"/>
        <w:adjustRightInd w:val="0"/>
        <w:rPr>
          <w:szCs w:val="22"/>
        </w:rPr>
      </w:pPr>
      <w:r w:rsidRPr="002A13BC">
        <w:rPr>
          <w:szCs w:val="22"/>
        </w:rPr>
        <w:t>The documents in question are:</w:t>
      </w:r>
      <w:r w:rsidRPr="002A13BC">
        <w:rPr>
          <w:szCs w:val="22"/>
        </w:rPr>
        <w:br/>
      </w:r>
    </w:p>
    <w:p w14:paraId="3C769E34" w14:textId="77777777" w:rsidR="002421E3" w:rsidRDefault="002421E3" w:rsidP="002421E3">
      <w:pPr>
        <w:spacing w:before="60" w:after="60"/>
        <w:ind w:left="567" w:hanging="567"/>
        <w:rPr>
          <w:rFonts w:cs="Arial"/>
          <w:iCs/>
          <w:szCs w:val="22"/>
          <w:lang w:val="en-AU" w:eastAsia="en-AU" w:bidi="ar-SA"/>
        </w:rPr>
      </w:pPr>
      <w:r w:rsidRPr="002A13BC">
        <w:rPr>
          <w:rFonts w:cs="Arial"/>
          <w:iCs/>
          <w:szCs w:val="22"/>
          <w:lang w:val="en-AU" w:eastAsia="en-AU" w:bidi="ar-SA"/>
        </w:rPr>
        <w:t>(a)</w:t>
      </w:r>
      <w:r w:rsidRPr="002A13BC">
        <w:rPr>
          <w:rFonts w:cs="Arial"/>
          <w:iCs/>
          <w:szCs w:val="22"/>
          <w:lang w:val="en-AU" w:eastAsia="en-AU" w:bidi="ar-SA"/>
        </w:rPr>
        <w:tab/>
        <w:t>The Combined Compendium of Food Additive Specifications, FAO JECFA Monographs 1 (2005), Food and Agriculture Organisation of the United Nations, Rome, as superseded by specifications published in any of the following:</w:t>
      </w:r>
      <w:r>
        <w:rPr>
          <w:rFonts w:cs="Arial"/>
          <w:iCs/>
          <w:szCs w:val="22"/>
          <w:lang w:val="en-AU" w:eastAsia="en-AU" w:bidi="ar-SA"/>
        </w:rPr>
        <w:br w:type="page"/>
      </w:r>
    </w:p>
    <w:p w14:paraId="2D9FF9CC"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lastRenderedPageBreak/>
        <w:t>(i)</w:t>
      </w:r>
      <w:r w:rsidRPr="002A13BC">
        <w:rPr>
          <w:rFonts w:cs="Arial"/>
          <w:iCs/>
          <w:szCs w:val="22"/>
          <w:lang w:val="en-AU" w:eastAsia="en-AU" w:bidi="ar-SA"/>
        </w:rPr>
        <w:tab/>
        <w:t>FAO JECFA Monographs 3 (2006);</w:t>
      </w:r>
    </w:p>
    <w:p w14:paraId="6D3ED6D5"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(ii)</w:t>
      </w:r>
      <w:r w:rsidRPr="002A13BC">
        <w:rPr>
          <w:rFonts w:cs="Arial"/>
          <w:iCs/>
          <w:szCs w:val="22"/>
          <w:lang w:val="en-AU" w:eastAsia="en-AU" w:bidi="ar-SA"/>
        </w:rPr>
        <w:tab/>
        <w:t>FAO JECFA Monographs 4 (2007);</w:t>
      </w:r>
    </w:p>
    <w:p w14:paraId="1EC48D69"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(iii)</w:t>
      </w:r>
      <w:r w:rsidRPr="002A13BC">
        <w:rPr>
          <w:rFonts w:cs="Arial"/>
          <w:iCs/>
          <w:szCs w:val="22"/>
          <w:lang w:val="en-AU" w:eastAsia="en-AU" w:bidi="ar-SA"/>
        </w:rPr>
        <w:tab/>
        <w:t>FAO JECFA Monographs 5 (2008);</w:t>
      </w:r>
    </w:p>
    <w:p w14:paraId="7571BB80"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(iv)</w:t>
      </w:r>
      <w:r w:rsidRPr="002A13BC">
        <w:rPr>
          <w:rFonts w:cs="Arial"/>
          <w:iCs/>
          <w:szCs w:val="22"/>
          <w:lang w:val="en-AU" w:eastAsia="en-AU" w:bidi="ar-SA"/>
        </w:rPr>
        <w:tab/>
        <w:t>FAO JECFA Monographs 7 (2009);</w:t>
      </w:r>
    </w:p>
    <w:p w14:paraId="27330CD8"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(v)</w:t>
      </w:r>
      <w:r w:rsidRPr="002A13BC">
        <w:rPr>
          <w:rFonts w:cs="Arial"/>
          <w:iCs/>
          <w:szCs w:val="22"/>
          <w:lang w:val="en-AU" w:eastAsia="en-AU" w:bidi="ar-SA"/>
        </w:rPr>
        <w:tab/>
        <w:t>FAO JECFA Monographs 10 (2010);</w:t>
      </w:r>
    </w:p>
    <w:p w14:paraId="6C809129"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(vi)</w:t>
      </w:r>
      <w:r w:rsidRPr="002A13BC">
        <w:rPr>
          <w:rFonts w:cs="Arial"/>
          <w:iCs/>
          <w:szCs w:val="22"/>
          <w:lang w:val="en-AU" w:eastAsia="en-AU" w:bidi="ar-SA"/>
        </w:rPr>
        <w:tab/>
        <w:t>FAO JECFA Monographs 11 (2011);</w:t>
      </w:r>
    </w:p>
    <w:p w14:paraId="1B4DB1CE" w14:textId="77777777" w:rsidR="002421E3" w:rsidRPr="002A13BC" w:rsidRDefault="002421E3" w:rsidP="002421E3">
      <w:pPr>
        <w:spacing w:before="60" w:after="60"/>
        <w:ind w:left="1134" w:hanging="567"/>
        <w:rPr>
          <w:rFonts w:cs="Arial"/>
          <w:iCs/>
          <w:szCs w:val="22"/>
          <w:lang w:val="en-AU" w:eastAsia="en-AU" w:bidi="ar-SA"/>
        </w:rPr>
      </w:pPr>
      <w:r w:rsidRPr="002A13BC">
        <w:rPr>
          <w:rFonts w:cs="Arial"/>
          <w:iCs/>
          <w:szCs w:val="22"/>
          <w:lang w:val="en-AU" w:eastAsia="en-AU" w:bidi="ar-SA"/>
        </w:rPr>
        <w:t>(vii)</w:t>
      </w:r>
      <w:r w:rsidRPr="002A13BC">
        <w:rPr>
          <w:rFonts w:cs="Arial"/>
          <w:iCs/>
          <w:szCs w:val="22"/>
          <w:lang w:val="en-AU" w:eastAsia="en-AU" w:bidi="ar-SA"/>
        </w:rPr>
        <w:tab/>
        <w:t xml:space="preserve">FAO JECFA Monographs 13 (2012); </w:t>
      </w:r>
      <w:r w:rsidRPr="002A13BC">
        <w:rPr>
          <w:rFonts w:cs="Arial"/>
          <w:iCs/>
          <w:szCs w:val="22"/>
          <w:lang w:val="en-AU" w:eastAsia="en-AU" w:bidi="ar-SA"/>
        </w:rPr>
        <w:br/>
      </w:r>
    </w:p>
    <w:p w14:paraId="0EAAF27F" w14:textId="77777777" w:rsidR="002421E3" w:rsidRPr="002A13BC" w:rsidRDefault="002421E3" w:rsidP="002421E3">
      <w:pPr>
        <w:spacing w:before="60" w:after="60"/>
        <w:ind w:left="567" w:hanging="567"/>
        <w:rPr>
          <w:rFonts w:cs="Arial"/>
          <w:iCs/>
          <w:szCs w:val="22"/>
          <w:lang w:val="en-AU" w:eastAsia="en-AU" w:bidi="ar-SA"/>
        </w:rPr>
      </w:pPr>
      <w:r w:rsidRPr="002A13BC">
        <w:rPr>
          <w:rFonts w:cs="Arial"/>
          <w:iCs/>
          <w:szCs w:val="22"/>
          <w:lang w:val="en-AU" w:eastAsia="en-AU" w:bidi="ar-SA"/>
        </w:rPr>
        <w:t>(</w:t>
      </w:r>
      <w:proofErr w:type="gramStart"/>
      <w:r w:rsidRPr="002A13BC">
        <w:rPr>
          <w:rFonts w:cs="Arial"/>
          <w:iCs/>
          <w:szCs w:val="22"/>
          <w:lang w:val="en-AU" w:eastAsia="en-AU" w:bidi="ar-SA"/>
        </w:rPr>
        <w:t>b</w:t>
      </w:r>
      <w:proofErr w:type="gramEnd"/>
      <w:r w:rsidRPr="002A13BC">
        <w:rPr>
          <w:rFonts w:cs="Arial"/>
          <w:iCs/>
          <w:szCs w:val="22"/>
          <w:lang w:val="en-AU" w:eastAsia="en-AU" w:bidi="ar-SA"/>
        </w:rPr>
        <w:t>)</w:t>
      </w:r>
      <w:r w:rsidRPr="002A13BC">
        <w:rPr>
          <w:rFonts w:cs="Arial"/>
          <w:iCs/>
          <w:szCs w:val="22"/>
          <w:lang w:val="en-AU" w:eastAsia="en-AU" w:bidi="ar-SA"/>
        </w:rPr>
        <w:tab/>
        <w:t xml:space="preserve">United States </w:t>
      </w:r>
      <w:proofErr w:type="spellStart"/>
      <w:r w:rsidRPr="002A13BC">
        <w:rPr>
          <w:rFonts w:cs="Arial"/>
          <w:iCs/>
          <w:szCs w:val="22"/>
          <w:lang w:val="en-AU" w:eastAsia="en-AU" w:bidi="ar-SA"/>
        </w:rPr>
        <w:t>Pharmacopeial</w:t>
      </w:r>
      <w:proofErr w:type="spellEnd"/>
      <w:r w:rsidRPr="002A13BC">
        <w:rPr>
          <w:rFonts w:cs="Arial"/>
          <w:iCs/>
          <w:szCs w:val="22"/>
          <w:lang w:val="en-AU" w:eastAsia="en-AU" w:bidi="ar-SA"/>
        </w:rPr>
        <w:t xml:space="preserve"> Convention (2014) Food chemicals codex. </w:t>
      </w:r>
      <w:proofErr w:type="gramStart"/>
      <w:r w:rsidRPr="002A13BC">
        <w:rPr>
          <w:rFonts w:cs="Arial"/>
          <w:iCs/>
          <w:szCs w:val="22"/>
          <w:lang w:val="en-AU" w:eastAsia="en-AU" w:bidi="ar-SA"/>
        </w:rPr>
        <w:t>9</w:t>
      </w:r>
      <w:r w:rsidRPr="002A13BC">
        <w:rPr>
          <w:rFonts w:cs="Arial"/>
          <w:iCs/>
          <w:szCs w:val="22"/>
          <w:vertAlign w:val="superscript"/>
          <w:lang w:val="en-AU" w:eastAsia="en-AU" w:bidi="ar-SA"/>
        </w:rPr>
        <w:t>th</w:t>
      </w:r>
      <w:r w:rsidRPr="002A13BC">
        <w:rPr>
          <w:rFonts w:cs="Arial"/>
          <w:iCs/>
          <w:szCs w:val="22"/>
          <w:lang w:val="en-AU" w:eastAsia="en-AU" w:bidi="ar-SA"/>
        </w:rPr>
        <w:t xml:space="preserve"> </w:t>
      </w:r>
      <w:r w:rsidRPr="002A13BC">
        <w:rPr>
          <w:rFonts w:cs="Arial"/>
          <w:iCs/>
          <w:szCs w:val="22"/>
          <w:vertAlign w:val="superscript"/>
          <w:lang w:val="en-AU" w:eastAsia="en-AU" w:bidi="ar-SA"/>
        </w:rPr>
        <w:t xml:space="preserve"> </w:t>
      </w:r>
      <w:proofErr w:type="spellStart"/>
      <w:r w:rsidRPr="002A13BC">
        <w:rPr>
          <w:rFonts w:cs="Arial"/>
          <w:iCs/>
          <w:szCs w:val="22"/>
          <w:lang w:val="en-AU" w:eastAsia="en-AU" w:bidi="ar-SA"/>
        </w:rPr>
        <w:t>ed</w:t>
      </w:r>
      <w:proofErr w:type="spellEnd"/>
      <w:proofErr w:type="gramEnd"/>
      <w:r w:rsidRPr="002A13BC">
        <w:rPr>
          <w:rFonts w:cs="Arial"/>
          <w:iCs/>
          <w:szCs w:val="22"/>
          <w:lang w:val="en-AU" w:eastAsia="en-AU" w:bidi="ar-SA"/>
        </w:rPr>
        <w:t xml:space="preserve">, United States </w:t>
      </w:r>
      <w:proofErr w:type="spellStart"/>
      <w:r w:rsidRPr="002A13BC">
        <w:rPr>
          <w:rFonts w:cs="Arial"/>
          <w:iCs/>
          <w:szCs w:val="22"/>
          <w:lang w:val="en-AU" w:eastAsia="en-AU" w:bidi="ar-SA"/>
        </w:rPr>
        <w:t>Pharmacopeial</w:t>
      </w:r>
      <w:proofErr w:type="spellEnd"/>
      <w:r w:rsidRPr="002A13BC">
        <w:rPr>
          <w:rFonts w:cs="Arial"/>
          <w:iCs/>
          <w:szCs w:val="22"/>
          <w:lang w:val="en-AU" w:eastAsia="en-AU" w:bidi="ar-SA"/>
        </w:rPr>
        <w:t xml:space="preserve"> Convention, Rockville, MD.</w:t>
      </w:r>
    </w:p>
    <w:p w14:paraId="4F25B0A0" w14:textId="77777777" w:rsidR="002421E3" w:rsidRPr="002A13BC" w:rsidRDefault="002421E3" w:rsidP="002421E3">
      <w:pPr>
        <w:spacing w:before="60" w:after="60"/>
        <w:ind w:left="567" w:hanging="567"/>
        <w:rPr>
          <w:rFonts w:cs="Arial"/>
          <w:iCs/>
          <w:szCs w:val="22"/>
          <w:lang w:val="en-AU" w:eastAsia="en-AU" w:bidi="ar-SA"/>
        </w:rPr>
      </w:pPr>
      <w:r w:rsidRPr="002A13BC">
        <w:rPr>
          <w:rFonts w:cs="Arial"/>
          <w:iCs/>
          <w:szCs w:val="22"/>
          <w:lang w:val="en-AU" w:eastAsia="en-AU" w:bidi="ar-SA"/>
        </w:rPr>
        <w:t>(c)</w:t>
      </w:r>
      <w:r w:rsidRPr="002A13BC">
        <w:rPr>
          <w:rFonts w:cs="Arial"/>
          <w:iCs/>
          <w:szCs w:val="22"/>
          <w:lang w:val="en-AU" w:eastAsia="en-AU" w:bidi="ar-SA"/>
        </w:rPr>
        <w:tab/>
        <w:t>Commission Regulation (EU) No 231/2012 of 9 March 2012 laying down specifications for food additives.</w:t>
      </w:r>
    </w:p>
    <w:p w14:paraId="73F5D6B1" w14:textId="77777777" w:rsidR="002421E3" w:rsidRPr="002A13BC" w:rsidRDefault="002421E3" w:rsidP="002421E3">
      <w:pPr>
        <w:rPr>
          <w:lang w:val="en-AU" w:eastAsia="en-GB" w:bidi="ar-SA"/>
        </w:rPr>
      </w:pPr>
    </w:p>
    <w:p w14:paraId="393A4C12" w14:textId="77777777" w:rsidR="002421E3" w:rsidRPr="002A13BC" w:rsidRDefault="002421E3" w:rsidP="002421E3">
      <w:pPr>
        <w:rPr>
          <w:b/>
          <w:lang w:val="en-AU" w:eastAsia="en-GB" w:bidi="ar-SA"/>
        </w:rPr>
      </w:pPr>
      <w:r w:rsidRPr="002A13BC">
        <w:rPr>
          <w:b/>
          <w:lang w:val="en-AU" w:eastAsia="en-GB" w:bidi="ar-SA"/>
        </w:rPr>
        <w:t>4.</w:t>
      </w:r>
      <w:r w:rsidRPr="002A13BC">
        <w:rPr>
          <w:b/>
          <w:lang w:val="en-AU" w:eastAsia="en-GB" w:bidi="ar-SA"/>
        </w:rPr>
        <w:tab/>
        <w:t>Consultation</w:t>
      </w:r>
    </w:p>
    <w:p w14:paraId="0C852D7A" w14:textId="77777777" w:rsidR="002421E3" w:rsidRPr="002A13BC" w:rsidRDefault="002421E3" w:rsidP="002421E3">
      <w:pPr>
        <w:rPr>
          <w:lang w:val="en-AU" w:eastAsia="en-GB" w:bidi="ar-SA"/>
        </w:rPr>
      </w:pPr>
    </w:p>
    <w:p w14:paraId="6C2E5A1D" w14:textId="77777777" w:rsidR="002421E3" w:rsidRPr="002A13BC" w:rsidRDefault="002421E3" w:rsidP="002421E3">
      <w:pPr>
        <w:rPr>
          <w:lang w:val="en-AU"/>
        </w:rPr>
      </w:pPr>
      <w:r w:rsidRPr="002A13BC">
        <w:rPr>
          <w:szCs w:val="22"/>
        </w:rPr>
        <w:t xml:space="preserve">In accordance with the procedure in Division 1 of Part 3 of the FSANZ Act, </w:t>
      </w:r>
      <w:r w:rsidRPr="002A13BC">
        <w:rPr>
          <w:rFonts w:eastAsia="Calibri" w:cs="Arial"/>
          <w:bCs/>
          <w:szCs w:val="22"/>
          <w:lang w:val="en-AU" w:bidi="ar-SA"/>
        </w:rPr>
        <w:t>the Authority</w:t>
      </w:r>
      <w:r w:rsidRPr="002A13BC">
        <w:rPr>
          <w:szCs w:val="22"/>
        </w:rPr>
        <w:t>’s consideration of Application A1108 include</w:t>
      </w:r>
      <w:r w:rsidRPr="002A13BC">
        <w:t>d</w:t>
      </w:r>
      <w:r w:rsidRPr="002A13BC">
        <w:rPr>
          <w:szCs w:val="22"/>
        </w:rPr>
        <w:t xml:space="preserve"> one round of public consultation following an assessment and the preparation of a draft variation and associated report. A call for submissions (including the draft variation) occurr</w:t>
      </w:r>
      <w:r w:rsidRPr="002A13BC">
        <w:t>ed</w:t>
      </w:r>
      <w:r w:rsidRPr="002A13BC">
        <w:rPr>
          <w:szCs w:val="22"/>
        </w:rPr>
        <w:t xml:space="preserve"> </w:t>
      </w:r>
      <w:r w:rsidRPr="002A13BC">
        <w:t>for</w:t>
      </w:r>
      <w:r w:rsidRPr="002A13BC">
        <w:rPr>
          <w:szCs w:val="22"/>
        </w:rPr>
        <w:t xml:space="preserve"> a six-week consultation period.</w:t>
      </w:r>
    </w:p>
    <w:p w14:paraId="4943FE99" w14:textId="77777777" w:rsidR="002421E3" w:rsidRPr="002A13BC" w:rsidRDefault="002421E3" w:rsidP="002421E3"/>
    <w:p w14:paraId="508B1B5B" w14:textId="77777777" w:rsidR="002421E3" w:rsidRPr="002A13BC" w:rsidRDefault="002421E3" w:rsidP="002421E3">
      <w:pPr>
        <w:widowControl/>
        <w:autoSpaceDE w:val="0"/>
        <w:autoSpaceDN w:val="0"/>
        <w:adjustRightInd w:val="0"/>
      </w:pPr>
      <w:r w:rsidRPr="002A13BC">
        <w:rPr>
          <w:rFonts w:eastAsia="Calibri" w:cs="Arial"/>
          <w:bCs/>
          <w:szCs w:val="22"/>
          <w:lang w:val="en-AU" w:bidi="ar-SA"/>
        </w:rPr>
        <w:t xml:space="preserve">A Regulation Impact Statement was not required because the approved draft variation to Standard 1.3.1 and Schedule 3 </w:t>
      </w:r>
      <w:r w:rsidRPr="002A13BC">
        <w:t xml:space="preserve">are likely to have a minor impact on business and individuals. </w:t>
      </w:r>
    </w:p>
    <w:p w14:paraId="03A561DB" w14:textId="77777777" w:rsidR="002421E3" w:rsidRPr="002A13BC" w:rsidRDefault="002421E3" w:rsidP="002421E3">
      <w:pPr>
        <w:widowControl/>
        <w:autoSpaceDE w:val="0"/>
        <w:autoSpaceDN w:val="0"/>
        <w:adjustRightInd w:val="0"/>
        <w:rPr>
          <w:rFonts w:eastAsia="Calibri" w:cs="Arial"/>
          <w:b/>
          <w:bCs/>
          <w:szCs w:val="22"/>
          <w:lang w:val="en-AU" w:bidi="ar-SA"/>
        </w:rPr>
      </w:pPr>
    </w:p>
    <w:p w14:paraId="7AA7C255" w14:textId="77777777" w:rsidR="002421E3" w:rsidRPr="002A13BC" w:rsidRDefault="002421E3" w:rsidP="002421E3">
      <w:pPr>
        <w:widowControl/>
        <w:rPr>
          <w:rFonts w:eastAsia="Calibri" w:cs="Arial"/>
          <w:b/>
          <w:bCs/>
          <w:szCs w:val="22"/>
          <w:lang w:val="en-AU" w:bidi="ar-SA"/>
        </w:rPr>
      </w:pPr>
      <w:r w:rsidRPr="002A13BC">
        <w:rPr>
          <w:rFonts w:eastAsia="Calibri" w:cs="Arial"/>
          <w:b/>
          <w:bCs/>
          <w:szCs w:val="22"/>
          <w:lang w:val="en-AU" w:bidi="ar-SA"/>
        </w:rPr>
        <w:t>5.</w:t>
      </w:r>
      <w:r w:rsidRPr="002A13BC">
        <w:rPr>
          <w:rFonts w:eastAsia="Calibri" w:cs="Arial"/>
          <w:b/>
          <w:bCs/>
          <w:szCs w:val="22"/>
          <w:lang w:val="en-AU" w:bidi="ar-SA"/>
        </w:rPr>
        <w:tab/>
        <w:t>Statement of compatibility with human rights</w:t>
      </w:r>
    </w:p>
    <w:p w14:paraId="10D7246D" w14:textId="77777777" w:rsidR="002421E3" w:rsidRPr="002A13BC" w:rsidRDefault="002421E3" w:rsidP="002421E3">
      <w:pPr>
        <w:rPr>
          <w:rFonts w:eastAsia="Calibri"/>
          <w:lang w:val="en-AU" w:bidi="ar-SA"/>
        </w:rPr>
      </w:pPr>
    </w:p>
    <w:p w14:paraId="289D3281" w14:textId="77777777" w:rsidR="002421E3" w:rsidRPr="002A13BC" w:rsidRDefault="002421E3" w:rsidP="002421E3">
      <w:pPr>
        <w:rPr>
          <w:rFonts w:eastAsia="Calibri"/>
          <w:lang w:val="en-AU" w:bidi="ar-SA"/>
        </w:rPr>
      </w:pPr>
      <w:r w:rsidRPr="002A13BC">
        <w:rPr>
          <w:rFonts w:eastAsia="Calibri"/>
          <w:lang w:val="en-AU" w:bidi="ar-SA"/>
        </w:rPr>
        <w:t>This instrument is exempt from the requirements for a statement of compatibility with human rights as it is a non-disallowable instrument under section 94 of the FSANZ Act.</w:t>
      </w:r>
    </w:p>
    <w:p w14:paraId="31A74E97" w14:textId="77777777" w:rsidR="002421E3" w:rsidRPr="002A13BC" w:rsidRDefault="002421E3" w:rsidP="002421E3">
      <w:pPr>
        <w:rPr>
          <w:rFonts w:eastAsia="Calibri"/>
          <w:lang w:val="en-AU" w:bidi="ar-SA"/>
        </w:rPr>
      </w:pPr>
    </w:p>
    <w:p w14:paraId="7A7EB485" w14:textId="77777777" w:rsidR="002421E3" w:rsidRPr="002A13BC" w:rsidRDefault="002421E3" w:rsidP="002421E3">
      <w:pPr>
        <w:keepNext/>
        <w:keepLines/>
        <w:widowControl/>
        <w:rPr>
          <w:b/>
          <w:lang w:val="en-AU" w:eastAsia="en-GB" w:bidi="ar-SA"/>
        </w:rPr>
      </w:pPr>
      <w:r w:rsidRPr="002A13BC">
        <w:rPr>
          <w:b/>
        </w:rPr>
        <w:t>6.</w:t>
      </w:r>
      <w:r w:rsidRPr="002A13BC">
        <w:rPr>
          <w:b/>
        </w:rPr>
        <w:tab/>
      </w:r>
      <w:r w:rsidRPr="002A13BC">
        <w:rPr>
          <w:b/>
          <w:lang w:val="en-AU" w:eastAsia="en-GB" w:bidi="ar-SA"/>
        </w:rPr>
        <w:t>Variation</w:t>
      </w:r>
    </w:p>
    <w:p w14:paraId="69E03EF6" w14:textId="77777777" w:rsidR="002421E3" w:rsidRPr="002A13BC" w:rsidRDefault="002421E3" w:rsidP="002421E3"/>
    <w:p w14:paraId="5ADC4BBE" w14:textId="77777777" w:rsidR="002421E3" w:rsidRPr="002A13BC" w:rsidRDefault="002421E3" w:rsidP="002421E3">
      <w:r w:rsidRPr="002A13BC">
        <w:rPr>
          <w:szCs w:val="22"/>
        </w:rPr>
        <w:t xml:space="preserve">Item </w:t>
      </w:r>
      <w:r w:rsidRPr="002A13BC">
        <w:t>[</w:t>
      </w:r>
      <w:r w:rsidRPr="002A13BC">
        <w:rPr>
          <w:szCs w:val="22"/>
        </w:rPr>
        <w:t>1</w:t>
      </w:r>
      <w:r w:rsidRPr="002A13BC">
        <w:t>]</w:t>
      </w:r>
      <w:r w:rsidRPr="002A13BC">
        <w:rPr>
          <w:szCs w:val="22"/>
        </w:rPr>
        <w:t xml:space="preserve"> </w:t>
      </w:r>
      <w:r w:rsidRPr="002A13BC">
        <w:t xml:space="preserve">varies </w:t>
      </w:r>
      <w:r w:rsidRPr="002A13BC">
        <w:rPr>
          <w:rFonts w:cs="Arial"/>
          <w:szCs w:val="22"/>
          <w:lang w:val="en-AU" w:eastAsia="en-AU" w:bidi="ar-SA"/>
        </w:rPr>
        <w:t>Standard 1.3.1</w:t>
      </w:r>
      <w:r w:rsidRPr="002A13BC">
        <w:rPr>
          <w:rFonts w:cs="Arial"/>
          <w:lang w:val="en-AU" w:eastAsia="en-AU"/>
        </w:rPr>
        <w:t>. The variation replaces</w:t>
      </w:r>
      <w:r w:rsidRPr="002A13BC">
        <w:rPr>
          <w:szCs w:val="22"/>
        </w:rPr>
        <w:t xml:space="preserve"> </w:t>
      </w:r>
      <w:r w:rsidRPr="002A13BC">
        <w:rPr>
          <w:rFonts w:cs="Arial"/>
          <w:szCs w:val="22"/>
        </w:rPr>
        <w:t xml:space="preserve">paragraphs (g) to (j) of the definition of </w:t>
      </w:r>
      <w:r w:rsidRPr="002A13BC">
        <w:rPr>
          <w:rFonts w:cs="Arial"/>
          <w:b/>
          <w:i/>
          <w:szCs w:val="22"/>
        </w:rPr>
        <w:t>CF</w:t>
      </w:r>
      <w:r w:rsidRPr="002A13BC">
        <w:rPr>
          <w:rFonts w:cs="Arial"/>
          <w:szCs w:val="22"/>
        </w:rPr>
        <w:t xml:space="preserve"> (Conversion Factor) in subsection </w:t>
      </w:r>
      <w:r w:rsidRPr="002A13BC">
        <w:rPr>
          <w:rFonts w:cs="Arial"/>
          <w:szCs w:val="22"/>
          <w:lang w:val="en-AU" w:eastAsia="en-AU" w:bidi="ar-SA"/>
        </w:rPr>
        <w:t>1.3.1—4(7).</w:t>
      </w:r>
      <w:r w:rsidRPr="002A13BC">
        <w:t xml:space="preserve"> </w:t>
      </w:r>
    </w:p>
    <w:p w14:paraId="505292D6" w14:textId="77777777" w:rsidR="002421E3" w:rsidRPr="002A13BC" w:rsidRDefault="002421E3" w:rsidP="002421E3"/>
    <w:p w14:paraId="0AD7FB48" w14:textId="77777777" w:rsidR="002421E3" w:rsidRPr="002A13BC" w:rsidRDefault="002421E3" w:rsidP="002421E3">
      <w:r w:rsidRPr="002A13BC">
        <w:t xml:space="preserve">Standard 1.3.1 and Schedule 15 permit the use of preparations of </w:t>
      </w:r>
      <w:r w:rsidRPr="002A13BC">
        <w:rPr>
          <w:lang w:eastAsia="en-AU"/>
        </w:rPr>
        <w:t>steviol glycosides (‘steviol glycosides’) as food additives intense sweeteners</w:t>
      </w:r>
      <w:r w:rsidRPr="002A13BC">
        <w:t xml:space="preserve">. Paragraph </w:t>
      </w:r>
      <w:r w:rsidRPr="002A13BC">
        <w:rPr>
          <w:lang w:eastAsia="en-AU"/>
        </w:rPr>
        <w:t>1.3.1</w:t>
      </w:r>
      <w:r w:rsidRPr="002A13BC">
        <w:rPr>
          <w:rFonts w:cs="Arial"/>
          <w:szCs w:val="22"/>
          <w:lang w:val="en-AU" w:eastAsia="en-AU" w:bidi="ar-SA"/>
        </w:rPr>
        <w:t>—</w:t>
      </w:r>
      <w:r w:rsidRPr="002A13BC">
        <w:rPr>
          <w:lang w:eastAsia="en-AU"/>
        </w:rPr>
        <w:t>4(6)</w:t>
      </w:r>
      <w:r w:rsidRPr="002A13BC">
        <w:t xml:space="preserve">(i) of Standard 1.3.1 requires that, for this purpose, steviol glycosides must be calculated as ‘steviol equivalents’ in accordance with subsection </w:t>
      </w:r>
      <w:r w:rsidRPr="002A13BC">
        <w:rPr>
          <w:lang w:eastAsia="en-AU"/>
        </w:rPr>
        <w:t>1.3.1-4</w:t>
      </w:r>
      <w:r w:rsidRPr="002A13BC">
        <w:t xml:space="preserve">(7). </w:t>
      </w:r>
      <w:r w:rsidRPr="002A13BC">
        <w:rPr>
          <w:szCs w:val="22"/>
        </w:rPr>
        <w:t xml:space="preserve">The variation adds </w:t>
      </w:r>
      <w:r w:rsidRPr="002A13BC">
        <w:t>rebaudioside M to the list of steviol equivalents within that subsection. It also adds a conversion factor used to calculate a steviol equivalent for rebaudioside M. This in effect provides the permission for the use of rebaudioside M as a food additive.</w:t>
      </w:r>
    </w:p>
    <w:p w14:paraId="1ACF9CF9" w14:textId="77777777" w:rsidR="002421E3" w:rsidRPr="002A13BC" w:rsidRDefault="002421E3" w:rsidP="002421E3"/>
    <w:p w14:paraId="29C5CF8E" w14:textId="77777777" w:rsidR="002421E3" w:rsidRPr="002A13BC" w:rsidRDefault="002421E3" w:rsidP="002421E3">
      <w:r w:rsidRPr="002A13BC">
        <w:t xml:space="preserve">The variation also removes the reference to steviol in paragraph </w:t>
      </w:r>
      <w:r w:rsidRPr="002A13BC">
        <w:rPr>
          <w:lang w:eastAsia="en-AU"/>
        </w:rPr>
        <w:t>(h)</w:t>
      </w:r>
      <w:r w:rsidRPr="002A13BC">
        <w:t xml:space="preserve"> of </w:t>
      </w:r>
      <w:r w:rsidRPr="002A13BC">
        <w:rPr>
          <w:rFonts w:cs="Arial"/>
          <w:szCs w:val="22"/>
        </w:rPr>
        <w:t xml:space="preserve">the definition of </w:t>
      </w:r>
      <w:r w:rsidRPr="002A13BC">
        <w:rPr>
          <w:rFonts w:cs="Arial"/>
          <w:b/>
          <w:i/>
          <w:szCs w:val="22"/>
        </w:rPr>
        <w:t>CF</w:t>
      </w:r>
      <w:r w:rsidRPr="002A13BC">
        <w:rPr>
          <w:rFonts w:cs="Arial"/>
          <w:szCs w:val="22"/>
        </w:rPr>
        <w:t xml:space="preserve"> (Conversion Factor) in subsection </w:t>
      </w:r>
      <w:r w:rsidRPr="002A13BC">
        <w:rPr>
          <w:rFonts w:cs="Arial"/>
          <w:szCs w:val="22"/>
          <w:lang w:val="en-AU" w:eastAsia="en-AU" w:bidi="ar-SA"/>
        </w:rPr>
        <w:t xml:space="preserve">1.3.1—4(7). This is because steviol is not itself a steviol glycoside, nor is it contained in commercial steviol glycoside preparations. It is the active non-sugar component of steviol glycosides. It was listed in the definition for illustrative purposes and is often added to lists of steviol glycosides for structural elucidation purposes only. It has a steviol equivalence of 1.00 and, as such, is not required. </w:t>
      </w:r>
    </w:p>
    <w:p w14:paraId="24B83EEC" w14:textId="77777777" w:rsidR="002421E3" w:rsidRPr="002A13BC" w:rsidRDefault="002421E3" w:rsidP="002421E3"/>
    <w:p w14:paraId="4B52B063" w14:textId="77777777" w:rsidR="002421E3" w:rsidRPr="002A13BC" w:rsidRDefault="002421E3" w:rsidP="002421E3">
      <w:r w:rsidRPr="002A13BC">
        <w:t xml:space="preserve">Item [2] varies </w:t>
      </w:r>
      <w:r w:rsidRPr="002A13BC">
        <w:rPr>
          <w:szCs w:val="22"/>
        </w:rPr>
        <w:t>Schedule 3</w:t>
      </w:r>
      <w:r w:rsidRPr="002A13BC">
        <w:t>.</w:t>
      </w:r>
    </w:p>
    <w:p w14:paraId="3E4598D6" w14:textId="77777777" w:rsidR="002421E3" w:rsidRPr="002A13BC" w:rsidRDefault="002421E3" w:rsidP="002421E3"/>
    <w:p w14:paraId="0F051F8A" w14:textId="77777777" w:rsidR="002421E3" w:rsidRDefault="002421E3" w:rsidP="002421E3">
      <w:r>
        <w:br w:type="page"/>
      </w:r>
    </w:p>
    <w:p w14:paraId="5297A3C9" w14:textId="77777777" w:rsidR="002421E3" w:rsidRPr="002A13BC" w:rsidRDefault="002421E3" w:rsidP="002421E3">
      <w:r w:rsidRPr="002A13BC">
        <w:lastRenderedPageBreak/>
        <w:t xml:space="preserve">Item [2.1] varies the table to subsection S3—2(2). The variation amends that table to include in it references to: rebaudioside M; </w:t>
      </w:r>
      <w:r w:rsidRPr="002A13BC">
        <w:rPr>
          <w:szCs w:val="22"/>
        </w:rPr>
        <w:t xml:space="preserve">a </w:t>
      </w:r>
      <w:r w:rsidRPr="002A13BC">
        <w:rPr>
          <w:rFonts w:eastAsia="Calibri"/>
        </w:rPr>
        <w:t xml:space="preserve">steviol glycoside mixture or preparation that includes </w:t>
      </w:r>
      <w:r w:rsidRPr="002A13BC">
        <w:rPr>
          <w:rFonts w:eastAsia="Calibri"/>
          <w:szCs w:val="20"/>
        </w:rPr>
        <w:t>rebaudioside M;</w:t>
      </w:r>
      <w:r w:rsidRPr="002A13BC">
        <w:t xml:space="preserve"> and new sections </w:t>
      </w:r>
      <w:r w:rsidRPr="002A13BC">
        <w:rPr>
          <w:szCs w:val="22"/>
        </w:rPr>
        <w:t xml:space="preserve">S3—31 </w:t>
      </w:r>
      <w:r w:rsidRPr="002A13BC">
        <w:t xml:space="preserve">and </w:t>
      </w:r>
      <w:r w:rsidRPr="002A13BC">
        <w:rPr>
          <w:szCs w:val="22"/>
        </w:rPr>
        <w:t>S3—3</w:t>
      </w:r>
      <w:r w:rsidRPr="002A13BC">
        <w:t xml:space="preserve">2. The effect is that subsection 1.1.1—15(2) of Standard 1.1.1 will require those substances, when added to food or sold for use in food, to comply with the specifications listed for each by those new sections. </w:t>
      </w:r>
    </w:p>
    <w:p w14:paraId="1E7327C5" w14:textId="77777777" w:rsidR="002421E3" w:rsidRPr="002A13BC" w:rsidRDefault="002421E3" w:rsidP="002421E3"/>
    <w:p w14:paraId="42C96A90" w14:textId="77777777" w:rsidR="002421E3" w:rsidRPr="002A13BC" w:rsidRDefault="002421E3" w:rsidP="002421E3">
      <w:pPr>
        <w:rPr>
          <w:szCs w:val="22"/>
        </w:rPr>
      </w:pPr>
      <w:r w:rsidRPr="002A13BC">
        <w:t>Item [2.2]</w:t>
      </w:r>
      <w:r w:rsidRPr="002A13BC">
        <w:rPr>
          <w:szCs w:val="22"/>
        </w:rPr>
        <w:t xml:space="preserve"> </w:t>
      </w:r>
      <w:r w:rsidRPr="002A13BC">
        <w:t xml:space="preserve">inserts new sections </w:t>
      </w:r>
      <w:r w:rsidRPr="002A13BC">
        <w:rPr>
          <w:szCs w:val="22"/>
        </w:rPr>
        <w:t xml:space="preserve">S3—31 </w:t>
      </w:r>
      <w:r w:rsidRPr="002A13BC">
        <w:t xml:space="preserve">and </w:t>
      </w:r>
      <w:r w:rsidRPr="002A13BC">
        <w:rPr>
          <w:szCs w:val="22"/>
        </w:rPr>
        <w:t>S3—3</w:t>
      </w:r>
      <w:r w:rsidRPr="002A13BC">
        <w:t xml:space="preserve">2 </w:t>
      </w:r>
      <w:r w:rsidRPr="002A13BC">
        <w:rPr>
          <w:szCs w:val="22"/>
        </w:rPr>
        <w:t xml:space="preserve">into Schedule 3. </w:t>
      </w:r>
    </w:p>
    <w:p w14:paraId="4409E06B" w14:textId="77777777" w:rsidR="002421E3" w:rsidRPr="002A13BC" w:rsidRDefault="002421E3" w:rsidP="002421E3">
      <w:pPr>
        <w:rPr>
          <w:szCs w:val="22"/>
        </w:rPr>
      </w:pPr>
    </w:p>
    <w:p w14:paraId="49F334FF" w14:textId="77777777" w:rsidR="002421E3" w:rsidRPr="002A13BC" w:rsidRDefault="002421E3" w:rsidP="002421E3">
      <w:pPr>
        <w:rPr>
          <w:szCs w:val="22"/>
        </w:rPr>
      </w:pPr>
      <w:r w:rsidRPr="002A13BC">
        <w:rPr>
          <w:szCs w:val="22"/>
        </w:rPr>
        <w:t xml:space="preserve">New section S3—31 provides the specifications for </w:t>
      </w:r>
      <w:r w:rsidRPr="002A13BC">
        <w:t xml:space="preserve">rebaudioside M. Subsection </w:t>
      </w:r>
      <w:r w:rsidRPr="002A13BC">
        <w:rPr>
          <w:szCs w:val="22"/>
        </w:rPr>
        <w:t xml:space="preserve">S3—31(1) and S3—31(2) provides a definition and specifications for assay, chemical name and formula weight. Subsection S3—31(3) provide that </w:t>
      </w:r>
      <w:r w:rsidRPr="002A13BC">
        <w:t xml:space="preserve">rebaudioside M must also comply with one of the specifications that relate to steviol glycosides and that is listed in a primary source named in </w:t>
      </w:r>
      <w:r w:rsidRPr="002A13BC">
        <w:rPr>
          <w:szCs w:val="20"/>
        </w:rPr>
        <w:t>paragraph S3</w:t>
      </w:r>
      <w:r w:rsidRPr="002A13BC">
        <w:t>—</w:t>
      </w:r>
      <w:r w:rsidRPr="002A13BC">
        <w:rPr>
          <w:szCs w:val="20"/>
        </w:rPr>
        <w:t>2(1)(b), S3</w:t>
      </w:r>
      <w:r w:rsidRPr="002A13BC">
        <w:t>—</w:t>
      </w:r>
      <w:r w:rsidRPr="002A13BC">
        <w:rPr>
          <w:szCs w:val="20"/>
        </w:rPr>
        <w:t>2(1)(c) or S3</w:t>
      </w:r>
      <w:r w:rsidRPr="002A13BC">
        <w:t>—</w:t>
      </w:r>
      <w:r w:rsidRPr="002A13BC">
        <w:rPr>
          <w:szCs w:val="20"/>
        </w:rPr>
        <w:t>2(1)(d)</w:t>
      </w:r>
      <w:r w:rsidRPr="002A13BC">
        <w:rPr>
          <w:rFonts w:eastAsia="Calibri"/>
        </w:rPr>
        <w:t xml:space="preserve"> of Schedule 3. Each of the primary sources named in those paragraphs contains a specification that relates to </w:t>
      </w:r>
      <w:r w:rsidRPr="002A13BC">
        <w:t xml:space="preserve">steviol glycosides that are comparable to rebaudioside M. </w:t>
      </w:r>
      <w:r w:rsidRPr="002A13BC">
        <w:rPr>
          <w:szCs w:val="22"/>
        </w:rPr>
        <w:t xml:space="preserve">Subsection S3—31(3) requires that </w:t>
      </w:r>
      <w:r w:rsidRPr="002A13BC">
        <w:t xml:space="preserve">rebaudioside M comply with one of those specifications subject to the requirements in subsection </w:t>
      </w:r>
      <w:r w:rsidRPr="002A13BC">
        <w:rPr>
          <w:szCs w:val="22"/>
        </w:rPr>
        <w:t xml:space="preserve">S3—31(2).  </w:t>
      </w:r>
    </w:p>
    <w:p w14:paraId="12450975" w14:textId="77777777" w:rsidR="002421E3" w:rsidRPr="002A13BC" w:rsidRDefault="002421E3" w:rsidP="002421E3">
      <w:pPr>
        <w:rPr>
          <w:szCs w:val="22"/>
        </w:rPr>
      </w:pPr>
    </w:p>
    <w:p w14:paraId="7D8899C7" w14:textId="77777777" w:rsidR="002421E3" w:rsidRPr="002A13BC" w:rsidRDefault="002421E3" w:rsidP="002421E3">
      <w:pPr>
        <w:rPr>
          <w:rFonts w:eastAsia="Calibri"/>
        </w:rPr>
      </w:pPr>
      <w:r w:rsidRPr="002A13BC">
        <w:rPr>
          <w:szCs w:val="22"/>
        </w:rPr>
        <w:t xml:space="preserve">New section S3—32 provides the specifications for a </w:t>
      </w:r>
      <w:r w:rsidRPr="002A13BC">
        <w:rPr>
          <w:rFonts w:eastAsia="Calibri"/>
        </w:rPr>
        <w:t xml:space="preserve">steviol glycoside mixture or preparation that includes </w:t>
      </w:r>
      <w:r w:rsidRPr="002A13BC">
        <w:rPr>
          <w:rFonts w:eastAsia="Calibri"/>
          <w:szCs w:val="20"/>
        </w:rPr>
        <w:t>rebaudioside M</w:t>
      </w:r>
      <w:r w:rsidRPr="002A13BC">
        <w:t xml:space="preserve">. Subsections </w:t>
      </w:r>
      <w:r w:rsidRPr="002A13BC">
        <w:rPr>
          <w:szCs w:val="22"/>
        </w:rPr>
        <w:t>S3—32</w:t>
      </w:r>
      <w:r w:rsidRPr="002A13BC">
        <w:t xml:space="preserve">(1) and (2) provide that the specifications apply to a mixture that contains </w:t>
      </w:r>
      <w:r w:rsidRPr="002A13BC">
        <w:rPr>
          <w:rFonts w:eastAsia="Calibri"/>
          <w:szCs w:val="20"/>
        </w:rPr>
        <w:t xml:space="preserve">rebaudioside M and one or more of the </w:t>
      </w:r>
      <w:r w:rsidRPr="002A13BC">
        <w:rPr>
          <w:rFonts w:eastAsia="Calibri"/>
        </w:rPr>
        <w:t xml:space="preserve">steviol glycosides currently permitted by the Code in preparations of steviol glycosides for use as a food additive intense sweetener. Subsection </w:t>
      </w:r>
      <w:r w:rsidRPr="002A13BC">
        <w:rPr>
          <w:szCs w:val="22"/>
        </w:rPr>
        <w:t>S3—32</w:t>
      </w:r>
      <w:r w:rsidRPr="002A13BC">
        <w:t>(3)</w:t>
      </w:r>
      <w:r w:rsidRPr="002A13BC">
        <w:rPr>
          <w:rFonts w:eastAsia="Calibri"/>
        </w:rPr>
        <w:t xml:space="preserve"> provides a content specification. That is, t</w:t>
      </w:r>
      <w:r w:rsidRPr="002A13BC">
        <w:t xml:space="preserve">he </w:t>
      </w:r>
      <w:r w:rsidRPr="002A13BC">
        <w:rPr>
          <w:rFonts w:eastAsia="Calibri"/>
          <w:szCs w:val="20"/>
        </w:rPr>
        <w:t>rebaudioside M and</w:t>
      </w:r>
      <w:r w:rsidRPr="002A13BC">
        <w:rPr>
          <w:rFonts w:eastAsia="Calibri"/>
        </w:rPr>
        <w:t xml:space="preserve"> the prescribed steviol glycoside or glycosides must together comprise not less than 95% of the mixture. </w:t>
      </w:r>
      <w:r w:rsidRPr="002A13BC">
        <w:rPr>
          <w:szCs w:val="22"/>
        </w:rPr>
        <w:t xml:space="preserve">Subsection S3—31(3) provides that </w:t>
      </w:r>
      <w:r w:rsidRPr="002A13BC">
        <w:t xml:space="preserve">rebaudioside M must also comply with one of the specifications that relate to steviol glycosides and that is listed in a primary source named in </w:t>
      </w:r>
      <w:r w:rsidRPr="002A13BC">
        <w:rPr>
          <w:szCs w:val="20"/>
        </w:rPr>
        <w:t>paragraph</w:t>
      </w:r>
      <w:r>
        <w:rPr>
          <w:szCs w:val="20"/>
        </w:rPr>
        <w:t>s</w:t>
      </w:r>
      <w:r w:rsidRPr="002A13BC">
        <w:rPr>
          <w:szCs w:val="20"/>
        </w:rPr>
        <w:t xml:space="preserve"> S3</w:t>
      </w:r>
      <w:r w:rsidRPr="002A13BC">
        <w:t>—</w:t>
      </w:r>
      <w:r w:rsidRPr="002A13BC">
        <w:rPr>
          <w:szCs w:val="20"/>
        </w:rPr>
        <w:t>2(1)(b), S3</w:t>
      </w:r>
      <w:r w:rsidRPr="002A13BC">
        <w:t>—</w:t>
      </w:r>
      <w:r w:rsidRPr="002A13BC">
        <w:rPr>
          <w:szCs w:val="20"/>
        </w:rPr>
        <w:t>2(1)(c) or S3</w:t>
      </w:r>
      <w:r w:rsidRPr="002A13BC">
        <w:t>—</w:t>
      </w:r>
      <w:r w:rsidRPr="002A13BC">
        <w:rPr>
          <w:szCs w:val="20"/>
        </w:rPr>
        <w:t>2(1)(d)</w:t>
      </w:r>
      <w:r w:rsidRPr="002A13BC">
        <w:rPr>
          <w:rFonts w:eastAsia="Calibri"/>
        </w:rPr>
        <w:t xml:space="preserve"> of Schedule 3.</w:t>
      </w:r>
    </w:p>
    <w:p w14:paraId="7C80640C" w14:textId="77777777" w:rsidR="002421E3" w:rsidRPr="002A13BC" w:rsidRDefault="002421E3" w:rsidP="002421E3">
      <w:pPr>
        <w:rPr>
          <w:rFonts w:eastAsia="Calibri"/>
        </w:rPr>
      </w:pPr>
    </w:p>
    <w:p w14:paraId="648B0AD5" w14:textId="77777777" w:rsidR="00D5526B" w:rsidRPr="00184403" w:rsidRDefault="00D5526B" w:rsidP="00793DE6">
      <w:bookmarkStart w:id="0" w:name="_GoBack"/>
      <w:bookmarkEnd w:id="0"/>
    </w:p>
    <w:sectPr w:rsidR="00D5526B" w:rsidRPr="00184403"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BE6D1" w14:textId="77777777" w:rsidR="002421E3" w:rsidRDefault="002421E3" w:rsidP="002421E3">
      <w:r>
        <w:separator/>
      </w:r>
    </w:p>
  </w:endnote>
  <w:endnote w:type="continuationSeparator" w:id="0">
    <w:p w14:paraId="53B925AC" w14:textId="77777777" w:rsidR="002421E3" w:rsidRDefault="002421E3" w:rsidP="0024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989238"/>
      <w:docPartObj>
        <w:docPartGallery w:val="Page Numbers (Bottom of Page)"/>
        <w:docPartUnique/>
      </w:docPartObj>
    </w:sdtPr>
    <w:sdtEndPr>
      <w:rPr>
        <w:noProof/>
      </w:rPr>
    </w:sdtEndPr>
    <w:sdtContent>
      <w:p w14:paraId="3CF1FEEB" w14:textId="77777777" w:rsidR="002421E3" w:rsidRDefault="002421E3" w:rsidP="002421E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6B90" w14:textId="77777777" w:rsidR="002421E3" w:rsidRDefault="002421E3" w:rsidP="002421E3">
      <w:r>
        <w:separator/>
      </w:r>
    </w:p>
  </w:footnote>
  <w:footnote w:type="continuationSeparator" w:id="0">
    <w:p w14:paraId="46D8ED80" w14:textId="77777777" w:rsidR="002421E3" w:rsidRDefault="002421E3" w:rsidP="002421E3">
      <w:r>
        <w:continuationSeparator/>
      </w:r>
    </w:p>
  </w:footnote>
  <w:footnote w:id="1">
    <w:p w14:paraId="21D11F10" w14:textId="77777777" w:rsidR="002421E3" w:rsidRPr="0010778D" w:rsidRDefault="002421E3" w:rsidP="002421E3">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E3"/>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421E3"/>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421E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421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421E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242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MMF7YEMDTSDN-102-29978</_dlc_DocId>
    <_dlc_DocIdUrl xmlns="5759555f-5bed-45a4-a4c2-4e28e2623455">
      <Url>http://fsintranet/Sections/OLC/_layouts/15/DocIdRedir.aspx?ID=MMF7YEMDTSDN-102-29978</Url>
      <Description>MMF7YEMDTSDN-102-29978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8917-3617-4D92-BF63-3BE9E3593A72}"/>
</file>

<file path=customXml/itemProps2.xml><?xml version="1.0" encoding="utf-8"?>
<ds:datastoreItem xmlns:ds="http://schemas.openxmlformats.org/officeDocument/2006/customXml" ds:itemID="{47811800-3D10-449F-9B7C-EF986CD3D697}"/>
</file>

<file path=customXml/itemProps3.xml><?xml version="1.0" encoding="utf-8"?>
<ds:datastoreItem xmlns:ds="http://schemas.openxmlformats.org/officeDocument/2006/customXml" ds:itemID="{C2672C77-52F6-4C27-BBBC-546B239B6910}"/>
</file>

<file path=customXml/itemProps4.xml><?xml version="1.0" encoding="utf-8"?>
<ds:datastoreItem xmlns:ds="http://schemas.openxmlformats.org/officeDocument/2006/customXml" ds:itemID="{921B81A8-870D-4A80-8A1F-4DAD38B23E58}"/>
</file>

<file path=customXml/itemProps5.xml><?xml version="1.0" encoding="utf-8"?>
<ds:datastoreItem xmlns:ds="http://schemas.openxmlformats.org/officeDocument/2006/customXml" ds:itemID="{B3D0B0FD-13D9-4D4D-8AC6-01F82F4078E5}"/>
</file>

<file path=customXml/itemProps6.xml><?xml version="1.0" encoding="utf-8"?>
<ds:datastoreItem xmlns:ds="http://schemas.openxmlformats.org/officeDocument/2006/customXml" ds:itemID="{EA5ED210-73E1-4787-8665-588BCB612D7B}"/>
</file>

<file path=customXml/itemProps7.xml><?xml version="1.0" encoding="utf-8"?>
<ds:datastoreItem xmlns:ds="http://schemas.openxmlformats.org/officeDocument/2006/customXml" ds:itemID="{CD0334B7-307C-4358-9981-166FF5E9B587}"/>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Company>Foodstandards</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2015-11-26T00:01:00Z</dcterms:created>
  <dcterms:modified xsi:type="dcterms:W3CDTF">2015-11-26T00:01:00Z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eac94656-a78c-4e25-8643-640c6a97a150</vt:lpwstr>
  </property>
</Properties>
</file>