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327" w:rsidRPr="00D12327" w:rsidRDefault="00D12327" w:rsidP="00D12327">
      <w:pPr>
        <w:jc w:val="center"/>
        <w:rPr>
          <w:b/>
          <w:u w:val="single"/>
        </w:rPr>
      </w:pPr>
      <w:bookmarkStart w:id="0" w:name="_GoBack"/>
      <w:bookmarkEnd w:id="0"/>
      <w:r w:rsidRPr="00D12327">
        <w:rPr>
          <w:b/>
          <w:u w:val="single"/>
        </w:rPr>
        <w:t>EXPLANATORY STATEMENT</w:t>
      </w:r>
    </w:p>
    <w:p w:rsidR="00F10BDE" w:rsidRPr="00F10BDE" w:rsidRDefault="00F10BDE" w:rsidP="00F10BDE">
      <w:pPr>
        <w:pStyle w:val="ShortT"/>
        <w:spacing w:after="200"/>
        <w:rPr>
          <w:sz w:val="24"/>
          <w:szCs w:val="24"/>
        </w:rPr>
      </w:pPr>
      <w:r>
        <w:rPr>
          <w:sz w:val="24"/>
          <w:szCs w:val="24"/>
        </w:rPr>
        <w:t>Variation to the National Environment Protection (Ambient Air Quality) Measure 2015</w:t>
      </w:r>
    </w:p>
    <w:p w:rsidR="00D12327" w:rsidRDefault="006E38ED" w:rsidP="00D12327">
      <w:pPr>
        <w:jc w:val="center"/>
      </w:pPr>
      <w:r>
        <w:t>Issued by the National Environment Protection Council</w:t>
      </w:r>
    </w:p>
    <w:p w:rsidR="006E38ED" w:rsidRPr="006E38ED" w:rsidRDefault="006E38ED" w:rsidP="00D12327">
      <w:pPr>
        <w:jc w:val="center"/>
        <w:rPr>
          <w:i/>
        </w:rPr>
      </w:pPr>
      <w:r w:rsidRPr="006E38ED">
        <w:rPr>
          <w:i/>
        </w:rPr>
        <w:t>National Environment Protection Council Act 1994</w:t>
      </w:r>
    </w:p>
    <w:p w:rsidR="006E38ED" w:rsidRPr="006E38ED" w:rsidRDefault="006E38ED" w:rsidP="00D12327">
      <w:pPr>
        <w:jc w:val="center"/>
        <w:rPr>
          <w:i/>
        </w:rPr>
      </w:pPr>
      <w:r w:rsidRPr="006E38ED">
        <w:rPr>
          <w:i/>
        </w:rPr>
        <w:t>National Environment Protection (Ambient Air Quality) Measure 1998</w:t>
      </w:r>
    </w:p>
    <w:p w:rsidR="00743606" w:rsidRDefault="00743606" w:rsidP="00932861">
      <w:r>
        <w:t xml:space="preserve">The </w:t>
      </w:r>
      <w:r w:rsidRPr="00743606">
        <w:rPr>
          <w:rFonts w:cs="Arial"/>
          <w:i/>
          <w:iCs/>
          <w:lang w:val="en-US" w:eastAsia="en-AU"/>
        </w:rPr>
        <w:t xml:space="preserve">National Environment Protection Council Act 1994 </w:t>
      </w:r>
      <w:r w:rsidRPr="00743606">
        <w:rPr>
          <w:rFonts w:cs="Arial"/>
          <w:lang w:val="en-US" w:eastAsia="en-AU"/>
        </w:rPr>
        <w:t xml:space="preserve">(the NEPC Act) </w:t>
      </w:r>
      <w:r>
        <w:t>and complementary state and territory legislation</w:t>
      </w:r>
      <w:r w:rsidR="00B6139C">
        <w:t xml:space="preserve"> establishes the National Environment Protection Council (NEPC)</w:t>
      </w:r>
      <w:r w:rsidR="00240048">
        <w:t xml:space="preserve">. One of the functions of NEPC is to make national environment protection measures (NEPMs). </w:t>
      </w:r>
      <w:r w:rsidR="00B6139C">
        <w:t xml:space="preserve"> </w:t>
      </w:r>
    </w:p>
    <w:p w:rsidR="00743606" w:rsidRPr="00743606" w:rsidRDefault="00912C05" w:rsidP="00743606">
      <w:pPr>
        <w:widowControl w:val="0"/>
        <w:autoSpaceDE w:val="0"/>
        <w:autoSpaceDN w:val="0"/>
        <w:adjustRightInd w:val="0"/>
        <w:spacing w:after="0" w:line="240" w:lineRule="auto"/>
        <w:rPr>
          <w:rFonts w:cs="Arial"/>
          <w:lang w:val="en-US" w:eastAsia="en-AU"/>
        </w:rPr>
      </w:pPr>
      <w:r>
        <w:rPr>
          <w:rFonts w:cs="Arial"/>
          <w:lang w:val="en-US" w:eastAsia="en-AU"/>
        </w:rPr>
        <w:t>Section 14(1)(a</w:t>
      </w:r>
      <w:r w:rsidR="00B6139C">
        <w:rPr>
          <w:rFonts w:cs="Arial"/>
          <w:lang w:val="en-US" w:eastAsia="en-AU"/>
        </w:rPr>
        <w:t>) of the NEPC Act</w:t>
      </w:r>
      <w:r w:rsidR="00743606" w:rsidRPr="00743606">
        <w:rPr>
          <w:rFonts w:cs="Arial"/>
          <w:lang w:val="en-US" w:eastAsia="en-AU"/>
        </w:rPr>
        <w:t xml:space="preserve"> provides, in part, that </w:t>
      </w:r>
      <w:r w:rsidR="00B6139C">
        <w:rPr>
          <w:rFonts w:cs="Arial"/>
          <w:lang w:val="en-US" w:eastAsia="en-AU"/>
        </w:rPr>
        <w:t>NEPC</w:t>
      </w:r>
      <w:r w:rsidR="00743606" w:rsidRPr="00743606">
        <w:rPr>
          <w:rFonts w:cs="Arial"/>
          <w:lang w:val="en-US" w:eastAsia="en-AU"/>
        </w:rPr>
        <w:t xml:space="preserve"> may, by instrument in writing, make a measure, to be known as a national environment protection measure that relates to </w:t>
      </w:r>
      <w:r>
        <w:rPr>
          <w:rFonts w:cs="Arial"/>
          <w:lang w:val="en-US" w:eastAsia="en-AU"/>
        </w:rPr>
        <w:t>ambient air quality</w:t>
      </w:r>
      <w:r w:rsidR="00743606" w:rsidRPr="00743606">
        <w:rPr>
          <w:rFonts w:cs="Arial"/>
          <w:lang w:val="en-US" w:eastAsia="en-AU"/>
        </w:rPr>
        <w:t>.</w:t>
      </w:r>
    </w:p>
    <w:p w:rsidR="00743606" w:rsidRPr="00743606" w:rsidRDefault="00743606" w:rsidP="00743606">
      <w:pPr>
        <w:widowControl w:val="0"/>
        <w:autoSpaceDE w:val="0"/>
        <w:autoSpaceDN w:val="0"/>
        <w:adjustRightInd w:val="0"/>
        <w:spacing w:after="0" w:line="240" w:lineRule="auto"/>
        <w:rPr>
          <w:rFonts w:cs="Arial"/>
          <w:lang w:val="en-US" w:eastAsia="en-AU"/>
        </w:rPr>
      </w:pPr>
      <w:r w:rsidRPr="00743606">
        <w:rPr>
          <w:rFonts w:cs="Arial"/>
          <w:lang w:val="en-US" w:eastAsia="en-AU"/>
        </w:rPr>
        <w:t> </w:t>
      </w:r>
    </w:p>
    <w:p w:rsidR="00837DD4" w:rsidRPr="00837DD4" w:rsidRDefault="005E2E0B" w:rsidP="00837DD4">
      <w:pPr>
        <w:widowControl w:val="0"/>
        <w:autoSpaceDE w:val="0"/>
        <w:autoSpaceDN w:val="0"/>
        <w:adjustRightInd w:val="0"/>
        <w:spacing w:after="0"/>
      </w:pPr>
      <w:r>
        <w:t xml:space="preserve">The </w:t>
      </w:r>
      <w:r w:rsidRPr="006E38ED">
        <w:rPr>
          <w:i/>
        </w:rPr>
        <w:t>National Environment Protection (Ambient Air Quality) Measure 1998</w:t>
      </w:r>
      <w:r>
        <w:rPr>
          <w:i/>
        </w:rPr>
        <w:t xml:space="preserve"> </w:t>
      </w:r>
      <w:r>
        <w:t>(AAQ NEPM) provides a national</w:t>
      </w:r>
      <w:r w:rsidR="00C21B2C">
        <w:t xml:space="preserve"> framework for ambient</w:t>
      </w:r>
      <w:r>
        <w:t xml:space="preserve"> air quality management in Australia. </w:t>
      </w:r>
      <w:r w:rsidR="00837DD4" w:rsidRPr="00837DD4">
        <w:t xml:space="preserve">Ambient </w:t>
      </w:r>
      <w:r w:rsidR="00030D50">
        <w:t xml:space="preserve">or outdoor </w:t>
      </w:r>
      <w:r w:rsidR="00837DD4" w:rsidRPr="00837DD4">
        <w:t xml:space="preserve">air quality is influenced by regulated and non-regulated human activities and factors such as the physical geography, climatic conditions and natural events. </w:t>
      </w:r>
    </w:p>
    <w:p w:rsidR="00837DD4" w:rsidRPr="00837DD4" w:rsidRDefault="00837DD4" w:rsidP="00837DD4">
      <w:pPr>
        <w:widowControl w:val="0"/>
        <w:autoSpaceDE w:val="0"/>
        <w:autoSpaceDN w:val="0"/>
        <w:adjustRightInd w:val="0"/>
        <w:spacing w:after="0"/>
      </w:pPr>
    </w:p>
    <w:p w:rsidR="00837DD4" w:rsidRPr="00837DD4" w:rsidRDefault="00837DD4" w:rsidP="00837DD4">
      <w:pPr>
        <w:widowControl w:val="0"/>
        <w:autoSpaceDE w:val="0"/>
        <w:autoSpaceDN w:val="0"/>
        <w:adjustRightInd w:val="0"/>
        <w:spacing w:after="0"/>
      </w:pPr>
      <w:r w:rsidRPr="00837DD4">
        <w:t>The AAQ NEPM requires participating jurisdictions to undertake nationally consistent monitoring and reporting activities that support the formulation of air quality management policies. AAQ NEPM monitoring protocols provide guidance to jurisdictions on monitoring population exposure to air pollution.</w:t>
      </w:r>
    </w:p>
    <w:p w:rsidR="00837DD4" w:rsidRPr="00837DD4" w:rsidRDefault="00837DD4" w:rsidP="00837DD4">
      <w:pPr>
        <w:widowControl w:val="0"/>
        <w:autoSpaceDE w:val="0"/>
        <w:autoSpaceDN w:val="0"/>
        <w:adjustRightInd w:val="0"/>
        <w:spacing w:after="0"/>
      </w:pPr>
    </w:p>
    <w:p w:rsidR="00837DD4" w:rsidRPr="00837DD4" w:rsidRDefault="00837DD4" w:rsidP="00837DD4">
      <w:pPr>
        <w:widowControl w:val="0"/>
        <w:autoSpaceDE w:val="0"/>
        <w:autoSpaceDN w:val="0"/>
        <w:adjustRightInd w:val="0"/>
        <w:spacing w:after="0"/>
      </w:pPr>
      <w:r w:rsidRPr="00837DD4">
        <w:t xml:space="preserve"> AAQ NEPM standards are health based. The</w:t>
      </w:r>
      <w:r w:rsidR="00030D50">
        <w:t xml:space="preserve"> standards in the AAQ NEPM</w:t>
      </w:r>
      <w:r w:rsidRPr="00837DD4">
        <w:t xml:space="preserve"> are not intended to be applied as an environmental standard by jurisdictional environmental regulators without consideration of regulatory impacts. </w:t>
      </w:r>
      <w:r w:rsidR="00030D50">
        <w:t xml:space="preserve">Section 7 of the NEPC Acts allow jurisdictions to implement the AAQ NEPM by such laws and other arrangements as </w:t>
      </w:r>
      <w:r w:rsidR="00F87CC3">
        <w:t xml:space="preserve">are </w:t>
      </w:r>
      <w:r w:rsidR="00030D50">
        <w:t>necessary</w:t>
      </w:r>
      <w:r w:rsidR="00030D50" w:rsidRPr="003D072A">
        <w:t xml:space="preserve">. </w:t>
      </w:r>
      <w:r w:rsidR="00143146" w:rsidRPr="003D072A">
        <w:t>The implementation of the AAQ NEPM does not preclude jurisdictions from adopting tighter or complementary standards or goals for their own policy or regulatory purposes.</w:t>
      </w:r>
      <w:r w:rsidR="006A1826" w:rsidRPr="003D072A">
        <w:t xml:space="preserve"> </w:t>
      </w:r>
      <w:r w:rsidR="00030D50" w:rsidRPr="003D072A">
        <w:t>In doing</w:t>
      </w:r>
      <w:r w:rsidR="00030D50">
        <w:t xml:space="preserve"> this, </w:t>
      </w:r>
      <w:r w:rsidR="005D1E99">
        <w:t>j</w:t>
      </w:r>
      <w:r w:rsidRPr="00837DD4">
        <w:t>urisdictions may utilise a risk-based approach in determining environmental standards</w:t>
      </w:r>
      <w:r w:rsidR="00F87CC3">
        <w:t xml:space="preserve"> appropriate for their own circumstances or conditions</w:t>
      </w:r>
      <w:r w:rsidRPr="00837DD4">
        <w:t>, along with improvement strategies for regulated and non-regulated sources and exposure reduction strategies.</w:t>
      </w:r>
    </w:p>
    <w:p w:rsidR="00837DD4" w:rsidRDefault="00837DD4" w:rsidP="00D75280">
      <w:pPr>
        <w:widowControl w:val="0"/>
        <w:autoSpaceDE w:val="0"/>
        <w:autoSpaceDN w:val="0"/>
        <w:adjustRightInd w:val="0"/>
        <w:spacing w:after="0" w:line="240" w:lineRule="auto"/>
      </w:pPr>
    </w:p>
    <w:p w:rsidR="00D75280" w:rsidRDefault="00D75280" w:rsidP="00D75280">
      <w:pPr>
        <w:widowControl w:val="0"/>
        <w:autoSpaceDE w:val="0"/>
        <w:autoSpaceDN w:val="0"/>
        <w:adjustRightInd w:val="0"/>
        <w:spacing w:after="0" w:line="240" w:lineRule="auto"/>
        <w:rPr>
          <w:rFonts w:cs="Arial"/>
          <w:lang w:val="en-US" w:eastAsia="en-AU"/>
        </w:rPr>
      </w:pPr>
      <w:r w:rsidRPr="00743606">
        <w:rPr>
          <w:rFonts w:cs="Arial"/>
          <w:lang w:val="en-US" w:eastAsia="en-AU"/>
        </w:rPr>
        <w:t>Section 20(1) of the NEPC Act provides that NEPC may vary or revoke a national environment protection measure.</w:t>
      </w:r>
    </w:p>
    <w:p w:rsidR="00D75280" w:rsidRDefault="00D75280" w:rsidP="00D75280">
      <w:pPr>
        <w:widowControl w:val="0"/>
        <w:autoSpaceDE w:val="0"/>
        <w:autoSpaceDN w:val="0"/>
        <w:adjustRightInd w:val="0"/>
        <w:spacing w:after="0" w:line="240" w:lineRule="auto"/>
        <w:rPr>
          <w:rFonts w:cs="Arial"/>
          <w:lang w:val="en-US" w:eastAsia="en-AU"/>
        </w:rPr>
      </w:pPr>
    </w:p>
    <w:p w:rsidR="00017823" w:rsidRDefault="00F87CC3" w:rsidP="00017823">
      <w:r>
        <w:t xml:space="preserve">In accordance with </w:t>
      </w:r>
      <w:r w:rsidR="000C20F0">
        <w:t xml:space="preserve"> section</w:t>
      </w:r>
      <w:r>
        <w:t>s</w:t>
      </w:r>
      <w:r w:rsidR="000C20F0">
        <w:t xml:space="preserve"> 18</w:t>
      </w:r>
      <w:r w:rsidR="00D12327">
        <w:t xml:space="preserve"> </w:t>
      </w:r>
      <w:r>
        <w:t xml:space="preserve">and 20 </w:t>
      </w:r>
      <w:r w:rsidR="00D12327">
        <w:t xml:space="preserve">of the NEPC Act, a notice, together with the draft variation and an </w:t>
      </w:r>
      <w:r w:rsidR="006E38ED">
        <w:t>impact</w:t>
      </w:r>
      <w:r w:rsidR="00D12327">
        <w:t xml:space="preserve"> statement were published on the Department of the Environment’s website seeking public comments</w:t>
      </w:r>
      <w:r w:rsidR="000C20F0">
        <w:t xml:space="preserve"> on 31 July 2014</w:t>
      </w:r>
      <w:r w:rsidR="00D12327">
        <w:t>. The public co</w:t>
      </w:r>
      <w:r w:rsidR="000C20F0">
        <w:t>nsultation period was 10 weeks closing on 10 October 2014</w:t>
      </w:r>
      <w:r w:rsidR="00D12327">
        <w:t xml:space="preserve">. </w:t>
      </w:r>
      <w:r w:rsidR="00017823">
        <w:t>It was supported by a series of national stakeholder meetings. 142 written submissions were received. All non-confidential submissions were published on the NEPC website in December 2014. Over 420 letters have also been received by national environment Ministers urging the strengthening of particle standards.</w:t>
      </w:r>
      <w:r w:rsidR="008F1050">
        <w:t xml:space="preserve"> </w:t>
      </w:r>
    </w:p>
    <w:p w:rsidR="00017823" w:rsidRDefault="00017823" w:rsidP="00017823">
      <w:r>
        <w:t>Public consultation shows a very substantial level of community interest in air quality; expectations of continued improvement in air quality; and expectations of national and state based actions to reduce emissions and reduce exposure to air pollution.</w:t>
      </w:r>
    </w:p>
    <w:p w:rsidR="00F523B5" w:rsidRDefault="00017823" w:rsidP="00017823">
      <w:r>
        <w:lastRenderedPageBreak/>
        <w:t>A Summary of Submissions received has been prepared to enable NEPC to make a statutory decision to vary the AAQ NEPM particle standards. In making a statutory decision to vary the AAQ NEPM NEPC must consider the Impact Statement, submissions received (Summary of Submissions) and any advice from the N</w:t>
      </w:r>
      <w:r w:rsidR="00754E33">
        <w:t xml:space="preserve">ational </w:t>
      </w:r>
      <w:r>
        <w:t>E</w:t>
      </w:r>
      <w:r w:rsidR="00754E33">
        <w:t xml:space="preserve">nvironment </w:t>
      </w:r>
      <w:r>
        <w:t>P</w:t>
      </w:r>
      <w:r w:rsidR="00754E33">
        <w:t xml:space="preserve">rotection </w:t>
      </w:r>
      <w:r>
        <w:t>C</w:t>
      </w:r>
      <w:r w:rsidR="00754E33">
        <w:t xml:space="preserve">ouncil </w:t>
      </w:r>
      <w:r>
        <w:t>C</w:t>
      </w:r>
      <w:r w:rsidR="00754E33">
        <w:t>ommittee</w:t>
      </w:r>
      <w:r>
        <w:t xml:space="preserve"> or from a committee established under section 33 of the Act before making the variation.</w:t>
      </w:r>
    </w:p>
    <w:p w:rsidR="00D12327" w:rsidRDefault="00D12327" w:rsidP="00932861">
      <w:r>
        <w:t>The impact statement</w:t>
      </w:r>
      <w:r w:rsidR="00837DD4">
        <w:t xml:space="preserve">, </w:t>
      </w:r>
      <w:r w:rsidR="008C4CBB">
        <w:t>public submissions</w:t>
      </w:r>
      <w:r w:rsidR="00837DD4">
        <w:t xml:space="preserve"> and the response to submissions </w:t>
      </w:r>
      <w:r>
        <w:t xml:space="preserve">can be obtained from </w:t>
      </w:r>
      <w:r w:rsidR="00837DD4">
        <w:t>the NEPC website.</w:t>
      </w:r>
    </w:p>
    <w:p w:rsidR="000434C8" w:rsidRDefault="000434C8" w:rsidP="000434C8">
      <w:r>
        <w:t>On 13 May 2014 the NEPC gave notice of the intent</w:t>
      </w:r>
      <w:r w:rsidRPr="005E2E0B">
        <w:t xml:space="preserve"> to make a variation to the </w:t>
      </w:r>
      <w:r>
        <w:t xml:space="preserve">AAQ </w:t>
      </w:r>
      <w:r w:rsidRPr="005E2E0B">
        <w:t>NEPM in relation to the standards for particles</w:t>
      </w:r>
      <w:r w:rsidR="00F87CC3">
        <w:t xml:space="preserve"> – specifically, </w:t>
      </w:r>
      <w:r w:rsidR="00F87CC3" w:rsidRPr="00932A0E">
        <w:t>PM</w:t>
      </w:r>
      <w:r w:rsidR="00F87CC3" w:rsidRPr="00932A0E">
        <w:rPr>
          <w:vertAlign w:val="subscript"/>
        </w:rPr>
        <w:t>2.5</w:t>
      </w:r>
      <w:r w:rsidR="00F87CC3">
        <w:t xml:space="preserve"> and PM</w:t>
      </w:r>
      <w:r w:rsidR="00F87CC3" w:rsidRPr="00932A0E">
        <w:rPr>
          <w:vertAlign w:val="subscript"/>
        </w:rPr>
        <w:t>10</w:t>
      </w:r>
      <w:r w:rsidR="00F87CC3">
        <w:rPr>
          <w:vertAlign w:val="subscript"/>
        </w:rPr>
        <w:t xml:space="preserve">. </w:t>
      </w:r>
      <w:r w:rsidR="00F87CC3">
        <w:t xml:space="preserve"> These are defined in the AAQ NEPM as </w:t>
      </w:r>
      <w:r w:rsidR="00F87CC3" w:rsidRPr="00F87CC3">
        <w:t>particulate matter with an equivalent aerodynamic diameter of 2.5 micrometres or less</w:t>
      </w:r>
      <w:r w:rsidR="00F87CC3">
        <w:t xml:space="preserve"> and </w:t>
      </w:r>
      <w:r w:rsidR="00F87CC3" w:rsidRPr="00F87CC3">
        <w:t>particulate matter with an equivalent aerodynamic diameter of 10 micrometres or less</w:t>
      </w:r>
      <w:r w:rsidR="00F87CC3">
        <w:t xml:space="preserve"> respectively</w:t>
      </w:r>
      <w:r w:rsidRPr="005E2E0B">
        <w:t xml:space="preserve">.  </w:t>
      </w:r>
      <w:r>
        <w:t xml:space="preserve">The purpose of the proposed variation is to update the AAQ NEPM to ensure that it </w:t>
      </w:r>
      <w:r w:rsidRPr="005E2E0B">
        <w:t>reflect</w:t>
      </w:r>
      <w:r>
        <w:t>s the</w:t>
      </w:r>
      <w:r w:rsidRPr="005E2E0B">
        <w:t xml:space="preserve"> latest scientific understanding and will allow for an adequate level of health protection against the impacts of particle air pollution for the Australian community.  </w:t>
      </w:r>
      <w:r>
        <w:t>It does this by:</w:t>
      </w:r>
    </w:p>
    <w:p w:rsidR="00476306" w:rsidRPr="00932A0E" w:rsidRDefault="00476306" w:rsidP="00476306">
      <w:pPr>
        <w:pStyle w:val="ListNumber"/>
      </w:pPr>
      <w:r w:rsidRPr="00932A0E">
        <w:rPr>
          <w:b/>
        </w:rPr>
        <w:t>Amend</w:t>
      </w:r>
      <w:r w:rsidR="000434C8">
        <w:rPr>
          <w:b/>
        </w:rPr>
        <w:t>ing</w:t>
      </w:r>
      <w:r w:rsidRPr="00932A0E">
        <w:t xml:space="preserve"> the status of the annual average and </w:t>
      </w:r>
      <w:r w:rsidR="005E7071">
        <w:t>1 day average</w:t>
      </w:r>
      <w:r w:rsidRPr="00932A0E">
        <w:t xml:space="preserve"> PM</w:t>
      </w:r>
      <w:r w:rsidRPr="00932A0E">
        <w:rPr>
          <w:vertAlign w:val="subscript"/>
        </w:rPr>
        <w:t>2.5</w:t>
      </w:r>
      <w:r w:rsidRPr="00932A0E">
        <w:t xml:space="preserve"> </w:t>
      </w:r>
      <w:r w:rsidRPr="00932A0E">
        <w:rPr>
          <w:b/>
          <w:i/>
        </w:rPr>
        <w:t>‘advisory reporting standards’</w:t>
      </w:r>
      <w:r w:rsidRPr="00932A0E">
        <w:t xml:space="preserve"> to </w:t>
      </w:r>
      <w:r w:rsidRPr="00932A0E">
        <w:rPr>
          <w:b/>
          <w:i/>
        </w:rPr>
        <w:t>‘standards’</w:t>
      </w:r>
      <w:r w:rsidRPr="00932A0E">
        <w:rPr>
          <w:rFonts w:eastAsiaTheme="minorEastAsia"/>
          <w:lang w:eastAsia="ja-JP"/>
        </w:rPr>
        <w:t>.</w:t>
      </w:r>
    </w:p>
    <w:p w:rsidR="00476306" w:rsidRPr="00932A0E" w:rsidRDefault="000434C8" w:rsidP="00476306">
      <w:pPr>
        <w:pStyle w:val="ListNumber"/>
      </w:pPr>
      <w:r>
        <w:rPr>
          <w:b/>
        </w:rPr>
        <w:t>Including</w:t>
      </w:r>
      <w:r w:rsidR="00476306" w:rsidRPr="00932A0E">
        <w:rPr>
          <w:b/>
        </w:rPr>
        <w:t xml:space="preserve"> </w:t>
      </w:r>
      <w:r w:rsidR="00476306" w:rsidRPr="00932A0E">
        <w:t>an annual average PM</w:t>
      </w:r>
      <w:r w:rsidR="00476306" w:rsidRPr="00932A0E">
        <w:rPr>
          <w:vertAlign w:val="subscript"/>
        </w:rPr>
        <w:t>10</w:t>
      </w:r>
      <w:r w:rsidR="00476306" w:rsidRPr="00932A0E">
        <w:t xml:space="preserve"> standard of 25</w:t>
      </w:r>
      <w:r w:rsidR="00476306" w:rsidRPr="00932A0E">
        <w:rPr>
          <w:rFonts w:eastAsiaTheme="minorEastAsia"/>
          <w:lang w:eastAsia="ja-JP"/>
        </w:rPr>
        <w:t>µg/m</w:t>
      </w:r>
      <w:r w:rsidR="00476306" w:rsidRPr="00932A0E">
        <w:rPr>
          <w:rFonts w:eastAsiaTheme="minorEastAsia"/>
          <w:vertAlign w:val="superscript"/>
          <w:lang w:eastAsia="ja-JP"/>
        </w:rPr>
        <w:t>3</w:t>
      </w:r>
      <w:r w:rsidR="00476306" w:rsidRPr="00932A0E">
        <w:rPr>
          <w:rFonts w:eastAsiaTheme="minorEastAsia"/>
          <w:lang w:eastAsia="ja-JP"/>
        </w:rPr>
        <w:t>.</w:t>
      </w:r>
    </w:p>
    <w:p w:rsidR="00476306" w:rsidRPr="003D072A" w:rsidRDefault="000434C8" w:rsidP="00476306">
      <w:pPr>
        <w:pStyle w:val="ListNumber"/>
      </w:pPr>
      <w:r>
        <w:rPr>
          <w:b/>
        </w:rPr>
        <w:t>Including</w:t>
      </w:r>
      <w:r w:rsidR="00476306" w:rsidRPr="00932A0E">
        <w:rPr>
          <w:b/>
        </w:rPr>
        <w:t xml:space="preserve"> </w:t>
      </w:r>
      <w:r w:rsidR="00476306" w:rsidRPr="00932A0E">
        <w:t xml:space="preserve"> long-term (10-year) </w:t>
      </w:r>
      <w:r w:rsidR="00E558AC">
        <w:t>goals</w:t>
      </w:r>
      <w:r w:rsidR="00E267F3">
        <w:t xml:space="preserve"> – </w:t>
      </w:r>
      <w:r w:rsidR="00E558AC">
        <w:t>or</w:t>
      </w:r>
      <w:r w:rsidR="00E267F3">
        <w:t xml:space="preserve"> long-term </w:t>
      </w:r>
      <w:r w:rsidR="00476306" w:rsidRPr="00932A0E">
        <w:t>target</w:t>
      </w:r>
      <w:r w:rsidR="00E558AC">
        <w:t>s</w:t>
      </w:r>
      <w:r w:rsidR="00E267F3">
        <w:t xml:space="preserve"> –</w:t>
      </w:r>
      <w:r w:rsidR="00476306" w:rsidRPr="00932A0E">
        <w:t xml:space="preserve"> for annual average PM</w:t>
      </w:r>
      <w:r w:rsidR="00476306" w:rsidRPr="00932A0E">
        <w:rPr>
          <w:vertAlign w:val="subscript"/>
        </w:rPr>
        <w:t>2.5</w:t>
      </w:r>
      <w:r w:rsidR="00476306" w:rsidRPr="00932A0E">
        <w:t xml:space="preserve"> of 7</w:t>
      </w:r>
      <w:r w:rsidR="00476306" w:rsidRPr="00932A0E">
        <w:rPr>
          <w:rFonts w:eastAsiaTheme="minorEastAsia"/>
          <w:lang w:eastAsia="ja-JP"/>
        </w:rPr>
        <w:t>µg/m</w:t>
      </w:r>
      <w:r w:rsidR="00476306" w:rsidRPr="00932A0E">
        <w:rPr>
          <w:rFonts w:eastAsiaTheme="minorEastAsia"/>
          <w:vertAlign w:val="superscript"/>
          <w:lang w:eastAsia="ja-JP"/>
        </w:rPr>
        <w:t>3</w:t>
      </w:r>
      <w:r w:rsidR="00476306" w:rsidRPr="00932A0E">
        <w:rPr>
          <w:rFonts w:eastAsiaTheme="minorEastAsia"/>
          <w:lang w:eastAsia="ja-JP"/>
        </w:rPr>
        <w:t xml:space="preserve"> and </w:t>
      </w:r>
      <w:r w:rsidR="002E7C9C">
        <w:t xml:space="preserve">for </w:t>
      </w:r>
      <w:r w:rsidR="005E7071">
        <w:t>1 day average</w:t>
      </w:r>
      <w:r w:rsidR="005E7071" w:rsidRPr="00932A0E">
        <w:t xml:space="preserve"> PM</w:t>
      </w:r>
      <w:r w:rsidR="005E7071" w:rsidRPr="00932A0E">
        <w:rPr>
          <w:vertAlign w:val="subscript"/>
        </w:rPr>
        <w:t>2.5</w:t>
      </w:r>
      <w:r w:rsidR="005E7071" w:rsidRPr="00932A0E">
        <w:t xml:space="preserve"> </w:t>
      </w:r>
      <w:r w:rsidR="00476306" w:rsidRPr="00932A0E">
        <w:t>of 20</w:t>
      </w:r>
      <w:r w:rsidR="00476306" w:rsidRPr="00932A0E">
        <w:rPr>
          <w:rFonts w:eastAsiaTheme="minorEastAsia"/>
          <w:lang w:eastAsia="ja-JP"/>
        </w:rPr>
        <w:t>µg/m</w:t>
      </w:r>
      <w:r w:rsidR="00476306" w:rsidRPr="00932A0E">
        <w:rPr>
          <w:rFonts w:eastAsiaTheme="minorEastAsia"/>
          <w:vertAlign w:val="superscript"/>
          <w:lang w:eastAsia="ja-JP"/>
        </w:rPr>
        <w:t>3</w:t>
      </w:r>
      <w:r w:rsidR="00476306" w:rsidRPr="003D072A">
        <w:rPr>
          <w:rFonts w:eastAsiaTheme="minorEastAsia"/>
          <w:lang w:eastAsia="ja-JP"/>
        </w:rPr>
        <w:t>.</w:t>
      </w:r>
      <w:r w:rsidR="006A1826" w:rsidRPr="003D072A">
        <w:rPr>
          <w:rFonts w:eastAsiaTheme="minorEastAsia"/>
          <w:lang w:eastAsia="ja-JP"/>
        </w:rPr>
        <w:t xml:space="preserve"> </w:t>
      </w:r>
      <w:r w:rsidR="00143146" w:rsidRPr="003D072A">
        <w:rPr>
          <w:rFonts w:eastAsiaTheme="minorEastAsia"/>
          <w:lang w:eastAsia="ja-JP"/>
        </w:rPr>
        <w:t xml:space="preserve">These are not standards but are ambitious 10-year goals to achieve continued and further reductions in maximum concentrations. </w:t>
      </w:r>
    </w:p>
    <w:p w:rsidR="00476306" w:rsidRPr="00932A0E" w:rsidRDefault="000434C8" w:rsidP="00476306">
      <w:pPr>
        <w:pStyle w:val="ListNumber"/>
      </w:pPr>
      <w:r>
        <w:rPr>
          <w:b/>
        </w:rPr>
        <w:t>Initiating</w:t>
      </w:r>
      <w:r w:rsidR="00476306" w:rsidRPr="00932A0E">
        <w:rPr>
          <w:b/>
        </w:rPr>
        <w:t xml:space="preserve"> </w:t>
      </w:r>
      <w:r w:rsidR="00476306" w:rsidRPr="00932A0E">
        <w:t>a</w:t>
      </w:r>
      <w:r w:rsidR="00476306" w:rsidRPr="00932A0E">
        <w:rPr>
          <w:b/>
        </w:rPr>
        <w:t xml:space="preserve"> </w:t>
      </w:r>
      <w:r w:rsidR="00476306" w:rsidRPr="00932A0E">
        <w:t>nationally consistent approach to reporting population exposure to PM</w:t>
      </w:r>
      <w:r w:rsidR="00476306" w:rsidRPr="00932A0E">
        <w:rPr>
          <w:vertAlign w:val="subscript"/>
        </w:rPr>
        <w:t>2.5</w:t>
      </w:r>
      <w:r w:rsidR="00476306" w:rsidRPr="00932A0E">
        <w:t>.</w:t>
      </w:r>
    </w:p>
    <w:p w:rsidR="00307866" w:rsidRDefault="00476306" w:rsidP="00932861">
      <w:pPr>
        <w:pStyle w:val="ListNumber"/>
      </w:pPr>
      <w:r w:rsidRPr="00932A0E">
        <w:rPr>
          <w:b/>
        </w:rPr>
        <w:t>Replac</w:t>
      </w:r>
      <w:r w:rsidR="000434C8">
        <w:rPr>
          <w:b/>
        </w:rPr>
        <w:t>ing</w:t>
      </w:r>
      <w:r w:rsidRPr="00932A0E">
        <w:t xml:space="preserve"> the ‘5-exceedance day’ form of</w:t>
      </w:r>
      <w:r w:rsidR="001A6190">
        <w:t xml:space="preserve"> the</w:t>
      </w:r>
      <w:r w:rsidRPr="00932A0E">
        <w:t xml:space="preserve"> </w:t>
      </w:r>
      <w:r w:rsidR="00E267F3">
        <w:t>PM</w:t>
      </w:r>
      <w:r w:rsidR="00143146" w:rsidRPr="006E2A61">
        <w:rPr>
          <w:vertAlign w:val="subscript"/>
        </w:rPr>
        <w:t>10</w:t>
      </w:r>
      <w:r w:rsidR="00E267F3">
        <w:t xml:space="preserve"> </w:t>
      </w:r>
      <w:r w:rsidR="005133A6">
        <w:t>1 day averag</w:t>
      </w:r>
      <w:r w:rsidR="001A6190">
        <w:t>e</w:t>
      </w:r>
      <w:r w:rsidRPr="00932A0E">
        <w:t xml:space="preserve"> standards with an ‘exceptional event’ rule</w:t>
      </w:r>
      <w:r w:rsidR="00303995">
        <w:t xml:space="preserve"> (defined as certain types of fire or dust occurrences)</w:t>
      </w:r>
      <w:r w:rsidR="001A6190">
        <w:t xml:space="preserve"> and introducing the ‘exceptional event rule’ for the PM</w:t>
      </w:r>
      <w:r w:rsidR="001A6190" w:rsidRPr="006E2A61">
        <w:rPr>
          <w:vertAlign w:val="subscript"/>
        </w:rPr>
        <w:t>2.5</w:t>
      </w:r>
      <w:r w:rsidR="001A6190">
        <w:t xml:space="preserve"> 1 day average standard</w:t>
      </w:r>
      <w:r w:rsidRPr="00932A0E">
        <w:t>.</w:t>
      </w:r>
    </w:p>
    <w:p w:rsidR="006A1826" w:rsidRDefault="00143146" w:rsidP="00307866">
      <w:r w:rsidRPr="003D072A">
        <w:t xml:space="preserve">Routine updates to the </w:t>
      </w:r>
      <w:r w:rsidR="006B30F7" w:rsidRPr="006E2A61">
        <w:t xml:space="preserve">references to the current </w:t>
      </w:r>
      <w:r w:rsidRPr="003D072A">
        <w:t xml:space="preserve">Australian Standards </w:t>
      </w:r>
      <w:r w:rsidR="006B30F7" w:rsidRPr="006E2A61">
        <w:t>m</w:t>
      </w:r>
      <w:r w:rsidRPr="003D072A">
        <w:t>ethods for pollutant monitoring</w:t>
      </w:r>
      <w:r w:rsidR="006B30F7" w:rsidRPr="006E2A61">
        <w:t xml:space="preserve"> and siting of monitoring equipment </w:t>
      </w:r>
      <w:r w:rsidRPr="003D072A">
        <w:t xml:space="preserve">have also been included in </w:t>
      </w:r>
      <w:r w:rsidR="006B30F7" w:rsidRPr="006E2A61">
        <w:t xml:space="preserve">subsection 13(1) of and </w:t>
      </w:r>
      <w:r w:rsidRPr="003D072A">
        <w:t>Schedule 3</w:t>
      </w:r>
      <w:r w:rsidR="00303995" w:rsidRPr="006E2A61">
        <w:t xml:space="preserve"> to the NEPM</w:t>
      </w:r>
      <w:r w:rsidRPr="003D072A">
        <w:t>.</w:t>
      </w:r>
      <w:r w:rsidR="006A1826">
        <w:t xml:space="preserve">  </w:t>
      </w:r>
    </w:p>
    <w:p w:rsidR="00307866" w:rsidRDefault="00D12327" w:rsidP="00307866">
      <w:r>
        <w:t xml:space="preserve">The variation is a legislative instrument for the </w:t>
      </w:r>
      <w:r w:rsidR="006E38ED">
        <w:t>purposes</w:t>
      </w:r>
      <w:r w:rsidR="00307866">
        <w:t xml:space="preserve"> of the </w:t>
      </w:r>
      <w:r w:rsidR="00307866" w:rsidRPr="00307866">
        <w:rPr>
          <w:i/>
        </w:rPr>
        <w:t>Legislative Instruments Act 2003</w:t>
      </w:r>
      <w:r w:rsidR="00307866">
        <w:t>.</w:t>
      </w:r>
    </w:p>
    <w:p w:rsidR="00D12327" w:rsidRDefault="00D12327" w:rsidP="00932861">
      <w:r>
        <w:t xml:space="preserve">The </w:t>
      </w:r>
      <w:r w:rsidR="006E38ED">
        <w:t>variation</w:t>
      </w:r>
      <w:r>
        <w:t xml:space="preserve"> will commence on the day after the date it is registered on the </w:t>
      </w:r>
      <w:r w:rsidR="00034F60">
        <w:t>Federal</w:t>
      </w:r>
      <w:r>
        <w:t xml:space="preserve"> </w:t>
      </w:r>
      <w:r w:rsidR="00034F60">
        <w:t>Register</w:t>
      </w:r>
      <w:r w:rsidR="00307866">
        <w:t xml:space="preserve"> of L</w:t>
      </w:r>
      <w:r w:rsidR="006E38ED">
        <w:t>egislative</w:t>
      </w:r>
      <w:r>
        <w:t xml:space="preserve"> Instruments.</w:t>
      </w:r>
    </w:p>
    <w:p w:rsidR="00DB2A63" w:rsidRDefault="00DB2A63">
      <w:pPr>
        <w:spacing w:after="0" w:line="240" w:lineRule="auto"/>
      </w:pPr>
      <w:r>
        <w:br w:type="page"/>
      </w:r>
    </w:p>
    <w:p w:rsidR="00DB2A63" w:rsidRDefault="00DB2A63" w:rsidP="00DB2A63">
      <w:pPr>
        <w:spacing w:before="360" w:after="120"/>
        <w:jc w:val="center"/>
        <w:rPr>
          <w:b/>
          <w:sz w:val="28"/>
          <w:szCs w:val="28"/>
        </w:rPr>
      </w:pPr>
      <w:r>
        <w:rPr>
          <w:b/>
          <w:sz w:val="28"/>
          <w:szCs w:val="28"/>
        </w:rPr>
        <w:lastRenderedPageBreak/>
        <w:t>Statement of Compatibility with Human Rights</w:t>
      </w:r>
    </w:p>
    <w:p w:rsidR="00DB2A63" w:rsidRDefault="00DB2A63" w:rsidP="00DB2A63">
      <w:pPr>
        <w:spacing w:before="120" w:after="120"/>
        <w:jc w:val="center"/>
      </w:pPr>
      <w:r>
        <w:rPr>
          <w:i/>
        </w:rPr>
        <w:t>Prepared in accordance with Part 3 of the Human Rights (Parliamentary Scrutiny) Act 2011</w:t>
      </w:r>
    </w:p>
    <w:p w:rsidR="00DB2A63" w:rsidRDefault="00DB2A63" w:rsidP="00DB2A63">
      <w:pPr>
        <w:spacing w:before="120" w:after="120"/>
        <w:jc w:val="center"/>
      </w:pPr>
    </w:p>
    <w:p w:rsidR="00DB2A63" w:rsidRDefault="00DB2A63" w:rsidP="00DB2A63">
      <w:pPr>
        <w:pStyle w:val="ShortT"/>
        <w:rPr>
          <w:sz w:val="24"/>
          <w:szCs w:val="24"/>
        </w:rPr>
      </w:pPr>
      <w:r>
        <w:rPr>
          <w:sz w:val="24"/>
          <w:szCs w:val="24"/>
        </w:rPr>
        <w:t>Variation to the National Environment Protection (Ambient Air Quality) Measure</w:t>
      </w:r>
      <w:r w:rsidR="00F10BDE">
        <w:rPr>
          <w:sz w:val="24"/>
          <w:szCs w:val="24"/>
        </w:rPr>
        <w:t xml:space="preserve"> 2015</w:t>
      </w:r>
    </w:p>
    <w:p w:rsidR="00DB2A63" w:rsidRDefault="00DB2A63" w:rsidP="00DB2A63">
      <w:pPr>
        <w:spacing w:before="120" w:after="120"/>
        <w:jc w:val="center"/>
      </w:pPr>
      <w:r>
        <w:t xml:space="preserve">This Legislative Instrument is compatible with the human rights and freedoms recognised or declared in the international instruments listed in section 3 of the </w:t>
      </w:r>
      <w:r>
        <w:rPr>
          <w:i/>
        </w:rPr>
        <w:t>Human Rights (Parliamentary Scrutiny) Act 2011</w:t>
      </w:r>
      <w:r>
        <w:t>.</w:t>
      </w:r>
    </w:p>
    <w:p w:rsidR="00DB2A63" w:rsidRDefault="00DB2A63" w:rsidP="00DB2A63">
      <w:pPr>
        <w:spacing w:before="120" w:after="120"/>
        <w:jc w:val="both"/>
        <w:rPr>
          <w:b/>
        </w:rPr>
      </w:pPr>
      <w:r>
        <w:rPr>
          <w:b/>
        </w:rPr>
        <w:t>Overview of the Bill/Legislative Instrument</w:t>
      </w:r>
    </w:p>
    <w:p w:rsidR="00DB2A63" w:rsidRDefault="00DB2A63" w:rsidP="00DB2A63">
      <w:pPr>
        <w:spacing w:before="120" w:after="120"/>
      </w:pPr>
      <w:r>
        <w:t xml:space="preserve">This Legislative Instrument updates the principal instrument, the National Environment Protection (Ambient Air Quality) Measure, following a statutory review of the principal instrument by the National Environment Protection Council (NEPC). </w:t>
      </w:r>
    </w:p>
    <w:p w:rsidR="00DB2A63" w:rsidRDefault="00DB2A63" w:rsidP="00DB2A63">
      <w:pPr>
        <w:spacing w:before="120" w:after="120"/>
        <w:rPr>
          <w:b/>
        </w:rPr>
      </w:pPr>
      <w:r>
        <w:rPr>
          <w:b/>
        </w:rPr>
        <w:t>Human rights implications</w:t>
      </w:r>
    </w:p>
    <w:p w:rsidR="00DB2A63" w:rsidRDefault="00DB2A63" w:rsidP="00DB2A63">
      <w:r>
        <w:t>This Legislative Instrument does not engage any human rights recognised in the seven core human rights treaties as determined by assessment of the instrument against the ‘policy triggers’ set out in the assessment tool flowchart developed by the Attorney-General’s Department.</w:t>
      </w:r>
    </w:p>
    <w:p w:rsidR="00DB2A63" w:rsidRDefault="00DB2A63" w:rsidP="00DB2A63">
      <w:pPr>
        <w:spacing w:before="120" w:after="120"/>
        <w:rPr>
          <w:b/>
        </w:rPr>
      </w:pPr>
      <w:r>
        <w:rPr>
          <w:b/>
        </w:rPr>
        <w:t>Conclusion</w:t>
      </w:r>
    </w:p>
    <w:p w:rsidR="00DB2A63" w:rsidRDefault="00DB2A63" w:rsidP="00DB2A63">
      <w:pPr>
        <w:spacing w:before="120" w:after="120"/>
      </w:pPr>
      <w:r>
        <w:t>This Legislative Instrument is compatible with human rights as it does not raise any human rights issues.</w:t>
      </w:r>
    </w:p>
    <w:p w:rsidR="00DB2A63" w:rsidRDefault="00DB2A63" w:rsidP="00DB2A63"/>
    <w:p w:rsidR="00DB2A63" w:rsidRDefault="00DB2A63" w:rsidP="00DB2A63"/>
    <w:p w:rsidR="00DB2A63" w:rsidRDefault="00DB2A63" w:rsidP="00DB2A63">
      <w:r>
        <w:t xml:space="preserve">National Environment Protection Council </w:t>
      </w:r>
    </w:p>
    <w:p w:rsidR="00DB2A63" w:rsidRPr="00EF53FF" w:rsidRDefault="00DB2A63" w:rsidP="00932861"/>
    <w:sectPr w:rsidR="00DB2A63" w:rsidRPr="00EF53FF" w:rsidSect="00FA4CF0">
      <w:headerReference w:type="even" r:id="rId8"/>
      <w:footerReference w:type="default" r:id="rId9"/>
      <w:footerReference w:type="first" r:id="rId10"/>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45B" w:rsidRDefault="00CB545B" w:rsidP="00A60185">
      <w:pPr>
        <w:spacing w:after="0" w:line="240" w:lineRule="auto"/>
      </w:pPr>
      <w:r>
        <w:separator/>
      </w:r>
    </w:p>
  </w:endnote>
  <w:endnote w:type="continuationSeparator" w:id="0">
    <w:p w:rsidR="00CB545B" w:rsidRDefault="00CB545B"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3830"/>
      <w:docPartObj>
        <w:docPartGallery w:val="Page Numbers (Bottom of Page)"/>
        <w:docPartUnique/>
      </w:docPartObj>
    </w:sdtPr>
    <w:sdtEndPr/>
    <w:sdtContent>
      <w:p w:rsidR="008220F2" w:rsidRDefault="00D72A72">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rsidR="008220F2" w:rsidRDefault="008220F2">
        <w:pPr>
          <w:pStyle w:val="Footer"/>
          <w:jc w:val="center"/>
          <w:rPr>
            <w:noProof/>
          </w:rPr>
        </w:pPr>
      </w:p>
      <w:p w:rsidR="008220F2" w:rsidRDefault="00D72A72">
        <w:pPr>
          <w:pStyle w:val="Footer"/>
          <w:jc w:val="cen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0F2" w:rsidRDefault="008220F2">
    <w:pPr>
      <w:pStyle w:val="Footer"/>
    </w:pPr>
  </w:p>
  <w:p w:rsidR="008220F2" w:rsidRDefault="008220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45B" w:rsidRDefault="00CB545B" w:rsidP="00A60185">
      <w:pPr>
        <w:spacing w:after="0" w:line="240" w:lineRule="auto"/>
      </w:pPr>
      <w:r>
        <w:separator/>
      </w:r>
    </w:p>
  </w:footnote>
  <w:footnote w:type="continuationSeparator" w:id="0">
    <w:p w:rsidR="00CB545B" w:rsidRDefault="00CB545B" w:rsidP="00A60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0F2" w:rsidRDefault="008220F2" w:rsidP="00E45765">
    <w:pPr>
      <w:pStyle w:val="Classification"/>
    </w:pPr>
    <w:r>
      <w:fldChar w:fldCharType="begin"/>
    </w:r>
    <w:r>
      <w:instrText xml:space="preserve"> DOCPROPERTY SecurityClassification \* MERGEFORMAT </w:instrText>
    </w:r>
    <w:r>
      <w:fldChar w:fldCharType="separate"/>
    </w:r>
    <w:r>
      <w:rPr>
        <w:b/>
        <w:bCs/>
        <w:lang w:val="en-US"/>
      </w:rPr>
      <w:t>Error! Unknown document property name.</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1F745BC2"/>
    <w:multiLevelType w:val="multilevel"/>
    <w:tmpl w:val="E5E89F92"/>
    <w:numStyleLink w:val="BulletList"/>
  </w:abstractNum>
  <w:abstractNum w:abstractNumId="2">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65456429"/>
    <w:multiLevelType w:val="multilevel"/>
    <w:tmpl w:val="E898CC72"/>
    <w:numStyleLink w:val="KeyPoints"/>
  </w:abstractNum>
  <w:abstractNum w:abstractNumId="5">
    <w:nsid w:val="67190A19"/>
    <w:multiLevelType w:val="hybridMultilevel"/>
    <w:tmpl w:val="1D324D5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6"/>
  </w:num>
  <w:num w:numId="2">
    <w:abstractNumId w:val="0"/>
  </w:num>
  <w:num w:numId="3">
    <w:abstractNumId w:val="3"/>
  </w:num>
  <w:num w:numId="4">
    <w:abstractNumId w:val="2"/>
  </w:num>
  <w:num w:numId="5">
    <w:abstractNumId w:val="4"/>
  </w:num>
  <w:num w:numId="6">
    <w:abstractNumId w:val="1"/>
  </w:num>
  <w:num w:numId="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8ED"/>
    <w:rsid w:val="00004AEE"/>
    <w:rsid w:val="00005CAA"/>
    <w:rsid w:val="00010210"/>
    <w:rsid w:val="00012D66"/>
    <w:rsid w:val="00015ADA"/>
    <w:rsid w:val="00017823"/>
    <w:rsid w:val="00020C99"/>
    <w:rsid w:val="0002348A"/>
    <w:rsid w:val="0002707B"/>
    <w:rsid w:val="00030D50"/>
    <w:rsid w:val="00034F60"/>
    <w:rsid w:val="000434C8"/>
    <w:rsid w:val="0005148E"/>
    <w:rsid w:val="00066F9D"/>
    <w:rsid w:val="00072C5A"/>
    <w:rsid w:val="000759E5"/>
    <w:rsid w:val="00084AC6"/>
    <w:rsid w:val="00091608"/>
    <w:rsid w:val="0009333C"/>
    <w:rsid w:val="000937A6"/>
    <w:rsid w:val="0009704F"/>
    <w:rsid w:val="000A032A"/>
    <w:rsid w:val="000A0F11"/>
    <w:rsid w:val="000A125A"/>
    <w:rsid w:val="000A57CD"/>
    <w:rsid w:val="000B3758"/>
    <w:rsid w:val="000B7681"/>
    <w:rsid w:val="000B7B42"/>
    <w:rsid w:val="000C02B7"/>
    <w:rsid w:val="000C20F0"/>
    <w:rsid w:val="000C5100"/>
    <w:rsid w:val="000C5342"/>
    <w:rsid w:val="000C706A"/>
    <w:rsid w:val="000D2887"/>
    <w:rsid w:val="000D6D63"/>
    <w:rsid w:val="000E0081"/>
    <w:rsid w:val="000E07CF"/>
    <w:rsid w:val="000E2309"/>
    <w:rsid w:val="000E31C1"/>
    <w:rsid w:val="000E34B8"/>
    <w:rsid w:val="000E754B"/>
    <w:rsid w:val="000F2CF2"/>
    <w:rsid w:val="00100BEF"/>
    <w:rsid w:val="00104A1A"/>
    <w:rsid w:val="001052C3"/>
    <w:rsid w:val="00111326"/>
    <w:rsid w:val="0011498E"/>
    <w:rsid w:val="00117A45"/>
    <w:rsid w:val="001224AE"/>
    <w:rsid w:val="00131A2F"/>
    <w:rsid w:val="001337D4"/>
    <w:rsid w:val="0014279C"/>
    <w:rsid w:val="00143146"/>
    <w:rsid w:val="00147C12"/>
    <w:rsid w:val="001527A1"/>
    <w:rsid w:val="001530DC"/>
    <w:rsid w:val="00154989"/>
    <w:rsid w:val="00155A9F"/>
    <w:rsid w:val="00160262"/>
    <w:rsid w:val="001649B0"/>
    <w:rsid w:val="0016780A"/>
    <w:rsid w:val="001713FA"/>
    <w:rsid w:val="00173EBF"/>
    <w:rsid w:val="00175ED3"/>
    <w:rsid w:val="001842A2"/>
    <w:rsid w:val="001863E1"/>
    <w:rsid w:val="00187FA8"/>
    <w:rsid w:val="00192F5E"/>
    <w:rsid w:val="00197772"/>
    <w:rsid w:val="001A51C8"/>
    <w:rsid w:val="001A6190"/>
    <w:rsid w:val="001B4CA8"/>
    <w:rsid w:val="001B5EA1"/>
    <w:rsid w:val="001B635E"/>
    <w:rsid w:val="001C0669"/>
    <w:rsid w:val="001C4F3D"/>
    <w:rsid w:val="001D0CDC"/>
    <w:rsid w:val="001D1D82"/>
    <w:rsid w:val="001E1182"/>
    <w:rsid w:val="00202C90"/>
    <w:rsid w:val="00206B41"/>
    <w:rsid w:val="00213DE8"/>
    <w:rsid w:val="00216118"/>
    <w:rsid w:val="002209AB"/>
    <w:rsid w:val="002251E3"/>
    <w:rsid w:val="00225688"/>
    <w:rsid w:val="00227A95"/>
    <w:rsid w:val="002316BD"/>
    <w:rsid w:val="00240048"/>
    <w:rsid w:val="002473FC"/>
    <w:rsid w:val="00252E3C"/>
    <w:rsid w:val="00262198"/>
    <w:rsid w:val="00266443"/>
    <w:rsid w:val="0027171A"/>
    <w:rsid w:val="002821EB"/>
    <w:rsid w:val="00285F1B"/>
    <w:rsid w:val="00290BB0"/>
    <w:rsid w:val="00292B81"/>
    <w:rsid w:val="00297097"/>
    <w:rsid w:val="002B18AE"/>
    <w:rsid w:val="002C1C93"/>
    <w:rsid w:val="002C5066"/>
    <w:rsid w:val="002C5813"/>
    <w:rsid w:val="002D0C11"/>
    <w:rsid w:val="002D4AAC"/>
    <w:rsid w:val="002E7C9C"/>
    <w:rsid w:val="002F045A"/>
    <w:rsid w:val="0030039D"/>
    <w:rsid w:val="0030326F"/>
    <w:rsid w:val="00303995"/>
    <w:rsid w:val="00307866"/>
    <w:rsid w:val="00310701"/>
    <w:rsid w:val="00315980"/>
    <w:rsid w:val="00316F7F"/>
    <w:rsid w:val="003218E8"/>
    <w:rsid w:val="00325E34"/>
    <w:rsid w:val="00330DCE"/>
    <w:rsid w:val="00331E11"/>
    <w:rsid w:val="00334761"/>
    <w:rsid w:val="00337EBC"/>
    <w:rsid w:val="00341DCD"/>
    <w:rsid w:val="0034563E"/>
    <w:rsid w:val="003476DA"/>
    <w:rsid w:val="003518D6"/>
    <w:rsid w:val="0035460C"/>
    <w:rsid w:val="003556BD"/>
    <w:rsid w:val="00365147"/>
    <w:rsid w:val="003661CD"/>
    <w:rsid w:val="0037016E"/>
    <w:rsid w:val="00372908"/>
    <w:rsid w:val="00383020"/>
    <w:rsid w:val="00385E99"/>
    <w:rsid w:val="0039013B"/>
    <w:rsid w:val="00394D7E"/>
    <w:rsid w:val="00396CCF"/>
    <w:rsid w:val="003975FD"/>
    <w:rsid w:val="003B057D"/>
    <w:rsid w:val="003B60CC"/>
    <w:rsid w:val="003C0552"/>
    <w:rsid w:val="003C1B25"/>
    <w:rsid w:val="003C2443"/>
    <w:rsid w:val="003C38F5"/>
    <w:rsid w:val="003C5DA3"/>
    <w:rsid w:val="003D072A"/>
    <w:rsid w:val="003D4BCD"/>
    <w:rsid w:val="003D6C2B"/>
    <w:rsid w:val="003E01D8"/>
    <w:rsid w:val="003E2100"/>
    <w:rsid w:val="003E5CF4"/>
    <w:rsid w:val="003F6F5B"/>
    <w:rsid w:val="0040342D"/>
    <w:rsid w:val="0041192D"/>
    <w:rsid w:val="00413EE1"/>
    <w:rsid w:val="0042128E"/>
    <w:rsid w:val="00432B60"/>
    <w:rsid w:val="00440698"/>
    <w:rsid w:val="004540E2"/>
    <w:rsid w:val="00454454"/>
    <w:rsid w:val="00457D09"/>
    <w:rsid w:val="00467924"/>
    <w:rsid w:val="004712A5"/>
    <w:rsid w:val="0047266F"/>
    <w:rsid w:val="00473468"/>
    <w:rsid w:val="00476306"/>
    <w:rsid w:val="00476D6B"/>
    <w:rsid w:val="00492C16"/>
    <w:rsid w:val="004A0678"/>
    <w:rsid w:val="004A48A3"/>
    <w:rsid w:val="004B0D92"/>
    <w:rsid w:val="004B0EC0"/>
    <w:rsid w:val="004B66F1"/>
    <w:rsid w:val="004C3EA0"/>
    <w:rsid w:val="004D5A93"/>
    <w:rsid w:val="004F7169"/>
    <w:rsid w:val="00500D66"/>
    <w:rsid w:val="0050103F"/>
    <w:rsid w:val="005133A6"/>
    <w:rsid w:val="00514C8E"/>
    <w:rsid w:val="00523917"/>
    <w:rsid w:val="00530D38"/>
    <w:rsid w:val="00531DBF"/>
    <w:rsid w:val="00545759"/>
    <w:rsid w:val="00545BE0"/>
    <w:rsid w:val="00546930"/>
    <w:rsid w:val="00554C6A"/>
    <w:rsid w:val="005617B3"/>
    <w:rsid w:val="00562E85"/>
    <w:rsid w:val="0056332F"/>
    <w:rsid w:val="0056544C"/>
    <w:rsid w:val="005719B3"/>
    <w:rsid w:val="0057295E"/>
    <w:rsid w:val="00581BFF"/>
    <w:rsid w:val="00581C39"/>
    <w:rsid w:val="005903B6"/>
    <w:rsid w:val="005A0247"/>
    <w:rsid w:val="005A126E"/>
    <w:rsid w:val="005A2032"/>
    <w:rsid w:val="005A452F"/>
    <w:rsid w:val="005A4721"/>
    <w:rsid w:val="005A6ABD"/>
    <w:rsid w:val="005B140D"/>
    <w:rsid w:val="005B2DFF"/>
    <w:rsid w:val="005C1FEA"/>
    <w:rsid w:val="005C3495"/>
    <w:rsid w:val="005D1E99"/>
    <w:rsid w:val="005E2E0B"/>
    <w:rsid w:val="005E3DFC"/>
    <w:rsid w:val="005E5942"/>
    <w:rsid w:val="005E60AF"/>
    <w:rsid w:val="005E7071"/>
    <w:rsid w:val="005F1DEA"/>
    <w:rsid w:val="00607EF8"/>
    <w:rsid w:val="00607FC9"/>
    <w:rsid w:val="00622FE1"/>
    <w:rsid w:val="0062521C"/>
    <w:rsid w:val="00630A2B"/>
    <w:rsid w:val="00632DC7"/>
    <w:rsid w:val="006357FB"/>
    <w:rsid w:val="006406FC"/>
    <w:rsid w:val="00640E57"/>
    <w:rsid w:val="00646122"/>
    <w:rsid w:val="00653E16"/>
    <w:rsid w:val="00657220"/>
    <w:rsid w:val="00657362"/>
    <w:rsid w:val="0066104B"/>
    <w:rsid w:val="00664BFE"/>
    <w:rsid w:val="006655EE"/>
    <w:rsid w:val="00667C10"/>
    <w:rsid w:val="00667EF4"/>
    <w:rsid w:val="00676FCA"/>
    <w:rsid w:val="00677177"/>
    <w:rsid w:val="0068612E"/>
    <w:rsid w:val="00687C92"/>
    <w:rsid w:val="0069534E"/>
    <w:rsid w:val="0069669C"/>
    <w:rsid w:val="006A1200"/>
    <w:rsid w:val="006A1228"/>
    <w:rsid w:val="006A1826"/>
    <w:rsid w:val="006A4F4E"/>
    <w:rsid w:val="006A6C23"/>
    <w:rsid w:val="006B14DB"/>
    <w:rsid w:val="006B2028"/>
    <w:rsid w:val="006B21C4"/>
    <w:rsid w:val="006B30F7"/>
    <w:rsid w:val="006C4A1A"/>
    <w:rsid w:val="006D0393"/>
    <w:rsid w:val="006D1A83"/>
    <w:rsid w:val="006E1CFE"/>
    <w:rsid w:val="006E2A61"/>
    <w:rsid w:val="006E38ED"/>
    <w:rsid w:val="006F10C4"/>
    <w:rsid w:val="006F40E9"/>
    <w:rsid w:val="006F5603"/>
    <w:rsid w:val="006F5ED9"/>
    <w:rsid w:val="006F7B87"/>
    <w:rsid w:val="00701400"/>
    <w:rsid w:val="007037CF"/>
    <w:rsid w:val="007070C1"/>
    <w:rsid w:val="007167C0"/>
    <w:rsid w:val="00720481"/>
    <w:rsid w:val="00721DBC"/>
    <w:rsid w:val="00733193"/>
    <w:rsid w:val="00743606"/>
    <w:rsid w:val="00744DDA"/>
    <w:rsid w:val="00745E03"/>
    <w:rsid w:val="00754E33"/>
    <w:rsid w:val="0075732A"/>
    <w:rsid w:val="007600F8"/>
    <w:rsid w:val="00760262"/>
    <w:rsid w:val="00762B21"/>
    <w:rsid w:val="0076310C"/>
    <w:rsid w:val="0076744F"/>
    <w:rsid w:val="00767BCE"/>
    <w:rsid w:val="00767EFC"/>
    <w:rsid w:val="007707DE"/>
    <w:rsid w:val="00770B5D"/>
    <w:rsid w:val="007752F1"/>
    <w:rsid w:val="00776768"/>
    <w:rsid w:val="007773BA"/>
    <w:rsid w:val="0078187A"/>
    <w:rsid w:val="00794ED8"/>
    <w:rsid w:val="007A140B"/>
    <w:rsid w:val="007A2573"/>
    <w:rsid w:val="007B106C"/>
    <w:rsid w:val="007B1A4E"/>
    <w:rsid w:val="007B3D05"/>
    <w:rsid w:val="007B5503"/>
    <w:rsid w:val="007C179C"/>
    <w:rsid w:val="007C3F44"/>
    <w:rsid w:val="007C6BB3"/>
    <w:rsid w:val="007D14B4"/>
    <w:rsid w:val="007D3AD7"/>
    <w:rsid w:val="007E24F6"/>
    <w:rsid w:val="007E7DC6"/>
    <w:rsid w:val="007F6CB4"/>
    <w:rsid w:val="00800F64"/>
    <w:rsid w:val="00801050"/>
    <w:rsid w:val="00802F0B"/>
    <w:rsid w:val="00810A67"/>
    <w:rsid w:val="00817639"/>
    <w:rsid w:val="008220F2"/>
    <w:rsid w:val="008245A3"/>
    <w:rsid w:val="00833CF7"/>
    <w:rsid w:val="00834CDE"/>
    <w:rsid w:val="00837DD4"/>
    <w:rsid w:val="00842464"/>
    <w:rsid w:val="00845601"/>
    <w:rsid w:val="00855C5C"/>
    <w:rsid w:val="00865EEA"/>
    <w:rsid w:val="00872D13"/>
    <w:rsid w:val="00881F23"/>
    <w:rsid w:val="008A3C96"/>
    <w:rsid w:val="008B4019"/>
    <w:rsid w:val="008B65C9"/>
    <w:rsid w:val="008C2D4A"/>
    <w:rsid w:val="008C4CBB"/>
    <w:rsid w:val="008D3900"/>
    <w:rsid w:val="008D6E1D"/>
    <w:rsid w:val="008F1050"/>
    <w:rsid w:val="008F39B4"/>
    <w:rsid w:val="008F3A67"/>
    <w:rsid w:val="008F4162"/>
    <w:rsid w:val="00903E02"/>
    <w:rsid w:val="00912C05"/>
    <w:rsid w:val="00913175"/>
    <w:rsid w:val="00916EDB"/>
    <w:rsid w:val="00920861"/>
    <w:rsid w:val="00922B13"/>
    <w:rsid w:val="009242EF"/>
    <w:rsid w:val="00932291"/>
    <w:rsid w:val="00932861"/>
    <w:rsid w:val="0093408E"/>
    <w:rsid w:val="00950685"/>
    <w:rsid w:val="00952DDF"/>
    <w:rsid w:val="009610A3"/>
    <w:rsid w:val="00963B6A"/>
    <w:rsid w:val="00970950"/>
    <w:rsid w:val="009812D4"/>
    <w:rsid w:val="009920D8"/>
    <w:rsid w:val="00992399"/>
    <w:rsid w:val="009952F5"/>
    <w:rsid w:val="009B38BE"/>
    <w:rsid w:val="009C3D0F"/>
    <w:rsid w:val="009E1B19"/>
    <w:rsid w:val="009E5C3E"/>
    <w:rsid w:val="009F226D"/>
    <w:rsid w:val="009F34C7"/>
    <w:rsid w:val="009F35E2"/>
    <w:rsid w:val="009F65F9"/>
    <w:rsid w:val="009F68BA"/>
    <w:rsid w:val="00A06277"/>
    <w:rsid w:val="00A079DC"/>
    <w:rsid w:val="00A111C2"/>
    <w:rsid w:val="00A1454F"/>
    <w:rsid w:val="00A338E7"/>
    <w:rsid w:val="00A34FC9"/>
    <w:rsid w:val="00A35CAA"/>
    <w:rsid w:val="00A36E7F"/>
    <w:rsid w:val="00A41E65"/>
    <w:rsid w:val="00A43E0A"/>
    <w:rsid w:val="00A530C7"/>
    <w:rsid w:val="00A55F5B"/>
    <w:rsid w:val="00A60185"/>
    <w:rsid w:val="00A661EA"/>
    <w:rsid w:val="00A7303D"/>
    <w:rsid w:val="00A82B34"/>
    <w:rsid w:val="00A830E5"/>
    <w:rsid w:val="00A87135"/>
    <w:rsid w:val="00A93280"/>
    <w:rsid w:val="00A951EA"/>
    <w:rsid w:val="00AA2548"/>
    <w:rsid w:val="00AA58C4"/>
    <w:rsid w:val="00AA7003"/>
    <w:rsid w:val="00AB11C8"/>
    <w:rsid w:val="00AC08A8"/>
    <w:rsid w:val="00AD1FB6"/>
    <w:rsid w:val="00AD56C8"/>
    <w:rsid w:val="00AD58F2"/>
    <w:rsid w:val="00AE4C5C"/>
    <w:rsid w:val="00AF497B"/>
    <w:rsid w:val="00B0512A"/>
    <w:rsid w:val="00B0529F"/>
    <w:rsid w:val="00B10C77"/>
    <w:rsid w:val="00B1418B"/>
    <w:rsid w:val="00B21195"/>
    <w:rsid w:val="00B24B22"/>
    <w:rsid w:val="00B25310"/>
    <w:rsid w:val="00B269A6"/>
    <w:rsid w:val="00B32F8F"/>
    <w:rsid w:val="00B3492A"/>
    <w:rsid w:val="00B54DE9"/>
    <w:rsid w:val="00B553EC"/>
    <w:rsid w:val="00B55E3F"/>
    <w:rsid w:val="00B57EBA"/>
    <w:rsid w:val="00B6139C"/>
    <w:rsid w:val="00B63C1E"/>
    <w:rsid w:val="00B63C4B"/>
    <w:rsid w:val="00B71C48"/>
    <w:rsid w:val="00B93DD0"/>
    <w:rsid w:val="00B97732"/>
    <w:rsid w:val="00B9797B"/>
    <w:rsid w:val="00BA0C1D"/>
    <w:rsid w:val="00BA65A8"/>
    <w:rsid w:val="00BA6D19"/>
    <w:rsid w:val="00BA70BB"/>
    <w:rsid w:val="00BA7461"/>
    <w:rsid w:val="00BA7DA9"/>
    <w:rsid w:val="00BB0409"/>
    <w:rsid w:val="00BC2041"/>
    <w:rsid w:val="00BC4215"/>
    <w:rsid w:val="00BD1A6F"/>
    <w:rsid w:val="00BD1DF5"/>
    <w:rsid w:val="00BE65AD"/>
    <w:rsid w:val="00BE6D3C"/>
    <w:rsid w:val="00BE7852"/>
    <w:rsid w:val="00BF7CEE"/>
    <w:rsid w:val="00C03880"/>
    <w:rsid w:val="00C135CF"/>
    <w:rsid w:val="00C17534"/>
    <w:rsid w:val="00C21B2C"/>
    <w:rsid w:val="00C2683F"/>
    <w:rsid w:val="00C3184D"/>
    <w:rsid w:val="00C42CA5"/>
    <w:rsid w:val="00C4714E"/>
    <w:rsid w:val="00C51CCA"/>
    <w:rsid w:val="00C5504F"/>
    <w:rsid w:val="00C566FD"/>
    <w:rsid w:val="00C57B55"/>
    <w:rsid w:val="00C63376"/>
    <w:rsid w:val="00C72C15"/>
    <w:rsid w:val="00C74F97"/>
    <w:rsid w:val="00C75965"/>
    <w:rsid w:val="00C8276E"/>
    <w:rsid w:val="00C842AC"/>
    <w:rsid w:val="00C9618E"/>
    <w:rsid w:val="00C96688"/>
    <w:rsid w:val="00CA0723"/>
    <w:rsid w:val="00CB1690"/>
    <w:rsid w:val="00CB545B"/>
    <w:rsid w:val="00CC405F"/>
    <w:rsid w:val="00CC4365"/>
    <w:rsid w:val="00CD11B0"/>
    <w:rsid w:val="00CD4482"/>
    <w:rsid w:val="00CE71C2"/>
    <w:rsid w:val="00CF34E9"/>
    <w:rsid w:val="00CF42D5"/>
    <w:rsid w:val="00CF4EDA"/>
    <w:rsid w:val="00D021CB"/>
    <w:rsid w:val="00D073AF"/>
    <w:rsid w:val="00D10F1A"/>
    <w:rsid w:val="00D116F8"/>
    <w:rsid w:val="00D12327"/>
    <w:rsid w:val="00D17596"/>
    <w:rsid w:val="00D21D54"/>
    <w:rsid w:val="00D22640"/>
    <w:rsid w:val="00D2556F"/>
    <w:rsid w:val="00D26D3A"/>
    <w:rsid w:val="00D30DEF"/>
    <w:rsid w:val="00D43553"/>
    <w:rsid w:val="00D45EE3"/>
    <w:rsid w:val="00D50618"/>
    <w:rsid w:val="00D509E9"/>
    <w:rsid w:val="00D53B1C"/>
    <w:rsid w:val="00D66985"/>
    <w:rsid w:val="00D72A72"/>
    <w:rsid w:val="00D75280"/>
    <w:rsid w:val="00D858AC"/>
    <w:rsid w:val="00D8719E"/>
    <w:rsid w:val="00D92CDC"/>
    <w:rsid w:val="00DA1B12"/>
    <w:rsid w:val="00DA54C9"/>
    <w:rsid w:val="00DA6739"/>
    <w:rsid w:val="00DA6CAE"/>
    <w:rsid w:val="00DB1A9E"/>
    <w:rsid w:val="00DB2A63"/>
    <w:rsid w:val="00DB31D6"/>
    <w:rsid w:val="00DB4005"/>
    <w:rsid w:val="00DC34EB"/>
    <w:rsid w:val="00DC5A60"/>
    <w:rsid w:val="00DF1E5B"/>
    <w:rsid w:val="00DF2275"/>
    <w:rsid w:val="00DF3F5E"/>
    <w:rsid w:val="00DF5653"/>
    <w:rsid w:val="00E0596E"/>
    <w:rsid w:val="00E06F66"/>
    <w:rsid w:val="00E15105"/>
    <w:rsid w:val="00E170F8"/>
    <w:rsid w:val="00E267F3"/>
    <w:rsid w:val="00E356E5"/>
    <w:rsid w:val="00E368A2"/>
    <w:rsid w:val="00E36F81"/>
    <w:rsid w:val="00E45765"/>
    <w:rsid w:val="00E5098C"/>
    <w:rsid w:val="00E558AC"/>
    <w:rsid w:val="00E57947"/>
    <w:rsid w:val="00E60213"/>
    <w:rsid w:val="00E61960"/>
    <w:rsid w:val="00E65C68"/>
    <w:rsid w:val="00E661B2"/>
    <w:rsid w:val="00E74D29"/>
    <w:rsid w:val="00E83C74"/>
    <w:rsid w:val="00E83CEE"/>
    <w:rsid w:val="00E91CD4"/>
    <w:rsid w:val="00E91F18"/>
    <w:rsid w:val="00E9226D"/>
    <w:rsid w:val="00EA015D"/>
    <w:rsid w:val="00EA0E23"/>
    <w:rsid w:val="00EA416C"/>
    <w:rsid w:val="00EA5941"/>
    <w:rsid w:val="00EB60CE"/>
    <w:rsid w:val="00EB7D53"/>
    <w:rsid w:val="00EC78AE"/>
    <w:rsid w:val="00EE3146"/>
    <w:rsid w:val="00EF50BB"/>
    <w:rsid w:val="00EF53FF"/>
    <w:rsid w:val="00EF5464"/>
    <w:rsid w:val="00F00192"/>
    <w:rsid w:val="00F01DF6"/>
    <w:rsid w:val="00F0340D"/>
    <w:rsid w:val="00F059A6"/>
    <w:rsid w:val="00F06AA0"/>
    <w:rsid w:val="00F10BDE"/>
    <w:rsid w:val="00F213A1"/>
    <w:rsid w:val="00F23756"/>
    <w:rsid w:val="00F2523A"/>
    <w:rsid w:val="00F25FFA"/>
    <w:rsid w:val="00F310D2"/>
    <w:rsid w:val="00F31915"/>
    <w:rsid w:val="00F35445"/>
    <w:rsid w:val="00F36F3D"/>
    <w:rsid w:val="00F4188A"/>
    <w:rsid w:val="00F4769A"/>
    <w:rsid w:val="00F477BD"/>
    <w:rsid w:val="00F523B5"/>
    <w:rsid w:val="00F53491"/>
    <w:rsid w:val="00F65A1C"/>
    <w:rsid w:val="00F66F50"/>
    <w:rsid w:val="00F827D6"/>
    <w:rsid w:val="00F82FF8"/>
    <w:rsid w:val="00F8330D"/>
    <w:rsid w:val="00F84305"/>
    <w:rsid w:val="00F8485C"/>
    <w:rsid w:val="00F87149"/>
    <w:rsid w:val="00F87CC3"/>
    <w:rsid w:val="00F87FFE"/>
    <w:rsid w:val="00F954C9"/>
    <w:rsid w:val="00FA4CF0"/>
    <w:rsid w:val="00FA61AA"/>
    <w:rsid w:val="00FA69A4"/>
    <w:rsid w:val="00FB1279"/>
    <w:rsid w:val="00FB1495"/>
    <w:rsid w:val="00FC2629"/>
    <w:rsid w:val="00FD1694"/>
    <w:rsid w:val="00FD7636"/>
    <w:rsid w:val="00FE2FE3"/>
    <w:rsid w:val="00FE3229"/>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aliases w:val="List Paragraph1,Recommendation,Rec para"/>
    <w:basedOn w:val="Normal"/>
    <w:link w:val="ListParagraphChar"/>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pPr>
      <w:rPr>
        <w:rFonts w:ascii="Arial" w:hAnsi="Arial"/>
        <w:sz w:val="20"/>
      </w:rPr>
    </w:tblStylePr>
    <w:tblStylePr w:type="band2Horz">
      <w:pPr>
        <w:wordWrap/>
        <w:spacing w:beforeLines="0" w:beforeAutospacing="0" w:afterLines="0" w:afterAutospacing="0"/>
        <w:contextualSpacing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styleId="Hyperlink">
    <w:name w:val="Hyperlink"/>
    <w:basedOn w:val="DefaultParagraphFont"/>
    <w:uiPriority w:val="99"/>
    <w:unhideWhenUsed/>
    <w:rsid w:val="00396CCF"/>
    <w:rPr>
      <w:color w:val="0000FF" w:themeColor="hyperlink"/>
      <w:u w:val="single"/>
    </w:rPr>
  </w:style>
  <w:style w:type="character" w:customStyle="1" w:styleId="ListParagraphChar">
    <w:name w:val="List Paragraph Char"/>
    <w:aliases w:val="List Paragraph1 Char,Recommendation Char,Rec para Char"/>
    <w:basedOn w:val="DefaultParagraphFont"/>
    <w:link w:val="ListParagraph"/>
    <w:uiPriority w:val="34"/>
    <w:locked/>
    <w:rsid w:val="00476306"/>
    <w:rPr>
      <w:sz w:val="22"/>
      <w:szCs w:val="22"/>
      <w:lang w:eastAsia="en-US"/>
    </w:rPr>
  </w:style>
  <w:style w:type="character" w:styleId="CommentReference">
    <w:name w:val="annotation reference"/>
    <w:basedOn w:val="DefaultParagraphFont"/>
    <w:uiPriority w:val="99"/>
    <w:semiHidden/>
    <w:unhideWhenUsed/>
    <w:rsid w:val="00240048"/>
    <w:rPr>
      <w:sz w:val="16"/>
      <w:szCs w:val="16"/>
    </w:rPr>
  </w:style>
  <w:style w:type="paragraph" w:styleId="CommentText">
    <w:name w:val="annotation text"/>
    <w:basedOn w:val="Normal"/>
    <w:link w:val="CommentTextChar"/>
    <w:uiPriority w:val="99"/>
    <w:semiHidden/>
    <w:unhideWhenUsed/>
    <w:rsid w:val="00240048"/>
    <w:pPr>
      <w:spacing w:line="240" w:lineRule="auto"/>
    </w:pPr>
    <w:rPr>
      <w:sz w:val="20"/>
      <w:szCs w:val="20"/>
    </w:rPr>
  </w:style>
  <w:style w:type="character" w:customStyle="1" w:styleId="CommentTextChar">
    <w:name w:val="Comment Text Char"/>
    <w:basedOn w:val="DefaultParagraphFont"/>
    <w:link w:val="CommentText"/>
    <w:uiPriority w:val="99"/>
    <w:semiHidden/>
    <w:rsid w:val="00240048"/>
    <w:rPr>
      <w:lang w:eastAsia="en-US"/>
    </w:rPr>
  </w:style>
  <w:style w:type="paragraph" w:styleId="CommentSubject">
    <w:name w:val="annotation subject"/>
    <w:basedOn w:val="CommentText"/>
    <w:next w:val="CommentText"/>
    <w:link w:val="CommentSubjectChar"/>
    <w:uiPriority w:val="99"/>
    <w:semiHidden/>
    <w:unhideWhenUsed/>
    <w:rsid w:val="00240048"/>
    <w:rPr>
      <w:b/>
      <w:bCs/>
    </w:rPr>
  </w:style>
  <w:style w:type="character" w:customStyle="1" w:styleId="CommentSubjectChar">
    <w:name w:val="Comment Subject Char"/>
    <w:basedOn w:val="CommentTextChar"/>
    <w:link w:val="CommentSubject"/>
    <w:uiPriority w:val="99"/>
    <w:semiHidden/>
    <w:rsid w:val="00240048"/>
    <w:rPr>
      <w:b/>
      <w:bCs/>
      <w:lang w:eastAsia="en-US"/>
    </w:rPr>
  </w:style>
  <w:style w:type="paragraph" w:customStyle="1" w:styleId="ShortT">
    <w:name w:val="ShortT"/>
    <w:basedOn w:val="Normal"/>
    <w:next w:val="Normal"/>
    <w:qFormat/>
    <w:rsid w:val="00DB2A63"/>
    <w:pPr>
      <w:spacing w:after="0" w:line="240" w:lineRule="auto"/>
    </w:pPr>
    <w:rPr>
      <w:rFonts w:ascii="Times New Roman" w:eastAsia="Times New Roman" w:hAnsi="Times New Roman"/>
      <w:b/>
      <w:sz w:val="4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aliases w:val="List Paragraph1,Recommendation,Rec para"/>
    <w:basedOn w:val="Normal"/>
    <w:link w:val="ListParagraphChar"/>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pPr>
      <w:rPr>
        <w:rFonts w:ascii="Arial" w:hAnsi="Arial"/>
        <w:sz w:val="20"/>
      </w:rPr>
    </w:tblStylePr>
    <w:tblStylePr w:type="band2Horz">
      <w:pPr>
        <w:wordWrap/>
        <w:spacing w:beforeLines="0" w:beforeAutospacing="0" w:afterLines="0" w:afterAutospacing="0"/>
        <w:contextualSpacing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styleId="Hyperlink">
    <w:name w:val="Hyperlink"/>
    <w:basedOn w:val="DefaultParagraphFont"/>
    <w:uiPriority w:val="99"/>
    <w:unhideWhenUsed/>
    <w:rsid w:val="00396CCF"/>
    <w:rPr>
      <w:color w:val="0000FF" w:themeColor="hyperlink"/>
      <w:u w:val="single"/>
    </w:rPr>
  </w:style>
  <w:style w:type="character" w:customStyle="1" w:styleId="ListParagraphChar">
    <w:name w:val="List Paragraph Char"/>
    <w:aliases w:val="List Paragraph1 Char,Recommendation Char,Rec para Char"/>
    <w:basedOn w:val="DefaultParagraphFont"/>
    <w:link w:val="ListParagraph"/>
    <w:uiPriority w:val="34"/>
    <w:locked/>
    <w:rsid w:val="00476306"/>
    <w:rPr>
      <w:sz w:val="22"/>
      <w:szCs w:val="22"/>
      <w:lang w:eastAsia="en-US"/>
    </w:rPr>
  </w:style>
  <w:style w:type="character" w:styleId="CommentReference">
    <w:name w:val="annotation reference"/>
    <w:basedOn w:val="DefaultParagraphFont"/>
    <w:uiPriority w:val="99"/>
    <w:semiHidden/>
    <w:unhideWhenUsed/>
    <w:rsid w:val="00240048"/>
    <w:rPr>
      <w:sz w:val="16"/>
      <w:szCs w:val="16"/>
    </w:rPr>
  </w:style>
  <w:style w:type="paragraph" w:styleId="CommentText">
    <w:name w:val="annotation text"/>
    <w:basedOn w:val="Normal"/>
    <w:link w:val="CommentTextChar"/>
    <w:uiPriority w:val="99"/>
    <w:semiHidden/>
    <w:unhideWhenUsed/>
    <w:rsid w:val="00240048"/>
    <w:pPr>
      <w:spacing w:line="240" w:lineRule="auto"/>
    </w:pPr>
    <w:rPr>
      <w:sz w:val="20"/>
      <w:szCs w:val="20"/>
    </w:rPr>
  </w:style>
  <w:style w:type="character" w:customStyle="1" w:styleId="CommentTextChar">
    <w:name w:val="Comment Text Char"/>
    <w:basedOn w:val="DefaultParagraphFont"/>
    <w:link w:val="CommentText"/>
    <w:uiPriority w:val="99"/>
    <w:semiHidden/>
    <w:rsid w:val="00240048"/>
    <w:rPr>
      <w:lang w:eastAsia="en-US"/>
    </w:rPr>
  </w:style>
  <w:style w:type="paragraph" w:styleId="CommentSubject">
    <w:name w:val="annotation subject"/>
    <w:basedOn w:val="CommentText"/>
    <w:next w:val="CommentText"/>
    <w:link w:val="CommentSubjectChar"/>
    <w:uiPriority w:val="99"/>
    <w:semiHidden/>
    <w:unhideWhenUsed/>
    <w:rsid w:val="00240048"/>
    <w:rPr>
      <w:b/>
      <w:bCs/>
    </w:rPr>
  </w:style>
  <w:style w:type="character" w:customStyle="1" w:styleId="CommentSubjectChar">
    <w:name w:val="Comment Subject Char"/>
    <w:basedOn w:val="CommentTextChar"/>
    <w:link w:val="CommentSubject"/>
    <w:uiPriority w:val="99"/>
    <w:semiHidden/>
    <w:rsid w:val="00240048"/>
    <w:rPr>
      <w:b/>
      <w:bCs/>
      <w:lang w:eastAsia="en-US"/>
    </w:rPr>
  </w:style>
  <w:style w:type="paragraph" w:customStyle="1" w:styleId="ShortT">
    <w:name w:val="ShortT"/>
    <w:basedOn w:val="Normal"/>
    <w:next w:val="Normal"/>
    <w:qFormat/>
    <w:rsid w:val="00DB2A63"/>
    <w:pPr>
      <w:spacing w:after="0" w:line="240" w:lineRule="auto"/>
    </w:pPr>
    <w:rPr>
      <w:rFonts w:ascii="Times New Roman" w:eastAsia="Times New Roman" w:hAnsi="Times New Roman"/>
      <w:b/>
      <w:sz w:val="4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45086">
      <w:bodyDiv w:val="1"/>
      <w:marLeft w:val="0"/>
      <w:marRight w:val="0"/>
      <w:marTop w:val="0"/>
      <w:marBottom w:val="0"/>
      <w:divBdr>
        <w:top w:val="none" w:sz="0" w:space="0" w:color="auto"/>
        <w:left w:val="none" w:sz="0" w:space="0" w:color="auto"/>
        <w:bottom w:val="none" w:sz="0" w:space="0" w:color="auto"/>
        <w:right w:val="none" w:sz="0" w:space="0" w:color="auto"/>
      </w:divBdr>
      <w:divsChild>
        <w:div w:id="1553737591">
          <w:marLeft w:val="0"/>
          <w:marRight w:val="0"/>
          <w:marTop w:val="0"/>
          <w:marBottom w:val="0"/>
          <w:divBdr>
            <w:top w:val="none" w:sz="0" w:space="0" w:color="auto"/>
            <w:left w:val="none" w:sz="0" w:space="0" w:color="auto"/>
            <w:bottom w:val="none" w:sz="0" w:space="0" w:color="auto"/>
            <w:right w:val="none" w:sz="0" w:space="0" w:color="auto"/>
          </w:divBdr>
          <w:divsChild>
            <w:div w:id="914122011">
              <w:marLeft w:val="0"/>
              <w:marRight w:val="0"/>
              <w:marTop w:val="0"/>
              <w:marBottom w:val="0"/>
              <w:divBdr>
                <w:top w:val="none" w:sz="0" w:space="0" w:color="auto"/>
                <w:left w:val="none" w:sz="0" w:space="0" w:color="auto"/>
                <w:bottom w:val="none" w:sz="0" w:space="0" w:color="auto"/>
                <w:right w:val="none" w:sz="0" w:space="0" w:color="auto"/>
              </w:divBdr>
              <w:divsChild>
                <w:div w:id="142660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88506">
      <w:bodyDiv w:val="1"/>
      <w:marLeft w:val="0"/>
      <w:marRight w:val="0"/>
      <w:marTop w:val="0"/>
      <w:marBottom w:val="0"/>
      <w:divBdr>
        <w:top w:val="none" w:sz="0" w:space="0" w:color="auto"/>
        <w:left w:val="none" w:sz="0" w:space="0" w:color="auto"/>
        <w:bottom w:val="none" w:sz="0" w:space="0" w:color="auto"/>
        <w:right w:val="none" w:sz="0" w:space="0" w:color="auto"/>
      </w:divBdr>
      <w:divsChild>
        <w:div w:id="620840034">
          <w:marLeft w:val="0"/>
          <w:marRight w:val="0"/>
          <w:marTop w:val="0"/>
          <w:marBottom w:val="0"/>
          <w:divBdr>
            <w:top w:val="none" w:sz="0" w:space="0" w:color="auto"/>
            <w:left w:val="none" w:sz="0" w:space="0" w:color="auto"/>
            <w:bottom w:val="none" w:sz="0" w:space="0" w:color="auto"/>
            <w:right w:val="none" w:sz="0" w:space="0" w:color="auto"/>
          </w:divBdr>
          <w:divsChild>
            <w:div w:id="879363567">
              <w:marLeft w:val="0"/>
              <w:marRight w:val="0"/>
              <w:marTop w:val="0"/>
              <w:marBottom w:val="0"/>
              <w:divBdr>
                <w:top w:val="none" w:sz="0" w:space="0" w:color="auto"/>
                <w:left w:val="none" w:sz="0" w:space="0" w:color="auto"/>
                <w:bottom w:val="none" w:sz="0" w:space="0" w:color="auto"/>
                <w:right w:val="none" w:sz="0" w:space="0" w:color="auto"/>
              </w:divBdr>
              <w:divsChild>
                <w:div w:id="5921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525167">
      <w:bodyDiv w:val="1"/>
      <w:marLeft w:val="0"/>
      <w:marRight w:val="0"/>
      <w:marTop w:val="0"/>
      <w:marBottom w:val="0"/>
      <w:divBdr>
        <w:top w:val="none" w:sz="0" w:space="0" w:color="auto"/>
        <w:left w:val="none" w:sz="0" w:space="0" w:color="auto"/>
        <w:bottom w:val="none" w:sz="0" w:space="0" w:color="auto"/>
        <w:right w:val="none" w:sz="0" w:space="0" w:color="auto"/>
      </w:divBdr>
      <w:divsChild>
        <w:div w:id="1908685412">
          <w:marLeft w:val="0"/>
          <w:marRight w:val="0"/>
          <w:marTop w:val="0"/>
          <w:marBottom w:val="0"/>
          <w:divBdr>
            <w:top w:val="none" w:sz="0" w:space="0" w:color="auto"/>
            <w:left w:val="none" w:sz="0" w:space="0" w:color="auto"/>
            <w:bottom w:val="none" w:sz="0" w:space="0" w:color="auto"/>
            <w:right w:val="none" w:sz="0" w:space="0" w:color="auto"/>
          </w:divBdr>
          <w:divsChild>
            <w:div w:id="1488865398">
              <w:marLeft w:val="0"/>
              <w:marRight w:val="0"/>
              <w:marTop w:val="0"/>
              <w:marBottom w:val="0"/>
              <w:divBdr>
                <w:top w:val="none" w:sz="0" w:space="0" w:color="auto"/>
                <w:left w:val="none" w:sz="0" w:space="0" w:color="auto"/>
                <w:bottom w:val="none" w:sz="0" w:space="0" w:color="auto"/>
                <w:right w:val="none" w:sz="0" w:space="0" w:color="auto"/>
              </w:divBdr>
              <w:divsChild>
                <w:div w:id="209481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1008</Words>
  <Characters>5747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6742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Theodorelos, Vicky</dc:creator>
  <cp:lastModifiedBy>Theodorelos, Vicky</cp:lastModifiedBy>
  <cp:revision>2</cp:revision>
  <dcterms:created xsi:type="dcterms:W3CDTF">2016-02-02T02:50:00Z</dcterms:created>
  <dcterms:modified xsi:type="dcterms:W3CDTF">2016-02-02T02:50:00Z</dcterms:modified>
</cp:coreProperties>
</file>