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9E" w:rsidRDefault="00CD4B9E" w:rsidP="004C6827">
      <w:pPr>
        <w:keepNext/>
        <w:spacing w:after="240"/>
        <w:jc w:val="center"/>
        <w:rPr>
          <w:b/>
          <w:lang w:val="en-AU"/>
        </w:rPr>
      </w:pPr>
      <w:bookmarkStart w:id="0" w:name="_GoBack"/>
      <w:bookmarkEnd w:id="0"/>
      <w:r w:rsidRPr="00EF48A5">
        <w:rPr>
          <w:b/>
          <w:lang w:val="en-AU"/>
        </w:rPr>
        <w:t xml:space="preserve">EXPLANATORY </w:t>
      </w:r>
      <w:r>
        <w:rPr>
          <w:b/>
          <w:lang w:val="en-AU"/>
        </w:rPr>
        <w:t>STATEMENT</w:t>
      </w:r>
    </w:p>
    <w:p w:rsidR="00CD4B9E" w:rsidRDefault="00CD4B9E" w:rsidP="004C6827">
      <w:pPr>
        <w:keepNext/>
        <w:autoSpaceDE w:val="0"/>
        <w:autoSpaceDN w:val="0"/>
        <w:adjustRightInd w:val="0"/>
        <w:spacing w:after="240"/>
        <w:jc w:val="center"/>
        <w:rPr>
          <w:b/>
          <w:bCs/>
          <w:lang w:bidi="hi-IN"/>
        </w:rPr>
      </w:pPr>
      <w:r>
        <w:rPr>
          <w:b/>
          <w:bCs/>
          <w:lang w:bidi="hi-IN"/>
        </w:rPr>
        <w:t xml:space="preserve">Issued by Authority of the Minister for Health </w:t>
      </w:r>
    </w:p>
    <w:p w:rsidR="00CD4B9E" w:rsidRPr="005B040D" w:rsidRDefault="005E294D" w:rsidP="004C6827">
      <w:pPr>
        <w:pStyle w:val="Subtitle"/>
        <w:keepNext/>
        <w:spacing w:after="240"/>
        <w:jc w:val="center"/>
        <w:rPr>
          <w:b/>
          <w:bCs/>
          <w:i/>
          <w:u w:val="none"/>
        </w:rPr>
      </w:pPr>
      <w:r>
        <w:rPr>
          <w:b/>
          <w:bCs/>
          <w:i/>
          <w:u w:val="none"/>
        </w:rPr>
        <w:t>My Health Records</w:t>
      </w:r>
      <w:r w:rsidR="00CD4B9E" w:rsidRPr="005B040D">
        <w:rPr>
          <w:b/>
          <w:bCs/>
          <w:i/>
          <w:u w:val="none"/>
        </w:rPr>
        <w:t xml:space="preserve"> </w:t>
      </w:r>
      <w:r w:rsidR="00CD4B9E">
        <w:rPr>
          <w:b/>
          <w:bCs/>
          <w:i/>
          <w:u w:val="none"/>
        </w:rPr>
        <w:t>Act</w:t>
      </w:r>
      <w:r w:rsidR="00CD4B9E" w:rsidRPr="005B040D">
        <w:rPr>
          <w:b/>
          <w:bCs/>
          <w:i/>
          <w:u w:val="none"/>
        </w:rPr>
        <w:t xml:space="preserve"> 2012</w:t>
      </w:r>
    </w:p>
    <w:p w:rsidR="00CD4B9E" w:rsidRPr="005B040D" w:rsidRDefault="005E294D" w:rsidP="004C6827">
      <w:pPr>
        <w:pStyle w:val="Subtitle"/>
        <w:keepNext/>
        <w:spacing w:after="480"/>
        <w:jc w:val="center"/>
        <w:rPr>
          <w:b/>
          <w:bCs/>
          <w:i/>
          <w:u w:val="none"/>
        </w:rPr>
      </w:pPr>
      <w:r>
        <w:rPr>
          <w:b/>
          <w:bCs/>
          <w:i/>
          <w:u w:val="none"/>
        </w:rPr>
        <w:t xml:space="preserve">My Health Records </w:t>
      </w:r>
      <w:r w:rsidR="00BB3919">
        <w:rPr>
          <w:b/>
          <w:bCs/>
          <w:i/>
          <w:u w:val="none"/>
        </w:rPr>
        <w:t>(Opt-out Trial</w:t>
      </w:r>
      <w:r w:rsidR="000E658F">
        <w:rPr>
          <w:b/>
          <w:bCs/>
          <w:i/>
          <w:u w:val="none"/>
        </w:rPr>
        <w:t>s</w:t>
      </w:r>
      <w:r w:rsidR="00BB3919">
        <w:rPr>
          <w:b/>
          <w:bCs/>
          <w:i/>
          <w:u w:val="none"/>
        </w:rPr>
        <w:t>)</w:t>
      </w:r>
      <w:r w:rsidR="00CD4B9E">
        <w:rPr>
          <w:b/>
          <w:bCs/>
          <w:i/>
          <w:u w:val="none"/>
        </w:rPr>
        <w:t> </w:t>
      </w:r>
      <w:r w:rsidR="00731234">
        <w:rPr>
          <w:b/>
          <w:bCs/>
          <w:i/>
          <w:u w:val="none"/>
        </w:rPr>
        <w:t xml:space="preserve">Rule </w:t>
      </w:r>
      <w:r w:rsidR="00CD4B9E">
        <w:rPr>
          <w:b/>
          <w:bCs/>
          <w:i/>
          <w:u w:val="none"/>
        </w:rPr>
        <w:t>201</w:t>
      </w:r>
      <w:r w:rsidR="00914031">
        <w:rPr>
          <w:b/>
          <w:bCs/>
          <w:i/>
          <w:u w:val="none"/>
        </w:rPr>
        <w:t>6</w:t>
      </w:r>
      <w:r w:rsidR="00CD4B9E">
        <w:rPr>
          <w:b/>
          <w:bCs/>
          <w:i/>
          <w:u w:val="none"/>
        </w:rPr>
        <w:t xml:space="preserve"> </w:t>
      </w:r>
    </w:p>
    <w:p w:rsidR="00855740" w:rsidRDefault="00FE36FA" w:rsidP="00C71336">
      <w:pPr>
        <w:autoSpaceDE w:val="0"/>
        <w:autoSpaceDN w:val="0"/>
        <w:adjustRightInd w:val="0"/>
        <w:spacing w:before="200" w:after="240"/>
        <w:rPr>
          <w:lang w:val="en-AU" w:eastAsia="en-AU"/>
        </w:rPr>
      </w:pPr>
      <w:r w:rsidRPr="00FE36FA">
        <w:rPr>
          <w:lang w:val="en-AU" w:eastAsia="en-AU"/>
        </w:rPr>
        <w:t xml:space="preserve">The </w:t>
      </w:r>
      <w:r w:rsidR="00F2468A">
        <w:rPr>
          <w:i/>
          <w:iCs/>
          <w:lang w:val="en-AU" w:eastAsia="en-AU"/>
        </w:rPr>
        <w:t xml:space="preserve">My Health Records </w:t>
      </w:r>
      <w:r w:rsidR="00F2468A" w:rsidRPr="00FE36FA">
        <w:rPr>
          <w:i/>
          <w:iCs/>
          <w:lang w:val="en-AU" w:eastAsia="en-AU"/>
        </w:rPr>
        <w:t xml:space="preserve">Act 2012 </w:t>
      </w:r>
      <w:r w:rsidR="00F2468A">
        <w:rPr>
          <w:lang w:val="en-AU" w:eastAsia="en-AU"/>
        </w:rPr>
        <w:t>(the Act)</w:t>
      </w:r>
      <w:r w:rsidR="00FE1D99">
        <w:rPr>
          <w:lang w:val="en-AU" w:eastAsia="en-AU"/>
        </w:rPr>
        <w:t xml:space="preserve"> </w:t>
      </w:r>
      <w:r w:rsidR="00806B96">
        <w:rPr>
          <w:lang w:val="en-AU" w:eastAsia="en-AU"/>
        </w:rPr>
        <w:t>enabled</w:t>
      </w:r>
      <w:r w:rsidRPr="00FE36FA">
        <w:rPr>
          <w:lang w:val="en-AU" w:eastAsia="en-AU"/>
        </w:rPr>
        <w:t xml:space="preserve"> the</w:t>
      </w:r>
      <w:r>
        <w:rPr>
          <w:lang w:val="en-AU" w:eastAsia="en-AU"/>
        </w:rPr>
        <w:t xml:space="preserve"> </w:t>
      </w:r>
      <w:r w:rsidRPr="00FE36FA">
        <w:rPr>
          <w:lang w:val="en-AU" w:eastAsia="en-AU"/>
        </w:rPr>
        <w:t xml:space="preserve">establishment of the </w:t>
      </w:r>
      <w:r w:rsidR="005E294D">
        <w:rPr>
          <w:lang w:val="en-AU" w:eastAsia="en-AU"/>
        </w:rPr>
        <w:t xml:space="preserve">My Health Record </w:t>
      </w:r>
      <w:r w:rsidR="002728AC">
        <w:rPr>
          <w:lang w:val="en-AU" w:eastAsia="en-AU"/>
        </w:rPr>
        <w:t>system</w:t>
      </w:r>
      <w:r w:rsidR="00855740">
        <w:rPr>
          <w:lang w:val="en-AU" w:eastAsia="en-AU"/>
        </w:rPr>
        <w:t xml:space="preserve"> (formerly referred to as the</w:t>
      </w:r>
      <w:r w:rsidR="00855740" w:rsidRPr="00855740">
        <w:t xml:space="preserve"> </w:t>
      </w:r>
      <w:r w:rsidR="00855740" w:rsidRPr="005A632C">
        <w:t>personally controlled electronic health record (PCEHR) system</w:t>
      </w:r>
      <w:r w:rsidR="00855740">
        <w:t>)</w:t>
      </w:r>
      <w:r w:rsidR="00CA54AA">
        <w:rPr>
          <w:lang w:val="en-AU" w:eastAsia="en-AU"/>
        </w:rPr>
        <w:t xml:space="preserve">. </w:t>
      </w:r>
      <w:r w:rsidR="00720261">
        <w:rPr>
          <w:lang w:val="en-AU" w:eastAsia="en-AU"/>
        </w:rPr>
        <w:t xml:space="preserve"> </w:t>
      </w:r>
      <w:r w:rsidR="00CA54AA">
        <w:rPr>
          <w:lang w:val="en-AU" w:eastAsia="en-AU"/>
        </w:rPr>
        <w:t xml:space="preserve">The My Health Record system </w:t>
      </w:r>
      <w:r w:rsidR="002728AC" w:rsidRPr="005A632C">
        <w:t>allows individuals and their healthcare providers to access their key health information online where and when they need it.  A</w:t>
      </w:r>
      <w:r w:rsidR="002728AC">
        <w:t xml:space="preserve"> My Health Record</w:t>
      </w:r>
      <w:r w:rsidR="002728AC" w:rsidRPr="005A632C">
        <w:t xml:space="preserve"> is an electronic </w:t>
      </w:r>
      <w:r w:rsidR="002728AC" w:rsidRPr="005A632C">
        <w:rPr>
          <w:shd w:val="clear" w:color="auto" w:fill="FFFFFF"/>
        </w:rPr>
        <w:t>summary of an individual’s health records.</w:t>
      </w:r>
      <w:r>
        <w:rPr>
          <w:lang w:val="en-AU" w:eastAsia="en-AU"/>
        </w:rPr>
        <w:t xml:space="preserve">  </w:t>
      </w:r>
    </w:p>
    <w:p w:rsidR="00720261" w:rsidRDefault="00CA54AA" w:rsidP="00C71336">
      <w:pPr>
        <w:autoSpaceDE w:val="0"/>
        <w:autoSpaceDN w:val="0"/>
        <w:adjustRightInd w:val="0"/>
        <w:spacing w:before="200" w:after="240"/>
        <w:rPr>
          <w:bCs/>
        </w:rPr>
      </w:pPr>
      <w:r>
        <w:rPr>
          <w:bCs/>
        </w:rPr>
        <w:t xml:space="preserve">Due to the low numbers of </w:t>
      </w:r>
      <w:r w:rsidR="00FE5638">
        <w:rPr>
          <w:bCs/>
        </w:rPr>
        <w:t xml:space="preserve">healthcare recipients choosing to register with </w:t>
      </w:r>
      <w:r>
        <w:rPr>
          <w:bCs/>
        </w:rPr>
        <w:t>the My Health Record system</w:t>
      </w:r>
      <w:r w:rsidR="00FE5638">
        <w:rPr>
          <w:bCs/>
        </w:rPr>
        <w:t>,</w:t>
      </w:r>
      <w:r>
        <w:rPr>
          <w:bCs/>
        </w:rPr>
        <w:t xml:space="preserve"> the Act was amended to allow for an opt-out model </w:t>
      </w:r>
      <w:r w:rsidR="00FE5638">
        <w:rPr>
          <w:bCs/>
        </w:rPr>
        <w:t xml:space="preserve">of participation </w:t>
      </w:r>
      <w:r>
        <w:rPr>
          <w:bCs/>
        </w:rPr>
        <w:t>to be trialed</w:t>
      </w:r>
      <w:r w:rsidR="00FE5638">
        <w:rPr>
          <w:bCs/>
        </w:rPr>
        <w:t xml:space="preserve">. </w:t>
      </w:r>
      <w:r w:rsidR="00720261">
        <w:rPr>
          <w:bCs/>
        </w:rPr>
        <w:t xml:space="preserve"> </w:t>
      </w:r>
      <w:r w:rsidR="00FE5638">
        <w:t>Participation trials (including opt-out arrangements) are</w:t>
      </w:r>
      <w:r w:rsidR="00F4375E">
        <w:t xml:space="preserve"> </w:t>
      </w:r>
      <w:r w:rsidR="00F4375E" w:rsidRPr="005A632C">
        <w:t>intended to inform future strategies for increasing uptake and meaningful use of the My Health Record</w:t>
      </w:r>
      <w:r w:rsidR="00F4375E">
        <w:t xml:space="preserve"> system</w:t>
      </w:r>
      <w:r w:rsidR="00F4375E" w:rsidRPr="005A632C">
        <w:t>.</w:t>
      </w:r>
      <w:r>
        <w:rPr>
          <w:bCs/>
        </w:rPr>
        <w:t xml:space="preserve"> </w:t>
      </w:r>
    </w:p>
    <w:p w:rsidR="000E658F" w:rsidRDefault="00855740" w:rsidP="00C71336">
      <w:pPr>
        <w:autoSpaceDE w:val="0"/>
        <w:autoSpaceDN w:val="0"/>
        <w:adjustRightInd w:val="0"/>
        <w:spacing w:before="200" w:after="240"/>
        <w:rPr>
          <w:bCs/>
        </w:rPr>
      </w:pPr>
      <w:r>
        <w:rPr>
          <w:bCs/>
        </w:rPr>
        <w:t xml:space="preserve">Schedule 1 </w:t>
      </w:r>
      <w:r w:rsidR="00C05D28">
        <w:rPr>
          <w:bCs/>
        </w:rPr>
        <w:t>to</w:t>
      </w:r>
      <w:r w:rsidRPr="005A632C">
        <w:rPr>
          <w:bCs/>
        </w:rPr>
        <w:t xml:space="preserve"> the Act</w:t>
      </w:r>
      <w:r w:rsidR="000E658F">
        <w:rPr>
          <w:bCs/>
        </w:rPr>
        <w:t>:</w:t>
      </w:r>
      <w:r w:rsidRPr="005A632C">
        <w:rPr>
          <w:bCs/>
        </w:rPr>
        <w:t xml:space="preserve"> </w:t>
      </w:r>
    </w:p>
    <w:p w:rsidR="000E658F" w:rsidRPr="00AD78AE" w:rsidRDefault="00CA54AA" w:rsidP="00C71336">
      <w:pPr>
        <w:pStyle w:val="ListParagraph"/>
        <w:numPr>
          <w:ilvl w:val="0"/>
          <w:numId w:val="16"/>
        </w:numPr>
        <w:autoSpaceDE w:val="0"/>
        <w:autoSpaceDN w:val="0"/>
        <w:adjustRightInd w:val="0"/>
        <w:spacing w:before="200" w:after="240"/>
        <w:ind w:left="357" w:hanging="357"/>
        <w:contextualSpacing w:val="0"/>
      </w:pPr>
      <w:r w:rsidRPr="000E658F">
        <w:rPr>
          <w:bCs/>
        </w:rPr>
        <w:t>allows the Minister to make rules relating to an opt-out model</w:t>
      </w:r>
      <w:r w:rsidR="000E658F">
        <w:rPr>
          <w:bCs/>
        </w:rPr>
        <w:t>;</w:t>
      </w:r>
      <w:r w:rsidRPr="00AD78AE">
        <w:rPr>
          <w:bCs/>
        </w:rPr>
        <w:t xml:space="preserve"> </w:t>
      </w:r>
    </w:p>
    <w:p w:rsidR="000E658F" w:rsidRPr="00AD78AE" w:rsidRDefault="00855740" w:rsidP="00C71336">
      <w:pPr>
        <w:pStyle w:val="ListParagraph"/>
        <w:numPr>
          <w:ilvl w:val="0"/>
          <w:numId w:val="16"/>
        </w:numPr>
        <w:autoSpaceDE w:val="0"/>
        <w:autoSpaceDN w:val="0"/>
        <w:adjustRightInd w:val="0"/>
        <w:spacing w:before="200" w:after="240"/>
        <w:ind w:left="357" w:hanging="357"/>
        <w:contextualSpacing w:val="0"/>
      </w:pPr>
      <w:r w:rsidRPr="00AD78AE">
        <w:rPr>
          <w:bCs/>
        </w:rPr>
        <w:t xml:space="preserve">provides the </w:t>
      </w:r>
      <w:proofErr w:type="spellStart"/>
      <w:r w:rsidRPr="00AD78AE">
        <w:rPr>
          <w:bCs/>
        </w:rPr>
        <w:t>authorisations</w:t>
      </w:r>
      <w:proofErr w:type="spellEnd"/>
      <w:r w:rsidRPr="00AD78AE">
        <w:rPr>
          <w:bCs/>
        </w:rPr>
        <w:t xml:space="preserve"> necessary for opt-out trial regions to be selected</w:t>
      </w:r>
      <w:r w:rsidR="00720261">
        <w:rPr>
          <w:bCs/>
        </w:rPr>
        <w:t>;</w:t>
      </w:r>
    </w:p>
    <w:p w:rsidR="000E658F" w:rsidRPr="00AD78AE" w:rsidRDefault="000E658F" w:rsidP="00C71336">
      <w:pPr>
        <w:pStyle w:val="ListParagraph"/>
        <w:numPr>
          <w:ilvl w:val="0"/>
          <w:numId w:val="16"/>
        </w:numPr>
        <w:autoSpaceDE w:val="0"/>
        <w:autoSpaceDN w:val="0"/>
        <w:adjustRightInd w:val="0"/>
        <w:spacing w:before="200" w:after="240"/>
        <w:ind w:left="357" w:hanging="357"/>
        <w:contextualSpacing w:val="0"/>
      </w:pPr>
      <w:r>
        <w:rPr>
          <w:bCs/>
        </w:rPr>
        <w:t>authorises</w:t>
      </w:r>
      <w:r w:rsidR="00855740" w:rsidRPr="00AD78AE">
        <w:rPr>
          <w:bCs/>
        </w:rPr>
        <w:t xml:space="preserve"> the System Operator to </w:t>
      </w:r>
      <w:r>
        <w:rPr>
          <w:bCs/>
        </w:rPr>
        <w:t>collect, use and disclose identifying information</w:t>
      </w:r>
      <w:r w:rsidR="005179AE">
        <w:rPr>
          <w:bCs/>
        </w:rPr>
        <w:t xml:space="preserve"> and healthcare identifiers</w:t>
      </w:r>
      <w:r>
        <w:rPr>
          <w:bCs/>
        </w:rPr>
        <w:t xml:space="preserve"> for healthcare recipients in order to </w:t>
      </w:r>
      <w:r w:rsidR="00855740" w:rsidRPr="00AD78AE">
        <w:rPr>
          <w:bCs/>
        </w:rPr>
        <w:t xml:space="preserve">register </w:t>
      </w:r>
      <w:r>
        <w:rPr>
          <w:bCs/>
        </w:rPr>
        <w:t xml:space="preserve">them for a My Health Record without the need for the healthcare recipient to first apply to be registered; </w:t>
      </w:r>
    </w:p>
    <w:p w:rsidR="00B42D98" w:rsidRPr="00AD78AE" w:rsidRDefault="000E658F" w:rsidP="00C71336">
      <w:pPr>
        <w:pStyle w:val="ListParagraph"/>
        <w:numPr>
          <w:ilvl w:val="0"/>
          <w:numId w:val="16"/>
        </w:numPr>
        <w:autoSpaceDE w:val="0"/>
        <w:autoSpaceDN w:val="0"/>
        <w:adjustRightInd w:val="0"/>
        <w:spacing w:before="200" w:after="240"/>
        <w:ind w:left="357" w:hanging="357"/>
        <w:contextualSpacing w:val="0"/>
      </w:pPr>
      <w:r>
        <w:rPr>
          <w:bCs/>
        </w:rPr>
        <w:t xml:space="preserve">authorises treating healthcare providers to upload </w:t>
      </w:r>
      <w:r w:rsidR="00855740" w:rsidRPr="00AD78AE">
        <w:rPr>
          <w:bCs/>
        </w:rPr>
        <w:t>health information to</w:t>
      </w:r>
      <w:r w:rsidR="005179AE">
        <w:rPr>
          <w:bCs/>
        </w:rPr>
        <w:t xml:space="preserve"> the</w:t>
      </w:r>
      <w:r w:rsidR="00855740" w:rsidRPr="00AD78AE">
        <w:rPr>
          <w:bCs/>
        </w:rPr>
        <w:t xml:space="preserve"> </w:t>
      </w:r>
      <w:r>
        <w:rPr>
          <w:bCs/>
        </w:rPr>
        <w:t>My Health Record of</w:t>
      </w:r>
      <w:r w:rsidR="005179AE">
        <w:rPr>
          <w:bCs/>
        </w:rPr>
        <w:t xml:space="preserve"> a</w:t>
      </w:r>
      <w:r>
        <w:rPr>
          <w:bCs/>
        </w:rPr>
        <w:t xml:space="preserve"> healthcare recipient, subject to any instructions from the healthcare recipient to not upload the information</w:t>
      </w:r>
      <w:r w:rsidR="00B42D98">
        <w:rPr>
          <w:bCs/>
        </w:rPr>
        <w:t>;</w:t>
      </w:r>
      <w:r w:rsidR="009D5D04">
        <w:rPr>
          <w:bCs/>
        </w:rPr>
        <w:t xml:space="preserve"> and</w:t>
      </w:r>
    </w:p>
    <w:p w:rsidR="004F0E19" w:rsidRDefault="00B42D98" w:rsidP="00C71336">
      <w:pPr>
        <w:pStyle w:val="ListParagraph"/>
        <w:numPr>
          <w:ilvl w:val="0"/>
          <w:numId w:val="16"/>
        </w:numPr>
        <w:autoSpaceDE w:val="0"/>
        <w:autoSpaceDN w:val="0"/>
        <w:adjustRightInd w:val="0"/>
        <w:spacing w:before="200" w:after="240"/>
        <w:ind w:left="357" w:hanging="357"/>
        <w:contextualSpacing w:val="0"/>
      </w:pPr>
      <w:proofErr w:type="gramStart"/>
      <w:r>
        <w:rPr>
          <w:bCs/>
        </w:rPr>
        <w:t>authorises</w:t>
      </w:r>
      <w:proofErr w:type="gramEnd"/>
      <w:r>
        <w:rPr>
          <w:bCs/>
        </w:rPr>
        <w:t xml:space="preserve"> healthcare provider organisations and other </w:t>
      </w:r>
      <w:r w:rsidR="00855740" w:rsidRPr="00AD78AE">
        <w:rPr>
          <w:bCs/>
        </w:rPr>
        <w:t xml:space="preserve">participants in the My Health Record </w:t>
      </w:r>
      <w:r w:rsidR="00855740" w:rsidRPr="009B60A9">
        <w:t xml:space="preserve">system to </w:t>
      </w:r>
      <w:r>
        <w:t xml:space="preserve">collect, </w:t>
      </w:r>
      <w:r w:rsidR="00855740" w:rsidRPr="009B60A9">
        <w:t xml:space="preserve">use </w:t>
      </w:r>
      <w:r>
        <w:t xml:space="preserve">and disclose health </w:t>
      </w:r>
      <w:r w:rsidR="00855740" w:rsidRPr="009B60A9">
        <w:t xml:space="preserve">information </w:t>
      </w:r>
      <w:r>
        <w:t xml:space="preserve">in a healthcare recipient’s My Health Record as part of providing healthcare and for </w:t>
      </w:r>
      <w:r w:rsidR="00855740" w:rsidRPr="009B60A9">
        <w:t xml:space="preserve">other </w:t>
      </w:r>
      <w:r>
        <w:t xml:space="preserve">authorised </w:t>
      </w:r>
      <w:r w:rsidR="00855740" w:rsidRPr="009B60A9">
        <w:t>purposes</w:t>
      </w:r>
      <w:r>
        <w:t>.</w:t>
      </w:r>
      <w:r w:rsidR="00855740" w:rsidRPr="003A4183">
        <w:t xml:space="preserve">  </w:t>
      </w:r>
    </w:p>
    <w:p w:rsidR="0043453B" w:rsidRDefault="00F2468A" w:rsidP="000B0F5D">
      <w:pPr>
        <w:autoSpaceDE w:val="0"/>
        <w:autoSpaceDN w:val="0"/>
        <w:adjustRightInd w:val="0"/>
        <w:spacing w:after="240"/>
      </w:pPr>
      <w:r>
        <w:rPr>
          <w:lang w:val="en-AU" w:eastAsia="en-AU"/>
        </w:rPr>
        <w:t xml:space="preserve">The </w:t>
      </w:r>
      <w:r>
        <w:rPr>
          <w:i/>
          <w:iCs/>
          <w:lang w:val="en-AU" w:eastAsia="en-AU"/>
        </w:rPr>
        <w:t>My Health Records</w:t>
      </w:r>
      <w:r w:rsidRPr="00FE36FA">
        <w:rPr>
          <w:i/>
          <w:iCs/>
          <w:lang w:val="en-AU" w:eastAsia="en-AU"/>
        </w:rPr>
        <w:t xml:space="preserve"> </w:t>
      </w:r>
      <w:r>
        <w:rPr>
          <w:i/>
          <w:iCs/>
          <w:lang w:val="en-AU" w:eastAsia="en-AU"/>
        </w:rPr>
        <w:t>(Opt-out Trial</w:t>
      </w:r>
      <w:r w:rsidR="00B42D98">
        <w:rPr>
          <w:i/>
          <w:iCs/>
          <w:lang w:val="en-AU" w:eastAsia="en-AU"/>
        </w:rPr>
        <w:t>s</w:t>
      </w:r>
      <w:r>
        <w:rPr>
          <w:i/>
          <w:iCs/>
          <w:lang w:val="en-AU" w:eastAsia="en-AU"/>
        </w:rPr>
        <w:t xml:space="preserve">) </w:t>
      </w:r>
      <w:r w:rsidRPr="00FE36FA">
        <w:rPr>
          <w:i/>
          <w:iCs/>
          <w:lang w:val="en-AU" w:eastAsia="en-AU"/>
        </w:rPr>
        <w:t>Rul</w:t>
      </w:r>
      <w:r>
        <w:rPr>
          <w:i/>
          <w:iCs/>
          <w:lang w:val="en-AU" w:eastAsia="en-AU"/>
        </w:rPr>
        <w:t>e</w:t>
      </w:r>
      <w:r w:rsidRPr="00FE36FA">
        <w:rPr>
          <w:i/>
          <w:iCs/>
          <w:lang w:val="en-AU" w:eastAsia="en-AU"/>
        </w:rPr>
        <w:t xml:space="preserve"> 201</w:t>
      </w:r>
      <w:r w:rsidR="00914031">
        <w:rPr>
          <w:i/>
          <w:iCs/>
          <w:lang w:val="en-AU" w:eastAsia="en-AU"/>
        </w:rPr>
        <w:t>6</w:t>
      </w:r>
      <w:r w:rsidRPr="00FE36FA">
        <w:rPr>
          <w:i/>
          <w:iCs/>
          <w:lang w:val="en-AU" w:eastAsia="en-AU"/>
        </w:rPr>
        <w:t xml:space="preserve"> </w:t>
      </w:r>
      <w:r w:rsidRPr="00FE36FA">
        <w:rPr>
          <w:lang w:val="en-AU" w:eastAsia="en-AU"/>
        </w:rPr>
        <w:t>(</w:t>
      </w:r>
      <w:r>
        <w:rPr>
          <w:lang w:val="en-AU" w:eastAsia="en-AU"/>
        </w:rPr>
        <w:t>Opt-out Trial</w:t>
      </w:r>
      <w:r w:rsidR="00B42D98">
        <w:rPr>
          <w:lang w:val="en-AU" w:eastAsia="en-AU"/>
        </w:rPr>
        <w:t>s</w:t>
      </w:r>
      <w:r>
        <w:rPr>
          <w:lang w:val="en-AU" w:eastAsia="en-AU"/>
        </w:rPr>
        <w:t xml:space="preserve"> Rule</w:t>
      </w:r>
      <w:r w:rsidRPr="00FE36FA">
        <w:rPr>
          <w:lang w:val="en-AU" w:eastAsia="en-AU"/>
        </w:rPr>
        <w:t xml:space="preserve">) </w:t>
      </w:r>
      <w:r>
        <w:rPr>
          <w:lang w:val="en-AU" w:eastAsia="en-AU"/>
        </w:rPr>
        <w:t xml:space="preserve">is made under </w:t>
      </w:r>
      <w:proofErr w:type="spellStart"/>
      <w:r>
        <w:t>subclause</w:t>
      </w:r>
      <w:proofErr w:type="spellEnd"/>
      <w:r>
        <w:t xml:space="preserve"> 1(1), and subparagraphs 5(2)(c)(</w:t>
      </w:r>
      <w:proofErr w:type="spellStart"/>
      <w:r>
        <w:t>i</w:t>
      </w:r>
      <w:proofErr w:type="spellEnd"/>
      <w:r>
        <w:t>) and 13(2)(c)(</w:t>
      </w:r>
      <w:proofErr w:type="spellStart"/>
      <w:r>
        <w:t>i</w:t>
      </w:r>
      <w:proofErr w:type="spellEnd"/>
      <w:r>
        <w:t xml:space="preserve">), of </w:t>
      </w:r>
      <w:r>
        <w:rPr>
          <w:lang w:val="en-AU" w:eastAsia="en-AU"/>
        </w:rPr>
        <w:t>Schedule 1 to the</w:t>
      </w:r>
      <w:r>
        <w:rPr>
          <w:i/>
          <w:lang w:val="en-AU" w:eastAsia="en-AU"/>
        </w:rPr>
        <w:t xml:space="preserve"> </w:t>
      </w:r>
      <w:r>
        <w:rPr>
          <w:lang w:val="en-AU" w:eastAsia="en-AU"/>
        </w:rPr>
        <w:t>Act</w:t>
      </w:r>
      <w:r w:rsidR="004E071E">
        <w:rPr>
          <w:lang w:val="en-AU" w:eastAsia="en-AU"/>
        </w:rPr>
        <w:t>, which allow the Minister to make rules relating to opt-out trials.</w:t>
      </w:r>
      <w:r w:rsidR="0043453B">
        <w:rPr>
          <w:lang w:val="en-AU" w:eastAsia="en-AU"/>
        </w:rPr>
        <w:t xml:space="preserve"> </w:t>
      </w:r>
    </w:p>
    <w:p w:rsidR="00AF5FE0" w:rsidRPr="005910BF" w:rsidRDefault="00F2468A" w:rsidP="00C71336">
      <w:pPr>
        <w:autoSpaceDE w:val="0"/>
        <w:autoSpaceDN w:val="0"/>
        <w:adjustRightInd w:val="0"/>
        <w:spacing w:before="200" w:after="240"/>
      </w:pPr>
      <w:r>
        <w:rPr>
          <w:lang w:val="en-AU" w:eastAsia="en-AU"/>
        </w:rPr>
        <w:t xml:space="preserve">The purpose of </w:t>
      </w:r>
      <w:r w:rsidR="00375FE3">
        <w:rPr>
          <w:lang w:val="en-AU" w:eastAsia="en-AU"/>
        </w:rPr>
        <w:t>the Opt-out Trials Rule</w:t>
      </w:r>
      <w:r>
        <w:rPr>
          <w:lang w:val="en-AU" w:eastAsia="en-AU"/>
        </w:rPr>
        <w:t xml:space="preserve"> is to specify the classes of healthcare recipients who will </w:t>
      </w:r>
      <w:r w:rsidR="00482F86">
        <w:rPr>
          <w:lang w:val="en-AU" w:eastAsia="en-AU"/>
        </w:rPr>
        <w:t xml:space="preserve">participate in </w:t>
      </w:r>
      <w:r>
        <w:rPr>
          <w:lang w:val="en-AU" w:eastAsia="en-AU"/>
        </w:rPr>
        <w:t>opt-out trial</w:t>
      </w:r>
      <w:r w:rsidR="00482F86">
        <w:rPr>
          <w:lang w:val="en-AU" w:eastAsia="en-AU"/>
        </w:rPr>
        <w:t>s</w:t>
      </w:r>
      <w:r>
        <w:rPr>
          <w:lang w:val="en-AU" w:eastAsia="en-AU"/>
        </w:rPr>
        <w:t xml:space="preserve"> of the My Health Record system</w:t>
      </w:r>
      <w:r w:rsidR="004C5C4C">
        <w:rPr>
          <w:lang w:val="en-AU" w:eastAsia="en-AU"/>
        </w:rPr>
        <w:t>, unless they cho</w:t>
      </w:r>
      <w:r w:rsidR="00A73BCF">
        <w:rPr>
          <w:lang w:val="en-AU" w:eastAsia="en-AU"/>
        </w:rPr>
        <w:t>o</w:t>
      </w:r>
      <w:r w:rsidR="004C5C4C">
        <w:rPr>
          <w:lang w:val="en-AU" w:eastAsia="en-AU"/>
        </w:rPr>
        <w:t>se to opt</w:t>
      </w:r>
      <w:r w:rsidR="00273BC1">
        <w:rPr>
          <w:lang w:val="en-AU" w:eastAsia="en-AU"/>
        </w:rPr>
        <w:noBreakHyphen/>
      </w:r>
      <w:r w:rsidR="004C5C4C">
        <w:rPr>
          <w:lang w:val="en-AU" w:eastAsia="en-AU"/>
        </w:rPr>
        <w:t>out</w:t>
      </w:r>
      <w:r w:rsidR="00F4375E">
        <w:t xml:space="preserve">. </w:t>
      </w:r>
      <w:r w:rsidR="00720261">
        <w:t xml:space="preserve"> </w:t>
      </w:r>
      <w:r>
        <w:rPr>
          <w:lang w:val="en-AU" w:eastAsia="en-AU"/>
        </w:rPr>
        <w:t>The classes of healthcare recipients specified are those h</w:t>
      </w:r>
      <w:r w:rsidR="00812369">
        <w:rPr>
          <w:lang w:val="en-AU" w:eastAsia="en-AU"/>
        </w:rPr>
        <w:t>ealthcare recipients who have a mailing</w:t>
      </w:r>
      <w:r>
        <w:rPr>
          <w:lang w:val="en-AU" w:eastAsia="en-AU"/>
        </w:rPr>
        <w:t xml:space="preserve"> address held by Medicare </w:t>
      </w:r>
      <w:r w:rsidR="00F4375E">
        <w:rPr>
          <w:lang w:val="en-AU" w:eastAsia="en-AU"/>
        </w:rPr>
        <w:t xml:space="preserve">for correspondence </w:t>
      </w:r>
      <w:r>
        <w:rPr>
          <w:lang w:val="en-AU" w:eastAsia="en-AU"/>
        </w:rPr>
        <w:t xml:space="preserve">with a </w:t>
      </w:r>
      <w:r w:rsidR="004C5C4C">
        <w:rPr>
          <w:lang w:val="en-AU" w:eastAsia="en-AU"/>
        </w:rPr>
        <w:t xml:space="preserve">specified </w:t>
      </w:r>
      <w:r>
        <w:rPr>
          <w:lang w:val="en-AU" w:eastAsia="en-AU"/>
        </w:rPr>
        <w:t xml:space="preserve">postcode </w:t>
      </w:r>
      <w:r w:rsidR="009D5D04">
        <w:rPr>
          <w:lang w:val="en-AU" w:eastAsia="en-AU"/>
        </w:rPr>
        <w:t>in</w:t>
      </w:r>
      <w:r>
        <w:rPr>
          <w:lang w:val="en-AU" w:eastAsia="en-AU"/>
        </w:rPr>
        <w:t xml:space="preserve"> Northern Queensland </w:t>
      </w:r>
      <w:r w:rsidR="004C5C4C">
        <w:rPr>
          <w:lang w:val="en-AU" w:eastAsia="en-AU"/>
        </w:rPr>
        <w:t xml:space="preserve">or in </w:t>
      </w:r>
      <w:r>
        <w:rPr>
          <w:lang w:val="en-AU" w:eastAsia="en-AU"/>
        </w:rPr>
        <w:t>the Nepean Blue Mountains</w:t>
      </w:r>
      <w:r w:rsidR="004C5C4C">
        <w:rPr>
          <w:lang w:val="en-AU" w:eastAsia="en-AU"/>
        </w:rPr>
        <w:t xml:space="preserve"> </w:t>
      </w:r>
      <w:r w:rsidR="00806B96">
        <w:rPr>
          <w:lang w:val="en-AU" w:eastAsia="en-AU"/>
        </w:rPr>
        <w:t xml:space="preserve">primary health network </w:t>
      </w:r>
      <w:r w:rsidR="004C5C4C">
        <w:rPr>
          <w:lang w:val="en-AU" w:eastAsia="en-AU"/>
        </w:rPr>
        <w:t>region</w:t>
      </w:r>
      <w:r w:rsidR="00806B96">
        <w:rPr>
          <w:lang w:val="en-AU" w:eastAsia="en-AU"/>
        </w:rPr>
        <w:t>s</w:t>
      </w:r>
      <w:r>
        <w:rPr>
          <w:lang w:val="en-AU" w:eastAsia="en-AU"/>
        </w:rPr>
        <w:t xml:space="preserve">. </w:t>
      </w:r>
    </w:p>
    <w:p w:rsidR="00375FE3" w:rsidRDefault="00375FE3" w:rsidP="00C71336">
      <w:pPr>
        <w:autoSpaceDE w:val="0"/>
        <w:autoSpaceDN w:val="0"/>
        <w:adjustRightInd w:val="0"/>
        <w:spacing w:before="200" w:after="240"/>
        <w:rPr>
          <w:lang w:val="en-AU" w:eastAsia="en-AU"/>
        </w:rPr>
      </w:pPr>
      <w:r>
        <w:rPr>
          <w:lang w:val="en-AU" w:eastAsia="en-AU"/>
        </w:rPr>
        <w:t>The Opt-out Trials Rule</w:t>
      </w:r>
      <w:r w:rsidR="00F2468A">
        <w:rPr>
          <w:lang w:val="en-AU" w:eastAsia="en-AU"/>
        </w:rPr>
        <w:t xml:space="preserve"> </w:t>
      </w:r>
      <w:r w:rsidR="005910BF">
        <w:rPr>
          <w:lang w:val="en-AU" w:eastAsia="en-AU"/>
        </w:rPr>
        <w:t>also specifies</w:t>
      </w:r>
      <w:r>
        <w:rPr>
          <w:lang w:val="en-AU" w:eastAsia="en-AU"/>
        </w:rPr>
        <w:t>:</w:t>
      </w:r>
      <w:r w:rsidR="00F2468A">
        <w:rPr>
          <w:lang w:val="en-AU" w:eastAsia="en-AU"/>
        </w:rPr>
        <w:t xml:space="preserve"> </w:t>
      </w:r>
    </w:p>
    <w:p w:rsidR="00375FE3" w:rsidRDefault="003D1B86" w:rsidP="00C71336">
      <w:pPr>
        <w:pStyle w:val="ListParagraph"/>
        <w:numPr>
          <w:ilvl w:val="0"/>
          <w:numId w:val="17"/>
        </w:numPr>
        <w:autoSpaceDE w:val="0"/>
        <w:autoSpaceDN w:val="0"/>
        <w:adjustRightInd w:val="0"/>
        <w:spacing w:before="200" w:after="240"/>
        <w:ind w:left="357" w:hanging="357"/>
        <w:contextualSpacing w:val="0"/>
        <w:rPr>
          <w:lang w:val="en-AU" w:eastAsia="en-AU"/>
        </w:rPr>
      </w:pPr>
      <w:r>
        <w:rPr>
          <w:lang w:val="en-AU" w:eastAsia="en-AU"/>
        </w:rPr>
        <w:t xml:space="preserve">the period of time a member of the prescribed class has </w:t>
      </w:r>
      <w:r w:rsidR="00375FE3">
        <w:rPr>
          <w:lang w:val="en-AU" w:eastAsia="en-AU"/>
        </w:rPr>
        <w:t xml:space="preserve">to </w:t>
      </w:r>
      <w:r w:rsidR="00F2468A" w:rsidRPr="00375FE3">
        <w:rPr>
          <w:lang w:val="en-AU" w:eastAsia="en-AU"/>
        </w:rPr>
        <w:t>elect to not have a My Health Record created for them</w:t>
      </w:r>
      <w:r w:rsidR="00375FE3">
        <w:rPr>
          <w:lang w:val="en-AU" w:eastAsia="en-AU"/>
        </w:rPr>
        <w:t>; and</w:t>
      </w:r>
    </w:p>
    <w:p w:rsidR="00F2468A" w:rsidRPr="00375FE3" w:rsidRDefault="001121EB" w:rsidP="00C71336">
      <w:pPr>
        <w:pStyle w:val="ListParagraph"/>
        <w:numPr>
          <w:ilvl w:val="0"/>
          <w:numId w:val="17"/>
        </w:numPr>
        <w:autoSpaceDE w:val="0"/>
        <w:autoSpaceDN w:val="0"/>
        <w:adjustRightInd w:val="0"/>
        <w:spacing w:before="200" w:after="240"/>
        <w:ind w:left="357" w:hanging="357"/>
        <w:contextualSpacing w:val="0"/>
        <w:rPr>
          <w:lang w:val="en-AU" w:eastAsia="en-AU"/>
        </w:rPr>
      </w:pPr>
      <w:proofErr w:type="gramStart"/>
      <w:r>
        <w:rPr>
          <w:lang w:val="en-AU" w:eastAsia="en-AU"/>
        </w:rPr>
        <w:t>where</w:t>
      </w:r>
      <w:proofErr w:type="gramEnd"/>
      <w:r>
        <w:rPr>
          <w:lang w:val="en-AU" w:eastAsia="en-AU"/>
        </w:rPr>
        <w:t xml:space="preserve"> the person is </w:t>
      </w:r>
      <w:r w:rsidR="00F4375E" w:rsidRPr="00375FE3">
        <w:rPr>
          <w:lang w:val="en-AU" w:eastAsia="en-AU"/>
        </w:rPr>
        <w:t>a member of the prescribed class</w:t>
      </w:r>
      <w:r>
        <w:rPr>
          <w:lang w:val="en-AU" w:eastAsia="en-AU"/>
        </w:rPr>
        <w:t xml:space="preserve"> and </w:t>
      </w:r>
      <w:r w:rsidR="00F4375E" w:rsidRPr="00375FE3">
        <w:rPr>
          <w:lang w:val="en-AU" w:eastAsia="en-AU"/>
        </w:rPr>
        <w:t>has</w:t>
      </w:r>
      <w:r w:rsidR="00F2468A" w:rsidRPr="00375FE3">
        <w:rPr>
          <w:lang w:val="en-AU" w:eastAsia="en-AU"/>
        </w:rPr>
        <w:t xml:space="preserve"> not elected to opt-out of registration</w:t>
      </w:r>
      <w:r>
        <w:rPr>
          <w:lang w:val="en-AU" w:eastAsia="en-AU"/>
        </w:rPr>
        <w:t xml:space="preserve"> –</w:t>
      </w:r>
      <w:r w:rsidR="003D1B86">
        <w:rPr>
          <w:lang w:val="en-AU" w:eastAsia="en-AU"/>
        </w:rPr>
        <w:t>the period of time the person has</w:t>
      </w:r>
      <w:r w:rsidR="003D1B86" w:rsidRPr="00375FE3">
        <w:rPr>
          <w:lang w:val="en-AU" w:eastAsia="en-AU"/>
        </w:rPr>
        <w:t xml:space="preserve"> </w:t>
      </w:r>
      <w:r w:rsidR="00F2468A" w:rsidRPr="00375FE3">
        <w:rPr>
          <w:lang w:val="en-AU" w:eastAsia="en-AU"/>
        </w:rPr>
        <w:t xml:space="preserve">to make an initial election to not have their </w:t>
      </w:r>
      <w:r w:rsidR="00F2468A" w:rsidRPr="00375FE3">
        <w:rPr>
          <w:lang w:val="en-AU" w:eastAsia="en-AU"/>
        </w:rPr>
        <w:lastRenderedPageBreak/>
        <w:t xml:space="preserve">health information held by the Chief Executive Medicare disclosed to the System Operator. </w:t>
      </w:r>
    </w:p>
    <w:p w:rsidR="00DF537D" w:rsidRDefault="00AF5FE0" w:rsidP="00C71336">
      <w:pPr>
        <w:autoSpaceDE w:val="0"/>
        <w:autoSpaceDN w:val="0"/>
        <w:adjustRightInd w:val="0"/>
        <w:spacing w:before="200" w:after="240"/>
      </w:pPr>
      <w:r w:rsidRPr="00FE36FA">
        <w:rPr>
          <w:lang w:val="en-AU" w:eastAsia="en-AU"/>
        </w:rPr>
        <w:t>Detail</w:t>
      </w:r>
      <w:r>
        <w:rPr>
          <w:lang w:val="en-AU" w:eastAsia="en-AU"/>
        </w:rPr>
        <w:t xml:space="preserve"> of </w:t>
      </w:r>
      <w:r w:rsidR="00720261">
        <w:rPr>
          <w:lang w:val="en-AU" w:eastAsia="en-AU"/>
        </w:rPr>
        <w:t>the</w:t>
      </w:r>
      <w:r w:rsidR="00720261" w:rsidRPr="00FE36FA">
        <w:rPr>
          <w:lang w:val="en-AU" w:eastAsia="en-AU"/>
        </w:rPr>
        <w:t xml:space="preserve"> </w:t>
      </w:r>
      <w:r>
        <w:rPr>
          <w:lang w:val="en-AU" w:eastAsia="en-AU"/>
        </w:rPr>
        <w:t>Opt-out Trial</w:t>
      </w:r>
      <w:r w:rsidR="00482F86">
        <w:rPr>
          <w:lang w:val="en-AU" w:eastAsia="en-AU"/>
        </w:rPr>
        <w:t>s</w:t>
      </w:r>
      <w:r w:rsidRPr="00FE36FA">
        <w:rPr>
          <w:lang w:val="en-AU" w:eastAsia="en-AU"/>
        </w:rPr>
        <w:t xml:space="preserve"> Rule</w:t>
      </w:r>
      <w:r>
        <w:rPr>
          <w:lang w:val="en-AU" w:eastAsia="en-AU"/>
        </w:rPr>
        <w:t xml:space="preserve"> </w:t>
      </w:r>
      <w:r w:rsidRPr="00FE36FA">
        <w:rPr>
          <w:lang w:val="en-AU" w:eastAsia="en-AU"/>
        </w:rPr>
        <w:t xml:space="preserve">is set out in the </w:t>
      </w:r>
      <w:r w:rsidRPr="00C71336">
        <w:rPr>
          <w:u w:val="single"/>
          <w:lang w:val="en-AU" w:eastAsia="en-AU"/>
        </w:rPr>
        <w:t>Attachment</w:t>
      </w:r>
      <w:r w:rsidRPr="00FE36FA">
        <w:rPr>
          <w:lang w:val="en-AU" w:eastAsia="en-AU"/>
        </w:rPr>
        <w:t>.</w:t>
      </w:r>
    </w:p>
    <w:p w:rsidR="002309AA" w:rsidRPr="00260CA1" w:rsidRDefault="002309AA" w:rsidP="002309AA">
      <w:pPr>
        <w:keepNext/>
        <w:spacing w:after="240"/>
        <w:rPr>
          <w:bCs/>
        </w:rPr>
      </w:pPr>
      <w:proofErr w:type="spellStart"/>
      <w:r>
        <w:rPr>
          <w:bCs/>
        </w:rPr>
        <w:t>Subclause</w:t>
      </w:r>
      <w:proofErr w:type="spellEnd"/>
      <w:r>
        <w:rPr>
          <w:bCs/>
        </w:rPr>
        <w:t xml:space="preserve"> 1(3) of Schedule 1 to the Act provides that in making the Opt-out Trials Rule, the Minister must</w:t>
      </w:r>
      <w:r w:rsidRPr="005A632C">
        <w:rPr>
          <w:bCs/>
        </w:rPr>
        <w:t xml:space="preserve"> consult with the subcommitt</w:t>
      </w:r>
      <w:r>
        <w:rPr>
          <w:bCs/>
        </w:rPr>
        <w:t>ee to the Ministerial Council prescribed by the regulations.  T</w:t>
      </w:r>
      <w:r w:rsidRPr="005A632C">
        <w:rPr>
          <w:bCs/>
        </w:rPr>
        <w:t>he Australian Hea</w:t>
      </w:r>
      <w:r>
        <w:rPr>
          <w:bCs/>
        </w:rPr>
        <w:t xml:space="preserve">lth Ministers’ Advisory Council (AHMAC) is prescribed under regulation 5.1.1 of the </w:t>
      </w:r>
      <w:r w:rsidRPr="00AD78AE">
        <w:rPr>
          <w:bCs/>
          <w:i/>
        </w:rPr>
        <w:t>My Health Records Regulation 2012</w:t>
      </w:r>
      <w:r>
        <w:rPr>
          <w:bCs/>
        </w:rPr>
        <w:t xml:space="preserve">.  AHMAC was consulted about the proposed </w:t>
      </w:r>
      <w:r>
        <w:rPr>
          <w:lang w:val="en-AU" w:eastAsia="en-AU"/>
        </w:rPr>
        <w:t>Opt-out Trials Rule</w:t>
      </w:r>
      <w:r>
        <w:rPr>
          <w:bCs/>
        </w:rPr>
        <w:t xml:space="preserve"> in November 2015.</w:t>
      </w:r>
    </w:p>
    <w:p w:rsidR="002309AA" w:rsidRDefault="002309AA" w:rsidP="002309AA">
      <w:pPr>
        <w:autoSpaceDE w:val="0"/>
        <w:autoSpaceDN w:val="0"/>
        <w:adjustRightInd w:val="0"/>
        <w:spacing w:after="240"/>
        <w:rPr>
          <w:lang w:val="en-AU" w:eastAsia="en-AU"/>
        </w:rPr>
      </w:pPr>
      <w:r>
        <w:rPr>
          <w:lang w:val="en-AU" w:eastAsia="en-AU"/>
        </w:rPr>
        <w:t>T</w:t>
      </w:r>
      <w:r w:rsidRPr="00FE36FA">
        <w:rPr>
          <w:lang w:val="en-AU" w:eastAsia="en-AU"/>
        </w:rPr>
        <w:t>he Independent Advisory Council and Jurisdictional Advisory</w:t>
      </w:r>
      <w:r>
        <w:rPr>
          <w:lang w:val="en-AU" w:eastAsia="en-AU"/>
        </w:rPr>
        <w:t xml:space="preserve"> </w:t>
      </w:r>
      <w:r w:rsidRPr="00FE36FA">
        <w:rPr>
          <w:lang w:val="en-AU" w:eastAsia="en-AU"/>
        </w:rPr>
        <w:t xml:space="preserve">Committee were </w:t>
      </w:r>
      <w:r>
        <w:rPr>
          <w:lang w:val="en-AU" w:eastAsia="en-AU"/>
        </w:rPr>
        <w:t xml:space="preserve">also </w:t>
      </w:r>
      <w:r w:rsidRPr="00FE36FA">
        <w:rPr>
          <w:lang w:val="en-AU" w:eastAsia="en-AU"/>
        </w:rPr>
        <w:t xml:space="preserve">consulted </w:t>
      </w:r>
      <w:r>
        <w:rPr>
          <w:lang w:val="en-AU" w:eastAsia="en-AU"/>
        </w:rPr>
        <w:t xml:space="preserve">on </w:t>
      </w:r>
      <w:r w:rsidRPr="00FE36FA">
        <w:rPr>
          <w:lang w:val="en-AU" w:eastAsia="en-AU"/>
        </w:rPr>
        <w:t>the propos</w:t>
      </w:r>
      <w:r>
        <w:rPr>
          <w:lang w:val="en-AU" w:eastAsia="en-AU"/>
        </w:rPr>
        <w:t xml:space="preserve">ed </w:t>
      </w:r>
      <w:r>
        <w:rPr>
          <w:bCs/>
        </w:rPr>
        <w:t>Opt-out Trials Rule in November 2015.  This consultation was undertaken in accordance with a current requirement of the Act (subsection 109(2)) which is proposed to be repealed around mid-2016.</w:t>
      </w:r>
    </w:p>
    <w:p w:rsidR="002309AA" w:rsidRDefault="002309AA" w:rsidP="002309AA">
      <w:pPr>
        <w:autoSpaceDE w:val="0"/>
        <w:autoSpaceDN w:val="0"/>
        <w:adjustRightInd w:val="0"/>
        <w:spacing w:before="200" w:after="240"/>
        <w:rPr>
          <w:lang w:val="en-AU" w:eastAsia="en-AU"/>
        </w:rPr>
      </w:pPr>
      <w:r>
        <w:rPr>
          <w:lang w:val="en-AU" w:eastAsia="en-AU"/>
        </w:rPr>
        <w:t xml:space="preserve">All bodies supported the proposed </w:t>
      </w:r>
      <w:r>
        <w:rPr>
          <w:bCs/>
        </w:rPr>
        <w:t>Opt-out Trials Rule.</w:t>
      </w:r>
      <w:r w:rsidDel="00547089">
        <w:rPr>
          <w:lang w:val="en-AU" w:eastAsia="en-AU"/>
        </w:rPr>
        <w:t xml:space="preserve"> </w:t>
      </w:r>
    </w:p>
    <w:p w:rsidR="00FE36FA" w:rsidRDefault="00FE36FA" w:rsidP="002309AA">
      <w:pPr>
        <w:autoSpaceDE w:val="0"/>
        <w:autoSpaceDN w:val="0"/>
        <w:adjustRightInd w:val="0"/>
        <w:spacing w:before="200" w:after="240"/>
        <w:rPr>
          <w:lang w:val="en-AU" w:eastAsia="en-AU"/>
        </w:rPr>
      </w:pPr>
      <w:r w:rsidRPr="00FE36FA">
        <w:rPr>
          <w:lang w:val="en-AU" w:eastAsia="en-AU"/>
        </w:rPr>
        <w:t xml:space="preserve">The </w:t>
      </w:r>
      <w:r w:rsidR="00B82E30">
        <w:rPr>
          <w:lang w:val="en-AU" w:eastAsia="en-AU"/>
        </w:rPr>
        <w:t>Opt-out Trial</w:t>
      </w:r>
      <w:r w:rsidR="00482F86">
        <w:rPr>
          <w:lang w:val="en-AU" w:eastAsia="en-AU"/>
        </w:rPr>
        <w:t>s</w:t>
      </w:r>
      <w:r w:rsidR="00B82E30">
        <w:rPr>
          <w:lang w:val="en-AU" w:eastAsia="en-AU"/>
        </w:rPr>
        <w:t xml:space="preserve"> </w:t>
      </w:r>
      <w:r w:rsidRPr="00FE36FA">
        <w:rPr>
          <w:lang w:val="en-AU" w:eastAsia="en-AU"/>
        </w:rPr>
        <w:t>Rule commence</w:t>
      </w:r>
      <w:r w:rsidR="005E294D">
        <w:rPr>
          <w:lang w:val="en-AU" w:eastAsia="en-AU"/>
        </w:rPr>
        <w:t>s</w:t>
      </w:r>
      <w:r w:rsidRPr="00FE36FA">
        <w:rPr>
          <w:lang w:val="en-AU" w:eastAsia="en-AU"/>
        </w:rPr>
        <w:t xml:space="preserve"> on the day after registration on the Federal</w:t>
      </w:r>
      <w:r>
        <w:rPr>
          <w:lang w:val="en-AU" w:eastAsia="en-AU"/>
        </w:rPr>
        <w:t xml:space="preserve"> </w:t>
      </w:r>
      <w:r w:rsidRPr="00FE36FA">
        <w:rPr>
          <w:lang w:val="en-AU" w:eastAsia="en-AU"/>
        </w:rPr>
        <w:t>Register of Legislative Instruments.</w:t>
      </w:r>
    </w:p>
    <w:p w:rsidR="002309AA" w:rsidRPr="00FE36FA" w:rsidRDefault="002309AA" w:rsidP="002309AA">
      <w:pPr>
        <w:autoSpaceDE w:val="0"/>
        <w:autoSpaceDN w:val="0"/>
        <w:adjustRightInd w:val="0"/>
        <w:spacing w:before="200" w:after="240"/>
        <w:rPr>
          <w:lang w:val="en-AU" w:eastAsia="en-AU"/>
        </w:rPr>
      </w:pPr>
      <w:r>
        <w:rPr>
          <w:lang w:val="en-AU" w:eastAsia="en-AU"/>
        </w:rPr>
        <w:t xml:space="preserve">The Office of Best Practice Regulation has advised that a Regulation Impact Statement is not required (OBPR Reference 16442).  </w:t>
      </w:r>
      <w:r w:rsidRPr="004B25AA">
        <w:rPr>
          <w:lang w:val="en-AU" w:eastAsia="en-AU"/>
        </w:rPr>
        <w:t>A Regulat</w:t>
      </w:r>
      <w:r>
        <w:rPr>
          <w:lang w:val="en-AU" w:eastAsia="en-AU"/>
        </w:rPr>
        <w:t>ion</w:t>
      </w:r>
      <w:r w:rsidRPr="004B25AA">
        <w:rPr>
          <w:lang w:val="en-AU" w:eastAsia="en-AU"/>
        </w:rPr>
        <w:t xml:space="preserve"> Impact Statement was prepared for the </w:t>
      </w:r>
      <w:r w:rsidRPr="00F4375E">
        <w:rPr>
          <w:i/>
          <w:lang w:val="en-AU" w:eastAsia="en-AU"/>
        </w:rPr>
        <w:t>Health Legislation Amendment (eHealth) Bill</w:t>
      </w:r>
      <w:r>
        <w:rPr>
          <w:i/>
          <w:lang w:val="en-AU" w:eastAsia="en-AU"/>
        </w:rPr>
        <w:t xml:space="preserve"> 2015</w:t>
      </w:r>
      <w:r>
        <w:rPr>
          <w:lang w:val="en-AU" w:eastAsia="en-AU"/>
        </w:rPr>
        <w:t>,</w:t>
      </w:r>
      <w:r w:rsidRPr="004B25AA">
        <w:rPr>
          <w:lang w:val="en-AU" w:eastAsia="en-AU"/>
        </w:rPr>
        <w:t xml:space="preserve"> which established the ability to conduct opt-out trials</w:t>
      </w:r>
      <w:r>
        <w:rPr>
          <w:lang w:val="en-AU" w:eastAsia="en-AU"/>
        </w:rPr>
        <w:t>, and</w:t>
      </w:r>
      <w:r w:rsidRPr="004B25AA">
        <w:rPr>
          <w:lang w:val="en-AU" w:eastAsia="en-AU"/>
        </w:rPr>
        <w:t xml:space="preserve"> is available a</w:t>
      </w:r>
      <w:r>
        <w:rPr>
          <w:lang w:val="en-AU" w:eastAsia="en-AU"/>
        </w:rPr>
        <w:t xml:space="preserve">t </w:t>
      </w:r>
      <w:hyperlink r:id="rId8" w:history="1">
        <w:r w:rsidRPr="00F93E24">
          <w:rPr>
            <w:rStyle w:val="Hyperlink"/>
            <w:lang w:val="en-AU" w:eastAsia="en-AU"/>
          </w:rPr>
          <w:t>http://ris.dpmc.gov.au/2015/07/21/proposed-changes-to-the-personally-controlled-electronic-health-record-system/</w:t>
        </w:r>
      </w:hyperlink>
      <w:r>
        <w:rPr>
          <w:lang w:val="en-AU" w:eastAsia="en-AU"/>
        </w:rPr>
        <w:t>.</w:t>
      </w:r>
    </w:p>
    <w:p w:rsidR="00FE36FA" w:rsidRPr="00E22DE2" w:rsidRDefault="00FE36FA" w:rsidP="002309AA">
      <w:pPr>
        <w:autoSpaceDE w:val="0"/>
        <w:autoSpaceDN w:val="0"/>
        <w:adjustRightInd w:val="0"/>
        <w:spacing w:before="200" w:after="240"/>
        <w:rPr>
          <w:lang w:val="en-AU" w:eastAsia="en-AU"/>
        </w:rPr>
      </w:pPr>
      <w:r w:rsidRPr="00FE36FA">
        <w:rPr>
          <w:lang w:val="en-AU" w:eastAsia="en-AU"/>
        </w:rPr>
        <w:t xml:space="preserve">The </w:t>
      </w:r>
      <w:r w:rsidR="004B25AA">
        <w:rPr>
          <w:lang w:val="en-AU" w:eastAsia="en-AU"/>
        </w:rPr>
        <w:t>Opt-out Trial</w:t>
      </w:r>
      <w:r w:rsidR="00482F86">
        <w:rPr>
          <w:lang w:val="en-AU" w:eastAsia="en-AU"/>
        </w:rPr>
        <w:t>s</w:t>
      </w:r>
      <w:r w:rsidR="004B25AA">
        <w:rPr>
          <w:lang w:val="en-AU" w:eastAsia="en-AU"/>
        </w:rPr>
        <w:t xml:space="preserve"> </w:t>
      </w:r>
      <w:r w:rsidRPr="00FE36FA">
        <w:rPr>
          <w:lang w:val="en-AU" w:eastAsia="en-AU"/>
        </w:rPr>
        <w:t>Rule</w:t>
      </w:r>
      <w:r w:rsidR="005E294D">
        <w:rPr>
          <w:lang w:val="en-AU" w:eastAsia="en-AU"/>
        </w:rPr>
        <w:t xml:space="preserve"> is</w:t>
      </w:r>
      <w:r w:rsidRPr="00FE36FA">
        <w:rPr>
          <w:lang w:val="en-AU" w:eastAsia="en-AU"/>
        </w:rPr>
        <w:t xml:space="preserve"> a legislative instrument and </w:t>
      </w:r>
      <w:r w:rsidR="005E294D">
        <w:rPr>
          <w:lang w:val="en-AU" w:eastAsia="en-AU"/>
        </w:rPr>
        <w:t>is</w:t>
      </w:r>
      <w:r w:rsidRPr="00FE36FA">
        <w:rPr>
          <w:lang w:val="en-AU" w:eastAsia="en-AU"/>
        </w:rPr>
        <w:t xml:space="preserve"> subject to the</w:t>
      </w:r>
      <w:r>
        <w:rPr>
          <w:lang w:val="en-AU" w:eastAsia="en-AU"/>
        </w:rPr>
        <w:t xml:space="preserve"> </w:t>
      </w:r>
      <w:r w:rsidRPr="00FE36FA">
        <w:rPr>
          <w:i/>
          <w:iCs/>
          <w:lang w:val="en-AU" w:eastAsia="en-AU"/>
        </w:rPr>
        <w:t>Legislative Instruments Act 2003</w:t>
      </w:r>
      <w:r w:rsidRPr="00FE36FA">
        <w:rPr>
          <w:lang w:val="en-AU" w:eastAsia="en-AU"/>
        </w:rPr>
        <w:t>.</w:t>
      </w:r>
      <w:r w:rsidR="00547089" w:rsidDel="00547089">
        <w:rPr>
          <w:lang w:val="en-AU" w:eastAsia="en-AU"/>
        </w:rPr>
        <w:t xml:space="preserve"> </w:t>
      </w:r>
    </w:p>
    <w:p w:rsidR="006C4DC2" w:rsidRDefault="006C4DC2" w:rsidP="00C946CE">
      <w:pPr>
        <w:spacing w:after="240"/>
        <w:rPr>
          <w:b/>
          <w:u w:val="single"/>
          <w:lang w:val="en-AU"/>
        </w:rPr>
      </w:pPr>
      <w:r>
        <w:rPr>
          <w:b/>
          <w:u w:val="single"/>
          <w:lang w:val="en-AU"/>
        </w:rPr>
        <w:br w:type="page"/>
      </w:r>
    </w:p>
    <w:p w:rsidR="00CD4B9E" w:rsidRPr="00583202" w:rsidRDefault="00CD4B9E" w:rsidP="004C6827">
      <w:pPr>
        <w:keepNext/>
        <w:spacing w:after="240"/>
        <w:jc w:val="right"/>
        <w:rPr>
          <w:b/>
          <w:u w:val="single"/>
          <w:lang w:val="en-AU"/>
        </w:rPr>
      </w:pPr>
      <w:r w:rsidRPr="00583202">
        <w:rPr>
          <w:b/>
          <w:u w:val="single"/>
          <w:lang w:val="en-AU"/>
        </w:rPr>
        <w:lastRenderedPageBreak/>
        <w:t>ATTACHMENT</w:t>
      </w:r>
    </w:p>
    <w:p w:rsidR="00CD4B9E" w:rsidRPr="00775A01" w:rsidRDefault="00CD4B9E" w:rsidP="004C6827">
      <w:pPr>
        <w:pStyle w:val="Subtitle"/>
        <w:keepNext/>
        <w:spacing w:after="240"/>
        <w:rPr>
          <w:b/>
          <w:bCs/>
          <w:i/>
        </w:rPr>
      </w:pPr>
      <w:r w:rsidRPr="00125D4B">
        <w:rPr>
          <w:b/>
          <w:iCs/>
        </w:rPr>
        <w:t xml:space="preserve">Details of the </w:t>
      </w:r>
      <w:bookmarkStart w:id="1" w:name="_Toc69632332"/>
      <w:bookmarkStart w:id="2" w:name="_Toc311730518"/>
      <w:bookmarkStart w:id="3" w:name="_Toc367186860"/>
      <w:bookmarkStart w:id="4" w:name="_Toc67297414"/>
      <w:bookmarkStart w:id="5" w:name="_Toc67297904"/>
      <w:bookmarkStart w:id="6" w:name="_Toc290210738"/>
      <w:r w:rsidR="005E294D">
        <w:rPr>
          <w:b/>
          <w:bCs/>
          <w:i/>
        </w:rPr>
        <w:t>My Health Records</w:t>
      </w:r>
      <w:r w:rsidRPr="00775A01">
        <w:rPr>
          <w:b/>
          <w:bCs/>
          <w:i/>
        </w:rPr>
        <w:t xml:space="preserve"> </w:t>
      </w:r>
      <w:r w:rsidR="001C5E16">
        <w:rPr>
          <w:b/>
          <w:bCs/>
          <w:i/>
        </w:rPr>
        <w:t xml:space="preserve">(Opt-out Trials) </w:t>
      </w:r>
      <w:r w:rsidR="00FE36FA">
        <w:rPr>
          <w:b/>
          <w:bCs/>
          <w:i/>
        </w:rPr>
        <w:t>Rule 201</w:t>
      </w:r>
      <w:r w:rsidR="00914031">
        <w:rPr>
          <w:b/>
          <w:bCs/>
          <w:i/>
        </w:rPr>
        <w:t>6</w:t>
      </w:r>
    </w:p>
    <w:p w:rsidR="00CD4B9E" w:rsidRDefault="00CD4B9E" w:rsidP="004C6827">
      <w:pPr>
        <w:keepNext/>
        <w:autoSpaceDE w:val="0"/>
        <w:autoSpaceDN w:val="0"/>
        <w:adjustRightInd w:val="0"/>
        <w:spacing w:after="240"/>
        <w:rPr>
          <w:b/>
          <w:bCs/>
          <w:lang w:bidi="hi-IN"/>
        </w:rPr>
      </w:pPr>
      <w:bookmarkStart w:id="7" w:name="_Toc156230581"/>
      <w:bookmarkStart w:id="8" w:name="_Toc69632336"/>
      <w:bookmarkStart w:id="9" w:name="_Toc311730521"/>
      <w:bookmarkEnd w:id="1"/>
      <w:bookmarkEnd w:id="2"/>
      <w:bookmarkEnd w:id="3"/>
      <w:bookmarkEnd w:id="4"/>
      <w:bookmarkEnd w:id="5"/>
      <w:bookmarkEnd w:id="7"/>
      <w:r>
        <w:rPr>
          <w:b/>
          <w:bCs/>
          <w:lang w:bidi="hi-IN"/>
        </w:rPr>
        <w:t>PART 1—PRELIMINARY</w:t>
      </w:r>
    </w:p>
    <w:p w:rsidR="00CD4B9E" w:rsidRDefault="00CD4B9E" w:rsidP="004C6827">
      <w:pPr>
        <w:keepNext/>
        <w:numPr>
          <w:ilvl w:val="0"/>
          <w:numId w:val="1"/>
        </w:numPr>
        <w:autoSpaceDE w:val="0"/>
        <w:autoSpaceDN w:val="0"/>
        <w:adjustRightInd w:val="0"/>
        <w:spacing w:after="240"/>
        <w:ind w:left="357" w:hanging="357"/>
        <w:rPr>
          <w:b/>
          <w:bCs/>
          <w:lang w:bidi="hi-IN"/>
        </w:rPr>
      </w:pPr>
      <w:r>
        <w:rPr>
          <w:b/>
          <w:bCs/>
          <w:lang w:bidi="hi-IN"/>
        </w:rPr>
        <w:t>Name of Rule</w:t>
      </w:r>
    </w:p>
    <w:p w:rsidR="0041620C" w:rsidRPr="0041620C" w:rsidRDefault="00CD4B9E" w:rsidP="00C946CE">
      <w:pPr>
        <w:autoSpaceDE w:val="0"/>
        <w:autoSpaceDN w:val="0"/>
        <w:adjustRightInd w:val="0"/>
        <w:spacing w:after="240"/>
        <w:rPr>
          <w:lang w:val="en-AU" w:bidi="hi-IN"/>
        </w:rPr>
      </w:pPr>
      <w:r>
        <w:rPr>
          <w:lang w:bidi="hi-IN"/>
        </w:rPr>
        <w:t xml:space="preserve">Rule 1 provides that the title </w:t>
      </w:r>
      <w:r w:rsidR="0041620C">
        <w:rPr>
          <w:lang w:bidi="hi-IN"/>
        </w:rPr>
        <w:t xml:space="preserve">of the Rule is </w:t>
      </w:r>
      <w:r w:rsidR="001C5E16">
        <w:rPr>
          <w:lang w:bidi="hi-IN"/>
        </w:rPr>
        <w:t xml:space="preserve">the </w:t>
      </w:r>
      <w:r w:rsidR="0041620C" w:rsidRPr="0041620C">
        <w:rPr>
          <w:i/>
          <w:lang w:val="en-AU" w:bidi="hi-IN"/>
        </w:rPr>
        <w:t>My Health Records (Opt-out Trials) Rule 201</w:t>
      </w:r>
      <w:r w:rsidR="00914031">
        <w:rPr>
          <w:i/>
          <w:lang w:val="en-AU" w:bidi="hi-IN"/>
        </w:rPr>
        <w:t>6</w:t>
      </w:r>
      <w:r w:rsidR="0041620C" w:rsidRPr="0041620C">
        <w:rPr>
          <w:lang w:val="en-AU" w:bidi="hi-IN"/>
        </w:rPr>
        <w:t>.</w:t>
      </w:r>
    </w:p>
    <w:p w:rsidR="00CD4B9E" w:rsidRDefault="00CD4B9E" w:rsidP="004C6827">
      <w:pPr>
        <w:keepNext/>
        <w:numPr>
          <w:ilvl w:val="0"/>
          <w:numId w:val="1"/>
        </w:numPr>
        <w:autoSpaceDE w:val="0"/>
        <w:autoSpaceDN w:val="0"/>
        <w:adjustRightInd w:val="0"/>
        <w:spacing w:after="240"/>
        <w:ind w:left="357" w:hanging="357"/>
        <w:rPr>
          <w:b/>
          <w:bCs/>
          <w:lang w:bidi="hi-IN"/>
        </w:rPr>
      </w:pPr>
      <w:r>
        <w:rPr>
          <w:b/>
          <w:bCs/>
          <w:lang w:bidi="hi-IN"/>
        </w:rPr>
        <w:t>Commencement</w:t>
      </w:r>
    </w:p>
    <w:p w:rsidR="00CD4B9E" w:rsidRDefault="00CD4B9E" w:rsidP="00C946CE">
      <w:pPr>
        <w:autoSpaceDE w:val="0"/>
        <w:autoSpaceDN w:val="0"/>
        <w:adjustRightInd w:val="0"/>
        <w:spacing w:after="240"/>
        <w:rPr>
          <w:lang w:bidi="hi-IN"/>
        </w:rPr>
      </w:pPr>
      <w:r>
        <w:rPr>
          <w:lang w:bidi="hi-IN"/>
        </w:rPr>
        <w:t>Rule 2 provides that the</w:t>
      </w:r>
      <w:r w:rsidR="001C5E16">
        <w:rPr>
          <w:lang w:bidi="hi-IN"/>
        </w:rPr>
        <w:t xml:space="preserve"> </w:t>
      </w:r>
      <w:r w:rsidR="0041620C">
        <w:rPr>
          <w:lang w:bidi="hi-IN"/>
        </w:rPr>
        <w:t>Opt-out Trial</w:t>
      </w:r>
      <w:r w:rsidR="00482F86">
        <w:rPr>
          <w:lang w:bidi="hi-IN"/>
        </w:rPr>
        <w:t>s</w:t>
      </w:r>
      <w:r w:rsidR="005E294D">
        <w:rPr>
          <w:lang w:bidi="hi-IN"/>
        </w:rPr>
        <w:t xml:space="preserve"> </w:t>
      </w:r>
      <w:r w:rsidR="006C4DC2">
        <w:t xml:space="preserve">Rule </w:t>
      </w:r>
      <w:r w:rsidR="001C5E16">
        <w:t xml:space="preserve">takes effect </w:t>
      </w:r>
      <w:r w:rsidR="001C5E16">
        <w:rPr>
          <w:lang w:bidi="hi-IN"/>
        </w:rPr>
        <w:t xml:space="preserve">on the day after the Rule </w:t>
      </w:r>
      <w:r w:rsidR="00A41C0C">
        <w:rPr>
          <w:lang w:bidi="hi-IN"/>
        </w:rPr>
        <w:t xml:space="preserve">is </w:t>
      </w:r>
      <w:r>
        <w:rPr>
          <w:lang w:bidi="hi-IN"/>
        </w:rPr>
        <w:t>registered on the Federal Register of Legislative Instruments.</w:t>
      </w:r>
    </w:p>
    <w:bookmarkEnd w:id="8"/>
    <w:bookmarkEnd w:id="9"/>
    <w:p w:rsidR="0041620C" w:rsidRDefault="0041620C" w:rsidP="004C6827">
      <w:pPr>
        <w:keepNext/>
        <w:numPr>
          <w:ilvl w:val="0"/>
          <w:numId w:val="1"/>
        </w:numPr>
        <w:autoSpaceDE w:val="0"/>
        <w:autoSpaceDN w:val="0"/>
        <w:adjustRightInd w:val="0"/>
        <w:spacing w:after="240"/>
        <w:ind w:left="357" w:hanging="357"/>
        <w:rPr>
          <w:b/>
          <w:bCs/>
          <w:lang w:bidi="hi-IN"/>
        </w:rPr>
      </w:pPr>
      <w:r>
        <w:rPr>
          <w:b/>
          <w:bCs/>
          <w:lang w:bidi="hi-IN"/>
        </w:rPr>
        <w:t>Definitions</w:t>
      </w:r>
    </w:p>
    <w:p w:rsidR="005D25E7" w:rsidRDefault="0041620C" w:rsidP="00C946CE">
      <w:pPr>
        <w:autoSpaceDE w:val="0"/>
        <w:autoSpaceDN w:val="0"/>
        <w:adjustRightInd w:val="0"/>
        <w:spacing w:after="240"/>
        <w:rPr>
          <w:lang w:bidi="hi-IN"/>
        </w:rPr>
      </w:pPr>
      <w:r>
        <w:rPr>
          <w:lang w:bidi="hi-IN"/>
        </w:rPr>
        <w:t xml:space="preserve">Rule 3 provides </w:t>
      </w:r>
      <w:r w:rsidR="00720261">
        <w:rPr>
          <w:lang w:bidi="hi-IN"/>
        </w:rPr>
        <w:t xml:space="preserve">the following </w:t>
      </w:r>
      <w:r>
        <w:rPr>
          <w:lang w:bidi="hi-IN"/>
        </w:rPr>
        <w:t>definitions for terms in the</w:t>
      </w:r>
      <w:r w:rsidR="00E22109">
        <w:rPr>
          <w:lang w:bidi="hi-IN"/>
        </w:rPr>
        <w:t xml:space="preserve"> Opt-out T</w:t>
      </w:r>
      <w:r>
        <w:rPr>
          <w:lang w:bidi="hi-IN"/>
        </w:rPr>
        <w:t>rial</w:t>
      </w:r>
      <w:r w:rsidR="00482F86">
        <w:rPr>
          <w:lang w:bidi="hi-IN"/>
        </w:rPr>
        <w:t>s</w:t>
      </w:r>
      <w:r>
        <w:rPr>
          <w:lang w:bidi="hi-IN"/>
        </w:rPr>
        <w:t xml:space="preserve"> Rule</w:t>
      </w:r>
      <w:r w:rsidR="00A41C0C">
        <w:rPr>
          <w:lang w:bidi="hi-IN"/>
        </w:rPr>
        <w:t xml:space="preserve">: </w:t>
      </w:r>
    </w:p>
    <w:p w:rsidR="005D25E7" w:rsidRDefault="005D25E7" w:rsidP="00C946CE">
      <w:pPr>
        <w:autoSpaceDE w:val="0"/>
        <w:autoSpaceDN w:val="0"/>
        <w:adjustRightInd w:val="0"/>
        <w:spacing w:after="240"/>
      </w:pPr>
      <w:r w:rsidRPr="00FD5BAD">
        <w:rPr>
          <w:b/>
          <w:i/>
        </w:rPr>
        <w:t>Act</w:t>
      </w:r>
      <w:r w:rsidRPr="00FD5BAD">
        <w:t xml:space="preserve"> </w:t>
      </w:r>
    </w:p>
    <w:p w:rsidR="005D25E7" w:rsidRDefault="005D25E7" w:rsidP="00C946CE">
      <w:pPr>
        <w:autoSpaceDE w:val="0"/>
        <w:autoSpaceDN w:val="0"/>
        <w:adjustRightInd w:val="0"/>
        <w:spacing w:after="240"/>
      </w:pPr>
      <w:r>
        <w:t xml:space="preserve">References to the Act mean </w:t>
      </w:r>
      <w:r w:rsidRPr="00FD5BAD">
        <w:t xml:space="preserve">the </w:t>
      </w:r>
      <w:r>
        <w:rPr>
          <w:i/>
        </w:rPr>
        <w:t>My Health Records</w:t>
      </w:r>
      <w:r w:rsidRPr="00FD5BAD">
        <w:rPr>
          <w:i/>
        </w:rPr>
        <w:t xml:space="preserve"> Act 2012</w:t>
      </w:r>
      <w:r w:rsidRPr="00FD5BAD">
        <w:t>.</w:t>
      </w:r>
    </w:p>
    <w:p w:rsidR="005D25E7" w:rsidRDefault="005D25E7" w:rsidP="00C946CE">
      <w:pPr>
        <w:autoSpaceDE w:val="0"/>
        <w:autoSpaceDN w:val="0"/>
        <w:adjustRightInd w:val="0"/>
        <w:spacing w:after="240"/>
      </w:pPr>
      <w:r w:rsidRPr="007410BE">
        <w:rPr>
          <w:b/>
          <w:i/>
        </w:rPr>
        <w:t>Medicare Address</w:t>
      </w:r>
      <w:r>
        <w:t xml:space="preserve"> </w:t>
      </w:r>
    </w:p>
    <w:p w:rsidR="005D25E7" w:rsidRDefault="005D25E7" w:rsidP="00C946CE">
      <w:pPr>
        <w:autoSpaceDE w:val="0"/>
        <w:autoSpaceDN w:val="0"/>
        <w:adjustRightInd w:val="0"/>
        <w:spacing w:after="240"/>
        <w:rPr>
          <w:lang w:bidi="hi-IN"/>
        </w:rPr>
      </w:pPr>
      <w:r w:rsidRPr="00431C0C">
        <w:t xml:space="preserve">This term means </w:t>
      </w:r>
      <w:r w:rsidR="00F4375E" w:rsidRPr="00431C0C">
        <w:t xml:space="preserve">the mailing </w:t>
      </w:r>
      <w:r w:rsidR="00F4375E" w:rsidRPr="00431C0C">
        <w:rPr>
          <w:lang w:bidi="hi-IN"/>
        </w:rPr>
        <w:t xml:space="preserve">address held by Medicare for correspondence with a healthcare recipient. </w:t>
      </w:r>
    </w:p>
    <w:p w:rsidR="00822BC9" w:rsidRDefault="00822BC9" w:rsidP="00C946CE">
      <w:pPr>
        <w:autoSpaceDE w:val="0"/>
        <w:autoSpaceDN w:val="0"/>
        <w:adjustRightInd w:val="0"/>
        <w:spacing w:after="240"/>
        <w:rPr>
          <w:lang w:bidi="hi-IN"/>
        </w:rPr>
      </w:pPr>
      <w:r>
        <w:rPr>
          <w:lang w:bidi="hi-IN"/>
        </w:rPr>
        <w:t>The note to rule 3 assists readers by making clear that other terms used in the Opt-Out Trials Rule are as defined in the Act.</w:t>
      </w:r>
    </w:p>
    <w:p w:rsidR="0041620C" w:rsidRPr="0041620C" w:rsidRDefault="0041620C" w:rsidP="00C946CE">
      <w:pPr>
        <w:autoSpaceDE w:val="0"/>
        <w:autoSpaceDN w:val="0"/>
        <w:adjustRightInd w:val="0"/>
        <w:spacing w:after="240"/>
        <w:rPr>
          <w:b/>
          <w:bCs/>
          <w:lang w:bidi="hi-IN"/>
        </w:rPr>
      </w:pPr>
      <w:bookmarkStart w:id="10" w:name="_Toc311730522"/>
      <w:bookmarkStart w:id="11" w:name="_Toc433703276"/>
      <w:r w:rsidRPr="0041620C">
        <w:rPr>
          <w:b/>
          <w:bCs/>
          <w:lang w:bidi="hi-IN"/>
        </w:rPr>
        <w:t>PART 2</w:t>
      </w:r>
      <w:bookmarkEnd w:id="10"/>
      <w:r>
        <w:rPr>
          <w:b/>
          <w:bCs/>
          <w:lang w:bidi="hi-IN"/>
        </w:rPr>
        <w:t>—</w:t>
      </w:r>
      <w:r w:rsidRPr="0041620C">
        <w:rPr>
          <w:b/>
          <w:bCs/>
          <w:lang w:bidi="hi-IN"/>
        </w:rPr>
        <w:t>TRIALS OF OPT-OUT REGISTRATION</w:t>
      </w:r>
      <w:bookmarkEnd w:id="11"/>
    </w:p>
    <w:p w:rsidR="000C31DC" w:rsidRDefault="000C31DC" w:rsidP="00C946CE">
      <w:pPr>
        <w:numPr>
          <w:ilvl w:val="0"/>
          <w:numId w:val="1"/>
        </w:numPr>
        <w:autoSpaceDE w:val="0"/>
        <w:autoSpaceDN w:val="0"/>
        <w:adjustRightInd w:val="0"/>
        <w:spacing w:after="240"/>
        <w:ind w:left="357" w:hanging="357"/>
        <w:rPr>
          <w:b/>
          <w:bCs/>
          <w:lang w:bidi="hi-IN"/>
        </w:rPr>
      </w:pPr>
      <w:r>
        <w:rPr>
          <w:b/>
          <w:bCs/>
          <w:lang w:bidi="hi-IN"/>
        </w:rPr>
        <w:t>Classes of healthcare recipients</w:t>
      </w:r>
    </w:p>
    <w:p w:rsidR="000C31DC" w:rsidRDefault="000C31DC" w:rsidP="00C946CE">
      <w:pPr>
        <w:autoSpaceDE w:val="0"/>
        <w:autoSpaceDN w:val="0"/>
        <w:adjustRightInd w:val="0"/>
        <w:spacing w:after="240"/>
      </w:pPr>
      <w:r>
        <w:rPr>
          <w:lang w:bidi="hi-IN"/>
        </w:rPr>
        <w:t xml:space="preserve">Rule 4 </w:t>
      </w:r>
      <w:r w:rsidR="0043453B">
        <w:rPr>
          <w:lang w:bidi="hi-IN"/>
        </w:rPr>
        <w:t>specifies</w:t>
      </w:r>
      <w:r>
        <w:rPr>
          <w:lang w:bidi="hi-IN"/>
        </w:rPr>
        <w:t xml:space="preserve"> </w:t>
      </w:r>
      <w:r>
        <w:t>the classes of healthcare recipients who</w:t>
      </w:r>
      <w:r w:rsidR="0043453B" w:rsidRPr="0043453B">
        <w:rPr>
          <w:lang w:val="en-AU" w:eastAsia="en-AU"/>
        </w:rPr>
        <w:t xml:space="preserve"> </w:t>
      </w:r>
      <w:r w:rsidR="0043453B">
        <w:rPr>
          <w:lang w:val="en-AU" w:eastAsia="en-AU"/>
        </w:rPr>
        <w:t xml:space="preserve">will </w:t>
      </w:r>
      <w:r w:rsidR="004C5C4C">
        <w:rPr>
          <w:lang w:val="en-AU" w:eastAsia="en-AU"/>
        </w:rPr>
        <w:t>participate in</w:t>
      </w:r>
      <w:r w:rsidR="0043453B">
        <w:rPr>
          <w:lang w:val="en-AU" w:eastAsia="en-AU"/>
        </w:rPr>
        <w:t xml:space="preserve"> opt-out trial</w:t>
      </w:r>
      <w:r w:rsidR="004C5C4C">
        <w:rPr>
          <w:lang w:val="en-AU" w:eastAsia="en-AU"/>
        </w:rPr>
        <w:t>s</w:t>
      </w:r>
      <w:r w:rsidR="0043453B">
        <w:rPr>
          <w:lang w:val="en-AU" w:eastAsia="en-AU"/>
        </w:rPr>
        <w:t xml:space="preserve"> of the My Health Record system</w:t>
      </w:r>
      <w:r w:rsidR="004C5C4C">
        <w:rPr>
          <w:lang w:val="en-AU" w:eastAsia="en-AU"/>
        </w:rPr>
        <w:t>, unless they cho</w:t>
      </w:r>
      <w:r w:rsidR="00273BC1">
        <w:rPr>
          <w:lang w:val="en-AU" w:eastAsia="en-AU"/>
        </w:rPr>
        <w:t>o</w:t>
      </w:r>
      <w:r w:rsidR="004C5C4C">
        <w:rPr>
          <w:lang w:val="en-AU" w:eastAsia="en-AU"/>
        </w:rPr>
        <w:t>se to opt-out</w:t>
      </w:r>
      <w:r w:rsidR="0043453B">
        <w:rPr>
          <w:lang w:val="en-AU" w:eastAsia="en-AU"/>
        </w:rPr>
        <w:t xml:space="preserve">. </w:t>
      </w:r>
      <w:r w:rsidR="00720261">
        <w:rPr>
          <w:lang w:val="en-AU" w:eastAsia="en-AU"/>
        </w:rPr>
        <w:t xml:space="preserve"> </w:t>
      </w:r>
      <w:r w:rsidR="00986B96">
        <w:rPr>
          <w:lang w:val="en-AU" w:eastAsia="en-AU"/>
        </w:rPr>
        <w:t>The classes of healthcare recipients specified are those healthcare recipients who</w:t>
      </w:r>
      <w:r w:rsidR="0043453B">
        <w:rPr>
          <w:lang w:val="en-AU" w:eastAsia="en-AU"/>
        </w:rPr>
        <w:t xml:space="preserve">, on </w:t>
      </w:r>
      <w:r w:rsidR="00310C77">
        <w:rPr>
          <w:lang w:val="en-AU" w:eastAsia="en-AU"/>
        </w:rPr>
        <w:t>3</w:t>
      </w:r>
      <w:r w:rsidR="00310C77" w:rsidRPr="00AD3F3E">
        <w:rPr>
          <w:lang w:val="en-AU" w:eastAsia="en-AU"/>
        </w:rPr>
        <w:t xml:space="preserve"> </w:t>
      </w:r>
      <w:r w:rsidR="0043453B" w:rsidRPr="00AD3F3E">
        <w:rPr>
          <w:lang w:val="en-AU" w:eastAsia="en-AU"/>
        </w:rPr>
        <w:t>March</w:t>
      </w:r>
      <w:r w:rsidR="0043453B" w:rsidRPr="00AD78AE">
        <w:rPr>
          <w:lang w:val="en-AU" w:eastAsia="en-AU"/>
        </w:rPr>
        <w:t xml:space="preserve"> 2016</w:t>
      </w:r>
      <w:r w:rsidR="00EA00AF">
        <w:rPr>
          <w:lang w:val="en-AU" w:eastAsia="en-AU"/>
        </w:rPr>
        <w:t>,</w:t>
      </w:r>
      <w:r w:rsidR="00986B96">
        <w:rPr>
          <w:lang w:val="en-AU" w:eastAsia="en-AU"/>
        </w:rPr>
        <w:t xml:space="preserve"> </w:t>
      </w:r>
      <w:r w:rsidR="0043453B">
        <w:rPr>
          <w:lang w:val="en-AU" w:eastAsia="en-AU"/>
        </w:rPr>
        <w:t>have a Medicare Address</w:t>
      </w:r>
      <w:r w:rsidR="0043453B">
        <w:t xml:space="preserve"> </w:t>
      </w:r>
      <w:r w:rsidR="00986B96">
        <w:rPr>
          <w:lang w:val="en-AU" w:eastAsia="en-AU"/>
        </w:rPr>
        <w:t xml:space="preserve">with a </w:t>
      </w:r>
      <w:r w:rsidR="004C5C4C">
        <w:rPr>
          <w:lang w:val="en-AU" w:eastAsia="en-AU"/>
        </w:rPr>
        <w:t xml:space="preserve">specified </w:t>
      </w:r>
      <w:r w:rsidR="00986B96">
        <w:rPr>
          <w:lang w:val="en-AU" w:eastAsia="en-AU"/>
        </w:rPr>
        <w:t xml:space="preserve">postcode in Northern Queensland </w:t>
      </w:r>
      <w:r w:rsidR="004C5C4C">
        <w:rPr>
          <w:lang w:val="en-AU" w:eastAsia="en-AU"/>
        </w:rPr>
        <w:t xml:space="preserve">or in </w:t>
      </w:r>
      <w:r w:rsidR="00986B96">
        <w:rPr>
          <w:lang w:val="en-AU" w:eastAsia="en-AU"/>
        </w:rPr>
        <w:t>the Nepean Blue Mountains</w:t>
      </w:r>
      <w:r w:rsidR="009D5D04">
        <w:rPr>
          <w:lang w:val="en-AU" w:eastAsia="en-AU"/>
        </w:rPr>
        <w:t xml:space="preserve"> primary health network</w:t>
      </w:r>
      <w:r w:rsidR="004C5C4C">
        <w:rPr>
          <w:lang w:val="en-AU" w:eastAsia="en-AU"/>
        </w:rPr>
        <w:t xml:space="preserve"> region</w:t>
      </w:r>
      <w:r w:rsidR="009D5D04">
        <w:rPr>
          <w:lang w:val="en-AU" w:eastAsia="en-AU"/>
        </w:rPr>
        <w:t>s</w:t>
      </w:r>
      <w:r w:rsidR="00986B96">
        <w:rPr>
          <w:lang w:val="en-AU" w:eastAsia="en-AU"/>
        </w:rPr>
        <w:t>.</w:t>
      </w:r>
    </w:p>
    <w:p w:rsidR="00782BD5" w:rsidRPr="00782BD5" w:rsidRDefault="00075CCA" w:rsidP="00720261">
      <w:pPr>
        <w:autoSpaceDE w:val="0"/>
        <w:autoSpaceDN w:val="0"/>
        <w:adjustRightInd w:val="0"/>
        <w:spacing w:before="200" w:after="240"/>
        <w:rPr>
          <w:bCs/>
        </w:rPr>
      </w:pPr>
      <w:proofErr w:type="spellStart"/>
      <w:r>
        <w:rPr>
          <w:bCs/>
        </w:rPr>
        <w:t>Subclause</w:t>
      </w:r>
      <w:proofErr w:type="spellEnd"/>
      <w:r>
        <w:rPr>
          <w:bCs/>
        </w:rPr>
        <w:t xml:space="preserve"> 1(3) of Schedule</w:t>
      </w:r>
      <w:r w:rsidR="000B0F5D">
        <w:rPr>
          <w:bCs/>
        </w:rPr>
        <w:t xml:space="preserve"> 1</w:t>
      </w:r>
      <w:r>
        <w:rPr>
          <w:bCs/>
        </w:rPr>
        <w:t xml:space="preserve"> to the Act provides that i</w:t>
      </w:r>
      <w:r w:rsidR="005910BF">
        <w:rPr>
          <w:bCs/>
        </w:rPr>
        <w:t>n making the Opt-out Trial</w:t>
      </w:r>
      <w:r w:rsidR="00482F86">
        <w:rPr>
          <w:bCs/>
        </w:rPr>
        <w:t>s</w:t>
      </w:r>
      <w:r w:rsidR="005910BF">
        <w:rPr>
          <w:bCs/>
        </w:rPr>
        <w:t xml:space="preserve"> Rule</w:t>
      </w:r>
      <w:r w:rsidR="005910BF" w:rsidRPr="005A632C">
        <w:rPr>
          <w:bCs/>
        </w:rPr>
        <w:t xml:space="preserve"> </w:t>
      </w:r>
      <w:r w:rsidR="005910BF">
        <w:rPr>
          <w:bCs/>
        </w:rPr>
        <w:t xml:space="preserve">the Minister must </w:t>
      </w:r>
      <w:r>
        <w:rPr>
          <w:bCs/>
        </w:rPr>
        <w:t xml:space="preserve">be satisfied that applying the </w:t>
      </w:r>
      <w:r w:rsidR="005910BF" w:rsidRPr="005A632C">
        <w:rPr>
          <w:bCs/>
        </w:rPr>
        <w:t xml:space="preserve">opt-out </w:t>
      </w:r>
      <w:r>
        <w:rPr>
          <w:bCs/>
        </w:rPr>
        <w:t xml:space="preserve">model </w:t>
      </w:r>
      <w:r w:rsidR="005910BF" w:rsidRPr="005A632C">
        <w:rPr>
          <w:bCs/>
        </w:rPr>
        <w:t xml:space="preserve">to the class, or classes, of healthcare recipients will provide evidence of whether the opt-out arrangements </w:t>
      </w:r>
      <w:r w:rsidR="005179AE">
        <w:rPr>
          <w:bCs/>
        </w:rPr>
        <w:t xml:space="preserve">will </w:t>
      </w:r>
      <w:r w:rsidR="005910BF" w:rsidRPr="005A632C">
        <w:rPr>
          <w:bCs/>
        </w:rPr>
        <w:t>result in participation in the My Health Record system at a level that provides value to those using the My Health R</w:t>
      </w:r>
      <w:r w:rsidR="005910BF">
        <w:rPr>
          <w:bCs/>
        </w:rPr>
        <w:t xml:space="preserve">ecord system. </w:t>
      </w:r>
      <w:r w:rsidR="00720261">
        <w:rPr>
          <w:bCs/>
        </w:rPr>
        <w:t xml:space="preserve"> </w:t>
      </w:r>
      <w:r w:rsidR="000F210C">
        <w:rPr>
          <w:bCs/>
        </w:rPr>
        <w:t xml:space="preserve">As part of considering which areas were likely to provide the evidence required, </w:t>
      </w:r>
      <w:r w:rsidR="005910BF">
        <w:rPr>
          <w:bCs/>
        </w:rPr>
        <w:t xml:space="preserve">the Minister </w:t>
      </w:r>
      <w:r w:rsidR="00FD479A">
        <w:rPr>
          <w:bCs/>
        </w:rPr>
        <w:t xml:space="preserve">consulted with </w:t>
      </w:r>
      <w:r w:rsidR="000B0F5D">
        <w:rPr>
          <w:bCs/>
        </w:rPr>
        <w:t>s</w:t>
      </w:r>
      <w:r w:rsidR="005910BF" w:rsidRPr="00F2468A">
        <w:rPr>
          <w:bCs/>
        </w:rPr>
        <w:t>tate</w:t>
      </w:r>
      <w:r w:rsidR="00FD479A">
        <w:rPr>
          <w:bCs/>
        </w:rPr>
        <w:t>s</w:t>
      </w:r>
      <w:r w:rsidR="005910BF" w:rsidRPr="00F2468A">
        <w:rPr>
          <w:bCs/>
        </w:rPr>
        <w:t xml:space="preserve"> and </w:t>
      </w:r>
      <w:r w:rsidR="000B0F5D">
        <w:rPr>
          <w:bCs/>
        </w:rPr>
        <w:t>t</w:t>
      </w:r>
      <w:r w:rsidR="005910BF" w:rsidRPr="00F2468A">
        <w:rPr>
          <w:bCs/>
        </w:rPr>
        <w:t>erritor</w:t>
      </w:r>
      <w:r w:rsidR="00FD479A">
        <w:rPr>
          <w:bCs/>
        </w:rPr>
        <w:t>ies and developed the following criteria for consideration as part of making a final decision:</w:t>
      </w:r>
      <w:r w:rsidR="00A918F4">
        <w:rPr>
          <w:bCs/>
        </w:rPr>
        <w:t xml:space="preserve"> </w:t>
      </w:r>
    </w:p>
    <w:p w:rsidR="005910BF" w:rsidRPr="00AE3DB8" w:rsidRDefault="00AE3DB8" w:rsidP="00C946CE">
      <w:pPr>
        <w:pStyle w:val="ListParagraph"/>
        <w:numPr>
          <w:ilvl w:val="0"/>
          <w:numId w:val="21"/>
        </w:numPr>
        <w:shd w:val="clear" w:color="auto" w:fill="FFFFFF"/>
        <w:spacing w:before="45" w:after="240"/>
        <w:ind w:left="357" w:right="374" w:hanging="357"/>
        <w:contextualSpacing w:val="0"/>
        <w:rPr>
          <w:bCs/>
        </w:rPr>
      </w:pPr>
      <w:r>
        <w:rPr>
          <w:bCs/>
        </w:rPr>
        <w:t>t</w:t>
      </w:r>
      <w:r w:rsidR="00FD479A" w:rsidRPr="00AE3DB8">
        <w:rPr>
          <w:bCs/>
        </w:rPr>
        <w:t>rial s</w:t>
      </w:r>
      <w:r w:rsidR="005910BF" w:rsidRPr="00AE3DB8">
        <w:rPr>
          <w:bCs/>
        </w:rPr>
        <w:t>ite population o</w:t>
      </w:r>
      <w:r w:rsidR="007C6FD1" w:rsidRPr="00AE3DB8">
        <w:rPr>
          <w:bCs/>
        </w:rPr>
        <w:t>f approximately 250,000-500,000;</w:t>
      </w:r>
      <w:r w:rsidR="005910BF" w:rsidRPr="00AE3DB8">
        <w:rPr>
          <w:bCs/>
        </w:rPr>
        <w:t xml:space="preserve"> </w:t>
      </w:r>
    </w:p>
    <w:p w:rsidR="005910BF" w:rsidRPr="00AE3DB8" w:rsidRDefault="00AE3DB8" w:rsidP="00C946CE">
      <w:pPr>
        <w:pStyle w:val="ListParagraph"/>
        <w:numPr>
          <w:ilvl w:val="0"/>
          <w:numId w:val="21"/>
        </w:numPr>
        <w:shd w:val="clear" w:color="auto" w:fill="FFFFFF"/>
        <w:spacing w:before="45" w:after="240"/>
        <w:ind w:left="357" w:right="374" w:hanging="357"/>
        <w:contextualSpacing w:val="0"/>
        <w:rPr>
          <w:bCs/>
        </w:rPr>
      </w:pPr>
      <w:r>
        <w:rPr>
          <w:bCs/>
        </w:rPr>
        <w:t>c</w:t>
      </w:r>
      <w:r w:rsidR="005910BF" w:rsidRPr="00AE3DB8">
        <w:rPr>
          <w:bCs/>
        </w:rPr>
        <w:t xml:space="preserve">learly defined geographical area so there is no confusion as to whether people are </w:t>
      </w:r>
      <w:r w:rsidR="007C6FD1" w:rsidRPr="00AE3DB8">
        <w:rPr>
          <w:bCs/>
        </w:rPr>
        <w:t>included or not;</w:t>
      </w:r>
      <w:r w:rsidR="005910BF" w:rsidRPr="00AE3DB8">
        <w:rPr>
          <w:bCs/>
        </w:rPr>
        <w:t xml:space="preserve"> </w:t>
      </w:r>
    </w:p>
    <w:p w:rsidR="005910BF" w:rsidRPr="00AE3DB8" w:rsidRDefault="00AE3DB8" w:rsidP="00C946CE">
      <w:pPr>
        <w:pStyle w:val="ListParagraph"/>
        <w:numPr>
          <w:ilvl w:val="0"/>
          <w:numId w:val="21"/>
        </w:numPr>
        <w:shd w:val="clear" w:color="auto" w:fill="FFFFFF"/>
        <w:spacing w:before="45" w:after="240"/>
        <w:ind w:left="357" w:right="374" w:hanging="357"/>
        <w:contextualSpacing w:val="0"/>
        <w:rPr>
          <w:bCs/>
        </w:rPr>
      </w:pPr>
      <w:r>
        <w:rPr>
          <w:bCs/>
        </w:rPr>
        <w:t>a</w:t>
      </w:r>
      <w:r w:rsidR="005910BF" w:rsidRPr="00AE3DB8">
        <w:rPr>
          <w:bCs/>
        </w:rPr>
        <w:t>bility to confine communications, including electronic media, t</w:t>
      </w:r>
      <w:r w:rsidR="007C6FD1" w:rsidRPr="00AE3DB8">
        <w:rPr>
          <w:bCs/>
        </w:rPr>
        <w:t>o the site;</w:t>
      </w:r>
      <w:r w:rsidR="005910BF" w:rsidRPr="00AE3DB8">
        <w:rPr>
          <w:bCs/>
        </w:rPr>
        <w:t xml:space="preserve"> </w:t>
      </w:r>
    </w:p>
    <w:p w:rsidR="005910BF" w:rsidRPr="00AE3DB8" w:rsidRDefault="00AE3DB8" w:rsidP="00C946CE">
      <w:pPr>
        <w:pStyle w:val="ListParagraph"/>
        <w:numPr>
          <w:ilvl w:val="0"/>
          <w:numId w:val="21"/>
        </w:numPr>
        <w:shd w:val="clear" w:color="auto" w:fill="FFFFFF"/>
        <w:spacing w:before="45" w:after="240"/>
        <w:ind w:left="357" w:right="374" w:hanging="357"/>
        <w:contextualSpacing w:val="0"/>
        <w:rPr>
          <w:bCs/>
        </w:rPr>
      </w:pPr>
      <w:r>
        <w:rPr>
          <w:bCs/>
        </w:rPr>
        <w:lastRenderedPageBreak/>
        <w:t>d</w:t>
      </w:r>
      <w:r w:rsidR="005910BF" w:rsidRPr="00AE3DB8">
        <w:rPr>
          <w:bCs/>
        </w:rPr>
        <w:t xml:space="preserve">emonstrated existing eHealth capabilities and </w:t>
      </w:r>
      <w:proofErr w:type="spellStart"/>
      <w:r w:rsidR="005910BF" w:rsidRPr="00AE3DB8">
        <w:rPr>
          <w:bCs/>
        </w:rPr>
        <w:t>utilisation</w:t>
      </w:r>
      <w:proofErr w:type="spellEnd"/>
      <w:r w:rsidR="005910BF" w:rsidRPr="00AE3DB8">
        <w:rPr>
          <w:bCs/>
        </w:rPr>
        <w:t xml:space="preserve"> of eHealth services across local health services including General Practice, pharmacy, aged care services, and at least </w:t>
      </w:r>
      <w:r w:rsidR="007C6FD1" w:rsidRPr="00AE3DB8">
        <w:rPr>
          <w:bCs/>
        </w:rPr>
        <w:t>one hospital;</w:t>
      </w:r>
      <w:r w:rsidR="005910BF" w:rsidRPr="00AE3DB8">
        <w:rPr>
          <w:bCs/>
        </w:rPr>
        <w:t xml:space="preserve"> </w:t>
      </w:r>
    </w:p>
    <w:p w:rsidR="005910BF" w:rsidRPr="00AE3DB8" w:rsidRDefault="00AE3DB8" w:rsidP="00C946CE">
      <w:pPr>
        <w:pStyle w:val="ListParagraph"/>
        <w:numPr>
          <w:ilvl w:val="0"/>
          <w:numId w:val="21"/>
        </w:numPr>
        <w:shd w:val="clear" w:color="auto" w:fill="FFFFFF"/>
        <w:spacing w:before="45" w:after="240"/>
        <w:ind w:left="357" w:right="374" w:hanging="357"/>
        <w:contextualSpacing w:val="0"/>
        <w:rPr>
          <w:bCs/>
        </w:rPr>
      </w:pPr>
      <w:r>
        <w:rPr>
          <w:bCs/>
        </w:rPr>
        <w:t>h</w:t>
      </w:r>
      <w:r w:rsidR="005910BF" w:rsidRPr="00AE3DB8">
        <w:rPr>
          <w:bCs/>
        </w:rPr>
        <w:t xml:space="preserve">igher than average </w:t>
      </w:r>
      <w:r w:rsidR="008F57ED" w:rsidRPr="00AE3DB8">
        <w:rPr>
          <w:bCs/>
        </w:rPr>
        <w:t xml:space="preserve">My Health Record </w:t>
      </w:r>
      <w:r w:rsidR="005910BF" w:rsidRPr="00AE3DB8">
        <w:rPr>
          <w:bCs/>
        </w:rPr>
        <w:t>uptake by providers</w:t>
      </w:r>
      <w:r w:rsidR="007C6FD1" w:rsidRPr="00AE3DB8">
        <w:rPr>
          <w:bCs/>
        </w:rPr>
        <w:t>;</w:t>
      </w:r>
      <w:r w:rsidR="005910BF" w:rsidRPr="00AE3DB8">
        <w:rPr>
          <w:bCs/>
        </w:rPr>
        <w:t xml:space="preserve"> </w:t>
      </w:r>
    </w:p>
    <w:p w:rsidR="005910BF" w:rsidRPr="00AE3DB8" w:rsidRDefault="00AE3DB8" w:rsidP="00C946CE">
      <w:pPr>
        <w:pStyle w:val="ListParagraph"/>
        <w:numPr>
          <w:ilvl w:val="0"/>
          <w:numId w:val="21"/>
        </w:numPr>
        <w:shd w:val="clear" w:color="auto" w:fill="FFFFFF"/>
        <w:spacing w:before="45" w:after="240"/>
        <w:ind w:left="357" w:right="374" w:hanging="357"/>
        <w:contextualSpacing w:val="0"/>
        <w:rPr>
          <w:bCs/>
        </w:rPr>
      </w:pPr>
      <w:r>
        <w:rPr>
          <w:bCs/>
        </w:rPr>
        <w:t>s</w:t>
      </w:r>
      <w:r w:rsidR="005910BF" w:rsidRPr="00AE3DB8">
        <w:rPr>
          <w:bCs/>
        </w:rPr>
        <w:t xml:space="preserve">trong clinical networks with a demonstrated commitment to the success of the trial </w:t>
      </w:r>
      <w:r w:rsidR="008F57ED" w:rsidRPr="00AE3DB8">
        <w:rPr>
          <w:bCs/>
        </w:rPr>
        <w:t>–</w:t>
      </w:r>
      <w:r w:rsidR="005910BF" w:rsidRPr="00AE3DB8">
        <w:rPr>
          <w:bCs/>
        </w:rPr>
        <w:t xml:space="preserve"> </w:t>
      </w:r>
      <w:r w:rsidR="008F57ED" w:rsidRPr="00AE3DB8">
        <w:rPr>
          <w:bCs/>
        </w:rPr>
        <w:t xml:space="preserve">including </w:t>
      </w:r>
      <w:r w:rsidR="005910BF" w:rsidRPr="00AE3DB8">
        <w:rPr>
          <w:bCs/>
        </w:rPr>
        <w:t>Primary Health Networks, Local Hospital Networks and any other relevant local health organisat</w:t>
      </w:r>
      <w:r w:rsidR="007C6FD1" w:rsidRPr="00AE3DB8">
        <w:rPr>
          <w:bCs/>
        </w:rPr>
        <w:t>ions within the trial site area;</w:t>
      </w:r>
      <w:r w:rsidR="005910BF" w:rsidRPr="00AE3DB8">
        <w:rPr>
          <w:bCs/>
        </w:rPr>
        <w:t xml:space="preserve"> </w:t>
      </w:r>
    </w:p>
    <w:p w:rsidR="005910BF" w:rsidRPr="00AE3DB8" w:rsidRDefault="00AE3DB8" w:rsidP="00C946CE">
      <w:pPr>
        <w:pStyle w:val="ListParagraph"/>
        <w:numPr>
          <w:ilvl w:val="0"/>
          <w:numId w:val="21"/>
        </w:numPr>
        <w:shd w:val="clear" w:color="auto" w:fill="FFFFFF"/>
        <w:spacing w:before="45" w:after="240"/>
        <w:ind w:left="357" w:right="374" w:hanging="357"/>
        <w:contextualSpacing w:val="0"/>
        <w:rPr>
          <w:bCs/>
        </w:rPr>
      </w:pPr>
      <w:r>
        <w:rPr>
          <w:bCs/>
        </w:rPr>
        <w:t>p</w:t>
      </w:r>
      <w:r w:rsidR="005910BF" w:rsidRPr="00AE3DB8">
        <w:rPr>
          <w:bCs/>
        </w:rPr>
        <w:t xml:space="preserve">ositive community engagement with, and local government commitment </w:t>
      </w:r>
      <w:r w:rsidR="007C6FD1" w:rsidRPr="00AE3DB8">
        <w:rPr>
          <w:bCs/>
        </w:rPr>
        <w:t>to, previous non-eHealth trials;</w:t>
      </w:r>
      <w:r w:rsidR="005910BF" w:rsidRPr="00AE3DB8">
        <w:rPr>
          <w:bCs/>
        </w:rPr>
        <w:t xml:space="preserve"> </w:t>
      </w:r>
    </w:p>
    <w:p w:rsidR="005910BF" w:rsidRPr="00AE3DB8" w:rsidRDefault="00AE3DB8" w:rsidP="00C946CE">
      <w:pPr>
        <w:pStyle w:val="ListParagraph"/>
        <w:numPr>
          <w:ilvl w:val="0"/>
          <w:numId w:val="21"/>
        </w:numPr>
        <w:shd w:val="clear" w:color="auto" w:fill="FFFFFF"/>
        <w:spacing w:before="45" w:after="240"/>
        <w:ind w:left="357" w:right="374" w:hanging="357"/>
        <w:contextualSpacing w:val="0"/>
        <w:rPr>
          <w:bCs/>
        </w:rPr>
      </w:pPr>
      <w:r>
        <w:rPr>
          <w:bCs/>
        </w:rPr>
        <w:t>n</w:t>
      </w:r>
      <w:r w:rsidR="005910BF" w:rsidRPr="00AE3DB8">
        <w:rPr>
          <w:bCs/>
        </w:rPr>
        <w:t xml:space="preserve">ot currently involved in, or minimal involvement with, other </w:t>
      </w:r>
      <w:r w:rsidR="000B0F5D" w:rsidRPr="00AE3DB8">
        <w:rPr>
          <w:bCs/>
        </w:rPr>
        <w:t>s</w:t>
      </w:r>
      <w:r w:rsidR="005910BF" w:rsidRPr="00AE3DB8">
        <w:rPr>
          <w:bCs/>
        </w:rPr>
        <w:t xml:space="preserve">tate, </w:t>
      </w:r>
      <w:r w:rsidR="000B0F5D" w:rsidRPr="00AE3DB8">
        <w:rPr>
          <w:bCs/>
        </w:rPr>
        <w:t>t</w:t>
      </w:r>
      <w:r w:rsidR="005910BF" w:rsidRPr="00AE3DB8">
        <w:rPr>
          <w:bCs/>
        </w:rPr>
        <w:t>erritory and/or Commonwealth run trial ac</w:t>
      </w:r>
      <w:r w:rsidR="007C6FD1" w:rsidRPr="00AE3DB8">
        <w:rPr>
          <w:bCs/>
        </w:rPr>
        <w:t>tivities (for example</w:t>
      </w:r>
      <w:r>
        <w:rPr>
          <w:bCs/>
        </w:rPr>
        <w:t>,</w:t>
      </w:r>
      <w:r w:rsidR="007C6FD1" w:rsidRPr="00AE3DB8">
        <w:rPr>
          <w:bCs/>
        </w:rPr>
        <w:t xml:space="preserve"> the </w:t>
      </w:r>
      <w:r>
        <w:rPr>
          <w:bCs/>
        </w:rPr>
        <w:t>National Disability Insurance Scheme</w:t>
      </w:r>
      <w:r w:rsidR="007C6FD1" w:rsidRPr="00AE3DB8">
        <w:rPr>
          <w:bCs/>
        </w:rPr>
        <w:t>);</w:t>
      </w:r>
      <w:r w:rsidR="005910BF" w:rsidRPr="00AE3DB8">
        <w:rPr>
          <w:bCs/>
        </w:rPr>
        <w:t xml:space="preserve"> </w:t>
      </w:r>
    </w:p>
    <w:p w:rsidR="00AE3DB8" w:rsidRDefault="00AE3DB8" w:rsidP="00C946CE">
      <w:pPr>
        <w:pStyle w:val="ListParagraph"/>
        <w:numPr>
          <w:ilvl w:val="0"/>
          <w:numId w:val="21"/>
        </w:numPr>
        <w:shd w:val="clear" w:color="auto" w:fill="FFFFFF"/>
        <w:spacing w:before="45" w:after="240"/>
        <w:ind w:left="357" w:right="374" w:hanging="357"/>
        <w:contextualSpacing w:val="0"/>
        <w:rPr>
          <w:lang w:val="en-AU" w:eastAsia="en-AU"/>
        </w:rPr>
      </w:pPr>
      <w:r>
        <w:rPr>
          <w:bCs/>
        </w:rPr>
        <w:t>i</w:t>
      </w:r>
      <w:r w:rsidR="005910BF" w:rsidRPr="00AE3DB8">
        <w:rPr>
          <w:bCs/>
        </w:rPr>
        <w:t>nclude</w:t>
      </w:r>
      <w:r w:rsidR="00193A1F" w:rsidRPr="00AE3DB8">
        <w:rPr>
          <w:bCs/>
        </w:rPr>
        <w:t>s</w:t>
      </w:r>
      <w:r w:rsidR="005910BF" w:rsidRPr="00AE3DB8">
        <w:rPr>
          <w:bCs/>
        </w:rPr>
        <w:t xml:space="preserve"> a range of population groups </w:t>
      </w:r>
      <w:r w:rsidR="00193A1F" w:rsidRPr="00AE3DB8">
        <w:rPr>
          <w:bCs/>
        </w:rPr>
        <w:t xml:space="preserve">such as </w:t>
      </w:r>
      <w:r w:rsidR="005910BF" w:rsidRPr="00AE3DB8">
        <w:rPr>
          <w:bCs/>
        </w:rPr>
        <w:t>Aboriginal and Torres Str</w:t>
      </w:r>
      <w:r w:rsidR="007C6FD1" w:rsidRPr="00AE3DB8">
        <w:rPr>
          <w:bCs/>
        </w:rPr>
        <w:t>ait Islander</w:t>
      </w:r>
      <w:r w:rsidR="00193A1F" w:rsidRPr="00AE3DB8">
        <w:rPr>
          <w:bCs/>
        </w:rPr>
        <w:t xml:space="preserve"> people</w:t>
      </w:r>
      <w:r w:rsidR="007C6FD1" w:rsidRPr="00AE3DB8">
        <w:rPr>
          <w:bCs/>
        </w:rPr>
        <w:t xml:space="preserve">, </w:t>
      </w:r>
      <w:r w:rsidR="00193A1F" w:rsidRPr="00AE3DB8">
        <w:rPr>
          <w:bCs/>
        </w:rPr>
        <w:t xml:space="preserve">and people from culturally and linguistically diverse </w:t>
      </w:r>
      <w:r w:rsidR="007C6FD1" w:rsidRPr="00AE3DB8">
        <w:rPr>
          <w:bCs/>
        </w:rPr>
        <w:t>backgrounds; and</w:t>
      </w:r>
    </w:p>
    <w:p w:rsidR="00782BD5" w:rsidRPr="00AE3DB8" w:rsidRDefault="00AE3DB8" w:rsidP="00C946CE">
      <w:pPr>
        <w:pStyle w:val="ListParagraph"/>
        <w:numPr>
          <w:ilvl w:val="0"/>
          <w:numId w:val="21"/>
        </w:numPr>
        <w:shd w:val="clear" w:color="auto" w:fill="FFFFFF"/>
        <w:spacing w:before="45" w:after="240"/>
        <w:ind w:left="357" w:right="374" w:hanging="357"/>
        <w:contextualSpacing w:val="0"/>
        <w:rPr>
          <w:lang w:val="en-AU" w:eastAsia="en-AU"/>
        </w:rPr>
      </w:pPr>
      <w:proofErr w:type="gramStart"/>
      <w:r>
        <w:rPr>
          <w:lang w:val="en-AU" w:eastAsia="en-AU"/>
        </w:rPr>
        <w:t>a</w:t>
      </w:r>
      <w:r w:rsidR="005910BF" w:rsidRPr="00AE3DB8">
        <w:rPr>
          <w:lang w:val="en-AU" w:eastAsia="en-AU"/>
        </w:rPr>
        <w:t>t</w:t>
      </w:r>
      <w:proofErr w:type="gramEnd"/>
      <w:r w:rsidR="005910BF" w:rsidRPr="00AE3DB8">
        <w:rPr>
          <w:lang w:val="en-AU" w:eastAsia="en-AU"/>
        </w:rPr>
        <w:t xml:space="preserve"> least one of the opt-out trial sites to include rural and/or remote areas.</w:t>
      </w:r>
    </w:p>
    <w:p w:rsidR="00AD78AE" w:rsidRPr="00AD78AE" w:rsidRDefault="00782BD5" w:rsidP="00C946CE">
      <w:pPr>
        <w:autoSpaceDE w:val="0"/>
        <w:autoSpaceDN w:val="0"/>
        <w:adjustRightInd w:val="0"/>
        <w:spacing w:after="240"/>
        <w:rPr>
          <w:lang w:val="en-AU" w:eastAsia="en-AU"/>
        </w:rPr>
      </w:pPr>
      <w:r w:rsidRPr="00AD78AE">
        <w:rPr>
          <w:lang w:val="en-AU" w:eastAsia="en-AU"/>
        </w:rPr>
        <w:t xml:space="preserve">The opt-out trials </w:t>
      </w:r>
      <w:r w:rsidR="00B267D0" w:rsidRPr="00AD78AE">
        <w:rPr>
          <w:lang w:val="en-AU" w:eastAsia="en-AU"/>
        </w:rPr>
        <w:t>will</w:t>
      </w:r>
      <w:r w:rsidRPr="00AD78AE">
        <w:rPr>
          <w:lang w:val="en-AU" w:eastAsia="en-AU"/>
        </w:rPr>
        <w:t xml:space="preserve"> be undertaken for individuals in a manner that retains the same </w:t>
      </w:r>
      <w:r w:rsidR="00193A1F" w:rsidRPr="00AD78AE">
        <w:rPr>
          <w:lang w:val="en-AU" w:eastAsia="en-AU"/>
        </w:rPr>
        <w:t xml:space="preserve">access </w:t>
      </w:r>
      <w:r w:rsidRPr="00AD78AE">
        <w:rPr>
          <w:lang w:val="en-AU" w:eastAsia="en-AU"/>
        </w:rPr>
        <w:t xml:space="preserve">controls as are provided in the current opt-in system.  While </w:t>
      </w:r>
      <w:r w:rsidR="00193A1F" w:rsidRPr="00AD78AE">
        <w:rPr>
          <w:lang w:val="en-AU" w:eastAsia="en-AU"/>
        </w:rPr>
        <w:t xml:space="preserve">opt-out </w:t>
      </w:r>
      <w:r w:rsidRPr="00AD78AE">
        <w:rPr>
          <w:lang w:val="en-AU" w:eastAsia="en-AU"/>
        </w:rPr>
        <w:t xml:space="preserve">trials are </w:t>
      </w:r>
      <w:r w:rsidR="00193A1F" w:rsidRPr="00AD78AE">
        <w:rPr>
          <w:lang w:val="en-AU" w:eastAsia="en-AU"/>
        </w:rPr>
        <w:t xml:space="preserve">being undertaken </w:t>
      </w:r>
      <w:r w:rsidRPr="00AD78AE">
        <w:rPr>
          <w:lang w:val="en-AU" w:eastAsia="en-AU"/>
        </w:rPr>
        <w:t xml:space="preserve">in the prescribed areas, the existing opt-in system </w:t>
      </w:r>
      <w:r w:rsidR="00193A1F" w:rsidRPr="00AD78AE">
        <w:rPr>
          <w:lang w:val="en-AU" w:eastAsia="en-AU"/>
        </w:rPr>
        <w:t xml:space="preserve">of registration for healthcare recipients </w:t>
      </w:r>
      <w:r w:rsidRPr="00AD78AE">
        <w:rPr>
          <w:lang w:val="en-AU" w:eastAsia="en-AU"/>
        </w:rPr>
        <w:t xml:space="preserve">will continue to operate </w:t>
      </w:r>
      <w:r w:rsidR="002309AA">
        <w:rPr>
          <w:lang w:val="en-AU" w:eastAsia="en-AU"/>
        </w:rPr>
        <w:t>everywhere</w:t>
      </w:r>
      <w:r w:rsidRPr="00AD78AE">
        <w:rPr>
          <w:lang w:val="en-AU" w:eastAsia="en-AU"/>
        </w:rPr>
        <w:t xml:space="preserve"> in Australia.  </w:t>
      </w:r>
    </w:p>
    <w:p w:rsidR="005910BF" w:rsidRPr="00AD78AE" w:rsidRDefault="00782BD5" w:rsidP="00C946CE">
      <w:pPr>
        <w:autoSpaceDE w:val="0"/>
        <w:autoSpaceDN w:val="0"/>
        <w:adjustRightInd w:val="0"/>
        <w:spacing w:before="240" w:after="240"/>
        <w:rPr>
          <w:lang w:val="en-AU" w:eastAsia="en-AU"/>
        </w:rPr>
      </w:pPr>
      <w:r w:rsidRPr="00AD78AE">
        <w:rPr>
          <w:lang w:val="en-AU" w:eastAsia="en-AU"/>
        </w:rPr>
        <w:t>If the trials prove successful at improving both clinical and individual use of the system</w:t>
      </w:r>
      <w:r w:rsidR="00193A1F" w:rsidRPr="00AD78AE">
        <w:rPr>
          <w:lang w:val="en-AU" w:eastAsia="en-AU"/>
        </w:rPr>
        <w:t>,</w:t>
      </w:r>
      <w:r w:rsidRPr="00AD78AE">
        <w:rPr>
          <w:lang w:val="en-AU" w:eastAsia="en-AU"/>
        </w:rPr>
        <w:t xml:space="preserve"> the Minister may decide to implement the opt-out model nationally </w:t>
      </w:r>
      <w:r w:rsidR="002D6D1C" w:rsidRPr="00AD78AE">
        <w:rPr>
          <w:lang w:val="en-AU" w:eastAsia="en-AU"/>
        </w:rPr>
        <w:t xml:space="preserve">by making a rule </w:t>
      </w:r>
      <w:r w:rsidRPr="00AD78AE">
        <w:rPr>
          <w:lang w:val="en-AU" w:eastAsia="en-AU"/>
        </w:rPr>
        <w:t xml:space="preserve">under </w:t>
      </w:r>
      <w:r w:rsidR="002D6D1C" w:rsidRPr="00AD78AE">
        <w:rPr>
          <w:lang w:val="en-AU" w:eastAsia="en-AU"/>
        </w:rPr>
        <w:t>clause</w:t>
      </w:r>
      <w:r w:rsidR="00AE3DB8">
        <w:rPr>
          <w:lang w:val="en-AU" w:eastAsia="en-AU"/>
        </w:rPr>
        <w:t> </w:t>
      </w:r>
      <w:r w:rsidR="002D6D1C" w:rsidRPr="00AD78AE">
        <w:rPr>
          <w:lang w:val="en-AU" w:eastAsia="en-AU"/>
        </w:rPr>
        <w:t xml:space="preserve">2 of </w:t>
      </w:r>
      <w:r w:rsidRPr="00AD78AE">
        <w:rPr>
          <w:lang w:val="en-AU" w:eastAsia="en-AU"/>
        </w:rPr>
        <w:t>Schedule 1 to the Act.</w:t>
      </w:r>
      <w:r w:rsidR="00193A1F" w:rsidRPr="00AD78AE">
        <w:rPr>
          <w:lang w:val="en-AU" w:eastAsia="en-AU"/>
        </w:rPr>
        <w:t xml:space="preserve">  </w:t>
      </w:r>
      <w:r w:rsidR="002D6D1C" w:rsidRPr="00AD78AE">
        <w:rPr>
          <w:lang w:val="en-AU" w:eastAsia="en-AU"/>
        </w:rPr>
        <w:t>Before making a rule under clause 2 of Schedule</w:t>
      </w:r>
      <w:r w:rsidR="000668D1" w:rsidRPr="00AD78AE">
        <w:rPr>
          <w:lang w:val="en-AU" w:eastAsia="en-AU"/>
        </w:rPr>
        <w:t> </w:t>
      </w:r>
      <w:r w:rsidR="002D6D1C" w:rsidRPr="00AD78AE">
        <w:rPr>
          <w:lang w:val="en-AU" w:eastAsia="en-AU"/>
        </w:rPr>
        <w:t>1, the Minister must consult with the Ministerial Council</w:t>
      </w:r>
      <w:r w:rsidR="000668D1" w:rsidRPr="00AD78AE">
        <w:rPr>
          <w:lang w:val="en-AU" w:eastAsia="en-AU"/>
        </w:rPr>
        <w:t xml:space="preserve"> – that is, with </w:t>
      </w:r>
      <w:r w:rsidR="00C946CE">
        <w:rPr>
          <w:lang w:val="en-AU" w:eastAsia="en-AU"/>
        </w:rPr>
        <w:t xml:space="preserve">the </w:t>
      </w:r>
      <w:r w:rsidR="00AE3DB8">
        <w:rPr>
          <w:lang w:val="en-AU" w:eastAsia="en-AU"/>
        </w:rPr>
        <w:t>Council of Australian Governments</w:t>
      </w:r>
      <w:r w:rsidR="00AE3DB8" w:rsidRPr="00AD78AE">
        <w:rPr>
          <w:lang w:val="en-AU" w:eastAsia="en-AU"/>
        </w:rPr>
        <w:t xml:space="preserve"> </w:t>
      </w:r>
      <w:r w:rsidR="000668D1" w:rsidRPr="00AD78AE">
        <w:rPr>
          <w:lang w:val="en-AU" w:eastAsia="en-AU"/>
        </w:rPr>
        <w:t>Health Council.</w:t>
      </w:r>
    </w:p>
    <w:p w:rsidR="00CA156B" w:rsidRPr="00D45CB3" w:rsidRDefault="00CA156B" w:rsidP="00C946CE">
      <w:pPr>
        <w:numPr>
          <w:ilvl w:val="0"/>
          <w:numId w:val="1"/>
        </w:numPr>
        <w:autoSpaceDE w:val="0"/>
        <w:autoSpaceDN w:val="0"/>
        <w:adjustRightInd w:val="0"/>
        <w:spacing w:before="240" w:after="240"/>
        <w:ind w:left="357" w:hanging="357"/>
        <w:rPr>
          <w:b/>
          <w:bCs/>
          <w:lang w:bidi="hi-IN"/>
        </w:rPr>
      </w:pPr>
      <w:bookmarkStart w:id="12" w:name="_Toc433722263"/>
      <w:r w:rsidRPr="00D45CB3">
        <w:rPr>
          <w:b/>
          <w:bCs/>
          <w:lang w:bidi="hi-IN"/>
        </w:rPr>
        <w:t>Period to opt-out of registration</w:t>
      </w:r>
      <w:bookmarkEnd w:id="12"/>
    </w:p>
    <w:p w:rsidR="000E0DA7" w:rsidRPr="00AD78AE" w:rsidRDefault="00BE7E43" w:rsidP="00C946CE">
      <w:pPr>
        <w:autoSpaceDE w:val="0"/>
        <w:autoSpaceDN w:val="0"/>
        <w:adjustRightInd w:val="0"/>
        <w:spacing w:before="240" w:after="240"/>
        <w:rPr>
          <w:lang w:val="en-AU" w:eastAsia="en-AU"/>
        </w:rPr>
      </w:pPr>
      <w:bookmarkStart w:id="13" w:name="_Toc433722264"/>
      <w:r w:rsidRPr="00AD78AE">
        <w:rPr>
          <w:lang w:val="en-AU" w:eastAsia="en-AU"/>
        </w:rPr>
        <w:t xml:space="preserve">Subclause 5(1) of Schedule 1 to the Act provides that a healthcare recipient </w:t>
      </w:r>
      <w:r w:rsidR="00583A80" w:rsidRPr="00AD78AE">
        <w:rPr>
          <w:lang w:val="en-AU" w:eastAsia="en-AU"/>
        </w:rPr>
        <w:t>in opt-out</w:t>
      </w:r>
      <w:r w:rsidR="000E0DA7" w:rsidRPr="00AD78AE">
        <w:rPr>
          <w:lang w:val="en-AU" w:eastAsia="en-AU"/>
        </w:rPr>
        <w:t xml:space="preserve"> trial areas</w:t>
      </w:r>
      <w:r w:rsidR="00583A80" w:rsidRPr="00AD78AE">
        <w:rPr>
          <w:lang w:val="en-AU" w:eastAsia="en-AU"/>
        </w:rPr>
        <w:t xml:space="preserve"> </w:t>
      </w:r>
      <w:r w:rsidRPr="00AD78AE">
        <w:rPr>
          <w:lang w:val="en-AU" w:eastAsia="en-AU"/>
        </w:rPr>
        <w:t xml:space="preserve">may, by notice to the </w:t>
      </w:r>
      <w:r w:rsidR="00583A80" w:rsidRPr="00AD78AE">
        <w:rPr>
          <w:lang w:val="en-AU" w:eastAsia="en-AU"/>
        </w:rPr>
        <w:t>S</w:t>
      </w:r>
      <w:r w:rsidRPr="00AD78AE">
        <w:rPr>
          <w:lang w:val="en-AU" w:eastAsia="en-AU"/>
        </w:rPr>
        <w:t>ystem Operator, elect not to be registered</w:t>
      </w:r>
      <w:r w:rsidR="00583A80" w:rsidRPr="00AD78AE">
        <w:rPr>
          <w:lang w:val="en-AU" w:eastAsia="en-AU"/>
        </w:rPr>
        <w:t xml:space="preserve"> for a My Health Record</w:t>
      </w:r>
      <w:r w:rsidRPr="00AD78AE">
        <w:rPr>
          <w:lang w:val="en-AU" w:eastAsia="en-AU"/>
        </w:rPr>
        <w:t xml:space="preserve">. </w:t>
      </w:r>
    </w:p>
    <w:p w:rsidR="00D45CB3" w:rsidRPr="00AD78AE" w:rsidRDefault="00F24CA3" w:rsidP="00C946CE">
      <w:pPr>
        <w:autoSpaceDE w:val="0"/>
        <w:autoSpaceDN w:val="0"/>
        <w:adjustRightInd w:val="0"/>
        <w:spacing w:after="240"/>
        <w:rPr>
          <w:lang w:val="en-AU" w:eastAsia="en-AU"/>
        </w:rPr>
      </w:pPr>
      <w:r w:rsidRPr="00AD78AE">
        <w:rPr>
          <w:lang w:val="en-AU" w:eastAsia="en-AU"/>
        </w:rPr>
        <w:t xml:space="preserve">Subparagraph </w:t>
      </w:r>
      <w:r w:rsidR="00583A80" w:rsidRPr="00AD78AE">
        <w:rPr>
          <w:lang w:val="en-AU" w:eastAsia="en-AU"/>
        </w:rPr>
        <w:t>5(</w:t>
      </w:r>
      <w:r w:rsidR="00BE7E43" w:rsidRPr="00AD78AE">
        <w:rPr>
          <w:lang w:val="en-AU" w:eastAsia="en-AU"/>
        </w:rPr>
        <w:t>2</w:t>
      </w:r>
      <w:proofErr w:type="gramStart"/>
      <w:r w:rsidR="00583A80" w:rsidRPr="00AD78AE">
        <w:rPr>
          <w:lang w:val="en-AU" w:eastAsia="en-AU"/>
        </w:rPr>
        <w:t>)(</w:t>
      </w:r>
      <w:proofErr w:type="gramEnd"/>
      <w:r w:rsidR="00583A80" w:rsidRPr="00AD78AE">
        <w:rPr>
          <w:lang w:val="en-AU" w:eastAsia="en-AU"/>
        </w:rPr>
        <w:t>c)(</w:t>
      </w:r>
      <w:proofErr w:type="spellStart"/>
      <w:r w:rsidR="00583A80" w:rsidRPr="00AD78AE">
        <w:rPr>
          <w:lang w:val="en-AU" w:eastAsia="en-AU"/>
        </w:rPr>
        <w:t>i</w:t>
      </w:r>
      <w:proofErr w:type="spellEnd"/>
      <w:r w:rsidR="00583A80" w:rsidRPr="00AD78AE">
        <w:rPr>
          <w:lang w:val="en-AU" w:eastAsia="en-AU"/>
        </w:rPr>
        <w:t>)</w:t>
      </w:r>
      <w:r w:rsidRPr="00AD78AE">
        <w:rPr>
          <w:lang w:val="en-AU" w:eastAsia="en-AU"/>
        </w:rPr>
        <w:t xml:space="preserve"> of Schedule</w:t>
      </w:r>
      <w:r w:rsidR="00583A80" w:rsidRPr="00AD78AE">
        <w:rPr>
          <w:lang w:val="en-AU" w:eastAsia="en-AU"/>
        </w:rPr>
        <w:t xml:space="preserve"> </w:t>
      </w:r>
      <w:r w:rsidR="000E0DA7" w:rsidRPr="00AD78AE">
        <w:rPr>
          <w:lang w:val="en-AU" w:eastAsia="en-AU"/>
        </w:rPr>
        <w:t xml:space="preserve">1 </w:t>
      </w:r>
      <w:r w:rsidR="00BE7E43" w:rsidRPr="00AD78AE">
        <w:rPr>
          <w:lang w:val="en-AU" w:eastAsia="en-AU"/>
        </w:rPr>
        <w:t xml:space="preserve">allows the Minister </w:t>
      </w:r>
      <w:r w:rsidR="00583A80" w:rsidRPr="00AD78AE">
        <w:rPr>
          <w:lang w:val="en-AU" w:eastAsia="en-AU"/>
        </w:rPr>
        <w:t xml:space="preserve">to make a rule </w:t>
      </w:r>
      <w:r w:rsidR="000E0DA7" w:rsidRPr="00AD78AE">
        <w:rPr>
          <w:lang w:val="en-AU" w:eastAsia="en-AU"/>
        </w:rPr>
        <w:t xml:space="preserve">prescribing </w:t>
      </w:r>
      <w:r w:rsidR="00583A80" w:rsidRPr="00AD78AE">
        <w:rPr>
          <w:lang w:val="en-AU" w:eastAsia="en-AU"/>
        </w:rPr>
        <w:t xml:space="preserve">the time </w:t>
      </w:r>
      <w:r w:rsidR="000E0DA7" w:rsidRPr="00AD78AE">
        <w:rPr>
          <w:lang w:val="en-AU" w:eastAsia="en-AU"/>
        </w:rPr>
        <w:t xml:space="preserve">within which a </w:t>
      </w:r>
      <w:r w:rsidR="00583A80" w:rsidRPr="00AD78AE">
        <w:rPr>
          <w:lang w:val="en-AU" w:eastAsia="en-AU"/>
        </w:rPr>
        <w:t xml:space="preserve">notice </w:t>
      </w:r>
      <w:r w:rsidR="000E0DA7" w:rsidRPr="00AD78AE">
        <w:rPr>
          <w:lang w:val="en-AU" w:eastAsia="en-AU"/>
        </w:rPr>
        <w:t xml:space="preserve">under subclause 5(1) </w:t>
      </w:r>
      <w:r w:rsidR="00583A80" w:rsidRPr="00AD78AE">
        <w:rPr>
          <w:lang w:val="en-AU" w:eastAsia="en-AU"/>
        </w:rPr>
        <w:t xml:space="preserve">must be given. </w:t>
      </w:r>
      <w:r w:rsidR="00720261">
        <w:rPr>
          <w:lang w:val="en-AU" w:eastAsia="en-AU"/>
        </w:rPr>
        <w:t xml:space="preserve"> </w:t>
      </w:r>
      <w:r w:rsidR="00D45CB3" w:rsidRPr="00AD78AE">
        <w:rPr>
          <w:lang w:val="en-AU" w:eastAsia="en-AU"/>
        </w:rPr>
        <w:t xml:space="preserve">Rule </w:t>
      </w:r>
      <w:r w:rsidR="00583A80" w:rsidRPr="00AD78AE">
        <w:rPr>
          <w:lang w:val="en-AU" w:eastAsia="en-AU"/>
        </w:rPr>
        <w:t>5 prescribes</w:t>
      </w:r>
      <w:r w:rsidR="00D45CB3" w:rsidRPr="00AD78AE">
        <w:rPr>
          <w:lang w:val="en-AU" w:eastAsia="en-AU"/>
        </w:rPr>
        <w:t xml:space="preserve"> </w:t>
      </w:r>
      <w:r w:rsidR="00583A80" w:rsidRPr="00AD78AE">
        <w:rPr>
          <w:lang w:val="en-AU" w:eastAsia="en-AU"/>
        </w:rPr>
        <w:t>t</w:t>
      </w:r>
      <w:r w:rsidR="00D45CB3" w:rsidRPr="00AD78AE">
        <w:rPr>
          <w:lang w:val="en-AU" w:eastAsia="en-AU"/>
        </w:rPr>
        <w:t>he period within</w:t>
      </w:r>
      <w:r w:rsidRPr="00AD78AE">
        <w:rPr>
          <w:lang w:val="en-AU" w:eastAsia="en-AU"/>
        </w:rPr>
        <w:t xml:space="preserve"> which </w:t>
      </w:r>
      <w:r w:rsidR="000E0DA7" w:rsidRPr="00AD78AE">
        <w:rPr>
          <w:lang w:val="en-AU" w:eastAsia="en-AU"/>
        </w:rPr>
        <w:t xml:space="preserve">a </w:t>
      </w:r>
      <w:r w:rsidRPr="00AD78AE">
        <w:rPr>
          <w:lang w:val="en-AU" w:eastAsia="en-AU"/>
        </w:rPr>
        <w:t xml:space="preserve">notice to opt-out must be </w:t>
      </w:r>
      <w:r w:rsidR="000E0DA7" w:rsidRPr="00AD78AE">
        <w:rPr>
          <w:lang w:val="en-AU" w:eastAsia="en-AU"/>
        </w:rPr>
        <w:t xml:space="preserve">given </w:t>
      </w:r>
      <w:r w:rsidRPr="00AD78AE">
        <w:rPr>
          <w:lang w:val="en-AU" w:eastAsia="en-AU"/>
        </w:rPr>
        <w:t>to the System Operator</w:t>
      </w:r>
      <w:r w:rsidR="00D45CB3" w:rsidRPr="00AD78AE">
        <w:rPr>
          <w:lang w:val="en-AU" w:eastAsia="en-AU"/>
        </w:rPr>
        <w:t xml:space="preserve"> </w:t>
      </w:r>
      <w:r w:rsidR="00583A80" w:rsidRPr="00AD78AE">
        <w:rPr>
          <w:lang w:val="en-AU" w:eastAsia="en-AU"/>
        </w:rPr>
        <w:t>as</w:t>
      </w:r>
      <w:r w:rsidR="00D45CB3" w:rsidRPr="00AD78AE">
        <w:rPr>
          <w:lang w:val="en-AU" w:eastAsia="en-AU"/>
        </w:rPr>
        <w:t xml:space="preserve"> commencing on </w:t>
      </w:r>
      <w:r w:rsidR="00D45CB3" w:rsidRPr="00AD3F3E">
        <w:rPr>
          <w:lang w:val="en-AU" w:eastAsia="en-AU"/>
        </w:rPr>
        <w:t>4</w:t>
      </w:r>
      <w:r w:rsidR="004C6827" w:rsidRPr="00AD3F3E">
        <w:rPr>
          <w:lang w:val="en-AU" w:eastAsia="en-AU"/>
        </w:rPr>
        <w:t> </w:t>
      </w:r>
      <w:r w:rsidR="00D45CB3" w:rsidRPr="00AD3F3E">
        <w:rPr>
          <w:lang w:val="en-AU" w:eastAsia="en-AU"/>
        </w:rPr>
        <w:t>April</w:t>
      </w:r>
      <w:r w:rsidR="00D45CB3" w:rsidRPr="00AD78AE">
        <w:rPr>
          <w:lang w:val="en-AU" w:eastAsia="en-AU"/>
        </w:rPr>
        <w:t xml:space="preserve"> 2016 and ending on </w:t>
      </w:r>
      <w:r w:rsidR="00D45CB3" w:rsidRPr="00AD3F3E">
        <w:rPr>
          <w:lang w:val="en-AU" w:eastAsia="en-AU"/>
        </w:rPr>
        <w:t>27 May</w:t>
      </w:r>
      <w:r w:rsidR="00D45CB3" w:rsidRPr="00AD78AE">
        <w:rPr>
          <w:lang w:val="en-AU" w:eastAsia="en-AU"/>
        </w:rPr>
        <w:t xml:space="preserve"> 2016.</w:t>
      </w:r>
      <w:r w:rsidRPr="00AD78AE">
        <w:rPr>
          <w:lang w:val="en-AU" w:eastAsia="en-AU"/>
        </w:rPr>
        <w:t xml:space="preserve"> </w:t>
      </w:r>
      <w:r w:rsidR="00720261">
        <w:rPr>
          <w:lang w:val="en-AU" w:eastAsia="en-AU"/>
        </w:rPr>
        <w:t xml:space="preserve"> </w:t>
      </w:r>
      <w:r w:rsidRPr="00AD78AE">
        <w:rPr>
          <w:lang w:val="en-AU" w:eastAsia="en-AU"/>
        </w:rPr>
        <w:t>After this period expires</w:t>
      </w:r>
      <w:r w:rsidR="00DA044F" w:rsidRPr="00AD78AE">
        <w:rPr>
          <w:lang w:val="en-AU" w:eastAsia="en-AU"/>
        </w:rPr>
        <w:t>,</w:t>
      </w:r>
      <w:r w:rsidRPr="00AD78AE">
        <w:rPr>
          <w:lang w:val="en-AU" w:eastAsia="en-AU"/>
        </w:rPr>
        <w:t xml:space="preserve"> healthcare recipients who </w:t>
      </w:r>
      <w:r w:rsidR="00DA044F" w:rsidRPr="00AD78AE">
        <w:rPr>
          <w:lang w:val="en-AU" w:eastAsia="en-AU"/>
        </w:rPr>
        <w:t xml:space="preserve">are within the prescribed areas </w:t>
      </w:r>
      <w:r w:rsidRPr="00AD78AE">
        <w:rPr>
          <w:lang w:val="en-AU" w:eastAsia="en-AU"/>
        </w:rPr>
        <w:t>and who have not opt</w:t>
      </w:r>
      <w:r w:rsidR="00DA044F" w:rsidRPr="00AD78AE">
        <w:rPr>
          <w:lang w:val="en-AU" w:eastAsia="en-AU"/>
        </w:rPr>
        <w:t>ed</w:t>
      </w:r>
      <w:r w:rsidRPr="00AD78AE">
        <w:rPr>
          <w:lang w:val="en-AU" w:eastAsia="en-AU"/>
        </w:rPr>
        <w:t>-out, will have a My Health Record created for them.</w:t>
      </w:r>
    </w:p>
    <w:p w:rsidR="008E48DD" w:rsidRDefault="00D45CB3" w:rsidP="00C946CE">
      <w:pPr>
        <w:autoSpaceDE w:val="0"/>
        <w:autoSpaceDN w:val="0"/>
        <w:adjustRightInd w:val="0"/>
        <w:spacing w:after="240"/>
        <w:rPr>
          <w:lang w:bidi="hi-IN"/>
        </w:rPr>
      </w:pPr>
      <w:r>
        <w:rPr>
          <w:lang w:bidi="hi-IN"/>
        </w:rPr>
        <w:t xml:space="preserve">If a healthcare </w:t>
      </w:r>
      <w:r w:rsidR="00F24CA3">
        <w:rPr>
          <w:lang w:bidi="hi-IN"/>
        </w:rPr>
        <w:t>recipient</w:t>
      </w:r>
      <w:r w:rsidR="00DA044F">
        <w:rPr>
          <w:lang w:bidi="hi-IN"/>
        </w:rPr>
        <w:t xml:space="preserve"> </w:t>
      </w:r>
      <w:r w:rsidR="00BE7E43">
        <w:rPr>
          <w:lang w:bidi="hi-IN"/>
        </w:rPr>
        <w:t>who is a member of the prescribed class</w:t>
      </w:r>
      <w:r>
        <w:rPr>
          <w:lang w:bidi="hi-IN"/>
        </w:rPr>
        <w:t xml:space="preserve"> does not opt-out of </w:t>
      </w:r>
      <w:r w:rsidR="00DA044F">
        <w:rPr>
          <w:lang w:bidi="hi-IN"/>
        </w:rPr>
        <w:t xml:space="preserve">registration with </w:t>
      </w:r>
      <w:r>
        <w:rPr>
          <w:lang w:bidi="hi-IN"/>
        </w:rPr>
        <w:t>the My Health Record system</w:t>
      </w:r>
      <w:r w:rsidR="00B10DD5">
        <w:rPr>
          <w:lang w:bidi="hi-IN"/>
        </w:rPr>
        <w:t xml:space="preserve"> with</w:t>
      </w:r>
      <w:r w:rsidR="00AE3DB8">
        <w:rPr>
          <w:lang w:bidi="hi-IN"/>
        </w:rPr>
        <w:t>in</w:t>
      </w:r>
      <w:r w:rsidR="00B10DD5">
        <w:rPr>
          <w:lang w:bidi="hi-IN"/>
        </w:rPr>
        <w:t xml:space="preserve"> the prescribed time</w:t>
      </w:r>
      <w:r>
        <w:rPr>
          <w:lang w:bidi="hi-IN"/>
        </w:rPr>
        <w:t>, they</w:t>
      </w:r>
      <w:r w:rsidR="00CA156B">
        <w:rPr>
          <w:lang w:bidi="hi-IN"/>
        </w:rPr>
        <w:t xml:space="preserve"> </w:t>
      </w:r>
      <w:r w:rsidR="00BE7E43">
        <w:rPr>
          <w:lang w:bidi="hi-IN"/>
        </w:rPr>
        <w:t xml:space="preserve">can still </w:t>
      </w:r>
      <w:r w:rsidR="00CA156B">
        <w:rPr>
          <w:lang w:bidi="hi-IN"/>
        </w:rPr>
        <w:t>cancel or suspend their registration</w:t>
      </w:r>
      <w:r w:rsidR="00BE7E43">
        <w:rPr>
          <w:lang w:bidi="hi-IN"/>
        </w:rPr>
        <w:t xml:space="preserve"> </w:t>
      </w:r>
      <w:r w:rsidR="008E48DD">
        <w:rPr>
          <w:lang w:bidi="hi-IN"/>
        </w:rPr>
        <w:t xml:space="preserve">at any time </w:t>
      </w:r>
      <w:r w:rsidR="00BE7E43">
        <w:rPr>
          <w:lang w:bidi="hi-IN"/>
        </w:rPr>
        <w:t>after their My Health Record is created</w:t>
      </w:r>
      <w:r w:rsidR="00CA156B">
        <w:rPr>
          <w:lang w:bidi="hi-IN"/>
        </w:rPr>
        <w:t xml:space="preserve"> </w:t>
      </w:r>
      <w:r w:rsidR="00AE3DB8">
        <w:rPr>
          <w:lang w:bidi="hi-IN"/>
        </w:rPr>
        <w:t>(</w:t>
      </w:r>
      <w:r w:rsidR="00CA156B">
        <w:rPr>
          <w:lang w:bidi="hi-IN"/>
        </w:rPr>
        <w:t>under section 51(1) of the Act</w:t>
      </w:r>
      <w:r w:rsidR="00AE3DB8">
        <w:rPr>
          <w:lang w:bidi="hi-IN"/>
        </w:rPr>
        <w:t>)</w:t>
      </w:r>
      <w:r w:rsidR="00CA156B">
        <w:rPr>
          <w:lang w:bidi="hi-IN"/>
        </w:rPr>
        <w:t>.</w:t>
      </w:r>
    </w:p>
    <w:p w:rsidR="00CA156B" w:rsidRDefault="008E48DD" w:rsidP="00C946CE">
      <w:pPr>
        <w:autoSpaceDE w:val="0"/>
        <w:autoSpaceDN w:val="0"/>
        <w:adjustRightInd w:val="0"/>
        <w:spacing w:after="240"/>
        <w:rPr>
          <w:lang w:bidi="hi-IN"/>
        </w:rPr>
      </w:pPr>
      <w:r>
        <w:rPr>
          <w:lang w:bidi="hi-IN"/>
        </w:rPr>
        <w:t>H</w:t>
      </w:r>
      <w:r w:rsidR="00CA156B">
        <w:rPr>
          <w:lang w:bidi="hi-IN"/>
        </w:rPr>
        <w:t>ealthcare recipient</w:t>
      </w:r>
      <w:r>
        <w:rPr>
          <w:lang w:bidi="hi-IN"/>
        </w:rPr>
        <w:t>s</w:t>
      </w:r>
      <w:r w:rsidR="00CA156B">
        <w:rPr>
          <w:lang w:bidi="hi-IN"/>
        </w:rPr>
        <w:t xml:space="preserve"> who </w:t>
      </w:r>
      <w:r>
        <w:rPr>
          <w:lang w:bidi="hi-IN"/>
        </w:rPr>
        <w:t xml:space="preserve">have </w:t>
      </w:r>
      <w:r w:rsidR="002C2ECD">
        <w:rPr>
          <w:lang w:bidi="hi-IN"/>
        </w:rPr>
        <w:t>opt</w:t>
      </w:r>
      <w:r>
        <w:rPr>
          <w:lang w:bidi="hi-IN"/>
        </w:rPr>
        <w:t>ed</w:t>
      </w:r>
      <w:r w:rsidR="00CA156B">
        <w:rPr>
          <w:lang w:bidi="hi-IN"/>
        </w:rPr>
        <w:t xml:space="preserve">-out of </w:t>
      </w:r>
      <w:r w:rsidR="002C2ECD">
        <w:rPr>
          <w:lang w:bidi="hi-IN"/>
        </w:rPr>
        <w:t xml:space="preserve">registration </w:t>
      </w:r>
      <w:r w:rsidR="00CA156B">
        <w:rPr>
          <w:lang w:bidi="hi-IN"/>
        </w:rPr>
        <w:t xml:space="preserve">may, if they wish, subsequently register themselves </w:t>
      </w:r>
      <w:r w:rsidR="00F24CA3">
        <w:rPr>
          <w:lang w:bidi="hi-IN"/>
        </w:rPr>
        <w:t xml:space="preserve">for a My Health Record </w:t>
      </w:r>
      <w:r w:rsidR="00CA156B">
        <w:rPr>
          <w:lang w:bidi="hi-IN"/>
        </w:rPr>
        <w:t xml:space="preserve">under clause 6 of Schedule 1 to the Act. </w:t>
      </w:r>
    </w:p>
    <w:p w:rsidR="0028072D" w:rsidRPr="00AD78AE" w:rsidRDefault="0028072D" w:rsidP="00C946CE">
      <w:pPr>
        <w:autoSpaceDE w:val="0"/>
        <w:autoSpaceDN w:val="0"/>
        <w:adjustRightInd w:val="0"/>
        <w:spacing w:before="240" w:after="240"/>
        <w:rPr>
          <w:lang w:val="en-AU" w:eastAsia="en-AU"/>
        </w:rPr>
      </w:pPr>
      <w:r>
        <w:rPr>
          <w:bCs/>
        </w:rPr>
        <w:lastRenderedPageBreak/>
        <w:t>A</w:t>
      </w:r>
      <w:r w:rsidRPr="005A632C">
        <w:rPr>
          <w:bCs/>
        </w:rPr>
        <w:t xml:space="preserve"> healthcare recipient registered under Schedule 1 </w:t>
      </w:r>
      <w:r w:rsidR="005179AE">
        <w:rPr>
          <w:bCs/>
        </w:rPr>
        <w:t>to</w:t>
      </w:r>
      <w:r w:rsidR="008444D5">
        <w:rPr>
          <w:bCs/>
        </w:rPr>
        <w:t xml:space="preserve"> the Act </w:t>
      </w:r>
      <w:r w:rsidRPr="005A632C">
        <w:rPr>
          <w:bCs/>
        </w:rPr>
        <w:t xml:space="preserve">will continue to have a My Health Record </w:t>
      </w:r>
      <w:r w:rsidRPr="005A632C">
        <w:t xml:space="preserve">(including after the trials have finished) </w:t>
      </w:r>
      <w:r w:rsidRPr="005A632C">
        <w:rPr>
          <w:bCs/>
        </w:rPr>
        <w:t xml:space="preserve">unless they or their representative cancel </w:t>
      </w:r>
      <w:r w:rsidRPr="00AD78AE">
        <w:rPr>
          <w:lang w:val="en-AU" w:eastAsia="en-AU"/>
        </w:rPr>
        <w:t>their registration under section 51 of the Act.</w:t>
      </w:r>
    </w:p>
    <w:p w:rsidR="00476A03" w:rsidRPr="00AD78AE" w:rsidRDefault="00CA156B" w:rsidP="00C946CE">
      <w:pPr>
        <w:numPr>
          <w:ilvl w:val="0"/>
          <w:numId w:val="1"/>
        </w:numPr>
        <w:autoSpaceDE w:val="0"/>
        <w:autoSpaceDN w:val="0"/>
        <w:adjustRightInd w:val="0"/>
        <w:spacing w:before="240" w:after="240"/>
        <w:ind w:left="357" w:hanging="357"/>
        <w:rPr>
          <w:b/>
          <w:bCs/>
          <w:lang w:bidi="hi-IN"/>
        </w:rPr>
      </w:pPr>
      <w:r w:rsidRPr="00AD78AE">
        <w:rPr>
          <w:b/>
          <w:bCs/>
          <w:lang w:bidi="hi-IN"/>
        </w:rPr>
        <w:t>Period within which to make initial election on disclosure of health information</w:t>
      </w:r>
      <w:bookmarkEnd w:id="13"/>
      <w:r w:rsidRPr="00AD78AE">
        <w:rPr>
          <w:b/>
          <w:bCs/>
          <w:lang w:bidi="hi-IN"/>
        </w:rPr>
        <w:t xml:space="preserve"> </w:t>
      </w:r>
    </w:p>
    <w:p w:rsidR="00476A03" w:rsidRPr="00030272" w:rsidRDefault="00476A03" w:rsidP="00C946CE">
      <w:pPr>
        <w:autoSpaceDE w:val="0"/>
        <w:autoSpaceDN w:val="0"/>
        <w:adjustRightInd w:val="0"/>
        <w:spacing w:before="240" w:after="240"/>
        <w:rPr>
          <w:lang w:bidi="hi-IN"/>
        </w:rPr>
      </w:pPr>
      <w:r w:rsidRPr="00AD78AE">
        <w:rPr>
          <w:lang w:val="en-AU" w:eastAsia="en-AU"/>
        </w:rPr>
        <w:t>Under the opt-out model</w:t>
      </w:r>
      <w:r w:rsidR="008444D5" w:rsidRPr="00AD78AE">
        <w:rPr>
          <w:lang w:val="en-AU" w:eastAsia="en-AU"/>
        </w:rPr>
        <w:t xml:space="preserve"> in Part 2 of Schedule 1</w:t>
      </w:r>
      <w:r w:rsidR="005C3DA4" w:rsidRPr="00AD78AE">
        <w:rPr>
          <w:lang w:val="en-AU" w:eastAsia="en-AU"/>
        </w:rPr>
        <w:t xml:space="preserve"> </w:t>
      </w:r>
      <w:r w:rsidR="008444D5" w:rsidRPr="00AD78AE">
        <w:rPr>
          <w:lang w:val="en-AU" w:eastAsia="en-AU"/>
        </w:rPr>
        <w:t>of the Act</w:t>
      </w:r>
      <w:r w:rsidRPr="00AD78AE">
        <w:rPr>
          <w:lang w:val="en-AU" w:eastAsia="en-AU"/>
        </w:rPr>
        <w:t>, the Chief Executive Medicare may at his or her discretion disclose health information held abou</w:t>
      </w:r>
      <w:r w:rsidR="00030272" w:rsidRPr="00AD78AE">
        <w:rPr>
          <w:lang w:val="en-AU" w:eastAsia="en-AU"/>
        </w:rPr>
        <w:t xml:space="preserve">t relevant </w:t>
      </w:r>
      <w:r w:rsidRPr="00AD78AE">
        <w:rPr>
          <w:lang w:val="en-AU" w:eastAsia="en-AU"/>
        </w:rPr>
        <w:t>healthcare recipient</w:t>
      </w:r>
      <w:r w:rsidR="00030272" w:rsidRPr="00AD78AE">
        <w:rPr>
          <w:lang w:val="en-AU" w:eastAsia="en-AU"/>
        </w:rPr>
        <w:t xml:space="preserve">s </w:t>
      </w:r>
      <w:r w:rsidRPr="00AD78AE">
        <w:rPr>
          <w:lang w:val="en-AU" w:eastAsia="en-AU"/>
        </w:rPr>
        <w:t xml:space="preserve">(such as </w:t>
      </w:r>
      <w:r w:rsidR="00AE3DB8">
        <w:rPr>
          <w:lang w:val="en-AU" w:eastAsia="en-AU"/>
        </w:rPr>
        <w:t>M</w:t>
      </w:r>
      <w:r w:rsidRPr="00AD78AE">
        <w:rPr>
          <w:lang w:val="en-AU" w:eastAsia="en-AU"/>
        </w:rPr>
        <w:t>edica</w:t>
      </w:r>
      <w:r w:rsidR="00AE3DB8">
        <w:rPr>
          <w:lang w:val="en-AU" w:eastAsia="en-AU"/>
        </w:rPr>
        <w:t>re</w:t>
      </w:r>
      <w:r w:rsidRPr="00AD78AE">
        <w:rPr>
          <w:lang w:val="en-AU" w:eastAsia="en-AU"/>
        </w:rPr>
        <w:t xml:space="preserve"> and </w:t>
      </w:r>
      <w:r w:rsidR="00AE3DB8">
        <w:rPr>
          <w:lang w:val="en-AU" w:eastAsia="en-AU"/>
        </w:rPr>
        <w:t>P</w:t>
      </w:r>
      <w:r w:rsidRPr="00AD78AE">
        <w:rPr>
          <w:lang w:val="en-AU" w:eastAsia="en-AU"/>
        </w:rPr>
        <w:t xml:space="preserve">harmaceutical </w:t>
      </w:r>
      <w:r w:rsidR="00AE3DB8">
        <w:rPr>
          <w:lang w:val="en-AU" w:eastAsia="en-AU"/>
        </w:rPr>
        <w:t>B</w:t>
      </w:r>
      <w:r w:rsidRPr="00AD78AE">
        <w:rPr>
          <w:lang w:val="en-AU" w:eastAsia="en-AU"/>
        </w:rPr>
        <w:t>enefits</w:t>
      </w:r>
      <w:r w:rsidR="00AE3DB8">
        <w:rPr>
          <w:lang w:val="en-AU" w:eastAsia="en-AU"/>
        </w:rPr>
        <w:t xml:space="preserve"> Scheme</w:t>
      </w:r>
      <w:r w:rsidRPr="00AD78AE">
        <w:rPr>
          <w:lang w:val="en-AU" w:eastAsia="en-AU"/>
        </w:rPr>
        <w:t xml:space="preserve"> information) to the System Operator for inclusion in the healthcare recipient’s My Health Record.</w:t>
      </w:r>
      <w:r w:rsidR="00030272" w:rsidRPr="00AD78AE">
        <w:rPr>
          <w:lang w:val="en-AU" w:eastAsia="en-AU"/>
        </w:rPr>
        <w:t xml:space="preserve"> </w:t>
      </w:r>
      <w:r w:rsidR="00720261">
        <w:rPr>
          <w:lang w:val="en-AU" w:eastAsia="en-AU"/>
        </w:rPr>
        <w:t xml:space="preserve"> </w:t>
      </w:r>
      <w:r w:rsidR="00030272" w:rsidRPr="00AD78AE">
        <w:rPr>
          <w:lang w:val="en-AU" w:eastAsia="en-AU"/>
        </w:rPr>
        <w:t>Clause 13 of Schedule</w:t>
      </w:r>
      <w:r w:rsidR="00AE3DB8">
        <w:rPr>
          <w:lang w:val="en-AU" w:eastAsia="en-AU"/>
        </w:rPr>
        <w:t> </w:t>
      </w:r>
      <w:r w:rsidR="00030272" w:rsidRPr="00AD78AE">
        <w:rPr>
          <w:lang w:val="en-AU" w:eastAsia="en-AU"/>
        </w:rPr>
        <w:t>1 to the Act provides that a healthcare recipient</w:t>
      </w:r>
      <w:r w:rsidR="00030272">
        <w:rPr>
          <w:lang w:bidi="hi-IN"/>
        </w:rPr>
        <w:t xml:space="preserve"> in the opt-out model may, by notice to the System Operator, elect not to have their Medicare health information made available to the System Operator. </w:t>
      </w:r>
      <w:r w:rsidR="00720261">
        <w:rPr>
          <w:lang w:bidi="hi-IN"/>
        </w:rPr>
        <w:t xml:space="preserve"> </w:t>
      </w:r>
      <w:r w:rsidR="00030272">
        <w:rPr>
          <w:lang w:bidi="hi-IN"/>
        </w:rPr>
        <w:t>Subparagraph 13(2</w:t>
      </w:r>
      <w:proofErr w:type="gramStart"/>
      <w:r w:rsidR="00030272">
        <w:rPr>
          <w:lang w:bidi="hi-IN"/>
        </w:rPr>
        <w:t>)(</w:t>
      </w:r>
      <w:proofErr w:type="gramEnd"/>
      <w:r w:rsidR="00030272">
        <w:rPr>
          <w:lang w:bidi="hi-IN"/>
        </w:rPr>
        <w:t>c)(</w:t>
      </w:r>
      <w:proofErr w:type="spellStart"/>
      <w:r w:rsidR="00030272">
        <w:rPr>
          <w:lang w:bidi="hi-IN"/>
        </w:rPr>
        <w:t>i</w:t>
      </w:r>
      <w:proofErr w:type="spellEnd"/>
      <w:r w:rsidR="00030272">
        <w:rPr>
          <w:lang w:bidi="hi-IN"/>
        </w:rPr>
        <w:t xml:space="preserve">) of the Schedule allows for the Minister to make a rule stipulating the time </w:t>
      </w:r>
      <w:r w:rsidR="00A82E00">
        <w:rPr>
          <w:lang w:bidi="hi-IN"/>
        </w:rPr>
        <w:t xml:space="preserve">within which such </w:t>
      </w:r>
      <w:r w:rsidR="00030272">
        <w:rPr>
          <w:lang w:bidi="hi-IN"/>
        </w:rPr>
        <w:t>a notice must be given.</w:t>
      </w:r>
      <w:r w:rsidR="00E26F04" w:rsidRPr="00E26F04">
        <w:rPr>
          <w:lang w:bidi="hi-IN"/>
        </w:rPr>
        <w:t xml:space="preserve"> </w:t>
      </w:r>
    </w:p>
    <w:p w:rsidR="00476A03" w:rsidRPr="00030272" w:rsidRDefault="00476A03" w:rsidP="00C946CE">
      <w:pPr>
        <w:autoSpaceDE w:val="0"/>
        <w:autoSpaceDN w:val="0"/>
        <w:adjustRightInd w:val="0"/>
        <w:spacing w:after="240"/>
        <w:rPr>
          <w:lang w:bidi="hi-IN"/>
        </w:rPr>
      </w:pPr>
      <w:r w:rsidRPr="00030272">
        <w:rPr>
          <w:lang w:bidi="hi-IN"/>
        </w:rPr>
        <w:t xml:space="preserve">Rule 6 applies to </w:t>
      </w:r>
      <w:r>
        <w:rPr>
          <w:lang w:bidi="hi-IN"/>
        </w:rPr>
        <w:t>healthcare recipients:</w:t>
      </w:r>
    </w:p>
    <w:p w:rsidR="00476A03" w:rsidRDefault="00476A03" w:rsidP="00C946CE">
      <w:pPr>
        <w:pStyle w:val="ListParagraph"/>
        <w:numPr>
          <w:ilvl w:val="0"/>
          <w:numId w:val="12"/>
        </w:numPr>
        <w:autoSpaceDE w:val="0"/>
        <w:autoSpaceDN w:val="0"/>
        <w:adjustRightInd w:val="0"/>
        <w:spacing w:after="240"/>
        <w:ind w:left="357" w:hanging="357"/>
        <w:contextualSpacing w:val="0"/>
        <w:rPr>
          <w:lang w:bidi="hi-IN"/>
        </w:rPr>
      </w:pPr>
      <w:r>
        <w:rPr>
          <w:lang w:bidi="hi-IN"/>
        </w:rPr>
        <w:t>who are a member of a class of healthcare recipients prescribed under Rule 4; and</w:t>
      </w:r>
    </w:p>
    <w:p w:rsidR="00476A03" w:rsidRPr="00AD3F3E" w:rsidRDefault="00476A03" w:rsidP="00C946CE">
      <w:pPr>
        <w:pStyle w:val="ListParagraph"/>
        <w:numPr>
          <w:ilvl w:val="0"/>
          <w:numId w:val="12"/>
        </w:numPr>
        <w:autoSpaceDE w:val="0"/>
        <w:autoSpaceDN w:val="0"/>
        <w:adjustRightInd w:val="0"/>
        <w:spacing w:after="240"/>
        <w:ind w:left="357" w:hanging="357"/>
        <w:contextualSpacing w:val="0"/>
        <w:rPr>
          <w:lang w:bidi="hi-IN"/>
        </w:rPr>
      </w:pPr>
      <w:proofErr w:type="gramStart"/>
      <w:r>
        <w:rPr>
          <w:lang w:bidi="hi-IN"/>
        </w:rPr>
        <w:t>who</w:t>
      </w:r>
      <w:proofErr w:type="gramEnd"/>
      <w:r>
        <w:rPr>
          <w:lang w:bidi="hi-IN"/>
        </w:rPr>
        <w:t xml:space="preserve"> have not elected to opt-out of registration within the period prescribed under Rule</w:t>
      </w:r>
      <w:r w:rsidR="005C3DA4">
        <w:rPr>
          <w:lang w:bidi="hi-IN"/>
        </w:rPr>
        <w:t> </w:t>
      </w:r>
      <w:r>
        <w:rPr>
          <w:lang w:bidi="hi-IN"/>
        </w:rPr>
        <w:t>5.</w:t>
      </w:r>
      <w:r w:rsidR="003246ED">
        <w:rPr>
          <w:lang w:bidi="hi-IN"/>
        </w:rPr>
        <w:t xml:space="preserve">  That is, they have not opted-out during the period </w:t>
      </w:r>
      <w:r w:rsidR="003246ED" w:rsidRPr="00AD3F3E">
        <w:rPr>
          <w:lang w:bidi="hi-IN"/>
        </w:rPr>
        <w:t>4 April 2016 to 27 May 2016</w:t>
      </w:r>
      <w:r w:rsidR="00AD78AE" w:rsidRPr="00AD3F3E">
        <w:rPr>
          <w:lang w:bidi="hi-IN"/>
        </w:rPr>
        <w:t>.</w:t>
      </w:r>
    </w:p>
    <w:p w:rsidR="00CA156B" w:rsidRPr="00AD3F3E" w:rsidRDefault="00CE7BF2" w:rsidP="00C946CE">
      <w:pPr>
        <w:autoSpaceDE w:val="0"/>
        <w:autoSpaceDN w:val="0"/>
        <w:adjustRightInd w:val="0"/>
        <w:spacing w:after="240"/>
        <w:rPr>
          <w:lang w:bidi="hi-IN"/>
        </w:rPr>
      </w:pPr>
      <w:r w:rsidRPr="00AD3F3E">
        <w:rPr>
          <w:lang w:bidi="hi-IN"/>
        </w:rPr>
        <w:t xml:space="preserve">Under </w:t>
      </w:r>
      <w:r w:rsidR="00AE3DB8" w:rsidRPr="00AD3F3E">
        <w:rPr>
          <w:lang w:bidi="hi-IN"/>
        </w:rPr>
        <w:t>r</w:t>
      </w:r>
      <w:r w:rsidRPr="00AD3F3E">
        <w:rPr>
          <w:lang w:bidi="hi-IN"/>
        </w:rPr>
        <w:t>ule 6,</w:t>
      </w:r>
      <w:r w:rsidR="00E26F04" w:rsidRPr="00AD3F3E">
        <w:rPr>
          <w:lang w:bidi="hi-IN"/>
        </w:rPr>
        <w:t xml:space="preserve"> </w:t>
      </w:r>
      <w:r w:rsidR="00030272" w:rsidRPr="00AD3F3E">
        <w:rPr>
          <w:lang w:bidi="hi-IN"/>
        </w:rPr>
        <w:t>i</w:t>
      </w:r>
      <w:r w:rsidR="00476A03" w:rsidRPr="00AD3F3E">
        <w:rPr>
          <w:lang w:bidi="hi-IN"/>
        </w:rPr>
        <w:t>f a healthcare recipient</w:t>
      </w:r>
      <w:r w:rsidRPr="00AD3F3E">
        <w:rPr>
          <w:lang w:bidi="hi-IN"/>
        </w:rPr>
        <w:t xml:space="preserve"> chooses to </w:t>
      </w:r>
      <w:r w:rsidR="00476A03" w:rsidRPr="00AD3F3E">
        <w:rPr>
          <w:lang w:bidi="hi-IN"/>
        </w:rPr>
        <w:t xml:space="preserve">not have </w:t>
      </w:r>
      <w:r w:rsidR="003246ED" w:rsidRPr="00AD3F3E">
        <w:rPr>
          <w:lang w:bidi="hi-IN"/>
        </w:rPr>
        <w:t xml:space="preserve">their </w:t>
      </w:r>
      <w:r w:rsidR="00476A03" w:rsidRPr="00AD3F3E">
        <w:rPr>
          <w:lang w:bidi="hi-IN"/>
        </w:rPr>
        <w:t>health information held by the Chief Executive Medicare made available to the System Operator, the healthcare recipient’s</w:t>
      </w:r>
      <w:r w:rsidRPr="00AD3F3E">
        <w:rPr>
          <w:lang w:bidi="hi-IN"/>
        </w:rPr>
        <w:t xml:space="preserve"> </w:t>
      </w:r>
      <w:r w:rsidR="00476A03" w:rsidRPr="00AD3F3E">
        <w:rPr>
          <w:lang w:bidi="hi-IN"/>
        </w:rPr>
        <w:t xml:space="preserve">election must be given to the System Operator within the period commencing on </w:t>
      </w:r>
      <w:r w:rsidR="002F21ED">
        <w:rPr>
          <w:lang w:bidi="hi-IN"/>
        </w:rPr>
        <w:t>28 May</w:t>
      </w:r>
      <w:r w:rsidR="004C6827" w:rsidRPr="00AD3F3E">
        <w:rPr>
          <w:lang w:bidi="hi-IN"/>
        </w:rPr>
        <w:t> </w:t>
      </w:r>
      <w:r w:rsidR="00476A03" w:rsidRPr="00AD3F3E">
        <w:rPr>
          <w:lang w:bidi="hi-IN"/>
        </w:rPr>
        <w:t>2016 and ending on 14 July 2016.</w:t>
      </w:r>
    </w:p>
    <w:p w:rsidR="004E4598" w:rsidRPr="00AD3F3E" w:rsidRDefault="005179AE" w:rsidP="00C946CE">
      <w:pPr>
        <w:autoSpaceDE w:val="0"/>
        <w:autoSpaceDN w:val="0"/>
        <w:adjustRightInd w:val="0"/>
        <w:spacing w:after="240"/>
      </w:pPr>
      <w:r>
        <w:t>After this period has expired, i</w:t>
      </w:r>
      <w:r w:rsidR="00CA156B" w:rsidRPr="00AD3F3E">
        <w:t xml:space="preserve">f a healthcare recipient </w:t>
      </w:r>
      <w:r>
        <w:t>has</w:t>
      </w:r>
      <w:r w:rsidR="00CA156B" w:rsidRPr="00AD3F3E">
        <w:t xml:space="preserve"> not give</w:t>
      </w:r>
      <w:r>
        <w:t>n</w:t>
      </w:r>
      <w:r w:rsidR="00CA156B" w:rsidRPr="00AD3F3E">
        <w:t xml:space="preserve"> notice, the Chief Executive Medicare may disclose </w:t>
      </w:r>
      <w:r w:rsidR="00E26F04" w:rsidRPr="00AD3F3E">
        <w:t xml:space="preserve">health information </w:t>
      </w:r>
      <w:r w:rsidR="00D803E9" w:rsidRPr="00AD3F3E">
        <w:t>h</w:t>
      </w:r>
      <w:r w:rsidR="004E4598" w:rsidRPr="00AD3F3E">
        <w:t>e</w:t>
      </w:r>
      <w:r w:rsidR="00D803E9" w:rsidRPr="00AD3F3E">
        <w:t xml:space="preserve">ld about the healthcare recipient </w:t>
      </w:r>
      <w:r w:rsidR="00CA156B" w:rsidRPr="00AD3F3E">
        <w:t xml:space="preserve">to the System Operator for inclusion in the healthcare recipient’s My Health Record. </w:t>
      </w:r>
    </w:p>
    <w:p w:rsidR="004E4598" w:rsidRPr="00AD3F3E" w:rsidRDefault="00CA156B" w:rsidP="00C946CE">
      <w:pPr>
        <w:autoSpaceDE w:val="0"/>
        <w:autoSpaceDN w:val="0"/>
        <w:adjustRightInd w:val="0"/>
        <w:spacing w:after="240"/>
      </w:pPr>
      <w:r w:rsidRPr="00AD3F3E">
        <w:t xml:space="preserve">After </w:t>
      </w:r>
      <w:r w:rsidR="004E4598" w:rsidRPr="00AD3F3E">
        <w:t xml:space="preserve">the </w:t>
      </w:r>
      <w:r w:rsidRPr="00AD3F3E">
        <w:t>period</w:t>
      </w:r>
      <w:r w:rsidR="004E4598" w:rsidRPr="00AD3F3E">
        <w:t xml:space="preserve"> prescribed in rule 6</w:t>
      </w:r>
      <w:r w:rsidRPr="00AD3F3E">
        <w:t xml:space="preserve">, healthcare recipients </w:t>
      </w:r>
      <w:r w:rsidR="000E005D" w:rsidRPr="00AD3F3E">
        <w:t xml:space="preserve">may </w:t>
      </w:r>
      <w:r w:rsidRPr="00AD3F3E">
        <w:t>change their mind</w:t>
      </w:r>
      <w:r w:rsidR="00CE7BF2" w:rsidRPr="00AD3F3E">
        <w:t xml:space="preserve"> at any time</w:t>
      </w:r>
      <w:r w:rsidRPr="00AD3F3E">
        <w:t xml:space="preserve"> and include, or not include, health information held by the Chief Executive Medicare about them in their My Health Record</w:t>
      </w:r>
      <w:r w:rsidR="000E005D" w:rsidRPr="00AD3F3E">
        <w:t xml:space="preserve"> (see clause 13 of Schedule 1 to the Act)</w:t>
      </w:r>
      <w:r w:rsidRPr="00AD3F3E">
        <w:t>.</w:t>
      </w:r>
      <w:r w:rsidR="0028072D" w:rsidRPr="00AD3F3E">
        <w:t xml:space="preserve"> </w:t>
      </w:r>
    </w:p>
    <w:p w:rsidR="00476A03" w:rsidRPr="00AD78AE" w:rsidRDefault="0028072D" w:rsidP="00C946CE">
      <w:pPr>
        <w:autoSpaceDE w:val="0"/>
        <w:autoSpaceDN w:val="0"/>
        <w:adjustRightInd w:val="0"/>
        <w:spacing w:after="240"/>
      </w:pPr>
      <w:r w:rsidRPr="00AD3F3E">
        <w:t xml:space="preserve">If a healthcare recipient gives notice </w:t>
      </w:r>
      <w:r w:rsidR="00DF3759" w:rsidRPr="00AD3F3E">
        <w:t xml:space="preserve">that </w:t>
      </w:r>
      <w:r w:rsidR="00AD78AE" w:rsidRPr="00AD3F3E">
        <w:t>they no</w:t>
      </w:r>
      <w:r w:rsidR="00DF3759" w:rsidRPr="00AD3F3E">
        <w:t xml:space="preserve"> longer wish to have Medicare health information included in their My Health Record</w:t>
      </w:r>
      <w:r w:rsidRPr="00AD3F3E">
        <w:t xml:space="preserve">, the Chief Executive Medicare </w:t>
      </w:r>
      <w:r w:rsidR="00081724" w:rsidRPr="00AD3F3E">
        <w:t>must not</w:t>
      </w:r>
      <w:r w:rsidRPr="00AD3F3E">
        <w:t xml:space="preserve"> disclose to the System Operator any </w:t>
      </w:r>
      <w:r w:rsidR="00DF3759" w:rsidRPr="00AD3F3E">
        <w:t>further</w:t>
      </w:r>
      <w:r w:rsidRPr="00AD3F3E">
        <w:t xml:space="preserve"> health information it hold</w:t>
      </w:r>
      <w:r w:rsidR="00081724" w:rsidRPr="00AD3F3E">
        <w:t>s about the healthcare recipient</w:t>
      </w:r>
      <w:r w:rsidRPr="00AD3F3E">
        <w:t xml:space="preserve">. </w:t>
      </w:r>
      <w:r w:rsidR="004E4598" w:rsidRPr="00AD3F3E">
        <w:t>However, a</w:t>
      </w:r>
      <w:r w:rsidRPr="00AD3F3E">
        <w:t xml:space="preserve">ny health information </w:t>
      </w:r>
      <w:r w:rsidR="004E4598" w:rsidRPr="00AD3F3E">
        <w:t xml:space="preserve">made available to the System Operator </w:t>
      </w:r>
      <w:r w:rsidRPr="00AD3F3E">
        <w:t xml:space="preserve">before </w:t>
      </w:r>
      <w:r w:rsidR="004E4598" w:rsidRPr="00AD3F3E">
        <w:t xml:space="preserve">the notice is given </w:t>
      </w:r>
      <w:r w:rsidRPr="00AD3F3E">
        <w:t xml:space="preserve">will </w:t>
      </w:r>
      <w:r w:rsidR="004E4598" w:rsidRPr="00AD3F3E">
        <w:t xml:space="preserve">continue to </w:t>
      </w:r>
      <w:r w:rsidRPr="00AD3F3E">
        <w:t xml:space="preserve">be available </w:t>
      </w:r>
      <w:r w:rsidR="00DF3759" w:rsidRPr="00AD3F3E">
        <w:t xml:space="preserve">in </w:t>
      </w:r>
      <w:r w:rsidRPr="00AD3F3E">
        <w:t xml:space="preserve">the healthcare recipient’s My Health Record. </w:t>
      </w:r>
      <w:r w:rsidR="00720261" w:rsidRPr="00AD3F3E">
        <w:t xml:space="preserve"> </w:t>
      </w:r>
      <w:r w:rsidR="00081724" w:rsidRPr="00AD3F3E">
        <w:t>H</w:t>
      </w:r>
      <w:r w:rsidR="00CA156B" w:rsidRPr="00AD3F3E">
        <w:t>ealthcare recipient</w:t>
      </w:r>
      <w:r w:rsidR="00DF3759" w:rsidRPr="00AD3F3E">
        <w:t>s</w:t>
      </w:r>
      <w:r w:rsidR="00CA156B" w:rsidRPr="00AD3F3E">
        <w:t xml:space="preserve"> may, if they wish, remove </w:t>
      </w:r>
      <w:r w:rsidR="00081724" w:rsidRPr="00AD3F3E">
        <w:t>such documents from their My Health R</w:t>
      </w:r>
      <w:r w:rsidR="00CA156B" w:rsidRPr="00AD3F3E">
        <w:t xml:space="preserve">ecord – see paragraph 4(e) of the </w:t>
      </w:r>
      <w:r w:rsidR="00CA156B" w:rsidRPr="00AD3F3E">
        <w:rPr>
          <w:i/>
        </w:rPr>
        <w:t>My Health Records Rule 201</w:t>
      </w:r>
      <w:r w:rsidR="00914031">
        <w:rPr>
          <w:i/>
        </w:rPr>
        <w:t>6</w:t>
      </w:r>
      <w:r w:rsidR="00081724" w:rsidRPr="00AD3F3E">
        <w:rPr>
          <w:i/>
        </w:rPr>
        <w:t>.</w:t>
      </w:r>
    </w:p>
    <w:p w:rsidR="005E294D" w:rsidRDefault="005E294D" w:rsidP="00C946CE">
      <w:pPr>
        <w:spacing w:after="240"/>
        <w:rPr>
          <w:b/>
        </w:rPr>
      </w:pPr>
      <w:r>
        <w:rPr>
          <w:b/>
        </w:rPr>
        <w:br w:type="page"/>
      </w:r>
    </w:p>
    <w:p w:rsidR="00CD4B9E" w:rsidRPr="00381444" w:rsidRDefault="00CD4B9E" w:rsidP="004C6827">
      <w:pPr>
        <w:keepNext/>
        <w:spacing w:before="120" w:after="240"/>
        <w:jc w:val="center"/>
        <w:rPr>
          <w:b/>
        </w:rPr>
      </w:pPr>
      <w:r w:rsidRPr="00381444">
        <w:rPr>
          <w:b/>
        </w:rPr>
        <w:lastRenderedPageBreak/>
        <w:t>Statement of Compatibility with Human Rights</w:t>
      </w:r>
    </w:p>
    <w:p w:rsidR="00CD4B9E" w:rsidRPr="00837C5E" w:rsidRDefault="00CD4B9E" w:rsidP="004C6827">
      <w:pPr>
        <w:keepNext/>
        <w:spacing w:before="160" w:after="240"/>
        <w:jc w:val="center"/>
        <w:rPr>
          <w:i/>
        </w:rPr>
      </w:pPr>
      <w:r w:rsidRPr="00381444">
        <w:rPr>
          <w:i/>
        </w:rPr>
        <w:t>Prepared in accordance with Part 3 of the Human Rights (Parliamentary Scrutiny) Act 2011</w:t>
      </w:r>
    </w:p>
    <w:p w:rsidR="00CD4B9E" w:rsidRPr="00B039FE" w:rsidRDefault="005E294D" w:rsidP="004C6827">
      <w:pPr>
        <w:keepNext/>
        <w:spacing w:before="160" w:after="480"/>
        <w:jc w:val="center"/>
        <w:rPr>
          <w:b/>
          <w:i/>
        </w:rPr>
      </w:pPr>
      <w:r>
        <w:rPr>
          <w:b/>
          <w:i/>
        </w:rPr>
        <w:t>My Health Records</w:t>
      </w:r>
      <w:r w:rsidR="00CD4B9E" w:rsidRPr="00B039FE">
        <w:rPr>
          <w:b/>
          <w:i/>
        </w:rPr>
        <w:t xml:space="preserve"> (</w:t>
      </w:r>
      <w:r w:rsidR="0028072D">
        <w:rPr>
          <w:b/>
          <w:i/>
        </w:rPr>
        <w:t>Opt-out Trial</w:t>
      </w:r>
      <w:r w:rsidR="005044E2">
        <w:rPr>
          <w:b/>
          <w:i/>
        </w:rPr>
        <w:t>s</w:t>
      </w:r>
      <w:r w:rsidR="00CD4B9E" w:rsidRPr="00B039FE">
        <w:rPr>
          <w:b/>
          <w:i/>
        </w:rPr>
        <w:t xml:space="preserve">) </w:t>
      </w:r>
      <w:r w:rsidR="00C77EF5">
        <w:rPr>
          <w:b/>
          <w:i/>
        </w:rPr>
        <w:t>Rule</w:t>
      </w:r>
      <w:r w:rsidR="00CD4B9E">
        <w:rPr>
          <w:b/>
          <w:i/>
        </w:rPr>
        <w:t> </w:t>
      </w:r>
      <w:r w:rsidR="00CD4B9E" w:rsidRPr="00B039FE">
        <w:rPr>
          <w:b/>
          <w:i/>
        </w:rPr>
        <w:t>201</w:t>
      </w:r>
      <w:r w:rsidR="00914031">
        <w:rPr>
          <w:b/>
          <w:i/>
        </w:rPr>
        <w:t>6</w:t>
      </w:r>
    </w:p>
    <w:p w:rsidR="00CD4B9E" w:rsidRPr="00381444" w:rsidRDefault="00CD4B9E" w:rsidP="004C6827">
      <w:pPr>
        <w:keepNext/>
        <w:spacing w:before="160" w:after="240"/>
      </w:pPr>
      <w:r w:rsidRPr="00381444">
        <w:t xml:space="preserve">This Legislative Instrument is compatible with the human rights and freedoms recognised or declared in the international instruments listed in section 3 of the </w:t>
      </w:r>
      <w:r w:rsidRPr="00381444">
        <w:rPr>
          <w:i/>
        </w:rPr>
        <w:t>Human Rights (Parliamentary Scrutiny) Act 2011</w:t>
      </w:r>
      <w:r w:rsidRPr="00381444">
        <w:t>.</w:t>
      </w:r>
    </w:p>
    <w:p w:rsidR="00CD4B9E" w:rsidRPr="00381444" w:rsidRDefault="00CD4B9E" w:rsidP="004C6827">
      <w:pPr>
        <w:keepNext/>
        <w:spacing w:after="240"/>
        <w:rPr>
          <w:b/>
        </w:rPr>
      </w:pPr>
      <w:r w:rsidRPr="00381444">
        <w:rPr>
          <w:b/>
        </w:rPr>
        <w:t>Overview of the Legislative Instrument</w:t>
      </w:r>
    </w:p>
    <w:p w:rsidR="00CD4B9E" w:rsidRPr="00381444" w:rsidRDefault="00CD4B9E" w:rsidP="00C946CE">
      <w:pPr>
        <w:spacing w:after="240"/>
      </w:pPr>
      <w:r w:rsidRPr="00381444">
        <w:t xml:space="preserve">The Legislative Instrument is part of a collection of rules that provide the detail necessary to support the operation of the </w:t>
      </w:r>
      <w:r w:rsidR="005E294D">
        <w:t xml:space="preserve">My Health Record </w:t>
      </w:r>
      <w:r w:rsidRPr="00381444">
        <w:t xml:space="preserve">system, as established by the </w:t>
      </w:r>
      <w:r w:rsidR="005E294D">
        <w:rPr>
          <w:i/>
          <w:iCs/>
        </w:rPr>
        <w:t xml:space="preserve">My Health </w:t>
      </w:r>
      <w:r w:rsidRPr="00381444">
        <w:rPr>
          <w:i/>
          <w:iCs/>
        </w:rPr>
        <w:t>Records Act 2012</w:t>
      </w:r>
      <w:r w:rsidRPr="00381444">
        <w:t xml:space="preserve"> </w:t>
      </w:r>
      <w:r w:rsidR="00D23886">
        <w:t>(the Act).</w:t>
      </w:r>
    </w:p>
    <w:p w:rsidR="00A419A5" w:rsidRDefault="00AF470E" w:rsidP="00720261">
      <w:pPr>
        <w:spacing w:after="240"/>
      </w:pPr>
      <w:r>
        <w:t>The</w:t>
      </w:r>
      <w:r w:rsidR="00CD4B9E" w:rsidRPr="00381444">
        <w:t xml:space="preserve"> Legislative Instrument will</w:t>
      </w:r>
      <w:r w:rsidR="00933DE0">
        <w:t>, in summary</w:t>
      </w:r>
      <w:r w:rsidR="00A419A5">
        <w:t>:</w:t>
      </w:r>
    </w:p>
    <w:p w:rsidR="00A419A5" w:rsidRPr="00A419A5" w:rsidRDefault="00A419A5" w:rsidP="00C946CE">
      <w:pPr>
        <w:pStyle w:val="ListParagraph"/>
        <w:numPr>
          <w:ilvl w:val="0"/>
          <w:numId w:val="15"/>
        </w:numPr>
        <w:spacing w:after="240"/>
        <w:ind w:left="357" w:hanging="357"/>
        <w:contextualSpacing w:val="0"/>
        <w:rPr>
          <w:lang w:val="en-AU" w:eastAsia="en-AU"/>
        </w:rPr>
      </w:pPr>
      <w:r>
        <w:t xml:space="preserve">prescribe </w:t>
      </w:r>
      <w:r w:rsidRPr="00A419A5">
        <w:rPr>
          <w:lang w:val="en-AU" w:eastAsia="en-AU"/>
        </w:rPr>
        <w:t xml:space="preserve">the classes of healthcare recipients who will </w:t>
      </w:r>
      <w:r w:rsidR="005044E2">
        <w:rPr>
          <w:lang w:val="en-AU" w:eastAsia="en-AU"/>
        </w:rPr>
        <w:t>participate in</w:t>
      </w:r>
      <w:r w:rsidRPr="00A419A5">
        <w:rPr>
          <w:lang w:val="en-AU" w:eastAsia="en-AU"/>
        </w:rPr>
        <w:t xml:space="preserve"> opt-out trial</w:t>
      </w:r>
      <w:r w:rsidR="00DF4BD7">
        <w:rPr>
          <w:lang w:val="en-AU" w:eastAsia="en-AU"/>
        </w:rPr>
        <w:t>s</w:t>
      </w:r>
      <w:r w:rsidRPr="00A419A5">
        <w:rPr>
          <w:lang w:val="en-AU" w:eastAsia="en-AU"/>
        </w:rPr>
        <w:t xml:space="preserve"> of the My Health Record system</w:t>
      </w:r>
      <w:r w:rsidR="005044E2">
        <w:rPr>
          <w:lang w:val="en-AU" w:eastAsia="en-AU"/>
        </w:rPr>
        <w:t>, unless the</w:t>
      </w:r>
      <w:r w:rsidR="00A42F3A">
        <w:rPr>
          <w:lang w:val="en-AU" w:eastAsia="en-AU"/>
        </w:rPr>
        <w:t>y</w:t>
      </w:r>
      <w:r w:rsidR="005044E2">
        <w:rPr>
          <w:lang w:val="en-AU" w:eastAsia="en-AU"/>
        </w:rPr>
        <w:t xml:space="preserve"> choose to opt-out</w:t>
      </w:r>
      <w:r w:rsidR="00CE42E0">
        <w:t>;</w:t>
      </w:r>
    </w:p>
    <w:p w:rsidR="00A419A5" w:rsidRDefault="00A419A5" w:rsidP="00C946CE">
      <w:pPr>
        <w:pStyle w:val="ListParagraph"/>
        <w:numPr>
          <w:ilvl w:val="0"/>
          <w:numId w:val="15"/>
        </w:numPr>
        <w:spacing w:after="240"/>
        <w:ind w:left="357" w:hanging="357"/>
        <w:contextualSpacing w:val="0"/>
        <w:rPr>
          <w:lang w:val="en-AU" w:eastAsia="en-AU"/>
        </w:rPr>
      </w:pPr>
      <w:r>
        <w:t xml:space="preserve">prescribe </w:t>
      </w:r>
      <w:r>
        <w:rPr>
          <w:lang w:val="en-AU" w:eastAsia="en-AU"/>
        </w:rPr>
        <w:t xml:space="preserve">the period of time </w:t>
      </w:r>
      <w:r w:rsidR="005044E2">
        <w:rPr>
          <w:lang w:val="en-AU" w:eastAsia="en-AU"/>
        </w:rPr>
        <w:t xml:space="preserve">within which </w:t>
      </w:r>
      <w:r>
        <w:rPr>
          <w:lang w:val="en-AU" w:eastAsia="en-AU"/>
        </w:rPr>
        <w:t xml:space="preserve">a </w:t>
      </w:r>
      <w:r w:rsidR="00AD1F72">
        <w:rPr>
          <w:lang w:val="en-AU" w:eastAsia="en-AU"/>
        </w:rPr>
        <w:t>member of the prescribed class</w:t>
      </w:r>
      <w:r w:rsidR="00DF4BD7">
        <w:rPr>
          <w:lang w:val="en-AU" w:eastAsia="en-AU"/>
        </w:rPr>
        <w:t>es</w:t>
      </w:r>
      <w:r w:rsidR="005044E2">
        <w:rPr>
          <w:lang w:val="en-AU" w:eastAsia="en-AU"/>
        </w:rPr>
        <w:t xml:space="preserve"> of healthcare recipients</w:t>
      </w:r>
      <w:r>
        <w:rPr>
          <w:lang w:val="en-AU" w:eastAsia="en-AU"/>
        </w:rPr>
        <w:t xml:space="preserve"> </w:t>
      </w:r>
      <w:r w:rsidR="005044E2">
        <w:rPr>
          <w:lang w:val="en-AU" w:eastAsia="en-AU"/>
        </w:rPr>
        <w:t xml:space="preserve">must give notice to the System Operator if they do not wish </w:t>
      </w:r>
      <w:r>
        <w:rPr>
          <w:lang w:val="en-AU" w:eastAsia="en-AU"/>
        </w:rPr>
        <w:t xml:space="preserve">to </w:t>
      </w:r>
      <w:r w:rsidR="005044E2">
        <w:rPr>
          <w:lang w:val="en-AU" w:eastAsia="en-AU"/>
        </w:rPr>
        <w:t xml:space="preserve">be registered and </w:t>
      </w:r>
      <w:r>
        <w:rPr>
          <w:lang w:val="en-AU" w:eastAsia="en-AU"/>
        </w:rPr>
        <w:t>have a My Health Record created for them; and</w:t>
      </w:r>
    </w:p>
    <w:p w:rsidR="00A419A5" w:rsidRDefault="00A419A5" w:rsidP="00C946CE">
      <w:pPr>
        <w:pStyle w:val="ListParagraph"/>
        <w:numPr>
          <w:ilvl w:val="0"/>
          <w:numId w:val="15"/>
        </w:numPr>
        <w:spacing w:after="240"/>
        <w:ind w:left="357" w:hanging="357"/>
        <w:contextualSpacing w:val="0"/>
        <w:rPr>
          <w:lang w:val="en-AU" w:eastAsia="en-AU"/>
        </w:rPr>
      </w:pPr>
      <w:r>
        <w:rPr>
          <w:lang w:val="en-AU" w:eastAsia="en-AU"/>
        </w:rPr>
        <w:t xml:space="preserve">prescribe the time period </w:t>
      </w:r>
      <w:r w:rsidR="00DF4BD7">
        <w:rPr>
          <w:lang w:val="en-AU" w:eastAsia="en-AU"/>
        </w:rPr>
        <w:t xml:space="preserve">within which </w:t>
      </w:r>
      <w:r w:rsidR="00AD1F72">
        <w:rPr>
          <w:lang w:val="en-AU" w:eastAsia="en-AU"/>
        </w:rPr>
        <w:t>a member of the prescribed class</w:t>
      </w:r>
      <w:r w:rsidR="00DF4BD7">
        <w:rPr>
          <w:lang w:val="en-AU" w:eastAsia="en-AU"/>
        </w:rPr>
        <w:t>es of healthcare recipients</w:t>
      </w:r>
      <w:r>
        <w:rPr>
          <w:lang w:val="en-AU" w:eastAsia="en-AU"/>
        </w:rPr>
        <w:t xml:space="preserve">, who </w:t>
      </w:r>
      <w:r w:rsidR="00AD1F72">
        <w:rPr>
          <w:lang w:val="en-AU" w:eastAsia="en-AU"/>
        </w:rPr>
        <w:t>has</w:t>
      </w:r>
      <w:r>
        <w:rPr>
          <w:lang w:val="en-AU" w:eastAsia="en-AU"/>
        </w:rPr>
        <w:t xml:space="preserve"> not opt</w:t>
      </w:r>
      <w:r w:rsidR="00DF4BD7">
        <w:rPr>
          <w:lang w:val="en-AU" w:eastAsia="en-AU"/>
        </w:rPr>
        <w:t>ed</w:t>
      </w:r>
      <w:r>
        <w:rPr>
          <w:lang w:val="en-AU" w:eastAsia="en-AU"/>
        </w:rPr>
        <w:t>-out</w:t>
      </w:r>
      <w:r w:rsidR="00DF4BD7">
        <w:rPr>
          <w:lang w:val="en-AU" w:eastAsia="en-AU"/>
        </w:rPr>
        <w:t>,</w:t>
      </w:r>
      <w:r>
        <w:rPr>
          <w:lang w:val="en-AU" w:eastAsia="en-AU"/>
        </w:rPr>
        <w:t xml:space="preserve"> </w:t>
      </w:r>
      <w:r w:rsidR="00A42F3A">
        <w:rPr>
          <w:lang w:val="en-AU" w:eastAsia="en-AU"/>
        </w:rPr>
        <w:t>may</w:t>
      </w:r>
      <w:r>
        <w:rPr>
          <w:lang w:val="en-AU" w:eastAsia="en-AU"/>
        </w:rPr>
        <w:t xml:space="preserve"> make an initial election to not have their health information held by the Chief Executive Medicare disclosed to the System Operator. </w:t>
      </w:r>
    </w:p>
    <w:p w:rsidR="00CD4B9E" w:rsidRPr="00F224F2" w:rsidRDefault="00CD4B9E" w:rsidP="004C6827">
      <w:pPr>
        <w:keepNext/>
        <w:spacing w:after="240"/>
        <w:rPr>
          <w:b/>
        </w:rPr>
      </w:pPr>
      <w:r w:rsidRPr="00F224F2">
        <w:rPr>
          <w:b/>
        </w:rPr>
        <w:t>Human rights implications</w:t>
      </w:r>
    </w:p>
    <w:p w:rsidR="00D23886" w:rsidRDefault="00CD4B9E" w:rsidP="004C6827">
      <w:pPr>
        <w:keepNext/>
        <w:spacing w:after="240"/>
      </w:pPr>
      <w:r w:rsidRPr="00676934">
        <w:t>T</w:t>
      </w:r>
      <w:r w:rsidR="00193486">
        <w:t>he</w:t>
      </w:r>
      <w:r w:rsidR="00C77EF5" w:rsidRPr="00676934">
        <w:t xml:space="preserve"> Legislative Instrument </w:t>
      </w:r>
      <w:r w:rsidRPr="00676934">
        <w:t>engage</w:t>
      </w:r>
      <w:r w:rsidR="00326129">
        <w:t>s</w:t>
      </w:r>
      <w:r w:rsidR="00D23886">
        <w:t xml:space="preserve"> the following human rights and freedoms:</w:t>
      </w:r>
    </w:p>
    <w:p w:rsidR="00933DE0" w:rsidRDefault="00933DE0" w:rsidP="004C6827">
      <w:pPr>
        <w:pStyle w:val="ListParagraph"/>
        <w:keepNext/>
        <w:spacing w:after="240"/>
        <w:ind w:left="3"/>
        <w:contextualSpacing w:val="0"/>
      </w:pPr>
      <w:r w:rsidRPr="00933DE0">
        <w:rPr>
          <w:bCs/>
          <w:i/>
        </w:rPr>
        <w:t>Right to health</w:t>
      </w:r>
    </w:p>
    <w:p w:rsidR="00A419A5" w:rsidRDefault="00933DE0" w:rsidP="00720261">
      <w:pPr>
        <w:pStyle w:val="ListParagraph"/>
        <w:spacing w:after="240"/>
        <w:ind w:left="3"/>
        <w:contextualSpacing w:val="0"/>
      </w:pPr>
      <w:r w:rsidRPr="00933DE0">
        <w:rPr>
          <w:bCs/>
        </w:rPr>
        <w:t xml:space="preserve">Article 12(1) of the </w:t>
      </w:r>
      <w:r w:rsidRPr="00933DE0">
        <w:rPr>
          <w:bCs/>
          <w:i/>
        </w:rPr>
        <w:t>International Covenant on Economic, Social and Cultural Rights</w:t>
      </w:r>
      <w:r w:rsidRPr="00933DE0">
        <w:rPr>
          <w:bCs/>
        </w:rPr>
        <w:t xml:space="preserve"> provides for </w:t>
      </w:r>
      <w:r w:rsidR="00193486">
        <w:rPr>
          <w:bCs/>
        </w:rPr>
        <w:t>the</w:t>
      </w:r>
      <w:r w:rsidRPr="00933DE0">
        <w:rPr>
          <w:bCs/>
        </w:rPr>
        <w:t xml:space="preserve"> right to the enjoyment of the highest attainable standard of physical and mental health</w:t>
      </w:r>
      <w:r>
        <w:rPr>
          <w:bCs/>
        </w:rPr>
        <w:t>.</w:t>
      </w:r>
      <w:r>
        <w:rPr>
          <w:rFonts w:ascii="Verdana" w:hAnsi="Verdana"/>
          <w:color w:val="111111"/>
          <w:sz w:val="20"/>
          <w:szCs w:val="20"/>
          <w:shd w:val="clear" w:color="auto" w:fill="FFFFFF"/>
        </w:rPr>
        <w:t xml:space="preserve"> </w:t>
      </w:r>
    </w:p>
    <w:p w:rsidR="00933DE0" w:rsidRDefault="00933DE0" w:rsidP="000B0F5D">
      <w:pPr>
        <w:pStyle w:val="ListParagraph"/>
        <w:spacing w:after="240"/>
        <w:ind w:left="3"/>
        <w:contextualSpacing w:val="0"/>
        <w:rPr>
          <w:bCs/>
        </w:rPr>
      </w:pPr>
      <w:r w:rsidRPr="00933DE0">
        <w:rPr>
          <w:bCs/>
        </w:rPr>
        <w:t>The My Health Record system promotes the right to health by facilitating</w:t>
      </w:r>
      <w:r w:rsidR="00193486">
        <w:rPr>
          <w:bCs/>
        </w:rPr>
        <w:t xml:space="preserve"> and improving the </w:t>
      </w:r>
      <w:r w:rsidRPr="00933DE0">
        <w:rPr>
          <w:bCs/>
        </w:rPr>
        <w:t xml:space="preserve">sharing </w:t>
      </w:r>
      <w:r w:rsidR="00336751">
        <w:rPr>
          <w:bCs/>
        </w:rPr>
        <w:t xml:space="preserve">of </w:t>
      </w:r>
      <w:r w:rsidR="00193486">
        <w:rPr>
          <w:bCs/>
        </w:rPr>
        <w:t>health</w:t>
      </w:r>
      <w:r w:rsidRPr="00933DE0">
        <w:rPr>
          <w:bCs/>
        </w:rPr>
        <w:t xml:space="preserve"> informatio</w:t>
      </w:r>
      <w:r w:rsidR="00A46119">
        <w:rPr>
          <w:bCs/>
        </w:rPr>
        <w:t xml:space="preserve">n between </w:t>
      </w:r>
      <w:r w:rsidR="00336751">
        <w:rPr>
          <w:bCs/>
        </w:rPr>
        <w:t xml:space="preserve">treating </w:t>
      </w:r>
      <w:r w:rsidR="00A46119">
        <w:rPr>
          <w:bCs/>
        </w:rPr>
        <w:t>healthcare providers</w:t>
      </w:r>
      <w:r w:rsidR="00336751">
        <w:rPr>
          <w:bCs/>
        </w:rPr>
        <w:t xml:space="preserve">, leading to </w:t>
      </w:r>
      <w:r w:rsidRPr="00933DE0">
        <w:rPr>
          <w:bCs/>
        </w:rPr>
        <w:t>quicker and safe</w:t>
      </w:r>
      <w:r w:rsidR="00A46119">
        <w:rPr>
          <w:bCs/>
        </w:rPr>
        <w:t>r treatment decisions and reducing</w:t>
      </w:r>
      <w:r w:rsidRPr="00933DE0">
        <w:rPr>
          <w:bCs/>
        </w:rPr>
        <w:t xml:space="preserve"> repetition of information for patients and duplication of tests.  Individuals are provided ready access to their own information, empowering them to make informed decisions about their healthcare.</w:t>
      </w:r>
      <w:r w:rsidR="00A419A5">
        <w:rPr>
          <w:bCs/>
        </w:rPr>
        <w:t xml:space="preserve"> </w:t>
      </w:r>
    </w:p>
    <w:p w:rsidR="00D23886" w:rsidRPr="00D929FD" w:rsidRDefault="00933DE0" w:rsidP="00AE3DB8">
      <w:pPr>
        <w:pStyle w:val="ListParagraph"/>
        <w:spacing w:after="240"/>
        <w:ind w:left="3"/>
        <w:contextualSpacing w:val="0"/>
        <w:rPr>
          <w:bCs/>
        </w:rPr>
      </w:pPr>
      <w:r w:rsidRPr="00933DE0">
        <w:rPr>
          <w:bCs/>
        </w:rPr>
        <w:t xml:space="preserve">The current </w:t>
      </w:r>
      <w:r w:rsidR="00336751">
        <w:rPr>
          <w:bCs/>
        </w:rPr>
        <w:t xml:space="preserve">opt-in </w:t>
      </w:r>
      <w:r w:rsidRPr="00933DE0">
        <w:rPr>
          <w:bCs/>
        </w:rPr>
        <w:t xml:space="preserve">participation arrangements have not effectively encouraged use of My Health Records by individuals and subsequently healthcare providers, and are creating a barrier to achieving the </w:t>
      </w:r>
      <w:r w:rsidR="00D929FD">
        <w:rPr>
          <w:bCs/>
        </w:rPr>
        <w:t xml:space="preserve">full </w:t>
      </w:r>
      <w:r w:rsidRPr="00933DE0">
        <w:rPr>
          <w:bCs/>
        </w:rPr>
        <w:t xml:space="preserve">benefits </w:t>
      </w:r>
      <w:r w:rsidR="005A05C6">
        <w:rPr>
          <w:bCs/>
        </w:rPr>
        <w:t>of the system</w:t>
      </w:r>
      <w:r w:rsidR="00336751">
        <w:rPr>
          <w:bCs/>
        </w:rPr>
        <w:t xml:space="preserve"> for healthcare recipients</w:t>
      </w:r>
      <w:r w:rsidRPr="00933DE0">
        <w:rPr>
          <w:bCs/>
        </w:rPr>
        <w:t xml:space="preserve">.  </w:t>
      </w:r>
      <w:r w:rsidR="00A419A5">
        <w:rPr>
          <w:bCs/>
        </w:rPr>
        <w:t xml:space="preserve">The Legislative Instrument </w:t>
      </w:r>
      <w:r w:rsidR="00336751">
        <w:rPr>
          <w:bCs/>
        </w:rPr>
        <w:t xml:space="preserve">enables the trial of opt-out participation arrangements.  Healthcare recipients in prescribed areas will be registered and have a My Health Record created for them, unless they opt-out.  Increased registration in </w:t>
      </w:r>
      <w:r w:rsidR="0046166E">
        <w:rPr>
          <w:bCs/>
        </w:rPr>
        <w:t xml:space="preserve">opt-out </w:t>
      </w:r>
      <w:r w:rsidR="00336751">
        <w:rPr>
          <w:bCs/>
        </w:rPr>
        <w:t>trial areas</w:t>
      </w:r>
      <w:r w:rsidR="0046166E">
        <w:rPr>
          <w:bCs/>
        </w:rPr>
        <w:t xml:space="preserve">, with the accompanying ability for treating healthcare providers to appropriately share health information for treatment purposes, will help improve the physical and mental health of registered healthcare recipients. </w:t>
      </w:r>
      <w:r w:rsidR="00D929FD">
        <w:rPr>
          <w:bCs/>
        </w:rPr>
        <w:t>Additionally, t</w:t>
      </w:r>
      <w:r w:rsidR="005A05C6">
        <w:t xml:space="preserve">he opt-out trials are </w:t>
      </w:r>
      <w:r w:rsidR="005A05C6" w:rsidRPr="005A632C">
        <w:t>intended to inform future strategies for increasing uptake and meaning</w:t>
      </w:r>
      <w:r w:rsidR="005A05C6">
        <w:t>ful use of the My Health Record system</w:t>
      </w:r>
      <w:r w:rsidR="00D929FD">
        <w:t xml:space="preserve"> with the aim of </w:t>
      </w:r>
      <w:r w:rsidR="00A46119">
        <w:rPr>
          <w:bCs/>
        </w:rPr>
        <w:t>achieving</w:t>
      </w:r>
      <w:r w:rsidR="00E452F1">
        <w:rPr>
          <w:bCs/>
        </w:rPr>
        <w:t xml:space="preserve"> a</w:t>
      </w:r>
      <w:r w:rsidR="00A46119">
        <w:rPr>
          <w:bCs/>
        </w:rPr>
        <w:t xml:space="preserve"> greater </w:t>
      </w:r>
      <w:r w:rsidR="00D47A9E" w:rsidRPr="00933DE0">
        <w:rPr>
          <w:bCs/>
        </w:rPr>
        <w:t xml:space="preserve">standard of physical and mental </w:t>
      </w:r>
      <w:r w:rsidR="00A46119">
        <w:rPr>
          <w:bCs/>
        </w:rPr>
        <w:t>health</w:t>
      </w:r>
      <w:r w:rsidR="00E452F1">
        <w:rPr>
          <w:bCs/>
        </w:rPr>
        <w:t xml:space="preserve"> for all Australians</w:t>
      </w:r>
      <w:r w:rsidR="00A46119">
        <w:rPr>
          <w:bCs/>
        </w:rPr>
        <w:t xml:space="preserve">. </w:t>
      </w:r>
      <w:r w:rsidR="00D929FD">
        <w:rPr>
          <w:bCs/>
        </w:rPr>
        <w:t xml:space="preserve"> </w:t>
      </w:r>
    </w:p>
    <w:p w:rsidR="005D25E7" w:rsidRPr="005A632C" w:rsidRDefault="005D25E7" w:rsidP="004C6827">
      <w:pPr>
        <w:keepNext/>
        <w:spacing w:after="240"/>
        <w:rPr>
          <w:bCs/>
        </w:rPr>
      </w:pPr>
      <w:r w:rsidRPr="005A632C">
        <w:rPr>
          <w:bCs/>
          <w:i/>
        </w:rPr>
        <w:lastRenderedPageBreak/>
        <w:t>Protection of privacy and reputation</w:t>
      </w:r>
    </w:p>
    <w:p w:rsidR="00332ED8" w:rsidRDefault="005D25E7" w:rsidP="00AE3DB8">
      <w:pPr>
        <w:spacing w:after="240"/>
      </w:pPr>
      <w:r w:rsidRPr="005A632C">
        <w:t xml:space="preserve">Article 17 of the </w:t>
      </w:r>
      <w:r w:rsidRPr="005A632C">
        <w:rPr>
          <w:i/>
        </w:rPr>
        <w:t>International Covenant on Civil and Political Rights</w:t>
      </w:r>
      <w:r w:rsidRPr="005A632C">
        <w:t xml:space="preserve"> (ICCPR) </w:t>
      </w:r>
      <w:r w:rsidR="00332ED8">
        <w:t xml:space="preserve">prohibits </w:t>
      </w:r>
      <w:r>
        <w:t xml:space="preserve">unlawful </w:t>
      </w:r>
      <w:r w:rsidR="00933DE0">
        <w:t xml:space="preserve">or arbitrary </w:t>
      </w:r>
      <w:r>
        <w:t>interference with a person’s privacy and unlawful attacks on a person’s reputation.</w:t>
      </w:r>
      <w:r w:rsidR="00B72EFC">
        <w:t xml:space="preserve"> </w:t>
      </w:r>
      <w:r w:rsidR="00B72EFC" w:rsidRPr="005A632C">
        <w:t xml:space="preserve">This right is also reflected in Article 22 of the </w:t>
      </w:r>
      <w:r w:rsidR="00B72EFC" w:rsidRPr="005A632C">
        <w:rPr>
          <w:i/>
        </w:rPr>
        <w:t>Convention on the Rights of Persons with Disabilities</w:t>
      </w:r>
      <w:r w:rsidR="00B72EFC" w:rsidRPr="005A632C">
        <w:t xml:space="preserve"> (CRPD) and Article 16 of the </w:t>
      </w:r>
      <w:r w:rsidR="00B72EFC" w:rsidRPr="005A632C">
        <w:rPr>
          <w:i/>
        </w:rPr>
        <w:t xml:space="preserve">Convention on the Rights of the Child </w:t>
      </w:r>
      <w:r w:rsidR="00B72EFC" w:rsidRPr="005A632C">
        <w:t>(CRC)</w:t>
      </w:r>
      <w:r w:rsidR="00B72EFC" w:rsidRPr="005A632C">
        <w:rPr>
          <w:i/>
        </w:rPr>
        <w:t>.</w:t>
      </w:r>
    </w:p>
    <w:p w:rsidR="004F0D99" w:rsidRDefault="004F0D99" w:rsidP="00AE3DB8">
      <w:pPr>
        <w:spacing w:after="240"/>
      </w:pPr>
      <w:r>
        <w:t xml:space="preserve">The right to privacy </w:t>
      </w:r>
      <w:r w:rsidR="00641F4B">
        <w:t xml:space="preserve">encompasses </w:t>
      </w:r>
      <w:r>
        <w:t>respect for informational privacy including the right to respect the storing</w:t>
      </w:r>
      <w:r w:rsidR="008E0469">
        <w:t>,</w:t>
      </w:r>
      <w:r>
        <w:t xml:space="preserve"> use and sharing of private information and right to control the dissemination of private information. </w:t>
      </w:r>
      <w:r w:rsidR="00332ED8">
        <w:t xml:space="preserve">The </w:t>
      </w:r>
      <w:r w:rsidR="00723D68">
        <w:t>Legislative Instrument</w:t>
      </w:r>
      <w:r w:rsidR="000E1B50">
        <w:t xml:space="preserve"> engages</w:t>
      </w:r>
      <w:r>
        <w:t xml:space="preserve"> </w:t>
      </w:r>
      <w:r w:rsidR="000E1B50">
        <w:t xml:space="preserve">the right to privacy by </w:t>
      </w:r>
      <w:r w:rsidR="004D6752">
        <w:t xml:space="preserve">prescribing </w:t>
      </w:r>
      <w:r w:rsidR="000E1B50">
        <w:t>a</w:t>
      </w:r>
      <w:r w:rsidR="004D6752">
        <w:t xml:space="preserve"> class of people to </w:t>
      </w:r>
      <w:r w:rsidR="00C46449">
        <w:t xml:space="preserve">participate in </w:t>
      </w:r>
      <w:r w:rsidR="004D6752">
        <w:t xml:space="preserve">an opt-out </w:t>
      </w:r>
      <w:r w:rsidR="00C46449">
        <w:t xml:space="preserve">trial </w:t>
      </w:r>
      <w:r w:rsidR="004D6752">
        <w:t>model of the My Health Record system,</w:t>
      </w:r>
      <w:r w:rsidR="00C46449">
        <w:t xml:space="preserve"> unless they opt-out. </w:t>
      </w:r>
    </w:p>
    <w:p w:rsidR="0035047F" w:rsidRDefault="008443B1" w:rsidP="00AE3DB8">
      <w:pPr>
        <w:spacing w:after="240"/>
      </w:pPr>
      <w:r>
        <w:t>The Instrument</w:t>
      </w:r>
      <w:r w:rsidR="00E452F1">
        <w:t xml:space="preserve"> </w:t>
      </w:r>
      <w:r w:rsidR="00641F4B">
        <w:t xml:space="preserve">and the Act together </w:t>
      </w:r>
      <w:r w:rsidR="00E452F1">
        <w:t xml:space="preserve">counterbalance any limitation of the right to </w:t>
      </w:r>
      <w:r w:rsidR="00641F4B">
        <w:t xml:space="preserve">privacy </w:t>
      </w:r>
      <w:r>
        <w:t xml:space="preserve">by </w:t>
      </w:r>
      <w:r w:rsidR="00E452F1">
        <w:t xml:space="preserve">providing an opportunity for </w:t>
      </w:r>
      <w:r w:rsidR="005939DF">
        <w:t xml:space="preserve">every healthcare recipient </w:t>
      </w:r>
      <w:r w:rsidR="00411495">
        <w:t xml:space="preserve">(or their representative) </w:t>
      </w:r>
      <w:r w:rsidR="005939DF">
        <w:t xml:space="preserve">in the trial area </w:t>
      </w:r>
      <w:r>
        <w:t xml:space="preserve">to </w:t>
      </w:r>
      <w:r w:rsidR="00641F4B">
        <w:t xml:space="preserve">opt-out of registration and to ensure that </w:t>
      </w:r>
      <w:r>
        <w:t xml:space="preserve">a </w:t>
      </w:r>
      <w:r w:rsidR="00A42F3A">
        <w:t xml:space="preserve">My Health Record </w:t>
      </w:r>
      <w:r w:rsidR="00641F4B">
        <w:t xml:space="preserve">is not </w:t>
      </w:r>
      <w:r>
        <w:t xml:space="preserve">created for them. </w:t>
      </w:r>
      <w:r w:rsidR="0035047F">
        <w:t xml:space="preserve">Individuals who opt-out may later apply for registration, should they change their mind. </w:t>
      </w:r>
      <w:r w:rsidR="00FD60C7">
        <w:t>Alternatively, healthcare recipients who do not opt-out and are registered are able to take advantage of a wide range of privacy protections as outlined below.</w:t>
      </w:r>
      <w:r w:rsidR="0035047F">
        <w:t xml:space="preserve"> </w:t>
      </w:r>
    </w:p>
    <w:p w:rsidR="008443B1" w:rsidRDefault="00411495" w:rsidP="00AE3DB8">
      <w:pPr>
        <w:spacing w:after="240"/>
      </w:pPr>
      <w:r>
        <w:t xml:space="preserve">The Instrument allows a </w:t>
      </w:r>
      <w:r w:rsidR="008443B1">
        <w:t xml:space="preserve">reasonable </w:t>
      </w:r>
      <w:r>
        <w:t xml:space="preserve">period of time </w:t>
      </w:r>
      <w:r w:rsidR="0035047F">
        <w:t xml:space="preserve">(two months) </w:t>
      </w:r>
      <w:r>
        <w:t xml:space="preserve">for </w:t>
      </w:r>
      <w:r w:rsidR="008443B1">
        <w:t xml:space="preserve">healthcare recipients to consider the benefits of the My Health Record system and their own preferences regarding their privacy and healthcare before making an informed decision as to whether they would like to </w:t>
      </w:r>
      <w:r>
        <w:t xml:space="preserve">opt-out of registration and </w:t>
      </w:r>
      <w:r w:rsidR="008443B1">
        <w:t>hav</w:t>
      </w:r>
      <w:r>
        <w:t xml:space="preserve">ing </w:t>
      </w:r>
      <w:r w:rsidR="008443B1">
        <w:t xml:space="preserve">a </w:t>
      </w:r>
      <w:r w:rsidR="00A42F3A">
        <w:t xml:space="preserve">My Health Record </w:t>
      </w:r>
      <w:r w:rsidR="008443B1">
        <w:t xml:space="preserve">created. </w:t>
      </w:r>
      <w:r w:rsidR="00C946CE">
        <w:t xml:space="preserve"> </w:t>
      </w:r>
      <w:r w:rsidR="008443B1">
        <w:t>Under the Act</w:t>
      </w:r>
      <w:r>
        <w:t>,</w:t>
      </w:r>
      <w:r w:rsidR="008443B1">
        <w:t xml:space="preserve"> healthcare recipient</w:t>
      </w:r>
      <w:r>
        <w:t>s who are registered may</w:t>
      </w:r>
      <w:r w:rsidR="008443B1">
        <w:t xml:space="preserve"> limit and restrict access </w:t>
      </w:r>
      <w:r w:rsidR="0035047F">
        <w:t xml:space="preserve">to their My Health Record </w:t>
      </w:r>
      <w:r w:rsidR="008443B1">
        <w:t xml:space="preserve">with control settings and </w:t>
      </w:r>
      <w:r w:rsidR="0035047F">
        <w:t xml:space="preserve">may </w:t>
      </w:r>
      <w:r w:rsidR="008443B1">
        <w:t>cancel or suspend their registration</w:t>
      </w:r>
      <w:r w:rsidR="0035047F">
        <w:t>, should they so wish</w:t>
      </w:r>
      <w:r w:rsidR="009E684C">
        <w:t>, as described below</w:t>
      </w:r>
      <w:r w:rsidR="008443B1">
        <w:t>.</w:t>
      </w:r>
    </w:p>
    <w:p w:rsidR="009E684C" w:rsidRDefault="009E684C" w:rsidP="00AE3DB8">
      <w:pPr>
        <w:spacing w:after="240"/>
      </w:pPr>
      <w:r>
        <w:t xml:space="preserve">Healthcare recipients in opt-out trial areas need to be able to make informed decisions about the My Health Record system.  Individuals in the opt-out trials will be made aware they are part of an opt-out trial, how their personal information will be handled, and how to opt-out or adjust privacy control settings, so they can make an informed decision. Comprehensive information and communication activities are being planned for the opt-out trials to ensure all affected individuals, including parents, guardians and </w:t>
      </w:r>
      <w:proofErr w:type="spellStart"/>
      <w:r>
        <w:t>carers</w:t>
      </w:r>
      <w:proofErr w:type="spellEnd"/>
      <w:r>
        <w:t xml:space="preserve">, are aware they are in an opt-out trial and what they need to do to participate, adjust privacy controls associated with their </w:t>
      </w:r>
      <w:r w:rsidR="00A42F3A">
        <w:t>My Health Record</w:t>
      </w:r>
      <w:r>
        <w:t xml:space="preserve">, or to opt-out if they choose. This will include letters to affected individuals, targeted communication to </w:t>
      </w:r>
      <w:proofErr w:type="spellStart"/>
      <w:r>
        <w:t>carers</w:t>
      </w:r>
      <w:proofErr w:type="spellEnd"/>
      <w:r>
        <w:t xml:space="preserve"> and advocacy groups, extensive online and social media information, and education and training for healthcare providers in opt-out trial locations.</w:t>
      </w:r>
    </w:p>
    <w:p w:rsidR="008443B1" w:rsidRDefault="008443B1" w:rsidP="00C946CE">
      <w:pPr>
        <w:autoSpaceDE w:val="0"/>
        <w:autoSpaceDN w:val="0"/>
        <w:adjustRightInd w:val="0"/>
        <w:spacing w:after="240"/>
      </w:pPr>
      <w:r>
        <w:t xml:space="preserve">The Instrument also ensures that </w:t>
      </w:r>
      <w:r>
        <w:rPr>
          <w:lang w:bidi="hi-IN"/>
        </w:rPr>
        <w:t>healthcare recipient</w:t>
      </w:r>
      <w:r w:rsidR="0035047F">
        <w:rPr>
          <w:lang w:bidi="hi-IN"/>
        </w:rPr>
        <w:t>s</w:t>
      </w:r>
      <w:r>
        <w:rPr>
          <w:lang w:bidi="hi-IN"/>
        </w:rPr>
        <w:t xml:space="preserve"> in </w:t>
      </w:r>
      <w:r w:rsidR="0035047F">
        <w:rPr>
          <w:lang w:bidi="hi-IN"/>
        </w:rPr>
        <w:t xml:space="preserve">opt-out </w:t>
      </w:r>
      <w:r>
        <w:rPr>
          <w:lang w:bidi="hi-IN"/>
        </w:rPr>
        <w:t>trial area</w:t>
      </w:r>
      <w:r w:rsidR="0035047F">
        <w:rPr>
          <w:lang w:bidi="hi-IN"/>
        </w:rPr>
        <w:t>s</w:t>
      </w:r>
      <w:r>
        <w:rPr>
          <w:lang w:bidi="hi-IN"/>
        </w:rPr>
        <w:t xml:space="preserve"> who do not opt-out of registration ha</w:t>
      </w:r>
      <w:r w:rsidR="0035047F">
        <w:rPr>
          <w:lang w:bidi="hi-IN"/>
        </w:rPr>
        <w:t>ve</w:t>
      </w:r>
      <w:r>
        <w:rPr>
          <w:lang w:bidi="hi-IN"/>
        </w:rPr>
        <w:t xml:space="preserve"> the opportunity to elect not to have any</w:t>
      </w:r>
      <w:r w:rsidR="005939DF">
        <w:rPr>
          <w:lang w:bidi="hi-IN"/>
        </w:rPr>
        <w:t xml:space="preserve"> of their</w:t>
      </w:r>
      <w:r>
        <w:rPr>
          <w:lang w:bidi="hi-IN"/>
        </w:rPr>
        <w:t xml:space="preserve"> health information held by the Chief Executive Medicare made available to the System Operator </w:t>
      </w:r>
      <w:r w:rsidR="005939DF">
        <w:rPr>
          <w:lang w:bidi="hi-IN"/>
        </w:rPr>
        <w:t>for inclusion</w:t>
      </w:r>
      <w:r>
        <w:rPr>
          <w:lang w:bidi="hi-IN"/>
        </w:rPr>
        <w:t xml:space="preserve"> in their My Health Record. </w:t>
      </w:r>
      <w:r w:rsidR="008F3681">
        <w:t xml:space="preserve">Individuals who initially elect not to have their Medicare health information included in their My Health Record may later have such information included, should they change their mind. </w:t>
      </w:r>
    </w:p>
    <w:p w:rsidR="008F3681" w:rsidRDefault="008F3681" w:rsidP="00C946CE">
      <w:pPr>
        <w:autoSpaceDE w:val="0"/>
        <w:autoSpaceDN w:val="0"/>
        <w:adjustRightInd w:val="0"/>
        <w:spacing w:after="240"/>
      </w:pPr>
      <w:r>
        <w:t xml:space="preserve">Opt-out trials offer an opportunity to tailor and refine the public awareness campaign </w:t>
      </w:r>
      <w:r w:rsidR="00C7432C">
        <w:t>for opt</w:t>
      </w:r>
      <w:r w:rsidR="00A42F3A">
        <w:noBreakHyphen/>
      </w:r>
      <w:r w:rsidR="00C7432C">
        <w:t xml:space="preserve">out areas </w:t>
      </w:r>
      <w:r>
        <w:t>which will include significant information about individuals’ options, privacy rights and how to exercise them.  This will help ensure that, if a decision is later made to implement opt-out nationally, privacy aspects can be mana</w:t>
      </w:r>
      <w:r w:rsidR="00C213C9">
        <w:t>ged</w:t>
      </w:r>
      <w:r w:rsidR="008945EE">
        <w:t xml:space="preserve"> in </w:t>
      </w:r>
      <w:r w:rsidR="00C7432C">
        <w:t xml:space="preserve">the most </w:t>
      </w:r>
      <w:r w:rsidR="008945EE">
        <w:t>appropriate and effective manner</w:t>
      </w:r>
      <w:r w:rsidR="00C213C9">
        <w:t>.</w:t>
      </w:r>
    </w:p>
    <w:p w:rsidR="00AD78AE" w:rsidRDefault="00AD78AE" w:rsidP="00C946CE">
      <w:pPr>
        <w:autoSpaceDE w:val="0"/>
        <w:autoSpaceDN w:val="0"/>
        <w:adjustRightInd w:val="0"/>
        <w:spacing w:after="240"/>
      </w:pPr>
    </w:p>
    <w:p w:rsidR="00AD78AE" w:rsidRDefault="00AD78AE" w:rsidP="00C946CE">
      <w:pPr>
        <w:autoSpaceDE w:val="0"/>
        <w:autoSpaceDN w:val="0"/>
        <w:adjustRightInd w:val="0"/>
        <w:spacing w:after="240"/>
      </w:pPr>
    </w:p>
    <w:p w:rsidR="00E01480" w:rsidRDefault="008E0469" w:rsidP="00720261">
      <w:pPr>
        <w:spacing w:after="240"/>
      </w:pPr>
      <w:r>
        <w:lastRenderedPageBreak/>
        <w:t>S</w:t>
      </w:r>
      <w:r w:rsidR="00C33F1F">
        <w:t xml:space="preserve">trong </w:t>
      </w:r>
      <w:r w:rsidR="00ED2EE1">
        <w:t xml:space="preserve">privacy </w:t>
      </w:r>
      <w:r w:rsidR="00C33F1F">
        <w:t>s</w:t>
      </w:r>
      <w:r>
        <w:t xml:space="preserve">afeguards </w:t>
      </w:r>
      <w:r w:rsidR="00ED2EE1">
        <w:t xml:space="preserve">are </w:t>
      </w:r>
      <w:r>
        <w:t>in place</w:t>
      </w:r>
      <w:r w:rsidR="00ED2EE1">
        <w:t xml:space="preserve">, regardless of whether healthcare recipients are in an opt-in or opt-out area.  </w:t>
      </w:r>
      <w:r w:rsidR="008443B1">
        <w:t xml:space="preserve"> </w:t>
      </w:r>
      <w:r w:rsidR="00E01480">
        <w:t>People who are registered under opt-</w:t>
      </w:r>
      <w:r w:rsidR="00273BC1">
        <w:t>out</w:t>
      </w:r>
      <w:r w:rsidR="00E01480">
        <w:t xml:space="preserve"> arrangements will retain the same privacy protections as those registered under opt-in arrangements. These protections include the ability to do the following, including for children and persons with disabilities: </w:t>
      </w:r>
    </w:p>
    <w:p w:rsidR="00E01480" w:rsidRDefault="00E01480" w:rsidP="00C946CE">
      <w:pPr>
        <w:pStyle w:val="ListParagraph"/>
        <w:numPr>
          <w:ilvl w:val="0"/>
          <w:numId w:val="18"/>
        </w:numPr>
        <w:spacing w:after="240"/>
        <w:ind w:left="357" w:hanging="357"/>
        <w:contextualSpacing w:val="0"/>
      </w:pPr>
      <w:r>
        <w:t xml:space="preserve">set access controls restricting access to their My Health Record entirely or restricting access to certain information in their My Health Record; </w:t>
      </w:r>
    </w:p>
    <w:p w:rsidR="00E01480" w:rsidRDefault="00E01480" w:rsidP="00C946CE">
      <w:pPr>
        <w:pStyle w:val="ListParagraph"/>
        <w:numPr>
          <w:ilvl w:val="0"/>
          <w:numId w:val="18"/>
        </w:numPr>
        <w:spacing w:after="240"/>
        <w:ind w:left="357" w:hanging="357"/>
        <w:contextualSpacing w:val="0"/>
      </w:pPr>
      <w:r>
        <w:t xml:space="preserve">request that their healthcare provider not upload certain information or documents to their My Health Record, in which case the healthcare provider will be required not to upload that information or those documents; </w:t>
      </w:r>
    </w:p>
    <w:p w:rsidR="00E01480" w:rsidRDefault="00E01480" w:rsidP="00C946CE">
      <w:pPr>
        <w:pStyle w:val="ListParagraph"/>
        <w:numPr>
          <w:ilvl w:val="0"/>
          <w:numId w:val="18"/>
        </w:numPr>
        <w:spacing w:after="240"/>
        <w:ind w:left="357" w:hanging="357"/>
        <w:contextualSpacing w:val="0"/>
      </w:pPr>
      <w:r>
        <w:t xml:space="preserve">request that their Medicare data not be included in their My Health Record, in which case the Chief Executive Medicare will be required to not make the data available to the System Operator; </w:t>
      </w:r>
    </w:p>
    <w:p w:rsidR="00E01480" w:rsidRDefault="00E01480" w:rsidP="00C946CE">
      <w:pPr>
        <w:pStyle w:val="ListParagraph"/>
        <w:numPr>
          <w:ilvl w:val="0"/>
          <w:numId w:val="18"/>
        </w:numPr>
        <w:spacing w:after="240"/>
        <w:ind w:left="357" w:hanging="357"/>
        <w:contextualSpacing w:val="0"/>
      </w:pPr>
      <w:r>
        <w:t xml:space="preserve">monitor activity in relation to their My Health Record using the audit log or via electronic messages alerting them that someone has accessed their My Health Record; </w:t>
      </w:r>
    </w:p>
    <w:p w:rsidR="00E01480" w:rsidRDefault="00E01480" w:rsidP="00C946CE">
      <w:pPr>
        <w:pStyle w:val="ListParagraph"/>
        <w:numPr>
          <w:ilvl w:val="0"/>
          <w:numId w:val="18"/>
        </w:numPr>
        <w:spacing w:after="240"/>
        <w:ind w:left="357" w:hanging="357"/>
        <w:contextualSpacing w:val="0"/>
      </w:pPr>
      <w:r>
        <w:t xml:space="preserve">effectively remove documents from their My Health Record; </w:t>
      </w:r>
    </w:p>
    <w:p w:rsidR="00E01480" w:rsidRDefault="00E01480" w:rsidP="00C946CE">
      <w:pPr>
        <w:pStyle w:val="ListParagraph"/>
        <w:numPr>
          <w:ilvl w:val="0"/>
          <w:numId w:val="18"/>
        </w:numPr>
        <w:spacing w:after="240"/>
        <w:ind w:left="357" w:hanging="357"/>
        <w:contextualSpacing w:val="0"/>
      </w:pPr>
      <w:r>
        <w:t>make a complaint if they consider there has been a breach of privacy; and</w:t>
      </w:r>
    </w:p>
    <w:p w:rsidR="00E01480" w:rsidRDefault="00E01480" w:rsidP="00C946CE">
      <w:pPr>
        <w:pStyle w:val="ListParagraph"/>
        <w:numPr>
          <w:ilvl w:val="0"/>
          <w:numId w:val="18"/>
        </w:numPr>
        <w:spacing w:after="240"/>
        <w:ind w:left="357" w:hanging="357"/>
        <w:contextualSpacing w:val="0"/>
      </w:pPr>
      <w:proofErr w:type="gramStart"/>
      <w:r>
        <w:t>cancel</w:t>
      </w:r>
      <w:proofErr w:type="gramEnd"/>
      <w:r>
        <w:t xml:space="preserve"> their registration (that is, cancel their My Health Record).</w:t>
      </w:r>
    </w:p>
    <w:p w:rsidR="00CE5A50" w:rsidRDefault="00CE5A50" w:rsidP="00720261">
      <w:pPr>
        <w:spacing w:after="240"/>
      </w:pPr>
      <w:r>
        <w:t xml:space="preserve">Increased use of the system in opt-out areas is a privacy positive </w:t>
      </w:r>
      <w:r w:rsidR="005179AE">
        <w:t xml:space="preserve">outcome </w:t>
      </w:r>
      <w:r>
        <w:t xml:space="preserve">as it will </w:t>
      </w:r>
      <w:r w:rsidR="00A918F4">
        <w:t xml:space="preserve">help </w:t>
      </w:r>
      <w:r>
        <w:t xml:space="preserve">reduce the use of paper records, which pose significant privacy risks. For example, where a patient is receiving treatment in a hospital’s emergency department for a chronic illness, the hospital may request from the patient’s regular doctor information about the patient’s clinical history which is likely to be faxed to the hospital. The fax might remain unattended on the fax machine for an extended period of time before being placed into the patient’s </w:t>
      </w:r>
      <w:proofErr w:type="gramStart"/>
      <w:r>
        <w:t>file,</w:t>
      </w:r>
      <w:proofErr w:type="gramEnd"/>
      <w:r>
        <w:t xml:space="preserve"> or the information may be sent to the wrong fax number. Either of these things could lead to an interference with the patient’s privacy should a third party read the unattended fax or incorrectly receive the fax. In contrast, under the My Health Record system, the patient’s Shared Health Summary would be securely available only to those people authorised to see it. There are other similar scenarios where an increase in the level of use of the My Health Record system, as will occur in opt-out trial areas, is likely to lead to a reduction in privacy breaches associated with paper-based records.</w:t>
      </w:r>
    </w:p>
    <w:p w:rsidR="00CD4B9E" w:rsidRPr="00211998" w:rsidRDefault="00CD4B9E" w:rsidP="00C946CE">
      <w:pPr>
        <w:keepNext/>
        <w:spacing w:after="240"/>
        <w:rPr>
          <w:b/>
        </w:rPr>
      </w:pPr>
      <w:r w:rsidRPr="00211998">
        <w:rPr>
          <w:b/>
        </w:rPr>
        <w:t xml:space="preserve">Conclusion </w:t>
      </w:r>
    </w:p>
    <w:p w:rsidR="0070229B" w:rsidRDefault="005D25E7" w:rsidP="00C946CE">
      <w:pPr>
        <w:spacing w:after="240"/>
      </w:pPr>
      <w:r>
        <w:t>The</w:t>
      </w:r>
      <w:r w:rsidR="00EE20F5">
        <w:t xml:space="preserve"> </w:t>
      </w:r>
      <w:r w:rsidR="00CD4B9E">
        <w:t xml:space="preserve">Legislative Instrument </w:t>
      </w:r>
      <w:r>
        <w:t>is</w:t>
      </w:r>
      <w:r w:rsidR="00CD4B9E" w:rsidRPr="003B2804">
        <w:t xml:space="preserve"> compatible with human rights </w:t>
      </w:r>
      <w:r w:rsidR="00CD4B9E" w:rsidRPr="004734A1">
        <w:t xml:space="preserve">because </w:t>
      </w:r>
      <w:r>
        <w:t xml:space="preserve">it </w:t>
      </w:r>
      <w:r w:rsidR="001066CB">
        <w:t>advances the right to healt</w:t>
      </w:r>
      <w:r w:rsidR="004D6752">
        <w:t xml:space="preserve">h. </w:t>
      </w:r>
      <w:r w:rsidR="00CA54AA">
        <w:t xml:space="preserve">Any limitation of the right to privacy is </w:t>
      </w:r>
      <w:r w:rsidR="00CA54AA" w:rsidRPr="003522F4">
        <w:t>proportio</w:t>
      </w:r>
      <w:r w:rsidR="00B8210F">
        <w:t>nate, necessary and reasonable</w:t>
      </w:r>
      <w:r w:rsidR="0070229B">
        <w:t xml:space="preserve"> to achieving improved healthcare for Australians.</w:t>
      </w:r>
      <w:r w:rsidR="00CE5A50">
        <w:t xml:space="preserve"> Increased use of the My Health Records system, which will occur in opt-out trial areas, will result in a number of privacy positives compared to use of paper-based records.</w:t>
      </w:r>
    </w:p>
    <w:p w:rsidR="00E779A3" w:rsidRDefault="00CD4B9E" w:rsidP="00C946CE">
      <w:pPr>
        <w:keepNext/>
        <w:spacing w:before="120" w:after="240"/>
        <w:jc w:val="center"/>
        <w:rPr>
          <w:b/>
        </w:rPr>
      </w:pPr>
      <w:r>
        <w:rPr>
          <w:b/>
        </w:rPr>
        <w:t xml:space="preserve">The Hon </w:t>
      </w:r>
      <w:proofErr w:type="spellStart"/>
      <w:r w:rsidR="00E779A3">
        <w:rPr>
          <w:b/>
        </w:rPr>
        <w:t>Sussan</w:t>
      </w:r>
      <w:proofErr w:type="spellEnd"/>
      <w:r w:rsidR="00E779A3">
        <w:rPr>
          <w:b/>
        </w:rPr>
        <w:t xml:space="preserve"> Ley</w:t>
      </w:r>
      <w:r>
        <w:rPr>
          <w:b/>
        </w:rPr>
        <w:t xml:space="preserve"> MP</w:t>
      </w:r>
    </w:p>
    <w:p w:rsidR="00B42851" w:rsidRDefault="00CD4B9E" w:rsidP="00C946CE">
      <w:pPr>
        <w:keepNext/>
        <w:spacing w:before="120" w:after="240"/>
        <w:jc w:val="center"/>
        <w:rPr>
          <w:b/>
        </w:rPr>
      </w:pPr>
      <w:r>
        <w:rPr>
          <w:b/>
        </w:rPr>
        <w:t>Minister for Health</w:t>
      </w:r>
      <w:bookmarkEnd w:id="6"/>
    </w:p>
    <w:sectPr w:rsidR="00B42851" w:rsidSect="006C4DC2">
      <w:headerReference w:type="default" r:id="rId9"/>
      <w:pgSz w:w="11906" w:h="16838"/>
      <w:pgMar w:top="956" w:right="1418" w:bottom="851"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4E1" w:rsidRDefault="006264E1" w:rsidP="00FE36FA">
      <w:r>
        <w:separator/>
      </w:r>
    </w:p>
  </w:endnote>
  <w:endnote w:type="continuationSeparator" w:id="0">
    <w:p w:rsidR="006264E1" w:rsidRDefault="006264E1" w:rsidP="00FE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4E1" w:rsidRDefault="006264E1" w:rsidP="00FE36FA">
      <w:r>
        <w:separator/>
      </w:r>
    </w:p>
  </w:footnote>
  <w:footnote w:type="continuationSeparator" w:id="0">
    <w:p w:rsidR="006264E1" w:rsidRDefault="006264E1" w:rsidP="00FE3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7F" w:rsidRDefault="0035047F" w:rsidP="004F0D99">
    <w:pPr>
      <w:pStyle w:val="Header"/>
      <w:jc w:val="center"/>
    </w:pPr>
    <w:r>
      <w:rPr>
        <w:rStyle w:val="PageNumber"/>
      </w:rPr>
      <w:fldChar w:fldCharType="begin"/>
    </w:r>
    <w:r>
      <w:rPr>
        <w:rStyle w:val="PageNumber"/>
      </w:rPr>
      <w:instrText xml:space="preserve"> PAGE </w:instrText>
    </w:r>
    <w:r>
      <w:rPr>
        <w:rStyle w:val="PageNumber"/>
      </w:rPr>
      <w:fldChar w:fldCharType="separate"/>
    </w:r>
    <w:r w:rsidR="008C4B14">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AB0"/>
    <w:multiLevelType w:val="multilevel"/>
    <w:tmpl w:val="9C7CDE32"/>
    <w:lvl w:ilvl="0">
      <w:start w:val="2"/>
      <w:numFmt w:val="decimal"/>
      <w:lvlText w:val="[%1]"/>
      <w:lvlJc w:val="left"/>
      <w:pPr>
        <w:tabs>
          <w:tab w:val="num" w:pos="850"/>
        </w:tabs>
        <w:ind w:left="850" w:hanging="850"/>
      </w:pPr>
      <w:rPr>
        <w:rFonts w:ascii="Arial" w:hAnsi="Arial" w:hint="default"/>
        <w:sz w:val="24"/>
        <w:szCs w:val="24"/>
      </w:rPr>
    </w:lvl>
    <w:lvl w:ilvl="1">
      <w:start w:val="1"/>
      <w:numFmt w:val="upperLetter"/>
      <w:lvlText w:val="%1%2"/>
      <w:lvlJc w:val="left"/>
      <w:pPr>
        <w:tabs>
          <w:tab w:val="num" w:pos="850"/>
        </w:tabs>
        <w:ind w:left="850" w:hanging="850"/>
      </w:pPr>
      <w:rPr>
        <w:rFonts w:hint="default"/>
      </w:rPr>
    </w:lvl>
    <w:lvl w:ilvl="2">
      <w:start w:val="3"/>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
    <w:nsid w:val="08B36781"/>
    <w:multiLevelType w:val="hybridMultilevel"/>
    <w:tmpl w:val="1E9250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F503375"/>
    <w:multiLevelType w:val="hybridMultilevel"/>
    <w:tmpl w:val="AE14E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0216AF0"/>
    <w:multiLevelType w:val="hybridMultilevel"/>
    <w:tmpl w:val="71FC52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18AD678C"/>
    <w:multiLevelType w:val="multilevel"/>
    <w:tmpl w:val="9C70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36346"/>
    <w:multiLevelType w:val="hybridMultilevel"/>
    <w:tmpl w:val="68F6177E"/>
    <w:lvl w:ilvl="0" w:tplc="01300D76">
      <w:start w:val="1"/>
      <w:numFmt w:val="lowerLetter"/>
      <w:lvlText w:val="(%1)"/>
      <w:lvlJc w:val="left"/>
      <w:pPr>
        <w:tabs>
          <w:tab w:val="num" w:pos="717"/>
        </w:tabs>
        <w:ind w:left="717" w:hanging="360"/>
      </w:pPr>
      <w:rPr>
        <w:rFonts w:hint="default"/>
      </w:rPr>
    </w:lvl>
    <w:lvl w:ilvl="1" w:tplc="0B865CD2">
      <w:start w:val="1"/>
      <w:numFmt w:val="bullet"/>
      <w:lvlText w:val=""/>
      <w:lvlJc w:val="left"/>
      <w:pPr>
        <w:tabs>
          <w:tab w:val="num" w:pos="1644"/>
        </w:tabs>
        <w:ind w:left="1644" w:hanging="567"/>
      </w:pPr>
      <w:rPr>
        <w:rFonts w:ascii="Symbol" w:hAnsi="Symbol" w:hint="default"/>
      </w:rPr>
    </w:lvl>
    <w:lvl w:ilvl="2" w:tplc="0409001B">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6">
    <w:nsid w:val="293B7C7F"/>
    <w:multiLevelType w:val="hybridMultilevel"/>
    <w:tmpl w:val="A1E0B6DE"/>
    <w:lvl w:ilvl="0" w:tplc="0409000F">
      <w:start w:val="1"/>
      <w:numFmt w:val="decimal"/>
      <w:lvlText w:val="%1."/>
      <w:lvlJc w:val="left"/>
      <w:pPr>
        <w:tabs>
          <w:tab w:val="num" w:pos="360"/>
        </w:tabs>
        <w:ind w:left="360" w:hanging="360"/>
      </w:pPr>
      <w:rPr>
        <w:rFonts w:hint="default"/>
      </w:rPr>
    </w:lvl>
    <w:lvl w:ilvl="1" w:tplc="0B865CD2">
      <w:start w:val="1"/>
      <w:numFmt w:val="bullet"/>
      <w:lvlText w:val=""/>
      <w:lvlJc w:val="left"/>
      <w:pPr>
        <w:tabs>
          <w:tab w:val="num" w:pos="1287"/>
        </w:tabs>
        <w:ind w:left="1287" w:hanging="567"/>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DCF09D8"/>
    <w:multiLevelType w:val="hybridMultilevel"/>
    <w:tmpl w:val="BCF45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5053541"/>
    <w:multiLevelType w:val="hybridMultilevel"/>
    <w:tmpl w:val="7F569548"/>
    <w:lvl w:ilvl="0" w:tplc="01300D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9C61B96"/>
    <w:multiLevelType w:val="hybridMultilevel"/>
    <w:tmpl w:val="210877C0"/>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0">
    <w:nsid w:val="3F2369FA"/>
    <w:multiLevelType w:val="multilevel"/>
    <w:tmpl w:val="ADBED5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8161A6"/>
    <w:multiLevelType w:val="multilevel"/>
    <w:tmpl w:val="BD7A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144413"/>
    <w:multiLevelType w:val="multilevel"/>
    <w:tmpl w:val="CE701EF0"/>
    <w:lvl w:ilvl="0">
      <w:start w:val="1"/>
      <w:numFmt w:val="decimal"/>
      <w:lvlRestart w:val="0"/>
      <w:pStyle w:val="Heading1"/>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3">
    <w:nsid w:val="5982275E"/>
    <w:multiLevelType w:val="hybridMultilevel"/>
    <w:tmpl w:val="E46A6094"/>
    <w:lvl w:ilvl="0" w:tplc="F7504000">
      <w:start w:val="1"/>
      <w:numFmt w:val="decimal"/>
      <w:lvlText w:val="(%1)"/>
      <w:lvlJc w:val="left"/>
      <w:pPr>
        <w:ind w:left="1571"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AEC59EF"/>
    <w:multiLevelType w:val="hybridMultilevel"/>
    <w:tmpl w:val="D19CD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F3D63DA"/>
    <w:multiLevelType w:val="multilevel"/>
    <w:tmpl w:val="587E65BC"/>
    <w:lvl w:ilvl="0">
      <w:start w:val="1"/>
      <w:numFmt w:val="decimal"/>
      <w:lvlText w:val="[%1]"/>
      <w:lvlJc w:val="left"/>
      <w:pPr>
        <w:tabs>
          <w:tab w:val="num" w:pos="850"/>
        </w:tabs>
        <w:ind w:left="850" w:hanging="850"/>
      </w:pPr>
      <w:rPr>
        <w:rFonts w:ascii="Arial" w:hAnsi="Arial"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6">
    <w:nsid w:val="614B37EF"/>
    <w:multiLevelType w:val="hybridMultilevel"/>
    <w:tmpl w:val="FAF40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BAE49E2"/>
    <w:multiLevelType w:val="hybridMultilevel"/>
    <w:tmpl w:val="392EE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DB918F4"/>
    <w:multiLevelType w:val="multilevel"/>
    <w:tmpl w:val="587E65BC"/>
    <w:lvl w:ilvl="0">
      <w:start w:val="1"/>
      <w:numFmt w:val="decimal"/>
      <w:lvlText w:val="[%1]"/>
      <w:lvlJc w:val="left"/>
      <w:pPr>
        <w:tabs>
          <w:tab w:val="num" w:pos="850"/>
        </w:tabs>
        <w:ind w:left="850" w:hanging="850"/>
      </w:pPr>
      <w:rPr>
        <w:rFonts w:ascii="Arial" w:hAnsi="Arial"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9">
    <w:nsid w:val="793E0EA3"/>
    <w:multiLevelType w:val="hybridMultilevel"/>
    <w:tmpl w:val="68562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BAF2A8D"/>
    <w:multiLevelType w:val="multilevel"/>
    <w:tmpl w:val="18A4A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5"/>
  </w:num>
  <w:num w:numId="4">
    <w:abstractNumId w:val="0"/>
  </w:num>
  <w:num w:numId="5">
    <w:abstractNumId w:val="10"/>
  </w:num>
  <w:num w:numId="6">
    <w:abstractNumId w:val="13"/>
  </w:num>
  <w:num w:numId="7">
    <w:abstractNumId w:val="18"/>
  </w:num>
  <w:num w:numId="8">
    <w:abstractNumId w:val="12"/>
  </w:num>
  <w:num w:numId="9">
    <w:abstractNumId w:val="14"/>
  </w:num>
  <w:num w:numId="10">
    <w:abstractNumId w:val="20"/>
  </w:num>
  <w:num w:numId="11">
    <w:abstractNumId w:val="5"/>
  </w:num>
  <w:num w:numId="12">
    <w:abstractNumId w:val="8"/>
  </w:num>
  <w:num w:numId="13">
    <w:abstractNumId w:val="3"/>
  </w:num>
  <w:num w:numId="14">
    <w:abstractNumId w:val="9"/>
  </w:num>
  <w:num w:numId="15">
    <w:abstractNumId w:val="1"/>
  </w:num>
  <w:num w:numId="16">
    <w:abstractNumId w:val="16"/>
  </w:num>
  <w:num w:numId="17">
    <w:abstractNumId w:val="17"/>
  </w:num>
  <w:num w:numId="18">
    <w:abstractNumId w:val="7"/>
  </w:num>
  <w:num w:numId="19">
    <w:abstractNumId w:val="11"/>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B9E"/>
    <w:rsid w:val="00000923"/>
    <w:rsid w:val="00030272"/>
    <w:rsid w:val="00033409"/>
    <w:rsid w:val="00042AAE"/>
    <w:rsid w:val="000668D1"/>
    <w:rsid w:val="00075CCA"/>
    <w:rsid w:val="00081724"/>
    <w:rsid w:val="00093DDB"/>
    <w:rsid w:val="000970C4"/>
    <w:rsid w:val="000B0F5D"/>
    <w:rsid w:val="000C31DC"/>
    <w:rsid w:val="000E005D"/>
    <w:rsid w:val="000E0DA7"/>
    <w:rsid w:val="000E1B50"/>
    <w:rsid w:val="000E658F"/>
    <w:rsid w:val="000F210C"/>
    <w:rsid w:val="00103350"/>
    <w:rsid w:val="001066CB"/>
    <w:rsid w:val="001121EB"/>
    <w:rsid w:val="00153C3C"/>
    <w:rsid w:val="00160ADD"/>
    <w:rsid w:val="001804CE"/>
    <w:rsid w:val="0018116C"/>
    <w:rsid w:val="00193486"/>
    <w:rsid w:val="00193A1F"/>
    <w:rsid w:val="001B1E77"/>
    <w:rsid w:val="001B3443"/>
    <w:rsid w:val="001B5FD2"/>
    <w:rsid w:val="001C4742"/>
    <w:rsid w:val="001C5E16"/>
    <w:rsid w:val="00203AE8"/>
    <w:rsid w:val="0022454B"/>
    <w:rsid w:val="002309AA"/>
    <w:rsid w:val="00260CA1"/>
    <w:rsid w:val="002728AC"/>
    <w:rsid w:val="00273BC1"/>
    <w:rsid w:val="0028072D"/>
    <w:rsid w:val="00285194"/>
    <w:rsid w:val="00292228"/>
    <w:rsid w:val="002C2ECD"/>
    <w:rsid w:val="002D6D1C"/>
    <w:rsid w:val="002E4446"/>
    <w:rsid w:val="002F21ED"/>
    <w:rsid w:val="002F6812"/>
    <w:rsid w:val="0030786C"/>
    <w:rsid w:val="00310C77"/>
    <w:rsid w:val="003246ED"/>
    <w:rsid w:val="00326129"/>
    <w:rsid w:val="00331866"/>
    <w:rsid w:val="00332ED8"/>
    <w:rsid w:val="00336751"/>
    <w:rsid w:val="0035047F"/>
    <w:rsid w:val="00365100"/>
    <w:rsid w:val="00375FE3"/>
    <w:rsid w:val="003932E8"/>
    <w:rsid w:val="003A4183"/>
    <w:rsid w:val="003B47E1"/>
    <w:rsid w:val="003D1B86"/>
    <w:rsid w:val="003F395D"/>
    <w:rsid w:val="004056AE"/>
    <w:rsid w:val="00411495"/>
    <w:rsid w:val="00413D53"/>
    <w:rsid w:val="0041620C"/>
    <w:rsid w:val="00431C0C"/>
    <w:rsid w:val="0043453B"/>
    <w:rsid w:val="0046166E"/>
    <w:rsid w:val="00476A03"/>
    <w:rsid w:val="00482F86"/>
    <w:rsid w:val="004857F4"/>
    <w:rsid w:val="004867E2"/>
    <w:rsid w:val="004B25AA"/>
    <w:rsid w:val="004B7ED3"/>
    <w:rsid w:val="004C1AC8"/>
    <w:rsid w:val="004C5C4C"/>
    <w:rsid w:val="004C6827"/>
    <w:rsid w:val="004D21AB"/>
    <w:rsid w:val="004D6752"/>
    <w:rsid w:val="004E071E"/>
    <w:rsid w:val="004E4598"/>
    <w:rsid w:val="004F0D99"/>
    <w:rsid w:val="004F0E19"/>
    <w:rsid w:val="005044E2"/>
    <w:rsid w:val="005179AE"/>
    <w:rsid w:val="00547089"/>
    <w:rsid w:val="005551D1"/>
    <w:rsid w:val="00575C2E"/>
    <w:rsid w:val="00583A80"/>
    <w:rsid w:val="005910BF"/>
    <w:rsid w:val="005939DF"/>
    <w:rsid w:val="005A05C6"/>
    <w:rsid w:val="005A6D62"/>
    <w:rsid w:val="005C3DA4"/>
    <w:rsid w:val="005D25E7"/>
    <w:rsid w:val="005E294D"/>
    <w:rsid w:val="005E6748"/>
    <w:rsid w:val="006072A7"/>
    <w:rsid w:val="00614EDF"/>
    <w:rsid w:val="006264E1"/>
    <w:rsid w:val="00641F4B"/>
    <w:rsid w:val="00653B2E"/>
    <w:rsid w:val="00676934"/>
    <w:rsid w:val="00693264"/>
    <w:rsid w:val="006C2634"/>
    <w:rsid w:val="006C4DC2"/>
    <w:rsid w:val="006E3016"/>
    <w:rsid w:val="006E4958"/>
    <w:rsid w:val="0070229B"/>
    <w:rsid w:val="00720261"/>
    <w:rsid w:val="00723D68"/>
    <w:rsid w:val="00731234"/>
    <w:rsid w:val="00782BD5"/>
    <w:rsid w:val="00783072"/>
    <w:rsid w:val="007B74B6"/>
    <w:rsid w:val="007C6FD1"/>
    <w:rsid w:val="007E4971"/>
    <w:rsid w:val="007F78CC"/>
    <w:rsid w:val="00804330"/>
    <w:rsid w:val="00806B96"/>
    <w:rsid w:val="00812369"/>
    <w:rsid w:val="0081317F"/>
    <w:rsid w:val="00822BC9"/>
    <w:rsid w:val="008264EB"/>
    <w:rsid w:val="008443B1"/>
    <w:rsid w:val="008444D5"/>
    <w:rsid w:val="00855740"/>
    <w:rsid w:val="00856CB8"/>
    <w:rsid w:val="00871043"/>
    <w:rsid w:val="008945EE"/>
    <w:rsid w:val="00896823"/>
    <w:rsid w:val="008A4E7C"/>
    <w:rsid w:val="008C4B14"/>
    <w:rsid w:val="008E0469"/>
    <w:rsid w:val="008E48DD"/>
    <w:rsid w:val="008F3681"/>
    <w:rsid w:val="008F57ED"/>
    <w:rsid w:val="00914031"/>
    <w:rsid w:val="00933DE0"/>
    <w:rsid w:val="00957B4E"/>
    <w:rsid w:val="00986B96"/>
    <w:rsid w:val="00993CE7"/>
    <w:rsid w:val="009B60A9"/>
    <w:rsid w:val="009C12AF"/>
    <w:rsid w:val="009D5D04"/>
    <w:rsid w:val="009E684C"/>
    <w:rsid w:val="00A30F65"/>
    <w:rsid w:val="00A419A5"/>
    <w:rsid w:val="00A41C0C"/>
    <w:rsid w:val="00A42F3A"/>
    <w:rsid w:val="00A46119"/>
    <w:rsid w:val="00A73BCF"/>
    <w:rsid w:val="00A82E00"/>
    <w:rsid w:val="00A918F4"/>
    <w:rsid w:val="00A91DB5"/>
    <w:rsid w:val="00AA268F"/>
    <w:rsid w:val="00AD1F72"/>
    <w:rsid w:val="00AD3F3E"/>
    <w:rsid w:val="00AD78AE"/>
    <w:rsid w:val="00AE3DB8"/>
    <w:rsid w:val="00AF470E"/>
    <w:rsid w:val="00AF5FE0"/>
    <w:rsid w:val="00B10DD5"/>
    <w:rsid w:val="00B267D0"/>
    <w:rsid w:val="00B32E3C"/>
    <w:rsid w:val="00B35C9A"/>
    <w:rsid w:val="00B42851"/>
    <w:rsid w:val="00B42D98"/>
    <w:rsid w:val="00B72EFC"/>
    <w:rsid w:val="00B804FE"/>
    <w:rsid w:val="00B8210F"/>
    <w:rsid w:val="00B82E30"/>
    <w:rsid w:val="00B8697F"/>
    <w:rsid w:val="00BB3919"/>
    <w:rsid w:val="00BC3343"/>
    <w:rsid w:val="00BE7E43"/>
    <w:rsid w:val="00C05D28"/>
    <w:rsid w:val="00C129AA"/>
    <w:rsid w:val="00C213C9"/>
    <w:rsid w:val="00C22559"/>
    <w:rsid w:val="00C33F1F"/>
    <w:rsid w:val="00C46449"/>
    <w:rsid w:val="00C53FB8"/>
    <w:rsid w:val="00C557EE"/>
    <w:rsid w:val="00C71336"/>
    <w:rsid w:val="00C7432C"/>
    <w:rsid w:val="00C77EF5"/>
    <w:rsid w:val="00C946CE"/>
    <w:rsid w:val="00CA156B"/>
    <w:rsid w:val="00CA166B"/>
    <w:rsid w:val="00CA54AA"/>
    <w:rsid w:val="00CB5B1A"/>
    <w:rsid w:val="00CB5EF3"/>
    <w:rsid w:val="00CD4B9E"/>
    <w:rsid w:val="00CE42E0"/>
    <w:rsid w:val="00CE5A50"/>
    <w:rsid w:val="00CE7BF2"/>
    <w:rsid w:val="00D16A4F"/>
    <w:rsid w:val="00D23886"/>
    <w:rsid w:val="00D45CB3"/>
    <w:rsid w:val="00D47A9E"/>
    <w:rsid w:val="00D50652"/>
    <w:rsid w:val="00D803E9"/>
    <w:rsid w:val="00D929FD"/>
    <w:rsid w:val="00DA044F"/>
    <w:rsid w:val="00DC12D1"/>
    <w:rsid w:val="00DF3759"/>
    <w:rsid w:val="00DF4BD7"/>
    <w:rsid w:val="00DF537D"/>
    <w:rsid w:val="00E01480"/>
    <w:rsid w:val="00E10A6D"/>
    <w:rsid w:val="00E22109"/>
    <w:rsid w:val="00E22DE2"/>
    <w:rsid w:val="00E26F04"/>
    <w:rsid w:val="00E35E47"/>
    <w:rsid w:val="00E452F1"/>
    <w:rsid w:val="00E755AC"/>
    <w:rsid w:val="00E779A3"/>
    <w:rsid w:val="00E927EA"/>
    <w:rsid w:val="00E939D3"/>
    <w:rsid w:val="00EA00AF"/>
    <w:rsid w:val="00EA018C"/>
    <w:rsid w:val="00ED2EE1"/>
    <w:rsid w:val="00EE20F5"/>
    <w:rsid w:val="00EF6392"/>
    <w:rsid w:val="00F12136"/>
    <w:rsid w:val="00F13DEF"/>
    <w:rsid w:val="00F23943"/>
    <w:rsid w:val="00F2468A"/>
    <w:rsid w:val="00F24CA3"/>
    <w:rsid w:val="00F27155"/>
    <w:rsid w:val="00F4375E"/>
    <w:rsid w:val="00F6054C"/>
    <w:rsid w:val="00F74E32"/>
    <w:rsid w:val="00FA3CC5"/>
    <w:rsid w:val="00FB2E27"/>
    <w:rsid w:val="00FD3CD7"/>
    <w:rsid w:val="00FD479A"/>
    <w:rsid w:val="00FD60C7"/>
    <w:rsid w:val="00FE1D99"/>
    <w:rsid w:val="00FE36FA"/>
    <w:rsid w:val="00FE5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B9E"/>
    <w:rPr>
      <w:sz w:val="24"/>
      <w:szCs w:val="24"/>
      <w:lang w:val="en-US" w:eastAsia="en-US"/>
    </w:rPr>
  </w:style>
  <w:style w:type="paragraph" w:styleId="Heading1">
    <w:name w:val="heading 1"/>
    <w:aliases w:val="h1,c,H1,No numbers,heading 1Body,H-1,1.,Chapter,Section Heading,Heading 1 St.George,Heading 1 Interstar,A MAJOR/BOLD,Schedheading,h1 chapter heading,Heading 1(Report Only),RFP Heading 1,Schedule Heading 1,Attribute Heading 1,Underline,Head1"/>
    <w:basedOn w:val="Normal"/>
    <w:next w:val="Normal"/>
    <w:link w:val="Heading1Char"/>
    <w:qFormat/>
    <w:rsid w:val="008264EB"/>
    <w:pPr>
      <w:keepNext/>
      <w:numPr>
        <w:numId w:val="8"/>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semiHidden/>
    <w:unhideWhenUsed/>
    <w:qFormat/>
    <w:rsid w:val="008264E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semiHidden/>
    <w:unhideWhenUsed/>
    <w:qFormat/>
    <w:rsid w:val="008264E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semiHidden/>
    <w:unhideWhenUsed/>
    <w:qFormat/>
    <w:rsid w:val="00CB5B1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semiHidden/>
    <w:unhideWhenUsed/>
    <w:qFormat/>
    <w:rsid w:val="00CB5B1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semiHidden/>
    <w:unhideWhenUsed/>
    <w:qFormat/>
    <w:rsid w:val="00CB5B1A"/>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D4B9E"/>
    <w:rPr>
      <w:szCs w:val="20"/>
      <w:u w:val="single"/>
      <w:lang w:val="en-AU"/>
    </w:rPr>
  </w:style>
  <w:style w:type="character" w:customStyle="1" w:styleId="SubtitleChar">
    <w:name w:val="Subtitle Char"/>
    <w:basedOn w:val="DefaultParagraphFont"/>
    <w:link w:val="Subtitle"/>
    <w:rsid w:val="00CD4B9E"/>
    <w:rPr>
      <w:sz w:val="24"/>
      <w:u w:val="single"/>
      <w:lang w:eastAsia="en-US"/>
    </w:rPr>
  </w:style>
  <w:style w:type="paragraph" w:styleId="Header">
    <w:name w:val="header"/>
    <w:basedOn w:val="Normal"/>
    <w:link w:val="HeaderChar"/>
    <w:rsid w:val="00CD4B9E"/>
    <w:pPr>
      <w:widowControl w:val="0"/>
      <w:tabs>
        <w:tab w:val="center" w:pos="4153"/>
        <w:tab w:val="right" w:pos="8306"/>
      </w:tabs>
    </w:pPr>
    <w:rPr>
      <w:snapToGrid w:val="0"/>
      <w:szCs w:val="20"/>
    </w:rPr>
  </w:style>
  <w:style w:type="character" w:customStyle="1" w:styleId="HeaderChar">
    <w:name w:val="Header Char"/>
    <w:basedOn w:val="DefaultParagraphFont"/>
    <w:link w:val="Header"/>
    <w:rsid w:val="00CD4B9E"/>
    <w:rPr>
      <w:snapToGrid w:val="0"/>
      <w:sz w:val="24"/>
      <w:lang w:val="en-US" w:eastAsia="en-US"/>
    </w:rPr>
  </w:style>
  <w:style w:type="character" w:styleId="PageNumber">
    <w:name w:val="page number"/>
    <w:basedOn w:val="DefaultParagraphFont"/>
    <w:rsid w:val="00CD4B9E"/>
  </w:style>
  <w:style w:type="paragraph" w:styleId="Footer">
    <w:name w:val="footer"/>
    <w:basedOn w:val="Normal"/>
    <w:link w:val="FooterChar"/>
    <w:rsid w:val="00FE36FA"/>
    <w:pPr>
      <w:tabs>
        <w:tab w:val="center" w:pos="4513"/>
        <w:tab w:val="right" w:pos="9026"/>
      </w:tabs>
    </w:pPr>
  </w:style>
  <w:style w:type="character" w:customStyle="1" w:styleId="FooterChar">
    <w:name w:val="Footer Char"/>
    <w:basedOn w:val="DefaultParagraphFont"/>
    <w:link w:val="Footer"/>
    <w:rsid w:val="00FE36FA"/>
    <w:rPr>
      <w:sz w:val="24"/>
      <w:szCs w:val="24"/>
      <w:lang w:val="en-US" w:eastAsia="en-US"/>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F23943"/>
    <w:pPr>
      <w:ind w:left="720"/>
      <w:contextualSpacing/>
    </w:pPr>
  </w:style>
  <w:style w:type="paragraph" w:customStyle="1" w:styleId="TableTextform">
    <w:name w:val="TableText form"/>
    <w:basedOn w:val="Normal"/>
    <w:qFormat/>
    <w:rsid w:val="00957B4E"/>
    <w:pPr>
      <w:spacing w:before="40" w:after="240"/>
    </w:pPr>
    <w:rPr>
      <w:rFonts w:ascii="Arial" w:eastAsiaTheme="majorEastAsia" w:hAnsi="Arial" w:cs="Arial"/>
      <w:bCs/>
      <w:sz w:val="20"/>
      <w:szCs w:val="20"/>
      <w:lang w:val="en-AU"/>
    </w:rPr>
  </w:style>
  <w:style w:type="paragraph" w:customStyle="1" w:styleId="HealthLevel1">
    <w:name w:val="Health Level 1"/>
    <w:basedOn w:val="Normal"/>
    <w:link w:val="HealthLevel1Char"/>
    <w:rsid w:val="00957B4E"/>
    <w:pPr>
      <w:tabs>
        <w:tab w:val="left" w:pos="851"/>
      </w:tabs>
      <w:autoSpaceDE w:val="0"/>
      <w:autoSpaceDN w:val="0"/>
      <w:spacing w:before="120" w:line="260" w:lineRule="exact"/>
      <w:ind w:left="851"/>
    </w:pPr>
    <w:rPr>
      <w:color w:val="000000"/>
      <w:lang w:val="en-AU"/>
    </w:rPr>
  </w:style>
  <w:style w:type="paragraph" w:customStyle="1" w:styleId="Heading1NoNum">
    <w:name w:val="Heading 1 No Num"/>
    <w:basedOn w:val="Normal"/>
    <w:rsid w:val="00957B4E"/>
    <w:pPr>
      <w:keepNext/>
      <w:keepLines/>
      <w:pageBreakBefore/>
      <w:tabs>
        <w:tab w:val="left" w:pos="1559"/>
      </w:tabs>
      <w:autoSpaceDE w:val="0"/>
      <w:autoSpaceDN w:val="0"/>
      <w:spacing w:before="120" w:line="240" w:lineRule="atLeast"/>
    </w:pPr>
    <w:rPr>
      <w:rFonts w:ascii="Arial" w:hAnsi="Arial" w:cs="Arial"/>
      <w:b/>
      <w:bCs/>
      <w:sz w:val="32"/>
      <w:szCs w:val="32"/>
      <w:lang w:val="en-AU"/>
    </w:rPr>
  </w:style>
  <w:style w:type="character" w:customStyle="1" w:styleId="Heading1Char">
    <w:name w:val="Heading 1 Char"/>
    <w:aliases w:val="h1 Char,c Char,H1 Char,No numbers Char,heading 1Body Char,H-1 Char,1. Char,Chapter Char,Section Heading Char,Heading 1 St.George Char,Heading 1 Interstar Char,A MAJOR/BOLD Char,Schedheading Char,h1 chapter heading Char,RFP Heading 1 Char"/>
    <w:link w:val="Heading1"/>
    <w:rsid w:val="00957B4E"/>
    <w:rPr>
      <w:rFonts w:asciiTheme="majorHAnsi" w:eastAsiaTheme="majorEastAsia" w:hAnsiTheme="majorHAnsi" w:cstheme="majorBidi"/>
      <w:b/>
      <w:bCs/>
      <w:kern w:val="32"/>
      <w:sz w:val="32"/>
      <w:szCs w:val="32"/>
      <w:lang w:val="en-US" w:eastAsia="en-US"/>
    </w:rPr>
  </w:style>
  <w:style w:type="character" w:customStyle="1" w:styleId="HealthLevel1Char">
    <w:name w:val="Health Level 1 Char"/>
    <w:link w:val="HealthLevel1"/>
    <w:rsid w:val="00957B4E"/>
    <w:rPr>
      <w:color w:val="000000"/>
      <w:sz w:val="24"/>
      <w:szCs w:val="24"/>
      <w:lang w:eastAsia="en-US"/>
    </w:rPr>
  </w:style>
  <w:style w:type="character" w:styleId="Hyperlink">
    <w:name w:val="Hyperlink"/>
    <w:basedOn w:val="DefaultParagraphFont"/>
    <w:rsid w:val="004857F4"/>
    <w:rPr>
      <w:color w:val="0000FF" w:themeColor="hyperlink"/>
      <w:u w:val="single"/>
    </w:rPr>
  </w:style>
  <w:style w:type="paragraph" w:styleId="BalloonText">
    <w:name w:val="Balloon Text"/>
    <w:basedOn w:val="Normal"/>
    <w:link w:val="BalloonTextChar"/>
    <w:rsid w:val="00C22559"/>
    <w:rPr>
      <w:rFonts w:ascii="Tahoma" w:hAnsi="Tahoma" w:cs="Tahoma"/>
      <w:sz w:val="16"/>
      <w:szCs w:val="16"/>
    </w:rPr>
  </w:style>
  <w:style w:type="character" w:customStyle="1" w:styleId="BalloonTextChar">
    <w:name w:val="Balloon Text Char"/>
    <w:basedOn w:val="DefaultParagraphFont"/>
    <w:link w:val="BalloonText"/>
    <w:rsid w:val="00C22559"/>
    <w:rPr>
      <w:rFonts w:ascii="Tahoma" w:hAnsi="Tahoma" w:cs="Tahoma"/>
      <w:sz w:val="16"/>
      <w:szCs w:val="16"/>
      <w:lang w:val="en-US" w:eastAsia="en-US"/>
    </w:rPr>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5551D1"/>
    <w:rPr>
      <w:sz w:val="24"/>
      <w:szCs w:val="24"/>
      <w:lang w:val="en-US" w:eastAsia="en-US"/>
    </w:rPr>
  </w:style>
  <w:style w:type="character" w:customStyle="1" w:styleId="apple-converted-space">
    <w:name w:val="apple-converted-space"/>
    <w:basedOn w:val="DefaultParagraphFont"/>
    <w:rsid w:val="00933DE0"/>
  </w:style>
  <w:style w:type="character" w:styleId="IntenseReference">
    <w:name w:val="Intense Reference"/>
    <w:basedOn w:val="DefaultParagraphFont"/>
    <w:uiPriority w:val="32"/>
    <w:qFormat/>
    <w:rsid w:val="004D6752"/>
    <w:rPr>
      <w:b/>
      <w:bCs/>
      <w:i/>
      <w:smallCaps/>
      <w:color w:val="C0504D" w:themeColor="accent2"/>
      <w:spacing w:val="5"/>
      <w:u w:val="none"/>
    </w:rPr>
  </w:style>
  <w:style w:type="character" w:styleId="CommentReference">
    <w:name w:val="annotation reference"/>
    <w:basedOn w:val="DefaultParagraphFont"/>
    <w:rsid w:val="00720261"/>
    <w:rPr>
      <w:sz w:val="16"/>
      <w:szCs w:val="16"/>
    </w:rPr>
  </w:style>
  <w:style w:type="paragraph" w:styleId="CommentText">
    <w:name w:val="annotation text"/>
    <w:basedOn w:val="Normal"/>
    <w:link w:val="CommentTextChar"/>
    <w:rsid w:val="00720261"/>
    <w:rPr>
      <w:sz w:val="20"/>
      <w:szCs w:val="20"/>
    </w:rPr>
  </w:style>
  <w:style w:type="character" w:customStyle="1" w:styleId="CommentTextChar">
    <w:name w:val="Comment Text Char"/>
    <w:basedOn w:val="DefaultParagraphFont"/>
    <w:link w:val="CommentText"/>
    <w:rsid w:val="00720261"/>
    <w:rPr>
      <w:lang w:val="en-US" w:eastAsia="en-US"/>
    </w:rPr>
  </w:style>
  <w:style w:type="paragraph" w:styleId="CommentSubject">
    <w:name w:val="annotation subject"/>
    <w:basedOn w:val="CommentText"/>
    <w:next w:val="CommentText"/>
    <w:link w:val="CommentSubjectChar"/>
    <w:rsid w:val="00720261"/>
    <w:rPr>
      <w:b/>
      <w:bCs/>
    </w:rPr>
  </w:style>
  <w:style w:type="character" w:customStyle="1" w:styleId="CommentSubjectChar">
    <w:name w:val="Comment Subject Char"/>
    <w:basedOn w:val="CommentTextChar"/>
    <w:link w:val="CommentSubject"/>
    <w:rsid w:val="00720261"/>
    <w:rPr>
      <w:b/>
      <w:bCs/>
      <w:lang w:val="en-US" w:eastAsia="en-US"/>
    </w:rPr>
  </w:style>
  <w:style w:type="paragraph" w:styleId="Revision">
    <w:name w:val="Revision"/>
    <w:hidden/>
    <w:uiPriority w:val="99"/>
    <w:semiHidden/>
    <w:rsid w:val="00AE3DB8"/>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B9E"/>
    <w:rPr>
      <w:sz w:val="24"/>
      <w:szCs w:val="24"/>
      <w:lang w:val="en-US" w:eastAsia="en-US"/>
    </w:rPr>
  </w:style>
  <w:style w:type="paragraph" w:styleId="Heading1">
    <w:name w:val="heading 1"/>
    <w:aliases w:val="h1,c,H1,No numbers,heading 1Body,H-1,1.,Chapter,Section Heading,Heading 1 St.George,Heading 1 Interstar,A MAJOR/BOLD,Schedheading,h1 chapter heading,Heading 1(Report Only),RFP Heading 1,Schedule Heading 1,Attribute Heading 1,Underline,Head1"/>
    <w:basedOn w:val="Normal"/>
    <w:next w:val="Normal"/>
    <w:link w:val="Heading1Char"/>
    <w:qFormat/>
    <w:rsid w:val="008264EB"/>
    <w:pPr>
      <w:keepNext/>
      <w:numPr>
        <w:numId w:val="8"/>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semiHidden/>
    <w:unhideWhenUsed/>
    <w:qFormat/>
    <w:rsid w:val="008264E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semiHidden/>
    <w:unhideWhenUsed/>
    <w:qFormat/>
    <w:rsid w:val="008264E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semiHidden/>
    <w:unhideWhenUsed/>
    <w:qFormat/>
    <w:rsid w:val="00CB5B1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semiHidden/>
    <w:unhideWhenUsed/>
    <w:qFormat/>
    <w:rsid w:val="00CB5B1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semiHidden/>
    <w:unhideWhenUsed/>
    <w:qFormat/>
    <w:rsid w:val="00CB5B1A"/>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D4B9E"/>
    <w:rPr>
      <w:szCs w:val="20"/>
      <w:u w:val="single"/>
      <w:lang w:val="en-AU"/>
    </w:rPr>
  </w:style>
  <w:style w:type="character" w:customStyle="1" w:styleId="SubtitleChar">
    <w:name w:val="Subtitle Char"/>
    <w:basedOn w:val="DefaultParagraphFont"/>
    <w:link w:val="Subtitle"/>
    <w:rsid w:val="00CD4B9E"/>
    <w:rPr>
      <w:sz w:val="24"/>
      <w:u w:val="single"/>
      <w:lang w:eastAsia="en-US"/>
    </w:rPr>
  </w:style>
  <w:style w:type="paragraph" w:styleId="Header">
    <w:name w:val="header"/>
    <w:basedOn w:val="Normal"/>
    <w:link w:val="HeaderChar"/>
    <w:rsid w:val="00CD4B9E"/>
    <w:pPr>
      <w:widowControl w:val="0"/>
      <w:tabs>
        <w:tab w:val="center" w:pos="4153"/>
        <w:tab w:val="right" w:pos="8306"/>
      </w:tabs>
    </w:pPr>
    <w:rPr>
      <w:snapToGrid w:val="0"/>
      <w:szCs w:val="20"/>
    </w:rPr>
  </w:style>
  <w:style w:type="character" w:customStyle="1" w:styleId="HeaderChar">
    <w:name w:val="Header Char"/>
    <w:basedOn w:val="DefaultParagraphFont"/>
    <w:link w:val="Header"/>
    <w:rsid w:val="00CD4B9E"/>
    <w:rPr>
      <w:snapToGrid w:val="0"/>
      <w:sz w:val="24"/>
      <w:lang w:val="en-US" w:eastAsia="en-US"/>
    </w:rPr>
  </w:style>
  <w:style w:type="character" w:styleId="PageNumber">
    <w:name w:val="page number"/>
    <w:basedOn w:val="DefaultParagraphFont"/>
    <w:rsid w:val="00CD4B9E"/>
  </w:style>
  <w:style w:type="paragraph" w:styleId="Footer">
    <w:name w:val="footer"/>
    <w:basedOn w:val="Normal"/>
    <w:link w:val="FooterChar"/>
    <w:rsid w:val="00FE36FA"/>
    <w:pPr>
      <w:tabs>
        <w:tab w:val="center" w:pos="4513"/>
        <w:tab w:val="right" w:pos="9026"/>
      </w:tabs>
    </w:pPr>
  </w:style>
  <w:style w:type="character" w:customStyle="1" w:styleId="FooterChar">
    <w:name w:val="Footer Char"/>
    <w:basedOn w:val="DefaultParagraphFont"/>
    <w:link w:val="Footer"/>
    <w:rsid w:val="00FE36FA"/>
    <w:rPr>
      <w:sz w:val="24"/>
      <w:szCs w:val="24"/>
      <w:lang w:val="en-US" w:eastAsia="en-US"/>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F23943"/>
    <w:pPr>
      <w:ind w:left="720"/>
      <w:contextualSpacing/>
    </w:pPr>
  </w:style>
  <w:style w:type="paragraph" w:customStyle="1" w:styleId="TableTextform">
    <w:name w:val="TableText form"/>
    <w:basedOn w:val="Normal"/>
    <w:qFormat/>
    <w:rsid w:val="00957B4E"/>
    <w:pPr>
      <w:spacing w:before="40" w:after="240"/>
    </w:pPr>
    <w:rPr>
      <w:rFonts w:ascii="Arial" w:eastAsiaTheme="majorEastAsia" w:hAnsi="Arial" w:cs="Arial"/>
      <w:bCs/>
      <w:sz w:val="20"/>
      <w:szCs w:val="20"/>
      <w:lang w:val="en-AU"/>
    </w:rPr>
  </w:style>
  <w:style w:type="paragraph" w:customStyle="1" w:styleId="HealthLevel1">
    <w:name w:val="Health Level 1"/>
    <w:basedOn w:val="Normal"/>
    <w:link w:val="HealthLevel1Char"/>
    <w:rsid w:val="00957B4E"/>
    <w:pPr>
      <w:tabs>
        <w:tab w:val="left" w:pos="851"/>
      </w:tabs>
      <w:autoSpaceDE w:val="0"/>
      <w:autoSpaceDN w:val="0"/>
      <w:spacing w:before="120" w:line="260" w:lineRule="exact"/>
      <w:ind w:left="851"/>
    </w:pPr>
    <w:rPr>
      <w:color w:val="000000"/>
      <w:lang w:val="en-AU"/>
    </w:rPr>
  </w:style>
  <w:style w:type="paragraph" w:customStyle="1" w:styleId="Heading1NoNum">
    <w:name w:val="Heading 1 No Num"/>
    <w:basedOn w:val="Normal"/>
    <w:rsid w:val="00957B4E"/>
    <w:pPr>
      <w:keepNext/>
      <w:keepLines/>
      <w:pageBreakBefore/>
      <w:tabs>
        <w:tab w:val="left" w:pos="1559"/>
      </w:tabs>
      <w:autoSpaceDE w:val="0"/>
      <w:autoSpaceDN w:val="0"/>
      <w:spacing w:before="120" w:line="240" w:lineRule="atLeast"/>
    </w:pPr>
    <w:rPr>
      <w:rFonts w:ascii="Arial" w:hAnsi="Arial" w:cs="Arial"/>
      <w:b/>
      <w:bCs/>
      <w:sz w:val="32"/>
      <w:szCs w:val="32"/>
      <w:lang w:val="en-AU"/>
    </w:rPr>
  </w:style>
  <w:style w:type="character" w:customStyle="1" w:styleId="Heading1Char">
    <w:name w:val="Heading 1 Char"/>
    <w:aliases w:val="h1 Char,c Char,H1 Char,No numbers Char,heading 1Body Char,H-1 Char,1. Char,Chapter Char,Section Heading Char,Heading 1 St.George Char,Heading 1 Interstar Char,A MAJOR/BOLD Char,Schedheading Char,h1 chapter heading Char,RFP Heading 1 Char"/>
    <w:link w:val="Heading1"/>
    <w:rsid w:val="00957B4E"/>
    <w:rPr>
      <w:rFonts w:asciiTheme="majorHAnsi" w:eastAsiaTheme="majorEastAsia" w:hAnsiTheme="majorHAnsi" w:cstheme="majorBidi"/>
      <w:b/>
      <w:bCs/>
      <w:kern w:val="32"/>
      <w:sz w:val="32"/>
      <w:szCs w:val="32"/>
      <w:lang w:val="en-US" w:eastAsia="en-US"/>
    </w:rPr>
  </w:style>
  <w:style w:type="character" w:customStyle="1" w:styleId="HealthLevel1Char">
    <w:name w:val="Health Level 1 Char"/>
    <w:link w:val="HealthLevel1"/>
    <w:rsid w:val="00957B4E"/>
    <w:rPr>
      <w:color w:val="000000"/>
      <w:sz w:val="24"/>
      <w:szCs w:val="24"/>
      <w:lang w:eastAsia="en-US"/>
    </w:rPr>
  </w:style>
  <w:style w:type="character" w:styleId="Hyperlink">
    <w:name w:val="Hyperlink"/>
    <w:basedOn w:val="DefaultParagraphFont"/>
    <w:rsid w:val="004857F4"/>
    <w:rPr>
      <w:color w:val="0000FF" w:themeColor="hyperlink"/>
      <w:u w:val="single"/>
    </w:rPr>
  </w:style>
  <w:style w:type="paragraph" w:styleId="BalloonText">
    <w:name w:val="Balloon Text"/>
    <w:basedOn w:val="Normal"/>
    <w:link w:val="BalloonTextChar"/>
    <w:rsid w:val="00C22559"/>
    <w:rPr>
      <w:rFonts w:ascii="Tahoma" w:hAnsi="Tahoma" w:cs="Tahoma"/>
      <w:sz w:val="16"/>
      <w:szCs w:val="16"/>
    </w:rPr>
  </w:style>
  <w:style w:type="character" w:customStyle="1" w:styleId="BalloonTextChar">
    <w:name w:val="Balloon Text Char"/>
    <w:basedOn w:val="DefaultParagraphFont"/>
    <w:link w:val="BalloonText"/>
    <w:rsid w:val="00C22559"/>
    <w:rPr>
      <w:rFonts w:ascii="Tahoma" w:hAnsi="Tahoma" w:cs="Tahoma"/>
      <w:sz w:val="16"/>
      <w:szCs w:val="16"/>
      <w:lang w:val="en-US" w:eastAsia="en-US"/>
    </w:rPr>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5551D1"/>
    <w:rPr>
      <w:sz w:val="24"/>
      <w:szCs w:val="24"/>
      <w:lang w:val="en-US" w:eastAsia="en-US"/>
    </w:rPr>
  </w:style>
  <w:style w:type="character" w:customStyle="1" w:styleId="apple-converted-space">
    <w:name w:val="apple-converted-space"/>
    <w:basedOn w:val="DefaultParagraphFont"/>
    <w:rsid w:val="00933DE0"/>
  </w:style>
  <w:style w:type="character" w:styleId="IntenseReference">
    <w:name w:val="Intense Reference"/>
    <w:basedOn w:val="DefaultParagraphFont"/>
    <w:uiPriority w:val="32"/>
    <w:qFormat/>
    <w:rsid w:val="004D6752"/>
    <w:rPr>
      <w:b/>
      <w:bCs/>
      <w:i/>
      <w:smallCaps/>
      <w:color w:val="C0504D" w:themeColor="accent2"/>
      <w:spacing w:val="5"/>
      <w:u w:val="none"/>
    </w:rPr>
  </w:style>
  <w:style w:type="character" w:styleId="CommentReference">
    <w:name w:val="annotation reference"/>
    <w:basedOn w:val="DefaultParagraphFont"/>
    <w:rsid w:val="00720261"/>
    <w:rPr>
      <w:sz w:val="16"/>
      <w:szCs w:val="16"/>
    </w:rPr>
  </w:style>
  <w:style w:type="paragraph" w:styleId="CommentText">
    <w:name w:val="annotation text"/>
    <w:basedOn w:val="Normal"/>
    <w:link w:val="CommentTextChar"/>
    <w:rsid w:val="00720261"/>
    <w:rPr>
      <w:sz w:val="20"/>
      <w:szCs w:val="20"/>
    </w:rPr>
  </w:style>
  <w:style w:type="character" w:customStyle="1" w:styleId="CommentTextChar">
    <w:name w:val="Comment Text Char"/>
    <w:basedOn w:val="DefaultParagraphFont"/>
    <w:link w:val="CommentText"/>
    <w:rsid w:val="00720261"/>
    <w:rPr>
      <w:lang w:val="en-US" w:eastAsia="en-US"/>
    </w:rPr>
  </w:style>
  <w:style w:type="paragraph" w:styleId="CommentSubject">
    <w:name w:val="annotation subject"/>
    <w:basedOn w:val="CommentText"/>
    <w:next w:val="CommentText"/>
    <w:link w:val="CommentSubjectChar"/>
    <w:rsid w:val="00720261"/>
    <w:rPr>
      <w:b/>
      <w:bCs/>
    </w:rPr>
  </w:style>
  <w:style w:type="character" w:customStyle="1" w:styleId="CommentSubjectChar">
    <w:name w:val="Comment Subject Char"/>
    <w:basedOn w:val="CommentTextChar"/>
    <w:link w:val="CommentSubject"/>
    <w:rsid w:val="00720261"/>
    <w:rPr>
      <w:b/>
      <w:bCs/>
      <w:lang w:val="en-US" w:eastAsia="en-US"/>
    </w:rPr>
  </w:style>
  <w:style w:type="paragraph" w:styleId="Revision">
    <w:name w:val="Revision"/>
    <w:hidden/>
    <w:uiPriority w:val="99"/>
    <w:semiHidden/>
    <w:rsid w:val="00AE3DB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1688">
      <w:bodyDiv w:val="1"/>
      <w:marLeft w:val="0"/>
      <w:marRight w:val="0"/>
      <w:marTop w:val="0"/>
      <w:marBottom w:val="0"/>
      <w:divBdr>
        <w:top w:val="none" w:sz="0" w:space="0" w:color="auto"/>
        <w:left w:val="none" w:sz="0" w:space="0" w:color="auto"/>
        <w:bottom w:val="none" w:sz="0" w:space="0" w:color="auto"/>
        <w:right w:val="none" w:sz="0" w:space="0" w:color="auto"/>
      </w:divBdr>
      <w:divsChild>
        <w:div w:id="456533128">
          <w:marLeft w:val="0"/>
          <w:marRight w:val="0"/>
          <w:marTop w:val="0"/>
          <w:marBottom w:val="0"/>
          <w:divBdr>
            <w:top w:val="none" w:sz="0" w:space="0" w:color="auto"/>
            <w:left w:val="none" w:sz="0" w:space="0" w:color="auto"/>
            <w:bottom w:val="none" w:sz="0" w:space="0" w:color="auto"/>
            <w:right w:val="none" w:sz="0" w:space="0" w:color="auto"/>
          </w:divBdr>
          <w:divsChild>
            <w:div w:id="1511527886">
              <w:marLeft w:val="0"/>
              <w:marRight w:val="0"/>
              <w:marTop w:val="0"/>
              <w:marBottom w:val="0"/>
              <w:divBdr>
                <w:top w:val="none" w:sz="0" w:space="0" w:color="auto"/>
                <w:left w:val="none" w:sz="0" w:space="0" w:color="auto"/>
                <w:bottom w:val="none" w:sz="0" w:space="0" w:color="auto"/>
                <w:right w:val="none" w:sz="0" w:space="0" w:color="auto"/>
              </w:divBdr>
              <w:divsChild>
                <w:div w:id="164367106">
                  <w:marLeft w:val="0"/>
                  <w:marRight w:val="0"/>
                  <w:marTop w:val="300"/>
                  <w:marBottom w:val="300"/>
                  <w:divBdr>
                    <w:top w:val="none" w:sz="0" w:space="0" w:color="auto"/>
                    <w:left w:val="none" w:sz="0" w:space="0" w:color="auto"/>
                    <w:bottom w:val="none" w:sz="0" w:space="0" w:color="auto"/>
                    <w:right w:val="none" w:sz="0" w:space="0" w:color="auto"/>
                  </w:divBdr>
                  <w:divsChild>
                    <w:div w:id="1185024858">
                      <w:marLeft w:val="0"/>
                      <w:marRight w:val="225"/>
                      <w:marTop w:val="300"/>
                      <w:marBottom w:val="0"/>
                      <w:divBdr>
                        <w:top w:val="single" w:sz="6" w:space="15" w:color="DDDDDD"/>
                        <w:left w:val="single" w:sz="6" w:space="15" w:color="DDDDDD"/>
                        <w:bottom w:val="single" w:sz="6" w:space="15" w:color="DDDDDD"/>
                        <w:right w:val="single" w:sz="6" w:space="15" w:color="DDDDDD"/>
                      </w:divBdr>
                    </w:div>
                  </w:divsChild>
                </w:div>
              </w:divsChild>
            </w:div>
          </w:divsChild>
        </w:div>
      </w:divsChild>
    </w:div>
    <w:div w:id="821198379">
      <w:bodyDiv w:val="1"/>
      <w:marLeft w:val="0"/>
      <w:marRight w:val="0"/>
      <w:marTop w:val="0"/>
      <w:marBottom w:val="0"/>
      <w:divBdr>
        <w:top w:val="none" w:sz="0" w:space="0" w:color="auto"/>
        <w:left w:val="none" w:sz="0" w:space="0" w:color="auto"/>
        <w:bottom w:val="none" w:sz="0" w:space="0" w:color="auto"/>
        <w:right w:val="none" w:sz="0" w:space="0" w:color="auto"/>
      </w:divBdr>
    </w:div>
    <w:div w:id="203811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is.dpmc.gov.au/2015/07/21/proposed-changes-to-the-personally-controlled-electronic-health-record-syste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3399</Words>
  <Characters>18555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Richter</dc:creator>
  <cp:lastModifiedBy>Lewis Eleanor</cp:lastModifiedBy>
  <cp:revision>2</cp:revision>
  <cp:lastPrinted>2015-11-18T03:38:00Z</cp:lastPrinted>
  <dcterms:created xsi:type="dcterms:W3CDTF">2016-02-08T00:42:00Z</dcterms:created>
  <dcterms:modified xsi:type="dcterms:W3CDTF">2016-02-08T00:42:00Z</dcterms:modified>
</cp:coreProperties>
</file>