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602EC" w14:textId="77777777" w:rsidR="00B23093" w:rsidRPr="00F26A5A" w:rsidRDefault="00B23093" w:rsidP="00B23093">
      <w:pPr>
        <w:pStyle w:val="Heading2"/>
      </w:pPr>
      <w:r w:rsidRPr="00F26A5A">
        <w:t>Explanatory Statement</w:t>
      </w:r>
    </w:p>
    <w:p w14:paraId="0EEB0FB3" w14:textId="77777777" w:rsidR="00B23093" w:rsidRPr="005D423B" w:rsidRDefault="00B23093" w:rsidP="00B23093">
      <w:pPr>
        <w:rPr>
          <w:b/>
          <w:lang w:eastAsia="en-GB" w:bidi="ar-SA"/>
        </w:rPr>
      </w:pPr>
      <w:r w:rsidRPr="005D423B">
        <w:rPr>
          <w:b/>
          <w:lang w:eastAsia="en-GB" w:bidi="ar-SA"/>
        </w:rPr>
        <w:t>1.</w:t>
      </w:r>
      <w:r w:rsidRPr="005D423B">
        <w:rPr>
          <w:b/>
          <w:lang w:eastAsia="en-GB" w:bidi="ar-SA"/>
        </w:rPr>
        <w:tab/>
        <w:t>Authority</w:t>
      </w:r>
    </w:p>
    <w:p w14:paraId="6AC5F228" w14:textId="77777777" w:rsidR="00B23093" w:rsidRPr="005D423B" w:rsidRDefault="00B23093" w:rsidP="00B23093">
      <w:pPr>
        <w:rPr>
          <w:lang w:eastAsia="en-GB" w:bidi="ar-SA"/>
        </w:rPr>
      </w:pPr>
    </w:p>
    <w:p w14:paraId="46E7E835" w14:textId="77777777" w:rsidR="00B23093" w:rsidRPr="005D423B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bidi="ar-SA"/>
        </w:rPr>
      </w:pPr>
      <w:r w:rsidRPr="005D423B">
        <w:rPr>
          <w:rFonts w:eastAsia="Calibri" w:cs="Arial"/>
          <w:bCs/>
          <w:szCs w:val="22"/>
          <w:lang w:bidi="ar-SA"/>
        </w:rPr>
        <w:t xml:space="preserve">Section 13 of the </w:t>
      </w:r>
      <w:r w:rsidRPr="005D423B">
        <w:rPr>
          <w:rFonts w:eastAsia="Calibri" w:cs="Arial"/>
          <w:bCs/>
          <w:i/>
          <w:szCs w:val="22"/>
          <w:lang w:bidi="ar-SA"/>
        </w:rPr>
        <w:t>Food Standards Australia New Zealand Act 1991</w:t>
      </w:r>
      <w:r w:rsidRPr="005D423B">
        <w:rPr>
          <w:rFonts w:eastAsia="Calibri" w:cs="Arial"/>
          <w:bCs/>
          <w:szCs w:val="22"/>
          <w:lang w:bidi="ar-SA"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5D423B">
        <w:rPr>
          <w:rFonts w:eastAsia="Calibri" w:cs="Arial"/>
          <w:bCs/>
          <w:i/>
          <w:szCs w:val="22"/>
          <w:lang w:bidi="ar-SA"/>
        </w:rPr>
        <w:t>Australia New Zealand Food Standards Code</w:t>
      </w:r>
      <w:r w:rsidRPr="005D423B">
        <w:rPr>
          <w:rFonts w:eastAsia="Calibri" w:cs="Arial"/>
          <w:bCs/>
          <w:szCs w:val="22"/>
          <w:lang w:bidi="ar-SA"/>
        </w:rPr>
        <w:t xml:space="preserve"> (the </w:t>
      </w:r>
      <w:r>
        <w:rPr>
          <w:rFonts w:eastAsia="Calibri" w:cs="Arial"/>
          <w:bCs/>
          <w:szCs w:val="22"/>
          <w:lang w:bidi="ar-SA"/>
        </w:rPr>
        <w:t>current</w:t>
      </w:r>
      <w:r w:rsidRPr="005D423B">
        <w:rPr>
          <w:rFonts w:eastAsia="Calibri" w:cs="Arial"/>
          <w:bCs/>
          <w:szCs w:val="22"/>
          <w:lang w:bidi="ar-SA"/>
        </w:rPr>
        <w:t xml:space="preserve"> Code).</w:t>
      </w:r>
    </w:p>
    <w:p w14:paraId="49C426E0" w14:textId="77777777" w:rsidR="00B23093" w:rsidRPr="005D423B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bidi="ar-SA"/>
        </w:rPr>
      </w:pPr>
    </w:p>
    <w:p w14:paraId="05142F41" w14:textId="77777777" w:rsidR="00B23093" w:rsidRPr="005D423B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bidi="ar-SA"/>
        </w:rPr>
      </w:pPr>
      <w:r w:rsidRPr="005D423B">
        <w:rPr>
          <w:rFonts w:eastAsia="Calibri" w:cs="Arial"/>
          <w:bCs/>
          <w:szCs w:val="22"/>
          <w:lang w:bidi="ar-SA"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14:paraId="726575DA" w14:textId="77777777" w:rsidR="00B23093" w:rsidRPr="005D423B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bidi="ar-SA"/>
        </w:rPr>
      </w:pPr>
    </w:p>
    <w:p w14:paraId="3967109A" w14:textId="77777777" w:rsidR="00B23093" w:rsidRPr="005D423B" w:rsidRDefault="00B23093" w:rsidP="00B23093">
      <w:r w:rsidRPr="005D423B">
        <w:t xml:space="preserve">FSANZ has published a revision of the </w:t>
      </w:r>
      <w:r>
        <w:t>current</w:t>
      </w:r>
      <w:r w:rsidRPr="005D423B">
        <w:t xml:space="preserve"> Code </w:t>
      </w:r>
      <w:r>
        <w:t xml:space="preserve">in April 2015 </w:t>
      </w:r>
      <w:r w:rsidRPr="005D423B">
        <w:t xml:space="preserve">(the </w:t>
      </w:r>
      <w:r>
        <w:t>revised</w:t>
      </w:r>
      <w:r w:rsidRPr="005D423B">
        <w:t xml:space="preserve"> Code). The </w:t>
      </w:r>
      <w:r>
        <w:t>revised</w:t>
      </w:r>
      <w:r w:rsidRPr="005D423B">
        <w:t xml:space="preserve"> Code will replace the </w:t>
      </w:r>
      <w:r>
        <w:t>current</w:t>
      </w:r>
      <w:r w:rsidRPr="005D423B">
        <w:t xml:space="preserve"> Code on 1 March 2016, when the </w:t>
      </w:r>
      <w:r>
        <w:t>current</w:t>
      </w:r>
      <w:r w:rsidRPr="005D423B">
        <w:t xml:space="preserve"> Code will be repealed.</w:t>
      </w:r>
    </w:p>
    <w:p w14:paraId="41F4A6B5" w14:textId="77777777" w:rsidR="00B23093" w:rsidRPr="005D423B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bidi="ar-SA"/>
        </w:rPr>
      </w:pPr>
    </w:p>
    <w:p w14:paraId="61AC4186" w14:textId="77777777" w:rsidR="00B23093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bidi="ar-SA"/>
        </w:rPr>
      </w:pPr>
      <w:r w:rsidRPr="005D423B">
        <w:rPr>
          <w:rFonts w:eastAsia="Calibri" w:cs="Arial"/>
          <w:bCs/>
          <w:szCs w:val="22"/>
          <w:lang w:bidi="ar-SA"/>
        </w:rPr>
        <w:t xml:space="preserve">FSANZ prepared Proposal P1040 </w:t>
      </w:r>
      <w:r w:rsidRPr="005D423B">
        <w:rPr>
          <w:szCs w:val="22"/>
        </w:rPr>
        <w:t xml:space="preserve">to correct minor errors in the published </w:t>
      </w:r>
      <w:r>
        <w:rPr>
          <w:szCs w:val="22"/>
        </w:rPr>
        <w:t xml:space="preserve">revised </w:t>
      </w:r>
      <w:r w:rsidRPr="005D423B">
        <w:rPr>
          <w:szCs w:val="22"/>
        </w:rPr>
        <w:t>Code</w:t>
      </w:r>
      <w:r w:rsidRPr="005D423B">
        <w:rPr>
          <w:rFonts w:eastAsia="Calibri" w:cs="Arial"/>
          <w:bCs/>
          <w:szCs w:val="22"/>
          <w:lang w:bidi="ar-SA"/>
        </w:rPr>
        <w:t xml:space="preserve">. The Authority has considered the Proposal in accordance with Division 2 of Part 3 and has </w:t>
      </w:r>
      <w:r>
        <w:rPr>
          <w:rFonts w:eastAsia="Calibri" w:cs="Arial"/>
          <w:bCs/>
          <w:szCs w:val="22"/>
          <w:lang w:bidi="ar-SA"/>
        </w:rPr>
        <w:t>approved</w:t>
      </w:r>
      <w:r w:rsidRPr="005D423B">
        <w:rPr>
          <w:rFonts w:eastAsia="Calibri" w:cs="Arial"/>
          <w:bCs/>
          <w:szCs w:val="22"/>
          <w:lang w:bidi="ar-SA"/>
        </w:rPr>
        <w:t xml:space="preserve"> a draft variation. </w:t>
      </w:r>
    </w:p>
    <w:p w14:paraId="285A8E5E" w14:textId="77777777" w:rsidR="00B23093" w:rsidRPr="005D423B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bidi="ar-SA"/>
        </w:rPr>
      </w:pPr>
    </w:p>
    <w:p w14:paraId="35147A13" w14:textId="77777777" w:rsidR="00B23093" w:rsidRPr="00D13E34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Following consideration by </w:t>
      </w:r>
      <w:r>
        <w:rPr>
          <w:rFonts w:eastAsia="Calibri" w:cs="Arial"/>
          <w:bCs/>
          <w:szCs w:val="22"/>
          <w:lang w:val="en-AU" w:bidi="ar-SA"/>
        </w:rPr>
        <w:t xml:space="preserve">the </w:t>
      </w:r>
      <w:r>
        <w:rPr>
          <w:rFonts w:cs="Helvetica"/>
          <w:lang w:val="en-AU"/>
        </w:rPr>
        <w:t xml:space="preserve">Australia and New Zealand Ministerial Forum on Food </w:t>
      </w:r>
      <w:r>
        <w:rPr>
          <w:rFonts w:cs="Arial"/>
        </w:rPr>
        <w:t>Regulation</w:t>
      </w:r>
      <w:r>
        <w:rPr>
          <w:rStyle w:val="FootnoteReference"/>
          <w:rFonts w:cs="Arial"/>
        </w:rPr>
        <w:footnoteReference w:id="1"/>
      </w:r>
      <w:r w:rsidRPr="00D13E34">
        <w:rPr>
          <w:rFonts w:eastAsia="Calibri" w:cs="Arial"/>
          <w:bCs/>
          <w:szCs w:val="22"/>
          <w:lang w:val="en-AU" w:bidi="ar-SA"/>
        </w:rPr>
        <w:t xml:space="preserve">, section 92 of 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 xml:space="preserve">Act stipulates that 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 must publish a notice about the standard or draft variation of a standard</w:t>
      </w:r>
      <w:r>
        <w:rPr>
          <w:rFonts w:eastAsia="Calibri" w:cs="Arial"/>
          <w:bCs/>
          <w:szCs w:val="22"/>
          <w:lang w:val="en-AU" w:bidi="ar-SA"/>
        </w:rPr>
        <w:t xml:space="preserve">. </w:t>
      </w:r>
    </w:p>
    <w:p w14:paraId="6D9C0124" w14:textId="77777777" w:rsidR="00B23093" w:rsidRPr="00D13E34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14E4C4E8" w14:textId="77777777" w:rsidR="00B23093" w:rsidRPr="00D13E34" w:rsidRDefault="00B23093" w:rsidP="00B23093">
      <w:pPr>
        <w:widowControl/>
        <w:autoSpaceDE w:val="0"/>
        <w:autoSpaceDN w:val="0"/>
        <w:adjustRightInd w:val="0"/>
        <w:ind w:right="-330"/>
        <w:rPr>
          <w:rFonts w:eastAsia="Calibri" w:cs="Arial"/>
          <w:color w:val="000000"/>
          <w:szCs w:val="22"/>
          <w:lang w:val="en-AU" w:bidi="ar-SA"/>
        </w:rPr>
      </w:pPr>
      <w:r w:rsidRPr="00EC71D1">
        <w:rPr>
          <w:rFonts w:eastAsia="Calibri" w:cs="Arial"/>
          <w:bCs/>
          <w:color w:val="000000"/>
          <w:szCs w:val="22"/>
          <w:lang w:val="en-AU" w:bidi="ar-SA"/>
        </w:rPr>
        <w:t xml:space="preserve">Section 94 of the </w:t>
      </w:r>
      <w:r>
        <w:rPr>
          <w:rFonts w:eastAsia="Calibri" w:cs="Arial"/>
          <w:bCs/>
          <w:color w:val="000000"/>
          <w:szCs w:val="22"/>
          <w:lang w:val="en-AU" w:bidi="ar-SA"/>
        </w:rPr>
        <w:t xml:space="preserve">FSANZ </w:t>
      </w:r>
      <w:r w:rsidRPr="00EC71D1">
        <w:rPr>
          <w:rFonts w:eastAsia="Calibri" w:cs="Arial"/>
          <w:bCs/>
          <w:color w:val="000000"/>
          <w:szCs w:val="22"/>
          <w:lang w:val="en-AU" w:bidi="ar-SA"/>
        </w:rPr>
        <w:t>Act specifies that a</w:t>
      </w:r>
      <w:r w:rsidRPr="00EC71D1">
        <w:rPr>
          <w:rFonts w:eastAsia="Calibri" w:cs="Arial"/>
          <w:color w:val="000000"/>
          <w:szCs w:val="22"/>
          <w:lang w:val="en-AU" w:bidi="ar-SA"/>
        </w:rPr>
        <w:t xml:space="preserve"> standard, or a variation of a standard, in relation to which a notice is published under section 92 is a legislative instrument, but </w:t>
      </w:r>
      <w:r>
        <w:rPr>
          <w:rFonts w:eastAsia="Calibri" w:cs="Arial"/>
          <w:color w:val="000000"/>
          <w:szCs w:val="22"/>
          <w:lang w:val="en-AU" w:bidi="ar-SA"/>
        </w:rPr>
        <w:t xml:space="preserve">is not subject to parliamentary disallowance or sunsetting under the </w:t>
      </w:r>
      <w:r w:rsidRPr="00076D3B">
        <w:rPr>
          <w:rFonts w:eastAsia="Calibri" w:cs="Arial"/>
          <w:i/>
          <w:color w:val="000000"/>
          <w:szCs w:val="22"/>
          <w:lang w:val="en-AU" w:bidi="ar-SA"/>
        </w:rPr>
        <w:t>Legislative Instruments Act 2003</w:t>
      </w:r>
      <w:r>
        <w:rPr>
          <w:rFonts w:eastAsia="Calibri" w:cs="Arial"/>
          <w:color w:val="000000"/>
          <w:szCs w:val="22"/>
          <w:lang w:val="en-AU" w:bidi="ar-SA"/>
        </w:rPr>
        <w:t>.</w:t>
      </w:r>
    </w:p>
    <w:p w14:paraId="2762B14E" w14:textId="77777777" w:rsidR="00B23093" w:rsidRPr="0074705B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bidi="ar-SA"/>
        </w:rPr>
      </w:pPr>
    </w:p>
    <w:p w14:paraId="1038B995" w14:textId="77777777" w:rsidR="00B23093" w:rsidRPr="0074705B" w:rsidRDefault="00B23093" w:rsidP="00B23093">
      <w:pPr>
        <w:rPr>
          <w:b/>
          <w:lang w:eastAsia="en-GB" w:bidi="ar-SA"/>
        </w:rPr>
      </w:pPr>
      <w:r w:rsidRPr="0074705B">
        <w:rPr>
          <w:b/>
          <w:lang w:eastAsia="en-GB" w:bidi="ar-SA"/>
        </w:rPr>
        <w:t>2.</w:t>
      </w:r>
      <w:r w:rsidRPr="0074705B">
        <w:rPr>
          <w:b/>
          <w:lang w:eastAsia="en-GB" w:bidi="ar-SA"/>
        </w:rPr>
        <w:tab/>
        <w:t xml:space="preserve">Purpose </w:t>
      </w:r>
    </w:p>
    <w:p w14:paraId="6B343E1A" w14:textId="77777777" w:rsidR="00B23093" w:rsidRPr="0074705B" w:rsidRDefault="00B23093" w:rsidP="00B23093">
      <w:pPr>
        <w:rPr>
          <w:lang w:eastAsia="en-GB" w:bidi="ar-SA"/>
        </w:rPr>
      </w:pPr>
    </w:p>
    <w:p w14:paraId="4E3F5565" w14:textId="77777777" w:rsidR="00B23093" w:rsidRPr="0074705B" w:rsidRDefault="00B23093" w:rsidP="00B23093">
      <w:pPr>
        <w:rPr>
          <w:szCs w:val="22"/>
        </w:rPr>
      </w:pPr>
      <w:r w:rsidRPr="0074705B">
        <w:rPr>
          <w:lang w:eastAsia="en-GB" w:bidi="ar-SA"/>
        </w:rPr>
        <w:t xml:space="preserve">The Authority has approved the draft variation </w:t>
      </w:r>
      <w:r w:rsidRPr="0074705B">
        <w:rPr>
          <w:szCs w:val="22"/>
        </w:rPr>
        <w:t xml:space="preserve">to correct </w:t>
      </w:r>
      <w:r w:rsidRPr="0074705B">
        <w:t xml:space="preserve">minor </w:t>
      </w:r>
      <w:r w:rsidRPr="0074705B">
        <w:rPr>
          <w:rFonts w:cs="Arial"/>
        </w:rPr>
        <w:t>typographical and transcription errors</w:t>
      </w:r>
      <w:r w:rsidRPr="0074705B">
        <w:t>.</w:t>
      </w:r>
    </w:p>
    <w:p w14:paraId="6EBBD762" w14:textId="77777777" w:rsidR="00B23093" w:rsidRPr="009C4395" w:rsidRDefault="00B23093" w:rsidP="00B23093">
      <w:pPr>
        <w:rPr>
          <w:highlight w:val="yellow"/>
          <w:lang w:eastAsia="en-GB" w:bidi="ar-SA"/>
        </w:rPr>
      </w:pPr>
    </w:p>
    <w:p w14:paraId="3742C6AF" w14:textId="77777777" w:rsidR="00B23093" w:rsidRPr="00F34418" w:rsidRDefault="00B23093" w:rsidP="00B23093">
      <w:pPr>
        <w:rPr>
          <w:b/>
          <w:lang w:eastAsia="en-GB" w:bidi="ar-SA"/>
        </w:rPr>
      </w:pPr>
      <w:r w:rsidRPr="00F34418">
        <w:rPr>
          <w:b/>
          <w:lang w:eastAsia="en-GB" w:bidi="ar-SA"/>
        </w:rPr>
        <w:t>3.</w:t>
      </w:r>
      <w:r w:rsidRPr="00F34418">
        <w:rPr>
          <w:b/>
          <w:lang w:eastAsia="en-GB" w:bidi="ar-SA"/>
        </w:rPr>
        <w:tab/>
        <w:t>Documents incorporated by reference</w:t>
      </w:r>
    </w:p>
    <w:p w14:paraId="17CCF9A0" w14:textId="77777777" w:rsidR="00B23093" w:rsidRPr="00F34418" w:rsidRDefault="00B23093" w:rsidP="00B23093">
      <w:pPr>
        <w:rPr>
          <w:lang w:eastAsia="en-GB" w:bidi="ar-SA"/>
        </w:rPr>
      </w:pPr>
    </w:p>
    <w:p w14:paraId="2D911EA2" w14:textId="77777777" w:rsidR="00B23093" w:rsidRPr="00F34418" w:rsidRDefault="00B23093" w:rsidP="00B23093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bidi="ar-SA"/>
        </w:rPr>
      </w:pPr>
      <w:r w:rsidRPr="00F34418">
        <w:rPr>
          <w:rFonts w:eastAsia="Calibri" w:cs="Arial"/>
          <w:bCs/>
          <w:szCs w:val="22"/>
          <w:lang w:bidi="ar-SA"/>
        </w:rPr>
        <w:t xml:space="preserve">The variation to the </w:t>
      </w:r>
      <w:r>
        <w:rPr>
          <w:rFonts w:eastAsia="Calibri" w:cs="Arial"/>
          <w:bCs/>
          <w:szCs w:val="22"/>
          <w:lang w:bidi="ar-SA"/>
        </w:rPr>
        <w:t>revised</w:t>
      </w:r>
      <w:r w:rsidRPr="00F34418">
        <w:rPr>
          <w:rFonts w:eastAsia="Calibri" w:cs="Arial"/>
          <w:bCs/>
          <w:szCs w:val="22"/>
          <w:lang w:bidi="ar-SA"/>
        </w:rPr>
        <w:t xml:space="preserve"> Code does not incorporate any documents by reference not already incorporated into the </w:t>
      </w:r>
      <w:r>
        <w:rPr>
          <w:rFonts w:eastAsia="Calibri" w:cs="Arial"/>
          <w:bCs/>
          <w:szCs w:val="22"/>
          <w:lang w:bidi="ar-SA"/>
        </w:rPr>
        <w:t>current</w:t>
      </w:r>
      <w:r w:rsidRPr="00F34418">
        <w:rPr>
          <w:rFonts w:eastAsia="Calibri" w:cs="Arial"/>
          <w:bCs/>
          <w:szCs w:val="22"/>
          <w:lang w:bidi="ar-SA"/>
        </w:rPr>
        <w:t xml:space="preserve"> Code.</w:t>
      </w:r>
    </w:p>
    <w:p w14:paraId="3350E679" w14:textId="77777777" w:rsidR="00B23093" w:rsidRPr="009C4395" w:rsidRDefault="00B23093" w:rsidP="00B23093">
      <w:pPr>
        <w:rPr>
          <w:highlight w:val="yellow"/>
          <w:lang w:eastAsia="en-GB" w:bidi="ar-SA"/>
        </w:rPr>
      </w:pPr>
    </w:p>
    <w:p w14:paraId="41A67D95" w14:textId="77777777" w:rsidR="00B23093" w:rsidRPr="007B4E53" w:rsidRDefault="00B23093" w:rsidP="00B23093">
      <w:pPr>
        <w:rPr>
          <w:b/>
          <w:lang w:eastAsia="en-GB" w:bidi="ar-SA"/>
        </w:rPr>
      </w:pPr>
      <w:r w:rsidRPr="007B4E53">
        <w:rPr>
          <w:b/>
          <w:lang w:eastAsia="en-GB" w:bidi="ar-SA"/>
        </w:rPr>
        <w:t>4.</w:t>
      </w:r>
      <w:r w:rsidRPr="007B4E53">
        <w:rPr>
          <w:b/>
          <w:lang w:eastAsia="en-GB" w:bidi="ar-SA"/>
        </w:rPr>
        <w:tab/>
        <w:t>Consultation</w:t>
      </w:r>
    </w:p>
    <w:p w14:paraId="2B2C9DDD" w14:textId="77777777" w:rsidR="00B23093" w:rsidRPr="009C4395" w:rsidRDefault="00B23093" w:rsidP="00B23093">
      <w:pPr>
        <w:rPr>
          <w:highlight w:val="yellow"/>
          <w:lang w:eastAsia="en-GB" w:bidi="ar-SA"/>
        </w:rPr>
      </w:pPr>
    </w:p>
    <w:p w14:paraId="69B0EDDE" w14:textId="77777777" w:rsidR="00B23093" w:rsidRPr="00687AEA" w:rsidRDefault="00B23093" w:rsidP="00B23093">
      <w:r w:rsidRPr="00687AEA">
        <w:rPr>
          <w:szCs w:val="22"/>
        </w:rPr>
        <w:t xml:space="preserve">In accordance with the procedure in Division 2 of Part 3 of the FSANZ Act, </w:t>
      </w:r>
      <w:r w:rsidRPr="00687AEA">
        <w:rPr>
          <w:rFonts w:eastAsia="Calibri" w:cs="Arial"/>
          <w:bCs/>
          <w:szCs w:val="22"/>
          <w:lang w:bidi="ar-SA"/>
        </w:rPr>
        <w:t>the Authority</w:t>
      </w:r>
      <w:r w:rsidRPr="00687AEA">
        <w:rPr>
          <w:szCs w:val="22"/>
        </w:rPr>
        <w:t>’s consideration of P1040 include</w:t>
      </w:r>
      <w:r>
        <w:rPr>
          <w:szCs w:val="22"/>
        </w:rPr>
        <w:t>d</w:t>
      </w:r>
      <w:r w:rsidRPr="00687AEA">
        <w:rPr>
          <w:szCs w:val="22"/>
        </w:rPr>
        <w:t xml:space="preserve"> one round of consultation with appropriate government agencies following an assessment and the preparation of a draft variation and associated report. </w:t>
      </w:r>
      <w:r>
        <w:rPr>
          <w:szCs w:val="22"/>
        </w:rPr>
        <w:t>T</w:t>
      </w:r>
      <w:r w:rsidRPr="00687AEA">
        <w:rPr>
          <w:szCs w:val="22"/>
        </w:rPr>
        <w:t xml:space="preserve">he call for submissions </w:t>
      </w:r>
      <w:r>
        <w:rPr>
          <w:szCs w:val="22"/>
        </w:rPr>
        <w:t>was</w:t>
      </w:r>
      <w:r w:rsidRPr="00687AEA">
        <w:rPr>
          <w:szCs w:val="22"/>
        </w:rPr>
        <w:t xml:space="preserve"> also notified in FSANZ’s Notification Circular to ensure all stakeholders </w:t>
      </w:r>
      <w:r>
        <w:rPr>
          <w:szCs w:val="22"/>
        </w:rPr>
        <w:t>were informed and had an opportunity to make a submission</w:t>
      </w:r>
      <w:r w:rsidRPr="00687AEA">
        <w:rPr>
          <w:szCs w:val="22"/>
        </w:rPr>
        <w:t>.</w:t>
      </w:r>
    </w:p>
    <w:p w14:paraId="43A23B89" w14:textId="77777777" w:rsidR="00B23093" w:rsidRPr="00687AEA" w:rsidRDefault="00B23093" w:rsidP="00B23093"/>
    <w:p w14:paraId="41D2C119" w14:textId="77777777" w:rsidR="00B23093" w:rsidRPr="00687AEA" w:rsidRDefault="00B23093" w:rsidP="00B23093">
      <w:pPr>
        <w:widowControl/>
        <w:autoSpaceDE w:val="0"/>
        <w:autoSpaceDN w:val="0"/>
        <w:adjustRightInd w:val="0"/>
        <w:rPr>
          <w:rFonts w:cs="Arial"/>
          <w:szCs w:val="22"/>
        </w:rPr>
      </w:pPr>
      <w:r w:rsidRPr="00687AEA">
        <w:rPr>
          <w:rFonts w:eastAsia="Calibri" w:cs="Arial"/>
          <w:bCs/>
          <w:szCs w:val="22"/>
          <w:lang w:bidi="ar-SA"/>
        </w:rPr>
        <w:t>A Regulation Impact Statement w</w:t>
      </w:r>
      <w:r>
        <w:rPr>
          <w:rFonts w:eastAsia="Calibri" w:cs="Arial"/>
          <w:bCs/>
          <w:szCs w:val="22"/>
          <w:lang w:bidi="ar-SA"/>
        </w:rPr>
        <w:t>a</w:t>
      </w:r>
      <w:r w:rsidRPr="00687AEA">
        <w:rPr>
          <w:rFonts w:eastAsia="Calibri" w:cs="Arial"/>
          <w:bCs/>
          <w:szCs w:val="22"/>
          <w:lang w:bidi="ar-SA"/>
        </w:rPr>
        <w:t xml:space="preserve">s not required because the proposed variation to the </w:t>
      </w:r>
      <w:r>
        <w:rPr>
          <w:rFonts w:eastAsia="Calibri" w:cs="Arial"/>
          <w:bCs/>
          <w:szCs w:val="22"/>
          <w:lang w:bidi="ar-SA"/>
        </w:rPr>
        <w:t>revised</w:t>
      </w:r>
      <w:r w:rsidRPr="00687AEA">
        <w:rPr>
          <w:rFonts w:eastAsia="Calibri" w:cs="Arial"/>
          <w:bCs/>
          <w:szCs w:val="22"/>
          <w:lang w:bidi="ar-SA"/>
        </w:rPr>
        <w:t xml:space="preserve"> Code </w:t>
      </w:r>
      <w:r w:rsidRPr="00687AEA">
        <w:t xml:space="preserve">is likely to have a minor </w:t>
      </w:r>
      <w:r>
        <w:t xml:space="preserve">regulatory </w:t>
      </w:r>
      <w:r w:rsidRPr="00687AEA">
        <w:t>impact on business and individuals</w:t>
      </w:r>
      <w:r w:rsidRPr="00687AEA">
        <w:rPr>
          <w:szCs w:val="22"/>
        </w:rPr>
        <w:t>.</w:t>
      </w:r>
    </w:p>
    <w:p w14:paraId="4D46BD1D" w14:textId="77777777" w:rsidR="00B23093" w:rsidRPr="009C4395" w:rsidRDefault="00B23093" w:rsidP="00B23093">
      <w:pPr>
        <w:widowControl/>
        <w:rPr>
          <w:rFonts w:eastAsiaTheme="minorHAnsi" w:cs="Arial"/>
          <w:b/>
          <w:bCs/>
          <w:szCs w:val="22"/>
          <w:highlight w:val="yellow"/>
          <w:lang w:bidi="ar-SA"/>
        </w:rPr>
      </w:pPr>
    </w:p>
    <w:p w14:paraId="2DD1E3FE" w14:textId="77777777" w:rsidR="00B23093" w:rsidRDefault="00B23093" w:rsidP="00B23093">
      <w:pPr>
        <w:widowControl/>
        <w:rPr>
          <w:rFonts w:eastAsiaTheme="minorHAnsi" w:cs="Arial"/>
          <w:b/>
          <w:bCs/>
          <w:szCs w:val="22"/>
          <w:lang w:bidi="ar-SA"/>
        </w:rPr>
      </w:pPr>
      <w:r>
        <w:rPr>
          <w:rFonts w:eastAsiaTheme="minorHAnsi" w:cs="Arial"/>
          <w:b/>
          <w:bCs/>
          <w:szCs w:val="22"/>
          <w:lang w:bidi="ar-SA"/>
        </w:rPr>
        <w:br w:type="page"/>
      </w:r>
    </w:p>
    <w:p w14:paraId="682454AC" w14:textId="77777777" w:rsidR="00B23093" w:rsidRPr="00F34418" w:rsidRDefault="00B23093" w:rsidP="00B23093">
      <w:pPr>
        <w:widowControl/>
        <w:rPr>
          <w:rFonts w:eastAsiaTheme="minorHAnsi" w:cs="Arial"/>
          <w:b/>
          <w:bCs/>
          <w:szCs w:val="22"/>
          <w:lang w:bidi="ar-SA"/>
        </w:rPr>
      </w:pPr>
      <w:r w:rsidRPr="00F34418">
        <w:rPr>
          <w:rFonts w:eastAsiaTheme="minorHAnsi" w:cs="Arial"/>
          <w:b/>
          <w:bCs/>
          <w:szCs w:val="22"/>
          <w:lang w:bidi="ar-SA"/>
        </w:rPr>
        <w:lastRenderedPageBreak/>
        <w:t>5.</w:t>
      </w:r>
      <w:r w:rsidRPr="00F34418">
        <w:rPr>
          <w:rFonts w:eastAsiaTheme="minorHAnsi" w:cs="Arial"/>
          <w:b/>
          <w:bCs/>
          <w:szCs w:val="22"/>
          <w:lang w:bidi="ar-SA"/>
        </w:rPr>
        <w:tab/>
        <w:t>Statement of compatibility with human rights</w:t>
      </w:r>
    </w:p>
    <w:p w14:paraId="54D13CAD" w14:textId="77777777" w:rsidR="00B23093" w:rsidRPr="00F34418" w:rsidRDefault="00B23093" w:rsidP="00B23093">
      <w:pPr>
        <w:rPr>
          <w:rFonts w:eastAsiaTheme="minorHAnsi"/>
          <w:lang w:bidi="ar-SA"/>
        </w:rPr>
      </w:pPr>
    </w:p>
    <w:p w14:paraId="7A118BCA" w14:textId="77777777" w:rsidR="00B23093" w:rsidRPr="00F34418" w:rsidRDefault="00B23093" w:rsidP="00B23093">
      <w:pPr>
        <w:rPr>
          <w:rFonts w:eastAsiaTheme="minorHAnsi"/>
          <w:lang w:bidi="ar-SA"/>
        </w:rPr>
      </w:pPr>
      <w:r w:rsidRPr="00F34418">
        <w:rPr>
          <w:rFonts w:eastAsiaTheme="minorHAnsi"/>
          <w:lang w:bidi="ar-SA"/>
        </w:rPr>
        <w:t>This instrument is exempt from the requirements for a statement of compatibility with human rights as it is a non-disallowable instrument under section 94 of the FSANZ Act.</w:t>
      </w:r>
    </w:p>
    <w:p w14:paraId="0E2CC783" w14:textId="77777777" w:rsidR="00B23093" w:rsidRPr="00F34418" w:rsidRDefault="00B23093" w:rsidP="00B23093">
      <w:pPr>
        <w:rPr>
          <w:b/>
        </w:rPr>
      </w:pPr>
    </w:p>
    <w:p w14:paraId="66EE9B1E" w14:textId="77777777" w:rsidR="00B23093" w:rsidRPr="00F34418" w:rsidRDefault="00B23093" w:rsidP="00B23093">
      <w:pPr>
        <w:rPr>
          <w:lang w:eastAsia="en-GB" w:bidi="ar-SA"/>
        </w:rPr>
      </w:pPr>
      <w:r w:rsidRPr="00F34418">
        <w:rPr>
          <w:b/>
        </w:rPr>
        <w:t>6.</w:t>
      </w:r>
      <w:r w:rsidRPr="00F34418">
        <w:rPr>
          <w:b/>
        </w:rPr>
        <w:tab/>
      </w:r>
      <w:r w:rsidRPr="00F34418">
        <w:rPr>
          <w:b/>
          <w:lang w:eastAsia="en-GB" w:bidi="ar-SA"/>
        </w:rPr>
        <w:t>Variation</w:t>
      </w:r>
    </w:p>
    <w:p w14:paraId="6AC1C661" w14:textId="77777777" w:rsidR="00B23093" w:rsidRPr="009C4395" w:rsidRDefault="00B23093" w:rsidP="00B23093">
      <w:pPr>
        <w:rPr>
          <w:highlight w:val="yellow"/>
        </w:rPr>
      </w:pPr>
    </w:p>
    <w:p w14:paraId="26E47A71" w14:textId="77777777" w:rsidR="00B23093" w:rsidRPr="00E430B3" w:rsidRDefault="00B23093" w:rsidP="00B23093">
      <w:pPr>
        <w:rPr>
          <w:b/>
          <w:i/>
        </w:rPr>
      </w:pPr>
      <w:r>
        <w:rPr>
          <w:b/>
          <w:i/>
        </w:rPr>
        <w:t>S</w:t>
      </w:r>
      <w:r w:rsidRPr="00E430B3">
        <w:rPr>
          <w:b/>
          <w:i/>
        </w:rPr>
        <w:t>ection 1.1.1—2</w:t>
      </w:r>
    </w:p>
    <w:p w14:paraId="2639F68D" w14:textId="77777777" w:rsidR="00B23093" w:rsidRPr="00E430B3" w:rsidRDefault="00B23093" w:rsidP="00B23093"/>
    <w:p w14:paraId="18B44D3A" w14:textId="77777777" w:rsidR="00B23093" w:rsidRDefault="00B23093" w:rsidP="00B23093">
      <w:pPr>
        <w:rPr>
          <w:szCs w:val="20"/>
        </w:rPr>
      </w:pPr>
      <w:r w:rsidRPr="00E430B3">
        <w:t>Item</w:t>
      </w:r>
      <w:r>
        <w:t xml:space="preserve"> [1] deletes </w:t>
      </w:r>
      <w:r>
        <w:rPr>
          <w:szCs w:val="20"/>
        </w:rPr>
        <w:t xml:space="preserve">the reference to </w:t>
      </w:r>
      <w:r w:rsidRPr="001F60DD">
        <w:rPr>
          <w:szCs w:val="20"/>
        </w:rPr>
        <w:t>Standard 1.2.12 – Transitional standard for dietary fibre</w:t>
      </w:r>
      <w:r>
        <w:rPr>
          <w:szCs w:val="20"/>
        </w:rPr>
        <w:t xml:space="preserve"> nutrition content claims. That Standard will cease to have effect on 18 January 2017. Item [1] will take effect and remove the reference on 19 January 2017.</w:t>
      </w:r>
    </w:p>
    <w:p w14:paraId="580360EB" w14:textId="77777777" w:rsidR="00B23093" w:rsidRDefault="00B23093" w:rsidP="00B23093">
      <w:pPr>
        <w:rPr>
          <w:szCs w:val="20"/>
        </w:rPr>
      </w:pPr>
    </w:p>
    <w:p w14:paraId="14A9EFB7" w14:textId="77777777" w:rsidR="00B23093" w:rsidRPr="002966ED" w:rsidRDefault="00B23093" w:rsidP="00B23093">
      <w:pPr>
        <w:rPr>
          <w:b/>
          <w:i/>
        </w:rPr>
      </w:pPr>
      <w:r>
        <w:rPr>
          <w:b/>
          <w:i/>
        </w:rPr>
        <w:t>S</w:t>
      </w:r>
      <w:r w:rsidRPr="002966ED">
        <w:rPr>
          <w:b/>
          <w:i/>
        </w:rPr>
        <w:t>ection 1.1.2—</w:t>
      </w:r>
      <w:r>
        <w:rPr>
          <w:b/>
          <w:i/>
        </w:rPr>
        <w:t>2</w:t>
      </w:r>
      <w:r w:rsidRPr="002966ED">
        <w:rPr>
          <w:b/>
          <w:i/>
        </w:rPr>
        <w:t>(3) (definition of individual portion pack)</w:t>
      </w:r>
    </w:p>
    <w:p w14:paraId="565DF8E0" w14:textId="77777777" w:rsidR="00B23093" w:rsidRPr="009C4395" w:rsidRDefault="00B23093" w:rsidP="00B23093">
      <w:pPr>
        <w:rPr>
          <w:highlight w:val="yellow"/>
          <w:u w:val="single"/>
        </w:rPr>
      </w:pPr>
    </w:p>
    <w:p w14:paraId="6E218875" w14:textId="77777777" w:rsidR="00B23093" w:rsidRPr="009C4395" w:rsidRDefault="00B23093" w:rsidP="00B23093">
      <w:pPr>
        <w:rPr>
          <w:highlight w:val="yellow"/>
        </w:rPr>
      </w:pPr>
      <w:r w:rsidRPr="003911EB">
        <w:t>Item [2] replaces</w:t>
      </w:r>
      <w:r>
        <w:t xml:space="preserve"> ‘1.2.1—6(4)’ with ‘1.2.1—6(3)’,</w:t>
      </w:r>
      <w:r w:rsidRPr="003911EB">
        <w:t xml:space="preserve"> to correct a </w:t>
      </w:r>
      <w:r>
        <w:t>referencing</w:t>
      </w:r>
      <w:r w:rsidRPr="00321E8A">
        <w:t xml:space="preserve"> error.</w:t>
      </w:r>
      <w:r w:rsidRPr="009C4395">
        <w:rPr>
          <w:highlight w:val="yellow"/>
        </w:rPr>
        <w:t xml:space="preserve"> </w:t>
      </w:r>
    </w:p>
    <w:p w14:paraId="177CDD9A" w14:textId="77777777" w:rsidR="00B23093" w:rsidRPr="009C4395" w:rsidRDefault="00B23093" w:rsidP="00B23093">
      <w:pPr>
        <w:rPr>
          <w:highlight w:val="yellow"/>
        </w:rPr>
      </w:pPr>
    </w:p>
    <w:p w14:paraId="2C4E2268" w14:textId="77777777" w:rsidR="00B23093" w:rsidRPr="004B414F" w:rsidRDefault="00B23093" w:rsidP="00B23093">
      <w:pPr>
        <w:rPr>
          <w:b/>
          <w:i/>
        </w:rPr>
      </w:pPr>
      <w:r>
        <w:rPr>
          <w:b/>
          <w:i/>
        </w:rPr>
        <w:t>S</w:t>
      </w:r>
      <w:r w:rsidRPr="004B414F">
        <w:rPr>
          <w:b/>
          <w:i/>
        </w:rPr>
        <w:t>ection 1.1.2—2 (Note)</w:t>
      </w:r>
    </w:p>
    <w:p w14:paraId="4C8AB1DE" w14:textId="77777777" w:rsidR="00B23093" w:rsidRPr="004B414F" w:rsidRDefault="00B23093" w:rsidP="00B23093"/>
    <w:p w14:paraId="7FD6736D" w14:textId="77777777" w:rsidR="00B23093" w:rsidRPr="009C4395" w:rsidRDefault="00B23093" w:rsidP="00B23093">
      <w:pPr>
        <w:rPr>
          <w:highlight w:val="yellow"/>
        </w:rPr>
      </w:pPr>
      <w:proofErr w:type="gramStart"/>
      <w:r>
        <w:t xml:space="preserve">Item [3] deletes ‘0’ </w:t>
      </w:r>
      <w:r w:rsidRPr="004B414F">
        <w:t>to correct a transcription error.</w:t>
      </w:r>
      <w:proofErr w:type="gramEnd"/>
    </w:p>
    <w:p w14:paraId="61171E5F" w14:textId="77777777" w:rsidR="00B23093" w:rsidRPr="009C4395" w:rsidRDefault="00B23093" w:rsidP="00B23093">
      <w:pPr>
        <w:pStyle w:val="FSCh5SchItem"/>
        <w:spacing w:before="0" w:after="0"/>
        <w:ind w:left="0" w:firstLine="0"/>
        <w:rPr>
          <w:b w:val="0"/>
          <w:sz w:val="22"/>
          <w:szCs w:val="22"/>
          <w:highlight w:val="yellow"/>
          <w:u w:val="single"/>
          <w:lang w:val="en-GB"/>
        </w:rPr>
      </w:pPr>
    </w:p>
    <w:p w14:paraId="4EF5136E" w14:textId="77777777" w:rsidR="00B23093" w:rsidRPr="0012367E" w:rsidRDefault="00B23093" w:rsidP="00B23093">
      <w:pPr>
        <w:pStyle w:val="FSCh5SchItem"/>
        <w:spacing w:before="0" w:after="0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S</w:t>
      </w:r>
      <w:r w:rsidRPr="0012367E">
        <w:rPr>
          <w:i/>
          <w:sz w:val="22"/>
          <w:szCs w:val="22"/>
          <w:lang w:val="en-GB"/>
        </w:rPr>
        <w:t>ection 1.2.7—12</w:t>
      </w:r>
      <w:r>
        <w:rPr>
          <w:i/>
          <w:sz w:val="22"/>
          <w:szCs w:val="22"/>
          <w:lang w:val="en-GB"/>
        </w:rPr>
        <w:t xml:space="preserve"> </w:t>
      </w:r>
      <w:r w:rsidRPr="0012367E">
        <w:rPr>
          <w:i/>
          <w:sz w:val="22"/>
          <w:szCs w:val="22"/>
          <w:lang w:val="en-GB"/>
        </w:rPr>
        <w:t>(Note)</w:t>
      </w:r>
    </w:p>
    <w:p w14:paraId="2AF73289" w14:textId="77777777" w:rsidR="00B23093" w:rsidRPr="009C4395" w:rsidRDefault="00B23093" w:rsidP="00B23093">
      <w:pPr>
        <w:rPr>
          <w:highlight w:val="yellow"/>
        </w:rPr>
      </w:pPr>
    </w:p>
    <w:p w14:paraId="685A87DC" w14:textId="77777777" w:rsidR="00B23093" w:rsidRDefault="00B23093" w:rsidP="00B23093">
      <w:pPr>
        <w:pStyle w:val="FSCtAmendingwords"/>
        <w:spacing w:before="0"/>
        <w:ind w:left="0"/>
        <w:rPr>
          <w:sz w:val="22"/>
          <w:lang w:val="en-GB"/>
        </w:rPr>
      </w:pPr>
      <w:r w:rsidRPr="00014C77">
        <w:rPr>
          <w:sz w:val="22"/>
          <w:lang w:val="en-GB"/>
        </w:rPr>
        <w:t>Item [</w:t>
      </w:r>
      <w:r>
        <w:rPr>
          <w:sz w:val="22"/>
          <w:lang w:val="en-GB"/>
        </w:rPr>
        <w:t>4</w:t>
      </w:r>
      <w:r w:rsidRPr="00014C77">
        <w:rPr>
          <w:sz w:val="22"/>
          <w:lang w:val="en-GB"/>
        </w:rPr>
        <w:t xml:space="preserve">] deletes the Note as it refers to </w:t>
      </w:r>
      <w:r w:rsidRPr="00640EF2">
        <w:rPr>
          <w:iCs w:val="0"/>
          <w:sz w:val="22"/>
        </w:rPr>
        <w:t>to Standard 1.2.12 – Transitional standard for dietary fibre nutrition content claims. That Standard will cease to have effect on 18 January 2017. Ite</w:t>
      </w:r>
      <w:r w:rsidRPr="00014C77">
        <w:rPr>
          <w:sz w:val="22"/>
        </w:rPr>
        <w:t>m [</w:t>
      </w:r>
      <w:r>
        <w:rPr>
          <w:sz w:val="22"/>
        </w:rPr>
        <w:t>4</w:t>
      </w:r>
      <w:r w:rsidRPr="00640EF2">
        <w:rPr>
          <w:iCs w:val="0"/>
          <w:sz w:val="22"/>
        </w:rPr>
        <w:t>] will take effect and remove the reference on 19 January 2017</w:t>
      </w:r>
      <w:r w:rsidRPr="00014C77">
        <w:rPr>
          <w:sz w:val="22"/>
          <w:lang w:val="en-GB"/>
        </w:rPr>
        <w:t>.</w:t>
      </w:r>
    </w:p>
    <w:p w14:paraId="741AF7CF" w14:textId="77777777" w:rsidR="00B23093" w:rsidRDefault="00B23093" w:rsidP="00B23093">
      <w:pPr>
        <w:pStyle w:val="FSCtAmendingwords"/>
        <w:spacing w:before="0"/>
        <w:ind w:left="0"/>
        <w:rPr>
          <w:highlight w:val="yellow"/>
        </w:rPr>
      </w:pPr>
    </w:p>
    <w:p w14:paraId="49A1A7D3" w14:textId="77777777" w:rsidR="00B23093" w:rsidRPr="0012367E" w:rsidRDefault="00B23093" w:rsidP="00B23093">
      <w:pPr>
        <w:pStyle w:val="FSCh5SchItem"/>
        <w:spacing w:before="0" w:after="0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Section 1.3.1—</w:t>
      </w:r>
      <w:r w:rsidRPr="0012367E">
        <w:rPr>
          <w:i/>
          <w:sz w:val="22"/>
          <w:szCs w:val="22"/>
          <w:lang w:val="en-GB"/>
        </w:rPr>
        <w:t>2</w:t>
      </w:r>
      <w:r>
        <w:rPr>
          <w:i/>
          <w:sz w:val="22"/>
          <w:szCs w:val="22"/>
          <w:lang w:val="en-GB"/>
        </w:rPr>
        <w:t xml:space="preserve"> </w:t>
      </w:r>
      <w:r w:rsidRPr="0012367E">
        <w:rPr>
          <w:i/>
          <w:sz w:val="22"/>
          <w:szCs w:val="22"/>
          <w:lang w:val="en-GB"/>
        </w:rPr>
        <w:t>(Note)</w:t>
      </w:r>
    </w:p>
    <w:p w14:paraId="59B02B95" w14:textId="77777777" w:rsidR="00B23093" w:rsidRPr="009C4395" w:rsidRDefault="00B23093" w:rsidP="00B23093">
      <w:pPr>
        <w:rPr>
          <w:highlight w:val="yellow"/>
        </w:rPr>
      </w:pPr>
    </w:p>
    <w:p w14:paraId="5684DC7A" w14:textId="77777777" w:rsidR="00B23093" w:rsidRDefault="00B23093" w:rsidP="00B23093">
      <w:pPr>
        <w:pStyle w:val="FSCtAmendingwords"/>
        <w:spacing w:before="0"/>
        <w:ind w:left="0"/>
        <w:rPr>
          <w:highlight w:val="yellow"/>
        </w:rPr>
      </w:pPr>
      <w:r w:rsidRPr="00014C77">
        <w:rPr>
          <w:sz w:val="22"/>
          <w:lang w:val="en-GB"/>
        </w:rPr>
        <w:t>Item [</w:t>
      </w:r>
      <w:r>
        <w:rPr>
          <w:sz w:val="22"/>
          <w:lang w:val="en-GB"/>
        </w:rPr>
        <w:t>4A</w:t>
      </w:r>
      <w:r w:rsidRPr="00014C77">
        <w:rPr>
          <w:sz w:val="22"/>
          <w:lang w:val="en-GB"/>
        </w:rPr>
        <w:t xml:space="preserve">] </w:t>
      </w:r>
      <w:r>
        <w:rPr>
          <w:sz w:val="22"/>
          <w:lang w:val="en-GB"/>
        </w:rPr>
        <w:t>replaces the words ‘that that’ with ‘that’ to correct a typographical error.</w:t>
      </w:r>
    </w:p>
    <w:p w14:paraId="420B1CFF" w14:textId="77777777" w:rsidR="00B23093" w:rsidRPr="009C4395" w:rsidRDefault="00B23093" w:rsidP="00B23093">
      <w:pPr>
        <w:pStyle w:val="FSCtAmendingwords"/>
        <w:spacing w:before="0"/>
        <w:ind w:left="0"/>
        <w:rPr>
          <w:highlight w:val="yellow"/>
        </w:rPr>
      </w:pPr>
    </w:p>
    <w:p w14:paraId="3F6432F6" w14:textId="77777777" w:rsidR="00B23093" w:rsidRPr="009C4395" w:rsidRDefault="00B23093" w:rsidP="00B23093">
      <w:pPr>
        <w:rPr>
          <w:b/>
          <w:i/>
          <w:highlight w:val="yellow"/>
        </w:rPr>
      </w:pPr>
      <w:r w:rsidRPr="00685681">
        <w:rPr>
          <w:b/>
          <w:i/>
        </w:rPr>
        <w:t>Section 1.4.1—3(3)</w:t>
      </w:r>
    </w:p>
    <w:p w14:paraId="0203D66C" w14:textId="77777777" w:rsidR="00B23093" w:rsidRPr="009C4395" w:rsidRDefault="00B23093" w:rsidP="00B23093">
      <w:pPr>
        <w:rPr>
          <w:highlight w:val="yellow"/>
        </w:rPr>
      </w:pPr>
    </w:p>
    <w:p w14:paraId="6845928C" w14:textId="77777777" w:rsidR="00B23093" w:rsidRPr="00685681" w:rsidRDefault="00B23093" w:rsidP="00B23093">
      <w:r w:rsidRPr="00685681">
        <w:rPr>
          <w:szCs w:val="22"/>
        </w:rPr>
        <w:t>Item [</w:t>
      </w:r>
      <w:r>
        <w:rPr>
          <w:szCs w:val="22"/>
        </w:rPr>
        <w:t>5</w:t>
      </w:r>
      <w:r w:rsidRPr="00685681">
        <w:rPr>
          <w:szCs w:val="22"/>
        </w:rPr>
        <w:t xml:space="preserve">] </w:t>
      </w:r>
      <w:r>
        <w:rPr>
          <w:szCs w:val="22"/>
        </w:rPr>
        <w:t xml:space="preserve">replaces the </w:t>
      </w:r>
      <w:r w:rsidRPr="00685681">
        <w:rPr>
          <w:szCs w:val="22"/>
        </w:rPr>
        <w:t xml:space="preserve">formula </w:t>
      </w:r>
      <w:r w:rsidRPr="00685681">
        <w:t>to correct a typographical error.</w:t>
      </w:r>
    </w:p>
    <w:p w14:paraId="5013F03C" w14:textId="77777777" w:rsidR="00B23093" w:rsidRPr="009C4395" w:rsidRDefault="00B23093" w:rsidP="00B23093">
      <w:pPr>
        <w:rPr>
          <w:highlight w:val="yellow"/>
        </w:rPr>
      </w:pPr>
    </w:p>
    <w:p w14:paraId="27F40371" w14:textId="77777777" w:rsidR="00B23093" w:rsidRPr="00110CA5" w:rsidRDefault="00B23093" w:rsidP="00B23093">
      <w:pPr>
        <w:rPr>
          <w:rFonts w:cs="Arial"/>
          <w:b/>
          <w:bCs/>
          <w:i/>
          <w:kern w:val="32"/>
          <w:szCs w:val="22"/>
          <w:lang w:eastAsia="en-AU" w:bidi="ar-SA"/>
        </w:rPr>
      </w:pPr>
      <w:r w:rsidRPr="00105A33">
        <w:rPr>
          <w:b/>
          <w:i/>
        </w:rPr>
        <w:t xml:space="preserve">Section 1.4.2 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rFonts w:cs="Arial"/>
          <w:b/>
          <w:bCs/>
          <w:i/>
          <w:kern w:val="32"/>
          <w:szCs w:val="22"/>
          <w:lang w:eastAsia="en-AU" w:bidi="ar-SA"/>
        </w:rPr>
        <w:t xml:space="preserve">Standard Heading </w:t>
      </w:r>
      <w:r w:rsidRPr="00555B3D">
        <w:rPr>
          <w:rFonts w:cs="Arial"/>
          <w:b/>
          <w:bCs/>
          <w:i/>
          <w:kern w:val="32"/>
          <w:szCs w:val="22"/>
          <w:lang w:eastAsia="en-AU" w:bidi="ar-SA"/>
        </w:rPr>
        <w:t>(Note 3)</w:t>
      </w:r>
    </w:p>
    <w:p w14:paraId="5734D121" w14:textId="77777777" w:rsidR="00B23093" w:rsidRPr="00105A33" w:rsidRDefault="00B23093" w:rsidP="00B23093"/>
    <w:p w14:paraId="2047B8FB" w14:textId="77777777" w:rsidR="00B23093" w:rsidRPr="00105A33" w:rsidRDefault="00B23093" w:rsidP="00B23093">
      <w:proofErr w:type="gramStart"/>
      <w:r w:rsidRPr="00105A33">
        <w:rPr>
          <w:szCs w:val="22"/>
        </w:rPr>
        <w:t>Item [</w:t>
      </w:r>
      <w:r>
        <w:rPr>
          <w:szCs w:val="22"/>
        </w:rPr>
        <w:t>6</w:t>
      </w:r>
      <w:r w:rsidRPr="00105A33">
        <w:rPr>
          <w:szCs w:val="22"/>
        </w:rPr>
        <w:t>] replaces ‘2014’ with ‘2014.’</w:t>
      </w:r>
      <w:r>
        <w:rPr>
          <w:szCs w:val="22"/>
        </w:rPr>
        <w:t>,</w:t>
      </w:r>
      <w:r w:rsidRPr="00105A33">
        <w:rPr>
          <w:szCs w:val="22"/>
        </w:rPr>
        <w:t xml:space="preserve"> </w:t>
      </w:r>
      <w:r w:rsidRPr="00105A33">
        <w:t>to correct a typographical error.</w:t>
      </w:r>
      <w:proofErr w:type="gramEnd"/>
    </w:p>
    <w:p w14:paraId="7A902E6D" w14:textId="77777777" w:rsidR="00B23093" w:rsidRPr="009C4395" w:rsidRDefault="00B23093" w:rsidP="00B23093">
      <w:pPr>
        <w:rPr>
          <w:highlight w:val="yellow"/>
        </w:rPr>
      </w:pPr>
    </w:p>
    <w:p w14:paraId="0852031D" w14:textId="77777777" w:rsidR="00B23093" w:rsidRDefault="00B23093" w:rsidP="00B23093">
      <w:pPr>
        <w:rPr>
          <w:rFonts w:cs="Arial"/>
          <w:b/>
          <w:bCs/>
          <w:i/>
          <w:kern w:val="32"/>
          <w:szCs w:val="22"/>
          <w:lang w:eastAsia="en-AU" w:bidi="ar-SA"/>
        </w:rPr>
      </w:pPr>
      <w:r>
        <w:rPr>
          <w:rFonts w:cs="Arial"/>
          <w:b/>
          <w:bCs/>
          <w:i/>
          <w:kern w:val="32"/>
          <w:szCs w:val="22"/>
          <w:lang w:eastAsia="en-AU" w:bidi="ar-SA"/>
        </w:rPr>
        <w:t>Section 1.5.2</w:t>
      </w:r>
      <w:r>
        <w:rPr>
          <w:rFonts w:cs="Arial"/>
          <w:b/>
          <w:bCs/>
          <w:i/>
          <w:kern w:val="32"/>
          <w:szCs w:val="22"/>
          <w:lang w:eastAsia="en-AU" w:bidi="ar-SA"/>
        </w:rPr>
        <w:tab/>
        <w:t xml:space="preserve">Standard Heading </w:t>
      </w:r>
      <w:r w:rsidRPr="00555B3D">
        <w:rPr>
          <w:rFonts w:cs="Arial"/>
          <w:b/>
          <w:bCs/>
          <w:i/>
          <w:kern w:val="32"/>
          <w:szCs w:val="22"/>
          <w:lang w:eastAsia="en-AU" w:bidi="ar-SA"/>
        </w:rPr>
        <w:t>(Note 3)</w:t>
      </w:r>
    </w:p>
    <w:p w14:paraId="4D4E1839" w14:textId="77777777" w:rsidR="00B23093" w:rsidRPr="009C4395" w:rsidRDefault="00B23093" w:rsidP="00B23093">
      <w:pPr>
        <w:rPr>
          <w:highlight w:val="yellow"/>
        </w:rPr>
      </w:pPr>
    </w:p>
    <w:p w14:paraId="48040E62" w14:textId="77777777" w:rsidR="00B23093" w:rsidRPr="00555B3D" w:rsidRDefault="00B23093" w:rsidP="00B23093">
      <w:r w:rsidRPr="00555B3D">
        <w:rPr>
          <w:szCs w:val="22"/>
        </w:rPr>
        <w:t>Item [</w:t>
      </w:r>
      <w:r>
        <w:rPr>
          <w:szCs w:val="22"/>
        </w:rPr>
        <w:t>7</w:t>
      </w:r>
      <w:r w:rsidRPr="00555B3D">
        <w:rPr>
          <w:szCs w:val="22"/>
        </w:rPr>
        <w:t xml:space="preserve">] replaces </w:t>
      </w:r>
      <w:r w:rsidRPr="00555B3D">
        <w:t>‘1.1.1—10(3</w:t>
      </w:r>
      <w:proofErr w:type="gramStart"/>
      <w:r w:rsidRPr="00555B3D">
        <w:t>)(</w:t>
      </w:r>
      <w:proofErr w:type="gramEnd"/>
      <w:r w:rsidRPr="00555B3D">
        <w:t>c) and (4)(g)’ with ‘1.1.1—10(5)(c) and (6)(g)’, to correct a referencing error.</w:t>
      </w:r>
    </w:p>
    <w:p w14:paraId="5EA8B0F9" w14:textId="77777777" w:rsidR="00B23093" w:rsidRPr="009C4395" w:rsidRDefault="00B23093" w:rsidP="00B23093">
      <w:pPr>
        <w:rPr>
          <w:highlight w:val="yellow"/>
        </w:rPr>
      </w:pPr>
    </w:p>
    <w:p w14:paraId="089A2577" w14:textId="77777777" w:rsidR="00B23093" w:rsidRDefault="00B23093" w:rsidP="00B23093">
      <w:pPr>
        <w:rPr>
          <w:rFonts w:cs="Arial"/>
          <w:b/>
          <w:bCs/>
          <w:i/>
          <w:kern w:val="32"/>
          <w:szCs w:val="22"/>
          <w:lang w:eastAsia="en-AU" w:bidi="ar-SA"/>
        </w:rPr>
      </w:pPr>
      <w:r w:rsidRPr="00077592">
        <w:rPr>
          <w:rFonts w:cs="Arial"/>
          <w:b/>
          <w:bCs/>
          <w:i/>
          <w:kern w:val="32"/>
          <w:szCs w:val="22"/>
          <w:lang w:eastAsia="en-AU" w:bidi="ar-SA"/>
        </w:rPr>
        <w:t>Section 2.4.2—2 (Note)</w:t>
      </w:r>
    </w:p>
    <w:p w14:paraId="1C9BF404" w14:textId="77777777" w:rsidR="00B23093" w:rsidRPr="00077592" w:rsidRDefault="00B23093" w:rsidP="00B23093"/>
    <w:p w14:paraId="25ECF042" w14:textId="77777777" w:rsidR="00B23093" w:rsidRPr="00077592" w:rsidRDefault="00B23093" w:rsidP="00B23093">
      <w:r w:rsidRPr="00077592">
        <w:rPr>
          <w:szCs w:val="22"/>
        </w:rPr>
        <w:t>Item [</w:t>
      </w:r>
      <w:r>
        <w:rPr>
          <w:szCs w:val="22"/>
        </w:rPr>
        <w:t>8</w:t>
      </w:r>
      <w:r w:rsidRPr="00077592">
        <w:rPr>
          <w:szCs w:val="22"/>
        </w:rPr>
        <w:t>] replaces ‘</w:t>
      </w:r>
      <w:r w:rsidRPr="00077592">
        <w:rPr>
          <w:b/>
          <w:szCs w:val="22"/>
        </w:rPr>
        <w:t xml:space="preserve">edible oil </w:t>
      </w:r>
      <w:r w:rsidRPr="00D96261">
        <w:rPr>
          <w:szCs w:val="22"/>
        </w:rPr>
        <w:t>spread’</w:t>
      </w:r>
      <w:r w:rsidRPr="00077592">
        <w:rPr>
          <w:szCs w:val="22"/>
        </w:rPr>
        <w:t xml:space="preserve"> with ‘</w:t>
      </w:r>
      <w:r w:rsidRPr="00077592">
        <w:rPr>
          <w:b/>
          <w:i/>
          <w:szCs w:val="22"/>
        </w:rPr>
        <w:t>edible oil spread</w:t>
      </w:r>
      <w:r w:rsidRPr="005657DB">
        <w:rPr>
          <w:szCs w:val="22"/>
        </w:rPr>
        <w:t>’</w:t>
      </w:r>
      <w:r w:rsidRPr="00077592">
        <w:t>, to correct a typographical error’.</w:t>
      </w:r>
    </w:p>
    <w:p w14:paraId="0DC9CD4D" w14:textId="77777777" w:rsidR="00B23093" w:rsidRPr="009C4395" w:rsidRDefault="00B23093" w:rsidP="00B23093">
      <w:pPr>
        <w:rPr>
          <w:highlight w:val="yellow"/>
        </w:rPr>
      </w:pPr>
    </w:p>
    <w:p w14:paraId="11D5B4BA" w14:textId="77777777" w:rsidR="00B23093" w:rsidRDefault="00B23093" w:rsidP="00B23093">
      <w:pPr>
        <w:rPr>
          <w:b/>
          <w:i/>
        </w:rPr>
      </w:pPr>
      <w:r w:rsidRPr="007B0C5D">
        <w:rPr>
          <w:b/>
          <w:i/>
        </w:rPr>
        <w:t>Section 2.7.1—1</w:t>
      </w:r>
    </w:p>
    <w:p w14:paraId="4E830E6C" w14:textId="77777777" w:rsidR="00B23093" w:rsidRPr="007B0C5D" w:rsidRDefault="00B23093" w:rsidP="00B23093">
      <w:pPr>
        <w:rPr>
          <w:u w:val="single"/>
        </w:rPr>
      </w:pPr>
    </w:p>
    <w:p w14:paraId="14CD30AF" w14:textId="77777777" w:rsidR="00B23093" w:rsidRPr="009C4395" w:rsidRDefault="00B23093" w:rsidP="00B23093">
      <w:pPr>
        <w:rPr>
          <w:highlight w:val="yellow"/>
        </w:rPr>
      </w:pPr>
      <w:r w:rsidRPr="007B0C5D">
        <w:rPr>
          <w:szCs w:val="22"/>
        </w:rPr>
        <w:t>Item [</w:t>
      </w:r>
      <w:r>
        <w:rPr>
          <w:szCs w:val="22"/>
        </w:rPr>
        <w:t>9</w:t>
      </w:r>
      <w:r w:rsidRPr="007B0C5D">
        <w:rPr>
          <w:szCs w:val="22"/>
        </w:rPr>
        <w:t>] replaces ‘Alcoholic beverages’ with ‘Labelling of alcoholic beverages and food containing alcohol’</w:t>
      </w:r>
      <w:r w:rsidRPr="007B0C5D">
        <w:t xml:space="preserve">, to correct a </w:t>
      </w:r>
      <w:r>
        <w:t>transcription</w:t>
      </w:r>
      <w:r w:rsidRPr="007B0C5D">
        <w:t xml:space="preserve"> error.</w:t>
      </w:r>
    </w:p>
    <w:p w14:paraId="1ED16F2F" w14:textId="77777777" w:rsidR="00B23093" w:rsidRDefault="00B23093" w:rsidP="00B23093">
      <w:pPr>
        <w:rPr>
          <w:highlight w:val="yellow"/>
        </w:rPr>
      </w:pPr>
      <w:r>
        <w:rPr>
          <w:highlight w:val="yellow"/>
        </w:rPr>
        <w:br w:type="page"/>
      </w:r>
    </w:p>
    <w:p w14:paraId="63A32E19" w14:textId="77777777" w:rsidR="00B23093" w:rsidRPr="00110CA5" w:rsidRDefault="00B23093" w:rsidP="00B23093">
      <w:pPr>
        <w:rPr>
          <w:rFonts w:cs="Arial"/>
          <w:b/>
          <w:bCs/>
          <w:i/>
          <w:kern w:val="32"/>
          <w:szCs w:val="22"/>
          <w:lang w:eastAsia="en-AU" w:bidi="ar-SA"/>
        </w:rPr>
      </w:pPr>
      <w:r>
        <w:rPr>
          <w:b/>
          <w:i/>
        </w:rPr>
        <w:lastRenderedPageBreak/>
        <w:t>Standard</w:t>
      </w:r>
      <w:r w:rsidRPr="00AD63AA">
        <w:rPr>
          <w:b/>
          <w:i/>
        </w:rPr>
        <w:t xml:space="preserve"> 2.7.4 </w:t>
      </w:r>
      <w:r>
        <w:rPr>
          <w:b/>
          <w:i/>
        </w:rPr>
        <w:tab/>
      </w:r>
      <w:r>
        <w:rPr>
          <w:rFonts w:cs="Arial"/>
          <w:b/>
          <w:bCs/>
          <w:i/>
          <w:kern w:val="32"/>
          <w:szCs w:val="22"/>
          <w:lang w:eastAsia="en-AU" w:bidi="ar-SA"/>
        </w:rPr>
        <w:t xml:space="preserve">Standard Heading </w:t>
      </w:r>
      <w:r w:rsidRPr="00555B3D">
        <w:rPr>
          <w:rFonts w:cs="Arial"/>
          <w:b/>
          <w:bCs/>
          <w:i/>
          <w:kern w:val="32"/>
          <w:szCs w:val="22"/>
          <w:lang w:eastAsia="en-AU" w:bidi="ar-SA"/>
        </w:rPr>
        <w:t>(Note 3)</w:t>
      </w:r>
    </w:p>
    <w:p w14:paraId="062C4EA0" w14:textId="77777777" w:rsidR="00B23093" w:rsidRPr="009C4395" w:rsidRDefault="00B23093" w:rsidP="00B23093">
      <w:pPr>
        <w:rPr>
          <w:highlight w:val="yellow"/>
        </w:rPr>
      </w:pPr>
    </w:p>
    <w:p w14:paraId="6CD105EC" w14:textId="77777777" w:rsidR="00B23093" w:rsidRPr="00AD63AA" w:rsidRDefault="00B23093" w:rsidP="00B23093">
      <w:r w:rsidRPr="00AD63AA">
        <w:rPr>
          <w:szCs w:val="22"/>
        </w:rPr>
        <w:t>Item [</w:t>
      </w:r>
      <w:r>
        <w:rPr>
          <w:szCs w:val="22"/>
        </w:rPr>
        <w:t>10</w:t>
      </w:r>
      <w:r w:rsidRPr="00AD63AA">
        <w:rPr>
          <w:szCs w:val="22"/>
        </w:rPr>
        <w:t xml:space="preserve">] replaces </w:t>
      </w:r>
      <w:r w:rsidRPr="00AD63AA">
        <w:t xml:space="preserve">‘the Wine Australia Corporation Act 1980 (Cth)’ with ‘the Australian Grape and Wine Authority Act 2013 (Cth)’, </w:t>
      </w:r>
      <w:r>
        <w:t>as the former Act has been repealed and replaced by the latter</w:t>
      </w:r>
      <w:r w:rsidRPr="00AD63AA">
        <w:t>.</w:t>
      </w:r>
    </w:p>
    <w:p w14:paraId="29DD189C" w14:textId="77777777" w:rsidR="00B23093" w:rsidRPr="009C4395" w:rsidRDefault="00B23093" w:rsidP="00B23093">
      <w:pPr>
        <w:rPr>
          <w:highlight w:val="yellow"/>
        </w:rPr>
      </w:pPr>
    </w:p>
    <w:p w14:paraId="2205E57A" w14:textId="77777777" w:rsidR="00B23093" w:rsidRDefault="00B23093" w:rsidP="00B23093">
      <w:pPr>
        <w:rPr>
          <w:b/>
          <w:i/>
        </w:rPr>
      </w:pPr>
      <w:r w:rsidRPr="00AD63AA">
        <w:rPr>
          <w:b/>
          <w:i/>
        </w:rPr>
        <w:t>Section 2.9.4—6(2</w:t>
      </w:r>
      <w:proofErr w:type="gramStart"/>
      <w:r w:rsidRPr="00AD63AA">
        <w:rPr>
          <w:b/>
          <w:i/>
        </w:rPr>
        <w:t>)(</w:t>
      </w:r>
      <w:proofErr w:type="gramEnd"/>
      <w:r w:rsidRPr="00AD63AA">
        <w:rPr>
          <w:b/>
          <w:i/>
        </w:rPr>
        <w:t>a)</w:t>
      </w:r>
    </w:p>
    <w:p w14:paraId="574133C3" w14:textId="77777777" w:rsidR="00B23093" w:rsidRPr="009C4395" w:rsidRDefault="00B23093" w:rsidP="00B23093">
      <w:pPr>
        <w:rPr>
          <w:highlight w:val="yellow"/>
          <w:u w:val="single"/>
        </w:rPr>
      </w:pPr>
    </w:p>
    <w:p w14:paraId="7B6BB3C0" w14:textId="77777777" w:rsidR="00B23093" w:rsidRPr="00AD63AA" w:rsidRDefault="00B23093" w:rsidP="00B23093">
      <w:r w:rsidRPr="00AD63AA">
        <w:rPr>
          <w:szCs w:val="22"/>
        </w:rPr>
        <w:t>Item [1</w:t>
      </w:r>
      <w:r>
        <w:rPr>
          <w:szCs w:val="22"/>
        </w:rPr>
        <w:t>1</w:t>
      </w:r>
      <w:r w:rsidRPr="00AD63AA">
        <w:rPr>
          <w:szCs w:val="22"/>
        </w:rPr>
        <w:t xml:space="preserve">] replaces </w:t>
      </w:r>
      <w:r w:rsidRPr="00AD63AA">
        <w:t xml:space="preserve">‘of reconstitution’ with ‘or </w:t>
      </w:r>
      <w:r w:rsidRPr="00BF1C56">
        <w:t xml:space="preserve">reconstitution’, to correct a </w:t>
      </w:r>
      <w:r w:rsidRPr="00077592">
        <w:t>typographical</w:t>
      </w:r>
      <w:r w:rsidRPr="00BF1C56">
        <w:t xml:space="preserve"> error.</w:t>
      </w:r>
    </w:p>
    <w:p w14:paraId="6DDBCCE0" w14:textId="77777777" w:rsidR="00B23093" w:rsidRPr="009C4395" w:rsidRDefault="00B23093" w:rsidP="00B23093">
      <w:pPr>
        <w:rPr>
          <w:highlight w:val="yellow"/>
        </w:rPr>
      </w:pPr>
    </w:p>
    <w:p w14:paraId="244F9E72" w14:textId="77777777" w:rsidR="00B23093" w:rsidRDefault="00B23093" w:rsidP="00B23093">
      <w:pPr>
        <w:rPr>
          <w:b/>
          <w:i/>
        </w:rPr>
      </w:pPr>
      <w:r w:rsidRPr="00BF1C56">
        <w:rPr>
          <w:b/>
          <w:i/>
        </w:rPr>
        <w:t>Section 2.9.5—3(b)</w:t>
      </w:r>
    </w:p>
    <w:p w14:paraId="1D7E32A3" w14:textId="77777777" w:rsidR="00B23093" w:rsidRPr="009C4395" w:rsidRDefault="00B23093" w:rsidP="00B23093">
      <w:pPr>
        <w:rPr>
          <w:highlight w:val="yellow"/>
          <w:u w:val="single"/>
        </w:rPr>
      </w:pPr>
    </w:p>
    <w:p w14:paraId="0D696C09" w14:textId="77777777" w:rsidR="00B23093" w:rsidRPr="003F0B3A" w:rsidRDefault="00B23093" w:rsidP="00B23093">
      <w:r w:rsidRPr="00BF1C56">
        <w:rPr>
          <w:szCs w:val="22"/>
        </w:rPr>
        <w:t>Item [1</w:t>
      </w:r>
      <w:r>
        <w:rPr>
          <w:szCs w:val="22"/>
        </w:rPr>
        <w:t>2</w:t>
      </w:r>
      <w:r w:rsidRPr="00BF1C56">
        <w:rPr>
          <w:szCs w:val="22"/>
        </w:rPr>
        <w:t xml:space="preserve">] replaces </w:t>
      </w:r>
      <w:r w:rsidRPr="00BF1C56">
        <w:t>‘Part 2’ with ‘Part 1.2</w:t>
      </w:r>
      <w:r>
        <w:t xml:space="preserve">’, to correct a </w:t>
      </w:r>
      <w:r w:rsidRPr="00105A33">
        <w:t xml:space="preserve">typographical </w:t>
      </w:r>
      <w:r w:rsidRPr="00BF1C56">
        <w:t>error.</w:t>
      </w:r>
    </w:p>
    <w:p w14:paraId="2062606D" w14:textId="77777777" w:rsidR="00B23093" w:rsidRDefault="00B23093" w:rsidP="00B23093">
      <w:pPr>
        <w:rPr>
          <w:b/>
          <w:i/>
        </w:rPr>
      </w:pPr>
    </w:p>
    <w:p w14:paraId="7919F030" w14:textId="77777777" w:rsidR="00B23093" w:rsidRDefault="00B23093" w:rsidP="00B23093">
      <w:pPr>
        <w:rPr>
          <w:b/>
          <w:i/>
        </w:rPr>
      </w:pPr>
      <w:r w:rsidRPr="004149D8">
        <w:rPr>
          <w:b/>
          <w:i/>
        </w:rPr>
        <w:t>Section 2.9.6—3 (Note)</w:t>
      </w:r>
    </w:p>
    <w:p w14:paraId="73206349" w14:textId="77777777" w:rsidR="00B23093" w:rsidRPr="004149D8" w:rsidRDefault="00B23093" w:rsidP="00B23093">
      <w:pPr>
        <w:rPr>
          <w:u w:val="single"/>
        </w:rPr>
      </w:pPr>
    </w:p>
    <w:p w14:paraId="3C8DDF7B" w14:textId="77777777" w:rsidR="00B23093" w:rsidRPr="004149D8" w:rsidRDefault="00B23093" w:rsidP="00B23093">
      <w:r w:rsidRPr="004149D8">
        <w:rPr>
          <w:szCs w:val="22"/>
        </w:rPr>
        <w:t>Item [1</w:t>
      </w:r>
      <w:r>
        <w:rPr>
          <w:szCs w:val="22"/>
        </w:rPr>
        <w:t>3</w:t>
      </w:r>
      <w:r w:rsidRPr="004149D8">
        <w:rPr>
          <w:szCs w:val="22"/>
        </w:rPr>
        <w:t>] replaces ‘published’ with ‘published.’</w:t>
      </w:r>
      <w:r w:rsidRPr="004149D8">
        <w:t>, to correct a typographical error.</w:t>
      </w:r>
    </w:p>
    <w:p w14:paraId="29C3442E" w14:textId="77777777" w:rsidR="00B23093" w:rsidRDefault="00B23093" w:rsidP="00B23093"/>
    <w:p w14:paraId="431B7207" w14:textId="77777777" w:rsidR="00B23093" w:rsidRDefault="00B23093" w:rsidP="00B23093">
      <w:pPr>
        <w:rPr>
          <w:b/>
          <w:i/>
        </w:rPr>
      </w:pPr>
      <w:r w:rsidRPr="004149D8">
        <w:rPr>
          <w:b/>
          <w:i/>
        </w:rPr>
        <w:t>Section 2.10.2—3</w:t>
      </w:r>
    </w:p>
    <w:p w14:paraId="0EF23DCE" w14:textId="77777777" w:rsidR="00B23093" w:rsidRPr="009C4395" w:rsidRDefault="00B23093" w:rsidP="00B23093">
      <w:pPr>
        <w:rPr>
          <w:highlight w:val="yellow"/>
        </w:rPr>
      </w:pPr>
    </w:p>
    <w:p w14:paraId="7E39B158" w14:textId="77777777" w:rsidR="00B23093" w:rsidRDefault="00B23093" w:rsidP="00B23093">
      <w:r w:rsidRPr="009447B1">
        <w:rPr>
          <w:szCs w:val="22"/>
        </w:rPr>
        <w:t>Item [1</w:t>
      </w:r>
      <w:r>
        <w:rPr>
          <w:szCs w:val="22"/>
        </w:rPr>
        <w:t>4</w:t>
      </w:r>
      <w:r w:rsidRPr="009447B1">
        <w:rPr>
          <w:szCs w:val="22"/>
        </w:rPr>
        <w:t xml:space="preserve">] </w:t>
      </w:r>
      <w:r>
        <w:rPr>
          <w:szCs w:val="22"/>
        </w:rPr>
        <w:t>amends the text of the section so that it reads ‘</w:t>
      </w:r>
      <w:r w:rsidRPr="00C9426D">
        <w:rPr>
          <w:szCs w:val="22"/>
        </w:rPr>
        <w:t>A food that is sold as ‘salt’ must be salt and contain no less than 970 g/kg sodium chloride on a dry basis, ex</w:t>
      </w:r>
      <w:r>
        <w:rPr>
          <w:szCs w:val="22"/>
        </w:rPr>
        <w:t>clusive of permitted additives.’ This is to correct a typogra</w:t>
      </w:r>
      <w:r w:rsidRPr="004149D8">
        <w:t>phic</w:t>
      </w:r>
      <w:r>
        <w:t>al error.</w:t>
      </w:r>
    </w:p>
    <w:p w14:paraId="06556EF0" w14:textId="77777777" w:rsidR="00B23093" w:rsidRDefault="00B23093" w:rsidP="00B23093"/>
    <w:p w14:paraId="168DAB4E" w14:textId="77777777" w:rsidR="00B23093" w:rsidRPr="00140210" w:rsidRDefault="00B23093" w:rsidP="00B23093">
      <w:pPr>
        <w:keepNext/>
        <w:rPr>
          <w:b/>
          <w:i/>
        </w:rPr>
      </w:pPr>
      <w:r w:rsidRPr="00140210">
        <w:rPr>
          <w:b/>
          <w:i/>
        </w:rPr>
        <w:t>Schedule 1</w:t>
      </w:r>
    </w:p>
    <w:p w14:paraId="53F19911" w14:textId="77777777" w:rsidR="00B23093" w:rsidRPr="009C4395" w:rsidRDefault="00B23093" w:rsidP="00B23093">
      <w:pPr>
        <w:rPr>
          <w:highlight w:val="yellow"/>
        </w:rPr>
      </w:pPr>
    </w:p>
    <w:p w14:paraId="7689F0D2" w14:textId="77777777" w:rsidR="00B23093" w:rsidRPr="00DE792F" w:rsidRDefault="00B23093" w:rsidP="00B23093">
      <w:pPr>
        <w:rPr>
          <w:i/>
        </w:rPr>
      </w:pPr>
      <w:r w:rsidRPr="00DE792F">
        <w:rPr>
          <w:i/>
        </w:rPr>
        <w:t>Section S1—2 (</w:t>
      </w:r>
      <w:r>
        <w:rPr>
          <w:i/>
        </w:rPr>
        <w:t>Table</w:t>
      </w:r>
      <w:r w:rsidRPr="00DE792F">
        <w:rPr>
          <w:i/>
        </w:rPr>
        <w:t>)</w:t>
      </w:r>
    </w:p>
    <w:p w14:paraId="24E8ABB7" w14:textId="77777777" w:rsidR="00B23093" w:rsidRPr="00140210" w:rsidRDefault="00B23093" w:rsidP="00B23093"/>
    <w:p w14:paraId="0D1055E3" w14:textId="77777777" w:rsidR="00B23093" w:rsidRPr="00375A25" w:rsidRDefault="00B23093" w:rsidP="00B23093">
      <w:pPr>
        <w:rPr>
          <w:szCs w:val="22"/>
        </w:rPr>
      </w:pPr>
      <w:r>
        <w:rPr>
          <w:szCs w:val="22"/>
        </w:rPr>
        <w:t>Item [15</w:t>
      </w:r>
      <w:r w:rsidRPr="00375A25">
        <w:rPr>
          <w:szCs w:val="22"/>
        </w:rPr>
        <w:t xml:space="preserve">] </w:t>
      </w:r>
      <w:r>
        <w:rPr>
          <w:szCs w:val="22"/>
        </w:rPr>
        <w:t>amends the entry for Vitamin E</w:t>
      </w:r>
      <w:r w:rsidRPr="00375A25">
        <w:rPr>
          <w:szCs w:val="22"/>
        </w:rPr>
        <w:t xml:space="preserve"> in the table to section </w:t>
      </w:r>
      <w:r w:rsidRPr="00375A25">
        <w:t>S1—2. It replaces each reference in that entry to Note 4 to</w:t>
      </w:r>
      <w:r>
        <w:t xml:space="preserve"> a reference to Note 3. This consequential amendment is required by the amendments made by</w:t>
      </w:r>
      <w:r w:rsidRPr="00375A25">
        <w:t xml:space="preserve"> item </w:t>
      </w:r>
      <w:r>
        <w:t>[</w:t>
      </w:r>
      <w:r w:rsidRPr="00375A25">
        <w:t>15B</w:t>
      </w:r>
      <w:r>
        <w:t>]</w:t>
      </w:r>
      <w:r w:rsidRPr="00375A25">
        <w:t xml:space="preserve"> of this Schedule. </w:t>
      </w:r>
    </w:p>
    <w:p w14:paraId="46BBA71A" w14:textId="77777777" w:rsidR="00B23093" w:rsidRDefault="00B23093" w:rsidP="00B23093">
      <w:pPr>
        <w:rPr>
          <w:szCs w:val="22"/>
        </w:rPr>
      </w:pPr>
    </w:p>
    <w:p w14:paraId="28066EC8" w14:textId="77777777" w:rsidR="00B23093" w:rsidRPr="00DE792F" w:rsidRDefault="00B23093" w:rsidP="00B23093">
      <w:pPr>
        <w:rPr>
          <w:i/>
        </w:rPr>
      </w:pPr>
      <w:r w:rsidRPr="00DE792F">
        <w:rPr>
          <w:i/>
        </w:rPr>
        <w:t>Section S1—2 (Notes)</w:t>
      </w:r>
    </w:p>
    <w:p w14:paraId="19D4BC6F" w14:textId="77777777" w:rsidR="00B23093" w:rsidRPr="00140210" w:rsidRDefault="00B23093" w:rsidP="00B23093"/>
    <w:p w14:paraId="114DB6A2" w14:textId="77777777" w:rsidR="00B23093" w:rsidRPr="00140210" w:rsidRDefault="00B23093" w:rsidP="00B23093">
      <w:pPr>
        <w:rPr>
          <w:szCs w:val="22"/>
        </w:rPr>
      </w:pPr>
      <w:r w:rsidRPr="00140210">
        <w:rPr>
          <w:szCs w:val="22"/>
        </w:rPr>
        <w:t>I</w:t>
      </w:r>
      <w:r>
        <w:rPr>
          <w:szCs w:val="22"/>
        </w:rPr>
        <w:t xml:space="preserve">tem [15A] omits the Notes and replaces them with </w:t>
      </w:r>
      <w:r w:rsidRPr="00140210">
        <w:rPr>
          <w:szCs w:val="22"/>
        </w:rPr>
        <w:t>the following, to correct a referencing error:</w:t>
      </w:r>
    </w:p>
    <w:p w14:paraId="6D642331" w14:textId="77777777" w:rsidR="00B23093" w:rsidRPr="00140210" w:rsidRDefault="00B23093" w:rsidP="00B23093">
      <w:pPr>
        <w:rPr>
          <w:szCs w:val="22"/>
        </w:rPr>
      </w:pPr>
    </w:p>
    <w:p w14:paraId="35A6ED70" w14:textId="77777777" w:rsidR="00B23093" w:rsidRPr="00140210" w:rsidRDefault="00B23093" w:rsidP="00B23093">
      <w:pPr>
        <w:ind w:left="567"/>
        <w:rPr>
          <w:szCs w:val="22"/>
        </w:rPr>
      </w:pPr>
      <w:r w:rsidRPr="00140210">
        <w:rPr>
          <w:szCs w:val="22"/>
        </w:rPr>
        <w:t>Note 1</w:t>
      </w:r>
      <w:r w:rsidRPr="00140210">
        <w:rPr>
          <w:szCs w:val="22"/>
        </w:rPr>
        <w:tab/>
        <w:t>See paragraph 1.1.2—14(3</w:t>
      </w:r>
      <w:proofErr w:type="gramStart"/>
      <w:r w:rsidRPr="00140210">
        <w:rPr>
          <w:szCs w:val="22"/>
        </w:rPr>
        <w:t>)(</w:t>
      </w:r>
      <w:proofErr w:type="gramEnd"/>
      <w:r w:rsidRPr="00140210">
        <w:rPr>
          <w:szCs w:val="22"/>
        </w:rPr>
        <w:t>a).</w:t>
      </w:r>
    </w:p>
    <w:p w14:paraId="5FEFA50C" w14:textId="77777777" w:rsidR="00B23093" w:rsidRPr="00140210" w:rsidRDefault="00B23093" w:rsidP="00B23093">
      <w:pPr>
        <w:ind w:left="567"/>
        <w:rPr>
          <w:szCs w:val="22"/>
        </w:rPr>
      </w:pPr>
      <w:r w:rsidRPr="00140210">
        <w:rPr>
          <w:szCs w:val="22"/>
        </w:rPr>
        <w:t>Note 2</w:t>
      </w:r>
      <w:r w:rsidRPr="00140210">
        <w:rPr>
          <w:szCs w:val="22"/>
        </w:rPr>
        <w:tab/>
        <w:t>See paragraph 1.1.2—14(3</w:t>
      </w:r>
      <w:proofErr w:type="gramStart"/>
      <w:r w:rsidRPr="00140210">
        <w:rPr>
          <w:szCs w:val="22"/>
        </w:rPr>
        <w:t>)(</w:t>
      </w:r>
      <w:proofErr w:type="gramEnd"/>
      <w:r w:rsidRPr="00140210">
        <w:rPr>
          <w:szCs w:val="22"/>
        </w:rPr>
        <w:t>b).</w:t>
      </w:r>
    </w:p>
    <w:p w14:paraId="079BA284" w14:textId="77777777" w:rsidR="00B23093" w:rsidRPr="00140210" w:rsidRDefault="00B23093" w:rsidP="00B23093">
      <w:pPr>
        <w:ind w:left="567"/>
        <w:rPr>
          <w:szCs w:val="22"/>
        </w:rPr>
      </w:pPr>
      <w:r w:rsidRPr="00140210">
        <w:rPr>
          <w:szCs w:val="22"/>
        </w:rPr>
        <w:t xml:space="preserve">Note </w:t>
      </w:r>
      <w:r>
        <w:rPr>
          <w:szCs w:val="22"/>
        </w:rPr>
        <w:t>3</w:t>
      </w:r>
      <w:r>
        <w:rPr>
          <w:szCs w:val="22"/>
        </w:rPr>
        <w:tab/>
        <w:t>See paragraph 1.1.2—14(3</w:t>
      </w:r>
      <w:proofErr w:type="gramStart"/>
      <w:r>
        <w:rPr>
          <w:szCs w:val="22"/>
        </w:rPr>
        <w:t>)(</w:t>
      </w:r>
      <w:proofErr w:type="gramEnd"/>
      <w:r>
        <w:rPr>
          <w:szCs w:val="22"/>
        </w:rPr>
        <w:t>c).</w:t>
      </w:r>
    </w:p>
    <w:p w14:paraId="78B65DAB" w14:textId="77777777" w:rsidR="00B23093" w:rsidRDefault="00B23093" w:rsidP="00B23093">
      <w:pPr>
        <w:rPr>
          <w:szCs w:val="22"/>
          <w:highlight w:val="yellow"/>
        </w:rPr>
      </w:pPr>
    </w:p>
    <w:p w14:paraId="07346069" w14:textId="77777777" w:rsidR="00B23093" w:rsidRPr="00140210" w:rsidRDefault="00B23093" w:rsidP="00B23093">
      <w:pPr>
        <w:keepNext/>
        <w:rPr>
          <w:b/>
          <w:i/>
        </w:rPr>
      </w:pPr>
      <w:r w:rsidRPr="00140210">
        <w:rPr>
          <w:b/>
          <w:i/>
        </w:rPr>
        <w:t>Schedule 2</w:t>
      </w:r>
    </w:p>
    <w:p w14:paraId="7F635636" w14:textId="77777777" w:rsidR="00B23093" w:rsidRPr="00140210" w:rsidRDefault="00B23093" w:rsidP="00B23093">
      <w:pPr>
        <w:rPr>
          <w:szCs w:val="22"/>
          <w:highlight w:val="yellow"/>
        </w:rPr>
      </w:pPr>
    </w:p>
    <w:p w14:paraId="20EF4D0E" w14:textId="77777777" w:rsidR="00B23093" w:rsidRPr="00DE792F" w:rsidRDefault="00B23093" w:rsidP="00B23093">
      <w:pPr>
        <w:rPr>
          <w:i/>
        </w:rPr>
      </w:pPr>
      <w:r w:rsidRPr="00DE792F">
        <w:rPr>
          <w:i/>
        </w:rPr>
        <w:t>Section S2—2 (table)</w:t>
      </w:r>
    </w:p>
    <w:p w14:paraId="176BDA18" w14:textId="77777777" w:rsidR="00B23093" w:rsidRPr="009C4395" w:rsidRDefault="00B23093" w:rsidP="00B23093">
      <w:pPr>
        <w:rPr>
          <w:highlight w:val="yellow"/>
          <w:u w:val="single"/>
        </w:rPr>
      </w:pPr>
    </w:p>
    <w:p w14:paraId="1F9A938D" w14:textId="77777777" w:rsidR="00B23093" w:rsidRPr="00243C38" w:rsidRDefault="00B23093" w:rsidP="00B23093">
      <w:r w:rsidRPr="00243C38">
        <w:rPr>
          <w:szCs w:val="22"/>
        </w:rPr>
        <w:t>Item [1</w:t>
      </w:r>
      <w:r>
        <w:rPr>
          <w:szCs w:val="22"/>
        </w:rPr>
        <w:t>6</w:t>
      </w:r>
      <w:r w:rsidRPr="00243C38">
        <w:rPr>
          <w:szCs w:val="22"/>
        </w:rPr>
        <w:t>] replaces ‘</w:t>
      </w:r>
      <w:proofErr w:type="spellStart"/>
      <w:r w:rsidRPr="00243C38">
        <w:rPr>
          <w:szCs w:val="22"/>
        </w:rPr>
        <w:t>mJ</w:t>
      </w:r>
      <w:proofErr w:type="spellEnd"/>
      <w:r w:rsidRPr="00243C38">
        <w:rPr>
          <w:szCs w:val="22"/>
        </w:rPr>
        <w:t>’ with ‘MJ’</w:t>
      </w:r>
      <w:r w:rsidRPr="00243C38">
        <w:t>, to correct a typographical error.</w:t>
      </w:r>
    </w:p>
    <w:p w14:paraId="081B50FB" w14:textId="77777777" w:rsidR="00B23093" w:rsidRPr="009C4395" w:rsidRDefault="00B23093" w:rsidP="00B23093">
      <w:pPr>
        <w:rPr>
          <w:highlight w:val="yellow"/>
          <w:u w:val="single"/>
        </w:rPr>
      </w:pPr>
    </w:p>
    <w:p w14:paraId="1AFE6EF9" w14:textId="77777777" w:rsidR="00B23093" w:rsidRPr="00140210" w:rsidRDefault="00B23093" w:rsidP="00B23093">
      <w:pPr>
        <w:keepNext/>
        <w:rPr>
          <w:b/>
          <w:i/>
        </w:rPr>
      </w:pPr>
      <w:r>
        <w:rPr>
          <w:b/>
          <w:i/>
        </w:rPr>
        <w:t>Schedule 3</w:t>
      </w:r>
    </w:p>
    <w:p w14:paraId="2DF40C5E" w14:textId="77777777" w:rsidR="00B23093" w:rsidRPr="00140210" w:rsidRDefault="00B23093" w:rsidP="00B23093">
      <w:pPr>
        <w:rPr>
          <w:szCs w:val="22"/>
          <w:highlight w:val="yellow"/>
        </w:rPr>
      </w:pPr>
    </w:p>
    <w:p w14:paraId="068B37B0" w14:textId="77777777" w:rsidR="00B23093" w:rsidRPr="00DE792F" w:rsidRDefault="00B23093" w:rsidP="00B23093">
      <w:pPr>
        <w:rPr>
          <w:i/>
        </w:rPr>
      </w:pPr>
      <w:r>
        <w:rPr>
          <w:i/>
        </w:rPr>
        <w:t>Section S3—27</w:t>
      </w:r>
    </w:p>
    <w:p w14:paraId="25E3FDA2" w14:textId="77777777" w:rsidR="00B23093" w:rsidRPr="009C4395" w:rsidRDefault="00B23093" w:rsidP="00B23093">
      <w:pPr>
        <w:rPr>
          <w:highlight w:val="yellow"/>
          <w:u w:val="single"/>
        </w:rPr>
      </w:pPr>
    </w:p>
    <w:p w14:paraId="3685E726" w14:textId="77777777" w:rsidR="00B23093" w:rsidRDefault="00B23093" w:rsidP="00B23093">
      <w:r w:rsidRPr="00243C38">
        <w:rPr>
          <w:szCs w:val="22"/>
        </w:rPr>
        <w:t>Item [1</w:t>
      </w:r>
      <w:r>
        <w:rPr>
          <w:szCs w:val="22"/>
        </w:rPr>
        <w:t>6A] replaces ‘cfu/kg’ with ‘cfu/g</w:t>
      </w:r>
      <w:r w:rsidRPr="00243C38">
        <w:rPr>
          <w:szCs w:val="22"/>
        </w:rPr>
        <w:t>’</w:t>
      </w:r>
      <w:r w:rsidRPr="00243C38">
        <w:t xml:space="preserve">, to correct a </w:t>
      </w:r>
      <w:r>
        <w:t>transcription</w:t>
      </w:r>
      <w:r w:rsidRPr="00243C38">
        <w:t xml:space="preserve"> error.</w:t>
      </w:r>
      <w:r>
        <w:br w:type="page"/>
      </w:r>
    </w:p>
    <w:p w14:paraId="4A017897" w14:textId="77777777" w:rsidR="00B23093" w:rsidRDefault="00B23093" w:rsidP="00B23093">
      <w:pPr>
        <w:keepNext/>
        <w:rPr>
          <w:b/>
          <w:i/>
        </w:rPr>
      </w:pPr>
      <w:r w:rsidRPr="00140210">
        <w:rPr>
          <w:b/>
          <w:i/>
        </w:rPr>
        <w:lastRenderedPageBreak/>
        <w:t xml:space="preserve">Schedule </w:t>
      </w:r>
      <w:r>
        <w:rPr>
          <w:b/>
          <w:i/>
        </w:rPr>
        <w:t>4</w:t>
      </w:r>
    </w:p>
    <w:p w14:paraId="357C2640" w14:textId="77777777" w:rsidR="00B23093" w:rsidRPr="00140210" w:rsidRDefault="00B23093" w:rsidP="00B23093">
      <w:pPr>
        <w:keepNext/>
        <w:rPr>
          <w:b/>
          <w:i/>
        </w:rPr>
      </w:pPr>
    </w:p>
    <w:p w14:paraId="76D44694" w14:textId="77777777" w:rsidR="00B23093" w:rsidRPr="00DE792F" w:rsidRDefault="00B23093" w:rsidP="00B23093">
      <w:pPr>
        <w:rPr>
          <w:i/>
        </w:rPr>
      </w:pPr>
      <w:r w:rsidRPr="00DE792F">
        <w:rPr>
          <w:i/>
        </w:rPr>
        <w:t>Section S4—2 (definition of sugars)</w:t>
      </w:r>
    </w:p>
    <w:p w14:paraId="48A49A18" w14:textId="77777777" w:rsidR="00B23093" w:rsidRPr="009C4395" w:rsidRDefault="00B23093" w:rsidP="00B23093">
      <w:pPr>
        <w:rPr>
          <w:highlight w:val="yellow"/>
        </w:rPr>
      </w:pPr>
    </w:p>
    <w:p w14:paraId="6DB86DFF" w14:textId="77777777" w:rsidR="00B23093" w:rsidRPr="00DE792F" w:rsidRDefault="00B23093" w:rsidP="00B23093">
      <w:r w:rsidRPr="00DE792F">
        <w:rPr>
          <w:szCs w:val="22"/>
        </w:rPr>
        <w:t>Item [1</w:t>
      </w:r>
      <w:r>
        <w:rPr>
          <w:szCs w:val="22"/>
        </w:rPr>
        <w:t>7</w:t>
      </w:r>
      <w:r w:rsidRPr="00DE792F">
        <w:rPr>
          <w:szCs w:val="22"/>
        </w:rPr>
        <w:t xml:space="preserve">] replaces ‘(a)’ (second occurrence) </w:t>
      </w:r>
      <w:r w:rsidRPr="00DE792F">
        <w:t>with ‘(b)’, to correct a numbering error.</w:t>
      </w:r>
    </w:p>
    <w:p w14:paraId="5760C353" w14:textId="77777777" w:rsidR="00B23093" w:rsidRPr="009C4395" w:rsidRDefault="00B23093" w:rsidP="00B23093">
      <w:pPr>
        <w:rPr>
          <w:highlight w:val="yellow"/>
        </w:rPr>
      </w:pPr>
    </w:p>
    <w:p w14:paraId="36323260" w14:textId="77777777" w:rsidR="00B23093" w:rsidRDefault="00B23093" w:rsidP="00B23093">
      <w:pPr>
        <w:rPr>
          <w:i/>
        </w:rPr>
      </w:pPr>
      <w:r w:rsidRPr="00DE792F">
        <w:rPr>
          <w:i/>
        </w:rPr>
        <w:t>Section S4—5 (table)</w:t>
      </w:r>
    </w:p>
    <w:p w14:paraId="3EC363F1" w14:textId="77777777" w:rsidR="00B23093" w:rsidRDefault="00B23093" w:rsidP="00B23093"/>
    <w:p w14:paraId="68DDF0EF" w14:textId="77777777" w:rsidR="00B23093" w:rsidRPr="009C4395" w:rsidRDefault="00B23093" w:rsidP="00B23093">
      <w:pPr>
        <w:ind w:left="567" w:hanging="567"/>
        <w:rPr>
          <w:highlight w:val="yellow"/>
        </w:rPr>
      </w:pPr>
      <w:r w:rsidRPr="00DB02A6">
        <w:t>(a)</w:t>
      </w:r>
      <w:r w:rsidRPr="00DB02A6">
        <w:tab/>
      </w:r>
      <w:r w:rsidRPr="00DB02A6">
        <w:rPr>
          <w:szCs w:val="22"/>
        </w:rPr>
        <w:t>Item [</w:t>
      </w:r>
      <w:r>
        <w:rPr>
          <w:szCs w:val="22"/>
        </w:rPr>
        <w:t>18</w:t>
      </w:r>
      <w:r w:rsidRPr="00DB02A6">
        <w:rPr>
          <w:szCs w:val="22"/>
        </w:rPr>
        <w:t xml:space="preserve">] </w:t>
      </w:r>
      <w:r w:rsidRPr="00243C38">
        <w:t>correct</w:t>
      </w:r>
      <w:r>
        <w:t>s</w:t>
      </w:r>
      <w:r w:rsidRPr="00243C38">
        <w:t xml:space="preserve"> a typographical error</w:t>
      </w:r>
      <w:r>
        <w:t xml:space="preserve"> by removing the duplicate reference in column 1 of the table to ‘Iodine’ </w:t>
      </w:r>
      <w:r w:rsidRPr="00DE792F">
        <w:rPr>
          <w:szCs w:val="22"/>
        </w:rPr>
        <w:t>(second occurrence)</w:t>
      </w:r>
      <w:r>
        <w:rPr>
          <w:szCs w:val="22"/>
        </w:rPr>
        <w:t>.</w:t>
      </w:r>
    </w:p>
    <w:p w14:paraId="2570FF9B" w14:textId="77777777" w:rsidR="00B23093" w:rsidRPr="009C4395" w:rsidRDefault="00B23093" w:rsidP="00B23093">
      <w:pPr>
        <w:rPr>
          <w:highlight w:val="yellow"/>
        </w:rPr>
      </w:pPr>
    </w:p>
    <w:p w14:paraId="7B0A9DAB" w14:textId="77777777" w:rsidR="00B23093" w:rsidRPr="009C4395" w:rsidRDefault="00B23093" w:rsidP="00B23093">
      <w:pPr>
        <w:ind w:left="567" w:hanging="567"/>
        <w:rPr>
          <w:highlight w:val="yellow"/>
        </w:rPr>
      </w:pPr>
      <w:r w:rsidRPr="00DB02A6">
        <w:t>(b)</w:t>
      </w:r>
      <w:r w:rsidRPr="00DB02A6">
        <w:tab/>
      </w:r>
      <w:r w:rsidRPr="00DB02A6">
        <w:rPr>
          <w:szCs w:val="22"/>
        </w:rPr>
        <w:t>Item [</w:t>
      </w:r>
      <w:r>
        <w:rPr>
          <w:szCs w:val="22"/>
        </w:rPr>
        <w:t>18</w:t>
      </w:r>
      <w:r w:rsidRPr="00DB02A6">
        <w:rPr>
          <w:szCs w:val="22"/>
        </w:rPr>
        <w:t xml:space="preserve">] </w:t>
      </w:r>
      <w:r w:rsidRPr="00243C38">
        <w:t>correct</w:t>
      </w:r>
      <w:r>
        <w:t>s</w:t>
      </w:r>
      <w:r w:rsidRPr="00243C38">
        <w:t xml:space="preserve"> a typographical error</w:t>
      </w:r>
      <w:r>
        <w:t xml:space="preserve"> by removing the duplicate reference in column 1 of the table to</w:t>
      </w:r>
      <w:r w:rsidRPr="00DB02A6" w:rsidDel="002A7554">
        <w:t xml:space="preserve"> </w:t>
      </w:r>
      <w:r>
        <w:t>‘</w:t>
      </w:r>
      <w:r w:rsidRPr="00DB02A6">
        <w:t>Selenium</w:t>
      </w:r>
      <w:r>
        <w:t xml:space="preserve">’ </w:t>
      </w:r>
      <w:r w:rsidRPr="00DE792F">
        <w:rPr>
          <w:szCs w:val="22"/>
        </w:rPr>
        <w:t>(second occurrence)</w:t>
      </w:r>
      <w:r>
        <w:rPr>
          <w:szCs w:val="22"/>
        </w:rPr>
        <w:t xml:space="preserve"> and by correcting the formatting of the row for that entry</w:t>
      </w:r>
      <w:r w:rsidRPr="00243C38">
        <w:t>.</w:t>
      </w:r>
    </w:p>
    <w:p w14:paraId="614FAA72" w14:textId="77777777" w:rsidR="00B23093" w:rsidRPr="009C4395" w:rsidRDefault="00B23093" w:rsidP="00B23093">
      <w:pPr>
        <w:rPr>
          <w:highlight w:val="yellow"/>
        </w:rPr>
      </w:pPr>
    </w:p>
    <w:p w14:paraId="484AC4E2" w14:textId="77777777" w:rsidR="00B23093" w:rsidRDefault="00B23093" w:rsidP="00B23093">
      <w:pPr>
        <w:ind w:left="567" w:hanging="567"/>
        <w:rPr>
          <w:szCs w:val="22"/>
        </w:rPr>
      </w:pPr>
      <w:r w:rsidRPr="00DB02A6">
        <w:t xml:space="preserve">(c) </w:t>
      </w:r>
      <w:r w:rsidRPr="00DB02A6">
        <w:tab/>
      </w:r>
      <w:r w:rsidRPr="00DB02A6">
        <w:rPr>
          <w:szCs w:val="22"/>
        </w:rPr>
        <w:t>Item</w:t>
      </w:r>
      <w:r>
        <w:rPr>
          <w:szCs w:val="22"/>
        </w:rPr>
        <w:t xml:space="preserve"> [18] </w:t>
      </w:r>
      <w:r w:rsidRPr="00243C38">
        <w:t>correct</w:t>
      </w:r>
      <w:r>
        <w:t>s</w:t>
      </w:r>
      <w:r w:rsidRPr="00243C38">
        <w:t xml:space="preserve"> a typographical error</w:t>
      </w:r>
      <w:r>
        <w:t xml:space="preserve"> by removing the duplicate reference in column 1 of the table to</w:t>
      </w:r>
      <w:r w:rsidRPr="00DB02A6" w:rsidDel="002A7554">
        <w:t xml:space="preserve"> </w:t>
      </w:r>
      <w:r>
        <w:rPr>
          <w:szCs w:val="22"/>
        </w:rPr>
        <w:t>‘Energy</w:t>
      </w:r>
      <w:r w:rsidRPr="00DB02A6">
        <w:rPr>
          <w:szCs w:val="22"/>
        </w:rPr>
        <w:t xml:space="preserve">’ (second occurrence) </w:t>
      </w:r>
      <w:r>
        <w:rPr>
          <w:szCs w:val="22"/>
        </w:rPr>
        <w:t>and by correcting the formatting of the row for that entry</w:t>
      </w:r>
      <w:r w:rsidRPr="00DB02A6">
        <w:rPr>
          <w:szCs w:val="22"/>
        </w:rPr>
        <w:t>.</w:t>
      </w:r>
    </w:p>
    <w:p w14:paraId="776FFA66" w14:textId="77777777" w:rsidR="00B23093" w:rsidRDefault="00B23093" w:rsidP="00B23093">
      <w:pPr>
        <w:ind w:left="567" w:hanging="567"/>
        <w:rPr>
          <w:szCs w:val="22"/>
        </w:rPr>
      </w:pPr>
    </w:p>
    <w:p w14:paraId="1DE61544" w14:textId="77777777" w:rsidR="00B23093" w:rsidRPr="00DB02A6" w:rsidRDefault="00B23093" w:rsidP="00B23093">
      <w:pPr>
        <w:ind w:left="567" w:hanging="567"/>
        <w:rPr>
          <w:b/>
          <w:i/>
          <w:szCs w:val="22"/>
        </w:rPr>
      </w:pPr>
      <w:r w:rsidRPr="00DB02A6">
        <w:rPr>
          <w:b/>
          <w:i/>
          <w:szCs w:val="22"/>
        </w:rPr>
        <w:t>Schedule 12</w:t>
      </w:r>
    </w:p>
    <w:p w14:paraId="1ECA8F12" w14:textId="77777777" w:rsidR="00B23093" w:rsidRPr="009C4395" w:rsidRDefault="00B23093" w:rsidP="00B23093">
      <w:pPr>
        <w:ind w:left="567" w:hanging="567"/>
        <w:rPr>
          <w:b/>
          <w:i/>
          <w:highlight w:val="yellow"/>
        </w:rPr>
      </w:pPr>
    </w:p>
    <w:p w14:paraId="5BDF764F" w14:textId="77777777" w:rsidR="00B23093" w:rsidRDefault="00B23093" w:rsidP="00B23093">
      <w:pPr>
        <w:rPr>
          <w:i/>
        </w:rPr>
      </w:pPr>
      <w:r w:rsidRPr="0006797A">
        <w:rPr>
          <w:i/>
        </w:rPr>
        <w:t>Section S12—4 (table)</w:t>
      </w:r>
    </w:p>
    <w:p w14:paraId="26CAAD8F" w14:textId="77777777" w:rsidR="00B23093" w:rsidRPr="009C4395" w:rsidRDefault="00B23093" w:rsidP="00B23093">
      <w:pPr>
        <w:rPr>
          <w:highlight w:val="yellow"/>
          <w:u w:val="single"/>
        </w:rPr>
      </w:pPr>
    </w:p>
    <w:p w14:paraId="48712043" w14:textId="77777777" w:rsidR="00B23093" w:rsidRPr="0006797A" w:rsidRDefault="00B23093" w:rsidP="00B23093">
      <w:r w:rsidRPr="0006797A">
        <w:rPr>
          <w:szCs w:val="22"/>
        </w:rPr>
        <w:t>Item [</w:t>
      </w:r>
      <w:r>
        <w:rPr>
          <w:szCs w:val="22"/>
        </w:rPr>
        <w:t>19</w:t>
      </w:r>
      <w:r w:rsidRPr="0006797A">
        <w:rPr>
          <w:szCs w:val="22"/>
        </w:rPr>
        <w:t>]</w:t>
      </w:r>
      <w:r>
        <w:rPr>
          <w:szCs w:val="22"/>
        </w:rPr>
        <w:t xml:space="preserve"> deletes the following unnecessary sentence from the table:</w:t>
      </w:r>
      <w:r w:rsidRPr="0006797A">
        <w:rPr>
          <w:szCs w:val="22"/>
        </w:rPr>
        <w:t xml:space="preserve"> ‘Your daily intakes may be higher or lower depending on your energy needs.’ </w:t>
      </w:r>
    </w:p>
    <w:p w14:paraId="36EF97F6" w14:textId="77777777" w:rsidR="00B23093" w:rsidRDefault="00B23093" w:rsidP="00B23093">
      <w:pPr>
        <w:rPr>
          <w:highlight w:val="yellow"/>
        </w:rPr>
      </w:pPr>
    </w:p>
    <w:p w14:paraId="20A5883E" w14:textId="77777777" w:rsidR="00B23093" w:rsidRPr="00DB02A6" w:rsidRDefault="00B23093" w:rsidP="00B23093">
      <w:pPr>
        <w:ind w:left="567" w:hanging="567"/>
        <w:rPr>
          <w:b/>
          <w:i/>
          <w:szCs w:val="22"/>
        </w:rPr>
      </w:pPr>
      <w:r>
        <w:rPr>
          <w:b/>
          <w:i/>
          <w:szCs w:val="22"/>
        </w:rPr>
        <w:t>Schedule 15</w:t>
      </w:r>
    </w:p>
    <w:p w14:paraId="09687E21" w14:textId="77777777" w:rsidR="00B23093" w:rsidRPr="009C4395" w:rsidRDefault="00B23093" w:rsidP="00B23093">
      <w:pPr>
        <w:ind w:left="567" w:hanging="567"/>
        <w:rPr>
          <w:b/>
          <w:i/>
          <w:highlight w:val="yellow"/>
        </w:rPr>
      </w:pPr>
    </w:p>
    <w:p w14:paraId="08BB7608" w14:textId="77777777" w:rsidR="00B23093" w:rsidRDefault="00B23093" w:rsidP="00B23093">
      <w:pPr>
        <w:rPr>
          <w:i/>
        </w:rPr>
      </w:pPr>
      <w:r w:rsidRPr="00B45347">
        <w:rPr>
          <w:i/>
        </w:rPr>
        <w:t xml:space="preserve">Section S15—5 (table) </w:t>
      </w:r>
    </w:p>
    <w:p w14:paraId="1AABD3AC" w14:textId="77777777" w:rsidR="00B23093" w:rsidRPr="009C4395" w:rsidRDefault="00B23093" w:rsidP="00B23093">
      <w:pPr>
        <w:rPr>
          <w:highlight w:val="yellow"/>
        </w:rPr>
      </w:pPr>
    </w:p>
    <w:p w14:paraId="4CE41AE4" w14:textId="77777777" w:rsidR="00B23093" w:rsidRPr="0019547C" w:rsidRDefault="00B23093" w:rsidP="00B23093">
      <w:pPr>
        <w:ind w:left="567" w:hanging="567"/>
        <w:rPr>
          <w:szCs w:val="22"/>
        </w:rPr>
      </w:pPr>
      <w:r w:rsidRPr="0019547C">
        <w:rPr>
          <w:szCs w:val="22"/>
        </w:rPr>
        <w:t>(a)</w:t>
      </w:r>
      <w:r w:rsidRPr="0019547C">
        <w:rPr>
          <w:szCs w:val="22"/>
        </w:rPr>
        <w:tab/>
        <w:t xml:space="preserve">Item [20] removes the duplicate entries in </w:t>
      </w:r>
      <w:r w:rsidRPr="0019547C">
        <w:t>item 1.4.2</w:t>
      </w:r>
      <w:r w:rsidRPr="0019547C">
        <w:rPr>
          <w:i/>
        </w:rPr>
        <w:t xml:space="preserve"> </w:t>
      </w:r>
      <w:r w:rsidRPr="0019547C">
        <w:rPr>
          <w:szCs w:val="22"/>
        </w:rPr>
        <w:t>of the table for ‘Nisin’ (second occurrence) and ‘Polyglycerol esters of fatty acids’ (second occurrence)</w:t>
      </w:r>
      <w:r w:rsidRPr="0019547C">
        <w:t>, to correct a typographical error.</w:t>
      </w:r>
    </w:p>
    <w:p w14:paraId="65E87983" w14:textId="77777777" w:rsidR="00B23093" w:rsidRPr="0019547C" w:rsidRDefault="00B23093" w:rsidP="00B23093">
      <w:pPr>
        <w:ind w:left="567" w:hanging="567"/>
        <w:rPr>
          <w:szCs w:val="22"/>
        </w:rPr>
      </w:pPr>
    </w:p>
    <w:p w14:paraId="228A8AE1" w14:textId="77777777" w:rsidR="00B23093" w:rsidRDefault="00B23093" w:rsidP="00B23093">
      <w:pPr>
        <w:ind w:left="567" w:hanging="567"/>
      </w:pPr>
      <w:r w:rsidRPr="0019547C">
        <w:t>(b)</w:t>
      </w:r>
      <w:r w:rsidRPr="0019547C">
        <w:tab/>
      </w:r>
      <w:r w:rsidRPr="0019547C">
        <w:rPr>
          <w:szCs w:val="22"/>
        </w:rPr>
        <w:t>Item [20] inserts the following into the item 2.2.2 of the table, in numerical order</w:t>
      </w:r>
      <w:r w:rsidRPr="0019547C">
        <w:t>, to</w:t>
      </w:r>
      <w:r w:rsidRPr="00BD078D">
        <w:t xml:space="preserve"> correct a transcription error.</w:t>
      </w:r>
    </w:p>
    <w:p w14:paraId="37FEAFFB" w14:textId="77777777" w:rsidR="00B23093" w:rsidRDefault="00B23093" w:rsidP="00B23093">
      <w:pPr>
        <w:ind w:left="567" w:hanging="567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B23093" w:rsidRPr="00FD2CFF" w14:paraId="4F745983" w14:textId="77777777" w:rsidTr="00564068">
        <w:trPr>
          <w:cantSplit/>
        </w:trPr>
        <w:tc>
          <w:tcPr>
            <w:tcW w:w="1668" w:type="dxa"/>
          </w:tcPr>
          <w:p w14:paraId="40B20CA5" w14:textId="77777777" w:rsidR="00B23093" w:rsidRPr="00FD2CFF" w:rsidRDefault="00B23093" w:rsidP="00564068">
            <w:pPr>
              <w:pStyle w:val="FSCAdditivestext1"/>
            </w:pPr>
            <w:r>
              <w:t>200 201 202 20</w:t>
            </w:r>
            <w:r w:rsidRPr="00FD2CFF">
              <w:t>3</w:t>
            </w:r>
          </w:p>
        </w:tc>
        <w:tc>
          <w:tcPr>
            <w:tcW w:w="4252" w:type="dxa"/>
          </w:tcPr>
          <w:p w14:paraId="099BF554" w14:textId="77777777" w:rsidR="00B23093" w:rsidRPr="00FD2CFF" w:rsidRDefault="00B23093" w:rsidP="00564068">
            <w:pPr>
              <w:pStyle w:val="FSCAdditivestext1"/>
            </w:pPr>
            <w:r>
              <w:t>Sorbic</w:t>
            </w:r>
            <w:r w:rsidRPr="00FD2CFF">
              <w:t xml:space="preserve"> acid and sod</w:t>
            </w:r>
            <w:r>
              <w:t>ium, potassium and calcium sorb</w:t>
            </w:r>
            <w:r w:rsidRPr="00FD2CFF">
              <w:t>ates</w:t>
            </w:r>
          </w:p>
        </w:tc>
        <w:tc>
          <w:tcPr>
            <w:tcW w:w="992" w:type="dxa"/>
          </w:tcPr>
          <w:p w14:paraId="3F1F53C2" w14:textId="77777777" w:rsidR="00B23093" w:rsidRPr="00FD2CFF" w:rsidRDefault="00B23093" w:rsidP="00564068">
            <w:pPr>
              <w:pStyle w:val="FSCAdditivestext2"/>
            </w:pPr>
            <w:r>
              <w:t>2</w:t>
            </w:r>
            <w:r w:rsidRPr="00FD2CFF">
              <w:t xml:space="preserve"> 000</w:t>
            </w:r>
          </w:p>
        </w:tc>
        <w:tc>
          <w:tcPr>
            <w:tcW w:w="2160" w:type="dxa"/>
          </w:tcPr>
          <w:p w14:paraId="2FDD14D1" w14:textId="77777777" w:rsidR="00B23093" w:rsidRPr="00FD2CFF" w:rsidRDefault="00B23093" w:rsidP="00564068">
            <w:pPr>
              <w:pStyle w:val="FSCAdditivestext1"/>
            </w:pPr>
          </w:p>
        </w:tc>
      </w:tr>
    </w:tbl>
    <w:p w14:paraId="3D9ACA49" w14:textId="77777777" w:rsidR="00B23093" w:rsidRDefault="00B23093" w:rsidP="00B23093"/>
    <w:p w14:paraId="764F283C" w14:textId="77777777" w:rsidR="00B23093" w:rsidRPr="00DB02A6" w:rsidRDefault="00B23093" w:rsidP="00B23093">
      <w:pPr>
        <w:ind w:left="567" w:hanging="567"/>
        <w:rPr>
          <w:b/>
          <w:i/>
          <w:szCs w:val="22"/>
        </w:rPr>
      </w:pPr>
      <w:r>
        <w:rPr>
          <w:b/>
          <w:i/>
          <w:szCs w:val="22"/>
        </w:rPr>
        <w:t>Schedule 18</w:t>
      </w:r>
    </w:p>
    <w:p w14:paraId="55C77E35" w14:textId="77777777" w:rsidR="00B23093" w:rsidRPr="009C4395" w:rsidRDefault="00B23093" w:rsidP="00B23093">
      <w:pPr>
        <w:ind w:left="567" w:hanging="567"/>
        <w:rPr>
          <w:b/>
          <w:i/>
          <w:highlight w:val="yellow"/>
        </w:rPr>
      </w:pPr>
    </w:p>
    <w:p w14:paraId="61418D32" w14:textId="77777777" w:rsidR="00B23093" w:rsidRPr="008247C4" w:rsidRDefault="00B23093" w:rsidP="00B23093">
      <w:r w:rsidRPr="00397858">
        <w:rPr>
          <w:i/>
        </w:rPr>
        <w:t>Section S18—3 (table)</w:t>
      </w:r>
    </w:p>
    <w:p w14:paraId="2AD29E1E" w14:textId="77777777" w:rsidR="00B23093" w:rsidRPr="009C4395" w:rsidRDefault="00B23093" w:rsidP="00B23093">
      <w:pPr>
        <w:rPr>
          <w:highlight w:val="yellow"/>
        </w:rPr>
      </w:pPr>
    </w:p>
    <w:p w14:paraId="6D08AE67" w14:textId="77777777" w:rsidR="00B23093" w:rsidRDefault="00B23093" w:rsidP="00B23093">
      <w:r w:rsidRPr="00397858">
        <w:rPr>
          <w:szCs w:val="22"/>
        </w:rPr>
        <w:t>Item [</w:t>
      </w:r>
      <w:r>
        <w:rPr>
          <w:szCs w:val="22"/>
        </w:rPr>
        <w:t>21</w:t>
      </w:r>
      <w:r w:rsidRPr="00397858">
        <w:rPr>
          <w:szCs w:val="22"/>
        </w:rPr>
        <w:t xml:space="preserve">] replaces </w:t>
      </w:r>
      <w:r w:rsidRPr="00397858">
        <w:t>‘</w:t>
      </w:r>
      <w:proofErr w:type="spellStart"/>
      <w:r>
        <w:t>tetraethylenepentamin</w:t>
      </w:r>
      <w:proofErr w:type="spellEnd"/>
      <w:r w:rsidRPr="00397858">
        <w:t>’ with ‘tetraethylenepentamin</w:t>
      </w:r>
      <w:r>
        <w:t>e</w:t>
      </w:r>
      <w:r w:rsidRPr="00397858">
        <w:t>’, to correct a typographical error.</w:t>
      </w:r>
    </w:p>
    <w:p w14:paraId="01178687" w14:textId="77777777" w:rsidR="00B23093" w:rsidRDefault="00B23093" w:rsidP="00B23093"/>
    <w:p w14:paraId="7E90AC1A" w14:textId="77777777" w:rsidR="00B23093" w:rsidRPr="00DB02A6" w:rsidRDefault="00B23093" w:rsidP="00B23093">
      <w:pPr>
        <w:ind w:left="567" w:hanging="567"/>
        <w:rPr>
          <w:b/>
          <w:i/>
          <w:szCs w:val="22"/>
        </w:rPr>
      </w:pPr>
      <w:r>
        <w:rPr>
          <w:b/>
          <w:i/>
          <w:szCs w:val="22"/>
        </w:rPr>
        <w:t>Schedule 26</w:t>
      </w:r>
    </w:p>
    <w:p w14:paraId="0F275118" w14:textId="77777777" w:rsidR="00B23093" w:rsidRPr="009C4395" w:rsidRDefault="00B23093" w:rsidP="00B23093">
      <w:pPr>
        <w:ind w:left="567" w:hanging="567"/>
        <w:rPr>
          <w:b/>
          <w:i/>
          <w:highlight w:val="yellow"/>
        </w:rPr>
      </w:pPr>
    </w:p>
    <w:p w14:paraId="725EB718" w14:textId="77777777" w:rsidR="00B23093" w:rsidRPr="00397858" w:rsidRDefault="00B23093" w:rsidP="00B23093">
      <w:r>
        <w:rPr>
          <w:i/>
        </w:rPr>
        <w:t>Schedule Heading (</w:t>
      </w:r>
      <w:r w:rsidRPr="00397858">
        <w:rPr>
          <w:i/>
        </w:rPr>
        <w:t>Note 1</w:t>
      </w:r>
      <w:r>
        <w:rPr>
          <w:i/>
        </w:rPr>
        <w:t>)</w:t>
      </w:r>
    </w:p>
    <w:p w14:paraId="36A30875" w14:textId="77777777" w:rsidR="00B23093" w:rsidRPr="009C4395" w:rsidRDefault="00B23093" w:rsidP="00B23093">
      <w:pPr>
        <w:rPr>
          <w:highlight w:val="yellow"/>
        </w:rPr>
      </w:pPr>
    </w:p>
    <w:p w14:paraId="27884A32" w14:textId="77777777" w:rsidR="00B23093" w:rsidRPr="00397858" w:rsidRDefault="00B23093" w:rsidP="00B23093">
      <w:r w:rsidRPr="00397858">
        <w:rPr>
          <w:szCs w:val="22"/>
        </w:rPr>
        <w:t>Item [</w:t>
      </w:r>
      <w:r>
        <w:rPr>
          <w:szCs w:val="22"/>
        </w:rPr>
        <w:t>22</w:t>
      </w:r>
      <w:r w:rsidRPr="00397858">
        <w:rPr>
          <w:szCs w:val="22"/>
        </w:rPr>
        <w:t xml:space="preserve">] replaces </w:t>
      </w:r>
      <w:r w:rsidRPr="00397858">
        <w:t>‘1.1.1—10(3</w:t>
      </w:r>
      <w:proofErr w:type="gramStart"/>
      <w:r w:rsidRPr="00397858">
        <w:t>)(</w:t>
      </w:r>
      <w:proofErr w:type="gramEnd"/>
      <w:r w:rsidRPr="00397858">
        <w:t>c) and (4)(g)’ with ‘1.1.1—10(5)(c) and (6)(g)’, to correct a referencing error.</w:t>
      </w:r>
    </w:p>
    <w:p w14:paraId="329323E6" w14:textId="77777777" w:rsidR="00B23093" w:rsidRPr="009C4395" w:rsidRDefault="00B23093" w:rsidP="00B23093">
      <w:pPr>
        <w:rPr>
          <w:highlight w:val="yellow"/>
        </w:rPr>
      </w:pPr>
    </w:p>
    <w:p w14:paraId="51D5102F" w14:textId="77777777" w:rsidR="00B23093" w:rsidRDefault="00B23093" w:rsidP="00B23093">
      <w:pPr>
        <w:rPr>
          <w:b/>
          <w:i/>
        </w:rPr>
      </w:pPr>
      <w:r>
        <w:rPr>
          <w:b/>
          <w:i/>
        </w:rPr>
        <w:br w:type="page"/>
      </w:r>
    </w:p>
    <w:p w14:paraId="75DACEE9" w14:textId="77777777" w:rsidR="00B23093" w:rsidRDefault="00B23093" w:rsidP="00B23093">
      <w:pPr>
        <w:rPr>
          <w:b/>
          <w:i/>
        </w:rPr>
      </w:pPr>
      <w:r w:rsidRPr="00260397">
        <w:rPr>
          <w:b/>
          <w:i/>
        </w:rPr>
        <w:lastRenderedPageBreak/>
        <w:t>Section S26—3(4) (table)</w:t>
      </w:r>
    </w:p>
    <w:p w14:paraId="6640B9CD" w14:textId="77777777" w:rsidR="00B23093" w:rsidRDefault="00B23093" w:rsidP="00B23093">
      <w:pPr>
        <w:rPr>
          <w:highlight w:val="yellow"/>
        </w:rPr>
      </w:pPr>
    </w:p>
    <w:p w14:paraId="5C24E2BC" w14:textId="77777777" w:rsidR="00B23093" w:rsidRPr="009C4395" w:rsidRDefault="00B23093" w:rsidP="00B23093">
      <w:pPr>
        <w:ind w:left="567" w:hanging="567"/>
        <w:rPr>
          <w:highlight w:val="yellow"/>
        </w:rPr>
      </w:pPr>
      <w:r w:rsidRPr="00DB02A6">
        <w:t>(a)</w:t>
      </w:r>
      <w:r w:rsidRPr="00DB02A6">
        <w:tab/>
      </w:r>
      <w:r w:rsidRPr="00DB02A6">
        <w:rPr>
          <w:szCs w:val="22"/>
        </w:rPr>
        <w:t>Item [</w:t>
      </w:r>
      <w:r>
        <w:rPr>
          <w:szCs w:val="22"/>
        </w:rPr>
        <w:t>23</w:t>
      </w:r>
      <w:r w:rsidRPr="00DB02A6">
        <w:rPr>
          <w:szCs w:val="22"/>
        </w:rPr>
        <w:t xml:space="preserve">] </w:t>
      </w:r>
      <w:r>
        <w:t xml:space="preserve">replaces ‘&amp;’ with ‘and’ in entry 4(a), </w:t>
      </w:r>
      <w:r w:rsidRPr="00243C38">
        <w:t>to correct a typographical error.</w:t>
      </w:r>
    </w:p>
    <w:p w14:paraId="0E1B2A68" w14:textId="77777777" w:rsidR="00B23093" w:rsidRPr="009C4395" w:rsidRDefault="00B23093" w:rsidP="00B23093">
      <w:pPr>
        <w:rPr>
          <w:highlight w:val="yellow"/>
        </w:rPr>
      </w:pPr>
    </w:p>
    <w:p w14:paraId="43367EAB" w14:textId="77777777" w:rsidR="00B23093" w:rsidRPr="009C4395" w:rsidRDefault="00B23093" w:rsidP="00B23093">
      <w:pPr>
        <w:ind w:left="567" w:hanging="567"/>
        <w:rPr>
          <w:highlight w:val="yellow"/>
        </w:rPr>
      </w:pPr>
      <w:r w:rsidRPr="00DB02A6">
        <w:t>(b)</w:t>
      </w:r>
      <w:r w:rsidRPr="00DB02A6">
        <w:tab/>
      </w:r>
      <w:r w:rsidRPr="00DB02A6">
        <w:rPr>
          <w:szCs w:val="22"/>
        </w:rPr>
        <w:t>Item [</w:t>
      </w:r>
      <w:r>
        <w:rPr>
          <w:szCs w:val="22"/>
        </w:rPr>
        <w:t>23</w:t>
      </w:r>
      <w:r w:rsidRPr="00DB02A6">
        <w:rPr>
          <w:szCs w:val="22"/>
        </w:rPr>
        <w:t xml:space="preserve">] </w:t>
      </w:r>
      <w:r w:rsidRPr="00DB02A6">
        <w:t>deletes</w:t>
      </w:r>
      <w:r>
        <w:t xml:space="preserve"> ‘</w:t>
      </w:r>
      <w:r w:rsidRPr="003D530B">
        <w:t>food derived from</w:t>
      </w:r>
      <w:r>
        <w:t xml:space="preserve">’ in entry 4(b), </w:t>
      </w:r>
      <w:r w:rsidRPr="00243C38">
        <w:t>to correct a typographical error.</w:t>
      </w:r>
    </w:p>
    <w:p w14:paraId="1CA64A61" w14:textId="77777777" w:rsidR="00B23093" w:rsidRPr="009C4395" w:rsidRDefault="00B23093" w:rsidP="00B23093">
      <w:pPr>
        <w:rPr>
          <w:highlight w:val="yellow"/>
        </w:rPr>
      </w:pPr>
    </w:p>
    <w:p w14:paraId="32802010" w14:textId="77777777" w:rsidR="00B23093" w:rsidRDefault="00B23093" w:rsidP="00B23093">
      <w:pPr>
        <w:ind w:left="567" w:hanging="567"/>
        <w:rPr>
          <w:b/>
          <w:i/>
          <w:szCs w:val="22"/>
        </w:rPr>
      </w:pPr>
      <w:r>
        <w:rPr>
          <w:b/>
          <w:i/>
          <w:szCs w:val="22"/>
        </w:rPr>
        <w:t>Schedule 29</w:t>
      </w:r>
      <w:bookmarkStart w:id="0" w:name="_GoBack"/>
      <w:bookmarkEnd w:id="0"/>
    </w:p>
    <w:p w14:paraId="785AE1D2" w14:textId="77777777" w:rsidR="00B23093" w:rsidRDefault="00B23093" w:rsidP="00B23093">
      <w:pPr>
        <w:ind w:left="567" w:hanging="567"/>
        <w:rPr>
          <w:b/>
          <w:i/>
          <w:szCs w:val="22"/>
        </w:rPr>
      </w:pPr>
    </w:p>
    <w:p w14:paraId="51963797" w14:textId="77777777" w:rsidR="00B23093" w:rsidRPr="007F4BF3" w:rsidRDefault="00B23093" w:rsidP="00B23093">
      <w:pPr>
        <w:ind w:left="567" w:hanging="567"/>
        <w:rPr>
          <w:i/>
          <w:szCs w:val="22"/>
        </w:rPr>
      </w:pPr>
      <w:r w:rsidRPr="007F4BF3">
        <w:rPr>
          <w:i/>
          <w:szCs w:val="22"/>
        </w:rPr>
        <w:t>Section S29—</w:t>
      </w:r>
      <w:r>
        <w:rPr>
          <w:i/>
          <w:szCs w:val="22"/>
        </w:rPr>
        <w:t>17</w:t>
      </w:r>
      <w:r w:rsidRPr="007F4BF3">
        <w:rPr>
          <w:i/>
          <w:szCs w:val="22"/>
        </w:rPr>
        <w:t xml:space="preserve"> (</w:t>
      </w:r>
      <w:r>
        <w:rPr>
          <w:i/>
          <w:szCs w:val="22"/>
        </w:rPr>
        <w:t>Table heading</w:t>
      </w:r>
      <w:r w:rsidRPr="007F4BF3">
        <w:rPr>
          <w:i/>
          <w:szCs w:val="22"/>
        </w:rPr>
        <w:t>)</w:t>
      </w:r>
    </w:p>
    <w:p w14:paraId="0ADF70E7" w14:textId="77777777" w:rsidR="00B23093" w:rsidRDefault="00B23093" w:rsidP="00B23093">
      <w:pPr>
        <w:rPr>
          <w:szCs w:val="22"/>
        </w:rPr>
      </w:pPr>
    </w:p>
    <w:p w14:paraId="38FB079D" w14:textId="77777777" w:rsidR="00B23093" w:rsidRPr="00B93BBE" w:rsidRDefault="00B23093" w:rsidP="00B23093">
      <w:pPr>
        <w:rPr>
          <w:szCs w:val="22"/>
        </w:rPr>
      </w:pPr>
      <w:r w:rsidRPr="00DB02A6">
        <w:rPr>
          <w:szCs w:val="22"/>
        </w:rPr>
        <w:t>Item [</w:t>
      </w:r>
      <w:r>
        <w:rPr>
          <w:szCs w:val="22"/>
        </w:rPr>
        <w:t>24</w:t>
      </w:r>
      <w:r w:rsidRPr="00DB02A6">
        <w:rPr>
          <w:szCs w:val="22"/>
        </w:rPr>
        <w:t xml:space="preserve">] </w:t>
      </w:r>
      <w:r>
        <w:rPr>
          <w:szCs w:val="22"/>
        </w:rPr>
        <w:t xml:space="preserve">omits the words ‘and intake amounts’ from the heading to the table in section </w:t>
      </w:r>
      <w:r w:rsidRPr="009A79C6">
        <w:rPr>
          <w:szCs w:val="22"/>
        </w:rPr>
        <w:t>S29—</w:t>
      </w:r>
      <w:r>
        <w:rPr>
          <w:szCs w:val="22"/>
        </w:rPr>
        <w:t>17</w:t>
      </w:r>
      <w:r w:rsidRPr="009A79C6">
        <w:t xml:space="preserve">. </w:t>
      </w:r>
      <w:r>
        <w:t>No intake amounts are shown in the table.</w:t>
      </w:r>
    </w:p>
    <w:p w14:paraId="115FE6A2" w14:textId="77777777" w:rsidR="00B23093" w:rsidRDefault="00B23093" w:rsidP="00B23093">
      <w:pPr>
        <w:ind w:left="567" w:hanging="567"/>
        <w:rPr>
          <w:i/>
          <w:szCs w:val="22"/>
        </w:rPr>
      </w:pPr>
      <w:r w:rsidRPr="007F4BF3">
        <w:rPr>
          <w:i/>
          <w:szCs w:val="22"/>
        </w:rPr>
        <w:t xml:space="preserve"> </w:t>
      </w:r>
    </w:p>
    <w:p w14:paraId="271F8B1A" w14:textId="77777777" w:rsidR="00B23093" w:rsidRPr="007F4BF3" w:rsidRDefault="00B23093" w:rsidP="00B23093">
      <w:pPr>
        <w:ind w:left="567" w:hanging="567"/>
        <w:rPr>
          <w:i/>
          <w:szCs w:val="22"/>
        </w:rPr>
      </w:pPr>
      <w:r w:rsidRPr="007F4BF3">
        <w:rPr>
          <w:i/>
          <w:szCs w:val="22"/>
        </w:rPr>
        <w:t>Section S29—21 (Notes)</w:t>
      </w:r>
    </w:p>
    <w:p w14:paraId="00282B68" w14:textId="77777777" w:rsidR="00B23093" w:rsidRDefault="00B23093" w:rsidP="00B23093">
      <w:pPr>
        <w:ind w:left="567" w:hanging="567"/>
        <w:rPr>
          <w:b/>
          <w:i/>
          <w:szCs w:val="22"/>
        </w:rPr>
      </w:pPr>
    </w:p>
    <w:p w14:paraId="2015E8C9" w14:textId="77777777" w:rsidR="00B23093" w:rsidRPr="00B93BBE" w:rsidRDefault="00B23093" w:rsidP="00B23093">
      <w:pPr>
        <w:rPr>
          <w:szCs w:val="22"/>
        </w:rPr>
      </w:pPr>
      <w:r w:rsidRPr="00DB02A6">
        <w:rPr>
          <w:szCs w:val="22"/>
        </w:rPr>
        <w:t>Item [</w:t>
      </w:r>
      <w:r>
        <w:rPr>
          <w:szCs w:val="22"/>
        </w:rPr>
        <w:t>24A</w:t>
      </w:r>
      <w:r w:rsidRPr="00DB02A6">
        <w:rPr>
          <w:szCs w:val="22"/>
        </w:rPr>
        <w:t xml:space="preserve">] </w:t>
      </w:r>
      <w:r>
        <w:rPr>
          <w:szCs w:val="22"/>
        </w:rPr>
        <w:t>replaces the Notes</w:t>
      </w:r>
      <w:r w:rsidRPr="00685681">
        <w:rPr>
          <w:szCs w:val="22"/>
        </w:rPr>
        <w:t xml:space="preserve"> </w:t>
      </w:r>
      <w:r>
        <w:t xml:space="preserve">with new Notes to correct </w:t>
      </w:r>
      <w:r w:rsidRPr="00685681">
        <w:t>typographical error</w:t>
      </w:r>
      <w:r>
        <w:t>s. That is, by inserting a full stop at the end of Note 1;</w:t>
      </w:r>
      <w:r w:rsidRPr="00DB02A6">
        <w:rPr>
          <w:szCs w:val="22"/>
        </w:rPr>
        <w:t xml:space="preserve"> </w:t>
      </w:r>
      <w:r>
        <w:rPr>
          <w:szCs w:val="22"/>
        </w:rPr>
        <w:t>replacing ‘</w:t>
      </w:r>
      <w:r w:rsidRPr="00DC3FAF">
        <w:rPr>
          <w:szCs w:val="22"/>
        </w:rPr>
        <w:t>1.1.2—14(3</w:t>
      </w:r>
      <w:proofErr w:type="gramStart"/>
      <w:r w:rsidRPr="00DC3FAF">
        <w:rPr>
          <w:szCs w:val="22"/>
        </w:rPr>
        <w:t>)(</w:t>
      </w:r>
      <w:proofErr w:type="gramEnd"/>
      <w:r w:rsidRPr="00DC3FAF">
        <w:rPr>
          <w:szCs w:val="22"/>
        </w:rPr>
        <w:t>d)</w:t>
      </w:r>
      <w:r>
        <w:rPr>
          <w:szCs w:val="22"/>
        </w:rPr>
        <w:t>’ with ‘1.1.2—14(3)(c</w:t>
      </w:r>
      <w:r w:rsidRPr="00DC3FAF">
        <w:rPr>
          <w:szCs w:val="22"/>
        </w:rPr>
        <w:t>)</w:t>
      </w:r>
      <w:r>
        <w:rPr>
          <w:szCs w:val="22"/>
        </w:rPr>
        <w:t>’ in Note 3</w:t>
      </w:r>
      <w:r>
        <w:t>; and inserting a full stop at the end of Note 3</w:t>
      </w:r>
      <w:r w:rsidRPr="00243C38">
        <w:t>.</w:t>
      </w:r>
    </w:p>
    <w:p w14:paraId="03901CC0" w14:textId="77777777" w:rsidR="00B23093" w:rsidRDefault="00B23093" w:rsidP="00B23093">
      <w:pPr>
        <w:ind w:left="567" w:hanging="567"/>
        <w:rPr>
          <w:b/>
          <w:i/>
          <w:szCs w:val="22"/>
        </w:rPr>
      </w:pPr>
    </w:p>
    <w:p w14:paraId="4AAB9651" w14:textId="77777777" w:rsidR="00D5526B" w:rsidRPr="00184403" w:rsidRDefault="00D5526B" w:rsidP="00793DE6"/>
    <w:sectPr w:rsidR="00D5526B" w:rsidRPr="00184403" w:rsidSect="008E2339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88151" w14:textId="77777777" w:rsidR="00B23093" w:rsidRDefault="00B23093" w:rsidP="00B23093">
      <w:r>
        <w:separator/>
      </w:r>
    </w:p>
  </w:endnote>
  <w:endnote w:type="continuationSeparator" w:id="0">
    <w:p w14:paraId="7FD23576" w14:textId="77777777" w:rsidR="00B23093" w:rsidRDefault="00B23093" w:rsidP="00B2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86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A7F64" w14:textId="77777777" w:rsidR="00B23093" w:rsidRDefault="00B23093" w:rsidP="00B23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26D7B" w14:textId="77777777" w:rsidR="00B23093" w:rsidRDefault="00B23093" w:rsidP="00B23093">
      <w:r>
        <w:separator/>
      </w:r>
    </w:p>
  </w:footnote>
  <w:footnote w:type="continuationSeparator" w:id="0">
    <w:p w14:paraId="3B186D62" w14:textId="77777777" w:rsidR="00B23093" w:rsidRDefault="00B23093" w:rsidP="00B23093">
      <w:r>
        <w:continuationSeparator/>
      </w:r>
    </w:p>
  </w:footnote>
  <w:footnote w:id="1">
    <w:p w14:paraId="1DBFFDCE" w14:textId="77777777" w:rsidR="00B23093" w:rsidRPr="0010778D" w:rsidRDefault="00B23093" w:rsidP="00B23093">
      <w:pPr>
        <w:pStyle w:val="FootnoteText"/>
        <w:rPr>
          <w:szCs w:val="18"/>
          <w:lang w:val="en-AU"/>
        </w:rPr>
      </w:pPr>
      <w:r w:rsidRPr="0010778D">
        <w:rPr>
          <w:rStyle w:val="FootnoteReference"/>
          <w:szCs w:val="18"/>
        </w:rPr>
        <w:footnoteRef/>
      </w:r>
      <w:r w:rsidRPr="0010778D">
        <w:rPr>
          <w:szCs w:val="18"/>
        </w:rPr>
        <w:t xml:space="preserve"> </w:t>
      </w:r>
      <w:r>
        <w:rPr>
          <w:szCs w:val="18"/>
          <w:lang w:val="en-AU"/>
        </w:rPr>
        <w:t>convening</w:t>
      </w:r>
      <w:r w:rsidRPr="0010778D">
        <w:rPr>
          <w:szCs w:val="18"/>
          <w:lang w:val="en-AU"/>
        </w:rPr>
        <w:t xml:space="preserve">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93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23093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2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23093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,FS Heading 2"/>
    <w:basedOn w:val="Normal"/>
    <w:next w:val="Normal"/>
    <w:link w:val="Heading2Char"/>
    <w:autoRedefine/>
    <w:uiPriority w:val="99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,FS Heading 2 Char"/>
    <w:basedOn w:val="DefaultParagraphFont"/>
    <w:link w:val="Heading2"/>
    <w:uiPriority w:val="99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character" w:styleId="FootnoteReference">
    <w:name w:val="footnote reference"/>
    <w:basedOn w:val="DefaultParagraphFont"/>
    <w:rsid w:val="00B23093"/>
    <w:rPr>
      <w:vertAlign w:val="superscript"/>
    </w:rPr>
  </w:style>
  <w:style w:type="paragraph" w:customStyle="1" w:styleId="FSCh5SchItem">
    <w:name w:val="FSC_h5_Sch_Item"/>
    <w:basedOn w:val="Normal"/>
    <w:next w:val="Normal"/>
    <w:qFormat/>
    <w:rsid w:val="00B23093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tAmendingwords">
    <w:name w:val="FSC_t_Amending_words"/>
    <w:basedOn w:val="Normal"/>
    <w:qFormat/>
    <w:rsid w:val="00B23093"/>
    <w:pPr>
      <w:keepLines/>
      <w:widowControl/>
      <w:spacing w:before="120"/>
      <w:ind w:left="1134"/>
    </w:pPr>
    <w:rPr>
      <w:rFonts w:cs="Arial"/>
      <w:iCs/>
      <w:sz w:val="24"/>
      <w:szCs w:val="22"/>
      <w:lang w:val="en-AU" w:eastAsia="en-AU" w:bidi="ar-SA"/>
    </w:rPr>
  </w:style>
  <w:style w:type="table" w:customStyle="1" w:styleId="TableGrid1">
    <w:name w:val="Table Grid1"/>
    <w:basedOn w:val="TableNormal"/>
    <w:next w:val="TableGrid"/>
    <w:uiPriority w:val="59"/>
    <w:rsid w:val="00B2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Additivestext1">
    <w:name w:val="FSC_Additives_text 1"/>
    <w:basedOn w:val="Normal"/>
    <w:qFormat/>
    <w:rsid w:val="00B23093"/>
    <w:pPr>
      <w:keepLines/>
      <w:widowControl/>
      <w:spacing w:before="20" w:after="20"/>
    </w:pPr>
    <w:rPr>
      <w:rFonts w:eastAsiaTheme="minorHAnsi" w:cs="Arial"/>
      <w:sz w:val="18"/>
      <w:szCs w:val="22"/>
      <w:lang w:val="en-AU" w:bidi="ar-SA"/>
    </w:rPr>
  </w:style>
  <w:style w:type="paragraph" w:customStyle="1" w:styleId="FSCAdditivestext2">
    <w:name w:val="FSC_Additives_text2"/>
    <w:basedOn w:val="Normal"/>
    <w:qFormat/>
    <w:rsid w:val="00B23093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val="en-AU" w:bidi="ar-SA"/>
    </w:rPr>
  </w:style>
  <w:style w:type="table" w:styleId="TableGrid">
    <w:name w:val="Table Grid"/>
    <w:basedOn w:val="TableNormal"/>
    <w:uiPriority w:val="59"/>
    <w:rsid w:val="00B2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23093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,FS Heading 2"/>
    <w:basedOn w:val="Normal"/>
    <w:next w:val="Normal"/>
    <w:link w:val="Heading2Char"/>
    <w:autoRedefine/>
    <w:uiPriority w:val="99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,FS Heading 2 Char"/>
    <w:basedOn w:val="DefaultParagraphFont"/>
    <w:link w:val="Heading2"/>
    <w:uiPriority w:val="99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character" w:styleId="FootnoteReference">
    <w:name w:val="footnote reference"/>
    <w:basedOn w:val="DefaultParagraphFont"/>
    <w:rsid w:val="00B23093"/>
    <w:rPr>
      <w:vertAlign w:val="superscript"/>
    </w:rPr>
  </w:style>
  <w:style w:type="paragraph" w:customStyle="1" w:styleId="FSCh5SchItem">
    <w:name w:val="FSC_h5_Sch_Item"/>
    <w:basedOn w:val="Normal"/>
    <w:next w:val="Normal"/>
    <w:qFormat/>
    <w:rsid w:val="00B23093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tAmendingwords">
    <w:name w:val="FSC_t_Amending_words"/>
    <w:basedOn w:val="Normal"/>
    <w:qFormat/>
    <w:rsid w:val="00B23093"/>
    <w:pPr>
      <w:keepLines/>
      <w:widowControl/>
      <w:spacing w:before="120"/>
      <w:ind w:left="1134"/>
    </w:pPr>
    <w:rPr>
      <w:rFonts w:cs="Arial"/>
      <w:iCs/>
      <w:sz w:val="24"/>
      <w:szCs w:val="22"/>
      <w:lang w:val="en-AU" w:eastAsia="en-AU" w:bidi="ar-SA"/>
    </w:rPr>
  </w:style>
  <w:style w:type="table" w:customStyle="1" w:styleId="TableGrid1">
    <w:name w:val="Table Grid1"/>
    <w:basedOn w:val="TableNormal"/>
    <w:next w:val="TableGrid"/>
    <w:uiPriority w:val="59"/>
    <w:rsid w:val="00B2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Additivestext1">
    <w:name w:val="FSC_Additives_text 1"/>
    <w:basedOn w:val="Normal"/>
    <w:qFormat/>
    <w:rsid w:val="00B23093"/>
    <w:pPr>
      <w:keepLines/>
      <w:widowControl/>
      <w:spacing w:before="20" w:after="20"/>
    </w:pPr>
    <w:rPr>
      <w:rFonts w:eastAsiaTheme="minorHAnsi" w:cs="Arial"/>
      <w:sz w:val="18"/>
      <w:szCs w:val="22"/>
      <w:lang w:val="en-AU" w:bidi="ar-SA"/>
    </w:rPr>
  </w:style>
  <w:style w:type="paragraph" w:customStyle="1" w:styleId="FSCAdditivestext2">
    <w:name w:val="FSC_Additives_text2"/>
    <w:basedOn w:val="Normal"/>
    <w:qFormat/>
    <w:rsid w:val="00B23093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val="en-AU" w:bidi="ar-SA"/>
    </w:rPr>
  </w:style>
  <w:style w:type="table" w:styleId="TableGrid">
    <w:name w:val="Table Grid"/>
    <w:basedOn w:val="TableNormal"/>
    <w:uiPriority w:val="59"/>
    <w:rsid w:val="00B2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258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STANDARDS:Gazettal</TermName>
          <TermId xmlns="http://schemas.microsoft.com/office/infopath/2007/PartnerControls">f1db245e-f8a7-4134-8fa5-54a0210eb1b1</TermId>
        </TermInfo>
      </Terms>
    </bd06d2da0152468b9236b575a71e0e7c>
    <_dlc_DocId xmlns="5759555f-5bed-45a4-a4c2-4e28e2623455">MMF7YEMDTSDN-102-30260</_dlc_DocId>
    <_dlc_DocIdUrl xmlns="5759555f-5bed-45a4-a4c2-4e28e2623455">
      <Url>http://fsintranet/Sections/OLC/_layouts/15/DocIdRedir.aspx?ID=MMF7YEMDTSDN-102-30260</Url>
      <Description>MMF7YEMDTSDN-102-30260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016F-2CDA-46D9-A164-0A4CEA0FFC87}"/>
</file>

<file path=customXml/itemProps2.xml><?xml version="1.0" encoding="utf-8"?>
<ds:datastoreItem xmlns:ds="http://schemas.openxmlformats.org/officeDocument/2006/customXml" ds:itemID="{88BD26AB-320E-40BE-A224-9F3B44475B0B}"/>
</file>

<file path=customXml/itemProps3.xml><?xml version="1.0" encoding="utf-8"?>
<ds:datastoreItem xmlns:ds="http://schemas.openxmlformats.org/officeDocument/2006/customXml" ds:itemID="{4E530E01-3423-44B9-A004-DD6DAE714739}"/>
</file>

<file path=customXml/itemProps4.xml><?xml version="1.0" encoding="utf-8"?>
<ds:datastoreItem xmlns:ds="http://schemas.openxmlformats.org/officeDocument/2006/customXml" ds:itemID="{CB213A1C-BF67-4895-A991-E5269B4C25C9}"/>
</file>

<file path=customXml/itemProps5.xml><?xml version="1.0" encoding="utf-8"?>
<ds:datastoreItem xmlns:ds="http://schemas.openxmlformats.org/officeDocument/2006/customXml" ds:itemID="{DA958222-5533-4EA3-8FBF-EB536FC1BA65}"/>
</file>

<file path=customXml/itemProps6.xml><?xml version="1.0" encoding="utf-8"?>
<ds:datastoreItem xmlns:ds="http://schemas.openxmlformats.org/officeDocument/2006/customXml" ds:itemID="{6C12F3E0-71F5-48FB-A38E-89F031B227C0}"/>
</file>

<file path=customXml/itemProps7.xml><?xml version="1.0" encoding="utf-8"?>
<ds:datastoreItem xmlns:ds="http://schemas.openxmlformats.org/officeDocument/2006/customXml" ds:itemID="{43DA0158-736A-4006-9068-4881C2B53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6883</Characters>
  <Application>Microsoft Office Word</Application>
  <DocSecurity>0</DocSecurity>
  <Lines>57</Lines>
  <Paragraphs>16</Paragraphs>
  <ScaleCrop>false</ScaleCrop>
  <Company>Foodstandards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</cp:revision>
  <dcterms:created xsi:type="dcterms:W3CDTF">2015-12-10T00:15:00Z</dcterms:created>
  <dcterms:modified xsi:type="dcterms:W3CDTF">2015-12-10T00:15:00Z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258;#FOOD STANDARDS:Gazettal|f1db245e-f8a7-4134-8fa5-54a0210eb1b1</vt:lpwstr>
  </property>
  <property fmtid="{D5CDD505-2E9C-101B-9397-08002B2CF9AE}" pid="5" name="_dlc_DocIdItemGuid">
    <vt:lpwstr>e6cd7b45-7f3a-4356-82ed-1be346df8c51</vt:lpwstr>
  </property>
</Properties>
</file>