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B9" w:rsidRPr="00915E20" w:rsidRDefault="004F7AB9" w:rsidP="00FA277E">
      <w:pPr>
        <w:jc w:val="center"/>
        <w:rPr>
          <w:rFonts w:ascii="Times New Roman" w:hAnsi="Times New Roman" w:cs="Times New Roman"/>
          <w:b/>
          <w:bCs/>
          <w:sz w:val="28"/>
          <w:szCs w:val="28"/>
        </w:rPr>
      </w:pPr>
      <w:bookmarkStart w:id="0" w:name="_GoBack"/>
      <w:bookmarkEnd w:id="0"/>
      <w:r w:rsidRPr="00277675">
        <w:rPr>
          <w:rFonts w:ascii="Times New Roman" w:hAnsi="Times New Roman" w:cs="Times New Roman"/>
          <w:b/>
          <w:bCs/>
          <w:sz w:val="28"/>
          <w:szCs w:val="28"/>
        </w:rPr>
        <w:t xml:space="preserve">ASIC </w:t>
      </w:r>
      <w:r w:rsidR="00D176C2" w:rsidRPr="00277675">
        <w:rPr>
          <w:rFonts w:ascii="Times New Roman" w:hAnsi="Times New Roman" w:cs="Times New Roman"/>
          <w:b/>
          <w:bCs/>
          <w:sz w:val="28"/>
          <w:szCs w:val="28"/>
        </w:rPr>
        <w:t>C</w:t>
      </w:r>
      <w:r w:rsidR="00BA64B9">
        <w:rPr>
          <w:rFonts w:ascii="Times New Roman" w:hAnsi="Times New Roman" w:cs="Times New Roman"/>
          <w:b/>
          <w:bCs/>
          <w:sz w:val="28"/>
          <w:szCs w:val="28"/>
        </w:rPr>
        <w:t xml:space="preserve">orporations </w:t>
      </w:r>
      <w:r w:rsidR="00D176C2" w:rsidRPr="00277675">
        <w:rPr>
          <w:rFonts w:ascii="Times New Roman" w:hAnsi="Times New Roman" w:cs="Times New Roman"/>
          <w:b/>
          <w:bCs/>
          <w:sz w:val="28"/>
          <w:szCs w:val="28"/>
        </w:rPr>
        <w:t>(</w:t>
      </w:r>
      <w:r w:rsidR="00C548FA">
        <w:rPr>
          <w:rFonts w:ascii="Times New Roman" w:hAnsi="Times New Roman" w:cs="Times New Roman"/>
          <w:b/>
          <w:bCs/>
          <w:sz w:val="28"/>
          <w:szCs w:val="28"/>
        </w:rPr>
        <w:t>Amendment)</w:t>
      </w:r>
      <w:r w:rsidR="00BA64B9">
        <w:rPr>
          <w:rFonts w:ascii="Times New Roman" w:hAnsi="Times New Roman" w:cs="Times New Roman"/>
          <w:b/>
          <w:bCs/>
          <w:sz w:val="28"/>
          <w:szCs w:val="28"/>
        </w:rPr>
        <w:t xml:space="preserve"> </w:t>
      </w:r>
      <w:r w:rsidR="00D176C2" w:rsidRPr="00915E20">
        <w:rPr>
          <w:rFonts w:ascii="Times New Roman" w:hAnsi="Times New Roman" w:cs="Times New Roman"/>
          <w:b/>
          <w:bCs/>
          <w:sz w:val="28"/>
          <w:szCs w:val="28"/>
        </w:rPr>
        <w:t>I</w:t>
      </w:r>
      <w:r w:rsidR="00BA64B9" w:rsidRPr="00915E20">
        <w:rPr>
          <w:rFonts w:ascii="Times New Roman" w:hAnsi="Times New Roman" w:cs="Times New Roman"/>
          <w:b/>
          <w:bCs/>
          <w:sz w:val="28"/>
          <w:szCs w:val="28"/>
        </w:rPr>
        <w:t>nstrument 201</w:t>
      </w:r>
      <w:r w:rsidR="006923F8" w:rsidRPr="00915E20">
        <w:rPr>
          <w:rFonts w:ascii="Times New Roman" w:hAnsi="Times New Roman" w:cs="Times New Roman"/>
          <w:b/>
          <w:bCs/>
          <w:sz w:val="28"/>
          <w:szCs w:val="28"/>
        </w:rPr>
        <w:t>6</w:t>
      </w:r>
      <w:r w:rsidR="00915E20" w:rsidRPr="00915E20">
        <w:rPr>
          <w:rFonts w:ascii="Times New Roman" w:hAnsi="Times New Roman" w:cs="Times New Roman"/>
          <w:b/>
          <w:bCs/>
          <w:sz w:val="28"/>
          <w:szCs w:val="28"/>
        </w:rPr>
        <w:t>/103</w:t>
      </w:r>
    </w:p>
    <w:p w:rsidR="00FA277E" w:rsidRPr="00915E20" w:rsidRDefault="00FA277E" w:rsidP="00FA277E">
      <w:pPr>
        <w:jc w:val="center"/>
        <w:rPr>
          <w:rFonts w:ascii="Times New Roman" w:hAnsi="Times New Roman" w:cs="Times New Roman"/>
          <w:sz w:val="28"/>
          <w:szCs w:val="28"/>
        </w:rPr>
      </w:pPr>
      <w:r w:rsidRPr="00915E20">
        <w:rPr>
          <w:rFonts w:ascii="Times New Roman" w:hAnsi="Times New Roman" w:cs="Times New Roman"/>
          <w:b/>
          <w:bCs/>
          <w:sz w:val="28"/>
          <w:szCs w:val="28"/>
        </w:rPr>
        <w:t>EXPLANATORY STATEMENT</w:t>
      </w:r>
    </w:p>
    <w:p w:rsidR="00FA277E" w:rsidRPr="00915E20" w:rsidRDefault="00FA277E" w:rsidP="00FA277E">
      <w:pPr>
        <w:jc w:val="center"/>
        <w:rPr>
          <w:rFonts w:ascii="Times New Roman" w:hAnsi="Times New Roman" w:cs="Times New Roman"/>
          <w:sz w:val="24"/>
          <w:szCs w:val="24"/>
        </w:rPr>
      </w:pPr>
      <w:r w:rsidRPr="00915E20">
        <w:rPr>
          <w:rFonts w:ascii="Times New Roman" w:hAnsi="Times New Roman" w:cs="Times New Roman"/>
          <w:sz w:val="24"/>
          <w:szCs w:val="24"/>
        </w:rPr>
        <w:t>Prepared by the Australian Securi</w:t>
      </w:r>
      <w:r w:rsidR="00741143" w:rsidRPr="00915E20">
        <w:rPr>
          <w:rFonts w:ascii="Times New Roman" w:hAnsi="Times New Roman" w:cs="Times New Roman"/>
          <w:sz w:val="24"/>
          <w:szCs w:val="24"/>
        </w:rPr>
        <w:t>ties and Investments Commission</w:t>
      </w:r>
    </w:p>
    <w:p w:rsidR="00FA277E" w:rsidRPr="00915E20" w:rsidRDefault="00FA277E" w:rsidP="00FA277E">
      <w:pPr>
        <w:jc w:val="center"/>
        <w:rPr>
          <w:rFonts w:ascii="Times New Roman" w:hAnsi="Times New Roman" w:cs="Times New Roman"/>
          <w:sz w:val="24"/>
          <w:szCs w:val="24"/>
        </w:rPr>
      </w:pPr>
      <w:r w:rsidRPr="00915E20">
        <w:rPr>
          <w:rFonts w:ascii="Times New Roman" w:hAnsi="Times New Roman" w:cs="Times New Roman"/>
          <w:i/>
          <w:iCs/>
          <w:sz w:val="24"/>
          <w:szCs w:val="24"/>
        </w:rPr>
        <w:t>Corporations Act 2001</w:t>
      </w:r>
    </w:p>
    <w:p w:rsidR="00BA64B9" w:rsidRPr="00915E20" w:rsidRDefault="00C71094" w:rsidP="00BA64B9">
      <w:pPr>
        <w:rPr>
          <w:rFonts w:ascii="Times New Roman" w:hAnsi="Times New Roman" w:cs="Times New Roman"/>
          <w:sz w:val="24"/>
          <w:szCs w:val="24"/>
        </w:rPr>
      </w:pPr>
      <w:r w:rsidRPr="00915E20">
        <w:rPr>
          <w:rFonts w:ascii="Times New Roman" w:hAnsi="Times New Roman" w:cs="Times New Roman"/>
          <w:sz w:val="24"/>
          <w:szCs w:val="24"/>
        </w:rPr>
        <w:t>The Australian Securities and Investments Commission (</w:t>
      </w:r>
      <w:r w:rsidRPr="00915E20">
        <w:rPr>
          <w:rFonts w:ascii="Times New Roman" w:hAnsi="Times New Roman" w:cs="Times New Roman"/>
          <w:b/>
          <w:bCs/>
          <w:i/>
          <w:iCs/>
          <w:sz w:val="24"/>
          <w:szCs w:val="24"/>
        </w:rPr>
        <w:t>ASIC</w:t>
      </w:r>
      <w:r w:rsidRPr="00915E20">
        <w:rPr>
          <w:rFonts w:ascii="Times New Roman" w:hAnsi="Times New Roman" w:cs="Times New Roman"/>
          <w:sz w:val="24"/>
          <w:szCs w:val="24"/>
        </w:rPr>
        <w:t>) makes</w:t>
      </w:r>
      <w:r w:rsidR="004F7AB9" w:rsidRPr="00915E20">
        <w:rPr>
          <w:rFonts w:ascii="Times New Roman" w:hAnsi="Times New Roman" w:cs="Times New Roman"/>
          <w:sz w:val="24"/>
          <w:szCs w:val="24"/>
        </w:rPr>
        <w:t xml:space="preserve"> </w:t>
      </w:r>
      <w:r w:rsidR="004F7AB9" w:rsidRPr="00915E20">
        <w:rPr>
          <w:rFonts w:ascii="Times New Roman" w:hAnsi="Times New Roman" w:cs="Times New Roman"/>
          <w:i/>
          <w:sz w:val="24"/>
          <w:szCs w:val="24"/>
        </w:rPr>
        <w:t>A</w:t>
      </w:r>
      <w:r w:rsidR="008E18F2" w:rsidRPr="00915E20">
        <w:rPr>
          <w:rFonts w:ascii="Times New Roman" w:hAnsi="Times New Roman" w:cs="Times New Roman"/>
          <w:i/>
          <w:sz w:val="24"/>
          <w:szCs w:val="24"/>
        </w:rPr>
        <w:t>SIC</w:t>
      </w:r>
      <w:r w:rsidR="004F7AB9" w:rsidRPr="00915E20">
        <w:rPr>
          <w:rFonts w:ascii="Times New Roman" w:hAnsi="Times New Roman" w:cs="Times New Roman"/>
          <w:i/>
          <w:sz w:val="24"/>
          <w:szCs w:val="24"/>
        </w:rPr>
        <w:t xml:space="preserve"> </w:t>
      </w:r>
      <w:r w:rsidR="00D176C2" w:rsidRPr="00915E20">
        <w:rPr>
          <w:rFonts w:ascii="Times New Roman" w:hAnsi="Times New Roman" w:cs="Times New Roman"/>
          <w:i/>
          <w:sz w:val="24"/>
          <w:szCs w:val="24"/>
        </w:rPr>
        <w:t>Corporations (</w:t>
      </w:r>
      <w:r w:rsidR="00C548FA" w:rsidRPr="00915E20">
        <w:rPr>
          <w:rFonts w:ascii="Times New Roman" w:hAnsi="Times New Roman" w:cs="Times New Roman"/>
          <w:i/>
          <w:sz w:val="24"/>
          <w:szCs w:val="24"/>
        </w:rPr>
        <w:t>Amendment</w:t>
      </w:r>
      <w:r w:rsidR="00D176C2" w:rsidRPr="00915E20">
        <w:rPr>
          <w:rFonts w:ascii="Times New Roman" w:hAnsi="Times New Roman" w:cs="Times New Roman"/>
          <w:i/>
          <w:sz w:val="24"/>
          <w:szCs w:val="24"/>
        </w:rPr>
        <w:t xml:space="preserve">) </w:t>
      </w:r>
      <w:r w:rsidR="006923F8" w:rsidRPr="00915E20">
        <w:rPr>
          <w:rFonts w:ascii="Times New Roman" w:hAnsi="Times New Roman" w:cs="Times New Roman"/>
          <w:i/>
          <w:sz w:val="24"/>
          <w:szCs w:val="24"/>
        </w:rPr>
        <w:t>Instrument 2016</w:t>
      </w:r>
      <w:r w:rsidR="0088604D" w:rsidRPr="00915E20">
        <w:rPr>
          <w:rFonts w:ascii="Times New Roman" w:hAnsi="Times New Roman" w:cs="Times New Roman"/>
          <w:i/>
          <w:sz w:val="24"/>
          <w:szCs w:val="24"/>
        </w:rPr>
        <w:t>/</w:t>
      </w:r>
      <w:r w:rsidR="0089346D">
        <w:rPr>
          <w:rFonts w:ascii="Times New Roman" w:hAnsi="Times New Roman" w:cs="Times New Roman"/>
          <w:i/>
          <w:sz w:val="24"/>
          <w:szCs w:val="24"/>
        </w:rPr>
        <w:t>103</w:t>
      </w:r>
      <w:r w:rsidR="0089346D" w:rsidRPr="00915E20">
        <w:rPr>
          <w:rFonts w:ascii="Times New Roman" w:hAnsi="Times New Roman" w:cs="Times New Roman"/>
          <w:sz w:val="24"/>
          <w:szCs w:val="24"/>
        </w:rPr>
        <w:t xml:space="preserve"> </w:t>
      </w:r>
      <w:r w:rsidR="00DE32D6" w:rsidRPr="00915E20">
        <w:rPr>
          <w:rFonts w:ascii="Times New Roman" w:hAnsi="Times New Roman" w:cs="Times New Roman"/>
          <w:sz w:val="24"/>
          <w:szCs w:val="24"/>
        </w:rPr>
        <w:t xml:space="preserve">(the </w:t>
      </w:r>
      <w:r w:rsidR="00C548FA" w:rsidRPr="00915E20">
        <w:rPr>
          <w:rFonts w:ascii="Times New Roman" w:hAnsi="Times New Roman" w:cs="Times New Roman"/>
          <w:b/>
          <w:i/>
          <w:sz w:val="24"/>
          <w:szCs w:val="24"/>
        </w:rPr>
        <w:t>amending</w:t>
      </w:r>
      <w:r w:rsidR="00C548FA" w:rsidRPr="00915E20">
        <w:rPr>
          <w:rFonts w:ascii="Times New Roman" w:hAnsi="Times New Roman" w:cs="Times New Roman"/>
          <w:sz w:val="24"/>
          <w:szCs w:val="24"/>
        </w:rPr>
        <w:t xml:space="preserve"> </w:t>
      </w:r>
      <w:r w:rsidR="00DE32D6" w:rsidRPr="00915E20">
        <w:rPr>
          <w:rFonts w:ascii="Times New Roman" w:hAnsi="Times New Roman" w:cs="Times New Roman"/>
          <w:b/>
          <w:i/>
          <w:sz w:val="24"/>
          <w:szCs w:val="24"/>
        </w:rPr>
        <w:t>instrument</w:t>
      </w:r>
      <w:r w:rsidR="00DE32D6" w:rsidRPr="00915E20">
        <w:rPr>
          <w:rFonts w:ascii="Times New Roman" w:hAnsi="Times New Roman" w:cs="Times New Roman"/>
          <w:sz w:val="24"/>
          <w:szCs w:val="24"/>
        </w:rPr>
        <w:t xml:space="preserve">) </w:t>
      </w:r>
      <w:r w:rsidRPr="00915E20">
        <w:rPr>
          <w:rFonts w:ascii="Times New Roman" w:hAnsi="Times New Roman" w:cs="Times New Roman"/>
          <w:sz w:val="24"/>
          <w:szCs w:val="24"/>
        </w:rPr>
        <w:t xml:space="preserve">under </w:t>
      </w:r>
      <w:r w:rsidR="006923F8" w:rsidRPr="00915E20">
        <w:rPr>
          <w:rFonts w:ascii="Times New Roman" w:hAnsi="Times New Roman" w:cs="Times New Roman"/>
          <w:sz w:val="24"/>
          <w:szCs w:val="24"/>
        </w:rPr>
        <w:t>paragraphs</w:t>
      </w:r>
      <w:r w:rsidR="00C548FA" w:rsidRPr="00915E20">
        <w:rPr>
          <w:rFonts w:ascii="Times New Roman" w:hAnsi="Times New Roman" w:cs="Times New Roman"/>
          <w:sz w:val="24"/>
          <w:szCs w:val="24"/>
        </w:rPr>
        <w:t xml:space="preserve"> </w:t>
      </w:r>
      <w:r w:rsidR="006923F8" w:rsidRPr="00915E20">
        <w:rPr>
          <w:rFonts w:ascii="Times New Roman" w:hAnsi="Times New Roman" w:cs="Times New Roman"/>
          <w:sz w:val="24"/>
          <w:szCs w:val="24"/>
        </w:rPr>
        <w:t>951B(1)(c)</w:t>
      </w:r>
      <w:r w:rsidR="003556E0" w:rsidRPr="00915E20">
        <w:rPr>
          <w:rFonts w:ascii="Times New Roman" w:hAnsi="Times New Roman" w:cs="Times New Roman"/>
          <w:sz w:val="24"/>
          <w:szCs w:val="24"/>
        </w:rPr>
        <w:t xml:space="preserve"> and </w:t>
      </w:r>
      <w:r w:rsidR="006923F8" w:rsidRPr="00915E20">
        <w:rPr>
          <w:rFonts w:ascii="Times New Roman" w:hAnsi="Times New Roman" w:cs="Times New Roman"/>
          <w:sz w:val="24"/>
          <w:szCs w:val="24"/>
        </w:rPr>
        <w:t>1020F(1)(c)</w:t>
      </w:r>
      <w:r w:rsidR="00645597" w:rsidRPr="00915E20">
        <w:rPr>
          <w:rFonts w:ascii="Times New Roman" w:hAnsi="Times New Roman" w:cs="Times New Roman"/>
          <w:sz w:val="24"/>
          <w:szCs w:val="24"/>
        </w:rPr>
        <w:t xml:space="preserve"> </w:t>
      </w:r>
      <w:r w:rsidRPr="00915E20">
        <w:rPr>
          <w:rFonts w:ascii="Times New Roman" w:hAnsi="Times New Roman" w:cs="Times New Roman"/>
          <w:sz w:val="24"/>
          <w:szCs w:val="24"/>
        </w:rPr>
        <w:t xml:space="preserve">of the </w:t>
      </w:r>
      <w:r w:rsidRPr="00915E20">
        <w:rPr>
          <w:rFonts w:ascii="Times New Roman" w:hAnsi="Times New Roman" w:cs="Times New Roman"/>
          <w:i/>
          <w:iCs/>
          <w:sz w:val="24"/>
          <w:szCs w:val="24"/>
        </w:rPr>
        <w:t xml:space="preserve">Corporations Act 2001 </w:t>
      </w:r>
      <w:r w:rsidRPr="00915E20">
        <w:rPr>
          <w:rFonts w:ascii="Times New Roman" w:hAnsi="Times New Roman" w:cs="Times New Roman"/>
          <w:sz w:val="24"/>
          <w:szCs w:val="24"/>
        </w:rPr>
        <w:t xml:space="preserve">(the </w:t>
      </w:r>
      <w:r w:rsidRPr="00915E20">
        <w:rPr>
          <w:rFonts w:ascii="Times New Roman" w:hAnsi="Times New Roman" w:cs="Times New Roman"/>
          <w:b/>
          <w:bCs/>
          <w:i/>
          <w:iCs/>
          <w:sz w:val="24"/>
          <w:szCs w:val="24"/>
        </w:rPr>
        <w:t>Act</w:t>
      </w:r>
      <w:r w:rsidRPr="00915E20">
        <w:rPr>
          <w:rFonts w:ascii="Times New Roman" w:hAnsi="Times New Roman" w:cs="Times New Roman"/>
          <w:sz w:val="24"/>
          <w:szCs w:val="24"/>
        </w:rPr>
        <w:t xml:space="preserve">). </w:t>
      </w:r>
      <w:r w:rsidR="005A0102" w:rsidRPr="00915E20">
        <w:rPr>
          <w:rFonts w:ascii="Times New Roman" w:hAnsi="Times New Roman" w:cs="Times New Roman"/>
          <w:sz w:val="24"/>
          <w:szCs w:val="24"/>
        </w:rPr>
        <w:t xml:space="preserve"> </w:t>
      </w:r>
    </w:p>
    <w:p w:rsidR="006923F8" w:rsidRPr="00445821" w:rsidRDefault="006923F8" w:rsidP="006923F8">
      <w:pPr>
        <w:spacing w:before="100" w:beforeAutospacing="1" w:after="100" w:afterAutospacing="1" w:line="240" w:lineRule="auto"/>
        <w:rPr>
          <w:rFonts w:ascii="Times New Roman" w:eastAsia="Times New Roman" w:hAnsi="Times New Roman" w:cs="Times New Roman"/>
          <w:sz w:val="24"/>
          <w:szCs w:val="24"/>
        </w:rPr>
      </w:pPr>
      <w:r w:rsidRPr="00915E20">
        <w:rPr>
          <w:rFonts w:ascii="Times New Roman" w:eastAsia="Times New Roman" w:hAnsi="Times New Roman" w:cs="Times New Roman"/>
          <w:sz w:val="24"/>
          <w:szCs w:val="24"/>
        </w:rPr>
        <w:t>Paragraph 951B(1)(c) provides that ASIC may declare that Part 7.7 of the Act applies in relation to a person or a financial product, or a class of persons or financial products, as if specified provisions of that Part were omitted, modified or varied as specified in the declaration.</w:t>
      </w:r>
      <w:r w:rsidRPr="00445821">
        <w:rPr>
          <w:rFonts w:ascii="Times New Roman" w:eastAsia="Times New Roman" w:hAnsi="Times New Roman" w:cs="Times New Roman"/>
          <w:sz w:val="24"/>
          <w:szCs w:val="24"/>
        </w:rPr>
        <w:t xml:space="preserve"> </w:t>
      </w:r>
    </w:p>
    <w:p w:rsidR="006923F8" w:rsidRDefault="006923F8" w:rsidP="006923F8">
      <w:pPr>
        <w:spacing w:before="100" w:beforeAutospacing="1" w:after="100" w:afterAutospacing="1" w:line="240" w:lineRule="auto"/>
        <w:rPr>
          <w:rFonts w:ascii="Times New Roman" w:eastAsia="Times New Roman" w:hAnsi="Times New Roman" w:cs="Times New Roman"/>
          <w:sz w:val="24"/>
          <w:szCs w:val="24"/>
        </w:rPr>
      </w:pPr>
      <w:r w:rsidRPr="00445821">
        <w:rPr>
          <w:rFonts w:ascii="Times New Roman" w:eastAsia="Times New Roman" w:hAnsi="Times New Roman" w:cs="Times New Roman"/>
          <w:sz w:val="24"/>
          <w:szCs w:val="24"/>
        </w:rPr>
        <w:t xml:space="preserve">Paragraph 1020F(1)(c) provides that ASIC may declare that Part 7.9 of the Act applies in relation to a person or a financial product, or a class of persons or financial products, as if specified provisions of that Part were omitted, modified or varied as specified in the declaration. </w:t>
      </w:r>
    </w:p>
    <w:p w:rsidR="00BF0C68" w:rsidRPr="00445821" w:rsidRDefault="00BF0C68" w:rsidP="00BF0C68">
      <w:pPr>
        <w:spacing w:before="100" w:beforeAutospacing="1" w:after="100" w:afterAutospacing="1" w:line="240" w:lineRule="auto"/>
        <w:rPr>
          <w:rFonts w:ascii="Times New Roman" w:eastAsia="Times New Roman" w:hAnsi="Times New Roman" w:cs="Times New Roman"/>
          <w:sz w:val="24"/>
          <w:szCs w:val="24"/>
        </w:rPr>
      </w:pPr>
      <w:r w:rsidRPr="00BF0C68">
        <w:rPr>
          <w:rFonts w:ascii="Times New Roman" w:eastAsia="Times New Roman" w:hAnsi="Times New Roman" w:cs="Times New Roman"/>
          <w:sz w:val="24"/>
          <w:szCs w:val="24"/>
        </w:rPr>
        <w:t xml:space="preserve">Under subsection 33(3) of the </w:t>
      </w:r>
      <w:r w:rsidRPr="00F03F1F">
        <w:rPr>
          <w:rFonts w:ascii="Times New Roman" w:eastAsia="Times New Roman" w:hAnsi="Times New Roman" w:cs="Times New Roman"/>
          <w:i/>
          <w:sz w:val="24"/>
          <w:szCs w:val="24"/>
        </w:rPr>
        <w:t>Acts Interpretation Act 1901</w:t>
      </w:r>
      <w:r>
        <w:rPr>
          <w:rFonts w:ascii="Times New Roman" w:eastAsia="Times New Roman" w:hAnsi="Times New Roman" w:cs="Times New Roman"/>
          <w:sz w:val="24"/>
          <w:szCs w:val="24"/>
        </w:rPr>
        <w:t xml:space="preserve"> (as in force as at 1 January </w:t>
      </w:r>
      <w:r w:rsidRPr="00BF0C68">
        <w:rPr>
          <w:rFonts w:ascii="Times New Roman" w:eastAsia="Times New Roman" w:hAnsi="Times New Roman" w:cs="Times New Roman"/>
          <w:sz w:val="24"/>
          <w:szCs w:val="24"/>
        </w:rPr>
        <w:t>2005 and as applicable to the relevant powers because o</w:t>
      </w:r>
      <w:r>
        <w:rPr>
          <w:rFonts w:ascii="Times New Roman" w:eastAsia="Times New Roman" w:hAnsi="Times New Roman" w:cs="Times New Roman"/>
          <w:sz w:val="24"/>
          <w:szCs w:val="24"/>
        </w:rPr>
        <w:t xml:space="preserve">f section 5C of the Act), where </w:t>
      </w:r>
      <w:r w:rsidRPr="00BF0C68">
        <w:rPr>
          <w:rFonts w:ascii="Times New Roman" w:eastAsia="Times New Roman" w:hAnsi="Times New Roman" w:cs="Times New Roman"/>
          <w:sz w:val="24"/>
          <w:szCs w:val="24"/>
        </w:rPr>
        <w:t>an Act confers a power to make, grant or issue a</w:t>
      </w:r>
      <w:r>
        <w:rPr>
          <w:rFonts w:ascii="Times New Roman" w:eastAsia="Times New Roman" w:hAnsi="Times New Roman" w:cs="Times New Roman"/>
          <w:sz w:val="24"/>
          <w:szCs w:val="24"/>
        </w:rPr>
        <w:t xml:space="preserve">ny instrument (including rules, </w:t>
      </w:r>
      <w:r w:rsidRPr="00BF0C68">
        <w:rPr>
          <w:rFonts w:ascii="Times New Roman" w:eastAsia="Times New Roman" w:hAnsi="Times New Roman" w:cs="Times New Roman"/>
          <w:sz w:val="24"/>
          <w:szCs w:val="24"/>
        </w:rPr>
        <w:t>regulations or by-laws), the power shall be construed a</w:t>
      </w:r>
      <w:r>
        <w:rPr>
          <w:rFonts w:ascii="Times New Roman" w:eastAsia="Times New Roman" w:hAnsi="Times New Roman" w:cs="Times New Roman"/>
          <w:sz w:val="24"/>
          <w:szCs w:val="24"/>
        </w:rPr>
        <w:t xml:space="preserve">s including a power exercisable </w:t>
      </w:r>
      <w:r w:rsidRPr="00BF0C68">
        <w:rPr>
          <w:rFonts w:ascii="Times New Roman" w:eastAsia="Times New Roman" w:hAnsi="Times New Roman" w:cs="Times New Roman"/>
          <w:sz w:val="24"/>
          <w:szCs w:val="24"/>
        </w:rPr>
        <w:t>in the like manner and subject to the like conditions (if any) to repeal, rescind, revoke</w:t>
      </w:r>
      <w:r>
        <w:rPr>
          <w:rFonts w:ascii="Times New Roman" w:eastAsia="Times New Roman" w:hAnsi="Times New Roman" w:cs="Times New Roman"/>
          <w:sz w:val="24"/>
          <w:szCs w:val="24"/>
        </w:rPr>
        <w:t xml:space="preserve">, </w:t>
      </w:r>
      <w:r w:rsidRPr="00BF0C68">
        <w:rPr>
          <w:rFonts w:ascii="Times New Roman" w:eastAsia="Times New Roman" w:hAnsi="Times New Roman" w:cs="Times New Roman"/>
          <w:sz w:val="24"/>
          <w:szCs w:val="24"/>
        </w:rPr>
        <w:t>amend, or vary any such instrument.</w:t>
      </w:r>
    </w:p>
    <w:p w:rsidR="00FA277E" w:rsidRPr="00277675" w:rsidRDefault="0086790D" w:rsidP="0086790D">
      <w:pPr>
        <w:keepNext/>
        <w:ind w:left="567" w:hanging="567"/>
        <w:rPr>
          <w:rFonts w:ascii="Times New Roman" w:hAnsi="Times New Roman" w:cs="Times New Roman"/>
          <w:b/>
          <w:sz w:val="24"/>
          <w:szCs w:val="24"/>
        </w:rPr>
      </w:pPr>
      <w:r w:rsidRPr="00277675">
        <w:rPr>
          <w:rFonts w:ascii="Times New Roman" w:hAnsi="Times New Roman" w:cs="Times New Roman"/>
          <w:b/>
          <w:sz w:val="24"/>
          <w:szCs w:val="24"/>
        </w:rPr>
        <w:t>1.</w:t>
      </w:r>
      <w:r w:rsidRPr="00277675">
        <w:rPr>
          <w:rFonts w:ascii="Times New Roman" w:hAnsi="Times New Roman" w:cs="Times New Roman"/>
          <w:b/>
          <w:sz w:val="24"/>
          <w:szCs w:val="24"/>
        </w:rPr>
        <w:tab/>
      </w:r>
      <w:r w:rsidR="00B40240" w:rsidRPr="00277675">
        <w:rPr>
          <w:rFonts w:ascii="Times New Roman" w:hAnsi="Times New Roman" w:cs="Times New Roman"/>
          <w:b/>
          <w:sz w:val="24"/>
          <w:szCs w:val="24"/>
        </w:rPr>
        <w:t>Background</w:t>
      </w:r>
    </w:p>
    <w:p w:rsidR="003556E0" w:rsidRDefault="006923F8" w:rsidP="003556E0">
      <w:pPr>
        <w:rPr>
          <w:rFonts w:ascii="Times New Roman" w:hAnsi="Times New Roman" w:cs="Times New Roman"/>
          <w:iCs/>
          <w:sz w:val="24"/>
          <w:szCs w:val="24"/>
        </w:rPr>
      </w:pPr>
      <w:r w:rsidRPr="006923F8">
        <w:rPr>
          <w:rFonts w:ascii="Times New Roman" w:hAnsi="Times New Roman" w:cs="Times New Roman"/>
          <w:i/>
          <w:iCs/>
          <w:sz w:val="24"/>
          <w:szCs w:val="24"/>
        </w:rPr>
        <w:t xml:space="preserve">ASIC Corporations (Facilitating Electronic Delivery of Financial Services Disclosure) Instrument 2015/647 </w:t>
      </w:r>
      <w:r w:rsidR="00F66008" w:rsidRPr="00F66008">
        <w:rPr>
          <w:rFonts w:ascii="Times New Roman" w:hAnsi="Times New Roman" w:cs="Times New Roman"/>
          <w:iCs/>
          <w:sz w:val="24"/>
          <w:szCs w:val="24"/>
        </w:rPr>
        <w:t>(the</w:t>
      </w:r>
      <w:r w:rsidR="00F66008">
        <w:rPr>
          <w:rFonts w:ascii="Times New Roman" w:hAnsi="Times New Roman" w:cs="Times New Roman"/>
          <w:iCs/>
          <w:sz w:val="24"/>
          <w:szCs w:val="24"/>
        </w:rPr>
        <w:t> </w:t>
      </w:r>
      <w:r w:rsidR="00F66008" w:rsidRPr="00F66008">
        <w:rPr>
          <w:rFonts w:ascii="Times New Roman" w:hAnsi="Times New Roman" w:cs="Times New Roman"/>
          <w:b/>
          <w:i/>
          <w:iCs/>
          <w:sz w:val="24"/>
          <w:szCs w:val="24"/>
        </w:rPr>
        <w:t>principal instrument</w:t>
      </w:r>
      <w:r w:rsidR="00F66008" w:rsidRPr="00F66008">
        <w:rPr>
          <w:rFonts w:ascii="Times New Roman" w:hAnsi="Times New Roman" w:cs="Times New Roman"/>
          <w:iCs/>
          <w:sz w:val="24"/>
          <w:szCs w:val="24"/>
        </w:rPr>
        <w:t>)</w:t>
      </w:r>
      <w:r w:rsidR="00F66008">
        <w:rPr>
          <w:rFonts w:ascii="Times New Roman" w:hAnsi="Times New Roman" w:cs="Times New Roman"/>
          <w:i/>
          <w:iCs/>
          <w:sz w:val="24"/>
          <w:szCs w:val="24"/>
        </w:rPr>
        <w:t xml:space="preserve"> </w:t>
      </w:r>
      <w:r w:rsidRPr="006923F8">
        <w:rPr>
          <w:rFonts w:ascii="Times New Roman" w:hAnsi="Times New Roman" w:cs="Times New Roman"/>
          <w:iCs/>
          <w:sz w:val="24"/>
          <w:szCs w:val="24"/>
        </w:rPr>
        <w:t xml:space="preserve">facilitates digital financial services disclosure by providing relief to </w:t>
      </w:r>
      <w:r>
        <w:rPr>
          <w:rFonts w:ascii="Times New Roman" w:hAnsi="Times New Roman" w:cs="Times New Roman"/>
          <w:iCs/>
          <w:sz w:val="24"/>
          <w:szCs w:val="24"/>
        </w:rPr>
        <w:t>enable</w:t>
      </w:r>
      <w:r w:rsidRPr="006923F8">
        <w:rPr>
          <w:rFonts w:ascii="Times New Roman" w:hAnsi="Times New Roman" w:cs="Times New Roman"/>
          <w:iCs/>
          <w:sz w:val="24"/>
          <w:szCs w:val="24"/>
        </w:rPr>
        <w:t xml:space="preserve"> product issuers to</w:t>
      </w:r>
      <w:r>
        <w:rPr>
          <w:rFonts w:ascii="Times New Roman" w:hAnsi="Times New Roman" w:cs="Times New Roman"/>
          <w:iCs/>
          <w:sz w:val="24"/>
          <w:szCs w:val="24"/>
        </w:rPr>
        <w:t xml:space="preserve"> more easily</w:t>
      </w:r>
      <w:r w:rsidRPr="006923F8">
        <w:rPr>
          <w:rFonts w:ascii="Times New Roman" w:hAnsi="Times New Roman" w:cs="Times New Roman"/>
          <w:iCs/>
          <w:sz w:val="24"/>
          <w:szCs w:val="24"/>
        </w:rPr>
        <w:t xml:space="preserve"> </w:t>
      </w:r>
      <w:r>
        <w:rPr>
          <w:rFonts w:ascii="Times New Roman" w:hAnsi="Times New Roman" w:cs="Times New Roman"/>
          <w:iCs/>
          <w:sz w:val="24"/>
          <w:szCs w:val="24"/>
        </w:rPr>
        <w:t>deliver</w:t>
      </w:r>
      <w:r w:rsidRPr="006923F8">
        <w:rPr>
          <w:rFonts w:ascii="Times New Roman" w:hAnsi="Times New Roman" w:cs="Times New Roman"/>
          <w:iCs/>
          <w:sz w:val="24"/>
          <w:szCs w:val="24"/>
        </w:rPr>
        <w:t xml:space="preserve"> disclosure documents electronically.</w:t>
      </w:r>
    </w:p>
    <w:p w:rsidR="006923F8" w:rsidRDefault="006923F8" w:rsidP="006923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principal instrument further facilitates the electronic delivery of financial services disclosure documents by enabling electronic delivery to be the ‘default’ option for disclosure, if the provider chooses, subject to safeguards designed to ensure investors and consumers do not miss the opportunity to choose an alternative method of delivery. </w:t>
      </w:r>
    </w:p>
    <w:p w:rsidR="006923F8" w:rsidRDefault="006923F8" w:rsidP="006923F8">
      <w:pPr>
        <w:autoSpaceDE w:val="0"/>
        <w:autoSpaceDN w:val="0"/>
        <w:adjustRightInd w:val="0"/>
        <w:spacing w:after="0" w:line="240" w:lineRule="auto"/>
        <w:rPr>
          <w:rFonts w:ascii="Times New Roman" w:hAnsi="Times New Roman" w:cs="Times New Roman"/>
          <w:sz w:val="24"/>
          <w:szCs w:val="24"/>
        </w:rPr>
      </w:pPr>
    </w:p>
    <w:p w:rsidR="006923F8" w:rsidRDefault="006923F8" w:rsidP="006923F8">
      <w:pPr>
        <w:autoSpaceDE w:val="0"/>
        <w:autoSpaceDN w:val="0"/>
        <w:adjustRightInd w:val="0"/>
        <w:spacing w:after="0" w:line="240" w:lineRule="auto"/>
        <w:rPr>
          <w:rFonts w:ascii="Times New Roman" w:hAnsi="Times New Roman" w:cs="Times New Roman"/>
          <w:sz w:val="24"/>
          <w:szCs w:val="24"/>
        </w:rPr>
      </w:pPr>
      <w:r w:rsidRPr="00A170AE">
        <w:rPr>
          <w:rFonts w:ascii="Times New Roman" w:hAnsi="Times New Roman" w:cs="Times New Roman"/>
          <w:sz w:val="24"/>
          <w:szCs w:val="24"/>
        </w:rPr>
        <w:t>The</w:t>
      </w:r>
      <w:r>
        <w:rPr>
          <w:rFonts w:ascii="Times New Roman" w:hAnsi="Times New Roman" w:cs="Times New Roman"/>
          <w:sz w:val="24"/>
          <w:szCs w:val="24"/>
        </w:rPr>
        <w:t xml:space="preserve"> principal</w:t>
      </w:r>
      <w:r w:rsidRPr="00A170AE">
        <w:rPr>
          <w:rFonts w:ascii="Times New Roman" w:hAnsi="Times New Roman" w:cs="Times New Roman"/>
          <w:sz w:val="24"/>
          <w:szCs w:val="24"/>
        </w:rPr>
        <w:t xml:space="preserve"> </w:t>
      </w:r>
      <w:r>
        <w:rPr>
          <w:rFonts w:ascii="Times New Roman" w:hAnsi="Times New Roman" w:cs="Times New Roman"/>
          <w:sz w:val="24"/>
          <w:szCs w:val="24"/>
        </w:rPr>
        <w:t>instrument</w:t>
      </w:r>
      <w:r w:rsidRPr="00A170AE">
        <w:rPr>
          <w:rFonts w:ascii="Times New Roman" w:hAnsi="Times New Roman" w:cs="Times New Roman"/>
          <w:sz w:val="24"/>
          <w:szCs w:val="24"/>
        </w:rPr>
        <w:t xml:space="preserve"> enables a </w:t>
      </w:r>
      <w:r>
        <w:rPr>
          <w:rFonts w:ascii="Times New Roman" w:hAnsi="Times New Roman" w:cs="Times New Roman"/>
          <w:sz w:val="24"/>
          <w:szCs w:val="24"/>
        </w:rPr>
        <w:t xml:space="preserve">provider to make financial service disclosures electronically to investors provided it has first sent a notice to the investor of its intention to do so and the investor has not opted out of receiving disclosures electronically. </w:t>
      </w:r>
    </w:p>
    <w:p w:rsidR="006923F8" w:rsidRDefault="006923F8" w:rsidP="006923F8">
      <w:pPr>
        <w:autoSpaceDE w:val="0"/>
        <w:autoSpaceDN w:val="0"/>
        <w:adjustRightInd w:val="0"/>
        <w:spacing w:after="0" w:line="240" w:lineRule="auto"/>
        <w:rPr>
          <w:rFonts w:ascii="Times New Roman" w:hAnsi="Times New Roman" w:cs="Times New Roman"/>
          <w:sz w:val="24"/>
          <w:szCs w:val="24"/>
        </w:rPr>
      </w:pPr>
    </w:p>
    <w:p w:rsidR="006923F8" w:rsidRDefault="006923F8" w:rsidP="006923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investor has not opted out </w:t>
      </w:r>
      <w:r w:rsidRPr="00B12AA8">
        <w:rPr>
          <w:rFonts w:ascii="Times New Roman" w:hAnsi="Times New Roman" w:cs="Times New Roman"/>
          <w:sz w:val="24"/>
          <w:szCs w:val="24"/>
        </w:rPr>
        <w:t xml:space="preserve">within 7 days, the provider may use the method described in the </w:t>
      </w:r>
      <w:r w:rsidR="006C3C71">
        <w:rPr>
          <w:rFonts w:ascii="Times New Roman" w:hAnsi="Times New Roman" w:cs="Times New Roman"/>
          <w:sz w:val="24"/>
          <w:szCs w:val="24"/>
        </w:rPr>
        <w:t>principal i</w:t>
      </w:r>
      <w:r>
        <w:rPr>
          <w:rFonts w:ascii="Times New Roman" w:hAnsi="Times New Roman" w:cs="Times New Roman"/>
          <w:sz w:val="24"/>
          <w:szCs w:val="24"/>
        </w:rPr>
        <w:t xml:space="preserve">nstrument </w:t>
      </w:r>
      <w:r w:rsidRPr="00B12AA8">
        <w:rPr>
          <w:rFonts w:ascii="Times New Roman" w:hAnsi="Times New Roman" w:cs="Times New Roman"/>
          <w:sz w:val="24"/>
          <w:szCs w:val="24"/>
        </w:rPr>
        <w:t>to satisfy their disclosure obligation. That is, the provider may make the disclosure available electronically and notify the</w:t>
      </w:r>
      <w:r>
        <w:rPr>
          <w:rFonts w:ascii="Times New Roman" w:hAnsi="Times New Roman" w:cs="Times New Roman"/>
          <w:sz w:val="24"/>
          <w:szCs w:val="24"/>
        </w:rPr>
        <w:t xml:space="preserve"> investor or consumer</w:t>
      </w:r>
      <w:r w:rsidR="006C3C71">
        <w:rPr>
          <w:rFonts w:ascii="Times New Roman" w:hAnsi="Times New Roman" w:cs="Times New Roman"/>
          <w:sz w:val="24"/>
          <w:szCs w:val="24"/>
        </w:rPr>
        <w:t xml:space="preserve"> (the 'publish and notify' method)</w:t>
      </w:r>
      <w:r>
        <w:rPr>
          <w:rFonts w:ascii="Times New Roman" w:hAnsi="Times New Roman" w:cs="Times New Roman"/>
          <w:sz w:val="24"/>
          <w:szCs w:val="24"/>
        </w:rPr>
        <w:t xml:space="preserve">. This notification may be in printed or electronic form and should contain a </w:t>
      </w:r>
      <w:r>
        <w:rPr>
          <w:rFonts w:ascii="Times New Roman" w:hAnsi="Times New Roman" w:cs="Times New Roman"/>
          <w:sz w:val="24"/>
          <w:szCs w:val="24"/>
        </w:rPr>
        <w:lastRenderedPageBreak/>
        <w:t>statement that the provider has made the relevant disclosure available by electronic means, and include instructions on how the investor can use the electronic means to access the disclosure.</w:t>
      </w:r>
      <w:r>
        <w:rPr>
          <w:rFonts w:ascii="Times New Roman" w:hAnsi="Times New Roman" w:cs="Times New Roman"/>
          <w:sz w:val="24"/>
          <w:szCs w:val="24"/>
        </w:rPr>
        <w:br/>
      </w:r>
    </w:p>
    <w:p w:rsidR="006923F8" w:rsidRDefault="006923F8" w:rsidP="006923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provider may choose to provide the disclosure concurrently with the notification, but would not satisfy their obligation to deliver the disclosure until the 7 day period had passed without an opt-out requirement.</w:t>
      </w:r>
    </w:p>
    <w:p w:rsidR="006923F8" w:rsidRDefault="006923F8" w:rsidP="006923F8">
      <w:pPr>
        <w:autoSpaceDE w:val="0"/>
        <w:autoSpaceDN w:val="0"/>
        <w:adjustRightInd w:val="0"/>
        <w:spacing w:after="0" w:line="240" w:lineRule="auto"/>
        <w:rPr>
          <w:rFonts w:ascii="Times New Roman" w:hAnsi="Times New Roman" w:cs="Times New Roman"/>
          <w:sz w:val="24"/>
          <w:szCs w:val="24"/>
        </w:rPr>
      </w:pPr>
    </w:p>
    <w:p w:rsidR="006923F8" w:rsidRDefault="006923F8" w:rsidP="006923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principal instrument also enables a default superannuation fund trustee to meet its obligation to deliver a PDS to an employer supplied email address, without the member's consent, when certain conditions are met.   </w:t>
      </w:r>
    </w:p>
    <w:p w:rsidR="00177A82" w:rsidRDefault="00177A82" w:rsidP="00F66008">
      <w:pPr>
        <w:rPr>
          <w:rFonts w:ascii="Times New Roman" w:hAnsi="Times New Roman" w:cs="Times New Roman"/>
          <w:sz w:val="24"/>
          <w:szCs w:val="24"/>
        </w:rPr>
      </w:pPr>
    </w:p>
    <w:p w:rsidR="00990873" w:rsidRPr="00277675" w:rsidRDefault="0086790D" w:rsidP="0086790D">
      <w:pPr>
        <w:ind w:left="567" w:hanging="567"/>
        <w:rPr>
          <w:rFonts w:ascii="Times New Roman" w:hAnsi="Times New Roman" w:cs="Times New Roman"/>
          <w:b/>
          <w:sz w:val="24"/>
          <w:szCs w:val="24"/>
          <w:lang w:val="en-US"/>
        </w:rPr>
      </w:pPr>
      <w:r w:rsidRPr="00277675">
        <w:rPr>
          <w:rFonts w:ascii="Times New Roman" w:hAnsi="Times New Roman" w:cs="Times New Roman"/>
          <w:b/>
          <w:sz w:val="24"/>
          <w:szCs w:val="24"/>
          <w:lang w:val="en-US"/>
        </w:rPr>
        <w:t>2.</w:t>
      </w:r>
      <w:r w:rsidRPr="00277675">
        <w:rPr>
          <w:rFonts w:ascii="Times New Roman" w:hAnsi="Times New Roman" w:cs="Times New Roman"/>
          <w:b/>
          <w:sz w:val="24"/>
          <w:szCs w:val="24"/>
          <w:lang w:val="en-US"/>
        </w:rPr>
        <w:tab/>
      </w:r>
      <w:r w:rsidR="00D51EB9" w:rsidRPr="00277675">
        <w:rPr>
          <w:rFonts w:ascii="Times New Roman" w:hAnsi="Times New Roman" w:cs="Times New Roman"/>
          <w:b/>
          <w:sz w:val="24"/>
          <w:szCs w:val="24"/>
          <w:lang w:val="en-US"/>
        </w:rPr>
        <w:t xml:space="preserve">Purpose of the </w:t>
      </w:r>
      <w:r w:rsidR="00DE32D6">
        <w:rPr>
          <w:rFonts w:ascii="Times New Roman" w:hAnsi="Times New Roman" w:cs="Times New Roman"/>
          <w:b/>
          <w:sz w:val="24"/>
          <w:szCs w:val="24"/>
          <w:lang w:val="en-US"/>
        </w:rPr>
        <w:t>instrument</w:t>
      </w:r>
    </w:p>
    <w:p w:rsidR="003556E0" w:rsidRDefault="000F09CE" w:rsidP="00EE5FE1">
      <w:pPr>
        <w:rPr>
          <w:rFonts w:ascii="Times New Roman" w:hAnsi="Times New Roman" w:cs="Times New Roman"/>
          <w:sz w:val="24"/>
          <w:szCs w:val="24"/>
        </w:rPr>
      </w:pPr>
      <w:r w:rsidRPr="00F66008">
        <w:rPr>
          <w:rFonts w:ascii="Times New Roman" w:hAnsi="Times New Roman" w:cs="Times New Roman"/>
          <w:sz w:val="24"/>
          <w:szCs w:val="24"/>
        </w:rPr>
        <w:t>The purpose of</w:t>
      </w:r>
      <w:r w:rsidR="00805213" w:rsidRPr="00F66008">
        <w:rPr>
          <w:rFonts w:ascii="Times New Roman" w:hAnsi="Times New Roman" w:cs="Times New Roman"/>
          <w:sz w:val="24"/>
          <w:szCs w:val="24"/>
        </w:rPr>
        <w:t xml:space="preserve"> </w:t>
      </w:r>
      <w:r w:rsidR="00DE32D6" w:rsidRPr="00F66008">
        <w:rPr>
          <w:rFonts w:ascii="Times New Roman" w:hAnsi="Times New Roman" w:cs="Times New Roman"/>
          <w:sz w:val="24"/>
          <w:szCs w:val="24"/>
        </w:rPr>
        <w:t xml:space="preserve">the </w:t>
      </w:r>
      <w:r w:rsidR="00F66008" w:rsidRPr="00F66008">
        <w:rPr>
          <w:rFonts w:ascii="Times New Roman" w:hAnsi="Times New Roman" w:cs="Times New Roman"/>
          <w:sz w:val="24"/>
          <w:szCs w:val="24"/>
        </w:rPr>
        <w:t xml:space="preserve">amending </w:t>
      </w:r>
      <w:r w:rsidR="00DE32D6" w:rsidRPr="00F66008">
        <w:rPr>
          <w:rFonts w:ascii="Times New Roman" w:hAnsi="Times New Roman" w:cs="Times New Roman"/>
          <w:sz w:val="24"/>
          <w:szCs w:val="24"/>
        </w:rPr>
        <w:t xml:space="preserve">instrument </w:t>
      </w:r>
      <w:r w:rsidR="00805213" w:rsidRPr="00F66008">
        <w:rPr>
          <w:rFonts w:ascii="Times New Roman" w:hAnsi="Times New Roman" w:cs="Times New Roman"/>
          <w:sz w:val="24"/>
          <w:szCs w:val="24"/>
        </w:rPr>
        <w:t xml:space="preserve">is </w:t>
      </w:r>
      <w:r w:rsidR="009A630C">
        <w:rPr>
          <w:rFonts w:ascii="Times New Roman" w:hAnsi="Times New Roman" w:cs="Times New Roman"/>
          <w:sz w:val="24"/>
          <w:szCs w:val="24"/>
        </w:rPr>
        <w:t xml:space="preserve">to </w:t>
      </w:r>
      <w:r w:rsidR="009F043A">
        <w:rPr>
          <w:rFonts w:ascii="Times New Roman" w:hAnsi="Times New Roman" w:cs="Times New Roman"/>
          <w:sz w:val="24"/>
          <w:szCs w:val="24"/>
        </w:rPr>
        <w:t xml:space="preserve">amend the principal instrument in </w:t>
      </w:r>
      <w:r w:rsidR="00D54C7E">
        <w:rPr>
          <w:rFonts w:ascii="Times New Roman" w:hAnsi="Times New Roman" w:cs="Times New Roman"/>
          <w:sz w:val="24"/>
          <w:szCs w:val="24"/>
        </w:rPr>
        <w:t xml:space="preserve">three </w:t>
      </w:r>
      <w:r w:rsidR="009F043A">
        <w:rPr>
          <w:rFonts w:ascii="Times New Roman" w:hAnsi="Times New Roman" w:cs="Times New Roman"/>
          <w:sz w:val="24"/>
          <w:szCs w:val="24"/>
        </w:rPr>
        <w:t>key respects</w:t>
      </w:r>
      <w:r w:rsidR="00B15B4F">
        <w:rPr>
          <w:rFonts w:ascii="Times New Roman" w:hAnsi="Times New Roman" w:cs="Times New Roman"/>
          <w:sz w:val="24"/>
          <w:szCs w:val="24"/>
        </w:rPr>
        <w:t xml:space="preserve">. </w:t>
      </w:r>
      <w:r w:rsidR="003556E0">
        <w:rPr>
          <w:rFonts w:ascii="Times New Roman" w:hAnsi="Times New Roman" w:cs="Times New Roman"/>
          <w:sz w:val="24"/>
          <w:szCs w:val="24"/>
        </w:rPr>
        <w:t xml:space="preserve"> </w:t>
      </w:r>
    </w:p>
    <w:p w:rsidR="00D54C7E" w:rsidRDefault="00B15B4F" w:rsidP="00EE5FE1">
      <w:pPr>
        <w:rPr>
          <w:rFonts w:ascii="Times New Roman" w:hAnsi="Times New Roman" w:cs="Times New Roman"/>
          <w:sz w:val="24"/>
          <w:szCs w:val="24"/>
        </w:rPr>
      </w:pPr>
      <w:r>
        <w:rPr>
          <w:rFonts w:ascii="Times New Roman" w:hAnsi="Times New Roman" w:cs="Times New Roman"/>
          <w:sz w:val="24"/>
          <w:szCs w:val="24"/>
        </w:rPr>
        <w:t>F</w:t>
      </w:r>
      <w:r w:rsidR="003556E0">
        <w:rPr>
          <w:rFonts w:ascii="Times New Roman" w:hAnsi="Times New Roman" w:cs="Times New Roman"/>
          <w:sz w:val="24"/>
          <w:szCs w:val="24"/>
        </w:rPr>
        <w:t xml:space="preserve">irst, </w:t>
      </w:r>
      <w:r w:rsidR="00792813">
        <w:rPr>
          <w:rFonts w:ascii="Times New Roman" w:hAnsi="Times New Roman" w:cs="Times New Roman"/>
          <w:sz w:val="24"/>
          <w:szCs w:val="24"/>
        </w:rPr>
        <w:t xml:space="preserve">to simplify the disclosure notification </w:t>
      </w:r>
      <w:r w:rsidR="00BF0C68">
        <w:rPr>
          <w:rFonts w:ascii="Times New Roman" w:hAnsi="Times New Roman" w:cs="Times New Roman"/>
          <w:sz w:val="24"/>
          <w:szCs w:val="24"/>
        </w:rPr>
        <w:t xml:space="preserve">involved in the ‘publish and notify’ method of disclosure </w:t>
      </w:r>
      <w:r w:rsidR="00F96389">
        <w:rPr>
          <w:rFonts w:ascii="Times New Roman" w:hAnsi="Times New Roman" w:cs="Times New Roman"/>
          <w:sz w:val="24"/>
          <w:szCs w:val="24"/>
        </w:rPr>
        <w:t xml:space="preserve">that the principal instrument creates </w:t>
      </w:r>
      <w:r w:rsidR="00792813">
        <w:rPr>
          <w:rFonts w:ascii="Times New Roman" w:hAnsi="Times New Roman" w:cs="Times New Roman"/>
          <w:sz w:val="24"/>
          <w:szCs w:val="24"/>
        </w:rPr>
        <w:t>where the provider does not intend to issue a disclosure within the first 7 days</w:t>
      </w:r>
      <w:r w:rsidR="00F4540E">
        <w:rPr>
          <w:rFonts w:ascii="Times New Roman" w:hAnsi="Times New Roman" w:cs="Times New Roman"/>
          <w:sz w:val="24"/>
          <w:szCs w:val="24"/>
        </w:rPr>
        <w:t>.</w:t>
      </w:r>
      <w:r w:rsidR="00792813">
        <w:rPr>
          <w:rFonts w:ascii="Times New Roman" w:hAnsi="Times New Roman" w:cs="Times New Roman"/>
          <w:sz w:val="24"/>
          <w:szCs w:val="24"/>
        </w:rPr>
        <w:t xml:space="preserve"> </w:t>
      </w:r>
      <w:r w:rsidR="00403743">
        <w:rPr>
          <w:rFonts w:ascii="Times New Roman" w:hAnsi="Times New Roman" w:cs="Times New Roman"/>
          <w:sz w:val="24"/>
          <w:szCs w:val="24"/>
        </w:rPr>
        <w:br/>
      </w:r>
      <w:r w:rsidR="00403743">
        <w:rPr>
          <w:rFonts w:ascii="Times New Roman" w:hAnsi="Times New Roman" w:cs="Times New Roman"/>
          <w:sz w:val="24"/>
          <w:szCs w:val="24"/>
        </w:rPr>
        <w:br/>
      </w:r>
      <w:r>
        <w:rPr>
          <w:rFonts w:ascii="Times New Roman" w:hAnsi="Times New Roman" w:cs="Times New Roman"/>
          <w:sz w:val="24"/>
          <w:szCs w:val="24"/>
        </w:rPr>
        <w:t>S</w:t>
      </w:r>
      <w:r w:rsidR="00CD522F">
        <w:rPr>
          <w:rFonts w:ascii="Times New Roman" w:hAnsi="Times New Roman" w:cs="Times New Roman"/>
          <w:sz w:val="24"/>
          <w:szCs w:val="24"/>
        </w:rPr>
        <w:t>econd,</w:t>
      </w:r>
      <w:r w:rsidR="00322B47">
        <w:rPr>
          <w:rFonts w:ascii="Times New Roman" w:hAnsi="Times New Roman" w:cs="Times New Roman"/>
          <w:sz w:val="24"/>
          <w:szCs w:val="24"/>
        </w:rPr>
        <w:t xml:space="preserve"> </w:t>
      </w:r>
      <w:r w:rsidR="00792813">
        <w:rPr>
          <w:rFonts w:ascii="Times New Roman" w:hAnsi="Times New Roman" w:cs="Times New Roman"/>
          <w:sz w:val="24"/>
          <w:szCs w:val="24"/>
        </w:rPr>
        <w:t>to enable default superannuation fund trustees to use the 'publish and notify' method of disclosure</w:t>
      </w:r>
      <w:r w:rsidR="0083259C">
        <w:rPr>
          <w:rFonts w:ascii="Times New Roman" w:hAnsi="Times New Roman" w:cs="Times New Roman"/>
          <w:sz w:val="24"/>
          <w:szCs w:val="24"/>
        </w:rPr>
        <w:t>, using an employer provided electronic address,</w:t>
      </w:r>
      <w:r w:rsidR="00F77659">
        <w:rPr>
          <w:rFonts w:ascii="Times New Roman" w:hAnsi="Times New Roman" w:cs="Times New Roman"/>
          <w:sz w:val="24"/>
          <w:szCs w:val="24"/>
        </w:rPr>
        <w:t xml:space="preserve"> in relation to disclosures under sections 1015C, 1017B, 1017D and 1017DA of the Act</w:t>
      </w:r>
      <w:r w:rsidR="00792813">
        <w:rPr>
          <w:rFonts w:ascii="Times New Roman" w:hAnsi="Times New Roman" w:cs="Times New Roman"/>
          <w:sz w:val="24"/>
          <w:szCs w:val="24"/>
        </w:rPr>
        <w:t>.</w:t>
      </w:r>
      <w:r w:rsidR="00D54C7E">
        <w:rPr>
          <w:rFonts w:ascii="Times New Roman" w:hAnsi="Times New Roman" w:cs="Times New Roman"/>
          <w:sz w:val="24"/>
          <w:szCs w:val="24"/>
        </w:rPr>
        <w:t xml:space="preserve"> </w:t>
      </w:r>
    </w:p>
    <w:p w:rsidR="00403743" w:rsidRDefault="00D54C7E" w:rsidP="00EE5FE1">
      <w:pPr>
        <w:rPr>
          <w:rFonts w:ascii="Times New Roman" w:hAnsi="Times New Roman" w:cs="Times New Roman"/>
          <w:sz w:val="24"/>
          <w:szCs w:val="24"/>
        </w:rPr>
      </w:pPr>
      <w:r>
        <w:rPr>
          <w:rFonts w:ascii="Times New Roman" w:hAnsi="Times New Roman" w:cs="Times New Roman"/>
          <w:sz w:val="24"/>
          <w:szCs w:val="24"/>
        </w:rPr>
        <w:t>Finally,</w:t>
      </w:r>
      <w:r w:rsidR="009F043A">
        <w:rPr>
          <w:rFonts w:ascii="Times New Roman" w:hAnsi="Times New Roman" w:cs="Times New Roman"/>
          <w:sz w:val="24"/>
          <w:szCs w:val="24"/>
        </w:rPr>
        <w:t xml:space="preserve"> to ensure that successor funds can use an</w:t>
      </w:r>
      <w:r>
        <w:rPr>
          <w:rFonts w:ascii="Times New Roman" w:hAnsi="Times New Roman" w:cs="Times New Roman"/>
          <w:sz w:val="24"/>
          <w:szCs w:val="24"/>
        </w:rPr>
        <w:t xml:space="preserve"> employer provided email address </w:t>
      </w:r>
      <w:r w:rsidR="009F043A">
        <w:rPr>
          <w:rFonts w:ascii="Times New Roman" w:hAnsi="Times New Roman" w:cs="Times New Roman"/>
          <w:sz w:val="24"/>
          <w:szCs w:val="24"/>
        </w:rPr>
        <w:t>that was provided to a predecessor fund</w:t>
      </w:r>
      <w:r>
        <w:rPr>
          <w:rFonts w:ascii="Times New Roman" w:hAnsi="Times New Roman" w:cs="Times New Roman"/>
          <w:sz w:val="24"/>
          <w:szCs w:val="24"/>
        </w:rPr>
        <w:t xml:space="preserve">. </w:t>
      </w:r>
    </w:p>
    <w:p w:rsidR="00D51EB9" w:rsidRPr="00277675" w:rsidRDefault="00E92606" w:rsidP="00E92606">
      <w:pPr>
        <w:ind w:left="567" w:hanging="567"/>
        <w:rPr>
          <w:rFonts w:ascii="Times New Roman" w:hAnsi="Times New Roman" w:cs="Times New Roman"/>
          <w:b/>
          <w:sz w:val="24"/>
          <w:szCs w:val="24"/>
          <w:lang w:val="en-US"/>
        </w:rPr>
      </w:pPr>
      <w:r w:rsidRPr="00277675">
        <w:rPr>
          <w:rFonts w:ascii="Times New Roman" w:hAnsi="Times New Roman" w:cs="Times New Roman"/>
          <w:b/>
          <w:sz w:val="24"/>
          <w:szCs w:val="24"/>
          <w:lang w:val="en-US"/>
        </w:rPr>
        <w:t>3.</w:t>
      </w:r>
      <w:r w:rsidRPr="00277675">
        <w:rPr>
          <w:rFonts w:ascii="Times New Roman" w:hAnsi="Times New Roman" w:cs="Times New Roman"/>
          <w:b/>
          <w:sz w:val="24"/>
          <w:szCs w:val="24"/>
          <w:lang w:val="en-US"/>
        </w:rPr>
        <w:tab/>
      </w:r>
      <w:r w:rsidR="00D51EB9" w:rsidRPr="00277675">
        <w:rPr>
          <w:rFonts w:ascii="Times New Roman" w:hAnsi="Times New Roman" w:cs="Times New Roman"/>
          <w:b/>
          <w:sz w:val="24"/>
          <w:szCs w:val="24"/>
          <w:lang w:val="en-US"/>
        </w:rPr>
        <w:t xml:space="preserve">Operation of the </w:t>
      </w:r>
      <w:r w:rsidR="00285110">
        <w:rPr>
          <w:rFonts w:ascii="Times New Roman" w:hAnsi="Times New Roman" w:cs="Times New Roman"/>
          <w:b/>
          <w:sz w:val="24"/>
          <w:szCs w:val="24"/>
          <w:lang w:val="en-US"/>
        </w:rPr>
        <w:t>instrument</w:t>
      </w:r>
    </w:p>
    <w:p w:rsidR="00B15B4F" w:rsidRDefault="009A630C" w:rsidP="003005C2">
      <w:pPr>
        <w:rPr>
          <w:rFonts w:ascii="Times New Roman" w:hAnsi="Times New Roman" w:cs="Times New Roman"/>
          <w:sz w:val="24"/>
          <w:szCs w:val="24"/>
        </w:rPr>
      </w:pPr>
      <w:r>
        <w:rPr>
          <w:rFonts w:ascii="Times New Roman" w:hAnsi="Times New Roman" w:cs="Times New Roman"/>
          <w:sz w:val="24"/>
          <w:szCs w:val="24"/>
        </w:rPr>
        <w:t>The amending instrument</w:t>
      </w:r>
      <w:r w:rsidR="00F96389">
        <w:rPr>
          <w:rFonts w:ascii="Times New Roman" w:hAnsi="Times New Roman" w:cs="Times New Roman"/>
          <w:sz w:val="24"/>
          <w:szCs w:val="24"/>
        </w:rPr>
        <w:t xml:space="preserve"> amends subsection 5(1) of the principal instrument by</w:t>
      </w:r>
      <w:r w:rsidR="00BA2EB1" w:rsidRPr="00BA2EB1">
        <w:rPr>
          <w:rFonts w:ascii="Times New Roman" w:hAnsi="Times New Roman" w:cs="Times New Roman"/>
          <w:sz w:val="24"/>
          <w:szCs w:val="24"/>
        </w:rPr>
        <w:t xml:space="preserve"> </w:t>
      </w:r>
      <w:r w:rsidR="00BA2EB1">
        <w:rPr>
          <w:rFonts w:ascii="Times New Roman" w:hAnsi="Times New Roman" w:cs="Times New Roman"/>
          <w:sz w:val="24"/>
          <w:szCs w:val="24"/>
        </w:rPr>
        <w:t xml:space="preserve">amending the notional definition of </w:t>
      </w:r>
      <w:r w:rsidR="00BA2EB1" w:rsidRPr="00CA19FD">
        <w:rPr>
          <w:rFonts w:ascii="Times New Roman" w:hAnsi="Times New Roman" w:cs="Times New Roman"/>
          <w:b/>
          <w:i/>
          <w:sz w:val="24"/>
          <w:szCs w:val="24"/>
        </w:rPr>
        <w:t>nominated electronic means</w:t>
      </w:r>
      <w:r w:rsidR="00BA2EB1">
        <w:rPr>
          <w:rFonts w:ascii="Times New Roman" w:hAnsi="Times New Roman" w:cs="Times New Roman"/>
          <w:sz w:val="24"/>
          <w:szCs w:val="24"/>
        </w:rPr>
        <w:t xml:space="preserve"> inserted into section 761A of the Act by </w:t>
      </w:r>
      <w:r w:rsidR="00F77659">
        <w:rPr>
          <w:rFonts w:ascii="Times New Roman" w:hAnsi="Times New Roman" w:cs="Times New Roman"/>
          <w:sz w:val="24"/>
          <w:szCs w:val="24"/>
        </w:rPr>
        <w:t>subsection 5(1)</w:t>
      </w:r>
      <w:r w:rsidR="00BA2EB1">
        <w:rPr>
          <w:rFonts w:ascii="Times New Roman" w:hAnsi="Times New Roman" w:cs="Times New Roman"/>
          <w:sz w:val="24"/>
          <w:szCs w:val="24"/>
        </w:rPr>
        <w:t xml:space="preserve"> so that</w:t>
      </w:r>
      <w:r w:rsidR="00B15B4F">
        <w:rPr>
          <w:rFonts w:ascii="Times New Roman" w:hAnsi="Times New Roman" w:cs="Times New Roman"/>
          <w:sz w:val="24"/>
          <w:szCs w:val="24"/>
        </w:rPr>
        <w:t xml:space="preserve">: </w:t>
      </w:r>
    </w:p>
    <w:p w:rsidR="00403743" w:rsidRDefault="00B15B4F" w:rsidP="00403743">
      <w:pPr>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13957">
        <w:rPr>
          <w:rFonts w:ascii="Times New Roman" w:hAnsi="Times New Roman" w:cs="Times New Roman"/>
          <w:sz w:val="24"/>
          <w:szCs w:val="24"/>
        </w:rPr>
        <w:t>the</w:t>
      </w:r>
      <w:r w:rsidR="00792813">
        <w:rPr>
          <w:rFonts w:ascii="Times New Roman" w:hAnsi="Times New Roman" w:cs="Times New Roman"/>
          <w:sz w:val="24"/>
          <w:szCs w:val="24"/>
        </w:rPr>
        <w:t xml:space="preserve"> </w:t>
      </w:r>
      <w:r w:rsidR="00F96389">
        <w:rPr>
          <w:rFonts w:ascii="Times New Roman" w:hAnsi="Times New Roman" w:cs="Times New Roman"/>
          <w:sz w:val="24"/>
          <w:szCs w:val="24"/>
        </w:rPr>
        <w:t xml:space="preserve">first </w:t>
      </w:r>
      <w:r w:rsidR="00792813">
        <w:rPr>
          <w:rFonts w:ascii="Times New Roman" w:hAnsi="Times New Roman" w:cs="Times New Roman"/>
          <w:sz w:val="24"/>
          <w:szCs w:val="24"/>
        </w:rPr>
        <w:t>notification</w:t>
      </w:r>
      <w:r w:rsidR="00F96389">
        <w:rPr>
          <w:rFonts w:ascii="Times New Roman" w:hAnsi="Times New Roman" w:cs="Times New Roman"/>
          <w:sz w:val="24"/>
          <w:szCs w:val="24"/>
        </w:rPr>
        <w:t xml:space="preserve"> required under the </w:t>
      </w:r>
      <w:r w:rsidR="00BA2EB1">
        <w:rPr>
          <w:rFonts w:ascii="Times New Roman" w:hAnsi="Times New Roman" w:cs="Times New Roman"/>
          <w:sz w:val="24"/>
          <w:szCs w:val="24"/>
        </w:rPr>
        <w:t xml:space="preserve">‘publish and notify’ method </w:t>
      </w:r>
      <w:r w:rsidR="00792813">
        <w:rPr>
          <w:rFonts w:ascii="Times New Roman" w:hAnsi="Times New Roman" w:cs="Times New Roman"/>
          <w:sz w:val="24"/>
          <w:szCs w:val="24"/>
        </w:rPr>
        <w:t xml:space="preserve">need not </w:t>
      </w:r>
      <w:r w:rsidR="00D13957">
        <w:rPr>
          <w:rFonts w:ascii="Times New Roman" w:hAnsi="Times New Roman" w:cs="Times New Roman"/>
          <w:sz w:val="24"/>
          <w:szCs w:val="24"/>
        </w:rPr>
        <w:t xml:space="preserve">include the message </w:t>
      </w:r>
      <w:r w:rsidR="00792813">
        <w:rPr>
          <w:rFonts w:ascii="Times New Roman" w:hAnsi="Times New Roman" w:cs="Times New Roman"/>
          <w:sz w:val="24"/>
          <w:szCs w:val="24"/>
        </w:rPr>
        <w:t xml:space="preserve">that an election not to receive disclosure via the nominated electronic means will apply to any </w:t>
      </w:r>
      <w:r w:rsidR="00D13957">
        <w:rPr>
          <w:rFonts w:ascii="Times New Roman" w:hAnsi="Times New Roman" w:cs="Times New Roman"/>
          <w:sz w:val="24"/>
          <w:szCs w:val="24"/>
        </w:rPr>
        <w:t>disclosures made during the first 7 days where the provider has no grounds for believing it will send such a disclosure</w:t>
      </w:r>
      <w:r w:rsidR="00403743">
        <w:rPr>
          <w:rFonts w:ascii="Times New Roman" w:hAnsi="Times New Roman" w:cs="Times New Roman"/>
          <w:sz w:val="24"/>
          <w:szCs w:val="24"/>
        </w:rPr>
        <w:t>; and</w:t>
      </w:r>
    </w:p>
    <w:p w:rsidR="00D54C7E" w:rsidRDefault="00403743" w:rsidP="00D54C7E">
      <w:pPr>
        <w:ind w:left="567"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13957">
        <w:rPr>
          <w:rFonts w:ascii="Times New Roman" w:hAnsi="Times New Roman" w:cs="Times New Roman"/>
          <w:sz w:val="24"/>
          <w:szCs w:val="24"/>
        </w:rPr>
        <w:t xml:space="preserve">default superannuation fund trustees </w:t>
      </w:r>
      <w:r w:rsidR="00BA2EB1">
        <w:rPr>
          <w:rFonts w:ascii="Times New Roman" w:hAnsi="Times New Roman" w:cs="Times New Roman"/>
          <w:sz w:val="24"/>
          <w:szCs w:val="24"/>
        </w:rPr>
        <w:t>may</w:t>
      </w:r>
      <w:r w:rsidR="00D13957">
        <w:rPr>
          <w:rFonts w:ascii="Times New Roman" w:hAnsi="Times New Roman" w:cs="Times New Roman"/>
          <w:sz w:val="24"/>
          <w:szCs w:val="24"/>
        </w:rPr>
        <w:t xml:space="preserve"> use the electronic address </w:t>
      </w:r>
      <w:r w:rsidR="00BA2EB1">
        <w:rPr>
          <w:rFonts w:ascii="Times New Roman" w:hAnsi="Times New Roman" w:cs="Times New Roman"/>
          <w:sz w:val="24"/>
          <w:szCs w:val="24"/>
        </w:rPr>
        <w:t xml:space="preserve">for a member </w:t>
      </w:r>
      <w:r w:rsidR="00D13957">
        <w:rPr>
          <w:rFonts w:ascii="Times New Roman" w:hAnsi="Times New Roman" w:cs="Times New Roman"/>
          <w:sz w:val="24"/>
          <w:szCs w:val="24"/>
        </w:rPr>
        <w:t>provided</w:t>
      </w:r>
      <w:r w:rsidR="006C3C71">
        <w:rPr>
          <w:rFonts w:ascii="Times New Roman" w:hAnsi="Times New Roman" w:cs="Times New Roman"/>
          <w:sz w:val="24"/>
          <w:szCs w:val="24"/>
        </w:rPr>
        <w:t xml:space="preserve"> by an employer to disclose to the member using</w:t>
      </w:r>
      <w:r w:rsidR="00D13957">
        <w:rPr>
          <w:rFonts w:ascii="Times New Roman" w:hAnsi="Times New Roman" w:cs="Times New Roman"/>
          <w:sz w:val="24"/>
          <w:szCs w:val="24"/>
        </w:rPr>
        <w:t xml:space="preserve"> the 'publish and notify' method of disclosure</w:t>
      </w:r>
      <w:r w:rsidR="006C3C71">
        <w:rPr>
          <w:rFonts w:ascii="Times New Roman" w:hAnsi="Times New Roman" w:cs="Times New Roman"/>
          <w:sz w:val="24"/>
          <w:szCs w:val="24"/>
        </w:rPr>
        <w:t xml:space="preserve">, provided </w:t>
      </w:r>
      <w:r w:rsidR="00BA2EB1">
        <w:rPr>
          <w:rFonts w:ascii="Times New Roman" w:hAnsi="Times New Roman" w:cs="Times New Roman"/>
          <w:sz w:val="24"/>
          <w:szCs w:val="24"/>
        </w:rPr>
        <w:t xml:space="preserve">that </w:t>
      </w:r>
      <w:r w:rsidR="006C3C71" w:rsidRPr="006C3C71">
        <w:rPr>
          <w:rFonts w:ascii="Times New Roman" w:hAnsi="Times New Roman" w:cs="Times New Roman"/>
          <w:sz w:val="24"/>
          <w:szCs w:val="24"/>
        </w:rPr>
        <w:t>the trustee has no reasonable grounds to believe that the address is not a current address</w:t>
      </w:r>
      <w:r w:rsidR="00F77659">
        <w:rPr>
          <w:rFonts w:ascii="Times New Roman" w:hAnsi="Times New Roman" w:cs="Times New Roman"/>
          <w:sz w:val="24"/>
          <w:szCs w:val="24"/>
        </w:rPr>
        <w:t xml:space="preserve"> and certain other conditions are satisfied.</w:t>
      </w:r>
    </w:p>
    <w:p w:rsidR="00D54C7E" w:rsidRDefault="00D54C7E" w:rsidP="00D54C7E">
      <w:pPr>
        <w:ind w:left="567" w:hanging="56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successor default superannuation funds can use the electronic address for a member </w:t>
      </w:r>
      <w:r w:rsidR="007A6A6B">
        <w:rPr>
          <w:rFonts w:ascii="Times New Roman" w:hAnsi="Times New Roman" w:cs="Times New Roman"/>
          <w:sz w:val="24"/>
          <w:szCs w:val="24"/>
        </w:rPr>
        <w:t xml:space="preserve">where the address has been supplied by the employer to a predecessor fund. </w:t>
      </w:r>
    </w:p>
    <w:p w:rsidR="00EB3BD1" w:rsidRDefault="00F77659" w:rsidP="004C3C48">
      <w:pPr>
        <w:keepNext/>
        <w:rPr>
          <w:rFonts w:ascii="Times New Roman" w:hAnsi="Times New Roman" w:cs="Times New Roman"/>
          <w:sz w:val="24"/>
          <w:szCs w:val="24"/>
        </w:rPr>
      </w:pPr>
      <w:r>
        <w:rPr>
          <w:rFonts w:ascii="Times New Roman" w:hAnsi="Times New Roman" w:cs="Times New Roman"/>
          <w:sz w:val="24"/>
          <w:szCs w:val="24"/>
        </w:rPr>
        <w:lastRenderedPageBreak/>
        <w:t>The amending instrument amends subsection 5(9) of the principal instrument in relation to superannuation fund trustees who use an electronic address for a member provided by an employer</w:t>
      </w:r>
      <w:r w:rsidR="00D54C7E">
        <w:rPr>
          <w:rFonts w:ascii="Times New Roman" w:hAnsi="Times New Roman" w:cs="Times New Roman"/>
          <w:sz w:val="24"/>
          <w:szCs w:val="24"/>
        </w:rPr>
        <w:t>. When the trustee is using the 'publish and notify' method, the instrument requires that, if</w:t>
      </w:r>
      <w:r>
        <w:rPr>
          <w:rFonts w:ascii="Times New Roman" w:hAnsi="Times New Roman" w:cs="Times New Roman"/>
          <w:sz w:val="24"/>
          <w:szCs w:val="24"/>
        </w:rPr>
        <w:t xml:space="preserve"> </w:t>
      </w:r>
      <w:r w:rsidR="006C3C71" w:rsidRPr="006C3C71">
        <w:rPr>
          <w:rFonts w:ascii="Times New Roman" w:hAnsi="Times New Roman" w:cs="Times New Roman"/>
          <w:sz w:val="24"/>
          <w:szCs w:val="24"/>
        </w:rPr>
        <w:t xml:space="preserve">within 14 days of sending </w:t>
      </w:r>
      <w:r w:rsidR="006C3C71">
        <w:rPr>
          <w:rFonts w:ascii="Times New Roman" w:hAnsi="Times New Roman" w:cs="Times New Roman"/>
          <w:sz w:val="24"/>
          <w:szCs w:val="24"/>
        </w:rPr>
        <w:t>a notice under that method</w:t>
      </w:r>
      <w:r>
        <w:rPr>
          <w:rFonts w:ascii="Times New Roman" w:hAnsi="Times New Roman" w:cs="Times New Roman"/>
          <w:sz w:val="24"/>
          <w:szCs w:val="24"/>
        </w:rPr>
        <w:t xml:space="preserve">, the trustee has reasonable grounds for believing that the electronic address is not current, the trustee must make the relevant disclosure by another method. </w:t>
      </w:r>
      <w:r w:rsidR="009F043A">
        <w:rPr>
          <w:rFonts w:ascii="Times New Roman" w:hAnsi="Times New Roman" w:cs="Times New Roman"/>
          <w:sz w:val="24"/>
          <w:szCs w:val="24"/>
        </w:rPr>
        <w:t>The amending instrument also amends subsection 5(9) of the principal instrument to allow successor default superannuation funds to use the electronic address for a member where the address has been supplied by the employer to a predecessor fund</w:t>
      </w:r>
    </w:p>
    <w:p w:rsidR="00D51EB9" w:rsidRPr="00277675" w:rsidRDefault="008901BD" w:rsidP="004C3C48">
      <w:pPr>
        <w:keepNext/>
        <w:rPr>
          <w:rFonts w:ascii="Times New Roman" w:hAnsi="Times New Roman" w:cs="Times New Roman"/>
          <w:b/>
          <w:sz w:val="24"/>
          <w:szCs w:val="24"/>
          <w:lang w:val="en-US"/>
        </w:rPr>
      </w:pPr>
      <w:r>
        <w:rPr>
          <w:rFonts w:ascii="Times New Roman" w:hAnsi="Times New Roman" w:cs="Times New Roman"/>
          <w:b/>
          <w:sz w:val="24"/>
          <w:szCs w:val="24"/>
          <w:lang w:val="en-US"/>
        </w:rPr>
        <w:t>4</w:t>
      </w:r>
      <w:r w:rsidR="00D51EB9" w:rsidRPr="00277675">
        <w:rPr>
          <w:rFonts w:ascii="Times New Roman" w:hAnsi="Times New Roman" w:cs="Times New Roman"/>
          <w:b/>
          <w:sz w:val="24"/>
          <w:szCs w:val="24"/>
          <w:lang w:val="en-US"/>
        </w:rPr>
        <w:t>.</w:t>
      </w:r>
      <w:r w:rsidR="00D51EB9" w:rsidRPr="00277675">
        <w:rPr>
          <w:rFonts w:ascii="Times New Roman" w:hAnsi="Times New Roman" w:cs="Times New Roman"/>
          <w:b/>
          <w:sz w:val="24"/>
          <w:szCs w:val="24"/>
          <w:lang w:val="en-US"/>
        </w:rPr>
        <w:tab/>
        <w:t>Consultation</w:t>
      </w:r>
    </w:p>
    <w:p w:rsidR="006B2CCF" w:rsidRDefault="008901BD" w:rsidP="000B7129">
      <w:pPr>
        <w:keepNext/>
        <w:rPr>
          <w:rFonts w:ascii="Times New Roman" w:hAnsi="Times New Roman" w:cs="Times New Roman"/>
          <w:sz w:val="24"/>
          <w:szCs w:val="24"/>
        </w:rPr>
      </w:pPr>
      <w:r>
        <w:rPr>
          <w:rFonts w:ascii="Times New Roman" w:hAnsi="Times New Roman" w:cs="Times New Roman"/>
          <w:sz w:val="24"/>
          <w:szCs w:val="24"/>
        </w:rPr>
        <w:t xml:space="preserve">ASIC </w:t>
      </w:r>
      <w:r w:rsidR="006923F8">
        <w:rPr>
          <w:rFonts w:ascii="Times New Roman" w:hAnsi="Times New Roman" w:cs="Times New Roman"/>
          <w:sz w:val="24"/>
          <w:szCs w:val="24"/>
        </w:rPr>
        <w:t xml:space="preserve">engaged in targeted consultation on the </w:t>
      </w:r>
      <w:r w:rsidR="00BF0C68">
        <w:rPr>
          <w:rFonts w:ascii="Times New Roman" w:hAnsi="Times New Roman" w:cs="Times New Roman"/>
          <w:sz w:val="24"/>
          <w:szCs w:val="24"/>
        </w:rPr>
        <w:t xml:space="preserve">amending </w:t>
      </w:r>
      <w:r w:rsidR="006923F8">
        <w:rPr>
          <w:rFonts w:ascii="Times New Roman" w:hAnsi="Times New Roman" w:cs="Times New Roman"/>
          <w:sz w:val="24"/>
          <w:szCs w:val="24"/>
        </w:rPr>
        <w:t>instrument</w:t>
      </w:r>
      <w:r>
        <w:rPr>
          <w:rFonts w:ascii="Times New Roman" w:hAnsi="Times New Roman" w:cs="Times New Roman"/>
          <w:sz w:val="24"/>
          <w:szCs w:val="24"/>
        </w:rPr>
        <w:t xml:space="preserve"> as the amendment</w:t>
      </w:r>
      <w:r w:rsidR="00BF0C68">
        <w:rPr>
          <w:rFonts w:ascii="Times New Roman" w:hAnsi="Times New Roman" w:cs="Times New Roman"/>
          <w:sz w:val="24"/>
          <w:szCs w:val="24"/>
        </w:rPr>
        <w:t>s</w:t>
      </w:r>
      <w:r>
        <w:rPr>
          <w:rFonts w:ascii="Times New Roman" w:hAnsi="Times New Roman" w:cs="Times New Roman"/>
          <w:sz w:val="24"/>
          <w:szCs w:val="24"/>
        </w:rPr>
        <w:t xml:space="preserve"> made by </w:t>
      </w:r>
      <w:r w:rsidR="006923F8">
        <w:rPr>
          <w:rFonts w:ascii="Times New Roman" w:hAnsi="Times New Roman" w:cs="Times New Roman"/>
          <w:sz w:val="24"/>
          <w:szCs w:val="24"/>
        </w:rPr>
        <w:t>the instrument</w:t>
      </w:r>
      <w:r w:rsidR="000B7129">
        <w:rPr>
          <w:rFonts w:ascii="Times New Roman" w:hAnsi="Times New Roman" w:cs="Times New Roman"/>
          <w:sz w:val="24"/>
          <w:szCs w:val="24"/>
        </w:rPr>
        <w:t xml:space="preserve"> </w:t>
      </w:r>
      <w:r w:rsidR="00BF0C68">
        <w:rPr>
          <w:rFonts w:ascii="Times New Roman" w:hAnsi="Times New Roman" w:cs="Times New Roman"/>
          <w:sz w:val="24"/>
          <w:szCs w:val="24"/>
        </w:rPr>
        <w:t xml:space="preserve">are </w:t>
      </w:r>
      <w:r w:rsidR="000B7129">
        <w:rPr>
          <w:rFonts w:ascii="Times New Roman" w:hAnsi="Times New Roman" w:cs="Times New Roman"/>
          <w:sz w:val="24"/>
          <w:szCs w:val="24"/>
        </w:rPr>
        <w:t xml:space="preserve">of </w:t>
      </w:r>
      <w:r>
        <w:rPr>
          <w:rFonts w:ascii="Times New Roman" w:hAnsi="Times New Roman" w:cs="Times New Roman"/>
          <w:sz w:val="24"/>
          <w:szCs w:val="24"/>
        </w:rPr>
        <w:t>a minor nature.</w:t>
      </w:r>
      <w:r w:rsidR="0083259C">
        <w:rPr>
          <w:rFonts w:ascii="Times New Roman" w:hAnsi="Times New Roman" w:cs="Times New Roman"/>
          <w:sz w:val="24"/>
          <w:szCs w:val="24"/>
        </w:rPr>
        <w:t xml:space="preserve"> ASIC engaged in comprehensive consultation on the principal instrument</w:t>
      </w:r>
      <w:r w:rsidR="00F03F1F">
        <w:rPr>
          <w:rFonts w:ascii="Times New Roman" w:hAnsi="Times New Roman" w:cs="Times New Roman"/>
          <w:sz w:val="24"/>
          <w:szCs w:val="24"/>
        </w:rPr>
        <w:t xml:space="preserve"> and the policy underlying the principal instrument in </w:t>
      </w:r>
      <w:r w:rsidR="00F03F1F">
        <w:rPr>
          <w:rFonts w:ascii="Times New Roman" w:hAnsi="Times New Roman" w:cs="Times New Roman"/>
          <w:i/>
          <w:sz w:val="24"/>
          <w:szCs w:val="24"/>
        </w:rPr>
        <w:t>Consultation Paper 224 Facilitating Electronic Financial Services Disclosure</w:t>
      </w:r>
      <w:r w:rsidR="00F03F1F">
        <w:rPr>
          <w:rFonts w:ascii="Times New Roman" w:hAnsi="Times New Roman" w:cs="Times New Roman"/>
          <w:sz w:val="24"/>
          <w:szCs w:val="24"/>
        </w:rPr>
        <w:t xml:space="preserve"> and through various individual and group meetings.  </w:t>
      </w:r>
      <w:r w:rsidR="007A6A6B">
        <w:rPr>
          <w:rFonts w:ascii="Times New Roman" w:hAnsi="Times New Roman" w:cs="Times New Roman"/>
          <w:sz w:val="24"/>
          <w:szCs w:val="24"/>
        </w:rPr>
        <w:t xml:space="preserve">The Office of Best Practice Regulation has confirmed that a RIS is not required as the amending instrument is of a minor and technical nature only. </w:t>
      </w:r>
      <w:r w:rsidR="008325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D7298" w:rsidRDefault="009D7298">
      <w:pPr>
        <w:rPr>
          <w:rFonts w:ascii="Times New Roman" w:hAnsi="Times New Roman" w:cs="Times New Roman"/>
          <w:sz w:val="24"/>
          <w:szCs w:val="24"/>
        </w:rPr>
      </w:pPr>
      <w:r>
        <w:rPr>
          <w:rFonts w:ascii="Times New Roman" w:hAnsi="Times New Roman" w:cs="Times New Roman"/>
          <w:sz w:val="24"/>
          <w:szCs w:val="24"/>
        </w:rPr>
        <w:br w:type="page"/>
      </w:r>
    </w:p>
    <w:p w:rsidR="009D7298" w:rsidRPr="00277675" w:rsidRDefault="001A3A48" w:rsidP="00A54461">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58240" behindDoc="0" locked="0" layoutInCell="1" allowOverlap="1" wp14:anchorId="12F6F0D4" wp14:editId="2681A8CB">
                <wp:simplePos x="0" y="0"/>
                <wp:positionH relativeFrom="column">
                  <wp:posOffset>171450</wp:posOffset>
                </wp:positionH>
                <wp:positionV relativeFrom="paragraph">
                  <wp:posOffset>614680</wp:posOffset>
                </wp:positionV>
                <wp:extent cx="5311140" cy="745807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458075"/>
                        </a:xfrm>
                        <a:prstGeom prst="rect">
                          <a:avLst/>
                        </a:prstGeom>
                        <a:solidFill>
                          <a:srgbClr val="FFFFFF"/>
                        </a:solidFill>
                        <a:ln w="76200" cmpd="tri">
                          <a:solidFill>
                            <a:srgbClr val="000000"/>
                          </a:solidFill>
                          <a:miter lim="800000"/>
                          <a:headEnd/>
                          <a:tailEnd/>
                        </a:ln>
                      </wps:spPr>
                      <wps:txbx>
                        <w:txbxContent>
                          <w:p w:rsidR="006548B9" w:rsidRPr="00834797" w:rsidRDefault="006548B9" w:rsidP="001A3A48">
                            <w:pPr>
                              <w:spacing w:before="360" w:after="120"/>
                              <w:jc w:val="center"/>
                              <w:rPr>
                                <w:b/>
                              </w:rPr>
                            </w:pPr>
                            <w:r w:rsidRPr="00834797">
                              <w:rPr>
                                <w:b/>
                              </w:rPr>
                              <w:t>Statement of Compatibility with Human Rights</w:t>
                            </w:r>
                          </w:p>
                          <w:p w:rsidR="006548B9" w:rsidRPr="00247F54" w:rsidRDefault="006548B9" w:rsidP="001A3A48">
                            <w:pPr>
                              <w:spacing w:before="120" w:after="120"/>
                              <w:jc w:val="center"/>
                            </w:pPr>
                            <w:r w:rsidRPr="00247F54">
                              <w:rPr>
                                <w:i/>
                              </w:rPr>
                              <w:t>Prepared in accordance with Part 3 of the Human Rights (Parliamentary Scrutiny) Act 2011</w:t>
                            </w:r>
                          </w:p>
                          <w:p w:rsidR="006548B9" w:rsidRPr="00247F54" w:rsidRDefault="006548B9" w:rsidP="001A3A48">
                            <w:pPr>
                              <w:spacing w:before="120" w:after="120"/>
                              <w:jc w:val="center"/>
                            </w:pPr>
                          </w:p>
                          <w:p w:rsidR="006548B9" w:rsidRDefault="006548B9" w:rsidP="001A3A48">
                            <w:pPr>
                              <w:spacing w:before="120" w:after="120"/>
                              <w:jc w:val="center"/>
                              <w:rPr>
                                <w:b/>
                              </w:rPr>
                            </w:pPr>
                            <w:r w:rsidRPr="003046AF">
                              <w:rPr>
                                <w:b/>
                              </w:rPr>
                              <w:t>ASIC Corporations (</w:t>
                            </w:r>
                            <w:r>
                              <w:rPr>
                                <w:b/>
                              </w:rPr>
                              <w:t>Amend</w:t>
                            </w:r>
                            <w:r w:rsidR="0089346D">
                              <w:rPr>
                                <w:b/>
                              </w:rPr>
                              <w:t>ment</w:t>
                            </w:r>
                            <w:r>
                              <w:rPr>
                                <w:b/>
                              </w:rPr>
                              <w:t>) Instrument 2016/</w:t>
                            </w:r>
                            <w:r w:rsidR="0089346D">
                              <w:rPr>
                                <w:b/>
                              </w:rPr>
                              <w:t>103</w:t>
                            </w:r>
                          </w:p>
                          <w:p w:rsidR="006548B9" w:rsidRPr="00247F54" w:rsidRDefault="006548B9" w:rsidP="001A3A48">
                            <w:pPr>
                              <w:spacing w:before="120" w:after="120"/>
                              <w:jc w:val="center"/>
                            </w:pPr>
                            <w:r>
                              <w:t xml:space="preserve">The instrument 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6548B9" w:rsidRPr="00247F54" w:rsidRDefault="006548B9" w:rsidP="001A3A48">
                            <w:pPr>
                              <w:spacing w:before="120" w:after="120"/>
                              <w:jc w:val="center"/>
                            </w:pPr>
                          </w:p>
                          <w:p w:rsidR="006548B9" w:rsidRPr="00247F54" w:rsidRDefault="006548B9" w:rsidP="001A3A48">
                            <w:pPr>
                              <w:spacing w:before="120" w:after="120"/>
                              <w:jc w:val="both"/>
                              <w:rPr>
                                <w:b/>
                              </w:rPr>
                            </w:pPr>
                            <w:r w:rsidRPr="00247F54">
                              <w:rPr>
                                <w:b/>
                              </w:rPr>
                              <w:t>Overview</w:t>
                            </w:r>
                          </w:p>
                          <w:p w:rsidR="006548B9" w:rsidRDefault="006548B9" w:rsidP="001A3A48">
                            <w:pPr>
                              <w:autoSpaceDE w:val="0"/>
                              <w:autoSpaceDN w:val="0"/>
                              <w:adjustRightInd w:val="0"/>
                              <w:spacing w:after="0" w:line="240" w:lineRule="auto"/>
                            </w:pPr>
                            <w:r>
                              <w:t xml:space="preserve">The principal instrument further facilitates digital financial services disclosure by providing relief to enhance the ability to product issuers to make disclosure documents available electronically. </w:t>
                            </w:r>
                          </w:p>
                          <w:p w:rsidR="006548B9" w:rsidRDefault="006548B9" w:rsidP="001A3A48">
                            <w:pPr>
                              <w:autoSpaceDE w:val="0"/>
                              <w:autoSpaceDN w:val="0"/>
                              <w:adjustRightInd w:val="0"/>
                              <w:spacing w:after="0" w:line="240" w:lineRule="auto"/>
                            </w:pPr>
                          </w:p>
                          <w:p w:rsidR="006548B9" w:rsidRDefault="006548B9" w:rsidP="001A3A48">
                            <w:pPr>
                              <w:autoSpaceDE w:val="0"/>
                              <w:autoSpaceDN w:val="0"/>
                              <w:adjustRightInd w:val="0"/>
                              <w:spacing w:after="0" w:line="240" w:lineRule="auto"/>
                              <w:rPr>
                                <w:rFonts w:ascii="Times New Roman" w:hAnsi="Times New Roman" w:cs="Times New Roman"/>
                                <w:sz w:val="24"/>
                                <w:szCs w:val="24"/>
                              </w:rPr>
                            </w:pPr>
                            <w:r>
                              <w:t xml:space="preserve">The amending instrument simplifies a notification requirement and extends the relief to certain superannuation trustees. </w:t>
                            </w:r>
                          </w:p>
                          <w:p w:rsidR="006548B9" w:rsidRPr="00883DB6" w:rsidRDefault="006548B9" w:rsidP="001A3A48">
                            <w:pPr>
                              <w:spacing w:before="120" w:after="120"/>
                            </w:pPr>
                          </w:p>
                          <w:p w:rsidR="006548B9" w:rsidRPr="00247F54" w:rsidRDefault="006548B9" w:rsidP="001A3A48">
                            <w:pPr>
                              <w:spacing w:before="120" w:after="120"/>
                              <w:rPr>
                                <w:b/>
                              </w:rPr>
                            </w:pPr>
                            <w:r w:rsidRPr="00247F54">
                              <w:rPr>
                                <w:b/>
                              </w:rPr>
                              <w:t>Human rights implications</w:t>
                            </w:r>
                          </w:p>
                          <w:p w:rsidR="006548B9" w:rsidRPr="00247F54" w:rsidRDefault="006548B9" w:rsidP="001A3A48">
                            <w:pPr>
                              <w:spacing w:before="120" w:after="120"/>
                            </w:pPr>
                            <w:r>
                              <w:t>The</w:t>
                            </w:r>
                            <w:r w:rsidRPr="00247F54">
                              <w:t xml:space="preserve"> </w:t>
                            </w:r>
                            <w:r>
                              <w:t>l</w:t>
                            </w:r>
                            <w:r w:rsidRPr="00247F54">
                              <w:t xml:space="preserve">egislative </w:t>
                            </w:r>
                            <w:r>
                              <w:t>i</w:t>
                            </w:r>
                            <w:r w:rsidRPr="00247F54">
                              <w:t>nstrument</w:t>
                            </w:r>
                            <w:r>
                              <w:t xml:space="preserve"> does not </w:t>
                            </w:r>
                            <w:r w:rsidRPr="00247F54">
                              <w:t>engage any of the applicable rights or freedoms.</w:t>
                            </w:r>
                          </w:p>
                          <w:p w:rsidR="006548B9" w:rsidRDefault="006548B9" w:rsidP="001A3A48">
                            <w:pPr>
                              <w:spacing w:before="120" w:after="120"/>
                              <w:rPr>
                                <w:b/>
                              </w:rPr>
                            </w:pPr>
                          </w:p>
                          <w:p w:rsidR="006548B9" w:rsidRPr="00247F54" w:rsidRDefault="006548B9" w:rsidP="001A3A48">
                            <w:pPr>
                              <w:spacing w:before="120" w:after="120"/>
                              <w:rPr>
                                <w:b/>
                              </w:rPr>
                            </w:pPr>
                            <w:r w:rsidRPr="00247F54">
                              <w:rPr>
                                <w:b/>
                              </w:rPr>
                              <w:t>Conclusion</w:t>
                            </w:r>
                          </w:p>
                          <w:p w:rsidR="006548B9" w:rsidRPr="00247F54" w:rsidRDefault="006548B9" w:rsidP="001A3A48">
                            <w:pPr>
                              <w:spacing w:before="120" w:after="120"/>
                            </w:pPr>
                            <w:r>
                              <w:t>The</w:t>
                            </w:r>
                            <w:r w:rsidRPr="00247F54">
                              <w:t xml:space="preserve"> </w:t>
                            </w:r>
                            <w:r>
                              <w:t>l</w:t>
                            </w:r>
                            <w:r w:rsidRPr="00247F54">
                              <w:t xml:space="preserve">egislative </w:t>
                            </w:r>
                            <w:r>
                              <w:t>instrument is</w:t>
                            </w:r>
                            <w:r w:rsidRPr="00247F54">
                              <w:t xml:space="preserve"> compatible with human rights as </w:t>
                            </w:r>
                            <w:r>
                              <w:t>it does</w:t>
                            </w:r>
                            <w:r w:rsidRPr="00247F54">
                              <w:t xml:space="preserve"> not raise any human rights issues.</w:t>
                            </w:r>
                          </w:p>
                          <w:p w:rsidR="006548B9" w:rsidRPr="00E4135E" w:rsidRDefault="006548B9" w:rsidP="001A3A48">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5pt;margin-top:48.4pt;width:418.2pt;height:58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" strokeweight="6pt">
                <v:stroke linestyle="thickBetweenThin"/>
                <v:textbox inset="5mm,,5mm">
                  <w:txbxContent>
                    <w:p w:rsidR="006548B9" w:rsidRPr="00834797" w:rsidRDefault="006548B9" w:rsidP="001A3A48">
                      <w:pPr>
                        <w:spacing w:before="360" w:after="120"/>
                        <w:jc w:val="center"/>
                        <w:rPr>
                          <w:b/>
                        </w:rPr>
                      </w:pPr>
                      <w:r w:rsidRPr="00834797">
                        <w:rPr>
                          <w:b/>
                        </w:rPr>
                        <w:t>Statement of Compatibility with Human Rights</w:t>
                      </w:r>
                    </w:p>
                    <w:p w:rsidR="006548B9" w:rsidRPr="00247F54" w:rsidRDefault="006548B9" w:rsidP="001A3A48">
                      <w:pPr>
                        <w:spacing w:before="120" w:after="120"/>
                        <w:jc w:val="center"/>
                      </w:pPr>
                      <w:r w:rsidRPr="00247F54">
                        <w:rPr>
                          <w:i/>
                        </w:rPr>
                        <w:t>Prepared in accordance with Part 3 of the Human Rights (Parliamentary Scrutiny) Act 2011</w:t>
                      </w:r>
                    </w:p>
                    <w:p w:rsidR="006548B9" w:rsidRPr="00247F54" w:rsidRDefault="006548B9" w:rsidP="001A3A48">
                      <w:pPr>
                        <w:spacing w:before="120" w:after="120"/>
                        <w:jc w:val="center"/>
                      </w:pPr>
                    </w:p>
                    <w:p w:rsidR="006548B9" w:rsidRDefault="006548B9" w:rsidP="001A3A48">
                      <w:pPr>
                        <w:spacing w:before="120" w:after="120"/>
                        <w:jc w:val="center"/>
                        <w:rPr>
                          <w:b/>
                        </w:rPr>
                      </w:pPr>
                      <w:r w:rsidRPr="003046AF">
                        <w:rPr>
                          <w:b/>
                        </w:rPr>
                        <w:t>ASIC Corporations (</w:t>
                      </w:r>
                      <w:r>
                        <w:rPr>
                          <w:b/>
                        </w:rPr>
                        <w:t>Amend</w:t>
                      </w:r>
                      <w:r w:rsidR="0089346D">
                        <w:rPr>
                          <w:b/>
                        </w:rPr>
                        <w:t>ment</w:t>
                      </w:r>
                      <w:r>
                        <w:rPr>
                          <w:b/>
                        </w:rPr>
                        <w:t>) Instrument 2016/</w:t>
                      </w:r>
                      <w:r w:rsidR="0089346D">
                        <w:rPr>
                          <w:b/>
                        </w:rPr>
                        <w:t>103</w:t>
                      </w:r>
                    </w:p>
                    <w:p w:rsidR="006548B9" w:rsidRPr="00247F54" w:rsidRDefault="006548B9" w:rsidP="001A3A48">
                      <w:pPr>
                        <w:spacing w:before="120" w:after="120"/>
                        <w:jc w:val="center"/>
                      </w:pPr>
                      <w:r>
                        <w:t xml:space="preserve">The instrument is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rsidR="006548B9" w:rsidRPr="00247F54" w:rsidRDefault="006548B9" w:rsidP="001A3A48">
                      <w:pPr>
                        <w:spacing w:before="120" w:after="120"/>
                        <w:jc w:val="center"/>
                      </w:pPr>
                    </w:p>
                    <w:p w:rsidR="006548B9" w:rsidRPr="00247F54" w:rsidRDefault="006548B9" w:rsidP="001A3A48">
                      <w:pPr>
                        <w:spacing w:before="120" w:after="120"/>
                        <w:jc w:val="both"/>
                        <w:rPr>
                          <w:b/>
                        </w:rPr>
                      </w:pPr>
                      <w:r w:rsidRPr="00247F54">
                        <w:rPr>
                          <w:b/>
                        </w:rPr>
                        <w:t>Overview</w:t>
                      </w:r>
                    </w:p>
                    <w:p w:rsidR="006548B9" w:rsidRDefault="006548B9" w:rsidP="001A3A48">
                      <w:pPr>
                        <w:autoSpaceDE w:val="0"/>
                        <w:autoSpaceDN w:val="0"/>
                        <w:adjustRightInd w:val="0"/>
                        <w:spacing w:after="0" w:line="240" w:lineRule="auto"/>
                      </w:pPr>
                      <w:r>
                        <w:t xml:space="preserve">The principal instrument further facilitates digital financial services disclosure by providing relief to enhance the ability to product issuers to make disclosure documents available electronically. </w:t>
                      </w:r>
                    </w:p>
                    <w:p w:rsidR="006548B9" w:rsidRDefault="006548B9" w:rsidP="001A3A48">
                      <w:pPr>
                        <w:autoSpaceDE w:val="0"/>
                        <w:autoSpaceDN w:val="0"/>
                        <w:adjustRightInd w:val="0"/>
                        <w:spacing w:after="0" w:line="240" w:lineRule="auto"/>
                      </w:pPr>
                    </w:p>
                    <w:p w:rsidR="006548B9" w:rsidRDefault="006548B9" w:rsidP="001A3A48">
                      <w:pPr>
                        <w:autoSpaceDE w:val="0"/>
                        <w:autoSpaceDN w:val="0"/>
                        <w:adjustRightInd w:val="0"/>
                        <w:spacing w:after="0" w:line="240" w:lineRule="auto"/>
                        <w:rPr>
                          <w:rFonts w:ascii="Times New Roman" w:hAnsi="Times New Roman" w:cs="Times New Roman"/>
                          <w:sz w:val="24"/>
                          <w:szCs w:val="24"/>
                        </w:rPr>
                      </w:pPr>
                      <w:r>
                        <w:t xml:space="preserve">The amending instrument simplifies a notification requirement and extends the relief to certain superannuation trustees. </w:t>
                      </w:r>
                    </w:p>
                    <w:p w:rsidR="006548B9" w:rsidRPr="00883DB6" w:rsidRDefault="006548B9" w:rsidP="001A3A48">
                      <w:pPr>
                        <w:spacing w:before="120" w:after="120"/>
                      </w:pPr>
                    </w:p>
                    <w:p w:rsidR="006548B9" w:rsidRPr="00247F54" w:rsidRDefault="006548B9" w:rsidP="001A3A48">
                      <w:pPr>
                        <w:spacing w:before="120" w:after="120"/>
                        <w:rPr>
                          <w:b/>
                        </w:rPr>
                      </w:pPr>
                      <w:r w:rsidRPr="00247F54">
                        <w:rPr>
                          <w:b/>
                        </w:rPr>
                        <w:t>Human rights implications</w:t>
                      </w:r>
                    </w:p>
                    <w:p w:rsidR="006548B9" w:rsidRPr="00247F54" w:rsidRDefault="006548B9" w:rsidP="001A3A48">
                      <w:pPr>
                        <w:spacing w:before="120" w:after="120"/>
                      </w:pPr>
                      <w:r>
                        <w:t>The</w:t>
                      </w:r>
                      <w:r w:rsidRPr="00247F54">
                        <w:t xml:space="preserve"> </w:t>
                      </w:r>
                      <w:r>
                        <w:t>l</w:t>
                      </w:r>
                      <w:r w:rsidRPr="00247F54">
                        <w:t xml:space="preserve">egislative </w:t>
                      </w:r>
                      <w:r>
                        <w:t>i</w:t>
                      </w:r>
                      <w:r w:rsidRPr="00247F54">
                        <w:t>nstrument</w:t>
                      </w:r>
                      <w:r>
                        <w:t xml:space="preserve"> does not </w:t>
                      </w:r>
                      <w:r w:rsidRPr="00247F54">
                        <w:t>engage any of the applicable rights or freedoms.</w:t>
                      </w:r>
                    </w:p>
                    <w:p w:rsidR="006548B9" w:rsidRDefault="006548B9" w:rsidP="001A3A48">
                      <w:pPr>
                        <w:spacing w:before="120" w:after="120"/>
                        <w:rPr>
                          <w:b/>
                        </w:rPr>
                      </w:pPr>
                    </w:p>
                    <w:p w:rsidR="006548B9" w:rsidRPr="00247F54" w:rsidRDefault="006548B9" w:rsidP="001A3A48">
                      <w:pPr>
                        <w:spacing w:before="120" w:after="120"/>
                        <w:rPr>
                          <w:b/>
                        </w:rPr>
                      </w:pPr>
                      <w:r w:rsidRPr="00247F54">
                        <w:rPr>
                          <w:b/>
                        </w:rPr>
                        <w:t>Conclusion</w:t>
                      </w:r>
                    </w:p>
                    <w:p w:rsidR="006548B9" w:rsidRPr="00247F54" w:rsidRDefault="006548B9" w:rsidP="001A3A48">
                      <w:pPr>
                        <w:spacing w:before="120" w:after="120"/>
                      </w:pPr>
                      <w:r>
                        <w:t>The</w:t>
                      </w:r>
                      <w:r w:rsidRPr="00247F54">
                        <w:t xml:space="preserve"> </w:t>
                      </w:r>
                      <w:r>
                        <w:t>l</w:t>
                      </w:r>
                      <w:r w:rsidRPr="00247F54">
                        <w:t xml:space="preserve">egislative </w:t>
                      </w:r>
                      <w:r>
                        <w:t>instrument is</w:t>
                      </w:r>
                      <w:r w:rsidRPr="00247F54">
                        <w:t xml:space="preserve"> compatible with human rights as </w:t>
                      </w:r>
                      <w:r>
                        <w:t>it does</w:t>
                      </w:r>
                      <w:r w:rsidRPr="00247F54">
                        <w:t xml:space="preserve"> not raise any human rights issues.</w:t>
                      </w:r>
                    </w:p>
                    <w:p w:rsidR="006548B9" w:rsidRPr="00E4135E" w:rsidRDefault="006548B9" w:rsidP="001A3A48">
                      <w:pPr>
                        <w:spacing w:before="120" w:after="120"/>
                        <w:jc w:val="center"/>
                      </w:pPr>
                    </w:p>
                  </w:txbxContent>
                </v:textbox>
              </v:rect>
            </w:pict>
          </mc:Fallback>
        </mc:AlternateContent>
      </w: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Default="001A3A48" w:rsidP="00B160E1">
      <w:pPr>
        <w:jc w:val="center"/>
        <w:rPr>
          <w:rFonts w:ascii="Times New Roman" w:hAnsi="Times New Roman" w:cs="Times New Roman"/>
          <w:b/>
          <w:sz w:val="24"/>
          <w:szCs w:val="24"/>
        </w:rPr>
      </w:pPr>
    </w:p>
    <w:p w:rsidR="001A3A48" w:rsidRPr="00CF7CDB" w:rsidRDefault="001A3A48" w:rsidP="00CF7CDB">
      <w:pPr>
        <w:jc w:val="center"/>
        <w:rPr>
          <w:rFonts w:ascii="Times New Roman" w:hAnsi="Times New Roman" w:cs="Times New Roman"/>
          <w:b/>
          <w:sz w:val="24"/>
          <w:szCs w:val="24"/>
        </w:rPr>
      </w:pPr>
    </w:p>
    <w:sectPr w:rsidR="001A3A48" w:rsidRPr="00CF7CDB" w:rsidSect="003D74C3">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E53" w:rsidRDefault="00653E53" w:rsidP="00FA277E">
      <w:pPr>
        <w:spacing w:after="0" w:line="240" w:lineRule="auto"/>
      </w:pPr>
      <w:r>
        <w:separator/>
      </w:r>
    </w:p>
  </w:endnote>
  <w:endnote w:type="continuationSeparator" w:id="0">
    <w:p w:rsidR="00653E53" w:rsidRDefault="00653E53" w:rsidP="00FA277E">
      <w:pPr>
        <w:spacing w:after="0" w:line="240" w:lineRule="auto"/>
      </w:pPr>
      <w:r>
        <w:continuationSeparator/>
      </w:r>
    </w:p>
  </w:endnote>
  <w:endnote w:type="continuationNotice" w:id="1">
    <w:p w:rsidR="00653E53" w:rsidRDefault="00653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38016"/>
      <w:docPartObj>
        <w:docPartGallery w:val="Page Numbers (Bottom of Page)"/>
        <w:docPartUnique/>
      </w:docPartObj>
    </w:sdtPr>
    <w:sdtEndPr/>
    <w:sdtContent>
      <w:p w:rsidR="006548B9" w:rsidRDefault="006548B9">
        <w:pPr>
          <w:pStyle w:val="Footer"/>
          <w:jc w:val="right"/>
        </w:pPr>
        <w:r>
          <w:fldChar w:fldCharType="begin"/>
        </w:r>
        <w:r>
          <w:instrText xml:space="preserve"> PAGE   \* MERGEFORMAT </w:instrText>
        </w:r>
        <w:r>
          <w:fldChar w:fldCharType="separate"/>
        </w:r>
        <w:r w:rsidR="00564013">
          <w:rPr>
            <w:noProof/>
          </w:rPr>
          <w:t>2</w:t>
        </w:r>
        <w:r>
          <w:rPr>
            <w:noProof/>
          </w:rPr>
          <w:fldChar w:fldCharType="end"/>
        </w:r>
      </w:p>
    </w:sdtContent>
  </w:sdt>
  <w:p w:rsidR="006548B9" w:rsidRDefault="00654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E53" w:rsidRDefault="00653E53" w:rsidP="00FA277E">
      <w:pPr>
        <w:spacing w:after="0" w:line="240" w:lineRule="auto"/>
      </w:pPr>
      <w:r>
        <w:separator/>
      </w:r>
    </w:p>
  </w:footnote>
  <w:footnote w:type="continuationSeparator" w:id="0">
    <w:p w:rsidR="00653E53" w:rsidRDefault="00653E53" w:rsidP="00FA277E">
      <w:pPr>
        <w:spacing w:after="0" w:line="240" w:lineRule="auto"/>
      </w:pPr>
      <w:r>
        <w:continuationSeparator/>
      </w:r>
    </w:p>
  </w:footnote>
  <w:footnote w:type="continuationNotice" w:id="1">
    <w:p w:rsidR="00653E53" w:rsidRDefault="00653E5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156"/>
    <w:multiLevelType w:val="hybridMultilevel"/>
    <w:tmpl w:val="60700C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ED0CB0"/>
    <w:multiLevelType w:val="hybridMultilevel"/>
    <w:tmpl w:val="4DCAC5DE"/>
    <w:lvl w:ilvl="0" w:tplc="A85419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83733D"/>
    <w:multiLevelType w:val="hybridMultilevel"/>
    <w:tmpl w:val="8E480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C21292"/>
    <w:multiLevelType w:val="hybridMultilevel"/>
    <w:tmpl w:val="1CCC40E4"/>
    <w:lvl w:ilvl="0" w:tplc="90BAD6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DCD1089"/>
    <w:multiLevelType w:val="hybridMultilevel"/>
    <w:tmpl w:val="222E8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FC3D78"/>
    <w:multiLevelType w:val="hybridMultilevel"/>
    <w:tmpl w:val="EFC02F40"/>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196216"/>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A2068A5"/>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260F6C"/>
    <w:multiLevelType w:val="hybridMultilevel"/>
    <w:tmpl w:val="8702D69A"/>
    <w:lvl w:ilvl="0" w:tplc="B0540D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FA1DAA"/>
    <w:multiLevelType w:val="hybridMultilevel"/>
    <w:tmpl w:val="509616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DF020E"/>
    <w:multiLevelType w:val="hybridMultilevel"/>
    <w:tmpl w:val="0C32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861807"/>
    <w:multiLevelType w:val="multilevel"/>
    <w:tmpl w:val="FFF0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462F77"/>
    <w:multiLevelType w:val="hybridMultilevel"/>
    <w:tmpl w:val="B9825BBE"/>
    <w:lvl w:ilvl="0" w:tplc="A49CA5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1465EDD"/>
    <w:multiLevelType w:val="hybridMultilevel"/>
    <w:tmpl w:val="EFC02F40"/>
    <w:lvl w:ilvl="0" w:tplc="5AEE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2D65CF5"/>
    <w:multiLevelType w:val="hybridMultilevel"/>
    <w:tmpl w:val="BB94BF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51A27A6"/>
    <w:multiLevelType w:val="hybridMultilevel"/>
    <w:tmpl w:val="213A2610"/>
    <w:lvl w:ilvl="0" w:tplc="9CEC862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CB75F31"/>
    <w:multiLevelType w:val="hybridMultilevel"/>
    <w:tmpl w:val="1478A862"/>
    <w:lvl w:ilvl="0" w:tplc="90BAD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DF318B4"/>
    <w:multiLevelType w:val="hybridMultilevel"/>
    <w:tmpl w:val="397488C6"/>
    <w:lvl w:ilvl="0" w:tplc="0E52B236">
      <w:start w:val="1"/>
      <w:numFmt w:val="lowerLetter"/>
      <w:lvlText w:val="(%1)"/>
      <w:lvlJc w:val="left"/>
      <w:pPr>
        <w:ind w:left="2629"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14"/>
  </w:num>
  <w:num w:numId="2">
    <w:abstractNumId w:val="2"/>
  </w:num>
  <w:num w:numId="3">
    <w:abstractNumId w:val="10"/>
  </w:num>
  <w:num w:numId="4">
    <w:abstractNumId w:val="15"/>
  </w:num>
  <w:num w:numId="5">
    <w:abstractNumId w:val="9"/>
  </w:num>
  <w:num w:numId="6">
    <w:abstractNumId w:val="0"/>
  </w:num>
  <w:num w:numId="7">
    <w:abstractNumId w:val="4"/>
  </w:num>
  <w:num w:numId="8">
    <w:abstractNumId w:val="7"/>
  </w:num>
  <w:num w:numId="9">
    <w:abstractNumId w:val="11"/>
  </w:num>
  <w:num w:numId="10">
    <w:abstractNumId w:val="16"/>
  </w:num>
  <w:num w:numId="11">
    <w:abstractNumId w:val="6"/>
  </w:num>
  <w:num w:numId="12">
    <w:abstractNumId w:val="1"/>
  </w:num>
  <w:num w:numId="13">
    <w:abstractNumId w:val="17"/>
  </w:num>
  <w:num w:numId="14">
    <w:abstractNumId w:val="5"/>
  </w:num>
  <w:num w:numId="15">
    <w:abstractNumId w:val="13"/>
  </w:num>
  <w:num w:numId="16">
    <w:abstractNumId w:val="8"/>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7E"/>
    <w:rsid w:val="000024F9"/>
    <w:rsid w:val="00002980"/>
    <w:rsid w:val="00003F57"/>
    <w:rsid w:val="00006D03"/>
    <w:rsid w:val="000145DE"/>
    <w:rsid w:val="0001697A"/>
    <w:rsid w:val="00023FF3"/>
    <w:rsid w:val="00024230"/>
    <w:rsid w:val="00025081"/>
    <w:rsid w:val="00026B6F"/>
    <w:rsid w:val="00026E36"/>
    <w:rsid w:val="00027262"/>
    <w:rsid w:val="000304BE"/>
    <w:rsid w:val="000310C1"/>
    <w:rsid w:val="00032158"/>
    <w:rsid w:val="00036D14"/>
    <w:rsid w:val="00036DAA"/>
    <w:rsid w:val="00040D50"/>
    <w:rsid w:val="000446E7"/>
    <w:rsid w:val="0004659C"/>
    <w:rsid w:val="00062859"/>
    <w:rsid w:val="00063F50"/>
    <w:rsid w:val="00067212"/>
    <w:rsid w:val="00071C21"/>
    <w:rsid w:val="0007600B"/>
    <w:rsid w:val="000801CA"/>
    <w:rsid w:val="0008257A"/>
    <w:rsid w:val="00082805"/>
    <w:rsid w:val="00090761"/>
    <w:rsid w:val="00092ED8"/>
    <w:rsid w:val="00093991"/>
    <w:rsid w:val="00097DEC"/>
    <w:rsid w:val="000A0F94"/>
    <w:rsid w:val="000A243D"/>
    <w:rsid w:val="000A352E"/>
    <w:rsid w:val="000A5F02"/>
    <w:rsid w:val="000A658C"/>
    <w:rsid w:val="000B24F7"/>
    <w:rsid w:val="000B2F28"/>
    <w:rsid w:val="000B5843"/>
    <w:rsid w:val="000B7129"/>
    <w:rsid w:val="000C0468"/>
    <w:rsid w:val="000C18C1"/>
    <w:rsid w:val="000C5523"/>
    <w:rsid w:val="000C7B99"/>
    <w:rsid w:val="000D0E72"/>
    <w:rsid w:val="000D31C8"/>
    <w:rsid w:val="000E0765"/>
    <w:rsid w:val="000E1048"/>
    <w:rsid w:val="000F09CE"/>
    <w:rsid w:val="000F29E9"/>
    <w:rsid w:val="000F4299"/>
    <w:rsid w:val="000F4D36"/>
    <w:rsid w:val="001019BA"/>
    <w:rsid w:val="001043FA"/>
    <w:rsid w:val="00107563"/>
    <w:rsid w:val="00107744"/>
    <w:rsid w:val="001108BE"/>
    <w:rsid w:val="00114BEB"/>
    <w:rsid w:val="001258E1"/>
    <w:rsid w:val="00127800"/>
    <w:rsid w:val="00131B25"/>
    <w:rsid w:val="00156963"/>
    <w:rsid w:val="00157C3C"/>
    <w:rsid w:val="00171BF6"/>
    <w:rsid w:val="00173700"/>
    <w:rsid w:val="00177179"/>
    <w:rsid w:val="00177A82"/>
    <w:rsid w:val="00181ED4"/>
    <w:rsid w:val="001853A5"/>
    <w:rsid w:val="00186839"/>
    <w:rsid w:val="001921C3"/>
    <w:rsid w:val="0019378C"/>
    <w:rsid w:val="00195118"/>
    <w:rsid w:val="00195D03"/>
    <w:rsid w:val="001A0A91"/>
    <w:rsid w:val="001A318F"/>
    <w:rsid w:val="001A3A48"/>
    <w:rsid w:val="001A3FFB"/>
    <w:rsid w:val="001A7025"/>
    <w:rsid w:val="001B12E3"/>
    <w:rsid w:val="001B1E7A"/>
    <w:rsid w:val="001B2D16"/>
    <w:rsid w:val="001C008E"/>
    <w:rsid w:val="001C047A"/>
    <w:rsid w:val="001C0838"/>
    <w:rsid w:val="001C1D5B"/>
    <w:rsid w:val="001C2591"/>
    <w:rsid w:val="001C61AB"/>
    <w:rsid w:val="001C6B3F"/>
    <w:rsid w:val="001D0BCC"/>
    <w:rsid w:val="001D3428"/>
    <w:rsid w:val="001D386B"/>
    <w:rsid w:val="001D735D"/>
    <w:rsid w:val="001E4720"/>
    <w:rsid w:val="001E78AA"/>
    <w:rsid w:val="001F2541"/>
    <w:rsid w:val="001F3DB9"/>
    <w:rsid w:val="001F6CDE"/>
    <w:rsid w:val="001F78D0"/>
    <w:rsid w:val="00201C09"/>
    <w:rsid w:val="00212B00"/>
    <w:rsid w:val="0021461B"/>
    <w:rsid w:val="00217C65"/>
    <w:rsid w:val="00220ACF"/>
    <w:rsid w:val="00225CA5"/>
    <w:rsid w:val="002364DC"/>
    <w:rsid w:val="00236C13"/>
    <w:rsid w:val="002529D3"/>
    <w:rsid w:val="002555B3"/>
    <w:rsid w:val="00255815"/>
    <w:rsid w:val="00262689"/>
    <w:rsid w:val="0026584E"/>
    <w:rsid w:val="00266C6C"/>
    <w:rsid w:val="00267966"/>
    <w:rsid w:val="002679E7"/>
    <w:rsid w:val="00277675"/>
    <w:rsid w:val="002803BD"/>
    <w:rsid w:val="00280434"/>
    <w:rsid w:val="00285110"/>
    <w:rsid w:val="0029166C"/>
    <w:rsid w:val="00293CC6"/>
    <w:rsid w:val="00294A71"/>
    <w:rsid w:val="0029512D"/>
    <w:rsid w:val="002A1FAA"/>
    <w:rsid w:val="002A2C40"/>
    <w:rsid w:val="002B410C"/>
    <w:rsid w:val="002B504F"/>
    <w:rsid w:val="002B7469"/>
    <w:rsid w:val="002C31AA"/>
    <w:rsid w:val="002C348A"/>
    <w:rsid w:val="002C34A3"/>
    <w:rsid w:val="002C5004"/>
    <w:rsid w:val="002D0E2A"/>
    <w:rsid w:val="002D7516"/>
    <w:rsid w:val="002E2F0B"/>
    <w:rsid w:val="002E544C"/>
    <w:rsid w:val="002E775F"/>
    <w:rsid w:val="002F42FA"/>
    <w:rsid w:val="003005C2"/>
    <w:rsid w:val="00301E64"/>
    <w:rsid w:val="0030318C"/>
    <w:rsid w:val="00303687"/>
    <w:rsid w:val="0030512D"/>
    <w:rsid w:val="00310610"/>
    <w:rsid w:val="003117C5"/>
    <w:rsid w:val="00312EDC"/>
    <w:rsid w:val="00313489"/>
    <w:rsid w:val="00313DF1"/>
    <w:rsid w:val="00315432"/>
    <w:rsid w:val="00317381"/>
    <w:rsid w:val="00320054"/>
    <w:rsid w:val="003215FD"/>
    <w:rsid w:val="00322B47"/>
    <w:rsid w:val="00327CA0"/>
    <w:rsid w:val="00330FF9"/>
    <w:rsid w:val="0033454D"/>
    <w:rsid w:val="00336D55"/>
    <w:rsid w:val="0034028E"/>
    <w:rsid w:val="003425EB"/>
    <w:rsid w:val="00352950"/>
    <w:rsid w:val="003556E0"/>
    <w:rsid w:val="00357645"/>
    <w:rsid w:val="00360586"/>
    <w:rsid w:val="00362E2D"/>
    <w:rsid w:val="00364BE6"/>
    <w:rsid w:val="003660D8"/>
    <w:rsid w:val="00366D52"/>
    <w:rsid w:val="00367A1B"/>
    <w:rsid w:val="00370228"/>
    <w:rsid w:val="00371AB4"/>
    <w:rsid w:val="003730B7"/>
    <w:rsid w:val="0038467A"/>
    <w:rsid w:val="00384903"/>
    <w:rsid w:val="00386C16"/>
    <w:rsid w:val="00395E12"/>
    <w:rsid w:val="003A257E"/>
    <w:rsid w:val="003A2A1B"/>
    <w:rsid w:val="003C3737"/>
    <w:rsid w:val="003D094A"/>
    <w:rsid w:val="003D0EEF"/>
    <w:rsid w:val="003D3422"/>
    <w:rsid w:val="003D483F"/>
    <w:rsid w:val="003D74C3"/>
    <w:rsid w:val="003F1353"/>
    <w:rsid w:val="00400EA8"/>
    <w:rsid w:val="004036DF"/>
    <w:rsid w:val="00403743"/>
    <w:rsid w:val="0040635A"/>
    <w:rsid w:val="00406579"/>
    <w:rsid w:val="00415410"/>
    <w:rsid w:val="00420E9F"/>
    <w:rsid w:val="004220E2"/>
    <w:rsid w:val="004245BB"/>
    <w:rsid w:val="00433A6F"/>
    <w:rsid w:val="00435F48"/>
    <w:rsid w:val="00436EFE"/>
    <w:rsid w:val="00442A1A"/>
    <w:rsid w:val="004439CD"/>
    <w:rsid w:val="00447AB9"/>
    <w:rsid w:val="00452A65"/>
    <w:rsid w:val="004557D5"/>
    <w:rsid w:val="004605C3"/>
    <w:rsid w:val="00463184"/>
    <w:rsid w:val="00466771"/>
    <w:rsid w:val="00473B17"/>
    <w:rsid w:val="004755E1"/>
    <w:rsid w:val="00483FA6"/>
    <w:rsid w:val="00484657"/>
    <w:rsid w:val="00491F3A"/>
    <w:rsid w:val="0049403C"/>
    <w:rsid w:val="004A0F90"/>
    <w:rsid w:val="004A43EE"/>
    <w:rsid w:val="004A48D8"/>
    <w:rsid w:val="004A6D07"/>
    <w:rsid w:val="004B06E8"/>
    <w:rsid w:val="004B0D73"/>
    <w:rsid w:val="004B1BEC"/>
    <w:rsid w:val="004B3994"/>
    <w:rsid w:val="004B6897"/>
    <w:rsid w:val="004C3C48"/>
    <w:rsid w:val="004C5E03"/>
    <w:rsid w:val="004D518B"/>
    <w:rsid w:val="004D66A7"/>
    <w:rsid w:val="004E0513"/>
    <w:rsid w:val="004E36A9"/>
    <w:rsid w:val="004E4743"/>
    <w:rsid w:val="004E745A"/>
    <w:rsid w:val="004F7AB9"/>
    <w:rsid w:val="004F7CA6"/>
    <w:rsid w:val="00501796"/>
    <w:rsid w:val="00501F3A"/>
    <w:rsid w:val="00503D3D"/>
    <w:rsid w:val="00505DD0"/>
    <w:rsid w:val="00506038"/>
    <w:rsid w:val="00506506"/>
    <w:rsid w:val="00507CA9"/>
    <w:rsid w:val="00514622"/>
    <w:rsid w:val="005155F5"/>
    <w:rsid w:val="00533869"/>
    <w:rsid w:val="00540116"/>
    <w:rsid w:val="0054675A"/>
    <w:rsid w:val="00546C50"/>
    <w:rsid w:val="0055416A"/>
    <w:rsid w:val="00555F9A"/>
    <w:rsid w:val="00562C26"/>
    <w:rsid w:val="00564013"/>
    <w:rsid w:val="0057434D"/>
    <w:rsid w:val="00582A22"/>
    <w:rsid w:val="00585710"/>
    <w:rsid w:val="00587E5A"/>
    <w:rsid w:val="00590C9B"/>
    <w:rsid w:val="005947A6"/>
    <w:rsid w:val="005A0102"/>
    <w:rsid w:val="005A6160"/>
    <w:rsid w:val="005A68BD"/>
    <w:rsid w:val="005B093D"/>
    <w:rsid w:val="005B1D48"/>
    <w:rsid w:val="005B2A47"/>
    <w:rsid w:val="005B463B"/>
    <w:rsid w:val="005B7791"/>
    <w:rsid w:val="005C047A"/>
    <w:rsid w:val="005C0FDA"/>
    <w:rsid w:val="005C1AB5"/>
    <w:rsid w:val="005C3146"/>
    <w:rsid w:val="005C562A"/>
    <w:rsid w:val="005C7DFD"/>
    <w:rsid w:val="005D14E8"/>
    <w:rsid w:val="005D6C10"/>
    <w:rsid w:val="005E338E"/>
    <w:rsid w:val="005F2EE1"/>
    <w:rsid w:val="00601CBD"/>
    <w:rsid w:val="00603D0C"/>
    <w:rsid w:val="00604A80"/>
    <w:rsid w:val="0061050F"/>
    <w:rsid w:val="00612C63"/>
    <w:rsid w:val="006171A4"/>
    <w:rsid w:val="00617609"/>
    <w:rsid w:val="0062567D"/>
    <w:rsid w:val="006268ED"/>
    <w:rsid w:val="00632358"/>
    <w:rsid w:val="00633760"/>
    <w:rsid w:val="00635B71"/>
    <w:rsid w:val="0064008E"/>
    <w:rsid w:val="00642F75"/>
    <w:rsid w:val="00642FDD"/>
    <w:rsid w:val="00643703"/>
    <w:rsid w:val="00643D51"/>
    <w:rsid w:val="00645597"/>
    <w:rsid w:val="00653E53"/>
    <w:rsid w:val="0065432C"/>
    <w:rsid w:val="006548B9"/>
    <w:rsid w:val="006641CD"/>
    <w:rsid w:val="00670E27"/>
    <w:rsid w:val="006717DC"/>
    <w:rsid w:val="006820E0"/>
    <w:rsid w:val="006823F3"/>
    <w:rsid w:val="00684727"/>
    <w:rsid w:val="006923F8"/>
    <w:rsid w:val="0069662C"/>
    <w:rsid w:val="006A046B"/>
    <w:rsid w:val="006A1C16"/>
    <w:rsid w:val="006A5450"/>
    <w:rsid w:val="006B2CCF"/>
    <w:rsid w:val="006B3969"/>
    <w:rsid w:val="006B4F22"/>
    <w:rsid w:val="006C2313"/>
    <w:rsid w:val="006C2B90"/>
    <w:rsid w:val="006C3C71"/>
    <w:rsid w:val="006C4108"/>
    <w:rsid w:val="006C4755"/>
    <w:rsid w:val="006D540C"/>
    <w:rsid w:val="006E1D2E"/>
    <w:rsid w:val="006E5D01"/>
    <w:rsid w:val="006F482E"/>
    <w:rsid w:val="006F6C32"/>
    <w:rsid w:val="006F777D"/>
    <w:rsid w:val="00702CDA"/>
    <w:rsid w:val="007042DE"/>
    <w:rsid w:val="00712CF1"/>
    <w:rsid w:val="00715140"/>
    <w:rsid w:val="0071541C"/>
    <w:rsid w:val="007201DA"/>
    <w:rsid w:val="007214A9"/>
    <w:rsid w:val="00722BB5"/>
    <w:rsid w:val="00732423"/>
    <w:rsid w:val="00732611"/>
    <w:rsid w:val="00741143"/>
    <w:rsid w:val="00741E6D"/>
    <w:rsid w:val="007520BD"/>
    <w:rsid w:val="00756523"/>
    <w:rsid w:val="007838AA"/>
    <w:rsid w:val="00790F0F"/>
    <w:rsid w:val="00792813"/>
    <w:rsid w:val="00792B58"/>
    <w:rsid w:val="00793B68"/>
    <w:rsid w:val="007A0B1E"/>
    <w:rsid w:val="007A28C7"/>
    <w:rsid w:val="007A31C2"/>
    <w:rsid w:val="007A6381"/>
    <w:rsid w:val="007A6A6B"/>
    <w:rsid w:val="007A7C21"/>
    <w:rsid w:val="007D08CD"/>
    <w:rsid w:val="007D4DF5"/>
    <w:rsid w:val="007D703F"/>
    <w:rsid w:val="007D7707"/>
    <w:rsid w:val="007E4057"/>
    <w:rsid w:val="007F035F"/>
    <w:rsid w:val="007F5510"/>
    <w:rsid w:val="00801931"/>
    <w:rsid w:val="00805213"/>
    <w:rsid w:val="00811F04"/>
    <w:rsid w:val="00812329"/>
    <w:rsid w:val="00813B16"/>
    <w:rsid w:val="00814FA8"/>
    <w:rsid w:val="00815D7F"/>
    <w:rsid w:val="00817DB2"/>
    <w:rsid w:val="00817DE5"/>
    <w:rsid w:val="00823A93"/>
    <w:rsid w:val="0083259C"/>
    <w:rsid w:val="008328EB"/>
    <w:rsid w:val="008359E2"/>
    <w:rsid w:val="00835F67"/>
    <w:rsid w:val="00837BE2"/>
    <w:rsid w:val="00837ED8"/>
    <w:rsid w:val="00841538"/>
    <w:rsid w:val="00851EBA"/>
    <w:rsid w:val="00863E33"/>
    <w:rsid w:val="0086790D"/>
    <w:rsid w:val="008764CF"/>
    <w:rsid w:val="00876F31"/>
    <w:rsid w:val="0088604D"/>
    <w:rsid w:val="008871A2"/>
    <w:rsid w:val="008901BD"/>
    <w:rsid w:val="0089346D"/>
    <w:rsid w:val="008958DD"/>
    <w:rsid w:val="008A06EF"/>
    <w:rsid w:val="008A0CD5"/>
    <w:rsid w:val="008A1B7F"/>
    <w:rsid w:val="008A420E"/>
    <w:rsid w:val="008B1107"/>
    <w:rsid w:val="008B207B"/>
    <w:rsid w:val="008B2553"/>
    <w:rsid w:val="008B3759"/>
    <w:rsid w:val="008B4619"/>
    <w:rsid w:val="008C0BA0"/>
    <w:rsid w:val="008C3226"/>
    <w:rsid w:val="008C3508"/>
    <w:rsid w:val="008C7179"/>
    <w:rsid w:val="008D2FC9"/>
    <w:rsid w:val="008E0699"/>
    <w:rsid w:val="008E092E"/>
    <w:rsid w:val="008E18F2"/>
    <w:rsid w:val="008E3B65"/>
    <w:rsid w:val="008E4AA9"/>
    <w:rsid w:val="008F3C43"/>
    <w:rsid w:val="008F3DE0"/>
    <w:rsid w:val="008F6701"/>
    <w:rsid w:val="008F6BAD"/>
    <w:rsid w:val="008F73C4"/>
    <w:rsid w:val="00904C3D"/>
    <w:rsid w:val="0090547A"/>
    <w:rsid w:val="009063BE"/>
    <w:rsid w:val="00911C1E"/>
    <w:rsid w:val="00915E20"/>
    <w:rsid w:val="0092139E"/>
    <w:rsid w:val="00922355"/>
    <w:rsid w:val="00927030"/>
    <w:rsid w:val="009304C5"/>
    <w:rsid w:val="00934D0E"/>
    <w:rsid w:val="00940DBA"/>
    <w:rsid w:val="00941E28"/>
    <w:rsid w:val="00944166"/>
    <w:rsid w:val="009472B5"/>
    <w:rsid w:val="00950B0A"/>
    <w:rsid w:val="00950C44"/>
    <w:rsid w:val="0095370C"/>
    <w:rsid w:val="00956F21"/>
    <w:rsid w:val="00960A43"/>
    <w:rsid w:val="00961466"/>
    <w:rsid w:val="009651EF"/>
    <w:rsid w:val="00965548"/>
    <w:rsid w:val="009659A8"/>
    <w:rsid w:val="00967ED0"/>
    <w:rsid w:val="00970906"/>
    <w:rsid w:val="00972227"/>
    <w:rsid w:val="00975079"/>
    <w:rsid w:val="00975158"/>
    <w:rsid w:val="00982B4C"/>
    <w:rsid w:val="00982EEE"/>
    <w:rsid w:val="00990873"/>
    <w:rsid w:val="009909CA"/>
    <w:rsid w:val="00992479"/>
    <w:rsid w:val="009943A4"/>
    <w:rsid w:val="009953CE"/>
    <w:rsid w:val="009957ED"/>
    <w:rsid w:val="00995B9B"/>
    <w:rsid w:val="00995BEF"/>
    <w:rsid w:val="00995DD5"/>
    <w:rsid w:val="009A1B39"/>
    <w:rsid w:val="009A3B2A"/>
    <w:rsid w:val="009A630C"/>
    <w:rsid w:val="009B662E"/>
    <w:rsid w:val="009B67A1"/>
    <w:rsid w:val="009C48FB"/>
    <w:rsid w:val="009C6610"/>
    <w:rsid w:val="009C7212"/>
    <w:rsid w:val="009D6873"/>
    <w:rsid w:val="009D7298"/>
    <w:rsid w:val="009D7579"/>
    <w:rsid w:val="009E6ED3"/>
    <w:rsid w:val="009F043A"/>
    <w:rsid w:val="009F1D31"/>
    <w:rsid w:val="009F2315"/>
    <w:rsid w:val="00A032C1"/>
    <w:rsid w:val="00A0381E"/>
    <w:rsid w:val="00A0454A"/>
    <w:rsid w:val="00A04CA7"/>
    <w:rsid w:val="00A06036"/>
    <w:rsid w:val="00A061CC"/>
    <w:rsid w:val="00A062CD"/>
    <w:rsid w:val="00A11AD0"/>
    <w:rsid w:val="00A11E27"/>
    <w:rsid w:val="00A20900"/>
    <w:rsid w:val="00A24097"/>
    <w:rsid w:val="00A24859"/>
    <w:rsid w:val="00A314F0"/>
    <w:rsid w:val="00A329F6"/>
    <w:rsid w:val="00A34799"/>
    <w:rsid w:val="00A34E1B"/>
    <w:rsid w:val="00A35DFB"/>
    <w:rsid w:val="00A41C17"/>
    <w:rsid w:val="00A45FA9"/>
    <w:rsid w:val="00A500D7"/>
    <w:rsid w:val="00A50B05"/>
    <w:rsid w:val="00A537AE"/>
    <w:rsid w:val="00A54461"/>
    <w:rsid w:val="00A66360"/>
    <w:rsid w:val="00A702AF"/>
    <w:rsid w:val="00A72779"/>
    <w:rsid w:val="00A72F5B"/>
    <w:rsid w:val="00A73972"/>
    <w:rsid w:val="00A7496B"/>
    <w:rsid w:val="00A77005"/>
    <w:rsid w:val="00A77739"/>
    <w:rsid w:val="00A77868"/>
    <w:rsid w:val="00A83118"/>
    <w:rsid w:val="00A850BA"/>
    <w:rsid w:val="00A9157C"/>
    <w:rsid w:val="00A956D0"/>
    <w:rsid w:val="00A959EB"/>
    <w:rsid w:val="00A96FB8"/>
    <w:rsid w:val="00A97B8E"/>
    <w:rsid w:val="00AA1680"/>
    <w:rsid w:val="00AA1BB4"/>
    <w:rsid w:val="00AA253F"/>
    <w:rsid w:val="00AA38E2"/>
    <w:rsid w:val="00AA3A34"/>
    <w:rsid w:val="00AA44EF"/>
    <w:rsid w:val="00AA5795"/>
    <w:rsid w:val="00AA70C2"/>
    <w:rsid w:val="00AB330B"/>
    <w:rsid w:val="00AB3C5D"/>
    <w:rsid w:val="00AB59E8"/>
    <w:rsid w:val="00AC69CA"/>
    <w:rsid w:val="00AD120D"/>
    <w:rsid w:val="00AD186A"/>
    <w:rsid w:val="00AD380D"/>
    <w:rsid w:val="00AE32E4"/>
    <w:rsid w:val="00AF4D63"/>
    <w:rsid w:val="00AF4F84"/>
    <w:rsid w:val="00AF7911"/>
    <w:rsid w:val="00B065CB"/>
    <w:rsid w:val="00B10DD3"/>
    <w:rsid w:val="00B15B4F"/>
    <w:rsid w:val="00B160E1"/>
    <w:rsid w:val="00B31F83"/>
    <w:rsid w:val="00B33173"/>
    <w:rsid w:val="00B3435B"/>
    <w:rsid w:val="00B35304"/>
    <w:rsid w:val="00B363FC"/>
    <w:rsid w:val="00B36694"/>
    <w:rsid w:val="00B40240"/>
    <w:rsid w:val="00B439CC"/>
    <w:rsid w:val="00B51A47"/>
    <w:rsid w:val="00B61FCF"/>
    <w:rsid w:val="00B6205F"/>
    <w:rsid w:val="00B64DFD"/>
    <w:rsid w:val="00B666D5"/>
    <w:rsid w:val="00B71F79"/>
    <w:rsid w:val="00B72DE8"/>
    <w:rsid w:val="00B76E3B"/>
    <w:rsid w:val="00B772AC"/>
    <w:rsid w:val="00B91248"/>
    <w:rsid w:val="00B964FE"/>
    <w:rsid w:val="00BA04B0"/>
    <w:rsid w:val="00BA12CD"/>
    <w:rsid w:val="00BA2EB1"/>
    <w:rsid w:val="00BA3E50"/>
    <w:rsid w:val="00BA64B9"/>
    <w:rsid w:val="00BA6BF8"/>
    <w:rsid w:val="00BB04CC"/>
    <w:rsid w:val="00BB0FAE"/>
    <w:rsid w:val="00BC256A"/>
    <w:rsid w:val="00BD6273"/>
    <w:rsid w:val="00BE5A3D"/>
    <w:rsid w:val="00BF0C68"/>
    <w:rsid w:val="00BF3A91"/>
    <w:rsid w:val="00BF7B34"/>
    <w:rsid w:val="00C03355"/>
    <w:rsid w:val="00C12928"/>
    <w:rsid w:val="00C14B19"/>
    <w:rsid w:val="00C150F4"/>
    <w:rsid w:val="00C205CA"/>
    <w:rsid w:val="00C2082C"/>
    <w:rsid w:val="00C21CAB"/>
    <w:rsid w:val="00C26A35"/>
    <w:rsid w:val="00C277EB"/>
    <w:rsid w:val="00C30DB7"/>
    <w:rsid w:val="00C31B09"/>
    <w:rsid w:val="00C34809"/>
    <w:rsid w:val="00C3569F"/>
    <w:rsid w:val="00C3729A"/>
    <w:rsid w:val="00C406AF"/>
    <w:rsid w:val="00C429BA"/>
    <w:rsid w:val="00C439B7"/>
    <w:rsid w:val="00C43A54"/>
    <w:rsid w:val="00C44E3C"/>
    <w:rsid w:val="00C548FA"/>
    <w:rsid w:val="00C55C81"/>
    <w:rsid w:val="00C56726"/>
    <w:rsid w:val="00C60CE4"/>
    <w:rsid w:val="00C61AA4"/>
    <w:rsid w:val="00C62F90"/>
    <w:rsid w:val="00C63390"/>
    <w:rsid w:val="00C64C81"/>
    <w:rsid w:val="00C661CA"/>
    <w:rsid w:val="00C700B4"/>
    <w:rsid w:val="00C70B60"/>
    <w:rsid w:val="00C71094"/>
    <w:rsid w:val="00C73799"/>
    <w:rsid w:val="00C80D86"/>
    <w:rsid w:val="00C82461"/>
    <w:rsid w:val="00C84DF9"/>
    <w:rsid w:val="00C85A54"/>
    <w:rsid w:val="00C86FDC"/>
    <w:rsid w:val="00C877BC"/>
    <w:rsid w:val="00C87960"/>
    <w:rsid w:val="00C924F7"/>
    <w:rsid w:val="00C96BF5"/>
    <w:rsid w:val="00CA198D"/>
    <w:rsid w:val="00CA3B05"/>
    <w:rsid w:val="00CA6BE5"/>
    <w:rsid w:val="00CB2733"/>
    <w:rsid w:val="00CB5749"/>
    <w:rsid w:val="00CC1572"/>
    <w:rsid w:val="00CC15E6"/>
    <w:rsid w:val="00CC18BE"/>
    <w:rsid w:val="00CC34A5"/>
    <w:rsid w:val="00CC45EE"/>
    <w:rsid w:val="00CC770A"/>
    <w:rsid w:val="00CD37C5"/>
    <w:rsid w:val="00CD41BF"/>
    <w:rsid w:val="00CD522F"/>
    <w:rsid w:val="00CD5CE4"/>
    <w:rsid w:val="00CD6621"/>
    <w:rsid w:val="00CE103D"/>
    <w:rsid w:val="00CE2931"/>
    <w:rsid w:val="00CF387F"/>
    <w:rsid w:val="00CF5D78"/>
    <w:rsid w:val="00CF7BBA"/>
    <w:rsid w:val="00CF7CDB"/>
    <w:rsid w:val="00D010EE"/>
    <w:rsid w:val="00D03726"/>
    <w:rsid w:val="00D040EB"/>
    <w:rsid w:val="00D04F37"/>
    <w:rsid w:val="00D06A93"/>
    <w:rsid w:val="00D13957"/>
    <w:rsid w:val="00D13FF3"/>
    <w:rsid w:val="00D16565"/>
    <w:rsid w:val="00D176C2"/>
    <w:rsid w:val="00D200AB"/>
    <w:rsid w:val="00D240C8"/>
    <w:rsid w:val="00D27009"/>
    <w:rsid w:val="00D27EB4"/>
    <w:rsid w:val="00D30176"/>
    <w:rsid w:val="00D306A2"/>
    <w:rsid w:val="00D30F11"/>
    <w:rsid w:val="00D3485F"/>
    <w:rsid w:val="00D35DB5"/>
    <w:rsid w:val="00D516BF"/>
    <w:rsid w:val="00D51EB9"/>
    <w:rsid w:val="00D54C7E"/>
    <w:rsid w:val="00D567E7"/>
    <w:rsid w:val="00D62CBC"/>
    <w:rsid w:val="00D63C4D"/>
    <w:rsid w:val="00D65279"/>
    <w:rsid w:val="00D65CD0"/>
    <w:rsid w:val="00D7276E"/>
    <w:rsid w:val="00D73D87"/>
    <w:rsid w:val="00D8253A"/>
    <w:rsid w:val="00D840D5"/>
    <w:rsid w:val="00D870F0"/>
    <w:rsid w:val="00D90B18"/>
    <w:rsid w:val="00D934C9"/>
    <w:rsid w:val="00D9708B"/>
    <w:rsid w:val="00D974BF"/>
    <w:rsid w:val="00D97557"/>
    <w:rsid w:val="00DA1311"/>
    <w:rsid w:val="00DA13EE"/>
    <w:rsid w:val="00DA162D"/>
    <w:rsid w:val="00DA74EB"/>
    <w:rsid w:val="00DA7A5E"/>
    <w:rsid w:val="00DB168B"/>
    <w:rsid w:val="00DB7836"/>
    <w:rsid w:val="00DC0699"/>
    <w:rsid w:val="00DC192F"/>
    <w:rsid w:val="00DD252E"/>
    <w:rsid w:val="00DD39F2"/>
    <w:rsid w:val="00DD791D"/>
    <w:rsid w:val="00DE14EE"/>
    <w:rsid w:val="00DE2431"/>
    <w:rsid w:val="00DE32D6"/>
    <w:rsid w:val="00DE7055"/>
    <w:rsid w:val="00DE758C"/>
    <w:rsid w:val="00DF2FB3"/>
    <w:rsid w:val="00DF311E"/>
    <w:rsid w:val="00DF3319"/>
    <w:rsid w:val="00DF3A2D"/>
    <w:rsid w:val="00DF3CF7"/>
    <w:rsid w:val="00DF5A72"/>
    <w:rsid w:val="00DF7ABA"/>
    <w:rsid w:val="00E020B2"/>
    <w:rsid w:val="00E04F1B"/>
    <w:rsid w:val="00E0664B"/>
    <w:rsid w:val="00E07FEE"/>
    <w:rsid w:val="00E136D4"/>
    <w:rsid w:val="00E176DB"/>
    <w:rsid w:val="00E17BE3"/>
    <w:rsid w:val="00E213CA"/>
    <w:rsid w:val="00E219BC"/>
    <w:rsid w:val="00E22162"/>
    <w:rsid w:val="00E22381"/>
    <w:rsid w:val="00E22CB6"/>
    <w:rsid w:val="00E234BB"/>
    <w:rsid w:val="00E24809"/>
    <w:rsid w:val="00E24928"/>
    <w:rsid w:val="00E26484"/>
    <w:rsid w:val="00E3000A"/>
    <w:rsid w:val="00E301A6"/>
    <w:rsid w:val="00E315D7"/>
    <w:rsid w:val="00E31ACA"/>
    <w:rsid w:val="00E324FA"/>
    <w:rsid w:val="00E4225C"/>
    <w:rsid w:val="00E45CAA"/>
    <w:rsid w:val="00E470BA"/>
    <w:rsid w:val="00E51668"/>
    <w:rsid w:val="00E55E19"/>
    <w:rsid w:val="00E60B08"/>
    <w:rsid w:val="00E627FF"/>
    <w:rsid w:val="00E6465A"/>
    <w:rsid w:val="00E67E70"/>
    <w:rsid w:val="00E7004A"/>
    <w:rsid w:val="00E73D15"/>
    <w:rsid w:val="00E749A0"/>
    <w:rsid w:val="00E75B4E"/>
    <w:rsid w:val="00E76EAD"/>
    <w:rsid w:val="00E81000"/>
    <w:rsid w:val="00E85105"/>
    <w:rsid w:val="00E9129B"/>
    <w:rsid w:val="00E92606"/>
    <w:rsid w:val="00E939B4"/>
    <w:rsid w:val="00E943EA"/>
    <w:rsid w:val="00E94432"/>
    <w:rsid w:val="00EA46B7"/>
    <w:rsid w:val="00EA534A"/>
    <w:rsid w:val="00EA5E5A"/>
    <w:rsid w:val="00EA640C"/>
    <w:rsid w:val="00EA65E6"/>
    <w:rsid w:val="00EB3BD1"/>
    <w:rsid w:val="00EC3B12"/>
    <w:rsid w:val="00EC4F7C"/>
    <w:rsid w:val="00EC6DD5"/>
    <w:rsid w:val="00ED11E2"/>
    <w:rsid w:val="00ED2A20"/>
    <w:rsid w:val="00ED37A8"/>
    <w:rsid w:val="00ED3CEB"/>
    <w:rsid w:val="00ED623B"/>
    <w:rsid w:val="00EE0A3F"/>
    <w:rsid w:val="00EE16B4"/>
    <w:rsid w:val="00EE3D69"/>
    <w:rsid w:val="00EE3ED4"/>
    <w:rsid w:val="00EE5A34"/>
    <w:rsid w:val="00EE5FE1"/>
    <w:rsid w:val="00EF1D89"/>
    <w:rsid w:val="00EF34C2"/>
    <w:rsid w:val="00EF4235"/>
    <w:rsid w:val="00EF5764"/>
    <w:rsid w:val="00EF69F4"/>
    <w:rsid w:val="00F02367"/>
    <w:rsid w:val="00F036B1"/>
    <w:rsid w:val="00F03E6A"/>
    <w:rsid w:val="00F03F1F"/>
    <w:rsid w:val="00F112CD"/>
    <w:rsid w:val="00F12E84"/>
    <w:rsid w:val="00F152C9"/>
    <w:rsid w:val="00F2067E"/>
    <w:rsid w:val="00F22C17"/>
    <w:rsid w:val="00F22F22"/>
    <w:rsid w:val="00F2381D"/>
    <w:rsid w:val="00F2437B"/>
    <w:rsid w:val="00F24BD1"/>
    <w:rsid w:val="00F24FBD"/>
    <w:rsid w:val="00F261D6"/>
    <w:rsid w:val="00F269D7"/>
    <w:rsid w:val="00F3369C"/>
    <w:rsid w:val="00F33A54"/>
    <w:rsid w:val="00F360DC"/>
    <w:rsid w:val="00F3761A"/>
    <w:rsid w:val="00F410A9"/>
    <w:rsid w:val="00F44188"/>
    <w:rsid w:val="00F4433F"/>
    <w:rsid w:val="00F4540E"/>
    <w:rsid w:val="00F45458"/>
    <w:rsid w:val="00F46244"/>
    <w:rsid w:val="00F4753A"/>
    <w:rsid w:val="00F53409"/>
    <w:rsid w:val="00F62268"/>
    <w:rsid w:val="00F65E30"/>
    <w:rsid w:val="00F66008"/>
    <w:rsid w:val="00F73D03"/>
    <w:rsid w:val="00F77659"/>
    <w:rsid w:val="00F800C3"/>
    <w:rsid w:val="00F81692"/>
    <w:rsid w:val="00F824CB"/>
    <w:rsid w:val="00F85187"/>
    <w:rsid w:val="00F85676"/>
    <w:rsid w:val="00F85834"/>
    <w:rsid w:val="00F860F6"/>
    <w:rsid w:val="00F87A81"/>
    <w:rsid w:val="00F90E01"/>
    <w:rsid w:val="00F9247C"/>
    <w:rsid w:val="00F92E70"/>
    <w:rsid w:val="00F949BF"/>
    <w:rsid w:val="00F96389"/>
    <w:rsid w:val="00FA277E"/>
    <w:rsid w:val="00FA3697"/>
    <w:rsid w:val="00FA615D"/>
    <w:rsid w:val="00FB0119"/>
    <w:rsid w:val="00FB21CA"/>
    <w:rsid w:val="00FB23C7"/>
    <w:rsid w:val="00FB39D0"/>
    <w:rsid w:val="00FC3136"/>
    <w:rsid w:val="00FC3404"/>
    <w:rsid w:val="00FD06AA"/>
    <w:rsid w:val="00FD14A4"/>
    <w:rsid w:val="00FE0CCF"/>
    <w:rsid w:val="00FE362F"/>
    <w:rsid w:val="00FE4AB4"/>
    <w:rsid w:val="00FE6138"/>
    <w:rsid w:val="00FE6A05"/>
    <w:rsid w:val="00FF6A03"/>
    <w:rsid w:val="00FF7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customStyle="1" w:styleId="Default">
    <w:name w:val="Default"/>
    <w:rsid w:val="00FA36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B662E"/>
    <w:rPr>
      <w:color w:val="0000FF" w:themeColor="hyperlink"/>
      <w:u w:val="single"/>
    </w:rPr>
  </w:style>
  <w:style w:type="paragraph" w:styleId="BalloonText">
    <w:name w:val="Balloon Text"/>
    <w:basedOn w:val="Normal"/>
    <w:link w:val="BalloonTextChar"/>
    <w:uiPriority w:val="99"/>
    <w:semiHidden/>
    <w:unhideWhenUsed/>
    <w:rsid w:val="007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0F"/>
    <w:rPr>
      <w:rFonts w:ascii="Tahoma" w:hAnsi="Tahoma" w:cs="Tahoma"/>
      <w:sz w:val="16"/>
      <w:szCs w:val="16"/>
    </w:rPr>
  </w:style>
  <w:style w:type="character" w:styleId="CommentReference">
    <w:name w:val="annotation reference"/>
    <w:basedOn w:val="DefaultParagraphFont"/>
    <w:uiPriority w:val="99"/>
    <w:semiHidden/>
    <w:unhideWhenUsed/>
    <w:rsid w:val="007F5510"/>
    <w:rPr>
      <w:sz w:val="16"/>
      <w:szCs w:val="16"/>
    </w:rPr>
  </w:style>
  <w:style w:type="paragraph" w:styleId="CommentText">
    <w:name w:val="annotation text"/>
    <w:basedOn w:val="Normal"/>
    <w:link w:val="CommentTextChar"/>
    <w:uiPriority w:val="99"/>
    <w:semiHidden/>
    <w:unhideWhenUsed/>
    <w:rsid w:val="007F5510"/>
    <w:pPr>
      <w:spacing w:line="240" w:lineRule="auto"/>
    </w:pPr>
    <w:rPr>
      <w:sz w:val="20"/>
      <w:szCs w:val="20"/>
    </w:rPr>
  </w:style>
  <w:style w:type="character" w:customStyle="1" w:styleId="CommentTextChar">
    <w:name w:val="Comment Text Char"/>
    <w:basedOn w:val="DefaultParagraphFont"/>
    <w:link w:val="CommentText"/>
    <w:uiPriority w:val="99"/>
    <w:semiHidden/>
    <w:rsid w:val="007F5510"/>
    <w:rPr>
      <w:sz w:val="20"/>
      <w:szCs w:val="20"/>
    </w:rPr>
  </w:style>
  <w:style w:type="paragraph" w:styleId="CommentSubject">
    <w:name w:val="annotation subject"/>
    <w:basedOn w:val="CommentText"/>
    <w:next w:val="CommentText"/>
    <w:link w:val="CommentSubjectChar"/>
    <w:uiPriority w:val="99"/>
    <w:semiHidden/>
    <w:unhideWhenUsed/>
    <w:rsid w:val="007F5510"/>
    <w:rPr>
      <w:b/>
      <w:bCs/>
    </w:rPr>
  </w:style>
  <w:style w:type="character" w:customStyle="1" w:styleId="CommentSubjectChar">
    <w:name w:val="Comment Subject Char"/>
    <w:basedOn w:val="CommentTextChar"/>
    <w:link w:val="CommentSubject"/>
    <w:uiPriority w:val="99"/>
    <w:semiHidden/>
    <w:rsid w:val="007F5510"/>
    <w:rPr>
      <w:b/>
      <w:bCs/>
      <w:sz w:val="20"/>
      <w:szCs w:val="20"/>
    </w:rPr>
  </w:style>
  <w:style w:type="paragraph" w:styleId="FootnoteText">
    <w:name w:val="footnote text"/>
    <w:basedOn w:val="Normal"/>
    <w:link w:val="FootnoteTextChar"/>
    <w:uiPriority w:val="99"/>
    <w:semiHidden/>
    <w:unhideWhenUsed/>
    <w:rsid w:val="00911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1E"/>
    <w:rPr>
      <w:sz w:val="20"/>
      <w:szCs w:val="20"/>
    </w:rPr>
  </w:style>
  <w:style w:type="character" w:styleId="FootnoteReference">
    <w:name w:val="footnote reference"/>
    <w:basedOn w:val="DefaultParagraphFont"/>
    <w:uiPriority w:val="99"/>
    <w:semiHidden/>
    <w:unhideWhenUsed/>
    <w:rsid w:val="00911C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customStyle="1" w:styleId="Default">
    <w:name w:val="Default"/>
    <w:rsid w:val="00FA36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B662E"/>
    <w:rPr>
      <w:color w:val="0000FF" w:themeColor="hyperlink"/>
      <w:u w:val="single"/>
    </w:rPr>
  </w:style>
  <w:style w:type="paragraph" w:styleId="BalloonText">
    <w:name w:val="Balloon Text"/>
    <w:basedOn w:val="Normal"/>
    <w:link w:val="BalloonTextChar"/>
    <w:uiPriority w:val="99"/>
    <w:semiHidden/>
    <w:unhideWhenUsed/>
    <w:rsid w:val="00790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F0F"/>
    <w:rPr>
      <w:rFonts w:ascii="Tahoma" w:hAnsi="Tahoma" w:cs="Tahoma"/>
      <w:sz w:val="16"/>
      <w:szCs w:val="16"/>
    </w:rPr>
  </w:style>
  <w:style w:type="character" w:styleId="CommentReference">
    <w:name w:val="annotation reference"/>
    <w:basedOn w:val="DefaultParagraphFont"/>
    <w:uiPriority w:val="99"/>
    <w:semiHidden/>
    <w:unhideWhenUsed/>
    <w:rsid w:val="007F5510"/>
    <w:rPr>
      <w:sz w:val="16"/>
      <w:szCs w:val="16"/>
    </w:rPr>
  </w:style>
  <w:style w:type="paragraph" w:styleId="CommentText">
    <w:name w:val="annotation text"/>
    <w:basedOn w:val="Normal"/>
    <w:link w:val="CommentTextChar"/>
    <w:uiPriority w:val="99"/>
    <w:semiHidden/>
    <w:unhideWhenUsed/>
    <w:rsid w:val="007F5510"/>
    <w:pPr>
      <w:spacing w:line="240" w:lineRule="auto"/>
    </w:pPr>
    <w:rPr>
      <w:sz w:val="20"/>
      <w:szCs w:val="20"/>
    </w:rPr>
  </w:style>
  <w:style w:type="character" w:customStyle="1" w:styleId="CommentTextChar">
    <w:name w:val="Comment Text Char"/>
    <w:basedOn w:val="DefaultParagraphFont"/>
    <w:link w:val="CommentText"/>
    <w:uiPriority w:val="99"/>
    <w:semiHidden/>
    <w:rsid w:val="007F5510"/>
    <w:rPr>
      <w:sz w:val="20"/>
      <w:szCs w:val="20"/>
    </w:rPr>
  </w:style>
  <w:style w:type="paragraph" w:styleId="CommentSubject">
    <w:name w:val="annotation subject"/>
    <w:basedOn w:val="CommentText"/>
    <w:next w:val="CommentText"/>
    <w:link w:val="CommentSubjectChar"/>
    <w:uiPriority w:val="99"/>
    <w:semiHidden/>
    <w:unhideWhenUsed/>
    <w:rsid w:val="007F5510"/>
    <w:rPr>
      <w:b/>
      <w:bCs/>
    </w:rPr>
  </w:style>
  <w:style w:type="character" w:customStyle="1" w:styleId="CommentSubjectChar">
    <w:name w:val="Comment Subject Char"/>
    <w:basedOn w:val="CommentTextChar"/>
    <w:link w:val="CommentSubject"/>
    <w:uiPriority w:val="99"/>
    <w:semiHidden/>
    <w:rsid w:val="007F5510"/>
    <w:rPr>
      <w:b/>
      <w:bCs/>
      <w:sz w:val="20"/>
      <w:szCs w:val="20"/>
    </w:rPr>
  </w:style>
  <w:style w:type="paragraph" w:styleId="FootnoteText">
    <w:name w:val="footnote text"/>
    <w:basedOn w:val="Normal"/>
    <w:link w:val="FootnoteTextChar"/>
    <w:uiPriority w:val="99"/>
    <w:semiHidden/>
    <w:unhideWhenUsed/>
    <w:rsid w:val="00911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1E"/>
    <w:rPr>
      <w:sz w:val="20"/>
      <w:szCs w:val="20"/>
    </w:rPr>
  </w:style>
  <w:style w:type="character" w:styleId="FootnoteReference">
    <w:name w:val="footnote reference"/>
    <w:basedOn w:val="DefaultParagraphFont"/>
    <w:uiPriority w:val="99"/>
    <w:semiHidden/>
    <w:unhideWhenUsed/>
    <w:rsid w:val="00911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6727">
      <w:bodyDiv w:val="1"/>
      <w:marLeft w:val="0"/>
      <w:marRight w:val="0"/>
      <w:marTop w:val="0"/>
      <w:marBottom w:val="0"/>
      <w:divBdr>
        <w:top w:val="none" w:sz="0" w:space="0" w:color="auto"/>
        <w:left w:val="none" w:sz="0" w:space="0" w:color="auto"/>
        <w:bottom w:val="none" w:sz="0" w:space="0" w:color="auto"/>
        <w:right w:val="none" w:sz="0" w:space="0" w:color="auto"/>
      </w:divBdr>
    </w:div>
    <w:div w:id="17401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ca4bb1866b0f19e95f9a5c2790b48aeb">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56a5a2b97377908f4a4b2913191b755f"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R20160000024166</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f8e12e123484f339606504ca2e41be1>
    <SignificantFlag xmlns="da7a9ac0-bc47-4684-84e6-3a8e9ac80c12">false</SignificantFlag>
    <TaxCatchAll xmlns="a6fd680d-2161-48eb-a9ee-9070ec61f910">
      <Value>1</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5848-531D-4A2A-9EE8-F0F12701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DC563-23FE-4F96-A8AC-EAAC987585DC}">
  <ds:schemaRefs>
    <ds:schemaRef ds:uri="http://schemas.microsoft.com/sharepoint/events"/>
  </ds:schemaRefs>
</ds:datastoreItem>
</file>

<file path=customXml/itemProps3.xml><?xml version="1.0" encoding="utf-8"?>
<ds:datastoreItem xmlns:ds="http://schemas.openxmlformats.org/officeDocument/2006/customXml" ds:itemID="{BBE9802B-DD01-42BF-B975-5979738CBFA1}">
  <ds:schemaRefs>
    <ds:schemaRef ds:uri="http://schemas.microsoft.com/sharepoint/v3/contenttype/forms"/>
  </ds:schemaRefs>
</ds:datastoreItem>
</file>

<file path=customXml/itemProps4.xml><?xml version="1.0" encoding="utf-8"?>
<ds:datastoreItem xmlns:ds="http://schemas.openxmlformats.org/officeDocument/2006/customXml" ds:itemID="{0667AE76-B2D2-4F7B-A991-E5862E143DE5}">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17f478ab-373e-4295-9ff0-9b833ad01319"/>
    <ds:schemaRef ds:uri="a6fd680d-2161-48eb-a9ee-9070ec61f910"/>
    <ds:schemaRef ds:uri="http://schemas.microsoft.com/office/infopath/2007/PartnerControls"/>
    <ds:schemaRef ds:uri="http://schemas.openxmlformats.org/package/2006/metadata/core-properties"/>
    <ds:schemaRef ds:uri="da7a9ac0-bc47-4684-84e6-3a8e9ac80c12"/>
    <ds:schemaRef ds:uri="http://www.w3.org/XML/1998/namespace"/>
  </ds:schemaRefs>
</ds:datastoreItem>
</file>

<file path=customXml/itemProps5.xml><?xml version="1.0" encoding="utf-8"?>
<ds:datastoreItem xmlns:ds="http://schemas.openxmlformats.org/officeDocument/2006/customXml" ds:itemID="{EA03D367-3611-4D23-ADF3-E9FA1E8D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Phillips</dc:creator>
  <cp:lastModifiedBy>merrill.murray</cp:lastModifiedBy>
  <cp:revision>2</cp:revision>
  <cp:lastPrinted>2016-02-16T01:03:00Z</cp:lastPrinted>
  <dcterms:created xsi:type="dcterms:W3CDTF">2016-02-16T03:02:00Z</dcterms:created>
  <dcterms:modified xsi:type="dcterms:W3CDTF">2016-02-16T03:02:00Z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C347802</vt:lpwstr>
  </property>
  <property fmtid="{D5CDD505-2E9C-101B-9397-08002B2CF9AE}" pid="4" name="Objective-Title">
    <vt:lpwstr>ASIC Corporations (Externally-Administered Bodies) Instrument 2015/251 Explanatory Statement</vt:lpwstr>
  </property>
  <property fmtid="{D5CDD505-2E9C-101B-9397-08002B2CF9AE}" pid="5" name="Objective-Comment">
    <vt:lpwstr>
    </vt:lpwstr>
  </property>
  <property fmtid="{D5CDD505-2E9C-101B-9397-08002B2CF9AE}" pid="6" name="Objective-CreationStamp">
    <vt:filetime>2015-05-25T00:10:38Z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2015-05-25T00:15:42Z</vt:filetime>
  </property>
  <property fmtid="{D5CDD505-2E9C-101B-9397-08002B2CF9AE}" pid="11" name="Objective-Owner">
    <vt:lpwstr>Kyle Wright</vt:lpwstr>
  </property>
  <property fmtid="{D5CDD505-2E9C-101B-9397-08002B2CF9AE}" pid="12" name="Objective-Path">
    <vt:lpwstr>BCS:ASIC:POLICY &amp; REGULATORY FRAMEWORK:Policy Development:Corporate Finance:RG 174 Externally Administered Companies Review:Current working documents:</vt:lpwstr>
  </property>
  <property fmtid="{D5CDD505-2E9C-101B-9397-08002B2CF9AE}" pid="13" name="Objective-Parent">
    <vt:lpwstr>Current working documents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2013 - 000485</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0x010100B5F685A1365F544391EF8C813B164F3A00B51948D52B815E4F87AE454C75D7BFDD</vt:lpwstr>
  </property>
  <property fmtid="{D5CDD505-2E9C-101B-9397-08002B2CF9AE}" pid="23" name="SecurityClassification">
    <vt:lpwstr>1;#Sensitive|19fd2cb8-3e97-4464-ae71-8c2c2095d028</vt:lpwstr>
  </property>
  <property fmtid="{D5CDD505-2E9C-101B-9397-08002B2CF9AE}" pid="24" name="RecordPoint_WorkflowType">
    <vt:lpwstr>ActiveSubmitStub</vt:lpwstr>
  </property>
  <property fmtid="{D5CDD505-2E9C-101B-9397-08002B2CF9AE}" pid="25" name="RecordPoint_ActiveItemUniqueId">
    <vt:lpwstr>{f0ab0daf-4f5b-468d-9e66-744937f5fe68}</vt:lpwstr>
  </property>
  <property fmtid="{D5CDD505-2E9C-101B-9397-08002B2CF9AE}" pid="26" name="RecordPoint_ActiveItemWebId">
    <vt:lpwstr>{a6fd680d-2161-48eb-a9ee-9070ec61f910}</vt:lpwstr>
  </property>
  <property fmtid="{D5CDD505-2E9C-101B-9397-08002B2CF9AE}" pid="27" name="RecordPoint_ActiveItemSiteId">
    <vt:lpwstr>{3e50770f-3e10-45f6-ae8f-e7aff96f3084}</vt:lpwstr>
  </property>
  <property fmtid="{D5CDD505-2E9C-101B-9397-08002B2CF9AE}" pid="28" name="RecordPoint_ActiveItemListId">
    <vt:lpwstr>{d4fcf75b-8bef-40a8-9af6-4dd828aa23ef}</vt:lpwstr>
  </property>
  <property fmtid="{D5CDD505-2E9C-101B-9397-08002B2CF9AE}" pid="29" name="RecordPoint_RecordNumberSubmitted">
    <vt:lpwstr>R20160000024166</vt:lpwstr>
  </property>
  <property fmtid="{D5CDD505-2E9C-101B-9397-08002B2CF9AE}" pid="30" name="IconOverlay">
    <vt:lpwstr/>
  </property>
  <property fmtid="{D5CDD505-2E9C-101B-9397-08002B2CF9AE}" pid="31" name="RecordPoint_SubmissionCompleted">
    <vt:lpwstr>2016-02-16T10:15:30.6712176+11:00</vt:lpwstr>
  </property>
</Properties>
</file>