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8EB" w:rsidRPr="00871235" w:rsidRDefault="00CE58EB" w:rsidP="00CE58EB">
      <w:pPr>
        <w:spacing w:before="0"/>
        <w:jc w:val="center"/>
      </w:pPr>
      <w:r w:rsidRPr="00871235">
        <w:rPr>
          <w:b/>
          <w:u w:val="single"/>
        </w:rPr>
        <w:t>EXPLANATORY STATEMENT</w:t>
      </w:r>
    </w:p>
    <w:p w:rsidR="006816C6" w:rsidRPr="00871235" w:rsidRDefault="00CE58EB">
      <w:r w:rsidRPr="00871235">
        <w:t>Issued by the Authority of the Minister for Indigenous Affairs</w:t>
      </w:r>
    </w:p>
    <w:p w:rsidR="00CE58EB" w:rsidRPr="00871235" w:rsidRDefault="00CE58EB">
      <w:pPr>
        <w:rPr>
          <w:i/>
        </w:rPr>
      </w:pPr>
      <w:r w:rsidRPr="00871235">
        <w:rPr>
          <w:i/>
        </w:rPr>
        <w:t>Low Aromatic Fuel Act 2013</w:t>
      </w:r>
    </w:p>
    <w:p w:rsidR="00CE58EB" w:rsidRPr="00871235" w:rsidRDefault="00CE58EB">
      <w:pPr>
        <w:rPr>
          <w:i/>
        </w:rPr>
      </w:pPr>
      <w:r w:rsidRPr="00871235">
        <w:rPr>
          <w:i/>
        </w:rPr>
        <w:t xml:space="preserve">Low Aromatic Fuel </w:t>
      </w:r>
      <w:r w:rsidR="00671F13">
        <w:rPr>
          <w:i/>
        </w:rPr>
        <w:t>(Designated Area</w:t>
      </w:r>
      <w:r w:rsidR="00B7075D">
        <w:rPr>
          <w:i/>
        </w:rPr>
        <w:t>s</w:t>
      </w:r>
      <w:r w:rsidR="00671F13">
        <w:rPr>
          <w:i/>
        </w:rPr>
        <w:t xml:space="preserve">) </w:t>
      </w:r>
      <w:r w:rsidR="00A108DB" w:rsidRPr="00871235">
        <w:rPr>
          <w:i/>
        </w:rPr>
        <w:t>(</w:t>
      </w:r>
      <w:r w:rsidR="00D5709D" w:rsidRPr="00D5709D">
        <w:rPr>
          <w:i/>
        </w:rPr>
        <w:t>Daly Region</w:t>
      </w:r>
      <w:r w:rsidR="00A108DB" w:rsidRPr="00871235">
        <w:rPr>
          <w:i/>
        </w:rPr>
        <w:t>)</w:t>
      </w:r>
      <w:r w:rsidRPr="00871235">
        <w:rPr>
          <w:i/>
        </w:rPr>
        <w:t xml:space="preserve"> </w:t>
      </w:r>
      <w:r w:rsidR="00A91706">
        <w:rPr>
          <w:i/>
        </w:rPr>
        <w:t>Instrument</w:t>
      </w:r>
      <w:r w:rsidR="00A91706" w:rsidRPr="00871235">
        <w:rPr>
          <w:i/>
        </w:rPr>
        <w:t xml:space="preserve"> </w:t>
      </w:r>
      <w:r w:rsidRPr="00871235">
        <w:rPr>
          <w:i/>
        </w:rPr>
        <w:t>201</w:t>
      </w:r>
      <w:r w:rsidR="000049D5">
        <w:rPr>
          <w:i/>
        </w:rPr>
        <w:t>6</w:t>
      </w:r>
    </w:p>
    <w:p w:rsidR="00E2179C" w:rsidRDefault="00E2179C" w:rsidP="00E2179C">
      <w:r w:rsidRPr="00871235">
        <w:t xml:space="preserve">Section 14 of the </w:t>
      </w:r>
      <w:r w:rsidRPr="00871235">
        <w:rPr>
          <w:i/>
        </w:rPr>
        <w:t>Low Aromatic Fuel Act 2013</w:t>
      </w:r>
      <w:r w:rsidRPr="00871235">
        <w:t xml:space="preserve"> (the Act) provides that the Commonwealth Minister for Indigenous Affairs (the Minister) may, by legislative instrument, designat</w:t>
      </w:r>
      <w:r>
        <w:t>e</w:t>
      </w:r>
      <w:r w:rsidRPr="00871235">
        <w:t xml:space="preserve"> an area</w:t>
      </w:r>
      <w:r>
        <w:t xml:space="preserve"> as a ‘low aromatic fuel area.’</w:t>
      </w:r>
    </w:p>
    <w:p w:rsidR="00E2179C" w:rsidRDefault="00E2179C" w:rsidP="00E2179C">
      <w:r w:rsidRPr="00871235">
        <w:t>This</w:t>
      </w:r>
      <w:r>
        <w:t xml:space="preserve"> instrument designates </w:t>
      </w:r>
      <w:r w:rsidR="00B816BC">
        <w:t>the following areas</w:t>
      </w:r>
      <w:r w:rsidR="002560D2">
        <w:t xml:space="preserve"> </w:t>
      </w:r>
      <w:r w:rsidR="00B816BC">
        <w:t>in</w:t>
      </w:r>
      <w:r w:rsidR="002560D2">
        <w:t xml:space="preserve"> the Northern Territory as low aromatic fuel areas:</w:t>
      </w:r>
      <w:r w:rsidR="002560D2" w:rsidRPr="006B7D9D">
        <w:t xml:space="preserve"> </w:t>
      </w:r>
      <w:r w:rsidR="00FB467D">
        <w:t xml:space="preserve">parts of </w:t>
      </w:r>
      <w:r w:rsidR="00FB467D" w:rsidRPr="00D5709D">
        <w:t>Pine Creek</w:t>
      </w:r>
      <w:r w:rsidR="00FB467D">
        <w:t xml:space="preserve"> as well as </w:t>
      </w:r>
      <w:r w:rsidR="008B1676" w:rsidRPr="00D5709D">
        <w:t>Adelaide River</w:t>
      </w:r>
      <w:r w:rsidR="008B1676">
        <w:t xml:space="preserve">, </w:t>
      </w:r>
      <w:r w:rsidR="00D5709D" w:rsidRPr="00D5709D">
        <w:t xml:space="preserve">Hayes Creek and </w:t>
      </w:r>
      <w:r w:rsidR="00FB467D">
        <w:t xml:space="preserve">the </w:t>
      </w:r>
      <w:r w:rsidR="00D5709D" w:rsidRPr="00D5709D">
        <w:t>Mary River Roadhouse</w:t>
      </w:r>
      <w:r>
        <w:t>.</w:t>
      </w:r>
    </w:p>
    <w:p w:rsidR="00E2179C" w:rsidRDefault="00E2179C" w:rsidP="00E2179C">
      <w:r>
        <w:t xml:space="preserve">If an area is designated as a low aromatic fuel area, then section 8 of the Act makes it an offence for a </w:t>
      </w:r>
      <w:r w:rsidR="003B71DF">
        <w:t>c</w:t>
      </w:r>
      <w:r>
        <w:t xml:space="preserve">orporation to engage in the following prohibited conduct: </w:t>
      </w:r>
    </w:p>
    <w:p w:rsidR="00E2179C" w:rsidRDefault="00E2179C" w:rsidP="00E2179C">
      <w:pPr>
        <w:pStyle w:val="ListParagraph"/>
        <w:numPr>
          <w:ilvl w:val="0"/>
          <w:numId w:val="3"/>
        </w:numPr>
      </w:pPr>
      <w:r>
        <w:t>Supply regular unleaded petrol to a person in a low aromatic fuel area</w:t>
      </w:r>
      <w:r w:rsidR="00337E57">
        <w:t>;</w:t>
      </w:r>
    </w:p>
    <w:p w:rsidR="00E2179C" w:rsidRDefault="00E2179C" w:rsidP="00E2179C">
      <w:pPr>
        <w:pStyle w:val="ListParagraph"/>
        <w:numPr>
          <w:ilvl w:val="0"/>
          <w:numId w:val="3"/>
        </w:numPr>
      </w:pPr>
      <w:r>
        <w:t>Transport regular unleaded petrol to supply to a person in a low aromatic fuel area</w:t>
      </w:r>
      <w:r w:rsidR="00337E57">
        <w:t>; and</w:t>
      </w:r>
    </w:p>
    <w:p w:rsidR="00E2179C" w:rsidRDefault="00E2179C" w:rsidP="00E2179C">
      <w:pPr>
        <w:pStyle w:val="ListParagraph"/>
        <w:numPr>
          <w:ilvl w:val="0"/>
          <w:numId w:val="3"/>
        </w:numPr>
      </w:pPr>
      <w:r>
        <w:t>Possess regular unleaded petrol to supply to a person in a low aromatic fuel area</w:t>
      </w:r>
      <w:r w:rsidR="00B816BC">
        <w:t>.</w:t>
      </w:r>
    </w:p>
    <w:p w:rsidR="00E2179C" w:rsidRPr="00871235" w:rsidRDefault="00E2179C" w:rsidP="00BC1A27">
      <w:r w:rsidRPr="00871235">
        <w:t xml:space="preserve">Corporations who commit an offence under </w:t>
      </w:r>
      <w:r>
        <w:t>the Act</w:t>
      </w:r>
      <w:r w:rsidRPr="00871235">
        <w:t xml:space="preserve"> may face a penalty of up to 300 penalty units. At the time of </w:t>
      </w:r>
      <w:r>
        <w:t>publication</w:t>
      </w:r>
      <w:r w:rsidRPr="00871235">
        <w:t>, 300 penalty units equals $54,000.</w:t>
      </w:r>
    </w:p>
    <w:p w:rsidR="00E2179C" w:rsidRPr="00871235" w:rsidRDefault="00E2179C" w:rsidP="00BC1A27">
      <w:r w:rsidRPr="00871235">
        <w:t>Before designating a low aromatic fuel area, the Minister must be satisfied that the designation is reasonably likely to help reduce potential harm to the health of people, including Aboriginal persons and Torres Strait Islanders</w:t>
      </w:r>
      <w:r w:rsidR="00337E57">
        <w:t>,</w:t>
      </w:r>
      <w:r w:rsidRPr="00871235">
        <w:t xml:space="preserve"> living in the area from sniffing fuel (</w:t>
      </w:r>
      <w:r w:rsidR="00337E57">
        <w:t>paragraph</w:t>
      </w:r>
      <w:r w:rsidR="00337E57" w:rsidRPr="00871235">
        <w:t xml:space="preserve"> </w:t>
      </w:r>
      <w:r w:rsidRPr="00871235">
        <w:t>14(2)</w:t>
      </w:r>
      <w:r w:rsidR="00337E57">
        <w:t>(a)</w:t>
      </w:r>
      <w:r w:rsidRPr="00871235">
        <w:t xml:space="preserve">). The Minister must also be satisfied that </w:t>
      </w:r>
      <w:r w:rsidR="00337E57">
        <w:t xml:space="preserve">there are adequate </w:t>
      </w:r>
      <w:r w:rsidRPr="00871235">
        <w:t>facilities for supply of low aromatic fuel in the area (</w:t>
      </w:r>
      <w:r w:rsidR="00337E57">
        <w:t>paragraph</w:t>
      </w:r>
      <w:r w:rsidR="00337E57" w:rsidRPr="00871235" w:rsidDel="00337E57">
        <w:t xml:space="preserve"> </w:t>
      </w:r>
      <w:r w:rsidRPr="00871235">
        <w:t>14(</w:t>
      </w:r>
      <w:r w:rsidR="00337E57">
        <w:t>2</w:t>
      </w:r>
      <w:r w:rsidRPr="00871235">
        <w:t>)</w:t>
      </w:r>
      <w:r w:rsidR="00337E57">
        <w:t>(b)</w:t>
      </w:r>
      <w:r w:rsidRPr="00871235">
        <w:t>) and that the appropriate States and Territories have not or are unlikely to enact legislation consistent with the Act</w:t>
      </w:r>
      <w:r w:rsidR="00202296">
        <w:t> </w:t>
      </w:r>
      <w:r w:rsidR="00337E57">
        <w:t>(paragraph</w:t>
      </w:r>
      <w:r w:rsidR="00235E67">
        <w:t> </w:t>
      </w:r>
      <w:r w:rsidR="00337E57">
        <w:t>14(2)(c))</w:t>
      </w:r>
      <w:r w:rsidRPr="00871235">
        <w:t xml:space="preserve">. </w:t>
      </w:r>
    </w:p>
    <w:p w:rsidR="00E2179C" w:rsidRPr="00871235" w:rsidRDefault="00E2179C" w:rsidP="00BC1A27">
      <w:r w:rsidRPr="00871235">
        <w:t>The Minister must have regard to</w:t>
      </w:r>
      <w:r>
        <w:t xml:space="preserve"> matters listed in the Act </w:t>
      </w:r>
      <w:r w:rsidRPr="00871235">
        <w:t>(subsection 14(3)</w:t>
      </w:r>
      <w:r>
        <w:t>), including t</w:t>
      </w:r>
      <w:r w:rsidRPr="00871235">
        <w:t>he wellbeing of people, including Aboriginal persons and Torres Strait Islanders</w:t>
      </w:r>
      <w:r w:rsidR="00247256">
        <w:t>,</w:t>
      </w:r>
      <w:r w:rsidRPr="00871235">
        <w:t xml:space="preserve"> living in the area</w:t>
      </w:r>
      <w:r>
        <w:t>,</w:t>
      </w:r>
      <w:r w:rsidRPr="00871235">
        <w:t xml:space="preserve"> in designating </w:t>
      </w:r>
      <w:r>
        <w:t>a low aromatic fuel area</w:t>
      </w:r>
      <w:r w:rsidRPr="00871235">
        <w:t xml:space="preserve"> under </w:t>
      </w:r>
      <w:r>
        <w:t>sub</w:t>
      </w:r>
      <w:r w:rsidRPr="00871235">
        <w:t xml:space="preserve">section </w:t>
      </w:r>
      <w:r>
        <w:t>1</w:t>
      </w:r>
      <w:r w:rsidRPr="00871235">
        <w:t xml:space="preserve">4(1). </w:t>
      </w:r>
    </w:p>
    <w:p w:rsidR="00BF54A1" w:rsidRPr="00871235" w:rsidRDefault="00BF54A1" w:rsidP="00BF54A1">
      <w:pPr>
        <w:spacing w:before="0"/>
        <w:rPr>
          <w:b/>
        </w:rPr>
      </w:pPr>
    </w:p>
    <w:p w:rsidR="00BF54A1" w:rsidRPr="00871235" w:rsidRDefault="00BF54A1" w:rsidP="00BF54A1">
      <w:pPr>
        <w:spacing w:before="0"/>
        <w:rPr>
          <w:b/>
        </w:rPr>
      </w:pPr>
      <w:r w:rsidRPr="00871235">
        <w:rPr>
          <w:b/>
        </w:rPr>
        <w:t>Background</w:t>
      </w:r>
    </w:p>
    <w:p w:rsidR="00CE58EB" w:rsidRPr="00871235" w:rsidRDefault="00CE58EB" w:rsidP="00CE58EB">
      <w:r w:rsidRPr="00871235">
        <w:t xml:space="preserve">The Act consists of measures designed to mitigate the negative impacts of petrol sniffing through controlling the supply of </w:t>
      </w:r>
      <w:r w:rsidR="00FB13B3">
        <w:t xml:space="preserve">regular unleaded petrol </w:t>
      </w:r>
      <w:r w:rsidR="001D57EE" w:rsidRPr="00871235">
        <w:t>and promoting the supply of low aromatic fuel</w:t>
      </w:r>
      <w:r w:rsidRPr="00871235">
        <w:t xml:space="preserve"> in designated areas by:</w:t>
      </w:r>
    </w:p>
    <w:p w:rsidR="00CE58EB" w:rsidRPr="00871235" w:rsidRDefault="00CE58EB" w:rsidP="00CE58EB">
      <w:pPr>
        <w:pStyle w:val="ListParagraph"/>
        <w:numPr>
          <w:ilvl w:val="0"/>
          <w:numId w:val="1"/>
        </w:numPr>
        <w:rPr>
          <w:szCs w:val="20"/>
        </w:rPr>
      </w:pPr>
      <w:r w:rsidRPr="00871235">
        <w:rPr>
          <w:szCs w:val="20"/>
        </w:rPr>
        <w:t>Prohibiting the supply</w:t>
      </w:r>
      <w:r w:rsidR="001D57EE" w:rsidRPr="00871235">
        <w:t>, transport and possession to supply</w:t>
      </w:r>
      <w:r w:rsidRPr="00871235">
        <w:rPr>
          <w:szCs w:val="20"/>
        </w:rPr>
        <w:t xml:space="preserve"> of regular unleaded petrol; </w:t>
      </w:r>
    </w:p>
    <w:p w:rsidR="00CE58EB" w:rsidRPr="00871235" w:rsidRDefault="00CE58EB" w:rsidP="00CE58EB">
      <w:pPr>
        <w:pStyle w:val="ListParagraph"/>
        <w:numPr>
          <w:ilvl w:val="0"/>
          <w:numId w:val="1"/>
        </w:numPr>
        <w:rPr>
          <w:szCs w:val="20"/>
        </w:rPr>
      </w:pPr>
      <w:r w:rsidRPr="00871235">
        <w:rPr>
          <w:szCs w:val="20"/>
        </w:rPr>
        <w:t xml:space="preserve">Promoting and monitoring the use of </w:t>
      </w:r>
      <w:r w:rsidR="008B75DF">
        <w:rPr>
          <w:szCs w:val="20"/>
        </w:rPr>
        <w:t>l</w:t>
      </w:r>
      <w:r w:rsidR="00776DC3" w:rsidRPr="00871235">
        <w:rPr>
          <w:szCs w:val="20"/>
        </w:rPr>
        <w:t>ow aromatic fuel</w:t>
      </w:r>
      <w:r w:rsidRPr="00871235">
        <w:rPr>
          <w:szCs w:val="20"/>
        </w:rPr>
        <w:t>; and</w:t>
      </w:r>
    </w:p>
    <w:p w:rsidR="00CE58EB" w:rsidRDefault="00CE58EB" w:rsidP="00CE58EB">
      <w:pPr>
        <w:pStyle w:val="ListParagraph"/>
        <w:numPr>
          <w:ilvl w:val="0"/>
          <w:numId w:val="1"/>
        </w:numPr>
        <w:rPr>
          <w:szCs w:val="20"/>
        </w:rPr>
      </w:pPr>
      <w:r w:rsidRPr="00871235">
        <w:rPr>
          <w:szCs w:val="20"/>
        </w:rPr>
        <w:t>Regulating the supply and storage of other fuels – in particular premium unleaded petrol.</w:t>
      </w:r>
    </w:p>
    <w:p w:rsidR="008014E4" w:rsidRDefault="008014E4" w:rsidP="008014E4">
      <w:r>
        <w:t>This legislative instrument support</w:t>
      </w:r>
      <w:r w:rsidR="00BE4B91">
        <w:t>s</w:t>
      </w:r>
      <w:r>
        <w:t xml:space="preserve"> a regional approach </w:t>
      </w:r>
      <w:r w:rsidR="00C23EA4">
        <w:t>to controlling the suppl</w:t>
      </w:r>
      <w:r w:rsidR="00781A7E">
        <w:t>y</w:t>
      </w:r>
      <w:r w:rsidR="00C23EA4">
        <w:t xml:space="preserve"> of regular unleaded petrol </w:t>
      </w:r>
      <w:r>
        <w:t xml:space="preserve">in </w:t>
      </w:r>
      <w:r w:rsidR="00B816BC">
        <w:t xml:space="preserve">the </w:t>
      </w:r>
      <w:r w:rsidR="00130860">
        <w:t>area</w:t>
      </w:r>
      <w:r w:rsidR="002560D2">
        <w:t>s of</w:t>
      </w:r>
      <w:r>
        <w:t xml:space="preserve"> Adelaide River, Hayes Creek, Pine Creek</w:t>
      </w:r>
      <w:r w:rsidR="002560D2">
        <w:t xml:space="preserve"> and </w:t>
      </w:r>
      <w:r>
        <w:t xml:space="preserve"> Mary River Roadhouse. </w:t>
      </w:r>
    </w:p>
    <w:p w:rsidR="00BE4B91" w:rsidRDefault="00C23EA4" w:rsidP="008014E4">
      <w:r>
        <w:lastRenderedPageBreak/>
        <w:t>It</w:t>
      </w:r>
      <w:r w:rsidR="008014E4">
        <w:t xml:space="preserve"> will reduce the availability of regular unleaded fuel and subsequently the likelihood of the fuel being transported to areas with a high incidence of petrol sniffing.  </w:t>
      </w:r>
    </w:p>
    <w:p w:rsidR="008014E4" w:rsidRDefault="00EB3C6C" w:rsidP="008014E4">
      <w:r>
        <w:t>This legislative instrument</w:t>
      </w:r>
      <w:r w:rsidR="008014E4">
        <w:t xml:space="preserve"> complements the </w:t>
      </w:r>
      <w:r w:rsidR="008014E4" w:rsidRPr="008014E4">
        <w:rPr>
          <w:i/>
        </w:rPr>
        <w:t>Low Aromatic Fuel (Designated Areas) (</w:t>
      </w:r>
      <w:r w:rsidR="008014E4">
        <w:rPr>
          <w:i/>
        </w:rPr>
        <w:t xml:space="preserve">Katherine </w:t>
      </w:r>
      <w:r w:rsidR="008014E4" w:rsidRPr="008014E4">
        <w:rPr>
          <w:i/>
        </w:rPr>
        <w:t>Region) Instrument 2016</w:t>
      </w:r>
      <w:r w:rsidR="008014E4">
        <w:t xml:space="preserve">. </w:t>
      </w:r>
    </w:p>
    <w:p w:rsidR="00E2179C" w:rsidRPr="00E2179C" w:rsidRDefault="00E2179C" w:rsidP="00BC1A27">
      <w:pPr>
        <w:rPr>
          <w:rStyle w:val="BookTitle"/>
          <w:b/>
          <w:i w:val="0"/>
          <w:iCs w:val="0"/>
          <w:smallCaps w:val="0"/>
        </w:rPr>
      </w:pPr>
      <w:r w:rsidRPr="00E2179C">
        <w:rPr>
          <w:rStyle w:val="BookTitle"/>
          <w:b/>
          <w:i w:val="0"/>
          <w:iCs w:val="0"/>
          <w:smallCaps w:val="0"/>
        </w:rPr>
        <w:t xml:space="preserve">Regulatory Impact Statement </w:t>
      </w:r>
    </w:p>
    <w:p w:rsidR="00E2179C" w:rsidRPr="00E2179C" w:rsidRDefault="00E2179C" w:rsidP="00BC1A27">
      <w:pPr>
        <w:rPr>
          <w:rStyle w:val="BookTitle"/>
          <w:b/>
          <w:i w:val="0"/>
          <w:iCs w:val="0"/>
          <w:smallCaps w:val="0"/>
        </w:rPr>
      </w:pPr>
      <w:r w:rsidRPr="00E2179C">
        <w:rPr>
          <w:rStyle w:val="BookTitle"/>
          <w:i w:val="0"/>
          <w:iCs w:val="0"/>
          <w:smallCaps w:val="0"/>
        </w:rPr>
        <w:t xml:space="preserve">The Office of Best Practice Regulation has advised that a Regulatory Impact Statement is not required for this instrument (OBPR </w:t>
      </w:r>
      <w:r w:rsidRPr="00C57743">
        <w:rPr>
          <w:rStyle w:val="BookTitle"/>
          <w:i w:val="0"/>
          <w:iCs w:val="0"/>
          <w:smallCaps w:val="0"/>
        </w:rPr>
        <w:t xml:space="preserve">reference: </w:t>
      </w:r>
      <w:r w:rsidR="002560D2" w:rsidRPr="002560D2">
        <w:rPr>
          <w:rStyle w:val="BookTitle"/>
          <w:i w:val="0"/>
          <w:iCs w:val="0"/>
          <w:smallCaps w:val="0"/>
        </w:rPr>
        <w:t>19939</w:t>
      </w:r>
      <w:r w:rsidRPr="00E2179C">
        <w:rPr>
          <w:rStyle w:val="BookTitle"/>
          <w:i w:val="0"/>
          <w:iCs w:val="0"/>
          <w:smallCaps w:val="0"/>
        </w:rPr>
        <w:t>)</w:t>
      </w:r>
      <w:r w:rsidR="002560D2">
        <w:rPr>
          <w:rStyle w:val="BookTitle"/>
          <w:i w:val="0"/>
          <w:iCs w:val="0"/>
          <w:smallCaps w:val="0"/>
        </w:rPr>
        <w:t xml:space="preserve">. </w:t>
      </w:r>
    </w:p>
    <w:p w:rsidR="00BF54A1" w:rsidRPr="00871235" w:rsidRDefault="00BF54A1" w:rsidP="00BF54A1">
      <w:pPr>
        <w:rPr>
          <w:rStyle w:val="BookTitle"/>
          <w:b/>
          <w:i w:val="0"/>
          <w:iCs w:val="0"/>
          <w:smallCaps w:val="0"/>
        </w:rPr>
      </w:pPr>
      <w:r w:rsidRPr="00871235">
        <w:rPr>
          <w:rStyle w:val="BookTitle"/>
          <w:b/>
          <w:i w:val="0"/>
          <w:iCs w:val="0"/>
          <w:smallCaps w:val="0"/>
        </w:rPr>
        <w:t>Commencement</w:t>
      </w:r>
    </w:p>
    <w:p w:rsidR="00BF54A1" w:rsidRPr="00871235" w:rsidRDefault="00BF54A1" w:rsidP="00BF54A1">
      <w:pPr>
        <w:rPr>
          <w:rStyle w:val="BookTitle"/>
          <w:i w:val="0"/>
          <w:iCs w:val="0"/>
          <w:smallCaps w:val="0"/>
        </w:rPr>
      </w:pPr>
      <w:r w:rsidRPr="00D466D2">
        <w:rPr>
          <w:rStyle w:val="BookTitle"/>
          <w:i w:val="0"/>
          <w:iCs w:val="0"/>
          <w:smallCaps w:val="0"/>
        </w:rPr>
        <w:t xml:space="preserve">The </w:t>
      </w:r>
      <w:r w:rsidR="00D466D2" w:rsidRPr="00D466D2">
        <w:rPr>
          <w:rStyle w:val="BookTitle"/>
          <w:i w:val="0"/>
          <w:iCs w:val="0"/>
          <w:smallCaps w:val="0"/>
        </w:rPr>
        <w:t xml:space="preserve">instrument </w:t>
      </w:r>
      <w:r w:rsidRPr="00D466D2">
        <w:rPr>
          <w:rStyle w:val="BookTitle"/>
          <w:i w:val="0"/>
          <w:iCs w:val="0"/>
          <w:smallCaps w:val="0"/>
        </w:rPr>
        <w:t>commences</w:t>
      </w:r>
      <w:r w:rsidR="00A108DB" w:rsidRPr="00D466D2">
        <w:rPr>
          <w:rStyle w:val="BookTitle"/>
          <w:i w:val="0"/>
          <w:iCs w:val="0"/>
          <w:smallCaps w:val="0"/>
        </w:rPr>
        <w:t xml:space="preserve"> </w:t>
      </w:r>
      <w:r w:rsidR="00B2120E" w:rsidRPr="00D466D2">
        <w:rPr>
          <w:rStyle w:val="BookTitle"/>
          <w:i w:val="0"/>
          <w:iCs w:val="0"/>
          <w:smallCaps w:val="0"/>
        </w:rPr>
        <w:t xml:space="preserve">on </w:t>
      </w:r>
      <w:r w:rsidR="00D466D2" w:rsidRPr="001E6954">
        <w:rPr>
          <w:rStyle w:val="BookTitle"/>
          <w:i w:val="0"/>
          <w:iCs w:val="0"/>
          <w:smallCaps w:val="0"/>
        </w:rPr>
        <w:t>the day after registration o</w:t>
      </w:r>
      <w:r w:rsidR="002560D2">
        <w:rPr>
          <w:rStyle w:val="BookTitle"/>
          <w:i w:val="0"/>
          <w:iCs w:val="0"/>
          <w:smallCaps w:val="0"/>
        </w:rPr>
        <w:t>n</w:t>
      </w:r>
      <w:r w:rsidR="00D466D2" w:rsidRPr="001E6954">
        <w:rPr>
          <w:rStyle w:val="BookTitle"/>
          <w:i w:val="0"/>
          <w:iCs w:val="0"/>
          <w:smallCaps w:val="0"/>
        </w:rPr>
        <w:t xml:space="preserve"> the Federal </w:t>
      </w:r>
      <w:r w:rsidR="00B816BC">
        <w:rPr>
          <w:rStyle w:val="BookTitle"/>
          <w:i w:val="0"/>
          <w:iCs w:val="0"/>
          <w:smallCaps w:val="0"/>
        </w:rPr>
        <w:t>R</w:t>
      </w:r>
      <w:r w:rsidR="00D466D2" w:rsidRPr="001E6954">
        <w:rPr>
          <w:rStyle w:val="BookTitle"/>
          <w:i w:val="0"/>
          <w:iCs w:val="0"/>
          <w:smallCaps w:val="0"/>
        </w:rPr>
        <w:t>egister of Legislative Instruments</w:t>
      </w:r>
      <w:r w:rsidRPr="001E6954">
        <w:rPr>
          <w:rStyle w:val="BookTitle"/>
          <w:i w:val="0"/>
          <w:iCs w:val="0"/>
          <w:smallCaps w:val="0"/>
        </w:rPr>
        <w:t>.</w:t>
      </w:r>
    </w:p>
    <w:p w:rsidR="00BF54A1" w:rsidRPr="00871235" w:rsidRDefault="00BF54A1" w:rsidP="00BF54A1">
      <w:pPr>
        <w:rPr>
          <w:rStyle w:val="BookTitle"/>
          <w:b/>
          <w:i w:val="0"/>
          <w:iCs w:val="0"/>
          <w:smallCaps w:val="0"/>
        </w:rPr>
      </w:pPr>
      <w:r w:rsidRPr="00871235">
        <w:rPr>
          <w:rStyle w:val="BookTitle"/>
          <w:b/>
          <w:i w:val="0"/>
          <w:iCs w:val="0"/>
          <w:smallCaps w:val="0"/>
        </w:rPr>
        <w:t>Consultation</w:t>
      </w:r>
    </w:p>
    <w:p w:rsidR="007B47A8" w:rsidRPr="00871235" w:rsidRDefault="001D57EE" w:rsidP="001715A5">
      <w:r w:rsidRPr="00871235">
        <w:t>The Minister is required to consult with certain persons and bodies as the Minister considers appropriate under s</w:t>
      </w:r>
      <w:r w:rsidR="008B6CFA" w:rsidRPr="00871235">
        <w:t>ubs</w:t>
      </w:r>
      <w:r w:rsidRPr="00871235">
        <w:t>ection 16</w:t>
      </w:r>
      <w:r w:rsidR="008B6CFA" w:rsidRPr="00871235">
        <w:t>(1)</w:t>
      </w:r>
      <w:r w:rsidRPr="00871235">
        <w:t xml:space="preserve"> of the Act</w:t>
      </w:r>
      <w:r w:rsidR="007B47A8" w:rsidRPr="00871235">
        <w:t>.</w:t>
      </w:r>
    </w:p>
    <w:p w:rsidR="00A108DB" w:rsidRPr="00871235" w:rsidRDefault="008B6CFA" w:rsidP="001715A5">
      <w:r w:rsidRPr="00871235">
        <w:rPr>
          <w:rStyle w:val="BookTitle"/>
          <w:i w:val="0"/>
          <w:iCs w:val="0"/>
          <w:smallCaps w:val="0"/>
        </w:rPr>
        <w:t>T</w:t>
      </w:r>
      <w:r w:rsidR="00A108DB" w:rsidRPr="00871235">
        <w:t xml:space="preserve">he Minister must ensure certain information has been made available in the area </w:t>
      </w:r>
      <w:r w:rsidR="008B75DF">
        <w:t xml:space="preserve">and </w:t>
      </w:r>
      <w:r w:rsidR="007B47A8" w:rsidRPr="00871235">
        <w:t>to</w:t>
      </w:r>
      <w:r w:rsidR="00A108DB" w:rsidRPr="00871235">
        <w:t xml:space="preserve"> </w:t>
      </w:r>
      <w:r w:rsidR="00013588" w:rsidRPr="00871235">
        <w:t xml:space="preserve">the </w:t>
      </w:r>
      <w:r w:rsidR="00A108DB" w:rsidRPr="00871235">
        <w:t xml:space="preserve">people living in the area (including businesses and organisations operating in the area) </w:t>
      </w:r>
      <w:r w:rsidR="00E2179C">
        <w:t xml:space="preserve">and they </w:t>
      </w:r>
      <w:r w:rsidR="00A108DB" w:rsidRPr="00871235">
        <w:t>have been given a reasonable opportunity to make submissions about the proposal</w:t>
      </w:r>
      <w:r w:rsidRPr="00871235">
        <w:t xml:space="preserve"> under subsection 16(2) of the Act</w:t>
      </w:r>
      <w:r w:rsidR="00A108DB" w:rsidRPr="00871235">
        <w:t xml:space="preserve">. </w:t>
      </w:r>
    </w:p>
    <w:p w:rsidR="00731B14" w:rsidRDefault="002560D2" w:rsidP="002560D2">
      <w:r>
        <w:t xml:space="preserve">The consultation for the </w:t>
      </w:r>
      <w:r w:rsidR="00FE24C8">
        <w:t xml:space="preserve">Daly and </w:t>
      </w:r>
      <w:r>
        <w:t xml:space="preserve">Katherine and </w:t>
      </w:r>
      <w:r w:rsidR="00B816BC">
        <w:t>R</w:t>
      </w:r>
      <w:r>
        <w:t>egion</w:t>
      </w:r>
      <w:r w:rsidR="00FE24C8">
        <w:t>s</w:t>
      </w:r>
      <w:r>
        <w:t xml:space="preserve"> </w:t>
      </w:r>
      <w:r w:rsidR="00FE24C8">
        <w:t>L</w:t>
      </w:r>
      <w:r>
        <w:t xml:space="preserve">egislative </w:t>
      </w:r>
      <w:r w:rsidR="00FE24C8">
        <w:t>I</w:t>
      </w:r>
      <w:r>
        <w:t xml:space="preserve">nstruments was conducted in one process. </w:t>
      </w:r>
      <w:r w:rsidR="00994FE1" w:rsidRPr="00871235">
        <w:t xml:space="preserve">A public consultation process on </w:t>
      </w:r>
      <w:r w:rsidR="001715A5" w:rsidRPr="00871235">
        <w:t xml:space="preserve">the </w:t>
      </w:r>
      <w:r w:rsidR="00994FE1" w:rsidRPr="00871235">
        <w:t>propos</w:t>
      </w:r>
      <w:r w:rsidR="001715A5" w:rsidRPr="00871235">
        <w:t xml:space="preserve">al to </w:t>
      </w:r>
      <w:r w:rsidR="009C00B6" w:rsidRPr="00871235">
        <w:t>designate</w:t>
      </w:r>
      <w:r w:rsidR="00B3282B">
        <w:t xml:space="preserve"> </w:t>
      </w:r>
      <w:r w:rsidR="00EB3C6C">
        <w:t xml:space="preserve">Adelaide River, Hayes Creek, Pine Creek, Mary River Roadhouse, Katherine, Tindal, </w:t>
      </w:r>
      <w:proofErr w:type="spellStart"/>
      <w:r w:rsidR="00EB3C6C">
        <w:t>Nitmiluk</w:t>
      </w:r>
      <w:proofErr w:type="spellEnd"/>
      <w:r w:rsidR="00EB3C6C">
        <w:t xml:space="preserve">, </w:t>
      </w:r>
      <w:proofErr w:type="gramStart"/>
      <w:r w:rsidR="00EB3C6C">
        <w:t>Mataranka</w:t>
      </w:r>
      <w:proofErr w:type="gramEnd"/>
      <w:r w:rsidR="00EB3C6C">
        <w:t xml:space="preserve"> </w:t>
      </w:r>
      <w:r w:rsidR="00B2120E">
        <w:t>as l</w:t>
      </w:r>
      <w:r w:rsidR="001715A5" w:rsidRPr="00871235">
        <w:t>ow aromatic fuel area</w:t>
      </w:r>
      <w:r w:rsidR="00B2120E">
        <w:t>s</w:t>
      </w:r>
      <w:r w:rsidR="001715A5" w:rsidRPr="00871235">
        <w:t xml:space="preserve"> </w:t>
      </w:r>
      <w:r w:rsidR="00994FE1" w:rsidRPr="00871235">
        <w:t xml:space="preserve">was conducted between </w:t>
      </w:r>
      <w:r w:rsidR="00B3282B">
        <w:t>7</w:t>
      </w:r>
      <w:r>
        <w:t> </w:t>
      </w:r>
      <w:r w:rsidR="00B3282B">
        <w:t xml:space="preserve">September </w:t>
      </w:r>
      <w:r w:rsidR="001715A5" w:rsidRPr="00871235">
        <w:t xml:space="preserve">and </w:t>
      </w:r>
      <w:r w:rsidR="00B2120E">
        <w:t>2</w:t>
      </w:r>
      <w:r w:rsidR="00EB3C6C">
        <w:t> October </w:t>
      </w:r>
      <w:r w:rsidR="001715A5" w:rsidRPr="00871235">
        <w:t>2015</w:t>
      </w:r>
      <w:r w:rsidR="00994FE1" w:rsidRPr="00871235">
        <w:t xml:space="preserve">. </w:t>
      </w:r>
    </w:p>
    <w:p w:rsidR="00A108DB" w:rsidRPr="00871235" w:rsidRDefault="00994FE1" w:rsidP="001715A5">
      <w:r w:rsidRPr="00871235">
        <w:t xml:space="preserve">The </w:t>
      </w:r>
      <w:r w:rsidR="00731B14">
        <w:t>Adelaide River, Hayes Creek, Pine Creek, Mary River Roadhouse</w:t>
      </w:r>
      <w:r w:rsidR="00731B14" w:rsidRPr="00871235">
        <w:t xml:space="preserve"> </w:t>
      </w:r>
      <w:r w:rsidRPr="00871235">
        <w:t>area</w:t>
      </w:r>
      <w:r w:rsidR="00C84221">
        <w:t>s</w:t>
      </w:r>
      <w:r w:rsidR="002560D2">
        <w:t xml:space="preserve"> discussed during </w:t>
      </w:r>
      <w:r w:rsidRPr="00871235">
        <w:t>the consultation</w:t>
      </w:r>
      <w:r w:rsidR="00FF4FC8">
        <w:t>s</w:t>
      </w:r>
      <w:r w:rsidRPr="00871235">
        <w:t xml:space="preserve"> </w:t>
      </w:r>
      <w:proofErr w:type="gramStart"/>
      <w:r w:rsidR="00C84221">
        <w:t>are</w:t>
      </w:r>
      <w:proofErr w:type="gramEnd"/>
      <w:r w:rsidRPr="00871235">
        <w:t xml:space="preserve"> </w:t>
      </w:r>
      <w:r w:rsidR="00C617DD">
        <w:t xml:space="preserve">reflected </w:t>
      </w:r>
      <w:r w:rsidR="0053117E" w:rsidRPr="00871235">
        <w:t>in this</w:t>
      </w:r>
      <w:r w:rsidRPr="00871235">
        <w:t xml:space="preserve"> </w:t>
      </w:r>
      <w:r w:rsidR="00F6413D">
        <w:t>instrument</w:t>
      </w:r>
      <w:r w:rsidRPr="00871235">
        <w:t xml:space="preserve">. </w:t>
      </w:r>
    </w:p>
    <w:p w:rsidR="00F6413D" w:rsidRDefault="001715A5" w:rsidP="001715A5">
      <w:r w:rsidRPr="00871235">
        <w:t xml:space="preserve">On behalf of the </w:t>
      </w:r>
      <w:r w:rsidR="00994FE1" w:rsidRPr="00871235">
        <w:t>Minister</w:t>
      </w:r>
      <w:r w:rsidRPr="00871235">
        <w:t xml:space="preserve">, the Department </w:t>
      </w:r>
      <w:r w:rsidR="00B3282B">
        <w:t>of the Prime Minister and Cabinet (</w:t>
      </w:r>
      <w:r w:rsidR="002560D2">
        <w:t>the Department</w:t>
      </w:r>
      <w:r w:rsidR="00B3282B">
        <w:t>)</w:t>
      </w:r>
      <w:r w:rsidR="00FF719C">
        <w:t xml:space="preserve"> </w:t>
      </w:r>
      <w:r w:rsidRPr="00871235">
        <w:t xml:space="preserve">wrote to stakeholders outlining the proposal and inviting them to make a submission or provide their views, including fuel retailers and distributors, health professionals, the local council and other relevant persons. </w:t>
      </w:r>
    </w:p>
    <w:p w:rsidR="001715A5" w:rsidRPr="00871235" w:rsidRDefault="00740710" w:rsidP="001715A5">
      <w:r w:rsidRPr="00871235">
        <w:t xml:space="preserve">Officials from the Department </w:t>
      </w:r>
      <w:r w:rsidR="00025553">
        <w:t>v</w:t>
      </w:r>
      <w:r w:rsidR="00FC4C73" w:rsidRPr="00871235">
        <w:t>isited</w:t>
      </w:r>
      <w:r w:rsidRPr="00871235">
        <w:t xml:space="preserve"> </w:t>
      </w:r>
      <w:r w:rsidR="00B3282B">
        <w:t xml:space="preserve">the </w:t>
      </w:r>
      <w:r w:rsidR="00FF4FC8">
        <w:t xml:space="preserve">Daly </w:t>
      </w:r>
      <w:r w:rsidR="00D93DF7">
        <w:t>R</w:t>
      </w:r>
      <w:r w:rsidR="00397900">
        <w:t xml:space="preserve">egion </w:t>
      </w:r>
      <w:r w:rsidR="00397900" w:rsidRPr="00871235">
        <w:t>from</w:t>
      </w:r>
      <w:r w:rsidRPr="00871235">
        <w:t xml:space="preserve"> </w:t>
      </w:r>
      <w:r w:rsidR="00B3282B">
        <w:t>14</w:t>
      </w:r>
      <w:r w:rsidR="00C617DD">
        <w:t> </w:t>
      </w:r>
      <w:r w:rsidR="00B2120E">
        <w:t>to</w:t>
      </w:r>
      <w:r w:rsidR="00C617DD">
        <w:t> </w:t>
      </w:r>
      <w:r w:rsidR="00B2120E">
        <w:t>1</w:t>
      </w:r>
      <w:r w:rsidR="00B3282B">
        <w:t>7</w:t>
      </w:r>
      <w:r w:rsidR="00C617DD">
        <w:t> </w:t>
      </w:r>
      <w:r w:rsidR="00B2120E">
        <w:t>September</w:t>
      </w:r>
      <w:r w:rsidR="00C617DD">
        <w:t> </w:t>
      </w:r>
      <w:r w:rsidRPr="00871235">
        <w:t xml:space="preserve">2015 for meetings with retailers, health providers, </w:t>
      </w:r>
      <w:r w:rsidR="00BC1A27">
        <w:t>Aboriginal</w:t>
      </w:r>
      <w:r w:rsidR="00BC1A27" w:rsidRPr="00871235">
        <w:t xml:space="preserve"> </w:t>
      </w:r>
      <w:r w:rsidRPr="00871235">
        <w:t>organisations, residents and other relevant persons, as part of this consultation process.</w:t>
      </w:r>
      <w:r w:rsidR="00F32062" w:rsidRPr="00871235">
        <w:t xml:space="preserve"> </w:t>
      </w:r>
      <w:r w:rsidR="001715A5" w:rsidRPr="00871235">
        <w:t>A</w:t>
      </w:r>
      <w:r w:rsidR="00C30429" w:rsidRPr="00871235">
        <w:t xml:space="preserve"> </w:t>
      </w:r>
      <w:r w:rsidR="001715A5" w:rsidRPr="00871235">
        <w:t>website also invited submissions from anyone interested in the area</w:t>
      </w:r>
      <w:r w:rsidR="00D8092E" w:rsidRPr="00871235">
        <w:t>.</w:t>
      </w:r>
    </w:p>
    <w:p w:rsidR="00397900" w:rsidRPr="00397900" w:rsidRDefault="00740710" w:rsidP="00397900">
      <w:pPr>
        <w:rPr>
          <w:rStyle w:val="BookTitle"/>
          <w:i w:val="0"/>
          <w:iCs w:val="0"/>
          <w:smallCaps w:val="0"/>
          <w:spacing w:val="0"/>
        </w:rPr>
      </w:pPr>
      <w:r w:rsidRPr="00871235">
        <w:t xml:space="preserve">The consultation process demonstrated overall strong support for the designation in order to address the serious </w:t>
      </w:r>
      <w:r w:rsidR="00776DC3" w:rsidRPr="00871235">
        <w:t xml:space="preserve">social </w:t>
      </w:r>
      <w:r w:rsidRPr="00871235">
        <w:t xml:space="preserve">impact of petrol sniffing. </w:t>
      </w:r>
      <w:r w:rsidR="00776DC3" w:rsidRPr="00871235">
        <w:t>S</w:t>
      </w:r>
      <w:r w:rsidR="001715A5" w:rsidRPr="00871235">
        <w:t>ome concerns about the impact of low aromatic</w:t>
      </w:r>
      <w:r w:rsidR="00E40960">
        <w:t xml:space="preserve"> </w:t>
      </w:r>
      <w:r w:rsidR="001715A5" w:rsidRPr="00871235">
        <w:t xml:space="preserve">fuel upon engines were </w:t>
      </w:r>
      <w:r w:rsidR="00C84221" w:rsidRPr="00871235">
        <w:t>raised</w:t>
      </w:r>
      <w:r w:rsidR="002560D2">
        <w:t>, therefore</w:t>
      </w:r>
      <w:r w:rsidR="00397900">
        <w:t xml:space="preserve"> </w:t>
      </w:r>
      <w:r w:rsidR="00776DC3" w:rsidRPr="00871235">
        <w:t>t</w:t>
      </w:r>
      <w:r w:rsidR="001715A5" w:rsidRPr="00871235">
        <w:t>he Department has undertaken to work closely with the community during the transition</w:t>
      </w:r>
      <w:r w:rsidR="00397900">
        <w:t xml:space="preserve"> to address any relevant issues</w:t>
      </w:r>
      <w:r w:rsidR="001715A5" w:rsidRPr="00871235">
        <w:t>.</w:t>
      </w:r>
    </w:p>
    <w:p w:rsidR="002560D2" w:rsidRDefault="002560D2">
      <w:pPr>
        <w:spacing w:before="0" w:after="200" w:line="276" w:lineRule="auto"/>
        <w:rPr>
          <w:rStyle w:val="BookTitle"/>
          <w:b/>
          <w:i w:val="0"/>
          <w:iCs w:val="0"/>
          <w:smallCaps w:val="0"/>
        </w:rPr>
      </w:pPr>
      <w:r>
        <w:rPr>
          <w:rStyle w:val="BookTitle"/>
          <w:b/>
          <w:i w:val="0"/>
          <w:iCs w:val="0"/>
          <w:smallCaps w:val="0"/>
        </w:rPr>
        <w:br w:type="page"/>
      </w:r>
    </w:p>
    <w:p w:rsidR="00BF54A1" w:rsidRPr="00871235" w:rsidRDefault="00BF54A1" w:rsidP="00397900">
      <w:pPr>
        <w:rPr>
          <w:rStyle w:val="BookTitle"/>
          <w:b/>
          <w:i w:val="0"/>
          <w:iCs w:val="0"/>
          <w:smallCaps w:val="0"/>
        </w:rPr>
      </w:pPr>
      <w:r w:rsidRPr="00871235">
        <w:rPr>
          <w:rStyle w:val="BookTitle"/>
          <w:b/>
          <w:i w:val="0"/>
          <w:iCs w:val="0"/>
          <w:smallCaps w:val="0"/>
        </w:rPr>
        <w:lastRenderedPageBreak/>
        <w:t>Explanation of provisions</w:t>
      </w:r>
    </w:p>
    <w:p w:rsidR="00A8043E" w:rsidRPr="00871235" w:rsidRDefault="00E2179C" w:rsidP="00A8043E">
      <w:pPr>
        <w:rPr>
          <w:i/>
        </w:rPr>
      </w:pPr>
      <w:r>
        <w:rPr>
          <w:b/>
        </w:rPr>
        <w:t>Item</w:t>
      </w:r>
      <w:r w:rsidR="00BF54A1" w:rsidRPr="00871235">
        <w:t xml:space="preserve"> </w:t>
      </w:r>
      <w:r w:rsidR="00BF54A1" w:rsidRPr="00871235">
        <w:rPr>
          <w:b/>
        </w:rPr>
        <w:t>1</w:t>
      </w:r>
      <w:r w:rsidR="00BF54A1" w:rsidRPr="00871235">
        <w:t xml:space="preserve"> </w:t>
      </w:r>
      <w:r w:rsidR="00A8043E" w:rsidRPr="00871235">
        <w:rPr>
          <w:rStyle w:val="BookTitle"/>
          <w:i w:val="0"/>
          <w:iCs w:val="0"/>
          <w:smallCaps w:val="0"/>
        </w:rPr>
        <w:t xml:space="preserve">sets out the name of the </w:t>
      </w:r>
      <w:r w:rsidR="00F6413D">
        <w:rPr>
          <w:rStyle w:val="BookTitle"/>
          <w:i w:val="0"/>
          <w:iCs w:val="0"/>
          <w:smallCaps w:val="0"/>
        </w:rPr>
        <w:t>instrument</w:t>
      </w:r>
      <w:r w:rsidR="00A8043E" w:rsidRPr="00871235">
        <w:rPr>
          <w:rStyle w:val="BookTitle"/>
          <w:i w:val="0"/>
          <w:iCs w:val="0"/>
          <w:smallCaps w:val="0"/>
        </w:rPr>
        <w:t xml:space="preserve">, being </w:t>
      </w:r>
      <w:r w:rsidR="00671F13">
        <w:rPr>
          <w:rStyle w:val="BookTitle"/>
          <w:i w:val="0"/>
          <w:iCs w:val="0"/>
          <w:smallCaps w:val="0"/>
        </w:rPr>
        <w:t xml:space="preserve">the </w:t>
      </w:r>
      <w:r w:rsidR="00A8043E" w:rsidRPr="00871235">
        <w:rPr>
          <w:i/>
        </w:rPr>
        <w:t xml:space="preserve">Low Aromatic Fuel </w:t>
      </w:r>
      <w:r w:rsidR="00671F13">
        <w:rPr>
          <w:i/>
        </w:rPr>
        <w:t xml:space="preserve">(Designated </w:t>
      </w:r>
      <w:r w:rsidR="00A8043E" w:rsidRPr="00871235">
        <w:rPr>
          <w:i/>
        </w:rPr>
        <w:t>Area</w:t>
      </w:r>
      <w:r w:rsidR="00B7075D">
        <w:rPr>
          <w:i/>
        </w:rPr>
        <w:t>s</w:t>
      </w:r>
      <w:r w:rsidR="00671F13">
        <w:rPr>
          <w:i/>
        </w:rPr>
        <w:t>)</w:t>
      </w:r>
      <w:r w:rsidR="00A8043E" w:rsidRPr="00871235">
        <w:rPr>
          <w:i/>
        </w:rPr>
        <w:t xml:space="preserve"> </w:t>
      </w:r>
      <w:r w:rsidR="00A108DB" w:rsidRPr="00871235">
        <w:rPr>
          <w:i/>
        </w:rPr>
        <w:t>(</w:t>
      </w:r>
      <w:r w:rsidR="00397900" w:rsidRPr="00D5709D">
        <w:rPr>
          <w:i/>
        </w:rPr>
        <w:t>Daly Region</w:t>
      </w:r>
      <w:r w:rsidR="00A108DB" w:rsidRPr="00871235">
        <w:rPr>
          <w:i/>
        </w:rPr>
        <w:t>)</w:t>
      </w:r>
      <w:r w:rsidR="00A8043E" w:rsidRPr="00871235">
        <w:rPr>
          <w:i/>
        </w:rPr>
        <w:t xml:space="preserve"> </w:t>
      </w:r>
      <w:r w:rsidR="00F6413D">
        <w:rPr>
          <w:i/>
        </w:rPr>
        <w:t xml:space="preserve">Instrument </w:t>
      </w:r>
      <w:r w:rsidR="00A8043E" w:rsidRPr="00871235">
        <w:rPr>
          <w:i/>
        </w:rPr>
        <w:t>201</w:t>
      </w:r>
      <w:r w:rsidR="000049D5">
        <w:rPr>
          <w:i/>
        </w:rPr>
        <w:t>6</w:t>
      </w:r>
      <w:r w:rsidR="00994FE1" w:rsidRPr="00871235">
        <w:rPr>
          <w:i/>
        </w:rPr>
        <w:t>.</w:t>
      </w:r>
    </w:p>
    <w:p w:rsidR="00A8043E" w:rsidRPr="00871235" w:rsidRDefault="00E2179C" w:rsidP="00BF54A1">
      <w:pPr>
        <w:rPr>
          <w:b/>
        </w:rPr>
      </w:pPr>
      <w:r>
        <w:rPr>
          <w:b/>
        </w:rPr>
        <w:t>Item</w:t>
      </w:r>
      <w:r w:rsidRPr="00871235">
        <w:rPr>
          <w:b/>
        </w:rPr>
        <w:t xml:space="preserve"> </w:t>
      </w:r>
      <w:r w:rsidR="00A8043E" w:rsidRPr="00871235">
        <w:rPr>
          <w:b/>
        </w:rPr>
        <w:t xml:space="preserve">2 </w:t>
      </w:r>
      <w:r w:rsidR="00A8043E" w:rsidRPr="00871235">
        <w:rPr>
          <w:rStyle w:val="BookTitle"/>
          <w:i w:val="0"/>
          <w:iCs w:val="0"/>
          <w:smallCaps w:val="0"/>
        </w:rPr>
        <w:t xml:space="preserve">provides that the </w:t>
      </w:r>
      <w:r>
        <w:rPr>
          <w:rStyle w:val="BookTitle"/>
          <w:i w:val="0"/>
          <w:iCs w:val="0"/>
          <w:smallCaps w:val="0"/>
        </w:rPr>
        <w:t>instrument</w:t>
      </w:r>
      <w:r w:rsidRPr="00871235">
        <w:rPr>
          <w:rStyle w:val="BookTitle"/>
          <w:i w:val="0"/>
          <w:iCs w:val="0"/>
          <w:smallCaps w:val="0"/>
        </w:rPr>
        <w:t xml:space="preserve"> </w:t>
      </w:r>
      <w:r w:rsidR="00A8043E" w:rsidRPr="00871235">
        <w:rPr>
          <w:rStyle w:val="BookTitle"/>
          <w:i w:val="0"/>
          <w:iCs w:val="0"/>
          <w:smallCaps w:val="0"/>
        </w:rPr>
        <w:t>commences</w:t>
      </w:r>
      <w:r w:rsidR="00A108DB" w:rsidRPr="00871235">
        <w:rPr>
          <w:rStyle w:val="BookTitle"/>
          <w:i w:val="0"/>
          <w:iCs w:val="0"/>
          <w:smallCaps w:val="0"/>
        </w:rPr>
        <w:t xml:space="preserve"> </w:t>
      </w:r>
      <w:r w:rsidR="00F6413D">
        <w:rPr>
          <w:spacing w:val="5"/>
        </w:rPr>
        <w:t>on the day after registration on the Federal Register of Legislative Instruments</w:t>
      </w:r>
      <w:r w:rsidR="00B2120E">
        <w:rPr>
          <w:rStyle w:val="BookTitle"/>
          <w:i w:val="0"/>
          <w:iCs w:val="0"/>
          <w:smallCaps w:val="0"/>
        </w:rPr>
        <w:t>.</w:t>
      </w:r>
    </w:p>
    <w:p w:rsidR="00E2179C" w:rsidRPr="00E42753" w:rsidRDefault="00E2179C" w:rsidP="00E2179C">
      <w:pPr>
        <w:rPr>
          <w:rStyle w:val="BookTitle"/>
          <w:i w:val="0"/>
          <w:iCs w:val="0"/>
          <w:smallCaps w:val="0"/>
        </w:rPr>
      </w:pPr>
      <w:r>
        <w:rPr>
          <w:b/>
        </w:rPr>
        <w:t>Item</w:t>
      </w:r>
      <w:r w:rsidRPr="00871235">
        <w:rPr>
          <w:b/>
        </w:rPr>
        <w:t xml:space="preserve"> </w:t>
      </w:r>
      <w:r w:rsidR="00A8043E" w:rsidRPr="00871235">
        <w:rPr>
          <w:b/>
        </w:rPr>
        <w:t xml:space="preserve">3 </w:t>
      </w:r>
      <w:r>
        <w:rPr>
          <w:rStyle w:val="BookTitle"/>
          <w:i w:val="0"/>
          <w:iCs w:val="0"/>
          <w:smallCaps w:val="0"/>
        </w:rPr>
        <w:t xml:space="preserve">specifies that the instrument is made under the authority of subsection 14(1) of the </w:t>
      </w:r>
      <w:r w:rsidRPr="00C735B9">
        <w:rPr>
          <w:i/>
          <w:iCs/>
          <w:spacing w:val="5"/>
        </w:rPr>
        <w:t>Low Aromatic Fuel Act 2013</w:t>
      </w:r>
      <w:r w:rsidRPr="00C735B9">
        <w:rPr>
          <w:spacing w:val="5"/>
        </w:rPr>
        <w:t>.</w:t>
      </w:r>
    </w:p>
    <w:p w:rsidR="00E2179C" w:rsidRPr="001C2DFA" w:rsidRDefault="00E2179C" w:rsidP="00E2179C">
      <w:r>
        <w:rPr>
          <w:rStyle w:val="BookTitle"/>
          <w:b/>
          <w:i w:val="0"/>
          <w:iCs w:val="0"/>
          <w:smallCaps w:val="0"/>
        </w:rPr>
        <w:t xml:space="preserve">Item 4 </w:t>
      </w:r>
      <w:r>
        <w:rPr>
          <w:rStyle w:val="BookTitle"/>
          <w:i w:val="0"/>
          <w:iCs w:val="0"/>
          <w:smallCaps w:val="0"/>
        </w:rPr>
        <w:t xml:space="preserve">defines key terms contained in the instrument. </w:t>
      </w:r>
    </w:p>
    <w:p w:rsidR="00A8043E" w:rsidRDefault="00E2179C" w:rsidP="00BC1A27">
      <w:r w:rsidRPr="00BC1A27">
        <w:rPr>
          <w:b/>
        </w:rPr>
        <w:t>Item 5</w:t>
      </w:r>
      <w:r>
        <w:t xml:space="preserve"> </w:t>
      </w:r>
      <w:r w:rsidR="002560D2">
        <w:t xml:space="preserve">designates </w:t>
      </w:r>
      <w:r w:rsidR="00397900" w:rsidRPr="00397900">
        <w:t>Adelaide River, Hayes Creek, Pine Creek and Mary River Roadhouse</w:t>
      </w:r>
      <w:r w:rsidR="004F5F78">
        <w:t xml:space="preserve"> as</w:t>
      </w:r>
      <w:r w:rsidR="00BF54A1" w:rsidRPr="00871235">
        <w:t xml:space="preserve"> low </w:t>
      </w:r>
      <w:r w:rsidR="00A8043E" w:rsidRPr="00871235">
        <w:t>aromatic</w:t>
      </w:r>
      <w:r w:rsidR="00BF54A1" w:rsidRPr="00871235">
        <w:t xml:space="preserve"> fuel area</w:t>
      </w:r>
      <w:r w:rsidR="004F5F78">
        <w:t>s</w:t>
      </w:r>
      <w:r w:rsidR="00BF54A1" w:rsidRPr="00871235">
        <w:t xml:space="preserve"> </w:t>
      </w:r>
      <w:r>
        <w:t>under</w:t>
      </w:r>
      <w:r w:rsidR="00BF54A1" w:rsidRPr="00871235">
        <w:t xml:space="preserve"> section 14(1) of the Act.</w:t>
      </w:r>
      <w:r w:rsidR="00A8043E" w:rsidRPr="00871235">
        <w:t xml:space="preserve"> </w:t>
      </w:r>
    </w:p>
    <w:p w:rsidR="00E2179C" w:rsidRPr="001C2DFA" w:rsidRDefault="002560D2" w:rsidP="00E2179C">
      <w:pPr>
        <w:rPr>
          <w:b/>
        </w:rPr>
      </w:pPr>
      <w:r>
        <w:t xml:space="preserve">Maps of the areas designated by this instrument are </w:t>
      </w:r>
      <w:r w:rsidR="00E2179C" w:rsidRPr="00871235">
        <w:t xml:space="preserve">at </w:t>
      </w:r>
      <w:r w:rsidR="00E2179C" w:rsidRPr="00871235">
        <w:rPr>
          <w:b/>
        </w:rPr>
        <w:t>Attachment A</w:t>
      </w:r>
      <w:r w:rsidR="00E2179C" w:rsidRPr="00871235">
        <w:t>.</w:t>
      </w:r>
    </w:p>
    <w:p w:rsidR="00427DE7" w:rsidRDefault="00427DE7">
      <w:pPr>
        <w:spacing w:before="0" w:after="200" w:line="276" w:lineRule="auto"/>
        <w:rPr>
          <w:b/>
        </w:rPr>
      </w:pPr>
      <w:r>
        <w:rPr>
          <w:b/>
        </w:rPr>
        <w:br w:type="page"/>
      </w:r>
    </w:p>
    <w:p w:rsidR="000049D5" w:rsidRPr="00871235" w:rsidRDefault="000049D5" w:rsidP="000049D5">
      <w:pPr>
        <w:spacing w:before="0"/>
        <w:rPr>
          <w:b/>
        </w:rPr>
      </w:pPr>
      <w:bookmarkStart w:id="0" w:name="_GoBack"/>
      <w:bookmarkEnd w:id="0"/>
      <w:r w:rsidRPr="00871235">
        <w:rPr>
          <w:b/>
        </w:rPr>
        <w:lastRenderedPageBreak/>
        <w:t>Statement of Compatibility</w:t>
      </w:r>
    </w:p>
    <w:p w:rsidR="000049D5" w:rsidRPr="00871235" w:rsidRDefault="000049D5" w:rsidP="000049D5">
      <w:pPr>
        <w:spacing w:before="0"/>
        <w:jc w:val="center"/>
        <w:rPr>
          <w:b/>
          <w:i/>
        </w:rPr>
      </w:pPr>
    </w:p>
    <w:p w:rsidR="000049D5" w:rsidRPr="00871235" w:rsidRDefault="000049D5" w:rsidP="000049D5">
      <w:pPr>
        <w:spacing w:before="0"/>
        <w:rPr>
          <w:b/>
          <w:i/>
        </w:rPr>
      </w:pPr>
      <w:r w:rsidRPr="00871235">
        <w:rPr>
          <w:b/>
          <w:i/>
        </w:rPr>
        <w:t>Prepared in accordance with Part 3 of the Human Rights (Parliamentary Scrutiny) Act 2011</w:t>
      </w:r>
    </w:p>
    <w:p w:rsidR="000049D5" w:rsidRPr="00871235" w:rsidRDefault="000049D5" w:rsidP="000049D5">
      <w:pPr>
        <w:spacing w:before="0"/>
      </w:pPr>
    </w:p>
    <w:p w:rsidR="000049D5" w:rsidRPr="00871235" w:rsidRDefault="000049D5" w:rsidP="000049D5">
      <w:pPr>
        <w:spacing w:before="0"/>
      </w:pPr>
      <w:r w:rsidRPr="00871235">
        <w:t xml:space="preserve">This legislative instrument is compatible with the human rights and freedoms recognised or declared in the international instruments listed in section 3 of the </w:t>
      </w:r>
      <w:r w:rsidRPr="00871235">
        <w:rPr>
          <w:i/>
        </w:rPr>
        <w:t>Human Rights (Parliamentary Scrutiny) Act 2011</w:t>
      </w:r>
      <w:r w:rsidRPr="00871235">
        <w:t xml:space="preserve">. </w:t>
      </w:r>
    </w:p>
    <w:p w:rsidR="000049D5" w:rsidRPr="00871235" w:rsidRDefault="000049D5" w:rsidP="000049D5">
      <w:pPr>
        <w:spacing w:before="0"/>
      </w:pPr>
    </w:p>
    <w:p w:rsidR="000049D5" w:rsidRPr="00871235" w:rsidRDefault="000049D5" w:rsidP="000049D5">
      <w:pPr>
        <w:spacing w:before="0"/>
      </w:pPr>
      <w:r w:rsidRPr="00871235">
        <w:rPr>
          <w:b/>
          <w:i/>
        </w:rPr>
        <w:t>Overview of the Legislative Instrument</w:t>
      </w:r>
    </w:p>
    <w:p w:rsidR="000049D5" w:rsidRPr="00AE6ED8" w:rsidRDefault="000049D5" w:rsidP="000049D5">
      <w:pPr>
        <w:spacing w:before="0"/>
      </w:pPr>
      <w:r w:rsidRPr="00871235">
        <w:br/>
      </w:r>
      <w:r>
        <w:t xml:space="preserve">The </w:t>
      </w:r>
      <w:r>
        <w:rPr>
          <w:i/>
        </w:rPr>
        <w:t xml:space="preserve">Low Aromatic Fuel Act 2013 </w:t>
      </w:r>
      <w:r>
        <w:t>is designed to reduce petrol sniffing through promoting the supply of low</w:t>
      </w:r>
      <w:r w:rsidR="00233DBA">
        <w:t xml:space="preserve"> </w:t>
      </w:r>
      <w:r>
        <w:t xml:space="preserve">aromatic fuel and controlling the supply of other fuels in certain areas. </w:t>
      </w:r>
    </w:p>
    <w:p w:rsidR="000049D5" w:rsidRPr="00871235" w:rsidRDefault="000049D5" w:rsidP="000049D5">
      <w:pPr>
        <w:spacing w:before="0"/>
      </w:pPr>
    </w:p>
    <w:p w:rsidR="000049D5" w:rsidRDefault="000049D5" w:rsidP="000049D5">
      <w:pPr>
        <w:spacing w:before="0"/>
      </w:pPr>
      <w:r w:rsidRPr="00871235">
        <w:t xml:space="preserve">This legislative instrument designates </w:t>
      </w:r>
      <w:r w:rsidR="00FB467D">
        <w:t>parts of Pine Creek</w:t>
      </w:r>
      <w:r w:rsidR="008B1676">
        <w:t xml:space="preserve">, </w:t>
      </w:r>
      <w:r w:rsidR="008B1676" w:rsidRPr="00397900">
        <w:t>Adelaide River</w:t>
      </w:r>
      <w:r w:rsidR="008B1676">
        <w:t>,</w:t>
      </w:r>
      <w:r w:rsidR="0027177A">
        <w:t xml:space="preserve"> </w:t>
      </w:r>
      <w:r w:rsidR="00FB467D">
        <w:t>the</w:t>
      </w:r>
      <w:r w:rsidR="00950E1E" w:rsidRPr="00397900">
        <w:t xml:space="preserve"> Hayes Creek</w:t>
      </w:r>
      <w:r w:rsidR="00C23EA4">
        <w:t xml:space="preserve"> Roadhouse</w:t>
      </w:r>
      <w:r w:rsidR="00FB467D">
        <w:t xml:space="preserve"> and the </w:t>
      </w:r>
      <w:r w:rsidR="00950E1E" w:rsidRPr="00397900">
        <w:t>Mary River Roadhouse</w:t>
      </w:r>
      <w:r w:rsidR="00620A40">
        <w:t xml:space="preserve"> </w:t>
      </w:r>
      <w:r w:rsidRPr="00871235">
        <w:t>as low aromatic fuel area</w:t>
      </w:r>
      <w:r>
        <w:t>s</w:t>
      </w:r>
      <w:r w:rsidRPr="00871235">
        <w:t xml:space="preserve">. </w:t>
      </w:r>
    </w:p>
    <w:p w:rsidR="000049D5" w:rsidRDefault="000049D5" w:rsidP="000049D5">
      <w:pPr>
        <w:spacing w:before="0"/>
      </w:pPr>
    </w:p>
    <w:p w:rsidR="000049D5" w:rsidRPr="00727C3D" w:rsidRDefault="000049D5" w:rsidP="000049D5">
      <w:pPr>
        <w:spacing w:before="0"/>
      </w:pPr>
      <w:r>
        <w:t>The effect of this designation is that it will be an offence</w:t>
      </w:r>
      <w:r w:rsidRPr="00727C3D">
        <w:t xml:space="preserve"> </w:t>
      </w:r>
      <w:r>
        <w:t xml:space="preserve">for </w:t>
      </w:r>
      <w:r w:rsidRPr="00727C3D">
        <w:t xml:space="preserve">a </w:t>
      </w:r>
      <w:r>
        <w:t>c</w:t>
      </w:r>
      <w:r w:rsidRPr="00727C3D">
        <w:t xml:space="preserve">orporation </w:t>
      </w:r>
      <w:r>
        <w:t xml:space="preserve">to which paragraph 51(xx) of the Constitution applies </w:t>
      </w:r>
      <w:r w:rsidRPr="00727C3D">
        <w:t xml:space="preserve">to engage in the following prohibited conduct: </w:t>
      </w:r>
    </w:p>
    <w:p w:rsidR="000049D5" w:rsidRPr="00727C3D" w:rsidRDefault="000049D5" w:rsidP="000049D5">
      <w:pPr>
        <w:numPr>
          <w:ilvl w:val="0"/>
          <w:numId w:val="3"/>
        </w:numPr>
        <w:spacing w:before="0"/>
      </w:pPr>
      <w:r w:rsidRPr="00727C3D">
        <w:t>Supply</w:t>
      </w:r>
      <w:r>
        <w:t xml:space="preserve"> of</w:t>
      </w:r>
      <w:r w:rsidRPr="00727C3D">
        <w:t xml:space="preserve"> regular unleaded petrol to a person in a low aromatic fuel area</w:t>
      </w:r>
      <w:r>
        <w:t>;</w:t>
      </w:r>
    </w:p>
    <w:p w:rsidR="000049D5" w:rsidRPr="00727C3D" w:rsidRDefault="000049D5" w:rsidP="000049D5">
      <w:pPr>
        <w:numPr>
          <w:ilvl w:val="0"/>
          <w:numId w:val="3"/>
        </w:numPr>
        <w:spacing w:before="0"/>
      </w:pPr>
      <w:r w:rsidRPr="00727C3D">
        <w:t>Transport</w:t>
      </w:r>
      <w:r>
        <w:t xml:space="preserve"> of</w:t>
      </w:r>
      <w:r w:rsidRPr="00727C3D">
        <w:t xml:space="preserve"> regular unleaded petrol to supply to a person in a low aromatic fuel area</w:t>
      </w:r>
      <w:r>
        <w:t>; and</w:t>
      </w:r>
    </w:p>
    <w:p w:rsidR="000049D5" w:rsidRPr="00727C3D" w:rsidRDefault="000049D5" w:rsidP="000049D5">
      <w:pPr>
        <w:numPr>
          <w:ilvl w:val="0"/>
          <w:numId w:val="3"/>
        </w:numPr>
        <w:spacing w:before="0"/>
      </w:pPr>
      <w:r w:rsidRPr="00727C3D">
        <w:t>Possess</w:t>
      </w:r>
      <w:r>
        <w:t>ion of</w:t>
      </w:r>
      <w:r w:rsidRPr="00727C3D">
        <w:t xml:space="preserve"> regular unleaded petrol to supply to a person in a low aromatic fuel area</w:t>
      </w:r>
      <w:r>
        <w:t>.</w:t>
      </w:r>
    </w:p>
    <w:p w:rsidR="000049D5" w:rsidRDefault="000049D5" w:rsidP="000049D5">
      <w:pPr>
        <w:spacing w:before="0"/>
      </w:pPr>
    </w:p>
    <w:p w:rsidR="000049D5" w:rsidRPr="00871235" w:rsidRDefault="000049D5" w:rsidP="000049D5">
      <w:pPr>
        <w:spacing w:before="0"/>
      </w:pPr>
      <w:r>
        <w:t xml:space="preserve">Regular unleaded petrol can be sniffed to cause the feeling of being ‘high’, while low aromatic fuel will not give the feeling of being ‘high’. </w:t>
      </w:r>
    </w:p>
    <w:p w:rsidR="000049D5" w:rsidRDefault="000049D5" w:rsidP="000049D5">
      <w:pPr>
        <w:spacing w:before="0"/>
      </w:pPr>
    </w:p>
    <w:p w:rsidR="000049D5" w:rsidRPr="00871235" w:rsidRDefault="000049D5" w:rsidP="000049D5">
      <w:pPr>
        <w:spacing w:before="0"/>
        <w:rPr>
          <w:b/>
          <w:i/>
        </w:rPr>
      </w:pPr>
      <w:r w:rsidRPr="00871235">
        <w:rPr>
          <w:b/>
          <w:i/>
        </w:rPr>
        <w:t>Human rights implications</w:t>
      </w:r>
    </w:p>
    <w:p w:rsidR="000049D5" w:rsidRDefault="000049D5" w:rsidP="000049D5">
      <w:pPr>
        <w:spacing w:before="0"/>
      </w:pPr>
    </w:p>
    <w:p w:rsidR="000049D5" w:rsidRPr="00871235" w:rsidRDefault="000049D5" w:rsidP="000049D5">
      <w:pPr>
        <w:spacing w:before="0"/>
      </w:pPr>
      <w:r>
        <w:t xml:space="preserve">The instrument advances the rights of people in </w:t>
      </w:r>
      <w:r w:rsidR="00950E1E" w:rsidRPr="00397900">
        <w:t>Adelaide River, Hayes Creek</w:t>
      </w:r>
      <w:r w:rsidR="00C23EA4">
        <w:t xml:space="preserve"> Roadhouse</w:t>
      </w:r>
      <w:r w:rsidR="00950E1E" w:rsidRPr="00397900">
        <w:t>, Pine Creek and Mary River Roadhouse</w:t>
      </w:r>
      <w:r w:rsidR="00025553">
        <w:t xml:space="preserve"> </w:t>
      </w:r>
      <w:r>
        <w:t>who sniff petrol and affected communities. In particular, it promotes the right to health under Article 12 of the International Covenant on Economic Social and Cultural Rights (ICESCR). To the extent</w:t>
      </w:r>
      <w:r w:rsidR="00233DBA">
        <w:t>, if any,</w:t>
      </w:r>
      <w:r>
        <w:t xml:space="preserve"> the instrument discriminates on the basis of race, it is intended as a ‘special measure’ within the meaning of Article 1(4) of the International Convention on the Elimination of All Forms of Racial Discrimination (ICERD). </w:t>
      </w:r>
    </w:p>
    <w:p w:rsidR="000049D5" w:rsidRDefault="000049D5" w:rsidP="000049D5">
      <w:pPr>
        <w:spacing w:before="0"/>
        <w:contextualSpacing/>
        <w:rPr>
          <w:i/>
          <w:color w:val="000000"/>
        </w:rPr>
      </w:pPr>
    </w:p>
    <w:p w:rsidR="000049D5" w:rsidRPr="00871235" w:rsidRDefault="000049D5" w:rsidP="000049D5">
      <w:pPr>
        <w:spacing w:before="0"/>
        <w:contextualSpacing/>
        <w:rPr>
          <w:i/>
          <w:color w:val="000000"/>
        </w:rPr>
      </w:pPr>
      <w:r>
        <w:rPr>
          <w:i/>
          <w:color w:val="000000"/>
        </w:rPr>
        <w:t>Article 12</w:t>
      </w:r>
      <w:r w:rsidRPr="00871235">
        <w:rPr>
          <w:i/>
          <w:color w:val="000000"/>
        </w:rPr>
        <w:t xml:space="preserve"> </w:t>
      </w:r>
      <w:r w:rsidR="000078C6">
        <w:rPr>
          <w:i/>
          <w:color w:val="000000"/>
        </w:rPr>
        <w:t>of the ICESCR (Right to health)</w:t>
      </w:r>
    </w:p>
    <w:p w:rsidR="000049D5" w:rsidRDefault="000049D5" w:rsidP="000049D5">
      <w:pPr>
        <w:autoSpaceDE w:val="0"/>
        <w:autoSpaceDN w:val="0"/>
        <w:adjustRightInd w:val="0"/>
        <w:spacing w:before="0"/>
      </w:pPr>
    </w:p>
    <w:p w:rsidR="000049D5" w:rsidRDefault="000049D5" w:rsidP="000049D5">
      <w:pPr>
        <w:autoSpaceDE w:val="0"/>
        <w:autoSpaceDN w:val="0"/>
        <w:adjustRightInd w:val="0"/>
        <w:spacing w:before="0"/>
      </w:pPr>
      <w:r w:rsidRPr="00871235">
        <w:t>Article 12 recogni</w:t>
      </w:r>
      <w:r>
        <w:t>s</w:t>
      </w:r>
      <w:r w:rsidRPr="00871235">
        <w:t xml:space="preserve">es "the right of everyone to the enjoyment of the highest attainable standard of physical and mental health." According to General Comment 14, the authoritative interpretation of that right, the right to health embraces a wide range of socio-economic factors that promote conditions in which people can lead a healthy life, and extends to the underlying determinants of health. </w:t>
      </w:r>
    </w:p>
    <w:p w:rsidR="000049D5" w:rsidRPr="00871235" w:rsidRDefault="000049D5" w:rsidP="000049D5">
      <w:pPr>
        <w:autoSpaceDE w:val="0"/>
        <w:autoSpaceDN w:val="0"/>
        <w:adjustRightInd w:val="0"/>
        <w:spacing w:before="0"/>
      </w:pPr>
    </w:p>
    <w:p w:rsidR="000049D5" w:rsidRDefault="000049D5" w:rsidP="000049D5">
      <w:pPr>
        <w:autoSpaceDE w:val="0"/>
        <w:autoSpaceDN w:val="0"/>
        <w:adjustRightInd w:val="0"/>
        <w:spacing w:before="0"/>
        <w:rPr>
          <w:rFonts w:eastAsia="Calibri"/>
          <w:lang w:eastAsia="en-US"/>
        </w:rPr>
      </w:pPr>
      <w:r w:rsidRPr="00871235">
        <w:t>Under the General Comment the obligation to fulfil the right to</w:t>
      </w:r>
      <w:r>
        <w:t xml:space="preserve"> health requires the Australian </w:t>
      </w:r>
      <w:r w:rsidRPr="00871235">
        <w:t xml:space="preserve">Government to take positive measures that enable and assist individuals and communities to enjoy the right to health, including giving sufficient recognition to the right to </w:t>
      </w:r>
      <w:r w:rsidRPr="00871235">
        <w:lastRenderedPageBreak/>
        <w:t>health in the national political and legal systems, preferably by way of legislative implementation</w:t>
      </w:r>
      <w:r w:rsidRPr="00871235">
        <w:rPr>
          <w:rFonts w:eastAsia="Calibri"/>
          <w:lang w:eastAsia="en-US"/>
        </w:rPr>
        <w:t>.</w:t>
      </w:r>
    </w:p>
    <w:p w:rsidR="000049D5" w:rsidRPr="00871235" w:rsidRDefault="000049D5" w:rsidP="000049D5">
      <w:pPr>
        <w:autoSpaceDE w:val="0"/>
        <w:autoSpaceDN w:val="0"/>
        <w:adjustRightInd w:val="0"/>
        <w:spacing w:before="0"/>
        <w:rPr>
          <w:rFonts w:eastAsia="Calibri"/>
          <w:lang w:eastAsia="en-US"/>
        </w:rPr>
      </w:pPr>
    </w:p>
    <w:p w:rsidR="000049D5" w:rsidRPr="00871235" w:rsidRDefault="000049D5" w:rsidP="000049D5">
      <w:pPr>
        <w:autoSpaceDE w:val="0"/>
        <w:autoSpaceDN w:val="0"/>
        <w:adjustRightInd w:val="0"/>
        <w:spacing w:before="0"/>
        <w:rPr>
          <w:szCs w:val="24"/>
        </w:rPr>
      </w:pPr>
      <w:r w:rsidRPr="00871235">
        <w:t>The consequences of sniffing fuel include enduring</w:t>
      </w:r>
      <w:r w:rsidRPr="00871235" w:rsidDel="00D07CF6">
        <w:t xml:space="preserve"> </w:t>
      </w:r>
      <w:r w:rsidRPr="00871235">
        <w:t>physical harm to sniffers. Chronic sniffers can suffer cerebellar ataxia, grand mal epilepsy, encephalopathy, persistent psychosis and chronic disability including mental impairment. Neurological damage from petrol sniffing can be present at the very early stages of abuse. This can include effects on memory, attention, learning, e</w:t>
      </w:r>
      <w:r w:rsidRPr="00871235">
        <w:rPr>
          <w:szCs w:val="24"/>
        </w:rPr>
        <w:t xml:space="preserve">xecutive function and behavioural inhibition. </w:t>
      </w:r>
    </w:p>
    <w:p w:rsidR="000049D5" w:rsidRDefault="000049D5" w:rsidP="000049D5">
      <w:pPr>
        <w:autoSpaceDE w:val="0"/>
        <w:autoSpaceDN w:val="0"/>
        <w:adjustRightInd w:val="0"/>
        <w:spacing w:before="0"/>
        <w:rPr>
          <w:szCs w:val="24"/>
        </w:rPr>
      </w:pPr>
    </w:p>
    <w:p w:rsidR="000049D5" w:rsidRDefault="000049D5" w:rsidP="000049D5">
      <w:pPr>
        <w:autoSpaceDE w:val="0"/>
        <w:autoSpaceDN w:val="0"/>
        <w:adjustRightInd w:val="0"/>
        <w:spacing w:before="0"/>
        <w:rPr>
          <w:szCs w:val="24"/>
        </w:rPr>
      </w:pPr>
      <w:r w:rsidRPr="00871235">
        <w:rPr>
          <w:szCs w:val="24"/>
        </w:rPr>
        <w:t xml:space="preserve">The physical impacts of sniffing fuel have been connected to </w:t>
      </w:r>
      <w:r>
        <w:rPr>
          <w:szCs w:val="24"/>
        </w:rPr>
        <w:t xml:space="preserve">a </w:t>
      </w:r>
      <w:r w:rsidRPr="00871235">
        <w:rPr>
          <w:szCs w:val="24"/>
        </w:rPr>
        <w:t>range of social problems including low school attendance and illegal activity.</w:t>
      </w:r>
    </w:p>
    <w:p w:rsidR="000049D5" w:rsidRDefault="000049D5" w:rsidP="000049D5">
      <w:pPr>
        <w:autoSpaceDE w:val="0"/>
        <w:autoSpaceDN w:val="0"/>
        <w:adjustRightInd w:val="0"/>
        <w:spacing w:before="0"/>
        <w:rPr>
          <w:szCs w:val="24"/>
        </w:rPr>
      </w:pPr>
    </w:p>
    <w:p w:rsidR="000049D5" w:rsidRPr="00871235" w:rsidRDefault="000049D5" w:rsidP="000049D5">
      <w:pPr>
        <w:autoSpaceDE w:val="0"/>
        <w:autoSpaceDN w:val="0"/>
        <w:adjustRightInd w:val="0"/>
        <w:spacing w:before="0"/>
        <w:rPr>
          <w:szCs w:val="24"/>
        </w:rPr>
      </w:pPr>
      <w:r>
        <w:rPr>
          <w:szCs w:val="24"/>
        </w:rPr>
        <w:t xml:space="preserve">This instrument will help reduce petrol sniffing and resultant harm, supporting rights under Article 12 of the ICESCR. </w:t>
      </w:r>
    </w:p>
    <w:p w:rsidR="000049D5" w:rsidRDefault="000049D5" w:rsidP="000049D5">
      <w:pPr>
        <w:spacing w:before="0"/>
        <w:rPr>
          <w:i/>
        </w:rPr>
      </w:pPr>
    </w:p>
    <w:p w:rsidR="000049D5" w:rsidRPr="00871235" w:rsidRDefault="000078C6" w:rsidP="000049D5">
      <w:pPr>
        <w:spacing w:before="0"/>
        <w:rPr>
          <w:i/>
        </w:rPr>
      </w:pPr>
      <w:r>
        <w:rPr>
          <w:i/>
        </w:rPr>
        <w:t xml:space="preserve">Article 1(4) of the </w:t>
      </w:r>
      <w:r w:rsidR="000049D5">
        <w:rPr>
          <w:i/>
        </w:rPr>
        <w:t xml:space="preserve">ICERD </w:t>
      </w:r>
      <w:r>
        <w:rPr>
          <w:i/>
        </w:rPr>
        <w:t>(‘Special measures’)</w:t>
      </w:r>
    </w:p>
    <w:p w:rsidR="000049D5" w:rsidRPr="00871235" w:rsidRDefault="000049D5" w:rsidP="000049D5">
      <w:pPr>
        <w:spacing w:before="0"/>
      </w:pPr>
    </w:p>
    <w:p w:rsidR="000049D5" w:rsidRPr="00937EEC" w:rsidRDefault="000049D5" w:rsidP="000049D5">
      <w:pPr>
        <w:spacing w:before="0"/>
        <w:rPr>
          <w:i/>
        </w:rPr>
      </w:pPr>
      <w:r>
        <w:t xml:space="preserve">To the extent that practical operation of the instrument means that Aboriginal and Torres Strait Islander persons do not enjoy certain human rights to the same extent as other persons, the instrument is intended to be a ‘special measure’ within the meaning of Article 1(4) of the </w:t>
      </w:r>
      <w:r w:rsidR="00620A40">
        <w:t>ICERD</w:t>
      </w:r>
      <w:r>
        <w:t xml:space="preserve"> and section 8(1) of the </w:t>
      </w:r>
      <w:r>
        <w:rPr>
          <w:i/>
        </w:rPr>
        <w:t xml:space="preserve">Racial Discrimination Act 1975. </w:t>
      </w:r>
    </w:p>
    <w:p w:rsidR="000049D5" w:rsidRDefault="000049D5" w:rsidP="000049D5">
      <w:pPr>
        <w:spacing w:before="0"/>
      </w:pPr>
    </w:p>
    <w:p w:rsidR="00F44BA5" w:rsidRDefault="000049D5" w:rsidP="000049D5">
      <w:pPr>
        <w:pStyle w:val="paragraph"/>
        <w:spacing w:before="0"/>
        <w:ind w:left="0" w:firstLine="0"/>
        <w:rPr>
          <w:rFonts w:eastAsiaTheme="minorHAnsi"/>
          <w:sz w:val="24"/>
          <w:szCs w:val="24"/>
          <w:lang w:eastAsia="en-US"/>
        </w:rPr>
      </w:pPr>
      <w:r w:rsidRPr="00871235">
        <w:rPr>
          <w:rFonts w:eastAsiaTheme="minorHAnsi"/>
          <w:sz w:val="24"/>
          <w:szCs w:val="24"/>
          <w:lang w:eastAsia="en-US"/>
        </w:rPr>
        <w:t>Aboriginal and Torres Strait Islander persons make up</w:t>
      </w:r>
      <w:r w:rsidR="001A6849">
        <w:rPr>
          <w:rFonts w:eastAsiaTheme="minorHAnsi"/>
          <w:sz w:val="24"/>
          <w:szCs w:val="24"/>
          <w:lang w:eastAsia="en-US"/>
        </w:rPr>
        <w:t xml:space="preserve"> 21 per cent </w:t>
      </w:r>
      <w:r w:rsidR="00F44BA5">
        <w:rPr>
          <w:rFonts w:eastAsiaTheme="minorHAnsi"/>
          <w:sz w:val="24"/>
          <w:szCs w:val="24"/>
          <w:lang w:eastAsia="en-US"/>
        </w:rPr>
        <w:t xml:space="preserve">of the region that includes </w:t>
      </w:r>
      <w:r w:rsidR="00F44BA5" w:rsidRPr="00F44BA5">
        <w:rPr>
          <w:rFonts w:eastAsiaTheme="minorHAnsi"/>
          <w:sz w:val="24"/>
          <w:szCs w:val="24"/>
          <w:lang w:eastAsia="en-US"/>
        </w:rPr>
        <w:t>Adelaide River, Hayes Creek, Pine Creek</w:t>
      </w:r>
      <w:r w:rsidR="001F09F0">
        <w:rPr>
          <w:rFonts w:eastAsiaTheme="minorHAnsi"/>
          <w:sz w:val="24"/>
          <w:szCs w:val="24"/>
          <w:lang w:eastAsia="en-US"/>
        </w:rPr>
        <w:t xml:space="preserve"> and </w:t>
      </w:r>
      <w:r w:rsidR="00F44BA5" w:rsidRPr="00F44BA5">
        <w:rPr>
          <w:rFonts w:eastAsiaTheme="minorHAnsi"/>
          <w:sz w:val="24"/>
          <w:szCs w:val="24"/>
          <w:lang w:eastAsia="en-US"/>
        </w:rPr>
        <w:t>Mary River Roadhouse</w:t>
      </w:r>
      <w:r w:rsidR="001F09F0">
        <w:rPr>
          <w:rFonts w:eastAsiaTheme="minorHAnsi"/>
          <w:sz w:val="24"/>
          <w:szCs w:val="24"/>
          <w:lang w:eastAsia="en-US"/>
        </w:rPr>
        <w:t>. T</w:t>
      </w:r>
      <w:r>
        <w:rPr>
          <w:rFonts w:eastAsiaTheme="minorHAnsi"/>
          <w:sz w:val="24"/>
          <w:szCs w:val="24"/>
          <w:lang w:eastAsia="en-US"/>
        </w:rPr>
        <w:t xml:space="preserve">he instrument </w:t>
      </w:r>
      <w:r w:rsidR="001F09F0">
        <w:rPr>
          <w:rFonts w:eastAsiaTheme="minorHAnsi"/>
          <w:sz w:val="24"/>
          <w:szCs w:val="24"/>
          <w:lang w:eastAsia="en-US"/>
        </w:rPr>
        <w:t xml:space="preserve">is therefore unlikely to </w:t>
      </w:r>
      <w:r>
        <w:rPr>
          <w:rFonts w:eastAsiaTheme="minorHAnsi"/>
          <w:sz w:val="24"/>
          <w:szCs w:val="24"/>
          <w:lang w:eastAsia="en-US"/>
        </w:rPr>
        <w:t xml:space="preserve">have a greater impact on Aboriginal and Torres Strait Islander persons than other persons. </w:t>
      </w:r>
    </w:p>
    <w:p w:rsidR="00F44BA5" w:rsidRDefault="00F44BA5" w:rsidP="000049D5">
      <w:pPr>
        <w:pStyle w:val="paragraph"/>
        <w:spacing w:before="0"/>
        <w:ind w:left="0" w:firstLine="0"/>
        <w:rPr>
          <w:rFonts w:eastAsiaTheme="minorHAnsi"/>
          <w:sz w:val="24"/>
          <w:szCs w:val="24"/>
          <w:lang w:eastAsia="en-US"/>
        </w:rPr>
      </w:pPr>
    </w:p>
    <w:p w:rsidR="000049D5" w:rsidRDefault="001F09F0" w:rsidP="000049D5">
      <w:pPr>
        <w:pStyle w:val="paragraph"/>
        <w:spacing w:before="0"/>
        <w:ind w:left="0" w:firstLine="0"/>
        <w:rPr>
          <w:rFonts w:eastAsiaTheme="minorHAnsi"/>
          <w:sz w:val="24"/>
          <w:szCs w:val="24"/>
          <w:lang w:eastAsia="en-US"/>
        </w:rPr>
      </w:pPr>
      <w:r>
        <w:rPr>
          <w:rFonts w:eastAsiaTheme="minorHAnsi"/>
          <w:sz w:val="24"/>
          <w:szCs w:val="24"/>
          <w:lang w:eastAsia="en-US"/>
        </w:rPr>
        <w:t xml:space="preserve">However, to the extent, if any, that the instrument means </w:t>
      </w:r>
      <w:r w:rsidR="000049D5">
        <w:rPr>
          <w:rFonts w:eastAsiaTheme="minorHAnsi"/>
          <w:sz w:val="24"/>
          <w:szCs w:val="24"/>
          <w:lang w:eastAsia="en-US"/>
        </w:rPr>
        <w:t>Aboriginal and Torres Strait Islander persons</w:t>
      </w:r>
      <w:r w:rsidR="00F44BA5">
        <w:rPr>
          <w:rFonts w:eastAsiaTheme="minorHAnsi"/>
          <w:sz w:val="24"/>
          <w:szCs w:val="24"/>
          <w:lang w:eastAsia="en-US"/>
        </w:rPr>
        <w:t xml:space="preserve"> in </w:t>
      </w:r>
      <w:r w:rsidR="00F44BA5" w:rsidRPr="00F44BA5">
        <w:rPr>
          <w:rFonts w:eastAsiaTheme="minorHAnsi"/>
          <w:sz w:val="24"/>
          <w:szCs w:val="24"/>
          <w:lang w:eastAsia="en-US"/>
        </w:rPr>
        <w:t>Adelaide River, Hayes Creek, Pine Creek and Mary River Roadhouse</w:t>
      </w:r>
      <w:r w:rsidR="000049D5">
        <w:rPr>
          <w:rFonts w:eastAsiaTheme="minorHAnsi"/>
          <w:sz w:val="24"/>
          <w:szCs w:val="24"/>
          <w:lang w:eastAsia="en-US"/>
        </w:rPr>
        <w:t xml:space="preserve"> cannot enjoy certain human rights (such as the right to own property in Article 5(d</w:t>
      </w:r>
      <w:proofErr w:type="gramStart"/>
      <w:r w:rsidR="000049D5">
        <w:rPr>
          <w:rFonts w:eastAsiaTheme="minorHAnsi"/>
          <w:sz w:val="24"/>
          <w:szCs w:val="24"/>
          <w:lang w:eastAsia="en-US"/>
        </w:rPr>
        <w:t>)(</w:t>
      </w:r>
      <w:proofErr w:type="gramEnd"/>
      <w:r w:rsidR="000049D5">
        <w:rPr>
          <w:rFonts w:eastAsiaTheme="minorHAnsi"/>
          <w:sz w:val="24"/>
          <w:szCs w:val="24"/>
          <w:lang w:eastAsia="en-US"/>
        </w:rPr>
        <w:t>v) of the ICERD) to the same extent as other persons</w:t>
      </w:r>
      <w:r>
        <w:rPr>
          <w:rFonts w:eastAsiaTheme="minorHAnsi"/>
          <w:sz w:val="24"/>
          <w:szCs w:val="24"/>
          <w:lang w:eastAsia="en-US"/>
        </w:rPr>
        <w:t>, the instrument is intended to meet the criteria for a ‘special measure.’</w:t>
      </w:r>
      <w:r w:rsidR="000049D5">
        <w:rPr>
          <w:rFonts w:eastAsiaTheme="minorHAnsi"/>
          <w:sz w:val="24"/>
          <w:szCs w:val="24"/>
          <w:lang w:eastAsia="en-US"/>
        </w:rPr>
        <w:t xml:space="preserve"> </w:t>
      </w:r>
    </w:p>
    <w:p w:rsidR="000049D5" w:rsidRDefault="000049D5" w:rsidP="000049D5">
      <w:pPr>
        <w:pStyle w:val="paragraph"/>
        <w:spacing w:before="0"/>
        <w:ind w:left="0" w:firstLine="0"/>
        <w:rPr>
          <w:rFonts w:eastAsiaTheme="minorHAnsi"/>
          <w:sz w:val="24"/>
          <w:szCs w:val="24"/>
          <w:lang w:eastAsia="en-US"/>
        </w:rPr>
      </w:pPr>
    </w:p>
    <w:p w:rsidR="000049D5" w:rsidRDefault="000049D5" w:rsidP="000049D5">
      <w:pPr>
        <w:spacing w:before="0"/>
      </w:pPr>
      <w:r>
        <w:t xml:space="preserve">‘Special measures’ are an exception to the general prohibition on racial discrimination, and </w:t>
      </w:r>
      <w:r w:rsidRPr="00871235">
        <w:t>are designed to ‘secure to disadvantaged groups the full and equal enjoyment of human rights and fundamental freedoms’</w:t>
      </w:r>
      <w:r>
        <w:rPr>
          <w:rStyle w:val="FootnoteReference"/>
        </w:rPr>
        <w:footnoteReference w:id="1"/>
      </w:r>
      <w:r w:rsidRPr="00871235">
        <w:t>.</w:t>
      </w:r>
      <w:r>
        <w:t xml:space="preserve"> For a measure to be characterised as a ‘special measure’ it must: </w:t>
      </w:r>
    </w:p>
    <w:p w:rsidR="000049D5" w:rsidRDefault="000049D5" w:rsidP="000049D5">
      <w:pPr>
        <w:pStyle w:val="ListParagraph"/>
        <w:numPr>
          <w:ilvl w:val="0"/>
          <w:numId w:val="3"/>
        </w:numPr>
      </w:pPr>
      <w:r>
        <w:t xml:space="preserve">Be for a particular group or individuals; </w:t>
      </w:r>
    </w:p>
    <w:p w:rsidR="000049D5" w:rsidRDefault="000049D5" w:rsidP="000049D5">
      <w:pPr>
        <w:pStyle w:val="ListParagraph"/>
        <w:numPr>
          <w:ilvl w:val="0"/>
          <w:numId w:val="3"/>
        </w:numPr>
      </w:pPr>
      <w:r>
        <w:t xml:space="preserve">Be taken for the sole purpose of securing the adequate advancement of those groups or individuals; </w:t>
      </w:r>
    </w:p>
    <w:p w:rsidR="000049D5" w:rsidRDefault="000049D5" w:rsidP="000049D5">
      <w:pPr>
        <w:pStyle w:val="ListParagraph"/>
        <w:numPr>
          <w:ilvl w:val="0"/>
          <w:numId w:val="3"/>
        </w:numPr>
      </w:pPr>
      <w:r>
        <w:t>Be ‘necessary’; and</w:t>
      </w:r>
    </w:p>
    <w:p w:rsidR="000049D5" w:rsidRPr="00871235" w:rsidRDefault="000049D5" w:rsidP="000049D5">
      <w:pPr>
        <w:pStyle w:val="ListParagraph"/>
        <w:numPr>
          <w:ilvl w:val="0"/>
          <w:numId w:val="3"/>
        </w:numPr>
      </w:pPr>
      <w:r>
        <w:t xml:space="preserve">Not continue after its objectives have been achieved. </w:t>
      </w:r>
    </w:p>
    <w:p w:rsidR="000049D5" w:rsidRDefault="000049D5" w:rsidP="000049D5">
      <w:pPr>
        <w:pStyle w:val="paragraph"/>
        <w:spacing w:before="0"/>
        <w:ind w:left="0" w:firstLine="0"/>
        <w:rPr>
          <w:rFonts w:eastAsiaTheme="minorHAnsi"/>
          <w:sz w:val="24"/>
          <w:szCs w:val="24"/>
          <w:lang w:eastAsia="en-US"/>
        </w:rPr>
      </w:pPr>
    </w:p>
    <w:p w:rsidR="00F44BA5" w:rsidRDefault="000049D5" w:rsidP="000049D5">
      <w:pPr>
        <w:pStyle w:val="paragraph"/>
        <w:spacing w:before="0"/>
        <w:ind w:left="0" w:firstLine="0"/>
        <w:rPr>
          <w:rFonts w:eastAsiaTheme="minorHAnsi"/>
          <w:sz w:val="24"/>
          <w:szCs w:val="24"/>
          <w:lang w:eastAsia="en-US"/>
        </w:rPr>
      </w:pPr>
      <w:r>
        <w:rPr>
          <w:rFonts w:eastAsiaTheme="minorHAnsi"/>
          <w:sz w:val="24"/>
          <w:szCs w:val="24"/>
          <w:lang w:eastAsia="en-US"/>
        </w:rPr>
        <w:t>To the extent</w:t>
      </w:r>
      <w:r w:rsidR="001F09F0">
        <w:rPr>
          <w:rFonts w:eastAsiaTheme="minorHAnsi"/>
          <w:sz w:val="24"/>
          <w:szCs w:val="24"/>
          <w:lang w:eastAsia="en-US"/>
        </w:rPr>
        <w:t>, if any, that</w:t>
      </w:r>
      <w:r>
        <w:rPr>
          <w:rFonts w:eastAsiaTheme="minorHAnsi"/>
          <w:sz w:val="24"/>
          <w:szCs w:val="24"/>
          <w:lang w:eastAsia="en-US"/>
        </w:rPr>
        <w:t xml:space="preserve"> it discriminates, the purpose of the instrument is to protect Aboriginal and Torres Strait Islander persons living in the area</w:t>
      </w:r>
      <w:r w:rsidR="00FF719C">
        <w:rPr>
          <w:rFonts w:eastAsiaTheme="minorHAnsi"/>
          <w:sz w:val="24"/>
          <w:szCs w:val="24"/>
          <w:lang w:eastAsia="en-US"/>
        </w:rPr>
        <w:t>s</w:t>
      </w:r>
      <w:r>
        <w:rPr>
          <w:rFonts w:eastAsiaTheme="minorHAnsi"/>
          <w:sz w:val="24"/>
          <w:szCs w:val="24"/>
          <w:lang w:eastAsia="en-US"/>
        </w:rPr>
        <w:t xml:space="preserve"> from the negative impacts of </w:t>
      </w:r>
      <w:r>
        <w:rPr>
          <w:rFonts w:eastAsiaTheme="minorHAnsi"/>
          <w:sz w:val="24"/>
          <w:szCs w:val="24"/>
          <w:lang w:eastAsia="en-US"/>
        </w:rPr>
        <w:lastRenderedPageBreak/>
        <w:t xml:space="preserve">petrol sniffing so as to ensure their equal enjoyment of their human rights (such as the right to health in Article 12 of the ICESCR). </w:t>
      </w:r>
    </w:p>
    <w:p w:rsidR="00C23EA4" w:rsidRPr="00F44BA5" w:rsidRDefault="000049D5" w:rsidP="00C23EA4">
      <w:pPr>
        <w:rPr>
          <w:rFonts w:eastAsiaTheme="minorHAnsi"/>
          <w:szCs w:val="24"/>
          <w:lang w:eastAsia="en-US"/>
        </w:rPr>
      </w:pPr>
      <w:r>
        <w:rPr>
          <w:rFonts w:eastAsiaTheme="minorHAnsi"/>
          <w:szCs w:val="24"/>
          <w:lang w:eastAsia="en-US"/>
        </w:rPr>
        <w:t xml:space="preserve">The instrument is necessary to reduce Aboriginal and Torres Strait Islander petrol sniffing and resultant harm in </w:t>
      </w:r>
      <w:r w:rsidR="001F09F0">
        <w:rPr>
          <w:rFonts w:eastAsiaTheme="minorHAnsi"/>
          <w:szCs w:val="24"/>
          <w:lang w:eastAsia="en-US"/>
        </w:rPr>
        <w:t xml:space="preserve">the relevant areas. </w:t>
      </w:r>
      <w:r w:rsidRPr="00E018E2">
        <w:rPr>
          <w:szCs w:val="24"/>
          <w:lang w:val="en"/>
        </w:rPr>
        <w:t xml:space="preserve">Petrol sniffing continues to cause harm to individuals and communities in </w:t>
      </w:r>
      <w:r>
        <w:rPr>
          <w:szCs w:val="24"/>
          <w:lang w:val="en"/>
        </w:rPr>
        <w:t xml:space="preserve">the </w:t>
      </w:r>
      <w:r w:rsidR="00F44BA5">
        <w:rPr>
          <w:szCs w:val="24"/>
          <w:lang w:val="en"/>
        </w:rPr>
        <w:t>region</w:t>
      </w:r>
      <w:r w:rsidRPr="00E018E2">
        <w:rPr>
          <w:szCs w:val="24"/>
          <w:lang w:val="en"/>
        </w:rPr>
        <w:t>.</w:t>
      </w:r>
      <w:r>
        <w:rPr>
          <w:szCs w:val="24"/>
          <w:lang w:val="en"/>
        </w:rPr>
        <w:t xml:space="preserve"> It can cause brain damage or death and can lead to poor health, increased violence and crime and the breakdown of communities and families. </w:t>
      </w:r>
      <w:r w:rsidR="00C23EA4" w:rsidRPr="00F44BA5">
        <w:rPr>
          <w:rFonts w:eastAsiaTheme="minorHAnsi"/>
          <w:szCs w:val="24"/>
          <w:lang w:eastAsia="en-US"/>
        </w:rPr>
        <w:t xml:space="preserve">This instrument complements the </w:t>
      </w:r>
      <w:r w:rsidR="00C23EA4" w:rsidRPr="00C23EA4">
        <w:rPr>
          <w:rFonts w:eastAsiaTheme="minorHAnsi"/>
          <w:i/>
          <w:szCs w:val="24"/>
          <w:lang w:eastAsia="en-US"/>
        </w:rPr>
        <w:t>Low Aromatic Fuel Area (Designated Areas) (Katherine Region) Instrument 2016</w:t>
      </w:r>
      <w:r w:rsidR="00C23EA4" w:rsidRPr="00F44BA5">
        <w:rPr>
          <w:rFonts w:eastAsiaTheme="minorHAnsi"/>
          <w:szCs w:val="24"/>
          <w:lang w:eastAsia="en-US"/>
        </w:rPr>
        <w:t xml:space="preserve">. </w:t>
      </w:r>
    </w:p>
    <w:p w:rsidR="000049D5" w:rsidRDefault="000049D5" w:rsidP="000049D5">
      <w:pPr>
        <w:pStyle w:val="paragraph"/>
        <w:spacing w:before="0"/>
        <w:ind w:left="0" w:firstLine="0"/>
        <w:rPr>
          <w:sz w:val="24"/>
          <w:szCs w:val="24"/>
          <w:lang w:val="en"/>
        </w:rPr>
      </w:pPr>
    </w:p>
    <w:p w:rsidR="000049D5" w:rsidRDefault="000049D5" w:rsidP="000049D5">
      <w:pPr>
        <w:spacing w:before="0"/>
        <w:rPr>
          <w:szCs w:val="24"/>
        </w:rPr>
      </w:pPr>
      <w:r w:rsidRPr="00871235">
        <w:rPr>
          <w:szCs w:val="24"/>
        </w:rPr>
        <w:t>Low aromatic fuel has been specially designed by fuel industry chemist</w:t>
      </w:r>
      <w:r>
        <w:rPr>
          <w:szCs w:val="24"/>
        </w:rPr>
        <w:t>s to contain lower levels of</w:t>
      </w:r>
      <w:r w:rsidRPr="00871235">
        <w:rPr>
          <w:szCs w:val="24"/>
        </w:rPr>
        <w:t xml:space="preserve"> toxic aromatic compounds such as benzene, toluene and xylene which give people who sniff petrol a </w:t>
      </w:r>
      <w:r>
        <w:rPr>
          <w:szCs w:val="24"/>
        </w:rPr>
        <w:t>‘</w:t>
      </w:r>
      <w:r w:rsidRPr="00871235">
        <w:rPr>
          <w:szCs w:val="24"/>
        </w:rPr>
        <w:t>high</w:t>
      </w:r>
      <w:r>
        <w:rPr>
          <w:szCs w:val="24"/>
        </w:rPr>
        <w:t>’</w:t>
      </w:r>
      <w:r w:rsidRPr="00871235">
        <w:rPr>
          <w:szCs w:val="24"/>
        </w:rPr>
        <w:t>.</w:t>
      </w:r>
      <w:r>
        <w:rPr>
          <w:szCs w:val="24"/>
        </w:rPr>
        <w:t xml:space="preserve"> </w:t>
      </w:r>
      <w:r w:rsidRPr="00871235">
        <w:rPr>
          <w:szCs w:val="24"/>
        </w:rPr>
        <w:t xml:space="preserve">Research conducted by the Menzies School of Health Research has found that in most places where low aromatic fuel has been introduced the prevalence of petrol sniffing has dropped sharply. </w:t>
      </w:r>
    </w:p>
    <w:p w:rsidR="000049D5" w:rsidRDefault="000049D5" w:rsidP="000049D5">
      <w:pPr>
        <w:spacing w:before="0"/>
        <w:rPr>
          <w:szCs w:val="24"/>
        </w:rPr>
      </w:pPr>
    </w:p>
    <w:p w:rsidR="000049D5" w:rsidRPr="006E2A3E" w:rsidRDefault="000049D5" w:rsidP="000049D5">
      <w:pPr>
        <w:spacing w:before="0"/>
        <w:rPr>
          <w:szCs w:val="24"/>
          <w:lang w:val="en"/>
        </w:rPr>
      </w:pPr>
      <w:r w:rsidRPr="007455AA">
        <w:rPr>
          <w:szCs w:val="24"/>
        </w:rPr>
        <w:t xml:space="preserve">The consultation process found strong community support to designate </w:t>
      </w:r>
      <w:r w:rsidR="00F44BA5" w:rsidRPr="00F44BA5">
        <w:rPr>
          <w:rFonts w:eastAsiaTheme="minorHAnsi"/>
          <w:szCs w:val="24"/>
          <w:lang w:eastAsia="en-US"/>
        </w:rPr>
        <w:t>Adelaide River, Hayes Creek, Pine Creek</w:t>
      </w:r>
      <w:r w:rsidR="001F09F0">
        <w:rPr>
          <w:rFonts w:eastAsiaTheme="minorHAnsi"/>
          <w:szCs w:val="24"/>
          <w:lang w:eastAsia="en-US"/>
        </w:rPr>
        <w:t xml:space="preserve"> and</w:t>
      </w:r>
      <w:r w:rsidR="00F44BA5" w:rsidRPr="00F44BA5">
        <w:rPr>
          <w:rFonts w:eastAsiaTheme="minorHAnsi"/>
          <w:szCs w:val="24"/>
          <w:lang w:eastAsia="en-US"/>
        </w:rPr>
        <w:t xml:space="preserve"> Mary River Roadhouse</w:t>
      </w:r>
      <w:r w:rsidR="00606F26">
        <w:t xml:space="preserve"> </w:t>
      </w:r>
      <w:r w:rsidRPr="007455AA">
        <w:rPr>
          <w:szCs w:val="24"/>
        </w:rPr>
        <w:t xml:space="preserve">as low aromatic fuel areas. Fuel suppliers and distributors are </w:t>
      </w:r>
      <w:r>
        <w:rPr>
          <w:szCs w:val="24"/>
        </w:rPr>
        <w:t xml:space="preserve">generally </w:t>
      </w:r>
      <w:r w:rsidRPr="007455AA">
        <w:rPr>
          <w:szCs w:val="24"/>
        </w:rPr>
        <w:t>supportive of the</w:t>
      </w:r>
      <w:r>
        <w:rPr>
          <w:szCs w:val="24"/>
        </w:rPr>
        <w:t>se</w:t>
      </w:r>
      <w:r w:rsidRPr="007455AA">
        <w:rPr>
          <w:szCs w:val="24"/>
        </w:rPr>
        <w:t xml:space="preserve"> areas being designated.</w:t>
      </w:r>
    </w:p>
    <w:p w:rsidR="000049D5" w:rsidRDefault="000049D5" w:rsidP="000049D5">
      <w:pPr>
        <w:pStyle w:val="paragraph"/>
        <w:spacing w:before="0"/>
        <w:ind w:left="0" w:firstLine="0"/>
        <w:rPr>
          <w:rFonts w:eastAsiaTheme="minorHAnsi"/>
          <w:sz w:val="24"/>
          <w:szCs w:val="24"/>
          <w:lang w:eastAsia="en-US"/>
        </w:rPr>
      </w:pPr>
    </w:p>
    <w:p w:rsidR="000049D5" w:rsidRDefault="000049D5" w:rsidP="000049D5">
      <w:pPr>
        <w:pStyle w:val="paragraph"/>
        <w:spacing w:before="0"/>
        <w:ind w:left="0" w:firstLine="0"/>
        <w:rPr>
          <w:rFonts w:eastAsiaTheme="minorHAnsi"/>
          <w:sz w:val="24"/>
          <w:szCs w:val="24"/>
          <w:lang w:eastAsia="en-US"/>
        </w:rPr>
      </w:pPr>
      <w:r w:rsidRPr="00C84221">
        <w:rPr>
          <w:rFonts w:eastAsiaTheme="minorHAnsi"/>
          <w:sz w:val="24"/>
          <w:szCs w:val="24"/>
          <w:lang w:eastAsia="en-US"/>
        </w:rPr>
        <w:t xml:space="preserve">The Act will be reviewed on the fifth anniversary of its commencement (in 2018) and every five years after that </w:t>
      </w:r>
      <w:r>
        <w:rPr>
          <w:rFonts w:eastAsiaTheme="minorHAnsi"/>
          <w:sz w:val="24"/>
          <w:szCs w:val="24"/>
          <w:lang w:eastAsia="en-US"/>
        </w:rPr>
        <w:t>(</w:t>
      </w:r>
      <w:r w:rsidRPr="00C84221">
        <w:rPr>
          <w:rFonts w:eastAsiaTheme="minorHAnsi"/>
          <w:sz w:val="24"/>
          <w:szCs w:val="24"/>
          <w:lang w:eastAsia="en-US"/>
        </w:rPr>
        <w:t>section 18</w:t>
      </w:r>
      <w:r>
        <w:rPr>
          <w:rFonts w:eastAsiaTheme="minorHAnsi"/>
          <w:sz w:val="24"/>
          <w:szCs w:val="24"/>
          <w:lang w:eastAsia="en-US"/>
        </w:rPr>
        <w:t>).</w:t>
      </w:r>
    </w:p>
    <w:p w:rsidR="000049D5" w:rsidRDefault="000049D5" w:rsidP="000049D5">
      <w:pPr>
        <w:pStyle w:val="paragraph"/>
        <w:spacing w:before="0"/>
        <w:ind w:left="0" w:firstLine="0"/>
        <w:rPr>
          <w:rFonts w:eastAsiaTheme="minorHAnsi"/>
          <w:sz w:val="24"/>
          <w:szCs w:val="24"/>
          <w:lang w:eastAsia="en-US"/>
        </w:rPr>
      </w:pPr>
    </w:p>
    <w:p w:rsidR="000049D5" w:rsidRPr="00FB467D" w:rsidRDefault="000049D5" w:rsidP="000049D5">
      <w:pPr>
        <w:spacing w:before="0"/>
        <w:rPr>
          <w:rStyle w:val="BookTitle"/>
          <w:b/>
          <w:iCs w:val="0"/>
          <w:smallCaps w:val="0"/>
        </w:rPr>
      </w:pPr>
      <w:r w:rsidRPr="00FB467D">
        <w:rPr>
          <w:rStyle w:val="BookTitle"/>
          <w:b/>
          <w:smallCaps w:val="0"/>
        </w:rPr>
        <w:t>Conclusion</w:t>
      </w:r>
    </w:p>
    <w:p w:rsidR="000049D5" w:rsidRDefault="000049D5" w:rsidP="000049D5">
      <w:pPr>
        <w:spacing w:before="0"/>
        <w:rPr>
          <w:rFonts w:eastAsiaTheme="minorHAnsi"/>
          <w:szCs w:val="24"/>
          <w:lang w:eastAsia="en-US"/>
        </w:rPr>
      </w:pPr>
      <w:r>
        <w:rPr>
          <w:rFonts w:eastAsiaTheme="minorHAnsi"/>
          <w:szCs w:val="24"/>
          <w:lang w:eastAsia="en-US"/>
        </w:rPr>
        <w:t>The instrument is compatible with human rights. The instrument advances human rights (particularly the right to health under Article 12 of the ICESCR), and to the extent</w:t>
      </w:r>
      <w:r w:rsidR="001F09F0">
        <w:rPr>
          <w:rFonts w:eastAsiaTheme="minorHAnsi"/>
          <w:szCs w:val="24"/>
          <w:lang w:eastAsia="en-US"/>
        </w:rPr>
        <w:t>, if any, that</w:t>
      </w:r>
      <w:r>
        <w:rPr>
          <w:rFonts w:eastAsiaTheme="minorHAnsi"/>
          <w:szCs w:val="24"/>
          <w:lang w:eastAsia="en-US"/>
        </w:rPr>
        <w:t xml:space="preserve"> the instrument discriminates on the basis of race, it is intended as a ‘special measure.’</w:t>
      </w:r>
    </w:p>
    <w:p w:rsidR="00E6219C" w:rsidRDefault="00994FE1">
      <w:pPr>
        <w:spacing w:before="0" w:after="200" w:line="276" w:lineRule="auto"/>
        <w:rPr>
          <w:rStyle w:val="BookTitle"/>
          <w:i w:val="0"/>
          <w:iCs w:val="0"/>
          <w:smallCaps w:val="0"/>
        </w:rPr>
        <w:sectPr w:rsidR="00E6219C">
          <w:headerReference w:type="default" r:id="rId9"/>
          <w:pgSz w:w="11906" w:h="16838"/>
          <w:pgMar w:top="1440" w:right="1440" w:bottom="1440" w:left="1440" w:header="708" w:footer="708" w:gutter="0"/>
          <w:cols w:space="708"/>
          <w:docGrid w:linePitch="360"/>
        </w:sectPr>
      </w:pPr>
      <w:bookmarkStart w:id="1" w:name="art12"/>
      <w:bookmarkEnd w:id="1"/>
      <w:r w:rsidRPr="00871235">
        <w:rPr>
          <w:rStyle w:val="BookTitle"/>
          <w:i w:val="0"/>
          <w:iCs w:val="0"/>
          <w:smallCaps w:val="0"/>
        </w:rPr>
        <w:br w:type="page"/>
      </w:r>
    </w:p>
    <w:p w:rsidR="00994FE1" w:rsidRPr="00871235" w:rsidRDefault="00994FE1" w:rsidP="00FA3943">
      <w:pPr>
        <w:ind w:left="6480" w:firstLine="720"/>
        <w:jc w:val="right"/>
        <w:rPr>
          <w:rStyle w:val="BookTitle"/>
          <w:b/>
          <w:i w:val="0"/>
          <w:iCs w:val="0"/>
          <w:smallCaps w:val="0"/>
        </w:rPr>
      </w:pPr>
      <w:r w:rsidRPr="00871235">
        <w:rPr>
          <w:rStyle w:val="BookTitle"/>
          <w:b/>
          <w:i w:val="0"/>
          <w:iCs w:val="0"/>
          <w:smallCaps w:val="0"/>
        </w:rPr>
        <w:lastRenderedPageBreak/>
        <w:t>Attachment A</w:t>
      </w:r>
    </w:p>
    <w:p w:rsidR="00E6219C" w:rsidRDefault="00E6219C">
      <w:pPr>
        <w:rPr>
          <w:b/>
          <w:highlight w:val="yellow"/>
        </w:rPr>
      </w:pPr>
      <w:r>
        <w:rPr>
          <w:noProof/>
        </w:rPr>
        <w:drawing>
          <wp:anchor distT="0" distB="0" distL="114300" distR="114300" simplePos="0" relativeHeight="251658240" behindDoc="1" locked="0" layoutInCell="1" allowOverlap="1" wp14:anchorId="51EB831B" wp14:editId="5311868A">
            <wp:simplePos x="0" y="0"/>
            <wp:positionH relativeFrom="column">
              <wp:posOffset>-635</wp:posOffset>
            </wp:positionH>
            <wp:positionV relativeFrom="paragraph">
              <wp:posOffset>57150</wp:posOffset>
            </wp:positionV>
            <wp:extent cx="8775700" cy="6169660"/>
            <wp:effectExtent l="0" t="0" r="6350" b="2540"/>
            <wp:wrapTight wrapText="bothSides">
              <wp:wrapPolygon edited="0">
                <wp:start x="0" y="0"/>
                <wp:lineTo x="0" y="21542"/>
                <wp:lineTo x="21569" y="21542"/>
                <wp:lineTo x="215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775700" cy="6169660"/>
                    </a:xfrm>
                    <a:prstGeom prst="rect">
                      <a:avLst/>
                    </a:prstGeom>
                  </pic:spPr>
                </pic:pic>
              </a:graphicData>
            </a:graphic>
            <wp14:sizeRelH relativeFrom="page">
              <wp14:pctWidth>0</wp14:pctWidth>
            </wp14:sizeRelH>
            <wp14:sizeRelV relativeFrom="page">
              <wp14:pctHeight>0</wp14:pctHeight>
            </wp14:sizeRelV>
          </wp:anchor>
        </w:drawing>
      </w: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rPr>
      </w:pPr>
    </w:p>
    <w:p w:rsidR="00E6219C" w:rsidRDefault="00E6219C">
      <w:pPr>
        <w:rPr>
          <w:b/>
        </w:rPr>
      </w:pPr>
    </w:p>
    <w:p w:rsidR="00E6219C" w:rsidRDefault="00E6219C">
      <w:pPr>
        <w:rPr>
          <w:b/>
        </w:rPr>
      </w:pPr>
    </w:p>
    <w:p w:rsidR="00E6219C" w:rsidRDefault="00E6219C">
      <w:pPr>
        <w:rPr>
          <w:b/>
        </w:rPr>
      </w:pPr>
      <w:r>
        <w:rPr>
          <w:noProof/>
        </w:rPr>
        <w:lastRenderedPageBreak/>
        <w:drawing>
          <wp:anchor distT="0" distB="0" distL="114300" distR="114300" simplePos="0" relativeHeight="251659264" behindDoc="1" locked="0" layoutInCell="1" allowOverlap="1" wp14:anchorId="62632CE7" wp14:editId="11BE92C8">
            <wp:simplePos x="0" y="0"/>
            <wp:positionH relativeFrom="column">
              <wp:posOffset>-70485</wp:posOffset>
            </wp:positionH>
            <wp:positionV relativeFrom="paragraph">
              <wp:posOffset>70485</wp:posOffset>
            </wp:positionV>
            <wp:extent cx="9023350" cy="6274435"/>
            <wp:effectExtent l="0" t="0" r="6350" b="0"/>
            <wp:wrapTight wrapText="bothSides">
              <wp:wrapPolygon edited="0">
                <wp:start x="0" y="0"/>
                <wp:lineTo x="0" y="21510"/>
                <wp:lineTo x="21570" y="21510"/>
                <wp:lineTo x="215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023350" cy="6274435"/>
                    </a:xfrm>
                    <a:prstGeom prst="rect">
                      <a:avLst/>
                    </a:prstGeom>
                  </pic:spPr>
                </pic:pic>
              </a:graphicData>
            </a:graphic>
            <wp14:sizeRelH relativeFrom="page">
              <wp14:pctWidth>0</wp14:pctWidth>
            </wp14:sizeRelH>
            <wp14:sizeRelV relativeFrom="page">
              <wp14:pctHeight>0</wp14:pctHeight>
            </wp14:sizeRelV>
          </wp:anchor>
        </w:drawing>
      </w: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r>
        <w:rPr>
          <w:noProof/>
        </w:rPr>
        <w:lastRenderedPageBreak/>
        <w:drawing>
          <wp:anchor distT="0" distB="0" distL="114300" distR="114300" simplePos="0" relativeHeight="251660288" behindDoc="1" locked="0" layoutInCell="1" allowOverlap="1" wp14:anchorId="5711B59B" wp14:editId="5D70E8ED">
            <wp:simplePos x="0" y="0"/>
            <wp:positionH relativeFrom="column">
              <wp:posOffset>-76835</wp:posOffset>
            </wp:positionH>
            <wp:positionV relativeFrom="paragraph">
              <wp:posOffset>-1270</wp:posOffset>
            </wp:positionV>
            <wp:extent cx="9093200" cy="6355715"/>
            <wp:effectExtent l="0" t="0" r="0" b="6985"/>
            <wp:wrapTight wrapText="bothSides">
              <wp:wrapPolygon edited="0">
                <wp:start x="0" y="0"/>
                <wp:lineTo x="0" y="21559"/>
                <wp:lineTo x="21540" y="21559"/>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093200" cy="6355715"/>
                    </a:xfrm>
                    <a:prstGeom prst="rect">
                      <a:avLst/>
                    </a:prstGeom>
                  </pic:spPr>
                </pic:pic>
              </a:graphicData>
            </a:graphic>
            <wp14:sizeRelH relativeFrom="page">
              <wp14:pctWidth>0</wp14:pctWidth>
            </wp14:sizeRelH>
            <wp14:sizeRelV relativeFrom="page">
              <wp14:pctHeight>0</wp14:pctHeight>
            </wp14:sizeRelV>
          </wp:anchor>
        </w:drawing>
      </w: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E6219C" w:rsidRDefault="00E6219C">
      <w:pPr>
        <w:rPr>
          <w:b/>
          <w:highlight w:val="yellow"/>
        </w:rPr>
      </w:pPr>
      <w:r>
        <w:rPr>
          <w:noProof/>
        </w:rPr>
        <w:lastRenderedPageBreak/>
        <w:drawing>
          <wp:anchor distT="0" distB="0" distL="114300" distR="114300" simplePos="0" relativeHeight="251661312" behindDoc="1" locked="0" layoutInCell="1" allowOverlap="1" wp14:anchorId="4FA4C255" wp14:editId="7EC028D7">
            <wp:simplePos x="0" y="0"/>
            <wp:positionH relativeFrom="column">
              <wp:posOffset>-635</wp:posOffset>
            </wp:positionH>
            <wp:positionV relativeFrom="paragraph">
              <wp:posOffset>-72390</wp:posOffset>
            </wp:positionV>
            <wp:extent cx="9145905" cy="6413500"/>
            <wp:effectExtent l="0" t="0" r="0" b="6350"/>
            <wp:wrapTight wrapText="bothSides">
              <wp:wrapPolygon edited="0">
                <wp:start x="0" y="0"/>
                <wp:lineTo x="0" y="21557"/>
                <wp:lineTo x="21551" y="21557"/>
                <wp:lineTo x="215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145905" cy="6413500"/>
                    </a:xfrm>
                    <a:prstGeom prst="rect">
                      <a:avLst/>
                    </a:prstGeom>
                  </pic:spPr>
                </pic:pic>
              </a:graphicData>
            </a:graphic>
            <wp14:sizeRelH relativeFrom="page">
              <wp14:pctWidth>0</wp14:pctWidth>
            </wp14:sizeRelH>
            <wp14:sizeRelV relativeFrom="page">
              <wp14:pctHeight>0</wp14:pctHeight>
            </wp14:sizeRelV>
          </wp:anchor>
        </w:drawing>
      </w:r>
    </w:p>
    <w:p w:rsidR="00E6219C" w:rsidRDefault="00E6219C">
      <w:pPr>
        <w:rPr>
          <w:b/>
          <w:highlight w:val="yellow"/>
        </w:rPr>
      </w:pPr>
    </w:p>
    <w:p w:rsidR="00E6219C" w:rsidRDefault="00E6219C">
      <w:pPr>
        <w:rPr>
          <w:b/>
          <w:highlight w:val="yellow"/>
        </w:rPr>
      </w:pPr>
    </w:p>
    <w:p w:rsidR="00E6219C" w:rsidRDefault="00E6219C">
      <w:pPr>
        <w:rPr>
          <w:b/>
          <w:highlight w:val="yellow"/>
        </w:rPr>
      </w:pPr>
    </w:p>
    <w:p w:rsidR="00994FE1" w:rsidRPr="00871235" w:rsidRDefault="00994FE1">
      <w:pPr>
        <w:rPr>
          <w:b/>
        </w:rPr>
      </w:pPr>
    </w:p>
    <w:sectPr w:rsidR="00994FE1" w:rsidRPr="00871235" w:rsidSect="00FA3943">
      <w:pgSz w:w="16838" w:h="11906" w:orient="landscape"/>
      <w:pgMar w:top="568" w:right="962"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724" w:rsidRDefault="000F5724" w:rsidP="001715A5">
      <w:pPr>
        <w:spacing w:before="0"/>
      </w:pPr>
      <w:r>
        <w:separator/>
      </w:r>
    </w:p>
  </w:endnote>
  <w:endnote w:type="continuationSeparator" w:id="0">
    <w:p w:rsidR="000F5724" w:rsidRDefault="000F5724" w:rsidP="001715A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724" w:rsidRDefault="000F5724" w:rsidP="001715A5">
      <w:pPr>
        <w:spacing w:before="0"/>
      </w:pPr>
      <w:r>
        <w:separator/>
      </w:r>
    </w:p>
  </w:footnote>
  <w:footnote w:type="continuationSeparator" w:id="0">
    <w:p w:rsidR="000F5724" w:rsidRDefault="000F5724" w:rsidP="001715A5">
      <w:pPr>
        <w:spacing w:before="0"/>
      </w:pPr>
      <w:r>
        <w:continuationSeparator/>
      </w:r>
    </w:p>
  </w:footnote>
  <w:footnote w:id="1">
    <w:p w:rsidR="000049D5" w:rsidRPr="00160247" w:rsidRDefault="000049D5" w:rsidP="000049D5">
      <w:pPr>
        <w:pStyle w:val="FootnoteText"/>
      </w:pPr>
      <w:r>
        <w:rPr>
          <w:rStyle w:val="FootnoteReference"/>
        </w:rPr>
        <w:footnoteRef/>
      </w:r>
      <w:r>
        <w:t xml:space="preserve"> </w:t>
      </w:r>
      <w:r w:rsidRPr="00160247">
        <w:t xml:space="preserve">Committee on the Elimination of Racial Discrimination, </w:t>
      </w:r>
      <w:r w:rsidRPr="00160247">
        <w:rPr>
          <w:i/>
        </w:rPr>
        <w:t xml:space="preserve">General Recommendation: No. 32: The Meaning and Scope of Special Measures in the International Convention on the Elimination of Racial Discrimination </w:t>
      </w:r>
      <w:r w:rsidRPr="00160247">
        <w:t>(August 2009),</w:t>
      </w:r>
      <w:r w:rsidRPr="00160247">
        <w:rPr>
          <w:i/>
        </w:rPr>
        <w:t xml:space="preserve"> </w:t>
      </w:r>
      <w:r w:rsidRPr="00160247">
        <w:t>at paragraph [11].</w:t>
      </w:r>
    </w:p>
    <w:p w:rsidR="000049D5" w:rsidRDefault="000049D5" w:rsidP="000049D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5A5" w:rsidRDefault="001715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46942"/>
    <w:multiLevelType w:val="multilevel"/>
    <w:tmpl w:val="A70C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7C5013"/>
    <w:multiLevelType w:val="hybridMultilevel"/>
    <w:tmpl w:val="7AB01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81317C8"/>
    <w:multiLevelType w:val="hybridMultilevel"/>
    <w:tmpl w:val="F4AAB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73F5860-2694-4218-86D5-CDCA060ED47A}"/>
    <w:docVar w:name="dgnword-eventsink" w:val="136371920"/>
  </w:docVars>
  <w:rsids>
    <w:rsidRoot w:val="00A27A91"/>
    <w:rsid w:val="000049D5"/>
    <w:rsid w:val="000078C6"/>
    <w:rsid w:val="00013588"/>
    <w:rsid w:val="00025553"/>
    <w:rsid w:val="000E77BB"/>
    <w:rsid w:val="000F5724"/>
    <w:rsid w:val="0010584E"/>
    <w:rsid w:val="00130860"/>
    <w:rsid w:val="00160247"/>
    <w:rsid w:val="001603FF"/>
    <w:rsid w:val="001715A5"/>
    <w:rsid w:val="001A6849"/>
    <w:rsid w:val="001A77F0"/>
    <w:rsid w:val="001B09DC"/>
    <w:rsid w:val="001B3933"/>
    <w:rsid w:val="001D57EE"/>
    <w:rsid w:val="001E6954"/>
    <w:rsid w:val="001F09F0"/>
    <w:rsid w:val="00202296"/>
    <w:rsid w:val="00202914"/>
    <w:rsid w:val="00233DBA"/>
    <w:rsid w:val="0023558E"/>
    <w:rsid w:val="00235E67"/>
    <w:rsid w:val="00247256"/>
    <w:rsid w:val="002560D2"/>
    <w:rsid w:val="0027177A"/>
    <w:rsid w:val="0028018B"/>
    <w:rsid w:val="002A1602"/>
    <w:rsid w:val="002C5977"/>
    <w:rsid w:val="002D48CD"/>
    <w:rsid w:val="00304D9A"/>
    <w:rsid w:val="00337E57"/>
    <w:rsid w:val="00363764"/>
    <w:rsid w:val="00373D17"/>
    <w:rsid w:val="00397900"/>
    <w:rsid w:val="003B71DF"/>
    <w:rsid w:val="003E3E21"/>
    <w:rsid w:val="00406E75"/>
    <w:rsid w:val="00423C66"/>
    <w:rsid w:val="00427DE7"/>
    <w:rsid w:val="00431F76"/>
    <w:rsid w:val="004645A3"/>
    <w:rsid w:val="004C1B83"/>
    <w:rsid w:val="004E0F94"/>
    <w:rsid w:val="004F5F78"/>
    <w:rsid w:val="00507321"/>
    <w:rsid w:val="0053117E"/>
    <w:rsid w:val="00586D38"/>
    <w:rsid w:val="00606F26"/>
    <w:rsid w:val="00620A40"/>
    <w:rsid w:val="00636A8F"/>
    <w:rsid w:val="00641D7A"/>
    <w:rsid w:val="00643548"/>
    <w:rsid w:val="00671F13"/>
    <w:rsid w:val="006816C6"/>
    <w:rsid w:val="006E031B"/>
    <w:rsid w:val="00731B14"/>
    <w:rsid w:val="00740710"/>
    <w:rsid w:val="00776DC3"/>
    <w:rsid w:val="00781A7E"/>
    <w:rsid w:val="007A176F"/>
    <w:rsid w:val="007A4B0B"/>
    <w:rsid w:val="007B47A8"/>
    <w:rsid w:val="007E3991"/>
    <w:rsid w:val="008014E4"/>
    <w:rsid w:val="00825F5E"/>
    <w:rsid w:val="00826ED8"/>
    <w:rsid w:val="00871235"/>
    <w:rsid w:val="008B1676"/>
    <w:rsid w:val="008B6CFA"/>
    <w:rsid w:val="008B75DF"/>
    <w:rsid w:val="008D177A"/>
    <w:rsid w:val="008F77AA"/>
    <w:rsid w:val="00903CEB"/>
    <w:rsid w:val="0090523C"/>
    <w:rsid w:val="009123E6"/>
    <w:rsid w:val="00937010"/>
    <w:rsid w:val="00950E1E"/>
    <w:rsid w:val="00994FE1"/>
    <w:rsid w:val="009B6749"/>
    <w:rsid w:val="009C00B6"/>
    <w:rsid w:val="009C7001"/>
    <w:rsid w:val="009D2D1A"/>
    <w:rsid w:val="00A108DB"/>
    <w:rsid w:val="00A27A91"/>
    <w:rsid w:val="00A8043E"/>
    <w:rsid w:val="00A91706"/>
    <w:rsid w:val="00AA1139"/>
    <w:rsid w:val="00AF6D29"/>
    <w:rsid w:val="00AF6D3D"/>
    <w:rsid w:val="00B0786A"/>
    <w:rsid w:val="00B2120E"/>
    <w:rsid w:val="00B31FEC"/>
    <w:rsid w:val="00B3282B"/>
    <w:rsid w:val="00B7075D"/>
    <w:rsid w:val="00B74B59"/>
    <w:rsid w:val="00B816BC"/>
    <w:rsid w:val="00BC1A27"/>
    <w:rsid w:val="00BC6F6B"/>
    <w:rsid w:val="00BE4B91"/>
    <w:rsid w:val="00BF54A1"/>
    <w:rsid w:val="00C23EA4"/>
    <w:rsid w:val="00C30429"/>
    <w:rsid w:val="00C5304A"/>
    <w:rsid w:val="00C57743"/>
    <w:rsid w:val="00C617DD"/>
    <w:rsid w:val="00C84221"/>
    <w:rsid w:val="00C9152E"/>
    <w:rsid w:val="00C96A59"/>
    <w:rsid w:val="00CE2E8A"/>
    <w:rsid w:val="00CE58EB"/>
    <w:rsid w:val="00D07CF6"/>
    <w:rsid w:val="00D2144A"/>
    <w:rsid w:val="00D466D2"/>
    <w:rsid w:val="00D51EB8"/>
    <w:rsid w:val="00D5709D"/>
    <w:rsid w:val="00D8092E"/>
    <w:rsid w:val="00D93DF7"/>
    <w:rsid w:val="00DB1C4B"/>
    <w:rsid w:val="00DB5450"/>
    <w:rsid w:val="00E00B5D"/>
    <w:rsid w:val="00E022EA"/>
    <w:rsid w:val="00E2179C"/>
    <w:rsid w:val="00E40960"/>
    <w:rsid w:val="00E6219C"/>
    <w:rsid w:val="00E91F67"/>
    <w:rsid w:val="00EB174B"/>
    <w:rsid w:val="00EB3C6C"/>
    <w:rsid w:val="00F32062"/>
    <w:rsid w:val="00F44BA5"/>
    <w:rsid w:val="00F62FCC"/>
    <w:rsid w:val="00F6413D"/>
    <w:rsid w:val="00F725BF"/>
    <w:rsid w:val="00F90C13"/>
    <w:rsid w:val="00F955CA"/>
    <w:rsid w:val="00FA3943"/>
    <w:rsid w:val="00FA6194"/>
    <w:rsid w:val="00FB13B3"/>
    <w:rsid w:val="00FB467D"/>
    <w:rsid w:val="00FC4C73"/>
    <w:rsid w:val="00FE24C8"/>
    <w:rsid w:val="00FF4FC8"/>
    <w:rsid w:val="00FF71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8EB"/>
    <w:pPr>
      <w:spacing w:before="240" w:after="0" w:line="240" w:lineRule="auto"/>
    </w:pPr>
    <w:rPr>
      <w:rFonts w:ascii="Times New Roman" w:eastAsia="Times New Roman" w:hAnsi="Times New Roman" w:cs="Times New Roman"/>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8EB"/>
    <w:pPr>
      <w:spacing w:before="0"/>
      <w:ind w:left="720"/>
      <w:contextualSpacing/>
    </w:pPr>
    <w:rPr>
      <w:szCs w:val="24"/>
    </w:rPr>
  </w:style>
  <w:style w:type="character" w:styleId="BookTitle">
    <w:name w:val="Book Title"/>
    <w:uiPriority w:val="33"/>
    <w:qFormat/>
    <w:rsid w:val="00CE58EB"/>
    <w:rPr>
      <w:i/>
      <w:iCs/>
      <w:smallCaps/>
      <w:spacing w:val="5"/>
    </w:rPr>
  </w:style>
  <w:style w:type="character" w:styleId="CommentReference">
    <w:name w:val="annotation reference"/>
    <w:basedOn w:val="DefaultParagraphFont"/>
    <w:uiPriority w:val="99"/>
    <w:semiHidden/>
    <w:unhideWhenUsed/>
    <w:rsid w:val="00A8043E"/>
    <w:rPr>
      <w:sz w:val="16"/>
      <w:szCs w:val="16"/>
    </w:rPr>
  </w:style>
  <w:style w:type="paragraph" w:styleId="CommentText">
    <w:name w:val="annotation text"/>
    <w:basedOn w:val="Normal"/>
    <w:link w:val="CommentTextChar"/>
    <w:uiPriority w:val="99"/>
    <w:semiHidden/>
    <w:unhideWhenUsed/>
    <w:rsid w:val="00A8043E"/>
    <w:rPr>
      <w:sz w:val="20"/>
    </w:rPr>
  </w:style>
  <w:style w:type="character" w:customStyle="1" w:styleId="CommentTextChar">
    <w:name w:val="Comment Text Char"/>
    <w:basedOn w:val="DefaultParagraphFont"/>
    <w:link w:val="CommentText"/>
    <w:uiPriority w:val="99"/>
    <w:semiHidden/>
    <w:rsid w:val="00A8043E"/>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8043E"/>
    <w:rPr>
      <w:b/>
      <w:bCs/>
    </w:rPr>
  </w:style>
  <w:style w:type="character" w:customStyle="1" w:styleId="CommentSubjectChar">
    <w:name w:val="Comment Subject Char"/>
    <w:basedOn w:val="CommentTextChar"/>
    <w:link w:val="CommentSubject"/>
    <w:uiPriority w:val="99"/>
    <w:semiHidden/>
    <w:rsid w:val="00A8043E"/>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A8043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43E"/>
    <w:rPr>
      <w:rFonts w:ascii="Tahoma" w:eastAsia="Times New Roman" w:hAnsi="Tahoma" w:cs="Tahoma"/>
      <w:sz w:val="16"/>
      <w:szCs w:val="16"/>
      <w:lang w:eastAsia="en-AU"/>
    </w:rPr>
  </w:style>
  <w:style w:type="paragraph" w:customStyle="1" w:styleId="subsection">
    <w:name w:val="subsection"/>
    <w:aliases w:val="ss"/>
    <w:basedOn w:val="Normal"/>
    <w:link w:val="subsectionChar"/>
    <w:rsid w:val="00994FE1"/>
    <w:pPr>
      <w:tabs>
        <w:tab w:val="right" w:pos="1021"/>
      </w:tabs>
      <w:spacing w:before="180"/>
      <w:ind w:left="1134" w:hanging="1134"/>
    </w:pPr>
    <w:rPr>
      <w:sz w:val="22"/>
    </w:rPr>
  </w:style>
  <w:style w:type="character" w:customStyle="1" w:styleId="subsectionChar">
    <w:name w:val="subsection Char"/>
    <w:aliases w:val="ss Char"/>
    <w:basedOn w:val="DefaultParagraphFont"/>
    <w:link w:val="subsection"/>
    <w:locked/>
    <w:rsid w:val="00994FE1"/>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locked/>
    <w:rsid w:val="00994FE1"/>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994FE1"/>
    <w:pPr>
      <w:tabs>
        <w:tab w:val="right" w:pos="1531"/>
      </w:tabs>
      <w:spacing w:before="40"/>
      <w:ind w:left="1644" w:hanging="1644"/>
    </w:pPr>
    <w:rPr>
      <w:sz w:val="22"/>
    </w:rPr>
  </w:style>
  <w:style w:type="paragraph" w:styleId="Header">
    <w:name w:val="header"/>
    <w:basedOn w:val="Normal"/>
    <w:link w:val="HeaderChar"/>
    <w:uiPriority w:val="99"/>
    <w:unhideWhenUsed/>
    <w:rsid w:val="001715A5"/>
    <w:pPr>
      <w:tabs>
        <w:tab w:val="center" w:pos="4513"/>
        <w:tab w:val="right" w:pos="9026"/>
      </w:tabs>
      <w:spacing w:before="0"/>
    </w:pPr>
  </w:style>
  <w:style w:type="character" w:customStyle="1" w:styleId="HeaderChar">
    <w:name w:val="Header Char"/>
    <w:basedOn w:val="DefaultParagraphFont"/>
    <w:link w:val="Header"/>
    <w:uiPriority w:val="99"/>
    <w:rsid w:val="001715A5"/>
    <w:rPr>
      <w:rFonts w:ascii="Times New Roman" w:eastAsia="Times New Roman" w:hAnsi="Times New Roman" w:cs="Times New Roman"/>
      <w:sz w:val="24"/>
      <w:szCs w:val="20"/>
      <w:lang w:eastAsia="en-AU"/>
    </w:rPr>
  </w:style>
  <w:style w:type="paragraph" w:styleId="Footer">
    <w:name w:val="footer"/>
    <w:basedOn w:val="Normal"/>
    <w:link w:val="FooterChar"/>
    <w:uiPriority w:val="99"/>
    <w:unhideWhenUsed/>
    <w:rsid w:val="001715A5"/>
    <w:pPr>
      <w:tabs>
        <w:tab w:val="center" w:pos="4513"/>
        <w:tab w:val="right" w:pos="9026"/>
      </w:tabs>
      <w:spacing w:before="0"/>
    </w:pPr>
  </w:style>
  <w:style w:type="character" w:customStyle="1" w:styleId="FooterChar">
    <w:name w:val="Footer Char"/>
    <w:basedOn w:val="DefaultParagraphFont"/>
    <w:link w:val="Footer"/>
    <w:uiPriority w:val="99"/>
    <w:rsid w:val="001715A5"/>
    <w:rPr>
      <w:rFonts w:ascii="Times New Roman" w:eastAsia="Times New Roman" w:hAnsi="Times New Roman" w:cs="Times New Roman"/>
      <w:sz w:val="24"/>
      <w:szCs w:val="20"/>
      <w:lang w:eastAsia="en-AU"/>
    </w:rPr>
  </w:style>
  <w:style w:type="paragraph" w:styleId="FootnoteText">
    <w:name w:val="footnote text"/>
    <w:basedOn w:val="Normal"/>
    <w:link w:val="FootnoteTextChar"/>
    <w:uiPriority w:val="99"/>
    <w:semiHidden/>
    <w:unhideWhenUsed/>
    <w:rsid w:val="00826ED8"/>
    <w:pPr>
      <w:spacing w:before="0"/>
    </w:pPr>
    <w:rPr>
      <w:sz w:val="20"/>
    </w:rPr>
  </w:style>
  <w:style w:type="character" w:customStyle="1" w:styleId="FootnoteTextChar">
    <w:name w:val="Footnote Text Char"/>
    <w:basedOn w:val="DefaultParagraphFont"/>
    <w:link w:val="FootnoteText"/>
    <w:uiPriority w:val="99"/>
    <w:semiHidden/>
    <w:rsid w:val="00826ED8"/>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826ED8"/>
    <w:rPr>
      <w:vertAlign w:val="superscript"/>
    </w:rPr>
  </w:style>
  <w:style w:type="paragraph" w:styleId="Revision">
    <w:name w:val="Revision"/>
    <w:hidden/>
    <w:uiPriority w:val="99"/>
    <w:semiHidden/>
    <w:rsid w:val="0023558E"/>
    <w:pPr>
      <w:spacing w:after="0" w:line="240" w:lineRule="auto"/>
    </w:pPr>
    <w:rPr>
      <w:rFonts w:ascii="Times New Roman" w:eastAsia="Times New Roman" w:hAnsi="Times New Roman" w:cs="Times New Roman"/>
      <w:sz w:val="24"/>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8EB"/>
    <w:pPr>
      <w:spacing w:before="240" w:after="0" w:line="240" w:lineRule="auto"/>
    </w:pPr>
    <w:rPr>
      <w:rFonts w:ascii="Times New Roman" w:eastAsia="Times New Roman" w:hAnsi="Times New Roman" w:cs="Times New Roman"/>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8EB"/>
    <w:pPr>
      <w:spacing w:before="0"/>
      <w:ind w:left="720"/>
      <w:contextualSpacing/>
    </w:pPr>
    <w:rPr>
      <w:szCs w:val="24"/>
    </w:rPr>
  </w:style>
  <w:style w:type="character" w:styleId="BookTitle">
    <w:name w:val="Book Title"/>
    <w:uiPriority w:val="33"/>
    <w:qFormat/>
    <w:rsid w:val="00CE58EB"/>
    <w:rPr>
      <w:i/>
      <w:iCs/>
      <w:smallCaps/>
      <w:spacing w:val="5"/>
    </w:rPr>
  </w:style>
  <w:style w:type="character" w:styleId="CommentReference">
    <w:name w:val="annotation reference"/>
    <w:basedOn w:val="DefaultParagraphFont"/>
    <w:uiPriority w:val="99"/>
    <w:semiHidden/>
    <w:unhideWhenUsed/>
    <w:rsid w:val="00A8043E"/>
    <w:rPr>
      <w:sz w:val="16"/>
      <w:szCs w:val="16"/>
    </w:rPr>
  </w:style>
  <w:style w:type="paragraph" w:styleId="CommentText">
    <w:name w:val="annotation text"/>
    <w:basedOn w:val="Normal"/>
    <w:link w:val="CommentTextChar"/>
    <w:uiPriority w:val="99"/>
    <w:semiHidden/>
    <w:unhideWhenUsed/>
    <w:rsid w:val="00A8043E"/>
    <w:rPr>
      <w:sz w:val="20"/>
    </w:rPr>
  </w:style>
  <w:style w:type="character" w:customStyle="1" w:styleId="CommentTextChar">
    <w:name w:val="Comment Text Char"/>
    <w:basedOn w:val="DefaultParagraphFont"/>
    <w:link w:val="CommentText"/>
    <w:uiPriority w:val="99"/>
    <w:semiHidden/>
    <w:rsid w:val="00A8043E"/>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8043E"/>
    <w:rPr>
      <w:b/>
      <w:bCs/>
    </w:rPr>
  </w:style>
  <w:style w:type="character" w:customStyle="1" w:styleId="CommentSubjectChar">
    <w:name w:val="Comment Subject Char"/>
    <w:basedOn w:val="CommentTextChar"/>
    <w:link w:val="CommentSubject"/>
    <w:uiPriority w:val="99"/>
    <w:semiHidden/>
    <w:rsid w:val="00A8043E"/>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A8043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43E"/>
    <w:rPr>
      <w:rFonts w:ascii="Tahoma" w:eastAsia="Times New Roman" w:hAnsi="Tahoma" w:cs="Tahoma"/>
      <w:sz w:val="16"/>
      <w:szCs w:val="16"/>
      <w:lang w:eastAsia="en-AU"/>
    </w:rPr>
  </w:style>
  <w:style w:type="paragraph" w:customStyle="1" w:styleId="subsection">
    <w:name w:val="subsection"/>
    <w:aliases w:val="ss"/>
    <w:basedOn w:val="Normal"/>
    <w:link w:val="subsectionChar"/>
    <w:rsid w:val="00994FE1"/>
    <w:pPr>
      <w:tabs>
        <w:tab w:val="right" w:pos="1021"/>
      </w:tabs>
      <w:spacing w:before="180"/>
      <w:ind w:left="1134" w:hanging="1134"/>
    </w:pPr>
    <w:rPr>
      <w:sz w:val="22"/>
    </w:rPr>
  </w:style>
  <w:style w:type="character" w:customStyle="1" w:styleId="subsectionChar">
    <w:name w:val="subsection Char"/>
    <w:aliases w:val="ss Char"/>
    <w:basedOn w:val="DefaultParagraphFont"/>
    <w:link w:val="subsection"/>
    <w:locked/>
    <w:rsid w:val="00994FE1"/>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locked/>
    <w:rsid w:val="00994FE1"/>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994FE1"/>
    <w:pPr>
      <w:tabs>
        <w:tab w:val="right" w:pos="1531"/>
      </w:tabs>
      <w:spacing w:before="40"/>
      <w:ind w:left="1644" w:hanging="1644"/>
    </w:pPr>
    <w:rPr>
      <w:sz w:val="22"/>
    </w:rPr>
  </w:style>
  <w:style w:type="paragraph" w:styleId="Header">
    <w:name w:val="header"/>
    <w:basedOn w:val="Normal"/>
    <w:link w:val="HeaderChar"/>
    <w:uiPriority w:val="99"/>
    <w:unhideWhenUsed/>
    <w:rsid w:val="001715A5"/>
    <w:pPr>
      <w:tabs>
        <w:tab w:val="center" w:pos="4513"/>
        <w:tab w:val="right" w:pos="9026"/>
      </w:tabs>
      <w:spacing w:before="0"/>
    </w:pPr>
  </w:style>
  <w:style w:type="character" w:customStyle="1" w:styleId="HeaderChar">
    <w:name w:val="Header Char"/>
    <w:basedOn w:val="DefaultParagraphFont"/>
    <w:link w:val="Header"/>
    <w:uiPriority w:val="99"/>
    <w:rsid w:val="001715A5"/>
    <w:rPr>
      <w:rFonts w:ascii="Times New Roman" w:eastAsia="Times New Roman" w:hAnsi="Times New Roman" w:cs="Times New Roman"/>
      <w:sz w:val="24"/>
      <w:szCs w:val="20"/>
      <w:lang w:eastAsia="en-AU"/>
    </w:rPr>
  </w:style>
  <w:style w:type="paragraph" w:styleId="Footer">
    <w:name w:val="footer"/>
    <w:basedOn w:val="Normal"/>
    <w:link w:val="FooterChar"/>
    <w:uiPriority w:val="99"/>
    <w:unhideWhenUsed/>
    <w:rsid w:val="001715A5"/>
    <w:pPr>
      <w:tabs>
        <w:tab w:val="center" w:pos="4513"/>
        <w:tab w:val="right" w:pos="9026"/>
      </w:tabs>
      <w:spacing w:before="0"/>
    </w:pPr>
  </w:style>
  <w:style w:type="character" w:customStyle="1" w:styleId="FooterChar">
    <w:name w:val="Footer Char"/>
    <w:basedOn w:val="DefaultParagraphFont"/>
    <w:link w:val="Footer"/>
    <w:uiPriority w:val="99"/>
    <w:rsid w:val="001715A5"/>
    <w:rPr>
      <w:rFonts w:ascii="Times New Roman" w:eastAsia="Times New Roman" w:hAnsi="Times New Roman" w:cs="Times New Roman"/>
      <w:sz w:val="24"/>
      <w:szCs w:val="20"/>
      <w:lang w:eastAsia="en-AU"/>
    </w:rPr>
  </w:style>
  <w:style w:type="paragraph" w:styleId="FootnoteText">
    <w:name w:val="footnote text"/>
    <w:basedOn w:val="Normal"/>
    <w:link w:val="FootnoteTextChar"/>
    <w:uiPriority w:val="99"/>
    <w:semiHidden/>
    <w:unhideWhenUsed/>
    <w:rsid w:val="00826ED8"/>
    <w:pPr>
      <w:spacing w:before="0"/>
    </w:pPr>
    <w:rPr>
      <w:sz w:val="20"/>
    </w:rPr>
  </w:style>
  <w:style w:type="character" w:customStyle="1" w:styleId="FootnoteTextChar">
    <w:name w:val="Footnote Text Char"/>
    <w:basedOn w:val="DefaultParagraphFont"/>
    <w:link w:val="FootnoteText"/>
    <w:uiPriority w:val="99"/>
    <w:semiHidden/>
    <w:rsid w:val="00826ED8"/>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826ED8"/>
    <w:rPr>
      <w:vertAlign w:val="superscript"/>
    </w:rPr>
  </w:style>
  <w:style w:type="paragraph" w:styleId="Revision">
    <w:name w:val="Revision"/>
    <w:hidden/>
    <w:uiPriority w:val="99"/>
    <w:semiHidden/>
    <w:rsid w:val="0023558E"/>
    <w:pPr>
      <w:spacing w:after="0" w:line="240" w:lineRule="auto"/>
    </w:pPr>
    <w:rPr>
      <w:rFonts w:ascii="Times New Roman" w:eastAsia="Times New Roman" w:hAnsi="Times New Roman"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33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1658A-F19A-479D-9FF5-601E98FB1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Pages>
  <Words>1897</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12685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Norman, Rachael</dc:creator>
  <cp:lastModifiedBy>Stephen Baz</cp:lastModifiedBy>
  <cp:revision>13</cp:revision>
  <cp:lastPrinted>2016-01-19T05:20:00Z</cp:lastPrinted>
  <dcterms:created xsi:type="dcterms:W3CDTF">2016-02-09T22:40:00Z</dcterms:created>
  <dcterms:modified xsi:type="dcterms:W3CDTF">2016-02-15T01:23:00Z</dcterms:modified>
</cp:coreProperties>
</file>