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852" w:rsidRDefault="00801852" w:rsidP="00801852">
      <w:pPr>
        <w:tabs>
          <w:tab w:val="left" w:pos="5670"/>
        </w:tabs>
        <w:spacing w:after="240"/>
        <w:ind w:left="-1134" w:right="-285"/>
        <w:jc w:val="center"/>
        <w:rPr>
          <w:b/>
          <w:bCs/>
        </w:rPr>
      </w:pPr>
      <w:bookmarkStart w:id="0" w:name="_GoBack"/>
      <w:bookmarkEnd w:id="0"/>
      <w:r>
        <w:rPr>
          <w:b/>
          <w:bCs/>
          <w:u w:val="single"/>
        </w:rPr>
        <w:t>EXPLANATORY STATEMENT</w:t>
      </w:r>
    </w:p>
    <w:p w:rsidR="00F746BF" w:rsidRPr="00F746BF" w:rsidRDefault="00F746BF" w:rsidP="00F746BF">
      <w:pPr>
        <w:spacing w:after="240"/>
        <w:ind w:left="-1134" w:right="-285"/>
        <w:rPr>
          <w:b/>
          <w:i/>
          <w:iCs/>
          <w:vertAlign w:val="superscript"/>
        </w:rPr>
      </w:pPr>
      <w:r w:rsidRPr="00F746BF">
        <w:rPr>
          <w:b/>
          <w:i/>
          <w:iCs/>
        </w:rPr>
        <w:t>Agricultural and Veterinary Chemicals Code (Listed Chemical Product – Joint Health Products for Dogs and Horses) Standard Am</w:t>
      </w:r>
      <w:r w:rsidR="00245410">
        <w:rPr>
          <w:b/>
          <w:i/>
          <w:iCs/>
        </w:rPr>
        <w:t>endment Instrument 2016</w:t>
      </w:r>
      <w:r w:rsidRPr="00F746BF">
        <w:rPr>
          <w:b/>
          <w:i/>
          <w:iCs/>
        </w:rPr>
        <w:t xml:space="preserve"> </w:t>
      </w:r>
    </w:p>
    <w:p w:rsidR="00801852" w:rsidRDefault="00801852" w:rsidP="00801852">
      <w:pPr>
        <w:spacing w:after="240"/>
        <w:ind w:left="-1134" w:right="-285"/>
        <w:rPr>
          <w:szCs w:val="24"/>
        </w:rPr>
      </w:pPr>
      <w:r>
        <w:t xml:space="preserve">The </w:t>
      </w:r>
      <w:r>
        <w:rPr>
          <w:i/>
          <w:iCs/>
        </w:rPr>
        <w:t>Agricultural and Veterinary Chemicals Code Act 1994</w:t>
      </w:r>
      <w:r>
        <w:t xml:space="preserve"> (Act) provides, within a Code set out in the Schedule to the Act (Agvet Code), a </w:t>
      </w:r>
      <w:r w:rsidRPr="00B124EA">
        <w:rPr>
          <w:szCs w:val="24"/>
        </w:rPr>
        <w:t xml:space="preserve">regulatory scheme for agricultural and veterinary chemicals.  </w:t>
      </w:r>
    </w:p>
    <w:p w:rsidR="00F746BF" w:rsidRPr="00F746BF" w:rsidRDefault="00F746BF" w:rsidP="00F746BF">
      <w:pPr>
        <w:pStyle w:val="ttMakingWords"/>
        <w:ind w:left="-1134" w:right="-285"/>
      </w:pPr>
      <w:r>
        <w:t>S</w:t>
      </w:r>
      <w:r w:rsidRPr="00F746BF">
        <w:t xml:space="preserve">ection 8T of the Agvet Code allows for the </w:t>
      </w:r>
      <w:r w:rsidRPr="00F746BF">
        <w:rPr>
          <w:i/>
        </w:rPr>
        <w:t>Agricultural and Veterinary Chemicals Code Regulations 1995</w:t>
      </w:r>
      <w:r w:rsidRPr="00F746BF">
        <w:t xml:space="preserve"> (Regulations) to contain a schedule specifying chemical products or classes of chemical products that are listed chemical products under the Agvet Code. Regulation 8AR of the Regulations provides that the products specified in Schedule 3B of the Regulations are listed chemical products under the Agvet Code. Among a number of other products, products to improve the health of joints in dogs or horses that contain any one or more of the following as an active constituent are listed chemical products: </w:t>
      </w:r>
    </w:p>
    <w:p w:rsidR="00F746BF" w:rsidRPr="00F746BF" w:rsidRDefault="00F746BF" w:rsidP="00F746BF">
      <w:pPr>
        <w:pStyle w:val="ttMakingWords"/>
        <w:numPr>
          <w:ilvl w:val="0"/>
          <w:numId w:val="5"/>
        </w:numPr>
        <w:spacing w:before="0"/>
        <w:ind w:left="714" w:right="-284" w:hanging="357"/>
      </w:pPr>
      <w:r w:rsidRPr="00F746BF">
        <w:t>chondroitin;</w:t>
      </w:r>
    </w:p>
    <w:p w:rsidR="00F746BF" w:rsidRPr="00F746BF" w:rsidRDefault="00F746BF" w:rsidP="00F746BF">
      <w:pPr>
        <w:pStyle w:val="ttMakingWords"/>
        <w:numPr>
          <w:ilvl w:val="0"/>
          <w:numId w:val="5"/>
        </w:numPr>
        <w:spacing w:before="0"/>
        <w:ind w:left="714" w:right="-284" w:hanging="357"/>
      </w:pPr>
      <w:proofErr w:type="gramStart"/>
      <w:r w:rsidRPr="00F746BF">
        <w:t>glucosamine</w:t>
      </w:r>
      <w:proofErr w:type="gramEnd"/>
      <w:r w:rsidRPr="00F746BF">
        <w:t>.</w:t>
      </w:r>
    </w:p>
    <w:p w:rsidR="00F84395" w:rsidRDefault="00F746BF" w:rsidP="00F746BF">
      <w:pPr>
        <w:pStyle w:val="ttMakingWords"/>
        <w:ind w:left="-1134" w:right="-285"/>
      </w:pPr>
      <w:r w:rsidRPr="00F746BF">
        <w:t>S</w:t>
      </w:r>
      <w:r w:rsidR="00F84395">
        <w:t>ubs</w:t>
      </w:r>
      <w:r w:rsidRPr="00F746BF">
        <w:t xml:space="preserve">ection </w:t>
      </w:r>
      <w:proofErr w:type="gramStart"/>
      <w:r w:rsidRPr="00F746BF">
        <w:t>8U(</w:t>
      </w:r>
      <w:proofErr w:type="gramEnd"/>
      <w:r w:rsidRPr="00F746BF">
        <w:t xml:space="preserve">2) </w:t>
      </w:r>
      <w:r w:rsidR="00F84395">
        <w:t xml:space="preserve">of the Agvet Code </w:t>
      </w:r>
      <w:r w:rsidRPr="00F746BF">
        <w:t xml:space="preserve">provides that the APVMA must, by legislative instrument, make a standard for each listed chemical product. </w:t>
      </w:r>
    </w:p>
    <w:p w:rsidR="0021655B" w:rsidRDefault="00F746BF" w:rsidP="00F746BF">
      <w:pPr>
        <w:pStyle w:val="ttMakingWords"/>
        <w:ind w:left="-1134" w:right="-285"/>
      </w:pPr>
      <w:r>
        <w:t>T</w:t>
      </w:r>
      <w:r w:rsidRPr="00F746BF">
        <w:t xml:space="preserve">he </w:t>
      </w:r>
      <w:r w:rsidRPr="00F746BF">
        <w:rPr>
          <w:i/>
          <w:iCs/>
        </w:rPr>
        <w:t xml:space="preserve">Agricultural and Veterinary Chemicals Code (Listed Chemical Product – </w:t>
      </w:r>
      <w:r w:rsidR="00684116" w:rsidRPr="00F746BF">
        <w:rPr>
          <w:i/>
          <w:iCs/>
        </w:rPr>
        <w:t>Joint Health</w:t>
      </w:r>
      <w:r w:rsidRPr="00F746BF">
        <w:rPr>
          <w:i/>
          <w:iCs/>
        </w:rPr>
        <w:t xml:space="preserve"> Products for Dogs and Horses) Standard 2014 </w:t>
      </w:r>
      <w:r w:rsidRPr="00F746BF">
        <w:rPr>
          <w:iCs/>
        </w:rPr>
        <w:t>(Standard),</w:t>
      </w:r>
      <w:r>
        <w:t xml:space="preserve"> was</w:t>
      </w:r>
      <w:r w:rsidRPr="00F746BF">
        <w:t xml:space="preserve"> made in accordance with section 8U of the Agvet Code. </w:t>
      </w:r>
      <w:r>
        <w:t xml:space="preserve">The Standard when made contained </w:t>
      </w:r>
      <w:r w:rsidR="00F84395">
        <w:t xml:space="preserve">a </w:t>
      </w:r>
      <w:r>
        <w:t xml:space="preserve">reference in Part 1, section 7, </w:t>
      </w:r>
      <w:r w:rsidR="00C439F5">
        <w:t xml:space="preserve">paragraph </w:t>
      </w:r>
      <w:r>
        <w:t>1(b)</w:t>
      </w:r>
      <w:r w:rsidR="00F84395">
        <w:t xml:space="preserve"> to </w:t>
      </w:r>
      <w:r w:rsidR="00551798">
        <w:t xml:space="preserve">the </w:t>
      </w:r>
      <w:r w:rsidR="00551798">
        <w:rPr>
          <w:i/>
        </w:rPr>
        <w:t xml:space="preserve">Agricultural and Veterinary Chemicals Code Act (Excluded </w:t>
      </w:r>
      <w:proofErr w:type="spellStart"/>
      <w:r w:rsidR="00551798">
        <w:rPr>
          <w:i/>
        </w:rPr>
        <w:t>Stockfood</w:t>
      </w:r>
      <w:proofErr w:type="spellEnd"/>
      <w:r w:rsidR="00551798">
        <w:rPr>
          <w:i/>
        </w:rPr>
        <w:t xml:space="preserve"> Non-active Constituents) Order 2014</w:t>
      </w:r>
      <w:r w:rsidR="00551798">
        <w:t xml:space="preserve"> (sic).  This Order was </w:t>
      </w:r>
      <w:r w:rsidR="00F84395">
        <w:t>revoked</w:t>
      </w:r>
      <w:r w:rsidR="00551798">
        <w:t xml:space="preserve"> on </w:t>
      </w:r>
      <w:r w:rsidR="0021655B">
        <w:t>5 March 2015</w:t>
      </w:r>
      <w:r w:rsidR="00551798">
        <w:t xml:space="preserve"> by the</w:t>
      </w:r>
      <w:r w:rsidR="0021655B">
        <w:t xml:space="preserve"> </w:t>
      </w:r>
      <w:r w:rsidR="0021655B">
        <w:rPr>
          <w:i/>
        </w:rPr>
        <w:t xml:space="preserve">Veterinary Chemical Products (Excluded </w:t>
      </w:r>
      <w:proofErr w:type="spellStart"/>
      <w:r w:rsidR="0021655B">
        <w:rPr>
          <w:i/>
        </w:rPr>
        <w:t>Stockfood</w:t>
      </w:r>
      <w:proofErr w:type="spellEnd"/>
      <w:r w:rsidR="0021655B">
        <w:rPr>
          <w:i/>
        </w:rPr>
        <w:t xml:space="preserve"> Non-active Constituents) Repeal Order 2015</w:t>
      </w:r>
      <w:r>
        <w:t xml:space="preserve">. </w:t>
      </w:r>
    </w:p>
    <w:p w:rsidR="00BE1C62" w:rsidRDefault="00F746BF" w:rsidP="00F746BF">
      <w:pPr>
        <w:pStyle w:val="ttMakingWords"/>
        <w:ind w:left="-1134" w:right="-285"/>
        <w:rPr>
          <w:rFonts w:eastAsia="Calibri"/>
        </w:rPr>
      </w:pPr>
      <w:r>
        <w:t>This amending instrument c</w:t>
      </w:r>
      <w:r w:rsidR="00684116">
        <w:t>hanges</w:t>
      </w:r>
      <w:r>
        <w:t xml:space="preserve"> </w:t>
      </w:r>
      <w:r w:rsidR="0021655B">
        <w:t xml:space="preserve">the </w:t>
      </w:r>
      <w:r>
        <w:t>reference</w:t>
      </w:r>
      <w:r w:rsidR="00684116">
        <w:t xml:space="preserve"> </w:t>
      </w:r>
      <w:r w:rsidR="0021655B">
        <w:t xml:space="preserve">to the repealed Order </w:t>
      </w:r>
      <w:r w:rsidR="00684116">
        <w:t>to a reference to the current instrument</w:t>
      </w:r>
      <w:r w:rsidR="0021655B">
        <w:t xml:space="preserve">, the </w:t>
      </w:r>
      <w:r w:rsidR="00632125">
        <w:rPr>
          <w:i/>
        </w:rPr>
        <w:t>Agricultural and Veterinary Chemicals Code Ingredient Determination 2015</w:t>
      </w:r>
      <w:r>
        <w:t>.</w:t>
      </w:r>
    </w:p>
    <w:p w:rsidR="00801852" w:rsidRDefault="00801852" w:rsidP="00801852">
      <w:pPr>
        <w:rPr>
          <w:b/>
        </w:rPr>
      </w:pPr>
    </w:p>
    <w:p w:rsidR="00801852" w:rsidRPr="00674CBA" w:rsidRDefault="00801852" w:rsidP="00801852">
      <w:pPr>
        <w:spacing w:after="240"/>
        <w:ind w:left="-1134" w:right="-285"/>
        <w:rPr>
          <w:b/>
        </w:rPr>
      </w:pPr>
      <w:r>
        <w:rPr>
          <w:b/>
        </w:rPr>
        <w:t>Regulatory impact</w:t>
      </w:r>
    </w:p>
    <w:p w:rsidR="00801852" w:rsidRDefault="00801852" w:rsidP="00801852">
      <w:pPr>
        <w:spacing w:after="240"/>
        <w:ind w:left="-1134" w:right="-285"/>
      </w:pPr>
      <w:r w:rsidRPr="00305C70">
        <w:t xml:space="preserve">No Regulatory Impact Statement has been prepared for the </w:t>
      </w:r>
      <w:r w:rsidR="00684116">
        <w:t>i</w:t>
      </w:r>
      <w:r>
        <w:t>nstrument. The Office of B</w:t>
      </w:r>
      <w:r w:rsidRPr="00305C70">
        <w:t xml:space="preserve">est Practice Regulations was consulted about </w:t>
      </w:r>
      <w:r w:rsidR="00F746BF">
        <w:t>the Standard when made</w:t>
      </w:r>
      <w:r w:rsidRPr="00305C70">
        <w:t xml:space="preserve"> and advised that no further analysis (in the form of </w:t>
      </w:r>
      <w:r w:rsidR="00F746BF">
        <w:t>a Regulatory Impact Statement) wa</w:t>
      </w:r>
      <w:r w:rsidRPr="00305C70">
        <w:t xml:space="preserve">s </w:t>
      </w:r>
      <w:r>
        <w:t>required (OBPR ID</w:t>
      </w:r>
      <w:r w:rsidRPr="00F746BF">
        <w:t xml:space="preserve">: </w:t>
      </w:r>
      <w:r w:rsidR="00F746BF" w:rsidRPr="00F746BF">
        <w:t>17109)</w:t>
      </w:r>
      <w:r w:rsidR="00F746BF">
        <w:t>. This instrument simply amends an incorrect reference.</w:t>
      </w:r>
    </w:p>
    <w:p w:rsidR="00801852" w:rsidRPr="003E5EFB" w:rsidRDefault="00801852" w:rsidP="00801852">
      <w:pPr>
        <w:spacing w:after="240"/>
        <w:ind w:left="-1134" w:right="-285"/>
        <w:rPr>
          <w:b/>
        </w:rPr>
      </w:pPr>
      <w:r w:rsidRPr="003E5EFB">
        <w:rPr>
          <w:b/>
        </w:rPr>
        <w:t>Public consultation</w:t>
      </w:r>
    </w:p>
    <w:p w:rsidR="00801852" w:rsidRPr="003E5EFB" w:rsidRDefault="003E5EFB" w:rsidP="00801852">
      <w:pPr>
        <w:spacing w:after="240"/>
        <w:ind w:left="-1134" w:right="-285"/>
      </w:pPr>
      <w:r w:rsidRPr="003E5EFB">
        <w:t xml:space="preserve">No </w:t>
      </w:r>
      <w:r>
        <w:t xml:space="preserve">public </w:t>
      </w:r>
      <w:r w:rsidRPr="003E5EFB">
        <w:t xml:space="preserve">consultation has been undertaken </w:t>
      </w:r>
      <w:r>
        <w:t>about this instrument as it is minor and machinery in nature.</w:t>
      </w:r>
    </w:p>
    <w:p w:rsidR="00801852" w:rsidRDefault="00801852" w:rsidP="00801852">
      <w:pPr>
        <w:spacing w:after="240"/>
        <w:ind w:left="-1134" w:right="-285"/>
        <w:rPr>
          <w:b/>
        </w:rPr>
      </w:pPr>
    </w:p>
    <w:p w:rsidR="00E04629" w:rsidRDefault="00E04629">
      <w:pPr>
        <w:spacing w:after="160" w:line="259" w:lineRule="auto"/>
        <w:rPr>
          <w:rFonts w:eastAsia="Calibri"/>
          <w:b/>
          <w:sz w:val="28"/>
          <w:szCs w:val="28"/>
        </w:rPr>
      </w:pPr>
      <w:r>
        <w:rPr>
          <w:rFonts w:eastAsia="Calibri"/>
          <w:b/>
          <w:sz w:val="28"/>
          <w:szCs w:val="28"/>
        </w:rPr>
        <w:br w:type="page"/>
      </w:r>
    </w:p>
    <w:p w:rsidR="00E04629" w:rsidRPr="00DF6752" w:rsidRDefault="00E04629" w:rsidP="00E04629">
      <w:pPr>
        <w:rPr>
          <w:b/>
          <w:bCs/>
        </w:rPr>
      </w:pPr>
      <w:r w:rsidRPr="00DF6752">
        <w:rPr>
          <w:b/>
          <w:bCs/>
        </w:rPr>
        <w:lastRenderedPageBreak/>
        <w:t>NOTES ON ITEMS</w:t>
      </w:r>
    </w:p>
    <w:p w:rsidR="00E04629" w:rsidRPr="00DF6752" w:rsidRDefault="00E04629" w:rsidP="00E04629">
      <w:pPr>
        <w:pStyle w:val="Heading1"/>
        <w:tabs>
          <w:tab w:val="left" w:pos="1134"/>
        </w:tabs>
        <w:spacing w:after="120"/>
      </w:pPr>
      <w:r w:rsidRPr="00DF6752">
        <w:t>Item 1</w:t>
      </w:r>
      <w:r w:rsidRPr="00DF6752">
        <w:tab/>
        <w:t>Name of Instrument</w:t>
      </w:r>
    </w:p>
    <w:p w:rsidR="00E04629" w:rsidRPr="00DF6752" w:rsidRDefault="00E04629" w:rsidP="00E04629">
      <w:r w:rsidRPr="00DF6752">
        <w:t>1.</w:t>
      </w:r>
      <w:r w:rsidRPr="00DF6752">
        <w:tab/>
        <w:t xml:space="preserve">This item states that the full name of the </w:t>
      </w:r>
      <w:r w:rsidR="00684116">
        <w:t>i</w:t>
      </w:r>
      <w:r w:rsidRPr="00DF6752">
        <w:t xml:space="preserve">nstrument is the </w:t>
      </w:r>
      <w:r w:rsidR="00F746BF" w:rsidRPr="00F746BF">
        <w:rPr>
          <w:i/>
          <w:iCs/>
        </w:rPr>
        <w:t>Agricultural and Veterinary Chemicals Code (Listed Chemical Product – Joint Health Products for Dogs and Horses) Standard A</w:t>
      </w:r>
      <w:r w:rsidR="00F84395">
        <w:rPr>
          <w:i/>
          <w:iCs/>
        </w:rPr>
        <w:t>mendment Instrument 2016</w:t>
      </w:r>
      <w:r w:rsidR="00F746BF" w:rsidRPr="00F746BF">
        <w:rPr>
          <w:i/>
          <w:iCs/>
        </w:rPr>
        <w:t>.</w:t>
      </w:r>
    </w:p>
    <w:p w:rsidR="00E04629" w:rsidRPr="00DF6752" w:rsidRDefault="00E04629" w:rsidP="00E04629">
      <w:pPr>
        <w:pStyle w:val="Heading1"/>
        <w:tabs>
          <w:tab w:val="left" w:pos="1134"/>
        </w:tabs>
        <w:spacing w:before="120" w:after="120"/>
      </w:pPr>
      <w:r w:rsidRPr="00DF6752">
        <w:t>Item 2</w:t>
      </w:r>
      <w:r w:rsidRPr="00DF6752">
        <w:tab/>
        <w:t>Commencement</w:t>
      </w:r>
    </w:p>
    <w:p w:rsidR="00E04629" w:rsidRPr="00DF6752" w:rsidRDefault="00E04629" w:rsidP="00E04629">
      <w:pPr>
        <w:spacing w:after="120"/>
      </w:pPr>
      <w:r w:rsidRPr="00DF6752">
        <w:t>2.</w:t>
      </w:r>
      <w:r w:rsidRPr="00DF6752">
        <w:tab/>
      </w:r>
      <w:r>
        <w:t xml:space="preserve">This item states that the </w:t>
      </w:r>
      <w:r w:rsidR="00684116">
        <w:t>i</w:t>
      </w:r>
      <w:r>
        <w:t>nstrument commences on the day after it is registered.</w:t>
      </w:r>
    </w:p>
    <w:p w:rsidR="00E04629" w:rsidRPr="00DF6752" w:rsidRDefault="00E04629" w:rsidP="00E04629">
      <w:pPr>
        <w:pStyle w:val="Heading1"/>
        <w:tabs>
          <w:tab w:val="left" w:pos="1134"/>
        </w:tabs>
        <w:spacing w:before="120" w:after="120"/>
      </w:pPr>
      <w:r w:rsidRPr="00DF6752">
        <w:t>Item 3</w:t>
      </w:r>
      <w:r w:rsidRPr="00DF6752">
        <w:tab/>
      </w:r>
      <w:r w:rsidR="00F746BF">
        <w:t>Authority</w:t>
      </w:r>
    </w:p>
    <w:p w:rsidR="00E04629" w:rsidRPr="00DF6752" w:rsidRDefault="00E04629" w:rsidP="00E04629">
      <w:pPr>
        <w:spacing w:after="120"/>
      </w:pPr>
      <w:r>
        <w:t>3</w:t>
      </w:r>
      <w:r w:rsidRPr="00DF6752">
        <w:t>.</w:t>
      </w:r>
      <w:r w:rsidRPr="00DF6752">
        <w:tab/>
      </w:r>
      <w:r w:rsidR="005200D7">
        <w:t>This item provides that</w:t>
      </w:r>
      <w:r w:rsidRPr="00DF6752">
        <w:t xml:space="preserve"> </w:t>
      </w:r>
      <w:r w:rsidR="00F746BF">
        <w:t xml:space="preserve">this </w:t>
      </w:r>
      <w:r w:rsidR="00684116">
        <w:t>i</w:t>
      </w:r>
      <w:r w:rsidR="00F746BF">
        <w:t xml:space="preserve">nstrument is </w:t>
      </w:r>
      <w:r w:rsidR="00F746BF" w:rsidRPr="00F746BF">
        <w:t xml:space="preserve">made under the </w:t>
      </w:r>
      <w:r w:rsidR="00F746BF" w:rsidRPr="00F84395">
        <w:rPr>
          <w:i/>
        </w:rPr>
        <w:t>Agricultural and Veterinary Chemicals Code Act 1994</w:t>
      </w:r>
      <w:r w:rsidR="00F746BF">
        <w:t>.</w:t>
      </w:r>
    </w:p>
    <w:p w:rsidR="00E04629" w:rsidRPr="00E04629" w:rsidRDefault="00E04629" w:rsidP="00E04629">
      <w:pPr>
        <w:pStyle w:val="Heading1"/>
        <w:tabs>
          <w:tab w:val="left" w:pos="1134"/>
        </w:tabs>
        <w:spacing w:before="120" w:after="120"/>
      </w:pPr>
      <w:r w:rsidRPr="00E04629">
        <w:t>Item 4</w:t>
      </w:r>
      <w:r w:rsidRPr="00E04629">
        <w:tab/>
      </w:r>
      <w:r w:rsidR="00F746BF" w:rsidRPr="00F746BF">
        <w:t>Amendment of Agricultural and Veterinary Chemicals Code (Listed Chemical Product – Joint Health Products for Dogs and Horses) Standard 2014</w:t>
      </w:r>
    </w:p>
    <w:p w:rsidR="00E04629" w:rsidRPr="00F84395" w:rsidRDefault="00E04629" w:rsidP="00E04629">
      <w:pPr>
        <w:rPr>
          <w:iCs/>
        </w:rPr>
      </w:pPr>
      <w:r w:rsidRPr="00E04629">
        <w:rPr>
          <w:szCs w:val="22"/>
        </w:rPr>
        <w:t>4.</w:t>
      </w:r>
      <w:r>
        <w:rPr>
          <w:b/>
        </w:rPr>
        <w:tab/>
      </w:r>
      <w:r w:rsidRPr="00E04629">
        <w:rPr>
          <w:iCs/>
        </w:rPr>
        <w:t xml:space="preserve">This item provides that </w:t>
      </w:r>
      <w:r w:rsidR="005200D7">
        <w:rPr>
          <w:iCs/>
        </w:rPr>
        <w:t xml:space="preserve">the Schedule of the </w:t>
      </w:r>
      <w:r w:rsidR="00684116">
        <w:rPr>
          <w:iCs/>
        </w:rPr>
        <w:t>i</w:t>
      </w:r>
      <w:r w:rsidR="005200D7">
        <w:rPr>
          <w:iCs/>
        </w:rPr>
        <w:t xml:space="preserve">nstrument amends the </w:t>
      </w:r>
      <w:r w:rsidR="005200D7" w:rsidRPr="00F84395">
        <w:rPr>
          <w:i/>
          <w:iCs/>
        </w:rPr>
        <w:t>Agricultural and Veterinary Chemicals Code (Listed Chemical Product – Joint Health Products for Dogs and Horses) Standard 2014</w:t>
      </w:r>
      <w:r w:rsidR="00F84395">
        <w:rPr>
          <w:iCs/>
        </w:rPr>
        <w:t>.</w:t>
      </w:r>
    </w:p>
    <w:p w:rsidR="005200D7" w:rsidRDefault="005200D7" w:rsidP="00E04629">
      <w:pPr>
        <w:rPr>
          <w:iCs/>
        </w:rPr>
      </w:pPr>
    </w:p>
    <w:p w:rsidR="005200D7" w:rsidRPr="005200D7" w:rsidRDefault="005200D7" w:rsidP="005200D7">
      <w:pPr>
        <w:rPr>
          <w:b/>
          <w:bCs/>
          <w:iCs/>
        </w:rPr>
      </w:pPr>
      <w:r w:rsidRPr="005200D7">
        <w:rPr>
          <w:b/>
          <w:bCs/>
          <w:iCs/>
        </w:rPr>
        <w:t>SCHEDULE 1</w:t>
      </w:r>
      <w:r w:rsidRPr="005200D7">
        <w:rPr>
          <w:b/>
          <w:bCs/>
          <w:iCs/>
        </w:rPr>
        <w:tab/>
        <w:t>Amendments</w:t>
      </w:r>
    </w:p>
    <w:p w:rsidR="005200D7" w:rsidRPr="005200D7" w:rsidRDefault="005200D7" w:rsidP="005200D7">
      <w:pPr>
        <w:rPr>
          <w:b/>
          <w:bCs/>
          <w:iCs/>
        </w:rPr>
      </w:pPr>
      <w:r w:rsidRPr="005200D7">
        <w:rPr>
          <w:b/>
          <w:bCs/>
          <w:iCs/>
        </w:rPr>
        <w:t>Item 1</w:t>
      </w:r>
    </w:p>
    <w:p w:rsidR="005200D7" w:rsidRPr="00E04629" w:rsidRDefault="005200D7" w:rsidP="00E04629">
      <w:pPr>
        <w:rPr>
          <w:i/>
          <w:iCs/>
        </w:rPr>
      </w:pPr>
    </w:p>
    <w:p w:rsidR="00E04629" w:rsidRPr="00E04629" w:rsidRDefault="005200D7" w:rsidP="00E04629">
      <w:pPr>
        <w:rPr>
          <w:i/>
          <w:iCs/>
        </w:rPr>
      </w:pPr>
      <w:r>
        <w:rPr>
          <w:iCs/>
        </w:rPr>
        <w:t xml:space="preserve">Item 1 amends Part 1, section 7, subsection 1(b) to replace a reference to </w:t>
      </w:r>
      <w:r w:rsidR="00FD63C5" w:rsidRPr="00FD63C5">
        <w:rPr>
          <w:i/>
          <w:iCs/>
        </w:rPr>
        <w:t xml:space="preserve">Agricultural and Veterinary Chemicals Code Act (Excluded </w:t>
      </w:r>
      <w:proofErr w:type="spellStart"/>
      <w:r w:rsidR="00FD63C5" w:rsidRPr="00FD63C5">
        <w:rPr>
          <w:i/>
          <w:iCs/>
        </w:rPr>
        <w:t>Stockfood</w:t>
      </w:r>
      <w:proofErr w:type="spellEnd"/>
      <w:r w:rsidR="00FD63C5" w:rsidRPr="00FD63C5">
        <w:rPr>
          <w:i/>
          <w:iCs/>
        </w:rPr>
        <w:t xml:space="preserve"> Non-active Constituents) Order 2014</w:t>
      </w:r>
      <w:r w:rsidR="00FD63C5">
        <w:rPr>
          <w:i/>
          <w:iCs/>
        </w:rPr>
        <w:t xml:space="preserve"> </w:t>
      </w:r>
      <w:r w:rsidR="00FD63C5">
        <w:rPr>
          <w:iCs/>
        </w:rPr>
        <w:t xml:space="preserve">with a reference to </w:t>
      </w:r>
      <w:r w:rsidR="00FD63C5" w:rsidRPr="00FD63C5">
        <w:rPr>
          <w:i/>
          <w:iCs/>
        </w:rPr>
        <w:t>Agricultural and Veterinary Chemicals Code Ingredient Determination 2015</w:t>
      </w:r>
      <w:r w:rsidR="00F84395">
        <w:rPr>
          <w:iCs/>
        </w:rPr>
        <w:t>.</w:t>
      </w:r>
      <w:r w:rsidR="00E04629" w:rsidRPr="00E04629">
        <w:rPr>
          <w:i/>
          <w:iCs/>
        </w:rPr>
        <w:tab/>
      </w:r>
    </w:p>
    <w:p w:rsidR="005200D7" w:rsidRDefault="005200D7">
      <w:pPr>
        <w:spacing w:after="160" w:line="259" w:lineRule="auto"/>
        <w:rPr>
          <w:b/>
          <w:bCs/>
          <w:szCs w:val="22"/>
        </w:rPr>
      </w:pPr>
      <w:r>
        <w:br w:type="page"/>
      </w:r>
    </w:p>
    <w:p w:rsidR="00801852" w:rsidRDefault="00801852" w:rsidP="005200D7">
      <w:pPr>
        <w:pStyle w:val="Heading1"/>
        <w:tabs>
          <w:tab w:val="left" w:pos="1134"/>
        </w:tabs>
        <w:spacing w:before="120" w:after="120"/>
        <w:rPr>
          <w:rFonts w:eastAsia="Calibri"/>
          <w:b w:val="0"/>
          <w:sz w:val="28"/>
          <w:szCs w:val="28"/>
        </w:rPr>
      </w:pPr>
    </w:p>
    <w:p w:rsidR="00801852" w:rsidRPr="00907E37" w:rsidRDefault="00801852" w:rsidP="00801852">
      <w:pPr>
        <w:spacing w:after="240"/>
        <w:ind w:left="-1134" w:right="-285"/>
        <w:rPr>
          <w:rFonts w:eastAsia="Calibri"/>
          <w:b/>
          <w:sz w:val="28"/>
          <w:szCs w:val="28"/>
        </w:rPr>
      </w:pPr>
      <w:r>
        <w:rPr>
          <w:rFonts w:eastAsia="Calibri"/>
          <w:b/>
          <w:sz w:val="28"/>
          <w:szCs w:val="28"/>
        </w:rPr>
        <w:t>STATEMENT OF COMPATIBILITY WITH HUMAN RIGHTS</w:t>
      </w:r>
    </w:p>
    <w:p w:rsidR="00801852" w:rsidRPr="00907E37" w:rsidRDefault="00801852" w:rsidP="00801852">
      <w:pPr>
        <w:spacing w:after="240"/>
        <w:ind w:left="-1134" w:right="-285"/>
        <w:rPr>
          <w:rFonts w:eastAsia="Calibri"/>
          <w:szCs w:val="24"/>
        </w:rPr>
      </w:pPr>
      <w:r w:rsidRPr="00907E37">
        <w:rPr>
          <w:rFonts w:eastAsia="Calibri"/>
          <w:i/>
          <w:szCs w:val="24"/>
        </w:rPr>
        <w:t>Prepared in accordance with Part 3 of the Human Rights (Parliamentary Scrutiny) Act 2011</w:t>
      </w:r>
    </w:p>
    <w:p w:rsidR="00245410" w:rsidRPr="00F746BF" w:rsidRDefault="00245410" w:rsidP="00245410">
      <w:pPr>
        <w:spacing w:after="240"/>
        <w:ind w:left="-1134" w:right="-285"/>
        <w:rPr>
          <w:b/>
          <w:i/>
          <w:iCs/>
          <w:vertAlign w:val="superscript"/>
        </w:rPr>
      </w:pPr>
      <w:r w:rsidRPr="00F746BF">
        <w:rPr>
          <w:b/>
          <w:i/>
          <w:iCs/>
        </w:rPr>
        <w:t>Agricultural and Veterinary Chemicals Code (Listed Chemical Product – Joint Health Products for Dogs and Horses) Standard Am</w:t>
      </w:r>
      <w:r>
        <w:rPr>
          <w:b/>
          <w:i/>
          <w:iCs/>
        </w:rPr>
        <w:t>endment Instrument 2016</w:t>
      </w:r>
      <w:r w:rsidRPr="00F746BF">
        <w:rPr>
          <w:b/>
          <w:i/>
          <w:iCs/>
        </w:rPr>
        <w:t xml:space="preserve"> </w:t>
      </w:r>
    </w:p>
    <w:p w:rsidR="00801852" w:rsidRPr="00907E37" w:rsidRDefault="00801852" w:rsidP="00801852">
      <w:pPr>
        <w:spacing w:after="240"/>
        <w:ind w:left="-1134" w:right="-285"/>
        <w:jc w:val="both"/>
        <w:rPr>
          <w:rFonts w:eastAsia="Calibri"/>
          <w:szCs w:val="24"/>
        </w:rPr>
      </w:pPr>
      <w:r>
        <w:rPr>
          <w:rFonts w:eastAsia="Calibri"/>
          <w:szCs w:val="24"/>
        </w:rPr>
        <w:t xml:space="preserve">This </w:t>
      </w:r>
      <w:r w:rsidRPr="00907E37">
        <w:rPr>
          <w:rFonts w:eastAsia="Calibri"/>
          <w:szCs w:val="24"/>
        </w:rPr>
        <w:t xml:space="preserve">Legislative Instrument is compatible with the human rights and freedoms recognised or declared in the international instruments listed in section 3 of the </w:t>
      </w:r>
      <w:r w:rsidRPr="00907E37">
        <w:rPr>
          <w:rFonts w:eastAsia="Calibri"/>
          <w:i/>
          <w:szCs w:val="24"/>
        </w:rPr>
        <w:t>Human Rights (Parliamentary Scrutiny) Act 2011</w:t>
      </w:r>
      <w:r w:rsidRPr="00907E37">
        <w:rPr>
          <w:rFonts w:eastAsia="Calibri"/>
          <w:szCs w:val="24"/>
        </w:rPr>
        <w:t>.</w:t>
      </w:r>
    </w:p>
    <w:p w:rsidR="00801852" w:rsidRPr="00907E37" w:rsidRDefault="00801852" w:rsidP="00801852">
      <w:pPr>
        <w:spacing w:after="240"/>
        <w:ind w:left="-1134" w:right="-285"/>
        <w:jc w:val="both"/>
        <w:rPr>
          <w:rFonts w:eastAsia="Calibri"/>
          <w:b/>
          <w:szCs w:val="24"/>
        </w:rPr>
      </w:pPr>
      <w:r>
        <w:rPr>
          <w:rFonts w:eastAsia="Calibri"/>
          <w:b/>
          <w:szCs w:val="24"/>
        </w:rPr>
        <w:t xml:space="preserve">Overview of the </w:t>
      </w:r>
      <w:r w:rsidRPr="00907E37">
        <w:rPr>
          <w:rFonts w:eastAsia="Calibri"/>
          <w:b/>
          <w:szCs w:val="24"/>
        </w:rPr>
        <w:t>Legislative Instrument</w:t>
      </w:r>
    </w:p>
    <w:p w:rsidR="00801852" w:rsidRDefault="00801852" w:rsidP="00801852">
      <w:pPr>
        <w:spacing w:after="240"/>
        <w:ind w:left="-1134" w:right="-285"/>
        <w:rPr>
          <w:rFonts w:eastAsia="Calibri"/>
          <w:szCs w:val="24"/>
        </w:rPr>
      </w:pPr>
      <w:r>
        <w:rPr>
          <w:rFonts w:eastAsia="Calibri"/>
          <w:szCs w:val="24"/>
        </w:rPr>
        <w:t>The p</w:t>
      </w:r>
      <w:r w:rsidR="003E5EFB">
        <w:rPr>
          <w:rFonts w:eastAsia="Calibri"/>
          <w:szCs w:val="24"/>
        </w:rPr>
        <w:t xml:space="preserve">urpose of this Instrument is to </w:t>
      </w:r>
      <w:r w:rsidR="00C439F5">
        <w:rPr>
          <w:rFonts w:eastAsia="Calibri"/>
          <w:szCs w:val="24"/>
        </w:rPr>
        <w:t>replace a reference to an instrument that has been revoked to a reference to the current instrument</w:t>
      </w:r>
      <w:r w:rsidR="003E5EFB">
        <w:rPr>
          <w:rFonts w:eastAsia="Calibri"/>
          <w:szCs w:val="24"/>
        </w:rPr>
        <w:t>.</w:t>
      </w:r>
    </w:p>
    <w:p w:rsidR="00801852" w:rsidRDefault="00801852" w:rsidP="00801852">
      <w:pPr>
        <w:spacing w:after="240"/>
        <w:ind w:left="-1134" w:right="-285"/>
      </w:pPr>
      <w:r>
        <w:rPr>
          <w:b/>
          <w:u w:val="single"/>
        </w:rPr>
        <w:t>Human rights implications</w:t>
      </w:r>
      <w:r>
        <w:t>.</w:t>
      </w:r>
    </w:p>
    <w:p w:rsidR="00801852" w:rsidRDefault="00801852" w:rsidP="00801852">
      <w:pPr>
        <w:spacing w:after="240"/>
        <w:ind w:left="-1134" w:right="-285"/>
      </w:pPr>
      <w:r>
        <w:t>The Instrument does not engage any of the applicable rights or freedoms.</w:t>
      </w:r>
    </w:p>
    <w:p w:rsidR="00801852" w:rsidRDefault="00801852" w:rsidP="00801852">
      <w:pPr>
        <w:spacing w:after="240"/>
        <w:ind w:left="-1134" w:right="-285"/>
      </w:pPr>
      <w:r>
        <w:rPr>
          <w:b/>
          <w:u w:val="single"/>
        </w:rPr>
        <w:t>Conclusion</w:t>
      </w:r>
    </w:p>
    <w:p w:rsidR="00801852" w:rsidRDefault="00801852" w:rsidP="00801852">
      <w:pPr>
        <w:spacing w:after="240"/>
        <w:ind w:left="-1134" w:right="-285"/>
      </w:pPr>
      <w:r>
        <w:t>The Instrument is compatible with human rights as it does not raise any human rights issues.</w:t>
      </w:r>
    </w:p>
    <w:p w:rsidR="00801852" w:rsidRDefault="00801852" w:rsidP="00801852">
      <w:pPr>
        <w:spacing w:after="240"/>
        <w:ind w:left="-1134" w:right="-285"/>
      </w:pPr>
    </w:p>
    <w:p w:rsidR="00801852" w:rsidRPr="00FF425C" w:rsidRDefault="00801852" w:rsidP="00801852">
      <w:pPr>
        <w:pStyle w:val="PlainParagraph"/>
        <w:spacing w:before="0" w:after="240" w:line="240" w:lineRule="auto"/>
        <w:ind w:left="-1134" w:right="-285"/>
      </w:pPr>
    </w:p>
    <w:p w:rsidR="00617856" w:rsidRDefault="00090AF8"/>
    <w:sectPr w:rsidR="00617856" w:rsidSect="00A819FC">
      <w:headerReference w:type="even" r:id="rId7"/>
      <w:headerReference w:type="default" r:id="rId8"/>
      <w:footerReference w:type="even" r:id="rId9"/>
      <w:footerReference w:type="default" r:id="rId10"/>
      <w:headerReference w:type="first" r:id="rId11"/>
      <w:footerReference w:type="first" r:id="rId12"/>
      <w:pgSz w:w="11906" w:h="16838"/>
      <w:pgMar w:top="1276"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447" w:rsidRDefault="00A83447">
      <w:r>
        <w:separator/>
      </w:r>
    </w:p>
  </w:endnote>
  <w:endnote w:type="continuationSeparator" w:id="0">
    <w:p w:rsidR="00A83447" w:rsidRDefault="00A8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98C" w:rsidRDefault="00090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98C" w:rsidRDefault="00090A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98C" w:rsidRDefault="00090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447" w:rsidRDefault="00A83447">
      <w:r>
        <w:separator/>
      </w:r>
    </w:p>
  </w:footnote>
  <w:footnote w:type="continuationSeparator" w:id="0">
    <w:p w:rsidR="00A83447" w:rsidRDefault="00A83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98C" w:rsidRDefault="00090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98C" w:rsidRDefault="00090A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98C" w:rsidRDefault="00090A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1C9E"/>
    <w:multiLevelType w:val="hybridMultilevel"/>
    <w:tmpl w:val="12B4F07C"/>
    <w:lvl w:ilvl="0" w:tplc="4AEE1D62">
      <w:start w:val="1"/>
      <w:numFmt w:val="lowerLetter"/>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 w15:restartNumberingAfterBreak="0">
    <w:nsid w:val="2F3534CF"/>
    <w:multiLevelType w:val="multilevel"/>
    <w:tmpl w:val="17E03F5A"/>
    <w:lvl w:ilvl="0">
      <w:start w:val="1"/>
      <w:numFmt w:val="lowerLetter"/>
      <w:lvlText w:val="%1)"/>
      <w:lvlJc w:val="left"/>
      <w:pPr>
        <w:tabs>
          <w:tab w:val="num" w:pos="850"/>
        </w:tabs>
        <w:ind w:left="850" w:hanging="425"/>
      </w:pPr>
    </w:lvl>
    <w:lvl w:ilvl="1">
      <w:start w:val="1"/>
      <w:numFmt w:val="lowerLetter"/>
      <w:lvlText w:val="%2)"/>
      <w:lvlJc w:val="left"/>
      <w:pPr>
        <w:tabs>
          <w:tab w:val="num" w:pos="850"/>
        </w:tabs>
        <w:ind w:left="850" w:hanging="425"/>
      </w:pPr>
    </w:lvl>
    <w:lvl w:ilvl="2">
      <w:start w:val="1"/>
      <w:numFmt w:val="lowerLetter"/>
      <w:lvlText w:val="%3)"/>
      <w:lvlJc w:val="left"/>
      <w:pPr>
        <w:tabs>
          <w:tab w:val="num" w:pos="1276"/>
        </w:tabs>
        <w:ind w:left="1276" w:hanging="426"/>
      </w:pPr>
    </w:lvl>
    <w:lvl w:ilvl="3">
      <w:start w:val="1"/>
      <w:numFmt w:val="lowerLetter"/>
      <w:lvlText w:val="%4)"/>
      <w:lvlJc w:val="left"/>
      <w:pPr>
        <w:tabs>
          <w:tab w:val="num" w:pos="1701"/>
        </w:tabs>
        <w:ind w:left="1701" w:hanging="425"/>
      </w:pPr>
    </w:lvl>
    <w:lvl w:ilvl="4">
      <w:start w:val="1"/>
      <w:numFmt w:val="lowerLetter"/>
      <w:lvlText w:val="%5)"/>
      <w:lvlJc w:val="left"/>
      <w:pPr>
        <w:tabs>
          <w:tab w:val="num" w:pos="2126"/>
        </w:tabs>
        <w:ind w:left="2126" w:hanging="425"/>
      </w:pPr>
    </w:lvl>
    <w:lvl w:ilvl="5">
      <w:start w:val="1"/>
      <w:numFmt w:val="lowerLetter"/>
      <w:lvlText w:val="%6)"/>
      <w:lvlJc w:val="left"/>
      <w:pPr>
        <w:tabs>
          <w:tab w:val="num" w:pos="2551"/>
        </w:tabs>
        <w:ind w:left="2551" w:hanging="425"/>
      </w:pPr>
    </w:lvl>
    <w:lvl w:ilvl="6">
      <w:start w:val="1"/>
      <w:numFmt w:val="lowerLetter"/>
      <w:lvlText w:val="%7)"/>
      <w:lvlJc w:val="left"/>
      <w:pPr>
        <w:tabs>
          <w:tab w:val="num" w:pos="2976"/>
        </w:tabs>
        <w:ind w:left="2976" w:hanging="425"/>
      </w:pPr>
    </w:lvl>
    <w:lvl w:ilvl="7">
      <w:start w:val="1"/>
      <w:numFmt w:val="lowerLetter"/>
      <w:lvlText w:val="%8)"/>
      <w:lvlJc w:val="left"/>
      <w:pPr>
        <w:tabs>
          <w:tab w:val="num" w:pos="3402"/>
        </w:tabs>
        <w:ind w:left="3402" w:hanging="426"/>
      </w:pPr>
    </w:lvl>
    <w:lvl w:ilvl="8">
      <w:start w:val="1"/>
      <w:numFmt w:val="lowerLetter"/>
      <w:lvlText w:val="%9)"/>
      <w:lvlJc w:val="left"/>
      <w:pPr>
        <w:tabs>
          <w:tab w:val="num" w:pos="3827"/>
        </w:tabs>
        <w:ind w:left="3827" w:hanging="425"/>
      </w:pPr>
    </w:lvl>
  </w:abstractNum>
  <w:abstractNum w:abstractNumId="2" w15:restartNumberingAfterBreak="0">
    <w:nsid w:val="60EF0D47"/>
    <w:multiLevelType w:val="multilevel"/>
    <w:tmpl w:val="BF38734A"/>
    <w:lvl w:ilvl="0">
      <w:start w:val="1"/>
      <w:numFmt w:val="lowerLetter"/>
      <w:lvlText w:val="%1)"/>
      <w:lvlJc w:val="left"/>
      <w:pPr>
        <w:tabs>
          <w:tab w:val="num" w:pos="425"/>
        </w:tabs>
        <w:ind w:left="425" w:hanging="425"/>
      </w:pPr>
    </w:lvl>
    <w:lvl w:ilvl="1">
      <w:start w:val="1"/>
      <w:numFmt w:val="lowerLetter"/>
      <w:lvlText w:val="%2)"/>
      <w:lvlJc w:val="left"/>
      <w:pPr>
        <w:tabs>
          <w:tab w:val="num" w:pos="425"/>
        </w:tabs>
        <w:ind w:left="425" w:hanging="425"/>
      </w:pPr>
    </w:lvl>
    <w:lvl w:ilvl="2">
      <w:start w:val="1"/>
      <w:numFmt w:val="lowerLetter"/>
      <w:lvlText w:val="%3)"/>
      <w:lvlJc w:val="left"/>
      <w:pPr>
        <w:tabs>
          <w:tab w:val="num" w:pos="851"/>
        </w:tabs>
        <w:ind w:left="851" w:hanging="426"/>
      </w:pPr>
    </w:lvl>
    <w:lvl w:ilvl="3">
      <w:start w:val="1"/>
      <w:numFmt w:val="lowerLetter"/>
      <w:lvlText w:val="%4)"/>
      <w:lvlJc w:val="left"/>
      <w:pPr>
        <w:tabs>
          <w:tab w:val="num" w:pos="1276"/>
        </w:tabs>
        <w:ind w:left="1276" w:hanging="425"/>
      </w:pPr>
    </w:lvl>
    <w:lvl w:ilvl="4">
      <w:start w:val="1"/>
      <w:numFmt w:val="lowerLetter"/>
      <w:lvlText w:val="%5)"/>
      <w:lvlJc w:val="left"/>
      <w:pPr>
        <w:tabs>
          <w:tab w:val="num" w:pos="1701"/>
        </w:tabs>
        <w:ind w:left="1701" w:hanging="425"/>
      </w:pPr>
    </w:lvl>
    <w:lvl w:ilvl="5">
      <w:start w:val="1"/>
      <w:numFmt w:val="lowerLetter"/>
      <w:lvlText w:val="%6)"/>
      <w:lvlJc w:val="left"/>
      <w:pPr>
        <w:tabs>
          <w:tab w:val="num" w:pos="2126"/>
        </w:tabs>
        <w:ind w:left="2126" w:hanging="425"/>
      </w:pPr>
    </w:lvl>
    <w:lvl w:ilvl="6">
      <w:start w:val="1"/>
      <w:numFmt w:val="lowerLetter"/>
      <w:lvlText w:val="%7)"/>
      <w:lvlJc w:val="left"/>
      <w:pPr>
        <w:tabs>
          <w:tab w:val="num" w:pos="2551"/>
        </w:tabs>
        <w:ind w:left="2551" w:hanging="425"/>
      </w:pPr>
    </w:lvl>
    <w:lvl w:ilvl="7">
      <w:start w:val="1"/>
      <w:numFmt w:val="lowerLetter"/>
      <w:lvlText w:val="%8)"/>
      <w:lvlJc w:val="left"/>
      <w:pPr>
        <w:tabs>
          <w:tab w:val="num" w:pos="2977"/>
        </w:tabs>
        <w:ind w:left="2977" w:hanging="426"/>
      </w:pPr>
    </w:lvl>
    <w:lvl w:ilvl="8">
      <w:start w:val="1"/>
      <w:numFmt w:val="lowerLetter"/>
      <w:lvlText w:val="%9)"/>
      <w:lvlJc w:val="left"/>
      <w:pPr>
        <w:tabs>
          <w:tab w:val="num" w:pos="3402"/>
        </w:tabs>
        <w:ind w:left="3402" w:hanging="425"/>
      </w:pPr>
    </w:lvl>
  </w:abstractNum>
  <w:abstractNum w:abstractNumId="3" w15:restartNumberingAfterBreak="0">
    <w:nsid w:val="746E7454"/>
    <w:multiLevelType w:val="hybridMultilevel"/>
    <w:tmpl w:val="23FCF304"/>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FA0C85"/>
    <w:multiLevelType w:val="hybridMultilevel"/>
    <w:tmpl w:val="DAAC9B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52"/>
    <w:rsid w:val="00036905"/>
    <w:rsid w:val="00087CB2"/>
    <w:rsid w:val="00090AF8"/>
    <w:rsid w:val="000A4BB0"/>
    <w:rsid w:val="000E36BE"/>
    <w:rsid w:val="00105EA2"/>
    <w:rsid w:val="00176977"/>
    <w:rsid w:val="001B13B2"/>
    <w:rsid w:val="001D3567"/>
    <w:rsid w:val="0021655B"/>
    <w:rsid w:val="00245410"/>
    <w:rsid w:val="0032454E"/>
    <w:rsid w:val="003E5EFB"/>
    <w:rsid w:val="00410816"/>
    <w:rsid w:val="0043673C"/>
    <w:rsid w:val="005059D5"/>
    <w:rsid w:val="005200D7"/>
    <w:rsid w:val="00521B87"/>
    <w:rsid w:val="005246CC"/>
    <w:rsid w:val="00551798"/>
    <w:rsid w:val="0060316E"/>
    <w:rsid w:val="00632125"/>
    <w:rsid w:val="006773F3"/>
    <w:rsid w:val="00684116"/>
    <w:rsid w:val="00726A02"/>
    <w:rsid w:val="007919A9"/>
    <w:rsid w:val="007B1C64"/>
    <w:rsid w:val="007B5857"/>
    <w:rsid w:val="00801852"/>
    <w:rsid w:val="0090684C"/>
    <w:rsid w:val="009665BD"/>
    <w:rsid w:val="009832F3"/>
    <w:rsid w:val="00A63B67"/>
    <w:rsid w:val="00A83447"/>
    <w:rsid w:val="00B85EAB"/>
    <w:rsid w:val="00BE1C62"/>
    <w:rsid w:val="00C439F5"/>
    <w:rsid w:val="00D17625"/>
    <w:rsid w:val="00D96764"/>
    <w:rsid w:val="00DF4660"/>
    <w:rsid w:val="00E04629"/>
    <w:rsid w:val="00E754FE"/>
    <w:rsid w:val="00E86B83"/>
    <w:rsid w:val="00E93DC2"/>
    <w:rsid w:val="00F33D33"/>
    <w:rsid w:val="00F746BF"/>
    <w:rsid w:val="00F84395"/>
    <w:rsid w:val="00FD0C41"/>
    <w:rsid w:val="00FD63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D20A4-B9E6-4DBA-BC06-32A5253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D3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04629"/>
    <w:pPr>
      <w:keepNext/>
      <w:outlineLvl w:val="0"/>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 Paragraph"/>
    <w:aliases w:val="PP"/>
    <w:basedOn w:val="Normal"/>
    <w:link w:val="PlainParagraphChar"/>
    <w:qFormat/>
    <w:rsid w:val="00801852"/>
    <w:pPr>
      <w:spacing w:before="140" w:after="140" w:line="280" w:lineRule="atLeast"/>
    </w:pPr>
    <w:rPr>
      <w:rFonts w:ascii="Arial" w:hAnsi="Arial" w:cs="Arial"/>
      <w:sz w:val="22"/>
      <w:szCs w:val="22"/>
      <w:lang w:eastAsia="en-AU"/>
    </w:rPr>
  </w:style>
  <w:style w:type="paragraph" w:styleId="Footer">
    <w:name w:val="footer"/>
    <w:basedOn w:val="Normal"/>
    <w:link w:val="FooterChar"/>
    <w:uiPriority w:val="29"/>
    <w:rsid w:val="00801852"/>
    <w:pPr>
      <w:tabs>
        <w:tab w:val="right" w:pos="8220"/>
      </w:tabs>
      <w:spacing w:line="200" w:lineRule="atLeast"/>
    </w:pPr>
    <w:rPr>
      <w:rFonts w:ascii="Arial" w:hAnsi="Arial" w:cs="Arial"/>
      <w:sz w:val="16"/>
      <w:szCs w:val="22"/>
      <w:lang w:eastAsia="en-AU"/>
    </w:rPr>
  </w:style>
  <w:style w:type="character" w:customStyle="1" w:styleId="FooterChar">
    <w:name w:val="Footer Char"/>
    <w:basedOn w:val="DefaultParagraphFont"/>
    <w:link w:val="Footer"/>
    <w:uiPriority w:val="29"/>
    <w:rsid w:val="00801852"/>
    <w:rPr>
      <w:rFonts w:ascii="Arial" w:eastAsia="Times New Roman" w:hAnsi="Arial" w:cs="Arial"/>
      <w:sz w:val="16"/>
      <w:lang w:eastAsia="en-AU"/>
    </w:rPr>
  </w:style>
  <w:style w:type="paragraph" w:styleId="Header">
    <w:name w:val="header"/>
    <w:basedOn w:val="Normal"/>
    <w:link w:val="HeaderChar"/>
    <w:rsid w:val="00801852"/>
    <w:pPr>
      <w:tabs>
        <w:tab w:val="right" w:pos="8220"/>
      </w:tabs>
      <w:spacing w:line="200" w:lineRule="atLeast"/>
    </w:pPr>
    <w:rPr>
      <w:rFonts w:ascii="Arial" w:hAnsi="Arial" w:cs="Arial"/>
      <w:sz w:val="20"/>
      <w:szCs w:val="22"/>
      <w:lang w:eastAsia="en-AU"/>
    </w:rPr>
  </w:style>
  <w:style w:type="character" w:customStyle="1" w:styleId="HeaderChar">
    <w:name w:val="Header Char"/>
    <w:basedOn w:val="DefaultParagraphFont"/>
    <w:link w:val="Header"/>
    <w:uiPriority w:val="29"/>
    <w:rsid w:val="00801852"/>
    <w:rPr>
      <w:rFonts w:ascii="Arial" w:eastAsia="Times New Roman" w:hAnsi="Arial" w:cs="Arial"/>
      <w:sz w:val="20"/>
      <w:lang w:eastAsia="en-AU"/>
    </w:rPr>
  </w:style>
  <w:style w:type="paragraph" w:customStyle="1" w:styleId="NumberedLista1">
    <w:name w:val="Numbered List: a) 1"/>
    <w:aliases w:val="a)"/>
    <w:basedOn w:val="Normal"/>
    <w:uiPriority w:val="8"/>
    <w:qFormat/>
    <w:rsid w:val="00801852"/>
    <w:pPr>
      <w:spacing w:after="140" w:line="280" w:lineRule="atLeast"/>
    </w:pPr>
    <w:rPr>
      <w:rFonts w:ascii="Arial" w:hAnsi="Arial" w:cs="Arial"/>
      <w:sz w:val="22"/>
      <w:szCs w:val="22"/>
      <w:lang w:eastAsia="en-AU"/>
    </w:rPr>
  </w:style>
  <w:style w:type="paragraph" w:styleId="ListParagraph">
    <w:name w:val="List Paragraph"/>
    <w:basedOn w:val="Normal"/>
    <w:uiPriority w:val="98"/>
    <w:rsid w:val="00801852"/>
    <w:pPr>
      <w:ind w:left="720"/>
    </w:pPr>
    <w:rPr>
      <w:rFonts w:ascii="Arial" w:hAnsi="Arial" w:cs="Arial"/>
      <w:sz w:val="22"/>
      <w:szCs w:val="22"/>
      <w:lang w:eastAsia="en-AU"/>
    </w:rPr>
  </w:style>
  <w:style w:type="character" w:customStyle="1" w:styleId="PlainParagraphChar">
    <w:name w:val="Plain Paragraph Char"/>
    <w:aliases w:val="PP Char"/>
    <w:basedOn w:val="DefaultParagraphFont"/>
    <w:link w:val="PlainParagraph"/>
    <w:rsid w:val="00801852"/>
    <w:rPr>
      <w:rFonts w:ascii="Arial" w:eastAsia="Times New Roman" w:hAnsi="Arial" w:cs="Arial"/>
      <w:lang w:eastAsia="en-AU"/>
    </w:rPr>
  </w:style>
  <w:style w:type="paragraph" w:customStyle="1" w:styleId="ttMakingWords">
    <w:name w:val="tt_Making_Words"/>
    <w:basedOn w:val="Normal"/>
    <w:qFormat/>
    <w:rsid w:val="00801852"/>
    <w:pPr>
      <w:spacing w:before="360"/>
      <w:jc w:val="both"/>
    </w:pPr>
    <w:rPr>
      <w:szCs w:val="24"/>
      <w:lang w:eastAsia="en-AU"/>
    </w:rPr>
  </w:style>
  <w:style w:type="character" w:customStyle="1" w:styleId="Heading1Char">
    <w:name w:val="Heading 1 Char"/>
    <w:basedOn w:val="DefaultParagraphFont"/>
    <w:link w:val="Heading1"/>
    <w:rsid w:val="00E04629"/>
    <w:rPr>
      <w:rFonts w:ascii="Times New Roman" w:eastAsia="Times New Roman" w:hAnsi="Times New Roman" w:cs="Times New Roman"/>
      <w:b/>
      <w:bCs/>
      <w:sz w:val="24"/>
    </w:rPr>
  </w:style>
  <w:style w:type="paragraph" w:styleId="BalloonText">
    <w:name w:val="Balloon Text"/>
    <w:basedOn w:val="Normal"/>
    <w:link w:val="BalloonTextChar"/>
    <w:uiPriority w:val="99"/>
    <w:semiHidden/>
    <w:unhideWhenUsed/>
    <w:rsid w:val="00E04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6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939443">
      <w:bodyDiv w:val="1"/>
      <w:marLeft w:val="0"/>
      <w:marRight w:val="0"/>
      <w:marTop w:val="0"/>
      <w:marBottom w:val="0"/>
      <w:divBdr>
        <w:top w:val="none" w:sz="0" w:space="0" w:color="auto"/>
        <w:left w:val="none" w:sz="0" w:space="0" w:color="auto"/>
        <w:bottom w:val="none" w:sz="0" w:space="0" w:color="auto"/>
        <w:right w:val="none" w:sz="0" w:space="0" w:color="auto"/>
      </w:divBdr>
    </w:div>
    <w:div w:id="1729574812">
      <w:bodyDiv w:val="1"/>
      <w:marLeft w:val="0"/>
      <w:marRight w:val="0"/>
      <w:marTop w:val="0"/>
      <w:marBottom w:val="0"/>
      <w:divBdr>
        <w:top w:val="none" w:sz="0" w:space="0" w:color="auto"/>
        <w:left w:val="none" w:sz="0" w:space="0" w:color="auto"/>
        <w:bottom w:val="none" w:sz="0" w:space="0" w:color="auto"/>
        <w:right w:val="none" w:sz="0" w:space="0" w:color="auto"/>
      </w:divBdr>
    </w:div>
    <w:div w:id="187708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3711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Zeng</dc:creator>
  <cp:keywords/>
  <dc:description/>
  <cp:lastModifiedBy>BEATON, Paula</cp:lastModifiedBy>
  <cp:revision>2</cp:revision>
  <cp:lastPrinted>2016-01-19T20:32:00Z</cp:lastPrinted>
  <dcterms:created xsi:type="dcterms:W3CDTF">2016-02-17T02:45:00Z</dcterms:created>
  <dcterms:modified xsi:type="dcterms:W3CDTF">2016-02-17T02:45:00Z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A461196</vt:lpwstr>
  </property>
  <property fmtid="{D5CDD505-2E9C-101B-9397-08002B2CF9AE}" pid="4" name="Objective-Title">
    <vt:lpwstr>draft ES- dogs and horses</vt:lpwstr>
  </property>
  <property fmtid="{D5CDD505-2E9C-101B-9397-08002B2CF9AE}" pid="5" name="Objective-Comment">
    <vt:lpwstr/>
  </property>
  <property fmtid="{D5CDD505-2E9C-101B-9397-08002B2CF9AE}" pid="6" name="Objective-CreationStamp">
    <vt:filetime>2016-01-26T22:48:30Z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2016-02-15T01:56:51Z</vt:filetime>
  </property>
  <property fmtid="{D5CDD505-2E9C-101B-9397-08002B2CF9AE}" pid="11" name="Objective-Owner">
    <vt:lpwstr>Paula Beaton</vt:lpwstr>
  </property>
  <property fmtid="{D5CDD505-2E9C-101B-9397-08002B2CF9AE}" pid="12" name="Objective-Path">
    <vt:lpwstr>APVMA:LEGAL SERVICES:Legal Services - Legislative Instruments:Legal Services - Legislative Instruments - Agricultural and Veterinary Chemicals Code (Listed Chemical Product - Joint Health Products for Dogs and Horses) Standard 2014:Legal Services - Legisl</vt:lpwstr>
  </property>
  <property fmtid="{D5CDD505-2E9C-101B-9397-08002B2CF9AE}" pid="13" name="Objective-Parent">
    <vt:lpwstr>Legal Services - Legislative Instruments - Lex 4370 Agricultural Veterinary Chemicals Code (Listed Chemical Product - Joint Health Products for Dogs and Horses) Standard Amendment Instrument (No. 1) 2015</vt:lpwstr>
  </property>
  <property fmtid="{D5CDD505-2E9C-101B-9397-08002B2CF9AE}" pid="14" name="Objective-State">
    <vt:lpwstr>Being Drafted</vt:lpwstr>
  </property>
  <property fmtid="{D5CDD505-2E9C-101B-9397-08002B2CF9AE}" pid="15" name="Objective-Version">
    <vt:lpwstr>1.1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ies>
</file>