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C45217" w14:textId="77777777" w:rsidR="00AC02C2" w:rsidRDefault="00AC02C2">
      <w:pPr>
        <w:pStyle w:val="Title"/>
      </w:pPr>
    </w:p>
    <w:p w14:paraId="4FC45218" w14:textId="77777777" w:rsidR="00AC02C2" w:rsidRDefault="00AC02C2">
      <w:pPr>
        <w:pStyle w:val="Title"/>
      </w:pPr>
    </w:p>
    <w:p w14:paraId="4FC45219" w14:textId="677CE483" w:rsidR="005B0E3A" w:rsidRPr="00930BE4" w:rsidRDefault="005B0E3A" w:rsidP="005B0E3A">
      <w:pPr>
        <w:spacing w:before="63" w:line="479" w:lineRule="auto"/>
        <w:jc w:val="center"/>
        <w:rPr>
          <w:b/>
          <w:sz w:val="28"/>
          <w:szCs w:val="28"/>
        </w:rPr>
      </w:pPr>
      <w:r>
        <w:rPr>
          <w:b/>
          <w:color w:val="000000"/>
          <w:sz w:val="28"/>
        </w:rPr>
        <w:t>EXPLANATORY</w:t>
      </w:r>
      <w:r>
        <w:rPr>
          <w:b/>
          <w:color w:val="000000"/>
          <w:spacing w:val="-39"/>
          <w:sz w:val="28"/>
        </w:rPr>
        <w:t xml:space="preserve"> </w:t>
      </w:r>
      <w:r>
        <w:rPr>
          <w:b/>
          <w:color w:val="000000"/>
          <w:spacing w:val="-1"/>
          <w:sz w:val="28"/>
        </w:rPr>
        <w:t xml:space="preserve">STATEMENT for </w:t>
      </w:r>
      <w:r>
        <w:rPr>
          <w:b/>
          <w:color w:val="000000"/>
          <w:spacing w:val="-1"/>
          <w:sz w:val="28"/>
        </w:rPr>
        <w:br/>
      </w:r>
      <w:r w:rsidR="00C843E0" w:rsidRPr="00930BE4">
        <w:rPr>
          <w:b/>
          <w:sz w:val="28"/>
          <w:szCs w:val="28"/>
        </w:rPr>
        <w:t xml:space="preserve">ASIC </w:t>
      </w:r>
      <w:r w:rsidR="0030092C" w:rsidRPr="00930BE4">
        <w:rPr>
          <w:b/>
          <w:sz w:val="28"/>
          <w:szCs w:val="28"/>
        </w:rPr>
        <w:t>Corporations (Superannuation</w:t>
      </w:r>
      <w:r w:rsidR="00FF4224">
        <w:rPr>
          <w:b/>
          <w:sz w:val="28"/>
          <w:szCs w:val="28"/>
        </w:rPr>
        <w:t xml:space="preserve"> -</w:t>
      </w:r>
      <w:r w:rsidR="0030092C" w:rsidRPr="00930BE4">
        <w:rPr>
          <w:b/>
          <w:sz w:val="28"/>
          <w:szCs w:val="28"/>
        </w:rPr>
        <w:t xml:space="preserve"> Investment Strategies) Instrument</w:t>
      </w:r>
      <w:r w:rsidR="0030092C" w:rsidRPr="00930BE4">
        <w:rPr>
          <w:sz w:val="28"/>
          <w:szCs w:val="28"/>
        </w:rPr>
        <w:t xml:space="preserve"> </w:t>
      </w:r>
      <w:r w:rsidR="0030092C" w:rsidRPr="00930BE4">
        <w:rPr>
          <w:b/>
          <w:sz w:val="28"/>
          <w:szCs w:val="28"/>
        </w:rPr>
        <w:t>2016/</w:t>
      </w:r>
      <w:r w:rsidR="00FF4224" w:rsidRPr="00FF4224">
        <w:rPr>
          <w:b/>
          <w:sz w:val="28"/>
          <w:szCs w:val="28"/>
        </w:rPr>
        <w:t>65</w:t>
      </w:r>
    </w:p>
    <w:p w14:paraId="4FC4521A" w14:textId="77777777" w:rsidR="005B0E3A" w:rsidRPr="008E607A" w:rsidRDefault="005B0E3A" w:rsidP="00EE522C">
      <w:pPr>
        <w:pStyle w:val="BodyText"/>
        <w:spacing w:before="0" w:line="240" w:lineRule="auto"/>
        <w:jc w:val="center"/>
        <w:rPr>
          <w:b/>
        </w:rPr>
      </w:pPr>
      <w:r w:rsidRPr="008E607A">
        <w:rPr>
          <w:b/>
        </w:rPr>
        <w:t>Prepared by the Australian Securities and Investments Commission</w:t>
      </w:r>
    </w:p>
    <w:p w14:paraId="4FC4521B" w14:textId="77777777" w:rsidR="005B0E3A" w:rsidRPr="008E607A" w:rsidRDefault="005B0E3A" w:rsidP="00EE522C">
      <w:pPr>
        <w:spacing w:after="0"/>
        <w:jc w:val="center"/>
        <w:rPr>
          <w:b/>
        </w:rPr>
      </w:pPr>
    </w:p>
    <w:p w14:paraId="4FC4521C" w14:textId="77777777" w:rsidR="005B0E3A" w:rsidRPr="008E607A" w:rsidRDefault="005B0E3A" w:rsidP="00EE522C">
      <w:pPr>
        <w:spacing w:after="0"/>
        <w:jc w:val="center"/>
        <w:rPr>
          <w:b/>
          <w:sz w:val="24"/>
          <w:szCs w:val="24"/>
        </w:rPr>
      </w:pPr>
      <w:r w:rsidRPr="008E607A">
        <w:rPr>
          <w:b/>
          <w:i/>
          <w:sz w:val="24"/>
        </w:rPr>
        <w:t>Corporations Act 2001</w:t>
      </w:r>
    </w:p>
    <w:p w14:paraId="4FC4521D" w14:textId="77777777" w:rsidR="005B0E3A" w:rsidRDefault="005B0E3A" w:rsidP="00EE522C">
      <w:pPr>
        <w:spacing w:after="0"/>
      </w:pPr>
    </w:p>
    <w:p w14:paraId="4FC4521E" w14:textId="18F98EC3" w:rsidR="00A655F6" w:rsidRDefault="005B0E3A" w:rsidP="00EE522C">
      <w:pPr>
        <w:pStyle w:val="BodyText"/>
        <w:spacing w:before="0" w:line="240" w:lineRule="auto"/>
        <w:jc w:val="both"/>
      </w:pPr>
      <w:r w:rsidRPr="00A655F6">
        <w:t xml:space="preserve">The Australian Securities and </w:t>
      </w:r>
      <w:r w:rsidRPr="00A655F6">
        <w:rPr>
          <w:spacing w:val="-1"/>
        </w:rPr>
        <w:t>Investments</w:t>
      </w:r>
      <w:r w:rsidRPr="00A655F6">
        <w:t xml:space="preserve"> </w:t>
      </w:r>
      <w:r w:rsidRPr="00A655F6">
        <w:rPr>
          <w:spacing w:val="-1"/>
        </w:rPr>
        <w:t>Commission</w:t>
      </w:r>
      <w:r w:rsidRPr="00A655F6">
        <w:t xml:space="preserve"> (</w:t>
      </w:r>
      <w:r w:rsidRPr="00930BE4">
        <w:rPr>
          <w:b/>
        </w:rPr>
        <w:t>ASIC</w:t>
      </w:r>
      <w:r w:rsidRPr="00A655F6">
        <w:t xml:space="preserve">) </w:t>
      </w:r>
      <w:r w:rsidR="00A655F6" w:rsidRPr="00A655F6">
        <w:t xml:space="preserve">makes </w:t>
      </w:r>
      <w:r w:rsidR="0030092C">
        <w:t xml:space="preserve">ASIC </w:t>
      </w:r>
      <w:r w:rsidR="0030092C" w:rsidRPr="00CF543D">
        <w:t>Corporations (Superannuation</w:t>
      </w:r>
      <w:r w:rsidR="00FF4224">
        <w:t xml:space="preserve"> -</w:t>
      </w:r>
      <w:r w:rsidR="0030092C" w:rsidRPr="00CF543D">
        <w:t xml:space="preserve"> Investment Strategies) Instrument 2016/</w:t>
      </w:r>
      <w:r w:rsidR="00FF4224" w:rsidRPr="00FF4224">
        <w:t>65</w:t>
      </w:r>
      <w:r w:rsidRPr="00A655F6">
        <w:rPr>
          <w:spacing w:val="-1"/>
        </w:rPr>
        <w:t xml:space="preserve"> </w:t>
      </w:r>
      <w:r w:rsidR="00EE522C">
        <w:rPr>
          <w:spacing w:val="-1"/>
        </w:rPr>
        <w:t xml:space="preserve">(the </w:t>
      </w:r>
      <w:r w:rsidR="001D086E" w:rsidRPr="0042083B">
        <w:rPr>
          <w:b/>
          <w:spacing w:val="-1"/>
        </w:rPr>
        <w:t>Instrument</w:t>
      </w:r>
      <w:r w:rsidR="00EE522C">
        <w:rPr>
          <w:spacing w:val="-1"/>
        </w:rPr>
        <w:t xml:space="preserve">) </w:t>
      </w:r>
      <w:r w:rsidRPr="00A655F6">
        <w:rPr>
          <w:spacing w:val="-1"/>
        </w:rPr>
        <w:t>under</w:t>
      </w:r>
      <w:r w:rsidR="00A655F6" w:rsidRPr="00A655F6">
        <w:t xml:space="preserve"> section 1020F of the </w:t>
      </w:r>
      <w:r w:rsidR="00A655F6" w:rsidRPr="00A655F6">
        <w:rPr>
          <w:i/>
        </w:rPr>
        <w:t>Corporations Act</w:t>
      </w:r>
      <w:r w:rsidR="00A655F6">
        <w:rPr>
          <w:i/>
        </w:rPr>
        <w:t xml:space="preserve"> 2001</w:t>
      </w:r>
      <w:r w:rsidR="00A655F6" w:rsidRPr="00A655F6">
        <w:rPr>
          <w:i/>
        </w:rPr>
        <w:t xml:space="preserve"> </w:t>
      </w:r>
      <w:r w:rsidR="00A655F6" w:rsidRPr="0042083B">
        <w:t>(the</w:t>
      </w:r>
      <w:r w:rsidR="00A655F6" w:rsidRPr="00A655F6">
        <w:rPr>
          <w:i/>
        </w:rPr>
        <w:t xml:space="preserve"> </w:t>
      </w:r>
      <w:r w:rsidR="00A655F6" w:rsidRPr="0042083B">
        <w:rPr>
          <w:b/>
        </w:rPr>
        <w:t>Act</w:t>
      </w:r>
      <w:r w:rsidR="00A655F6" w:rsidRPr="00A655F6">
        <w:rPr>
          <w:i/>
        </w:rPr>
        <w:t>)</w:t>
      </w:r>
      <w:r w:rsidRPr="00A655F6">
        <w:rPr>
          <w:spacing w:val="-1"/>
        </w:rPr>
        <w:t xml:space="preserve">. </w:t>
      </w:r>
      <w:r w:rsidRPr="00A655F6">
        <w:t xml:space="preserve">Section </w:t>
      </w:r>
      <w:r w:rsidR="00A655F6">
        <w:rPr>
          <w:spacing w:val="-1"/>
        </w:rPr>
        <w:t>1020F</w:t>
      </w:r>
      <w:r w:rsidRPr="00A655F6">
        <w:rPr>
          <w:spacing w:val="-1"/>
        </w:rPr>
        <w:t xml:space="preserve"> </w:t>
      </w:r>
      <w:r w:rsidR="00A655F6">
        <w:t>of the Act includes paragraph 1020F(1)(c), which provides that ASIC may declare that Part 7.9 of the Act applies in relation to a person or a financial product</w:t>
      </w:r>
      <w:r w:rsidR="00E8691E">
        <w:t>, or a class of persons or financial products, as if specified provisions were omitted, modified or varied as specified in the declaration.</w:t>
      </w:r>
    </w:p>
    <w:p w14:paraId="4FC4521F" w14:textId="77777777" w:rsidR="00EE522C" w:rsidRDefault="00EE522C" w:rsidP="00EE522C">
      <w:pPr>
        <w:pStyle w:val="BodyText"/>
        <w:spacing w:before="0" w:line="240" w:lineRule="auto"/>
        <w:jc w:val="both"/>
      </w:pPr>
    </w:p>
    <w:p w14:paraId="4FC45220" w14:textId="4D568083" w:rsidR="00EE522C" w:rsidRDefault="00EE522C" w:rsidP="00EE522C">
      <w:pPr>
        <w:pStyle w:val="BodyText"/>
        <w:spacing w:before="0" w:line="240" w:lineRule="auto"/>
        <w:jc w:val="both"/>
      </w:pPr>
      <w:r>
        <w:t xml:space="preserve">This </w:t>
      </w:r>
      <w:r w:rsidR="001D086E">
        <w:t>Instrument</w:t>
      </w:r>
      <w:r>
        <w:t xml:space="preserve"> remakes ASIC Class Order [CO 06/636]: </w:t>
      </w:r>
      <w:r>
        <w:rPr>
          <w:i/>
        </w:rPr>
        <w:t>Superannuation: Delivery of product disclosure for investment strategies</w:t>
      </w:r>
      <w:r>
        <w:t xml:space="preserve"> (“</w:t>
      </w:r>
      <w:r>
        <w:rPr>
          <w:b/>
        </w:rPr>
        <w:t>[CO 06/636]</w:t>
      </w:r>
      <w:r>
        <w:t xml:space="preserve">”), which will cease to have effect, or to sunset, on 1 October 2016 under the </w:t>
      </w:r>
      <w:r>
        <w:rPr>
          <w:i/>
        </w:rPr>
        <w:t>Legislative Instruments Act 2003</w:t>
      </w:r>
      <w:r>
        <w:t xml:space="preserve">. ASIC will </w:t>
      </w:r>
      <w:r w:rsidR="00CB4CEE">
        <w:t xml:space="preserve">has issued </w:t>
      </w:r>
      <w:r w:rsidR="00871E7B">
        <w:t>ASIC Corporations (Amendment and Repeal) Instrument 2016/</w:t>
      </w:r>
      <w:r w:rsidR="00FF4224" w:rsidRPr="00FF4224">
        <w:t>66</w:t>
      </w:r>
      <w:r w:rsidR="00CB4CEE">
        <w:t>, which repeals [CO 06/636] prior to the sunset date of</w:t>
      </w:r>
      <w:r>
        <w:t xml:space="preserve"> 1 October 2016.</w:t>
      </w:r>
    </w:p>
    <w:p w14:paraId="4FC45223" w14:textId="77777777" w:rsidR="00E8691E" w:rsidRDefault="00E8691E" w:rsidP="00EE522C">
      <w:pPr>
        <w:pStyle w:val="BodyText"/>
        <w:spacing w:before="0" w:line="240" w:lineRule="auto"/>
        <w:jc w:val="both"/>
      </w:pPr>
    </w:p>
    <w:p w14:paraId="4FC45224" w14:textId="77777777" w:rsidR="00E8691E" w:rsidRPr="00A655F6" w:rsidRDefault="00E8691E" w:rsidP="00EE522C">
      <w:pPr>
        <w:pStyle w:val="BodyText"/>
        <w:spacing w:before="0" w:line="240" w:lineRule="auto"/>
        <w:jc w:val="both"/>
      </w:pPr>
    </w:p>
    <w:p w14:paraId="4FC45225" w14:textId="77777777" w:rsidR="005B0E3A" w:rsidRPr="00182460" w:rsidRDefault="005B0E3A" w:rsidP="00182460">
      <w:pPr>
        <w:spacing w:after="0"/>
        <w:jc w:val="both"/>
        <w:rPr>
          <w:rFonts w:ascii="Arial" w:eastAsia="Arial" w:hAnsi="Arial" w:cs="Arial"/>
          <w:sz w:val="24"/>
          <w:szCs w:val="24"/>
        </w:rPr>
      </w:pPr>
      <w:bookmarkStart w:id="0" w:name="1._Background"/>
      <w:bookmarkEnd w:id="0"/>
      <w:r>
        <w:rPr>
          <w:rFonts w:ascii="Arial"/>
          <w:b/>
          <w:spacing w:val="-1"/>
          <w:sz w:val="24"/>
        </w:rPr>
        <w:t>Background</w:t>
      </w:r>
    </w:p>
    <w:p w14:paraId="4FC45226" w14:textId="77777777" w:rsidR="00CF543D" w:rsidRDefault="00CF543D" w:rsidP="00F57D26">
      <w:pPr>
        <w:spacing w:after="0"/>
        <w:jc w:val="both"/>
        <w:rPr>
          <w:sz w:val="24"/>
          <w:szCs w:val="24"/>
        </w:rPr>
      </w:pPr>
    </w:p>
    <w:p w14:paraId="4FC45227" w14:textId="77777777" w:rsidR="00F57D26" w:rsidRDefault="00EB61CC" w:rsidP="00F57D26">
      <w:pPr>
        <w:spacing w:after="0"/>
        <w:jc w:val="both"/>
        <w:rPr>
          <w:sz w:val="24"/>
          <w:szCs w:val="24"/>
        </w:rPr>
      </w:pPr>
      <w:r>
        <w:rPr>
          <w:sz w:val="24"/>
          <w:szCs w:val="24"/>
        </w:rPr>
        <w:t xml:space="preserve">In [CO 06/636], ASIC provided relief by modifying some of the requirements for </w:t>
      </w:r>
      <w:r w:rsidR="00E243BB">
        <w:rPr>
          <w:sz w:val="24"/>
          <w:szCs w:val="24"/>
        </w:rPr>
        <w:t>a Product Disclosure Statement (</w:t>
      </w:r>
      <w:r w:rsidR="00E243BB">
        <w:rPr>
          <w:b/>
          <w:i/>
          <w:sz w:val="24"/>
          <w:szCs w:val="24"/>
        </w:rPr>
        <w:t>PDS</w:t>
      </w:r>
      <w:r w:rsidR="00E243BB">
        <w:rPr>
          <w:sz w:val="24"/>
          <w:szCs w:val="24"/>
        </w:rPr>
        <w:t>)</w:t>
      </w:r>
      <w:r>
        <w:rPr>
          <w:sz w:val="24"/>
          <w:szCs w:val="24"/>
        </w:rPr>
        <w:t xml:space="preserve"> in Part 7.9 of the Act. This relief applies </w:t>
      </w:r>
      <w:r w:rsidRPr="00EB61CC">
        <w:rPr>
          <w:sz w:val="24"/>
          <w:szCs w:val="24"/>
        </w:rPr>
        <w:t>to superannuation trustees who offer a choice of investment strategies to members where, if the member instructs the trustee to follow a particular strategy, the trustee will acquire accessible financial products on behalf of the member.</w:t>
      </w:r>
      <w:r w:rsidR="00F57D26">
        <w:rPr>
          <w:sz w:val="24"/>
          <w:szCs w:val="24"/>
        </w:rPr>
        <w:t xml:space="preserve"> In this situation, section 1012IA of the Act will apply. </w:t>
      </w:r>
    </w:p>
    <w:p w14:paraId="4FC45228" w14:textId="77777777" w:rsidR="00F57D26" w:rsidRDefault="00F57D26" w:rsidP="00F57D26">
      <w:pPr>
        <w:spacing w:after="0"/>
        <w:jc w:val="both"/>
        <w:rPr>
          <w:sz w:val="24"/>
          <w:szCs w:val="24"/>
        </w:rPr>
      </w:pPr>
    </w:p>
    <w:p w14:paraId="4FC45229" w14:textId="77777777" w:rsidR="00F57D26" w:rsidRPr="00EB61CC" w:rsidRDefault="00F57D26" w:rsidP="00F57D26">
      <w:pPr>
        <w:spacing w:after="0"/>
        <w:jc w:val="both"/>
        <w:rPr>
          <w:sz w:val="24"/>
          <w:szCs w:val="24"/>
        </w:rPr>
      </w:pPr>
      <w:r w:rsidRPr="00EB61CC">
        <w:rPr>
          <w:sz w:val="24"/>
          <w:szCs w:val="24"/>
        </w:rPr>
        <w:t>Section 1012IA applies to custodial arrangements that allow a retail client to instruct the provider to acquire particular financial products (</w:t>
      </w:r>
      <w:r w:rsidRPr="00EB61CC">
        <w:rPr>
          <w:b/>
          <w:bCs/>
          <w:i/>
          <w:iCs/>
          <w:sz w:val="24"/>
          <w:szCs w:val="24"/>
        </w:rPr>
        <w:t>accessible financial products</w:t>
      </w:r>
      <w:r w:rsidRPr="00EB61CC">
        <w:rPr>
          <w:sz w:val="24"/>
          <w:szCs w:val="24"/>
        </w:rPr>
        <w:t>) that either:</w:t>
      </w:r>
    </w:p>
    <w:p w14:paraId="4FC4522A" w14:textId="77777777" w:rsidR="00F57D26" w:rsidRDefault="00F57D26" w:rsidP="00F57D26">
      <w:pPr>
        <w:spacing w:after="0"/>
        <w:jc w:val="both"/>
        <w:rPr>
          <w:sz w:val="24"/>
          <w:szCs w:val="24"/>
        </w:rPr>
      </w:pPr>
    </w:p>
    <w:p w14:paraId="4FC4522B" w14:textId="77777777" w:rsidR="00F57D26" w:rsidRPr="00EB61CC" w:rsidRDefault="00F57D26" w:rsidP="00F57D26">
      <w:pPr>
        <w:spacing w:after="0"/>
        <w:jc w:val="both"/>
        <w:rPr>
          <w:sz w:val="24"/>
          <w:szCs w:val="24"/>
        </w:rPr>
      </w:pPr>
      <w:r w:rsidRPr="00EB61CC">
        <w:rPr>
          <w:sz w:val="24"/>
          <w:szCs w:val="24"/>
        </w:rPr>
        <w:t>(a)</w:t>
      </w:r>
      <w:r>
        <w:rPr>
          <w:sz w:val="24"/>
          <w:szCs w:val="24"/>
        </w:rPr>
        <w:tab/>
      </w:r>
      <w:r w:rsidRPr="00EB61CC">
        <w:rPr>
          <w:sz w:val="24"/>
          <w:szCs w:val="24"/>
        </w:rPr>
        <w:t xml:space="preserve">are held on trust for the client (or its nominated beneficiary); or </w:t>
      </w:r>
    </w:p>
    <w:p w14:paraId="4FC4522C" w14:textId="77777777" w:rsidR="00F57D26" w:rsidRDefault="00F57D26" w:rsidP="00F57D26">
      <w:pPr>
        <w:spacing w:after="0"/>
        <w:jc w:val="both"/>
        <w:rPr>
          <w:sz w:val="24"/>
          <w:szCs w:val="24"/>
        </w:rPr>
      </w:pPr>
    </w:p>
    <w:p w14:paraId="4FC4522D" w14:textId="77777777" w:rsidR="00F57D26" w:rsidRDefault="00F57D26" w:rsidP="00F57D26">
      <w:pPr>
        <w:spacing w:after="0"/>
        <w:ind w:left="720" w:hanging="720"/>
        <w:jc w:val="both"/>
        <w:rPr>
          <w:sz w:val="24"/>
          <w:szCs w:val="24"/>
        </w:rPr>
      </w:pPr>
      <w:r w:rsidRPr="00EB61CC">
        <w:rPr>
          <w:sz w:val="24"/>
          <w:szCs w:val="24"/>
        </w:rPr>
        <w:t>(b)</w:t>
      </w:r>
      <w:r>
        <w:rPr>
          <w:sz w:val="24"/>
          <w:szCs w:val="24"/>
        </w:rPr>
        <w:tab/>
      </w:r>
      <w:r w:rsidRPr="00EB61CC">
        <w:rPr>
          <w:sz w:val="24"/>
          <w:szCs w:val="24"/>
        </w:rPr>
        <w:t>otherwise</w:t>
      </w:r>
      <w:r>
        <w:rPr>
          <w:sz w:val="24"/>
          <w:szCs w:val="24"/>
        </w:rPr>
        <w:t>,</w:t>
      </w:r>
      <w:r w:rsidRPr="00EB61CC">
        <w:rPr>
          <w:sz w:val="24"/>
          <w:szCs w:val="24"/>
        </w:rPr>
        <w:t xml:space="preserve"> provide a reference for the calculation of benefits for the client (or its nominated beneficiary). </w:t>
      </w:r>
    </w:p>
    <w:p w14:paraId="4FC4522E" w14:textId="77777777" w:rsidR="00F57D26" w:rsidRPr="00EB61CC" w:rsidRDefault="00F57D26" w:rsidP="00F57D26">
      <w:pPr>
        <w:spacing w:after="0"/>
        <w:ind w:left="720" w:hanging="720"/>
        <w:jc w:val="both"/>
        <w:rPr>
          <w:sz w:val="24"/>
          <w:szCs w:val="24"/>
        </w:rPr>
      </w:pPr>
    </w:p>
    <w:p w14:paraId="4FC4522F" w14:textId="77777777" w:rsidR="00CF543D" w:rsidRDefault="00F57D26" w:rsidP="00F57D26">
      <w:pPr>
        <w:spacing w:after="0"/>
        <w:jc w:val="both"/>
        <w:rPr>
          <w:sz w:val="24"/>
          <w:szCs w:val="24"/>
        </w:rPr>
      </w:pPr>
      <w:r w:rsidRPr="00EB61CC">
        <w:rPr>
          <w:sz w:val="24"/>
          <w:szCs w:val="24"/>
        </w:rPr>
        <w:t xml:space="preserve">An example of this type of arrangement is an investor-directed portfolio service (IDPS). </w:t>
      </w:r>
    </w:p>
    <w:p w14:paraId="4FC45230" w14:textId="77777777" w:rsidR="00F57D26" w:rsidRDefault="00F57D26" w:rsidP="00F57D26">
      <w:pPr>
        <w:spacing w:after="0"/>
        <w:jc w:val="both"/>
        <w:rPr>
          <w:sz w:val="24"/>
          <w:szCs w:val="24"/>
        </w:rPr>
      </w:pPr>
      <w:r>
        <w:rPr>
          <w:sz w:val="24"/>
          <w:szCs w:val="24"/>
        </w:rPr>
        <w:t>The relief under [CO 06/636]</w:t>
      </w:r>
      <w:r w:rsidR="00D95E4B">
        <w:rPr>
          <w:sz w:val="24"/>
          <w:szCs w:val="24"/>
        </w:rPr>
        <w:t>, which incorporates significant changes made to the original form of [CO 06/636] by ASIC Class Order [CO 07/386],</w:t>
      </w:r>
      <w:r>
        <w:rPr>
          <w:sz w:val="24"/>
          <w:szCs w:val="24"/>
        </w:rPr>
        <w:t xml:space="preserve"> addressed some difficulties that flowed from </w:t>
      </w:r>
      <w:r w:rsidR="00B42653">
        <w:rPr>
          <w:sz w:val="24"/>
          <w:szCs w:val="24"/>
        </w:rPr>
        <w:t>the operation of section 1012IA. Th</w:t>
      </w:r>
      <w:bookmarkStart w:id="1" w:name="_GoBack"/>
      <w:bookmarkEnd w:id="1"/>
      <w:r w:rsidR="00B42653">
        <w:rPr>
          <w:sz w:val="24"/>
          <w:szCs w:val="24"/>
        </w:rPr>
        <w:t>e key difficulties were:</w:t>
      </w:r>
    </w:p>
    <w:p w14:paraId="4FC45231" w14:textId="77777777" w:rsidR="00B42653" w:rsidRDefault="00B42653" w:rsidP="00F57D26">
      <w:pPr>
        <w:spacing w:after="0"/>
        <w:jc w:val="both"/>
        <w:rPr>
          <w:sz w:val="24"/>
          <w:szCs w:val="24"/>
        </w:rPr>
      </w:pPr>
    </w:p>
    <w:p w14:paraId="4FC45232" w14:textId="77777777" w:rsidR="00B42653" w:rsidRDefault="00B42653" w:rsidP="00B42653">
      <w:pPr>
        <w:spacing w:after="0"/>
        <w:ind w:left="720" w:hanging="720"/>
        <w:jc w:val="both"/>
        <w:rPr>
          <w:iCs/>
          <w:sz w:val="24"/>
          <w:szCs w:val="24"/>
        </w:rPr>
      </w:pPr>
      <w:r>
        <w:rPr>
          <w:sz w:val="24"/>
          <w:szCs w:val="24"/>
        </w:rPr>
        <w:t>(a)</w:t>
      </w:r>
      <w:r>
        <w:rPr>
          <w:sz w:val="24"/>
          <w:szCs w:val="24"/>
        </w:rPr>
        <w:tab/>
      </w:r>
      <w:r w:rsidRPr="00EB61CC">
        <w:rPr>
          <w:sz w:val="24"/>
          <w:szCs w:val="24"/>
        </w:rPr>
        <w:t>the duplication of disclosure obligations. Under the Act, a superannuation trustee needs to provide information about the accessible financial product to members twice — in the superannuation entity's PDS, which is prepared by the trustee, and in an accessible product PDS, which is prepared by the issuer of the financial produc</w:t>
      </w:r>
      <w:r w:rsidRPr="00B42653">
        <w:rPr>
          <w:sz w:val="24"/>
          <w:szCs w:val="24"/>
        </w:rPr>
        <w:t>t</w:t>
      </w:r>
      <w:r w:rsidRPr="00B42653">
        <w:rPr>
          <w:iCs/>
          <w:sz w:val="24"/>
          <w:szCs w:val="24"/>
        </w:rPr>
        <w:t>;</w:t>
      </w:r>
    </w:p>
    <w:p w14:paraId="4FC45233" w14:textId="77777777" w:rsidR="00B42653" w:rsidRPr="00B42653" w:rsidRDefault="00B42653" w:rsidP="00B42653">
      <w:pPr>
        <w:spacing w:after="0"/>
        <w:ind w:left="720" w:hanging="720"/>
        <w:jc w:val="both"/>
        <w:rPr>
          <w:sz w:val="24"/>
          <w:szCs w:val="24"/>
        </w:rPr>
      </w:pPr>
    </w:p>
    <w:p w14:paraId="4FC45234" w14:textId="77777777" w:rsidR="00B42653" w:rsidRDefault="00B42653" w:rsidP="00B42653">
      <w:pPr>
        <w:spacing w:after="0"/>
        <w:ind w:left="720" w:hanging="720"/>
        <w:jc w:val="both"/>
        <w:rPr>
          <w:sz w:val="24"/>
          <w:szCs w:val="24"/>
        </w:rPr>
      </w:pPr>
      <w:r w:rsidRPr="00EB61CC">
        <w:rPr>
          <w:sz w:val="24"/>
          <w:szCs w:val="24"/>
        </w:rPr>
        <w:t xml:space="preserve">(b) </w:t>
      </w:r>
      <w:r>
        <w:rPr>
          <w:sz w:val="24"/>
          <w:szCs w:val="24"/>
        </w:rPr>
        <w:tab/>
      </w:r>
      <w:r w:rsidRPr="00EB61CC">
        <w:rPr>
          <w:sz w:val="24"/>
          <w:szCs w:val="24"/>
        </w:rPr>
        <w:t>the law does not allow the superannuation trustee to prepare the accessible product PDS (it must be prepared by the product issuer). Many superannuation trustees indicated a strong preference to prepare the information that must be provided to members about the accessible financial products; and</w:t>
      </w:r>
    </w:p>
    <w:p w14:paraId="4FC45235" w14:textId="77777777" w:rsidR="00B42653" w:rsidRPr="00EB61CC" w:rsidRDefault="00B42653" w:rsidP="00B42653">
      <w:pPr>
        <w:spacing w:after="0"/>
        <w:ind w:left="720" w:hanging="720"/>
        <w:jc w:val="both"/>
        <w:rPr>
          <w:sz w:val="24"/>
          <w:szCs w:val="24"/>
        </w:rPr>
      </w:pPr>
    </w:p>
    <w:p w14:paraId="4FC45236" w14:textId="374E4A61" w:rsidR="00B42653" w:rsidRPr="00EB61CC" w:rsidRDefault="00B42653" w:rsidP="00B42653">
      <w:pPr>
        <w:spacing w:after="0"/>
        <w:ind w:left="720" w:hanging="720"/>
        <w:jc w:val="both"/>
        <w:rPr>
          <w:sz w:val="24"/>
          <w:szCs w:val="24"/>
        </w:rPr>
      </w:pPr>
      <w:r>
        <w:rPr>
          <w:sz w:val="24"/>
          <w:szCs w:val="24"/>
        </w:rPr>
        <w:t>(c)</w:t>
      </w:r>
      <w:r>
        <w:rPr>
          <w:sz w:val="24"/>
          <w:szCs w:val="24"/>
        </w:rPr>
        <w:tab/>
      </w:r>
      <w:r w:rsidR="00542DB1">
        <w:rPr>
          <w:sz w:val="24"/>
          <w:szCs w:val="24"/>
        </w:rPr>
        <w:t xml:space="preserve">the </w:t>
      </w:r>
      <w:r w:rsidRPr="00EB61CC">
        <w:rPr>
          <w:sz w:val="24"/>
          <w:szCs w:val="24"/>
        </w:rPr>
        <w:t>superannuation trustee must give a member a PDS each time an accessible financial product is acquired by the trustee on behalf of the member. Each additional investment of money by the member will be an additional acquisition, with the result that the member will generally be repeatedly given the same accessible product PDS.</w:t>
      </w:r>
    </w:p>
    <w:p w14:paraId="4FC45237" w14:textId="77777777" w:rsidR="00B42653" w:rsidRDefault="00B42653" w:rsidP="00F57D26">
      <w:pPr>
        <w:spacing w:after="0"/>
        <w:jc w:val="both"/>
        <w:rPr>
          <w:sz w:val="24"/>
          <w:szCs w:val="24"/>
        </w:rPr>
      </w:pPr>
    </w:p>
    <w:p w14:paraId="4FC45238" w14:textId="77777777" w:rsidR="0060107E" w:rsidRPr="00930BE4" w:rsidRDefault="0060107E" w:rsidP="00F57D26">
      <w:pPr>
        <w:spacing w:after="0"/>
        <w:jc w:val="both"/>
        <w:rPr>
          <w:b/>
          <w:sz w:val="24"/>
          <w:szCs w:val="24"/>
        </w:rPr>
      </w:pPr>
      <w:r>
        <w:rPr>
          <w:b/>
          <w:sz w:val="24"/>
          <w:szCs w:val="24"/>
        </w:rPr>
        <w:t>Different options for giving PDSs</w:t>
      </w:r>
    </w:p>
    <w:p w14:paraId="4FC45239" w14:textId="77777777" w:rsidR="0060107E" w:rsidRDefault="0060107E" w:rsidP="00F57D26">
      <w:pPr>
        <w:spacing w:after="0"/>
        <w:jc w:val="both"/>
        <w:rPr>
          <w:sz w:val="24"/>
          <w:szCs w:val="24"/>
        </w:rPr>
      </w:pPr>
    </w:p>
    <w:p w14:paraId="18CFB635" w14:textId="28C4DB2A" w:rsidR="007E3628" w:rsidRDefault="00E243BB" w:rsidP="00F57D26">
      <w:pPr>
        <w:spacing w:after="0"/>
        <w:jc w:val="both"/>
        <w:rPr>
          <w:sz w:val="24"/>
          <w:szCs w:val="24"/>
        </w:rPr>
      </w:pPr>
      <w:r>
        <w:rPr>
          <w:sz w:val="24"/>
          <w:szCs w:val="24"/>
        </w:rPr>
        <w:t xml:space="preserve">In broad terms, [CO 06/636] modifies the PDS requirements in sections 1012IA, 1013D, 1013E and 1013F of the Act by providing two options for giving disclosure about accessible financial products. </w:t>
      </w:r>
      <w:r w:rsidR="0060107E">
        <w:rPr>
          <w:sz w:val="24"/>
          <w:szCs w:val="24"/>
        </w:rPr>
        <w:t>The first option</w:t>
      </w:r>
      <w:r>
        <w:rPr>
          <w:sz w:val="24"/>
          <w:szCs w:val="24"/>
        </w:rPr>
        <w:t xml:space="preserve"> allows the trustee to give disclosure about accessible financial products by giving </w:t>
      </w:r>
      <w:r w:rsidR="000306E0">
        <w:rPr>
          <w:sz w:val="24"/>
          <w:szCs w:val="24"/>
        </w:rPr>
        <w:t xml:space="preserve">the member a PDS </w:t>
      </w:r>
      <w:r w:rsidR="001B61E6">
        <w:rPr>
          <w:sz w:val="24"/>
          <w:szCs w:val="24"/>
        </w:rPr>
        <w:t xml:space="preserve">for the superannuation product </w:t>
      </w:r>
      <w:r w:rsidR="000306E0">
        <w:rPr>
          <w:sz w:val="24"/>
          <w:szCs w:val="24"/>
        </w:rPr>
        <w:t>that provides</w:t>
      </w:r>
      <w:r w:rsidR="001B61E6">
        <w:rPr>
          <w:sz w:val="24"/>
          <w:szCs w:val="24"/>
        </w:rPr>
        <w:t xml:space="preserve"> general</w:t>
      </w:r>
      <w:r w:rsidR="000306E0">
        <w:rPr>
          <w:sz w:val="24"/>
          <w:szCs w:val="24"/>
        </w:rPr>
        <w:t xml:space="preserve"> information about th</w:t>
      </w:r>
      <w:r w:rsidR="007E3628">
        <w:rPr>
          <w:sz w:val="24"/>
          <w:szCs w:val="24"/>
        </w:rPr>
        <w:t>e accessible financial product. Under this option, the PDS for the superannuation product will state that a member has the right to obtain a separate PDS for each accessible financial product. If the PDS for the accessible financial product has been prepared by the trustee, the PDS for the superannuation product must state this fact and that the member may obtain the accessible financial product PDS from the trustee. Alternatively, if the PDS for the accessible financial product has been prepared by the issuer of that financial product, the PDS for the superannuation product must state that the PDS for the accessible financial product was prepared by the issuer of the accessible financial product and the member may obtain the PDS from this issuer.</w:t>
      </w:r>
    </w:p>
    <w:p w14:paraId="2387EE2C" w14:textId="77777777" w:rsidR="007E3628" w:rsidRDefault="007E3628" w:rsidP="00F57D26">
      <w:pPr>
        <w:spacing w:after="0"/>
        <w:jc w:val="both"/>
        <w:rPr>
          <w:sz w:val="24"/>
          <w:szCs w:val="24"/>
        </w:rPr>
      </w:pPr>
    </w:p>
    <w:p w14:paraId="4FC4523A" w14:textId="29C18C2D" w:rsidR="008343DF" w:rsidRDefault="008343DF" w:rsidP="00F57D26">
      <w:pPr>
        <w:spacing w:after="0"/>
        <w:jc w:val="both"/>
        <w:rPr>
          <w:sz w:val="24"/>
          <w:szCs w:val="24"/>
        </w:rPr>
      </w:pPr>
      <w:r w:rsidRPr="008343DF">
        <w:rPr>
          <w:sz w:val="24"/>
          <w:szCs w:val="24"/>
        </w:rPr>
        <w:t xml:space="preserve">If a trustee relies on </w:t>
      </w:r>
      <w:r w:rsidR="0060107E">
        <w:rPr>
          <w:sz w:val="24"/>
          <w:szCs w:val="24"/>
        </w:rPr>
        <w:t xml:space="preserve">this </w:t>
      </w:r>
      <w:r w:rsidR="001E4AC6">
        <w:rPr>
          <w:sz w:val="24"/>
          <w:szCs w:val="24"/>
        </w:rPr>
        <w:t xml:space="preserve">first </w:t>
      </w:r>
      <w:r w:rsidR="0060107E">
        <w:rPr>
          <w:sz w:val="24"/>
          <w:szCs w:val="24"/>
        </w:rPr>
        <w:t>option</w:t>
      </w:r>
      <w:r w:rsidRPr="008343DF">
        <w:rPr>
          <w:sz w:val="24"/>
          <w:szCs w:val="24"/>
        </w:rPr>
        <w:t>, the PDS for the superannuation pro</w:t>
      </w:r>
      <w:r w:rsidRPr="00F46C49">
        <w:rPr>
          <w:sz w:val="24"/>
          <w:szCs w:val="24"/>
        </w:rPr>
        <w:t xml:space="preserve">duct must contain the information that a member, as a retail client, would reasonably require to identify the accessible financial product, </w:t>
      </w:r>
      <w:r w:rsidRPr="00756509">
        <w:rPr>
          <w:sz w:val="24"/>
          <w:szCs w:val="24"/>
        </w:rPr>
        <w:t xml:space="preserve">to </w:t>
      </w:r>
      <w:r w:rsidRPr="001A137A">
        <w:rPr>
          <w:sz w:val="24"/>
          <w:szCs w:val="24"/>
        </w:rPr>
        <w:t xml:space="preserve">understand the investment strategy under which the accessible financial product may be acquired, and </w:t>
      </w:r>
      <w:r w:rsidRPr="00705134">
        <w:rPr>
          <w:sz w:val="24"/>
          <w:szCs w:val="24"/>
        </w:rPr>
        <w:t>to work out</w:t>
      </w:r>
      <w:r w:rsidRPr="008C02DE">
        <w:rPr>
          <w:sz w:val="24"/>
          <w:szCs w:val="24"/>
        </w:rPr>
        <w:t xml:space="preserve"> </w:t>
      </w:r>
      <w:r w:rsidRPr="001D086E">
        <w:rPr>
          <w:sz w:val="24"/>
          <w:szCs w:val="24"/>
          <w:lang w:val="en-US"/>
        </w:rPr>
        <w:t>whether to ask for further information about the product.</w:t>
      </w:r>
    </w:p>
    <w:p w14:paraId="4FC4523B" w14:textId="77777777" w:rsidR="008343DF" w:rsidRDefault="008343DF" w:rsidP="00F57D26">
      <w:pPr>
        <w:spacing w:after="0"/>
        <w:jc w:val="both"/>
        <w:rPr>
          <w:sz w:val="24"/>
          <w:szCs w:val="24"/>
        </w:rPr>
      </w:pPr>
    </w:p>
    <w:p w14:paraId="4FC4523C" w14:textId="77777777" w:rsidR="001B61E6" w:rsidRDefault="0060107E" w:rsidP="00F57D26">
      <w:pPr>
        <w:spacing w:after="0"/>
        <w:jc w:val="both"/>
        <w:rPr>
          <w:sz w:val="24"/>
          <w:szCs w:val="24"/>
          <w:lang w:val="en-US"/>
        </w:rPr>
      </w:pPr>
      <w:r>
        <w:rPr>
          <w:sz w:val="24"/>
          <w:szCs w:val="24"/>
        </w:rPr>
        <w:t>The other option under [CO 06/636]</w:t>
      </w:r>
      <w:r w:rsidR="001C3F2D" w:rsidRPr="008343DF">
        <w:rPr>
          <w:sz w:val="24"/>
          <w:szCs w:val="24"/>
        </w:rPr>
        <w:t xml:space="preserve"> allows the trustee to combine the PDS for the superannuation product and the PDS for the accessible financial</w:t>
      </w:r>
      <w:r w:rsidR="00450E27" w:rsidRPr="008343DF">
        <w:rPr>
          <w:sz w:val="24"/>
          <w:szCs w:val="24"/>
        </w:rPr>
        <w:t xml:space="preserve"> product into a single document, an ‘integrated PDS’.</w:t>
      </w:r>
      <w:r w:rsidR="008343DF" w:rsidRPr="008343DF">
        <w:rPr>
          <w:sz w:val="24"/>
          <w:szCs w:val="24"/>
        </w:rPr>
        <w:t xml:space="preserve"> </w:t>
      </w:r>
      <w:r w:rsidR="008343DF" w:rsidRPr="001D086E">
        <w:rPr>
          <w:sz w:val="24"/>
          <w:szCs w:val="24"/>
          <w:lang w:val="en-US"/>
        </w:rPr>
        <w:t>The integrated PDS must contain the information that a person would reasonably require as a retail client to understand the investment strategy under which the accessible financial product may be acquired.</w:t>
      </w:r>
    </w:p>
    <w:p w14:paraId="2819F2A8" w14:textId="77777777" w:rsidR="001E4AC6" w:rsidRDefault="001E4AC6" w:rsidP="00F57D26">
      <w:pPr>
        <w:spacing w:after="0"/>
        <w:jc w:val="both"/>
        <w:rPr>
          <w:sz w:val="24"/>
          <w:szCs w:val="24"/>
          <w:lang w:val="en-US"/>
        </w:rPr>
      </w:pPr>
    </w:p>
    <w:p w14:paraId="4C592A4C" w14:textId="77777777" w:rsidR="001E4AC6" w:rsidRDefault="001E4AC6">
      <w:pPr>
        <w:spacing w:after="0"/>
        <w:rPr>
          <w:sz w:val="24"/>
          <w:szCs w:val="24"/>
          <w:lang w:val="en-US"/>
        </w:rPr>
      </w:pPr>
      <w:r>
        <w:rPr>
          <w:sz w:val="24"/>
          <w:szCs w:val="24"/>
          <w:lang w:val="en-US"/>
        </w:rPr>
        <w:br w:type="page"/>
      </w:r>
    </w:p>
    <w:p w14:paraId="4FC4523E" w14:textId="77777777" w:rsidR="00CF543D" w:rsidRDefault="00E22081" w:rsidP="000306E0">
      <w:pPr>
        <w:spacing w:after="0"/>
        <w:jc w:val="both"/>
        <w:rPr>
          <w:b/>
          <w:sz w:val="24"/>
          <w:szCs w:val="24"/>
          <w:lang w:val="en-US"/>
        </w:rPr>
      </w:pPr>
      <w:r>
        <w:rPr>
          <w:b/>
          <w:sz w:val="24"/>
          <w:szCs w:val="24"/>
          <w:lang w:val="en-US"/>
        </w:rPr>
        <w:lastRenderedPageBreak/>
        <w:t>Additional investment made in accessible financial product</w:t>
      </w:r>
    </w:p>
    <w:p w14:paraId="4FC4523F" w14:textId="77777777" w:rsidR="00CF543D" w:rsidRDefault="00CF543D" w:rsidP="000306E0">
      <w:pPr>
        <w:spacing w:after="0"/>
        <w:jc w:val="both"/>
        <w:rPr>
          <w:b/>
          <w:sz w:val="24"/>
          <w:szCs w:val="24"/>
          <w:lang w:val="en-US"/>
        </w:rPr>
      </w:pPr>
    </w:p>
    <w:p w14:paraId="4FC45240" w14:textId="77777777" w:rsidR="000306E0" w:rsidRDefault="000306E0" w:rsidP="000306E0">
      <w:pPr>
        <w:spacing w:after="0"/>
        <w:jc w:val="both"/>
        <w:rPr>
          <w:sz w:val="24"/>
          <w:szCs w:val="24"/>
        </w:rPr>
      </w:pPr>
      <w:r>
        <w:rPr>
          <w:sz w:val="24"/>
          <w:szCs w:val="24"/>
        </w:rPr>
        <w:t xml:space="preserve">[CO 06/636] also provides relief to streamline the disclosure obligations where an additional investment is made in an accessible financial product under an investment strategy that the member has instructed the trustee to follow. In that instance, [CO 06/636] provides a conditional exemption to a trustee </w:t>
      </w:r>
      <w:r w:rsidRPr="000306E0">
        <w:rPr>
          <w:sz w:val="24"/>
          <w:szCs w:val="24"/>
        </w:rPr>
        <w:t>from the requirement under s1012IA to provide a PDS to a member before each time that an accessible financial product is acquired by the trustee on the member’s behalf.</w:t>
      </w:r>
      <w:r>
        <w:rPr>
          <w:sz w:val="24"/>
          <w:szCs w:val="24"/>
        </w:rPr>
        <w:t xml:space="preserve"> The conditions require the trustee to:</w:t>
      </w:r>
    </w:p>
    <w:p w14:paraId="4FC45241" w14:textId="77777777" w:rsidR="00311C0E" w:rsidRDefault="00311C0E" w:rsidP="000306E0">
      <w:pPr>
        <w:spacing w:after="0"/>
        <w:jc w:val="both"/>
        <w:rPr>
          <w:sz w:val="24"/>
          <w:szCs w:val="24"/>
        </w:rPr>
      </w:pPr>
    </w:p>
    <w:p w14:paraId="4FC45242" w14:textId="77777777" w:rsidR="00311C0E" w:rsidRDefault="00311C0E" w:rsidP="001D086E">
      <w:pPr>
        <w:spacing w:after="0"/>
        <w:ind w:left="720" w:hanging="720"/>
        <w:jc w:val="both"/>
        <w:rPr>
          <w:sz w:val="24"/>
          <w:szCs w:val="24"/>
        </w:rPr>
      </w:pPr>
      <w:r>
        <w:rPr>
          <w:sz w:val="24"/>
          <w:szCs w:val="24"/>
        </w:rPr>
        <w:t>(a)</w:t>
      </w:r>
      <w:r>
        <w:rPr>
          <w:sz w:val="24"/>
          <w:szCs w:val="24"/>
        </w:rPr>
        <w:tab/>
        <w:t xml:space="preserve">notify the member in writing that, at the time an additional acquisition of an accessible financial product occurs, the member may not have received the current PDS for the accessible financial product and the information that </w:t>
      </w:r>
      <w:r w:rsidR="00463A99">
        <w:rPr>
          <w:sz w:val="24"/>
          <w:szCs w:val="24"/>
        </w:rPr>
        <w:t>have been included</w:t>
      </w:r>
      <w:r>
        <w:rPr>
          <w:sz w:val="24"/>
          <w:szCs w:val="24"/>
        </w:rPr>
        <w:t xml:space="preserve"> in a significant event notice under section 1017B of the Act </w:t>
      </w:r>
      <w:r w:rsidR="00463A99">
        <w:rPr>
          <w:sz w:val="24"/>
          <w:szCs w:val="24"/>
        </w:rPr>
        <w:t>if the member had made an equivalent direct acquisition of the accessible financial product;</w:t>
      </w:r>
    </w:p>
    <w:p w14:paraId="4FC45243" w14:textId="77777777" w:rsidR="00463A99" w:rsidRDefault="00463A99" w:rsidP="001D086E">
      <w:pPr>
        <w:spacing w:after="0"/>
        <w:ind w:left="720" w:hanging="720"/>
        <w:jc w:val="both"/>
        <w:rPr>
          <w:sz w:val="24"/>
          <w:szCs w:val="24"/>
        </w:rPr>
      </w:pPr>
    </w:p>
    <w:p w14:paraId="4FC45244" w14:textId="77777777" w:rsidR="00463A99" w:rsidRDefault="00463A99" w:rsidP="001D086E">
      <w:pPr>
        <w:spacing w:after="0"/>
        <w:ind w:left="720" w:hanging="720"/>
        <w:jc w:val="both"/>
        <w:rPr>
          <w:sz w:val="24"/>
          <w:szCs w:val="24"/>
        </w:rPr>
      </w:pPr>
      <w:r>
        <w:rPr>
          <w:sz w:val="24"/>
          <w:szCs w:val="24"/>
        </w:rPr>
        <w:t>(b)</w:t>
      </w:r>
      <w:r>
        <w:rPr>
          <w:sz w:val="24"/>
          <w:szCs w:val="24"/>
        </w:rPr>
        <w:tab/>
        <w:t xml:space="preserve">unless the member held the superannuation product as at 1 July 2007 - obtain the written acknowledgement of a member </w:t>
      </w:r>
      <w:r w:rsidR="00B00CC9">
        <w:rPr>
          <w:sz w:val="24"/>
          <w:szCs w:val="24"/>
        </w:rPr>
        <w:t>of the matters set out in paragraph (a), above.</w:t>
      </w:r>
    </w:p>
    <w:p w14:paraId="4FC45245" w14:textId="77777777" w:rsidR="00786CA7" w:rsidRDefault="00786CA7" w:rsidP="00786CA7">
      <w:pPr>
        <w:spacing w:after="0"/>
        <w:jc w:val="both"/>
        <w:rPr>
          <w:sz w:val="24"/>
          <w:szCs w:val="24"/>
        </w:rPr>
      </w:pPr>
    </w:p>
    <w:p w14:paraId="4FC45246" w14:textId="77777777" w:rsidR="00E22081" w:rsidRPr="00930BE4" w:rsidRDefault="00E22081" w:rsidP="00786CA7">
      <w:pPr>
        <w:spacing w:after="0"/>
        <w:jc w:val="both"/>
        <w:rPr>
          <w:b/>
          <w:sz w:val="24"/>
          <w:szCs w:val="24"/>
        </w:rPr>
      </w:pPr>
      <w:r>
        <w:rPr>
          <w:b/>
          <w:sz w:val="24"/>
          <w:szCs w:val="24"/>
        </w:rPr>
        <w:t>Relief from significant event notice requirements</w:t>
      </w:r>
    </w:p>
    <w:p w14:paraId="4FC45247" w14:textId="77777777" w:rsidR="00E22081" w:rsidRDefault="00E22081" w:rsidP="00786CA7">
      <w:pPr>
        <w:spacing w:after="0"/>
        <w:jc w:val="both"/>
        <w:rPr>
          <w:sz w:val="24"/>
          <w:szCs w:val="24"/>
        </w:rPr>
      </w:pPr>
    </w:p>
    <w:p w14:paraId="4FC45248" w14:textId="77777777" w:rsidR="00C31061" w:rsidRDefault="00DC1350" w:rsidP="00786CA7">
      <w:pPr>
        <w:spacing w:after="0"/>
        <w:jc w:val="both"/>
        <w:rPr>
          <w:sz w:val="24"/>
          <w:szCs w:val="24"/>
        </w:rPr>
      </w:pPr>
      <w:r>
        <w:rPr>
          <w:sz w:val="24"/>
          <w:szCs w:val="24"/>
        </w:rPr>
        <w:t>Further, [CO 06/636]</w:t>
      </w:r>
      <w:r w:rsidR="00B45326">
        <w:rPr>
          <w:sz w:val="24"/>
          <w:szCs w:val="24"/>
        </w:rPr>
        <w:t xml:space="preserve"> sets out requirements for a trustee to give updated disclosure to a member where the member has given the trustee instructions </w:t>
      </w:r>
      <w:r w:rsidR="00C31061">
        <w:rPr>
          <w:sz w:val="24"/>
          <w:szCs w:val="24"/>
        </w:rPr>
        <w:t>to follow an investment strategy that involves the acquisition of an accessible financial product. The updated disclosure requirements are triggered when a material adverse change, or a significant event that adversely affects a matter, occurs and the change or event would have been required to be included in a PDS for the accessible financial product prepared on the day before the change or event occurs. If the trustee has decided to stop making regulated acquisitions of the accessible financial product under the relevant investment strategy, then the updated disclosure requirements do not apply.</w:t>
      </w:r>
    </w:p>
    <w:p w14:paraId="4FC45249" w14:textId="77777777" w:rsidR="00CF0B94" w:rsidRDefault="00CF0B94" w:rsidP="00786CA7">
      <w:pPr>
        <w:spacing w:after="0"/>
        <w:jc w:val="both"/>
        <w:rPr>
          <w:sz w:val="24"/>
          <w:szCs w:val="24"/>
        </w:rPr>
      </w:pPr>
    </w:p>
    <w:p w14:paraId="4FC4524A" w14:textId="77777777" w:rsidR="00F46C49" w:rsidRDefault="00CF0B94" w:rsidP="001D086E">
      <w:pPr>
        <w:pStyle w:val="BodyText"/>
        <w:kinsoku w:val="0"/>
        <w:spacing w:before="0" w:line="240" w:lineRule="auto"/>
        <w:jc w:val="both"/>
      </w:pPr>
      <w:r>
        <w:rPr>
          <w:szCs w:val="24"/>
        </w:rPr>
        <w:t>The updated disclosure requirements depend on whether the accessible financial product is ‘open’ or ‘closed’</w:t>
      </w:r>
      <w:r w:rsidR="00F46C49">
        <w:rPr>
          <w:szCs w:val="24"/>
        </w:rPr>
        <w:t xml:space="preserve">. </w:t>
      </w:r>
      <w:r w:rsidR="00F46C49">
        <w:rPr>
          <w:spacing w:val="-2"/>
        </w:rPr>
        <w:t>A</w:t>
      </w:r>
      <w:r w:rsidR="00F46C49">
        <w:t>n</w:t>
      </w:r>
      <w:r w:rsidR="00F46C49">
        <w:rPr>
          <w:spacing w:val="-1"/>
        </w:rPr>
        <w:t xml:space="preserve"> </w:t>
      </w:r>
      <w:r w:rsidR="00F46C49">
        <w:t>‘open’ accessible financial</w:t>
      </w:r>
      <w:r w:rsidR="00F46C49">
        <w:rPr>
          <w:spacing w:val="-1"/>
        </w:rPr>
        <w:t xml:space="preserve"> </w:t>
      </w:r>
      <w:r w:rsidR="00F46C49">
        <w:t>product</w:t>
      </w:r>
      <w:r w:rsidR="00F46C49">
        <w:rPr>
          <w:spacing w:val="-1"/>
        </w:rPr>
        <w:t xml:space="preserve"> </w:t>
      </w:r>
      <w:r w:rsidR="00F46C49">
        <w:t>is</w:t>
      </w:r>
      <w:r w:rsidR="00F46C49">
        <w:rPr>
          <w:spacing w:val="-1"/>
        </w:rPr>
        <w:t xml:space="preserve"> </w:t>
      </w:r>
      <w:r w:rsidR="00F46C49">
        <w:t>an</w:t>
      </w:r>
      <w:r w:rsidR="00F46C49">
        <w:rPr>
          <w:spacing w:val="-1"/>
        </w:rPr>
        <w:t xml:space="preserve"> </w:t>
      </w:r>
      <w:r w:rsidR="00F46C49">
        <w:t>accessible</w:t>
      </w:r>
      <w:r w:rsidR="00F46C49">
        <w:rPr>
          <w:spacing w:val="-1"/>
        </w:rPr>
        <w:t xml:space="preserve"> </w:t>
      </w:r>
      <w:r w:rsidR="00F46C49">
        <w:t>financial</w:t>
      </w:r>
      <w:r w:rsidR="00F46C49">
        <w:rPr>
          <w:spacing w:val="-1"/>
        </w:rPr>
        <w:t xml:space="preserve"> </w:t>
      </w:r>
      <w:r w:rsidR="00F46C49">
        <w:t>product</w:t>
      </w:r>
    </w:p>
    <w:p w14:paraId="4FC4524B" w14:textId="77777777" w:rsidR="00F46C49" w:rsidRDefault="00F46C49" w:rsidP="001D086E">
      <w:pPr>
        <w:pStyle w:val="BodyText"/>
        <w:kinsoku w:val="0"/>
        <w:spacing w:before="0" w:line="240" w:lineRule="auto"/>
        <w:ind w:right="111"/>
        <w:jc w:val="both"/>
      </w:pPr>
      <w:r>
        <w:t>for which a provider will acce</w:t>
      </w:r>
      <w:r>
        <w:rPr>
          <w:spacing w:val="-2"/>
        </w:rPr>
        <w:t>p</w:t>
      </w:r>
      <w:r>
        <w:t>t new</w:t>
      </w:r>
      <w:r>
        <w:rPr>
          <w:spacing w:val="-2"/>
        </w:rPr>
        <w:t xml:space="preserve"> </w:t>
      </w:r>
      <w:r>
        <w:t>instr</w:t>
      </w:r>
      <w:r>
        <w:rPr>
          <w:spacing w:val="-2"/>
        </w:rPr>
        <w:t>u</w:t>
      </w:r>
      <w:r>
        <w:t>ctions</w:t>
      </w:r>
      <w:r>
        <w:rPr>
          <w:spacing w:val="-2"/>
        </w:rPr>
        <w:t xml:space="preserve"> </w:t>
      </w:r>
      <w:r>
        <w:t>from</w:t>
      </w:r>
      <w:r>
        <w:rPr>
          <w:spacing w:val="-2"/>
        </w:rPr>
        <w:t xml:space="preserve"> </w:t>
      </w:r>
      <w:r>
        <w:t>a clie</w:t>
      </w:r>
      <w:r>
        <w:rPr>
          <w:spacing w:val="-2"/>
        </w:rPr>
        <w:t>n</w:t>
      </w:r>
      <w:r>
        <w:t>t to acq</w:t>
      </w:r>
      <w:r>
        <w:rPr>
          <w:spacing w:val="-2"/>
        </w:rPr>
        <w:t>u</w:t>
      </w:r>
      <w:r>
        <w:t>ire that product</w:t>
      </w:r>
      <w:r>
        <w:rPr>
          <w:spacing w:val="-1"/>
        </w:rPr>
        <w:t xml:space="preserve"> </w:t>
      </w:r>
      <w:r>
        <w:t>for</w:t>
      </w:r>
      <w:r>
        <w:rPr>
          <w:spacing w:val="-1"/>
        </w:rPr>
        <w:t xml:space="preserve"> </w:t>
      </w:r>
      <w:r>
        <w:t>the</w:t>
      </w:r>
      <w:r>
        <w:rPr>
          <w:spacing w:val="-1"/>
        </w:rPr>
        <w:t xml:space="preserve"> </w:t>
      </w:r>
      <w:r>
        <w:t>client</w:t>
      </w:r>
      <w:r>
        <w:rPr>
          <w:spacing w:val="-1"/>
        </w:rPr>
        <w:t xml:space="preserve"> </w:t>
      </w:r>
      <w:r>
        <w:t>for</w:t>
      </w:r>
      <w:r>
        <w:rPr>
          <w:spacing w:val="-1"/>
        </w:rPr>
        <w:t xml:space="preserve"> </w:t>
      </w:r>
      <w:r>
        <w:t>the</w:t>
      </w:r>
      <w:r>
        <w:rPr>
          <w:spacing w:val="-1"/>
        </w:rPr>
        <w:t xml:space="preserve"> </w:t>
      </w:r>
      <w:r>
        <w:t>first</w:t>
      </w:r>
      <w:r>
        <w:rPr>
          <w:spacing w:val="-1"/>
        </w:rPr>
        <w:t xml:space="preserve"> </w:t>
      </w:r>
      <w:r>
        <w:t>ti</w:t>
      </w:r>
      <w:r>
        <w:rPr>
          <w:spacing w:val="-2"/>
        </w:rPr>
        <w:t>m</w:t>
      </w:r>
      <w:r>
        <w:t>e.</w:t>
      </w:r>
      <w:r>
        <w:rPr>
          <w:spacing w:val="-3"/>
        </w:rPr>
        <w:t xml:space="preserve"> </w:t>
      </w:r>
      <w:r>
        <w:t>A</w:t>
      </w:r>
      <w:r>
        <w:rPr>
          <w:spacing w:val="-1"/>
        </w:rPr>
        <w:t xml:space="preserve"> </w:t>
      </w:r>
      <w:r>
        <w:t>‘closed’</w:t>
      </w:r>
      <w:r>
        <w:rPr>
          <w:spacing w:val="-1"/>
        </w:rPr>
        <w:t xml:space="preserve"> </w:t>
      </w:r>
      <w:r>
        <w:t>accessible</w:t>
      </w:r>
      <w:r>
        <w:rPr>
          <w:spacing w:val="-1"/>
        </w:rPr>
        <w:t xml:space="preserve"> </w:t>
      </w:r>
      <w:r>
        <w:t>financial</w:t>
      </w:r>
      <w:r>
        <w:rPr>
          <w:spacing w:val="-1"/>
        </w:rPr>
        <w:t xml:space="preserve"> </w:t>
      </w:r>
      <w:r>
        <w:t>pro</w:t>
      </w:r>
      <w:r>
        <w:rPr>
          <w:spacing w:val="-2"/>
        </w:rPr>
        <w:t>d</w:t>
      </w:r>
      <w:r>
        <w:t>uct</w:t>
      </w:r>
      <w:r>
        <w:rPr>
          <w:spacing w:val="-1"/>
        </w:rPr>
        <w:t xml:space="preserve"> </w:t>
      </w:r>
      <w:r>
        <w:t xml:space="preserve">is an accessible financial </w:t>
      </w:r>
      <w:r>
        <w:rPr>
          <w:spacing w:val="-2"/>
        </w:rPr>
        <w:t>p</w:t>
      </w:r>
      <w:r>
        <w:t>roduct for whi</w:t>
      </w:r>
      <w:r>
        <w:rPr>
          <w:spacing w:val="-3"/>
        </w:rPr>
        <w:t>c</w:t>
      </w:r>
      <w:r>
        <w:t>h</w:t>
      </w:r>
      <w:r>
        <w:rPr>
          <w:spacing w:val="-1"/>
        </w:rPr>
        <w:t xml:space="preserve"> </w:t>
      </w:r>
      <w:r>
        <w:t>a</w:t>
      </w:r>
      <w:r>
        <w:rPr>
          <w:spacing w:val="-1"/>
        </w:rPr>
        <w:t xml:space="preserve"> </w:t>
      </w:r>
      <w:r>
        <w:t>pro</w:t>
      </w:r>
      <w:r>
        <w:rPr>
          <w:spacing w:val="-2"/>
        </w:rPr>
        <w:t>v</w:t>
      </w:r>
      <w:r>
        <w:t>ider</w:t>
      </w:r>
      <w:r>
        <w:rPr>
          <w:spacing w:val="-1"/>
        </w:rPr>
        <w:t xml:space="preserve"> </w:t>
      </w:r>
      <w:r>
        <w:t>will</w:t>
      </w:r>
      <w:r>
        <w:rPr>
          <w:spacing w:val="-1"/>
        </w:rPr>
        <w:t xml:space="preserve"> </w:t>
      </w:r>
      <w:r>
        <w:t>not</w:t>
      </w:r>
      <w:r>
        <w:rPr>
          <w:spacing w:val="-1"/>
        </w:rPr>
        <w:t xml:space="preserve"> </w:t>
      </w:r>
      <w:r>
        <w:t>accept</w:t>
      </w:r>
      <w:r>
        <w:rPr>
          <w:spacing w:val="-1"/>
        </w:rPr>
        <w:t xml:space="preserve"> </w:t>
      </w:r>
      <w:r>
        <w:t>a</w:t>
      </w:r>
      <w:r>
        <w:rPr>
          <w:spacing w:val="-1"/>
        </w:rPr>
        <w:t xml:space="preserve"> </w:t>
      </w:r>
      <w:r>
        <w:t>new instruction</w:t>
      </w:r>
      <w:r>
        <w:rPr>
          <w:spacing w:val="-1"/>
        </w:rPr>
        <w:t xml:space="preserve"> </w:t>
      </w:r>
      <w:r>
        <w:t>from</w:t>
      </w:r>
      <w:r>
        <w:rPr>
          <w:spacing w:val="-3"/>
        </w:rPr>
        <w:t xml:space="preserve"> </w:t>
      </w:r>
      <w:r>
        <w:t>a</w:t>
      </w:r>
      <w:r>
        <w:rPr>
          <w:spacing w:val="-1"/>
        </w:rPr>
        <w:t xml:space="preserve"> </w:t>
      </w:r>
      <w:r>
        <w:t>client</w:t>
      </w:r>
      <w:r>
        <w:rPr>
          <w:spacing w:val="-1"/>
        </w:rPr>
        <w:t xml:space="preserve"> </w:t>
      </w:r>
      <w:r>
        <w:t>to acquire the product for the</w:t>
      </w:r>
      <w:r>
        <w:rPr>
          <w:spacing w:val="-2"/>
        </w:rPr>
        <w:t xml:space="preserve"> </w:t>
      </w:r>
      <w:r>
        <w:rPr>
          <w:spacing w:val="-1"/>
        </w:rPr>
        <w:t>clien</w:t>
      </w:r>
      <w:r>
        <w:t>t</w:t>
      </w:r>
      <w:r>
        <w:rPr>
          <w:spacing w:val="-1"/>
        </w:rPr>
        <w:t xml:space="preserve"> fo</w:t>
      </w:r>
      <w:r>
        <w:t>r</w:t>
      </w:r>
      <w:r>
        <w:rPr>
          <w:spacing w:val="-1"/>
        </w:rPr>
        <w:t xml:space="preserve"> th</w:t>
      </w:r>
      <w:r>
        <w:t>e</w:t>
      </w:r>
      <w:r>
        <w:rPr>
          <w:spacing w:val="-1"/>
        </w:rPr>
        <w:t xml:space="preserve"> firs</w:t>
      </w:r>
      <w:r>
        <w:t>t</w:t>
      </w:r>
      <w:r>
        <w:rPr>
          <w:spacing w:val="-1"/>
        </w:rPr>
        <w:t xml:space="preserve"> ti</w:t>
      </w:r>
      <w:r>
        <w:rPr>
          <w:spacing w:val="-2"/>
        </w:rPr>
        <w:t>m</w:t>
      </w:r>
      <w:r>
        <w:rPr>
          <w:spacing w:val="-1"/>
        </w:rPr>
        <w:t xml:space="preserve">e, </w:t>
      </w:r>
      <w:r>
        <w:t>even though</w:t>
      </w:r>
      <w:r>
        <w:rPr>
          <w:spacing w:val="-1"/>
        </w:rPr>
        <w:t xml:space="preserve"> </w:t>
      </w:r>
      <w:r>
        <w:t>the pro</w:t>
      </w:r>
      <w:r>
        <w:rPr>
          <w:spacing w:val="-2"/>
        </w:rPr>
        <w:t>v</w:t>
      </w:r>
      <w:r>
        <w:t xml:space="preserve">ider </w:t>
      </w:r>
      <w:r>
        <w:rPr>
          <w:spacing w:val="-2"/>
        </w:rPr>
        <w:t>m</w:t>
      </w:r>
      <w:r>
        <w:t>ight continue to</w:t>
      </w:r>
      <w:r>
        <w:rPr>
          <w:spacing w:val="-2"/>
        </w:rPr>
        <w:t xml:space="preserve"> </w:t>
      </w:r>
      <w:r>
        <w:t>invest</w:t>
      </w:r>
      <w:r>
        <w:rPr>
          <w:spacing w:val="-1"/>
        </w:rPr>
        <w:t xml:space="preserve"> </w:t>
      </w:r>
      <w:r>
        <w:t>in</w:t>
      </w:r>
      <w:r>
        <w:rPr>
          <w:spacing w:val="-1"/>
        </w:rPr>
        <w:t xml:space="preserve"> </w:t>
      </w:r>
      <w:r>
        <w:t>that</w:t>
      </w:r>
      <w:r>
        <w:rPr>
          <w:spacing w:val="-1"/>
        </w:rPr>
        <w:t xml:space="preserve"> </w:t>
      </w:r>
      <w:r>
        <w:t>pro</w:t>
      </w:r>
      <w:r>
        <w:rPr>
          <w:spacing w:val="-2"/>
        </w:rPr>
        <w:t>d</w:t>
      </w:r>
      <w:r>
        <w:t>uct</w:t>
      </w:r>
      <w:r>
        <w:rPr>
          <w:spacing w:val="-1"/>
        </w:rPr>
        <w:t xml:space="preserve"> </w:t>
      </w:r>
      <w:r>
        <w:t>beca</w:t>
      </w:r>
      <w:r>
        <w:rPr>
          <w:spacing w:val="-2"/>
        </w:rPr>
        <w:t>u</w:t>
      </w:r>
      <w:r>
        <w:t>se</w:t>
      </w:r>
      <w:r>
        <w:rPr>
          <w:spacing w:val="-1"/>
        </w:rPr>
        <w:t xml:space="preserve"> </w:t>
      </w:r>
      <w:r>
        <w:t>of</w:t>
      </w:r>
      <w:r>
        <w:rPr>
          <w:spacing w:val="-1"/>
        </w:rPr>
        <w:t xml:space="preserve"> </w:t>
      </w:r>
      <w:r>
        <w:t>a standing</w:t>
      </w:r>
      <w:r>
        <w:rPr>
          <w:spacing w:val="-1"/>
        </w:rPr>
        <w:t xml:space="preserve"> </w:t>
      </w:r>
      <w:r>
        <w:t>instruction</w:t>
      </w:r>
      <w:r>
        <w:rPr>
          <w:spacing w:val="-1"/>
        </w:rPr>
        <w:t xml:space="preserve"> </w:t>
      </w:r>
      <w:r>
        <w:t>given</w:t>
      </w:r>
      <w:r>
        <w:rPr>
          <w:spacing w:val="-1"/>
        </w:rPr>
        <w:t xml:space="preserve"> </w:t>
      </w:r>
      <w:r>
        <w:t>by</w:t>
      </w:r>
      <w:r>
        <w:rPr>
          <w:spacing w:val="-1"/>
        </w:rPr>
        <w:t xml:space="preserve"> </w:t>
      </w:r>
      <w:r>
        <w:t>a</w:t>
      </w:r>
      <w:r>
        <w:rPr>
          <w:spacing w:val="-1"/>
        </w:rPr>
        <w:t xml:space="preserve"> </w:t>
      </w:r>
      <w:r>
        <w:t>client</w:t>
      </w:r>
      <w:r>
        <w:rPr>
          <w:spacing w:val="-1"/>
        </w:rPr>
        <w:t xml:space="preserve"> </w:t>
      </w:r>
      <w:r>
        <w:t>before the product was closed. Updated disclos</w:t>
      </w:r>
      <w:r>
        <w:rPr>
          <w:spacing w:val="-2"/>
        </w:rPr>
        <w:t>u</w:t>
      </w:r>
      <w:r>
        <w:t>re for an ‘ope</w:t>
      </w:r>
      <w:r>
        <w:rPr>
          <w:spacing w:val="-2"/>
        </w:rPr>
        <w:t>n</w:t>
      </w:r>
      <w:r>
        <w:t>’</w:t>
      </w:r>
      <w:r>
        <w:rPr>
          <w:spacing w:val="-1"/>
        </w:rPr>
        <w:t xml:space="preserve"> </w:t>
      </w:r>
      <w:r>
        <w:t>acces</w:t>
      </w:r>
      <w:r>
        <w:rPr>
          <w:spacing w:val="-1"/>
        </w:rPr>
        <w:t>s</w:t>
      </w:r>
      <w:r>
        <w:t xml:space="preserve">ible </w:t>
      </w:r>
      <w:r>
        <w:rPr>
          <w:spacing w:val="-2"/>
        </w:rPr>
        <w:t>f</w:t>
      </w:r>
      <w:r>
        <w:t>inancial pr</w:t>
      </w:r>
      <w:r>
        <w:rPr>
          <w:spacing w:val="-2"/>
        </w:rPr>
        <w:t>o</w:t>
      </w:r>
      <w:r>
        <w:t xml:space="preserve">duct </w:t>
      </w:r>
      <w:r>
        <w:rPr>
          <w:spacing w:val="-2"/>
        </w:rPr>
        <w:t>m</w:t>
      </w:r>
      <w:r>
        <w:t>ust be given by providing a copy of the current PDS (including a supple</w:t>
      </w:r>
      <w:r>
        <w:rPr>
          <w:spacing w:val="-2"/>
        </w:rPr>
        <w:t>m</w:t>
      </w:r>
      <w:r>
        <w:t>entary PDS, where relevant): see s1017CA(5)(b). Updated</w:t>
      </w:r>
      <w:r>
        <w:rPr>
          <w:spacing w:val="-2"/>
        </w:rPr>
        <w:t xml:space="preserve"> </w:t>
      </w:r>
      <w:r>
        <w:t>disclos</w:t>
      </w:r>
      <w:r>
        <w:rPr>
          <w:spacing w:val="-2"/>
        </w:rPr>
        <w:t>u</w:t>
      </w:r>
      <w:r>
        <w:t>re for a ‘close</w:t>
      </w:r>
      <w:r>
        <w:rPr>
          <w:spacing w:val="-2"/>
        </w:rPr>
        <w:t>d</w:t>
      </w:r>
      <w:r>
        <w:t>’</w:t>
      </w:r>
      <w:r>
        <w:rPr>
          <w:spacing w:val="-1"/>
        </w:rPr>
        <w:t xml:space="preserve"> </w:t>
      </w:r>
      <w:r>
        <w:t xml:space="preserve">accessible </w:t>
      </w:r>
      <w:r>
        <w:rPr>
          <w:spacing w:val="-2"/>
        </w:rPr>
        <w:t>f</w:t>
      </w:r>
      <w:r>
        <w:t>inancial pr</w:t>
      </w:r>
      <w:r>
        <w:rPr>
          <w:spacing w:val="-2"/>
        </w:rPr>
        <w:t>o</w:t>
      </w:r>
      <w:r>
        <w:t xml:space="preserve">duct </w:t>
      </w:r>
      <w:r>
        <w:rPr>
          <w:spacing w:val="-2"/>
        </w:rPr>
        <w:t>m</w:t>
      </w:r>
      <w:r>
        <w:t>ay be given by providing infor</w:t>
      </w:r>
      <w:r>
        <w:rPr>
          <w:spacing w:val="-2"/>
        </w:rPr>
        <w:t>m</w:t>
      </w:r>
      <w:r>
        <w:t>ation in a</w:t>
      </w:r>
      <w:r>
        <w:rPr>
          <w:spacing w:val="-1"/>
        </w:rPr>
        <w:t xml:space="preserve"> </w:t>
      </w:r>
      <w:r>
        <w:t>form</w:t>
      </w:r>
      <w:r>
        <w:rPr>
          <w:spacing w:val="-1"/>
        </w:rPr>
        <w:t xml:space="preserve"> </w:t>
      </w:r>
      <w:r>
        <w:t>other</w:t>
      </w:r>
      <w:r>
        <w:rPr>
          <w:spacing w:val="-1"/>
        </w:rPr>
        <w:t xml:space="preserve"> </w:t>
      </w:r>
      <w:r>
        <w:t>than</w:t>
      </w:r>
      <w:r>
        <w:rPr>
          <w:spacing w:val="-1"/>
        </w:rPr>
        <w:t xml:space="preserve"> </w:t>
      </w:r>
      <w:r>
        <w:t>in</w:t>
      </w:r>
      <w:r>
        <w:rPr>
          <w:spacing w:val="-1"/>
        </w:rPr>
        <w:t xml:space="preserve"> </w:t>
      </w:r>
      <w:r>
        <w:t>a</w:t>
      </w:r>
      <w:r>
        <w:rPr>
          <w:spacing w:val="-1"/>
        </w:rPr>
        <w:t xml:space="preserve"> </w:t>
      </w:r>
      <w:r>
        <w:t>PDS</w:t>
      </w:r>
      <w:r>
        <w:rPr>
          <w:spacing w:val="-1"/>
        </w:rPr>
        <w:t xml:space="preserve"> </w:t>
      </w:r>
      <w:r>
        <w:t>or,</w:t>
      </w:r>
      <w:r>
        <w:rPr>
          <w:spacing w:val="-1"/>
        </w:rPr>
        <w:t xml:space="preserve"> </w:t>
      </w:r>
      <w:r>
        <w:t>if</w:t>
      </w:r>
      <w:r>
        <w:rPr>
          <w:spacing w:val="-1"/>
        </w:rPr>
        <w:t xml:space="preserve"> </w:t>
      </w:r>
      <w:r>
        <w:t>there is</w:t>
      </w:r>
      <w:r>
        <w:rPr>
          <w:spacing w:val="-1"/>
        </w:rPr>
        <w:t xml:space="preserve"> </w:t>
      </w:r>
      <w:r>
        <w:t>a</w:t>
      </w:r>
      <w:r>
        <w:rPr>
          <w:spacing w:val="-1"/>
        </w:rPr>
        <w:t xml:space="preserve"> </w:t>
      </w:r>
      <w:r>
        <w:t>current</w:t>
      </w:r>
      <w:r>
        <w:rPr>
          <w:spacing w:val="-1"/>
        </w:rPr>
        <w:t xml:space="preserve"> </w:t>
      </w:r>
      <w:r>
        <w:t>PDS,</w:t>
      </w:r>
      <w:r>
        <w:rPr>
          <w:spacing w:val="-1"/>
        </w:rPr>
        <w:t xml:space="preserve"> </w:t>
      </w:r>
      <w:r>
        <w:t>by</w:t>
      </w:r>
      <w:r>
        <w:rPr>
          <w:spacing w:val="-1"/>
        </w:rPr>
        <w:t xml:space="preserve"> </w:t>
      </w:r>
      <w:r>
        <w:t>giving</w:t>
      </w:r>
      <w:r>
        <w:rPr>
          <w:spacing w:val="-1"/>
        </w:rPr>
        <w:t xml:space="preserve"> </w:t>
      </w:r>
      <w:r>
        <w:t>that</w:t>
      </w:r>
      <w:r>
        <w:rPr>
          <w:spacing w:val="-1"/>
        </w:rPr>
        <w:t xml:space="preserve"> </w:t>
      </w:r>
      <w:r>
        <w:t>P</w:t>
      </w:r>
      <w:r>
        <w:rPr>
          <w:spacing w:val="-1"/>
        </w:rPr>
        <w:t>D</w:t>
      </w:r>
      <w:r>
        <w:t>S</w:t>
      </w:r>
      <w:r>
        <w:rPr>
          <w:spacing w:val="-1"/>
        </w:rPr>
        <w:t xml:space="preserve"> </w:t>
      </w:r>
      <w:r>
        <w:t>to</w:t>
      </w:r>
      <w:r>
        <w:rPr>
          <w:spacing w:val="-1"/>
        </w:rPr>
        <w:t xml:space="preserve"> </w:t>
      </w:r>
      <w:r>
        <w:t>a</w:t>
      </w:r>
      <w:r>
        <w:rPr>
          <w:spacing w:val="-1"/>
        </w:rPr>
        <w:t xml:space="preserve"> </w:t>
      </w:r>
      <w:r>
        <w:rPr>
          <w:spacing w:val="-2"/>
        </w:rPr>
        <w:t>m</w:t>
      </w:r>
      <w:r>
        <w:rPr>
          <w:spacing w:val="1"/>
        </w:rPr>
        <w:t>e</w:t>
      </w:r>
      <w:r>
        <w:rPr>
          <w:spacing w:val="-2"/>
        </w:rPr>
        <w:t>m</w:t>
      </w:r>
      <w:r>
        <w:t>b</w:t>
      </w:r>
      <w:r>
        <w:rPr>
          <w:spacing w:val="1"/>
        </w:rPr>
        <w:t>e</w:t>
      </w:r>
      <w:r>
        <w:t>r:</w:t>
      </w:r>
      <w:r>
        <w:rPr>
          <w:spacing w:val="-1"/>
        </w:rPr>
        <w:t xml:space="preserve"> </w:t>
      </w:r>
      <w:r>
        <w:t>see</w:t>
      </w:r>
      <w:r>
        <w:rPr>
          <w:spacing w:val="-1"/>
        </w:rPr>
        <w:t xml:space="preserve"> </w:t>
      </w:r>
      <w:r>
        <w:t>s1017CA(5)(a).</w:t>
      </w:r>
    </w:p>
    <w:p w14:paraId="4FC4524C" w14:textId="77777777" w:rsidR="00F46C49" w:rsidRDefault="00F46C49" w:rsidP="001D086E">
      <w:pPr>
        <w:pStyle w:val="BodyText"/>
        <w:kinsoku w:val="0"/>
        <w:spacing w:before="0" w:line="240" w:lineRule="auto"/>
        <w:ind w:right="111"/>
        <w:jc w:val="both"/>
      </w:pPr>
    </w:p>
    <w:p w14:paraId="4FC4524D" w14:textId="77777777" w:rsidR="00F46C49" w:rsidRDefault="00F46C49" w:rsidP="001D086E">
      <w:pPr>
        <w:pStyle w:val="BodyText"/>
        <w:kinsoku w:val="0"/>
        <w:spacing w:before="0" w:line="240" w:lineRule="auto"/>
        <w:ind w:right="111"/>
        <w:jc w:val="both"/>
      </w:pPr>
      <w:r>
        <w:t>For both ‘open’ and ‘closed’ accessible financial products, the trustee must notify the member of the change or event and this notice must contain information that is reasonably necessary for the member to understand the nature and effect of the change or event: see1017CA(2) and 1017CA(4). The notice must also include statements that:</w:t>
      </w:r>
    </w:p>
    <w:p w14:paraId="4FC4524E" w14:textId="77777777" w:rsidR="00756509" w:rsidRDefault="00756509" w:rsidP="001D086E">
      <w:pPr>
        <w:pStyle w:val="BodyText"/>
        <w:kinsoku w:val="0"/>
        <w:spacing w:before="0" w:line="240" w:lineRule="auto"/>
        <w:ind w:right="111"/>
        <w:jc w:val="both"/>
      </w:pPr>
    </w:p>
    <w:p w14:paraId="4FC4524F" w14:textId="77777777" w:rsidR="00756509" w:rsidRPr="001D086E" w:rsidRDefault="00756509" w:rsidP="001D086E">
      <w:pPr>
        <w:pStyle w:val="BodyText"/>
        <w:numPr>
          <w:ilvl w:val="0"/>
          <w:numId w:val="18"/>
        </w:numPr>
        <w:kinsoku w:val="0"/>
        <w:spacing w:before="0" w:line="240" w:lineRule="auto"/>
        <w:ind w:right="111"/>
        <w:jc w:val="both"/>
      </w:pPr>
      <w:r>
        <w:lastRenderedPageBreak/>
        <w:t xml:space="preserve">the </w:t>
      </w:r>
      <w:r w:rsidR="001A137A">
        <w:t>member</w:t>
      </w:r>
      <w:r>
        <w:t xml:space="preserve"> </w:t>
      </w:r>
      <w:r w:rsidR="001A137A">
        <w:rPr>
          <w:szCs w:val="24"/>
          <w:lang w:val="en-US"/>
        </w:rPr>
        <w:t>may direct the trustee</w:t>
      </w:r>
      <w:r w:rsidRPr="004B48B6">
        <w:rPr>
          <w:szCs w:val="24"/>
          <w:lang w:val="en-US"/>
        </w:rPr>
        <w:t xml:space="preserve"> to follow an investment strateg</w:t>
      </w:r>
      <w:r w:rsidR="001A137A">
        <w:rPr>
          <w:szCs w:val="24"/>
          <w:lang w:val="en-US"/>
        </w:rPr>
        <w:t>y made available by the trustee</w:t>
      </w:r>
      <w:r w:rsidRPr="004B48B6">
        <w:rPr>
          <w:szCs w:val="24"/>
          <w:lang w:val="en-US"/>
        </w:rPr>
        <w:t xml:space="preserve"> that does not involve regulated acquisitions of the accessible financial product, in relation to either or both of the following</w:t>
      </w:r>
      <w:r>
        <w:rPr>
          <w:szCs w:val="24"/>
          <w:lang w:val="en-US"/>
        </w:rPr>
        <w:t>:</w:t>
      </w:r>
    </w:p>
    <w:p w14:paraId="4FC45250" w14:textId="77777777" w:rsidR="00756509" w:rsidRDefault="00756509" w:rsidP="001D086E">
      <w:pPr>
        <w:pStyle w:val="BodyText"/>
        <w:kinsoku w:val="0"/>
        <w:spacing w:before="0" w:line="240" w:lineRule="auto"/>
        <w:ind w:right="111"/>
        <w:jc w:val="both"/>
        <w:rPr>
          <w:szCs w:val="24"/>
          <w:lang w:val="en-US"/>
        </w:rPr>
      </w:pPr>
    </w:p>
    <w:p w14:paraId="4FC45251" w14:textId="77777777" w:rsidR="00756509" w:rsidRDefault="00756509" w:rsidP="001D086E">
      <w:pPr>
        <w:pStyle w:val="BodyText"/>
        <w:kinsoku w:val="0"/>
        <w:spacing w:before="0" w:line="240" w:lineRule="auto"/>
        <w:ind w:left="1440" w:right="111" w:hanging="1440"/>
        <w:jc w:val="both"/>
        <w:rPr>
          <w:szCs w:val="24"/>
          <w:lang w:val="en-US"/>
        </w:rPr>
      </w:pPr>
      <w:r>
        <w:rPr>
          <w:szCs w:val="24"/>
          <w:lang w:val="en-US"/>
        </w:rPr>
        <w:tab/>
      </w:r>
      <w:r>
        <w:rPr>
          <w:szCs w:val="24"/>
          <w:lang w:val="en-US"/>
        </w:rPr>
        <w:tab/>
        <w:t>(a)</w:t>
      </w:r>
      <w:r>
        <w:rPr>
          <w:szCs w:val="24"/>
          <w:lang w:val="en-US"/>
        </w:rPr>
        <w:tab/>
      </w:r>
      <w:r w:rsidRPr="004B48B6">
        <w:rPr>
          <w:szCs w:val="24"/>
          <w:lang w:val="en-US"/>
        </w:rPr>
        <w:t xml:space="preserve">the holding in the </w:t>
      </w:r>
      <w:r w:rsidR="001A137A">
        <w:rPr>
          <w:szCs w:val="24"/>
          <w:lang w:val="en-US"/>
        </w:rPr>
        <w:t>product that the trustee</w:t>
      </w:r>
      <w:r w:rsidRPr="004B48B6">
        <w:rPr>
          <w:szCs w:val="24"/>
          <w:lang w:val="en-US"/>
        </w:rPr>
        <w:t xml:space="preserve"> has acquired as a result of following the affected investment strategy</w:t>
      </w:r>
      <w:r>
        <w:rPr>
          <w:szCs w:val="24"/>
          <w:lang w:val="en-US"/>
        </w:rPr>
        <w:t>; and</w:t>
      </w:r>
    </w:p>
    <w:p w14:paraId="4FC45252" w14:textId="77777777" w:rsidR="00756509" w:rsidRDefault="00756509" w:rsidP="001D086E">
      <w:pPr>
        <w:pStyle w:val="BodyText"/>
        <w:kinsoku w:val="0"/>
        <w:spacing w:before="0" w:line="240" w:lineRule="auto"/>
        <w:ind w:left="1440" w:right="111" w:hanging="1440"/>
        <w:jc w:val="both"/>
        <w:rPr>
          <w:szCs w:val="24"/>
          <w:lang w:val="en-US"/>
        </w:rPr>
      </w:pPr>
    </w:p>
    <w:p w14:paraId="4FC45253" w14:textId="77777777" w:rsidR="00756509" w:rsidRPr="001D086E" w:rsidRDefault="00756509" w:rsidP="001D086E">
      <w:pPr>
        <w:pStyle w:val="BodyText"/>
        <w:kinsoku w:val="0"/>
        <w:spacing w:before="0" w:line="240" w:lineRule="auto"/>
        <w:ind w:left="1440" w:right="111" w:hanging="1440"/>
        <w:jc w:val="both"/>
      </w:pPr>
      <w:r>
        <w:rPr>
          <w:szCs w:val="24"/>
          <w:lang w:val="en-US"/>
        </w:rPr>
        <w:tab/>
      </w:r>
      <w:r>
        <w:rPr>
          <w:szCs w:val="24"/>
          <w:lang w:val="en-US"/>
        </w:rPr>
        <w:tab/>
        <w:t>(b)</w:t>
      </w:r>
      <w:r>
        <w:rPr>
          <w:szCs w:val="24"/>
          <w:lang w:val="en-US"/>
        </w:rPr>
        <w:tab/>
      </w:r>
      <w:r w:rsidRPr="004B48B6">
        <w:rPr>
          <w:szCs w:val="24"/>
          <w:lang w:val="en-US"/>
        </w:rPr>
        <w:t>any future contribution by or on behalf of the client to the superannuation entity to the extent to which it would otherwise have been subject to the affected investment strategy</w:t>
      </w:r>
      <w:r>
        <w:rPr>
          <w:lang w:val="en-US"/>
        </w:rPr>
        <w:t>;</w:t>
      </w:r>
    </w:p>
    <w:p w14:paraId="4FC45254" w14:textId="77777777" w:rsidR="00756509" w:rsidRDefault="00756509" w:rsidP="001D086E">
      <w:pPr>
        <w:pStyle w:val="BodyText"/>
        <w:kinsoku w:val="0"/>
        <w:spacing w:before="0" w:line="240" w:lineRule="auto"/>
        <w:ind w:right="111"/>
        <w:jc w:val="both"/>
        <w:rPr>
          <w:szCs w:val="24"/>
          <w:lang w:val="en-US"/>
        </w:rPr>
      </w:pPr>
    </w:p>
    <w:p w14:paraId="4FC45255" w14:textId="77777777" w:rsidR="001A137A" w:rsidRDefault="00756509" w:rsidP="001D086E">
      <w:pPr>
        <w:pStyle w:val="BodyText"/>
        <w:numPr>
          <w:ilvl w:val="0"/>
          <w:numId w:val="18"/>
        </w:numPr>
        <w:kinsoku w:val="0"/>
        <w:spacing w:before="0" w:line="240" w:lineRule="auto"/>
        <w:ind w:right="111"/>
        <w:jc w:val="both"/>
      </w:pPr>
      <w:r>
        <w:t>if the member does not give the trustee directions – the trustee will continue to follow the affected investment strategy.</w:t>
      </w:r>
    </w:p>
    <w:p w14:paraId="4FC45256" w14:textId="77777777" w:rsidR="001A137A" w:rsidRPr="001D086E" w:rsidRDefault="001A137A" w:rsidP="001D086E">
      <w:pPr>
        <w:pStyle w:val="BodyText"/>
        <w:kinsoku w:val="0"/>
        <w:spacing w:before="0" w:line="240" w:lineRule="auto"/>
        <w:ind w:left="1040" w:right="111"/>
        <w:jc w:val="both"/>
      </w:pPr>
    </w:p>
    <w:p w14:paraId="4FC45257" w14:textId="77777777" w:rsidR="008343DF" w:rsidRPr="00705134" w:rsidRDefault="001A137A" w:rsidP="001D086E">
      <w:pPr>
        <w:kinsoku w:val="0"/>
        <w:overflowPunct w:val="0"/>
        <w:jc w:val="both"/>
        <w:rPr>
          <w:sz w:val="24"/>
          <w:szCs w:val="24"/>
        </w:rPr>
      </w:pPr>
      <w:r w:rsidRPr="001D086E">
        <w:rPr>
          <w:sz w:val="24"/>
          <w:szCs w:val="24"/>
        </w:rPr>
        <w:t xml:space="preserve">The </w:t>
      </w:r>
      <w:r w:rsidRPr="001A137A">
        <w:rPr>
          <w:sz w:val="24"/>
          <w:szCs w:val="24"/>
        </w:rPr>
        <w:t xml:space="preserve">updated disclosure requirements added by [CO 06/636] also clarify that </w:t>
      </w:r>
      <w:r w:rsidRPr="001D086E">
        <w:rPr>
          <w:sz w:val="24"/>
          <w:szCs w:val="24"/>
        </w:rPr>
        <w:t xml:space="preserve">updated disclosure </w:t>
      </w:r>
      <w:r w:rsidRPr="001D086E">
        <w:rPr>
          <w:spacing w:val="-2"/>
          <w:sz w:val="24"/>
          <w:szCs w:val="24"/>
        </w:rPr>
        <w:t>m</w:t>
      </w:r>
      <w:r w:rsidRPr="001D086E">
        <w:rPr>
          <w:sz w:val="24"/>
          <w:szCs w:val="24"/>
        </w:rPr>
        <w:t>ay be provided in the sa</w:t>
      </w:r>
      <w:r w:rsidRPr="001D086E">
        <w:rPr>
          <w:spacing w:val="-2"/>
          <w:sz w:val="24"/>
          <w:szCs w:val="24"/>
        </w:rPr>
        <w:t>m</w:t>
      </w:r>
      <w:r w:rsidRPr="001D086E">
        <w:rPr>
          <w:sz w:val="24"/>
          <w:szCs w:val="24"/>
        </w:rPr>
        <w:t>e way as disclosure under s1017B</w:t>
      </w:r>
      <w:r w:rsidRPr="001D086E">
        <w:rPr>
          <w:spacing w:val="-1"/>
          <w:sz w:val="24"/>
          <w:szCs w:val="24"/>
        </w:rPr>
        <w:t xml:space="preserve"> </w:t>
      </w:r>
      <w:r w:rsidRPr="001D086E">
        <w:rPr>
          <w:sz w:val="24"/>
          <w:szCs w:val="24"/>
        </w:rPr>
        <w:t xml:space="preserve">– that is, </w:t>
      </w:r>
      <w:r w:rsidRPr="001D086E">
        <w:rPr>
          <w:spacing w:val="-1"/>
          <w:sz w:val="24"/>
          <w:szCs w:val="24"/>
        </w:rPr>
        <w:t xml:space="preserve"> </w:t>
      </w:r>
      <w:r w:rsidRPr="001D086E">
        <w:rPr>
          <w:sz w:val="24"/>
          <w:szCs w:val="24"/>
        </w:rPr>
        <w:t>in</w:t>
      </w:r>
      <w:r w:rsidRPr="001D086E">
        <w:rPr>
          <w:spacing w:val="-1"/>
          <w:sz w:val="24"/>
          <w:szCs w:val="24"/>
        </w:rPr>
        <w:t xml:space="preserve"> </w:t>
      </w:r>
      <w:r w:rsidRPr="001D086E">
        <w:rPr>
          <w:sz w:val="24"/>
          <w:szCs w:val="24"/>
        </w:rPr>
        <w:t>writing,</w:t>
      </w:r>
      <w:r w:rsidRPr="001D086E">
        <w:rPr>
          <w:spacing w:val="-1"/>
          <w:sz w:val="24"/>
          <w:szCs w:val="24"/>
        </w:rPr>
        <w:t xml:space="preserve"> </w:t>
      </w:r>
      <w:r w:rsidRPr="001D086E">
        <w:rPr>
          <w:sz w:val="24"/>
          <w:szCs w:val="24"/>
        </w:rPr>
        <w:t>electronically</w:t>
      </w:r>
      <w:r w:rsidRPr="001D086E">
        <w:rPr>
          <w:spacing w:val="-1"/>
          <w:sz w:val="24"/>
          <w:szCs w:val="24"/>
        </w:rPr>
        <w:t xml:space="preserve"> o</w:t>
      </w:r>
      <w:r w:rsidRPr="001D086E">
        <w:rPr>
          <w:sz w:val="24"/>
          <w:szCs w:val="24"/>
        </w:rPr>
        <w:t>r</w:t>
      </w:r>
      <w:r w:rsidRPr="001D086E">
        <w:rPr>
          <w:spacing w:val="-1"/>
          <w:sz w:val="24"/>
          <w:szCs w:val="24"/>
        </w:rPr>
        <w:t xml:space="preserve"> i</w:t>
      </w:r>
      <w:r w:rsidRPr="001D086E">
        <w:rPr>
          <w:sz w:val="24"/>
          <w:szCs w:val="24"/>
        </w:rPr>
        <w:t>n</w:t>
      </w:r>
      <w:r w:rsidRPr="001D086E">
        <w:rPr>
          <w:spacing w:val="-1"/>
          <w:sz w:val="24"/>
          <w:szCs w:val="24"/>
        </w:rPr>
        <w:t xml:space="preserve"> </w:t>
      </w:r>
      <w:r w:rsidRPr="001D086E">
        <w:rPr>
          <w:sz w:val="24"/>
          <w:szCs w:val="24"/>
        </w:rPr>
        <w:t>a</w:t>
      </w:r>
      <w:r w:rsidRPr="001D086E">
        <w:rPr>
          <w:spacing w:val="-1"/>
          <w:sz w:val="24"/>
          <w:szCs w:val="24"/>
        </w:rPr>
        <w:t xml:space="preserve"> wa</w:t>
      </w:r>
      <w:r w:rsidRPr="001D086E">
        <w:rPr>
          <w:sz w:val="24"/>
          <w:szCs w:val="24"/>
        </w:rPr>
        <w:t>y</w:t>
      </w:r>
      <w:r w:rsidRPr="001D086E">
        <w:rPr>
          <w:spacing w:val="-1"/>
          <w:sz w:val="24"/>
          <w:szCs w:val="24"/>
        </w:rPr>
        <w:t xml:space="preserve"> specifie</w:t>
      </w:r>
      <w:r w:rsidRPr="001D086E">
        <w:rPr>
          <w:sz w:val="24"/>
          <w:szCs w:val="24"/>
        </w:rPr>
        <w:t>d</w:t>
      </w:r>
      <w:r w:rsidRPr="001D086E">
        <w:rPr>
          <w:spacing w:val="-1"/>
          <w:sz w:val="24"/>
          <w:szCs w:val="24"/>
        </w:rPr>
        <w:t xml:space="preserve"> i</w:t>
      </w:r>
      <w:r w:rsidRPr="001D086E">
        <w:rPr>
          <w:sz w:val="24"/>
          <w:szCs w:val="24"/>
        </w:rPr>
        <w:t>n</w:t>
      </w:r>
      <w:r w:rsidRPr="001D086E">
        <w:rPr>
          <w:spacing w:val="-1"/>
          <w:sz w:val="24"/>
          <w:szCs w:val="24"/>
        </w:rPr>
        <w:t xml:space="preserve"> the </w:t>
      </w:r>
      <w:r w:rsidRPr="001D086E">
        <w:rPr>
          <w:i/>
          <w:spacing w:val="-1"/>
          <w:sz w:val="24"/>
          <w:szCs w:val="24"/>
        </w:rPr>
        <w:t>Corporation</w:t>
      </w:r>
      <w:r w:rsidRPr="001D086E">
        <w:rPr>
          <w:i/>
          <w:sz w:val="24"/>
          <w:szCs w:val="24"/>
        </w:rPr>
        <w:t>s</w:t>
      </w:r>
      <w:r w:rsidRPr="001D086E">
        <w:rPr>
          <w:i/>
          <w:spacing w:val="-1"/>
          <w:sz w:val="24"/>
          <w:szCs w:val="24"/>
        </w:rPr>
        <w:t xml:space="preserve"> Regulation</w:t>
      </w:r>
      <w:r w:rsidRPr="001D086E">
        <w:rPr>
          <w:i/>
          <w:sz w:val="24"/>
          <w:szCs w:val="24"/>
        </w:rPr>
        <w:t>s</w:t>
      </w:r>
      <w:r w:rsidRPr="001D086E">
        <w:rPr>
          <w:i/>
          <w:spacing w:val="-1"/>
          <w:sz w:val="24"/>
          <w:szCs w:val="24"/>
        </w:rPr>
        <w:t xml:space="preserve"> 2001</w:t>
      </w:r>
      <w:r w:rsidR="00C13A7B">
        <w:rPr>
          <w:spacing w:val="-1"/>
          <w:sz w:val="24"/>
          <w:szCs w:val="24"/>
        </w:rPr>
        <w:t xml:space="preserve"> (the </w:t>
      </w:r>
      <w:r w:rsidR="00C13A7B" w:rsidRPr="00C13A7B">
        <w:rPr>
          <w:b/>
          <w:spacing w:val="-1"/>
          <w:sz w:val="24"/>
          <w:szCs w:val="24"/>
        </w:rPr>
        <w:t>Regulations</w:t>
      </w:r>
      <w:r w:rsidR="00C13A7B">
        <w:rPr>
          <w:spacing w:val="-1"/>
          <w:sz w:val="24"/>
          <w:szCs w:val="24"/>
        </w:rPr>
        <w:t xml:space="preserve">). </w:t>
      </w:r>
      <w:r w:rsidRPr="001D086E">
        <w:rPr>
          <w:spacing w:val="-1"/>
          <w:sz w:val="24"/>
          <w:szCs w:val="24"/>
        </w:rPr>
        <w:t>Further, updated dis</w:t>
      </w:r>
      <w:r>
        <w:rPr>
          <w:spacing w:val="-1"/>
          <w:sz w:val="24"/>
          <w:szCs w:val="24"/>
        </w:rPr>
        <w:t>cl</w:t>
      </w:r>
      <w:r w:rsidR="00705134">
        <w:rPr>
          <w:spacing w:val="-1"/>
          <w:sz w:val="24"/>
          <w:szCs w:val="24"/>
        </w:rPr>
        <w:t>osure is not required where the member has already received a PDS that contains all the required information, or the member has already received all the required information through a PDS that contains all the required information: see s1017CA(3), (6) and (7).</w:t>
      </w:r>
    </w:p>
    <w:p w14:paraId="4FC45258" w14:textId="77777777" w:rsidR="008343DF" w:rsidRDefault="008343DF" w:rsidP="00786CA7">
      <w:pPr>
        <w:spacing w:after="0"/>
        <w:jc w:val="both"/>
        <w:rPr>
          <w:sz w:val="24"/>
          <w:szCs w:val="24"/>
        </w:rPr>
      </w:pPr>
      <w:r>
        <w:rPr>
          <w:sz w:val="24"/>
          <w:szCs w:val="24"/>
        </w:rPr>
        <w:t xml:space="preserve">[CO 06/636] makes numerous technical drafting changes to Part 7.9 of the Act and the </w:t>
      </w:r>
      <w:r w:rsidR="00C13A7B" w:rsidRPr="001D086E">
        <w:rPr>
          <w:sz w:val="24"/>
          <w:szCs w:val="24"/>
        </w:rPr>
        <w:t>Regulations</w:t>
      </w:r>
      <w:r w:rsidRPr="00C13A7B">
        <w:rPr>
          <w:sz w:val="24"/>
          <w:szCs w:val="24"/>
        </w:rPr>
        <w:t>.</w:t>
      </w:r>
    </w:p>
    <w:p w14:paraId="4FC45259" w14:textId="77777777" w:rsidR="008343DF" w:rsidRPr="008343DF" w:rsidRDefault="008343DF" w:rsidP="00786CA7">
      <w:pPr>
        <w:spacing w:after="0"/>
        <w:jc w:val="both"/>
        <w:rPr>
          <w:sz w:val="24"/>
          <w:szCs w:val="24"/>
        </w:rPr>
      </w:pPr>
    </w:p>
    <w:p w14:paraId="4FC4525A" w14:textId="77777777" w:rsidR="00311C0E" w:rsidRDefault="00786CA7" w:rsidP="00786CA7">
      <w:pPr>
        <w:spacing w:after="0"/>
        <w:jc w:val="both"/>
        <w:rPr>
          <w:sz w:val="24"/>
          <w:szCs w:val="24"/>
        </w:rPr>
      </w:pPr>
      <w:r>
        <w:rPr>
          <w:sz w:val="24"/>
          <w:szCs w:val="24"/>
        </w:rPr>
        <w:t xml:space="preserve">After consulting with the public, ASIC decided to preserve the substantive effect of the relief under [CO 06/636] and to remake the relief in the form of this </w:t>
      </w:r>
      <w:r w:rsidR="001D086E">
        <w:rPr>
          <w:sz w:val="24"/>
          <w:szCs w:val="24"/>
        </w:rPr>
        <w:t>Instrument</w:t>
      </w:r>
      <w:r>
        <w:rPr>
          <w:sz w:val="24"/>
          <w:szCs w:val="24"/>
        </w:rPr>
        <w:t xml:space="preserve"> subject to some minor and technical amendments.</w:t>
      </w:r>
    </w:p>
    <w:p w14:paraId="4FC4525B" w14:textId="77777777" w:rsidR="00311C0E" w:rsidRDefault="00311C0E" w:rsidP="00786CA7">
      <w:pPr>
        <w:spacing w:after="0"/>
        <w:jc w:val="both"/>
        <w:rPr>
          <w:sz w:val="24"/>
          <w:szCs w:val="24"/>
        </w:rPr>
      </w:pPr>
    </w:p>
    <w:p w14:paraId="4FC4525C" w14:textId="77777777" w:rsidR="00311C0E" w:rsidRDefault="00311C0E" w:rsidP="00786CA7">
      <w:pPr>
        <w:spacing w:after="0"/>
        <w:jc w:val="both"/>
        <w:rPr>
          <w:sz w:val="24"/>
          <w:szCs w:val="24"/>
        </w:rPr>
      </w:pPr>
    </w:p>
    <w:p w14:paraId="4FC4525D" w14:textId="77777777" w:rsidR="005B0E3A" w:rsidRPr="00786CA7" w:rsidRDefault="005B0E3A" w:rsidP="00786CA7">
      <w:pPr>
        <w:pStyle w:val="Heading3"/>
        <w:keepNext w:val="0"/>
        <w:widowControl w:val="0"/>
        <w:numPr>
          <w:ilvl w:val="0"/>
          <w:numId w:val="7"/>
        </w:numPr>
        <w:tabs>
          <w:tab w:val="left" w:pos="1592"/>
        </w:tabs>
        <w:spacing w:after="0" w:line="240" w:lineRule="auto"/>
        <w:ind w:left="0" w:firstLine="0"/>
        <w:jc w:val="both"/>
        <w:rPr>
          <w:rFonts w:eastAsia="Arial"/>
          <w:b/>
          <w:bCs/>
        </w:rPr>
      </w:pPr>
      <w:bookmarkStart w:id="2" w:name="2._Purpose_of_the_class_order_"/>
      <w:bookmarkEnd w:id="2"/>
      <w:r w:rsidRPr="00786CA7">
        <w:rPr>
          <w:b/>
          <w:spacing w:val="-1"/>
        </w:rPr>
        <w:t>Purpose</w:t>
      </w:r>
      <w:r w:rsidRPr="00786CA7">
        <w:rPr>
          <w:b/>
        </w:rPr>
        <w:t xml:space="preserve"> of </w:t>
      </w:r>
      <w:r w:rsidRPr="00786CA7">
        <w:rPr>
          <w:b/>
          <w:spacing w:val="-1"/>
        </w:rPr>
        <w:t>the</w:t>
      </w:r>
      <w:r w:rsidRPr="00786CA7">
        <w:rPr>
          <w:b/>
        </w:rPr>
        <w:t xml:space="preserve"> </w:t>
      </w:r>
      <w:r w:rsidRPr="00786CA7">
        <w:rPr>
          <w:b/>
          <w:spacing w:val="-1"/>
        </w:rPr>
        <w:t>instrument</w:t>
      </w:r>
    </w:p>
    <w:p w14:paraId="4FC4525E" w14:textId="77777777" w:rsidR="005B0E3A" w:rsidRDefault="005B0E3A" w:rsidP="00786CA7">
      <w:pPr>
        <w:spacing w:after="0"/>
        <w:jc w:val="both"/>
      </w:pPr>
    </w:p>
    <w:p w14:paraId="4FC4525F" w14:textId="77777777" w:rsidR="00786CA7" w:rsidRPr="00786CA7" w:rsidRDefault="00786CA7" w:rsidP="00786CA7">
      <w:pPr>
        <w:spacing w:after="0"/>
        <w:jc w:val="both"/>
        <w:rPr>
          <w:sz w:val="24"/>
          <w:szCs w:val="24"/>
        </w:rPr>
      </w:pPr>
      <w:r w:rsidRPr="00786CA7">
        <w:rPr>
          <w:sz w:val="24"/>
          <w:szCs w:val="24"/>
        </w:rPr>
        <w:t xml:space="preserve">There are two purposes of this </w:t>
      </w:r>
      <w:r w:rsidR="001D086E">
        <w:rPr>
          <w:sz w:val="24"/>
          <w:szCs w:val="24"/>
        </w:rPr>
        <w:t>Instrument</w:t>
      </w:r>
      <w:r w:rsidRPr="00786CA7">
        <w:rPr>
          <w:sz w:val="24"/>
          <w:szCs w:val="24"/>
        </w:rPr>
        <w:t>:</w:t>
      </w:r>
    </w:p>
    <w:p w14:paraId="4FC45260" w14:textId="77777777" w:rsidR="00786CA7" w:rsidRDefault="00786CA7" w:rsidP="00786CA7">
      <w:pPr>
        <w:spacing w:after="0"/>
        <w:jc w:val="both"/>
        <w:rPr>
          <w:sz w:val="24"/>
          <w:szCs w:val="24"/>
        </w:rPr>
      </w:pPr>
    </w:p>
    <w:p w14:paraId="4FC45261" w14:textId="77777777" w:rsidR="00786CA7" w:rsidRDefault="00786CA7" w:rsidP="00786CA7">
      <w:pPr>
        <w:spacing w:after="0"/>
        <w:jc w:val="both"/>
        <w:rPr>
          <w:sz w:val="24"/>
          <w:szCs w:val="24"/>
        </w:rPr>
      </w:pPr>
      <w:r w:rsidRPr="00786CA7">
        <w:rPr>
          <w:sz w:val="24"/>
          <w:szCs w:val="24"/>
        </w:rPr>
        <w:t>(a)</w:t>
      </w:r>
      <w:r w:rsidRPr="00786CA7">
        <w:rPr>
          <w:sz w:val="24"/>
          <w:szCs w:val="24"/>
        </w:rPr>
        <w:tab/>
        <w:t>to continue the substance of the relief under [CO 06/636];</w:t>
      </w:r>
      <w:r>
        <w:rPr>
          <w:sz w:val="24"/>
          <w:szCs w:val="24"/>
        </w:rPr>
        <w:t xml:space="preserve"> and</w:t>
      </w:r>
    </w:p>
    <w:p w14:paraId="4FC45262" w14:textId="77777777" w:rsidR="00786CA7" w:rsidRPr="00786CA7" w:rsidRDefault="00786CA7" w:rsidP="00786CA7">
      <w:pPr>
        <w:spacing w:after="0"/>
        <w:jc w:val="both"/>
        <w:rPr>
          <w:sz w:val="24"/>
          <w:szCs w:val="24"/>
        </w:rPr>
      </w:pPr>
    </w:p>
    <w:p w14:paraId="4FC45263" w14:textId="03CA2EFE" w:rsidR="00786CA7" w:rsidRPr="00786CA7" w:rsidRDefault="00786CA7" w:rsidP="00786CA7">
      <w:pPr>
        <w:spacing w:after="0"/>
        <w:ind w:left="720" w:hanging="720"/>
        <w:jc w:val="both"/>
        <w:rPr>
          <w:sz w:val="24"/>
          <w:szCs w:val="24"/>
        </w:rPr>
      </w:pPr>
      <w:r w:rsidRPr="00786CA7">
        <w:rPr>
          <w:sz w:val="24"/>
          <w:szCs w:val="24"/>
        </w:rPr>
        <w:t>(b)</w:t>
      </w:r>
      <w:r w:rsidRPr="00786CA7">
        <w:rPr>
          <w:sz w:val="24"/>
          <w:szCs w:val="24"/>
        </w:rPr>
        <w:tab/>
        <w:t xml:space="preserve">to </w:t>
      </w:r>
      <w:r>
        <w:rPr>
          <w:sz w:val="24"/>
          <w:szCs w:val="24"/>
        </w:rPr>
        <w:t>refine the terms of the relief to clarify its operation.</w:t>
      </w:r>
    </w:p>
    <w:p w14:paraId="4FC45264" w14:textId="77777777" w:rsidR="005B0E3A" w:rsidRDefault="005B0E3A" w:rsidP="00786CA7">
      <w:pPr>
        <w:spacing w:after="0"/>
        <w:jc w:val="both"/>
        <w:rPr>
          <w:sz w:val="24"/>
          <w:szCs w:val="24"/>
        </w:rPr>
      </w:pPr>
    </w:p>
    <w:p w14:paraId="4FC45265" w14:textId="77777777" w:rsidR="005B0E3A" w:rsidRPr="00786CA7" w:rsidRDefault="005B0E3A" w:rsidP="004F4A0C">
      <w:pPr>
        <w:pStyle w:val="Heading3"/>
        <w:keepNext w:val="0"/>
        <w:widowControl w:val="0"/>
        <w:numPr>
          <w:ilvl w:val="0"/>
          <w:numId w:val="7"/>
        </w:numPr>
        <w:tabs>
          <w:tab w:val="left" w:pos="1593"/>
        </w:tabs>
        <w:spacing w:after="0" w:line="240" w:lineRule="auto"/>
        <w:ind w:left="0" w:firstLine="0"/>
        <w:jc w:val="both"/>
        <w:rPr>
          <w:rFonts w:eastAsia="Arial"/>
          <w:b/>
          <w:bCs/>
        </w:rPr>
      </w:pPr>
      <w:bookmarkStart w:id="3" w:name="3._Operation_of_the_class_order_"/>
      <w:bookmarkEnd w:id="3"/>
      <w:r w:rsidRPr="00786CA7">
        <w:rPr>
          <w:b/>
          <w:spacing w:val="-1"/>
        </w:rPr>
        <w:t>Operation</w:t>
      </w:r>
      <w:r w:rsidRPr="00786CA7">
        <w:rPr>
          <w:b/>
        </w:rPr>
        <w:t xml:space="preserve"> </w:t>
      </w:r>
      <w:r w:rsidRPr="00786CA7">
        <w:rPr>
          <w:b/>
          <w:spacing w:val="-1"/>
        </w:rPr>
        <w:t>of</w:t>
      </w:r>
      <w:r w:rsidRPr="00786CA7">
        <w:rPr>
          <w:b/>
        </w:rPr>
        <w:t xml:space="preserve"> </w:t>
      </w:r>
      <w:r w:rsidRPr="00786CA7">
        <w:rPr>
          <w:b/>
          <w:spacing w:val="-1"/>
        </w:rPr>
        <w:t>the</w:t>
      </w:r>
      <w:r w:rsidRPr="00786CA7">
        <w:rPr>
          <w:b/>
        </w:rPr>
        <w:t xml:space="preserve"> instrument</w:t>
      </w:r>
    </w:p>
    <w:p w14:paraId="4FC45266" w14:textId="77777777" w:rsidR="005B0E3A" w:rsidRDefault="005B0E3A" w:rsidP="004F4A0C">
      <w:pPr>
        <w:spacing w:after="0"/>
        <w:jc w:val="both"/>
      </w:pPr>
    </w:p>
    <w:p w14:paraId="4FC45267" w14:textId="707059F4" w:rsidR="005B0E3A" w:rsidRDefault="004F4A0C" w:rsidP="004F4A0C">
      <w:pPr>
        <w:spacing w:after="0"/>
        <w:jc w:val="both"/>
        <w:rPr>
          <w:sz w:val="24"/>
          <w:szCs w:val="24"/>
        </w:rPr>
      </w:pPr>
      <w:r>
        <w:rPr>
          <w:sz w:val="24"/>
          <w:szCs w:val="24"/>
        </w:rPr>
        <w:t xml:space="preserve">The </w:t>
      </w:r>
      <w:r w:rsidR="001D086E">
        <w:rPr>
          <w:sz w:val="24"/>
          <w:szCs w:val="24"/>
        </w:rPr>
        <w:t>Instrument</w:t>
      </w:r>
      <w:r>
        <w:rPr>
          <w:sz w:val="24"/>
          <w:szCs w:val="24"/>
        </w:rPr>
        <w:t xml:space="preserve"> preserves the substantive effect of [CO 06/636] and makes some technical changes. The changes are intended to clarify the operation of the PDS provisions where the relief applies.</w:t>
      </w:r>
    </w:p>
    <w:p w14:paraId="6C334F7B" w14:textId="690DF2FA" w:rsidR="00627117" w:rsidRDefault="00627117" w:rsidP="00875070">
      <w:pPr>
        <w:spacing w:after="0"/>
        <w:rPr>
          <w:b/>
          <w:sz w:val="24"/>
          <w:szCs w:val="24"/>
        </w:rPr>
      </w:pPr>
    </w:p>
    <w:p w14:paraId="572F5389" w14:textId="77777777" w:rsidR="00627117" w:rsidRDefault="00627117">
      <w:pPr>
        <w:spacing w:after="0"/>
        <w:rPr>
          <w:b/>
          <w:sz w:val="24"/>
          <w:szCs w:val="24"/>
        </w:rPr>
      </w:pPr>
      <w:r>
        <w:rPr>
          <w:b/>
          <w:sz w:val="24"/>
          <w:szCs w:val="24"/>
        </w:rPr>
        <w:br w:type="page"/>
      </w:r>
    </w:p>
    <w:p w14:paraId="7A99603D" w14:textId="77777777" w:rsidR="00627117" w:rsidRDefault="00627117" w:rsidP="00875070">
      <w:pPr>
        <w:spacing w:after="0"/>
        <w:rPr>
          <w:b/>
          <w:sz w:val="24"/>
          <w:szCs w:val="24"/>
        </w:rPr>
      </w:pPr>
    </w:p>
    <w:p w14:paraId="4FC45271" w14:textId="077D02DF" w:rsidR="00007739" w:rsidRPr="00875070" w:rsidRDefault="00ED1275" w:rsidP="00875070">
      <w:pPr>
        <w:spacing w:after="0"/>
        <w:rPr>
          <w:sz w:val="24"/>
          <w:szCs w:val="24"/>
        </w:rPr>
      </w:pPr>
      <w:r>
        <w:rPr>
          <w:b/>
          <w:sz w:val="24"/>
          <w:szCs w:val="24"/>
        </w:rPr>
        <w:t>Different options for giving PDSs</w:t>
      </w:r>
    </w:p>
    <w:p w14:paraId="4FC45272" w14:textId="77777777" w:rsidR="00007739" w:rsidRDefault="00007739" w:rsidP="004F4A0C">
      <w:pPr>
        <w:spacing w:after="0"/>
        <w:jc w:val="both"/>
        <w:rPr>
          <w:sz w:val="24"/>
          <w:szCs w:val="24"/>
        </w:rPr>
      </w:pPr>
    </w:p>
    <w:p w14:paraId="4FC45273" w14:textId="77777777" w:rsidR="002115D4" w:rsidRPr="00930BE4" w:rsidRDefault="002115D4" w:rsidP="004F4A0C">
      <w:pPr>
        <w:spacing w:after="0"/>
        <w:jc w:val="both"/>
        <w:rPr>
          <w:b/>
          <w:i/>
          <w:sz w:val="24"/>
          <w:szCs w:val="24"/>
        </w:rPr>
      </w:pPr>
      <w:r>
        <w:rPr>
          <w:b/>
          <w:i/>
          <w:sz w:val="24"/>
          <w:szCs w:val="24"/>
        </w:rPr>
        <w:t>General</w:t>
      </w:r>
    </w:p>
    <w:p w14:paraId="4FC45274" w14:textId="77777777" w:rsidR="002115D4" w:rsidRDefault="002115D4" w:rsidP="004F4A0C">
      <w:pPr>
        <w:spacing w:after="0"/>
        <w:jc w:val="both"/>
        <w:rPr>
          <w:sz w:val="24"/>
          <w:szCs w:val="24"/>
        </w:rPr>
      </w:pPr>
    </w:p>
    <w:p w14:paraId="4FC45275" w14:textId="77777777" w:rsidR="00BD0EBC" w:rsidRDefault="00BD0EBC" w:rsidP="004F4A0C">
      <w:pPr>
        <w:spacing w:after="0"/>
        <w:jc w:val="both"/>
        <w:rPr>
          <w:sz w:val="24"/>
          <w:szCs w:val="24"/>
        </w:rPr>
      </w:pPr>
      <w:r>
        <w:rPr>
          <w:sz w:val="24"/>
          <w:szCs w:val="24"/>
        </w:rPr>
        <w:t>The Instrument inserts s1013FB into the Act to allow the trustee of a superannuation fund to choose between different methods of giving PDSs where a financial product may be acquired through the fund: refer to s1013FB(1) of the Act, as inserted by s5(e) of the Instrument.</w:t>
      </w:r>
    </w:p>
    <w:p w14:paraId="4FC45276" w14:textId="77777777" w:rsidR="00BD0EBC" w:rsidRDefault="00BD0EBC" w:rsidP="004F4A0C">
      <w:pPr>
        <w:spacing w:after="0"/>
        <w:jc w:val="both"/>
        <w:rPr>
          <w:sz w:val="24"/>
          <w:szCs w:val="24"/>
        </w:rPr>
      </w:pPr>
    </w:p>
    <w:p w14:paraId="4FC45277" w14:textId="77777777" w:rsidR="00BD0EBC" w:rsidRDefault="00BD0EBC" w:rsidP="004F4A0C">
      <w:pPr>
        <w:spacing w:after="0"/>
        <w:jc w:val="both"/>
        <w:rPr>
          <w:sz w:val="24"/>
          <w:szCs w:val="24"/>
        </w:rPr>
      </w:pPr>
      <w:r>
        <w:rPr>
          <w:sz w:val="24"/>
          <w:szCs w:val="24"/>
        </w:rPr>
        <w:t>A trustee may elect to not rely on the relief under the Instrument. If this occurs, s1012IA will apply unaffected by the Instrument. This will mean that the trustee will be required to give a member a PDS in relation to the superannuation fund and, on each occasion an interest is acquired in a financial product through the superannuation fund, a PDS for the relevant financial product. This position is reflected in s1013FB(2)(c) of the Act, as inserted by s5(e) of the Instrument.</w:t>
      </w:r>
    </w:p>
    <w:p w14:paraId="4FC45278" w14:textId="77777777" w:rsidR="00BD0EBC" w:rsidRDefault="00BD0EBC" w:rsidP="004F4A0C">
      <w:pPr>
        <w:spacing w:after="0"/>
        <w:jc w:val="both"/>
        <w:rPr>
          <w:sz w:val="24"/>
          <w:szCs w:val="24"/>
        </w:rPr>
      </w:pPr>
    </w:p>
    <w:p w14:paraId="4FC45279" w14:textId="77777777" w:rsidR="00BD0EBC" w:rsidRDefault="00BD0EBC" w:rsidP="004F4A0C">
      <w:pPr>
        <w:spacing w:after="0"/>
        <w:jc w:val="both"/>
        <w:rPr>
          <w:sz w:val="24"/>
          <w:szCs w:val="24"/>
        </w:rPr>
      </w:pPr>
      <w:r>
        <w:rPr>
          <w:sz w:val="24"/>
          <w:szCs w:val="24"/>
        </w:rPr>
        <w:t>If a trustee chooses to rely on the relief under the Instrument, th</w:t>
      </w:r>
      <w:r w:rsidR="0062127A">
        <w:rPr>
          <w:sz w:val="24"/>
          <w:szCs w:val="24"/>
        </w:rPr>
        <w:t>ere are two methods available for</w:t>
      </w:r>
      <w:r>
        <w:rPr>
          <w:sz w:val="24"/>
          <w:szCs w:val="24"/>
        </w:rPr>
        <w:t xml:space="preserve"> giving PDSs to a member</w:t>
      </w:r>
      <w:r w:rsidR="0062127A">
        <w:rPr>
          <w:sz w:val="24"/>
          <w:szCs w:val="24"/>
        </w:rPr>
        <w:t>:</w:t>
      </w:r>
    </w:p>
    <w:p w14:paraId="4FC4527A" w14:textId="77777777" w:rsidR="0062127A" w:rsidRDefault="0062127A" w:rsidP="004F4A0C">
      <w:pPr>
        <w:spacing w:after="0"/>
        <w:jc w:val="both"/>
        <w:rPr>
          <w:sz w:val="24"/>
          <w:szCs w:val="24"/>
        </w:rPr>
      </w:pPr>
    </w:p>
    <w:p w14:paraId="4FC4527B" w14:textId="77777777" w:rsidR="0062127A" w:rsidRDefault="0062127A" w:rsidP="00930BE4">
      <w:pPr>
        <w:spacing w:after="0"/>
        <w:ind w:left="720" w:hanging="720"/>
        <w:jc w:val="both"/>
        <w:rPr>
          <w:sz w:val="24"/>
          <w:szCs w:val="24"/>
        </w:rPr>
      </w:pPr>
      <w:r>
        <w:rPr>
          <w:sz w:val="24"/>
          <w:szCs w:val="24"/>
        </w:rPr>
        <w:t>(a)</w:t>
      </w:r>
      <w:r>
        <w:rPr>
          <w:sz w:val="24"/>
          <w:szCs w:val="24"/>
        </w:rPr>
        <w:tab/>
        <w:t>separate PDSs for the superannuation fund PDS and each accessible financial product PDS: refer to s1013FB(2)(a), 1013FB(3) and 1013FB(4); or</w:t>
      </w:r>
    </w:p>
    <w:p w14:paraId="4FC4527C" w14:textId="77777777" w:rsidR="0062127A" w:rsidRDefault="0062127A" w:rsidP="00930BE4">
      <w:pPr>
        <w:spacing w:after="0"/>
        <w:ind w:left="720" w:hanging="720"/>
        <w:jc w:val="both"/>
        <w:rPr>
          <w:sz w:val="24"/>
          <w:szCs w:val="24"/>
        </w:rPr>
      </w:pPr>
    </w:p>
    <w:p w14:paraId="4FC4527D" w14:textId="77777777" w:rsidR="0062127A" w:rsidRDefault="0062127A" w:rsidP="00930BE4">
      <w:pPr>
        <w:spacing w:after="0"/>
        <w:ind w:left="720" w:hanging="720"/>
        <w:jc w:val="both"/>
        <w:rPr>
          <w:sz w:val="24"/>
          <w:szCs w:val="24"/>
        </w:rPr>
      </w:pPr>
      <w:r>
        <w:rPr>
          <w:sz w:val="24"/>
          <w:szCs w:val="24"/>
        </w:rPr>
        <w:t>(b)</w:t>
      </w:r>
      <w:r>
        <w:rPr>
          <w:sz w:val="24"/>
          <w:szCs w:val="24"/>
        </w:rPr>
        <w:tab/>
        <w:t>an integrated PDS for the superannuation fund and each accessible financial product: refer to s1013FB(2)(b), 1013FB(5) and 1013FB(6).</w:t>
      </w:r>
    </w:p>
    <w:p w14:paraId="4FC4527E" w14:textId="77777777" w:rsidR="00BD0EBC" w:rsidRDefault="00BD0EBC" w:rsidP="004F4A0C">
      <w:pPr>
        <w:spacing w:after="0"/>
        <w:jc w:val="both"/>
        <w:rPr>
          <w:sz w:val="24"/>
          <w:szCs w:val="24"/>
        </w:rPr>
      </w:pPr>
    </w:p>
    <w:p w14:paraId="4FC4527F" w14:textId="77777777" w:rsidR="00BD0EBC" w:rsidRDefault="00D12ADD" w:rsidP="004F4A0C">
      <w:pPr>
        <w:spacing w:after="0"/>
        <w:jc w:val="both"/>
        <w:rPr>
          <w:sz w:val="24"/>
          <w:szCs w:val="24"/>
        </w:rPr>
      </w:pPr>
      <w:r>
        <w:rPr>
          <w:sz w:val="24"/>
          <w:szCs w:val="24"/>
        </w:rPr>
        <w:t>This preserves the position that existed under [CO 06/636]</w:t>
      </w:r>
      <w:r w:rsidR="0062127A">
        <w:rPr>
          <w:sz w:val="24"/>
          <w:szCs w:val="24"/>
        </w:rPr>
        <w:t>, subject to non-substantive changes to the terms of the relief</w:t>
      </w:r>
      <w:r>
        <w:rPr>
          <w:sz w:val="24"/>
          <w:szCs w:val="24"/>
        </w:rPr>
        <w:t>.</w:t>
      </w:r>
    </w:p>
    <w:p w14:paraId="4FC45280" w14:textId="77777777" w:rsidR="002115D4" w:rsidRDefault="002115D4" w:rsidP="004F4A0C">
      <w:pPr>
        <w:spacing w:after="0"/>
        <w:jc w:val="both"/>
        <w:rPr>
          <w:sz w:val="24"/>
          <w:szCs w:val="24"/>
        </w:rPr>
      </w:pPr>
    </w:p>
    <w:p w14:paraId="4FC45281" w14:textId="77777777" w:rsidR="002115D4" w:rsidRDefault="002115D4" w:rsidP="004F4A0C">
      <w:pPr>
        <w:spacing w:after="0"/>
        <w:jc w:val="both"/>
        <w:rPr>
          <w:b/>
          <w:i/>
          <w:sz w:val="24"/>
          <w:szCs w:val="24"/>
        </w:rPr>
      </w:pPr>
      <w:r w:rsidRPr="00930BE4">
        <w:rPr>
          <w:b/>
          <w:i/>
          <w:sz w:val="24"/>
          <w:szCs w:val="24"/>
        </w:rPr>
        <w:t>Separate PDSs</w:t>
      </w:r>
      <w:r w:rsidR="00072221" w:rsidRPr="00072221">
        <w:rPr>
          <w:b/>
          <w:i/>
          <w:sz w:val="24"/>
          <w:szCs w:val="24"/>
        </w:rPr>
        <w:t xml:space="preserve"> </w:t>
      </w:r>
      <w:r w:rsidR="00072221">
        <w:rPr>
          <w:b/>
          <w:i/>
          <w:sz w:val="24"/>
          <w:szCs w:val="24"/>
        </w:rPr>
        <w:t>method</w:t>
      </w:r>
    </w:p>
    <w:p w14:paraId="4FC45282" w14:textId="77777777" w:rsidR="00CF543D" w:rsidRPr="00930BE4" w:rsidRDefault="00CF543D" w:rsidP="004F4A0C">
      <w:pPr>
        <w:spacing w:after="0"/>
        <w:jc w:val="both"/>
        <w:rPr>
          <w:b/>
          <w:i/>
          <w:sz w:val="24"/>
          <w:szCs w:val="24"/>
        </w:rPr>
      </w:pPr>
    </w:p>
    <w:p w14:paraId="4FC45283" w14:textId="77777777" w:rsidR="00072221" w:rsidRDefault="004F4A0C" w:rsidP="004F4A0C">
      <w:pPr>
        <w:spacing w:after="0"/>
        <w:jc w:val="both"/>
        <w:rPr>
          <w:sz w:val="24"/>
          <w:szCs w:val="24"/>
        </w:rPr>
      </w:pPr>
      <w:r>
        <w:rPr>
          <w:sz w:val="24"/>
          <w:szCs w:val="24"/>
        </w:rPr>
        <w:t xml:space="preserve">The new s1013FB(3)(a) of the Act, as inserted by the </w:t>
      </w:r>
      <w:r w:rsidR="001D086E">
        <w:rPr>
          <w:sz w:val="24"/>
          <w:szCs w:val="24"/>
        </w:rPr>
        <w:t>Instrument</w:t>
      </w:r>
      <w:r>
        <w:rPr>
          <w:sz w:val="24"/>
          <w:szCs w:val="24"/>
        </w:rPr>
        <w:t xml:space="preserve">, clarifies that, where a trustee chooses to rely on </w:t>
      </w:r>
      <w:r w:rsidR="00072221">
        <w:rPr>
          <w:sz w:val="24"/>
          <w:szCs w:val="24"/>
        </w:rPr>
        <w:t>this method</w:t>
      </w:r>
      <w:r>
        <w:rPr>
          <w:sz w:val="24"/>
          <w:szCs w:val="24"/>
        </w:rPr>
        <w:t xml:space="preserve">, the PDS requirements that apply to the superannuation fund </w:t>
      </w:r>
      <w:r w:rsidR="00072221">
        <w:rPr>
          <w:sz w:val="24"/>
          <w:szCs w:val="24"/>
        </w:rPr>
        <w:t xml:space="preserve">under Division 2 of Part 7.9 of the Act </w:t>
      </w:r>
      <w:r w:rsidR="00004FEE">
        <w:rPr>
          <w:sz w:val="24"/>
          <w:szCs w:val="24"/>
        </w:rPr>
        <w:t>will continue to apply in full</w:t>
      </w:r>
      <w:r w:rsidR="00072221">
        <w:rPr>
          <w:sz w:val="24"/>
          <w:szCs w:val="24"/>
        </w:rPr>
        <w:t xml:space="preserve">. In many cases, the PDS requirements that apply to the superannuation fund will be the shorter </w:t>
      </w:r>
      <w:r w:rsidR="00072221" w:rsidRPr="00072221">
        <w:rPr>
          <w:sz w:val="24"/>
          <w:szCs w:val="24"/>
        </w:rPr>
        <w:t xml:space="preserve">PDS requirements under Schedule 10D of the </w:t>
      </w:r>
      <w:r w:rsidR="00072221" w:rsidRPr="00930BE4">
        <w:rPr>
          <w:sz w:val="24"/>
          <w:szCs w:val="24"/>
        </w:rPr>
        <w:t>Regulations</w:t>
      </w:r>
      <w:r w:rsidR="00072221">
        <w:rPr>
          <w:sz w:val="24"/>
          <w:szCs w:val="24"/>
        </w:rPr>
        <w:t>: refer to reg 7.9.11O of the Regulations.</w:t>
      </w:r>
    </w:p>
    <w:p w14:paraId="4FC45284" w14:textId="77777777" w:rsidR="00072221" w:rsidRDefault="00072221" w:rsidP="004F4A0C">
      <w:pPr>
        <w:spacing w:after="0"/>
        <w:jc w:val="both"/>
        <w:rPr>
          <w:sz w:val="24"/>
          <w:szCs w:val="24"/>
        </w:rPr>
      </w:pPr>
    </w:p>
    <w:p w14:paraId="4FC45285" w14:textId="77777777" w:rsidR="00072221" w:rsidRDefault="00072221" w:rsidP="004F4A0C">
      <w:pPr>
        <w:spacing w:after="0"/>
        <w:jc w:val="both"/>
        <w:rPr>
          <w:sz w:val="24"/>
          <w:szCs w:val="24"/>
        </w:rPr>
      </w:pPr>
      <w:r>
        <w:rPr>
          <w:sz w:val="24"/>
          <w:szCs w:val="24"/>
        </w:rPr>
        <w:t>The Instrument provides that, in addition to the information regarding the superannuation fund, particular information must be given under this method about each accessible financial product</w:t>
      </w:r>
      <w:r w:rsidR="00657B7E">
        <w:rPr>
          <w:sz w:val="24"/>
          <w:szCs w:val="24"/>
        </w:rPr>
        <w:t>: refer s1013FB(3)(b)</w:t>
      </w:r>
      <w:r>
        <w:rPr>
          <w:sz w:val="24"/>
          <w:szCs w:val="24"/>
        </w:rPr>
        <w:t xml:space="preserve">. The Instrument requires that the PDS for </w:t>
      </w:r>
      <w:r w:rsidR="00756545">
        <w:rPr>
          <w:sz w:val="24"/>
          <w:szCs w:val="24"/>
        </w:rPr>
        <w:t>the superannuation fund must al</w:t>
      </w:r>
      <w:r>
        <w:rPr>
          <w:sz w:val="24"/>
          <w:szCs w:val="24"/>
        </w:rPr>
        <w:t xml:space="preserve">so contain the information that </w:t>
      </w:r>
      <w:r w:rsidR="00756545">
        <w:rPr>
          <w:sz w:val="24"/>
          <w:szCs w:val="24"/>
        </w:rPr>
        <w:t>a person would reasonably require as a retail client to:</w:t>
      </w:r>
    </w:p>
    <w:p w14:paraId="4FC45286" w14:textId="77777777" w:rsidR="00756545" w:rsidRDefault="00756545" w:rsidP="004F4A0C">
      <w:pPr>
        <w:spacing w:after="0"/>
        <w:jc w:val="both"/>
        <w:rPr>
          <w:sz w:val="24"/>
          <w:szCs w:val="24"/>
        </w:rPr>
      </w:pPr>
    </w:p>
    <w:p w14:paraId="4FC45287" w14:textId="77777777" w:rsidR="00756545" w:rsidRDefault="00756545" w:rsidP="00930BE4">
      <w:pPr>
        <w:pStyle w:val="ListParagraph"/>
        <w:numPr>
          <w:ilvl w:val="0"/>
          <w:numId w:val="18"/>
        </w:numPr>
        <w:spacing w:after="0"/>
        <w:jc w:val="both"/>
        <w:rPr>
          <w:sz w:val="24"/>
          <w:szCs w:val="24"/>
        </w:rPr>
      </w:pPr>
      <w:r>
        <w:rPr>
          <w:sz w:val="24"/>
          <w:szCs w:val="24"/>
        </w:rPr>
        <w:t>identify the accessible financial product;</w:t>
      </w:r>
    </w:p>
    <w:p w14:paraId="4FC45288" w14:textId="77777777" w:rsidR="00756545" w:rsidRDefault="00756545" w:rsidP="00930BE4">
      <w:pPr>
        <w:pStyle w:val="ListParagraph"/>
        <w:numPr>
          <w:ilvl w:val="0"/>
          <w:numId w:val="18"/>
        </w:numPr>
        <w:spacing w:after="0"/>
        <w:jc w:val="both"/>
        <w:rPr>
          <w:sz w:val="24"/>
          <w:szCs w:val="24"/>
        </w:rPr>
      </w:pPr>
      <w:r>
        <w:rPr>
          <w:sz w:val="24"/>
          <w:szCs w:val="24"/>
        </w:rPr>
        <w:t>understand the investment strategy under which the product may be acquired; and</w:t>
      </w:r>
    </w:p>
    <w:p w14:paraId="4FC45289" w14:textId="77777777" w:rsidR="00756545" w:rsidRDefault="00756545" w:rsidP="00930BE4">
      <w:pPr>
        <w:pStyle w:val="ListParagraph"/>
        <w:numPr>
          <w:ilvl w:val="0"/>
          <w:numId w:val="18"/>
        </w:numPr>
        <w:spacing w:after="0"/>
        <w:jc w:val="both"/>
        <w:rPr>
          <w:sz w:val="24"/>
          <w:szCs w:val="24"/>
        </w:rPr>
      </w:pPr>
      <w:r>
        <w:rPr>
          <w:sz w:val="24"/>
          <w:szCs w:val="24"/>
        </w:rPr>
        <w:t>work out whether to ask for further information about the product.</w:t>
      </w:r>
    </w:p>
    <w:p w14:paraId="4FC4528A" w14:textId="77777777" w:rsidR="00756545" w:rsidRDefault="00756545" w:rsidP="00756545">
      <w:pPr>
        <w:spacing w:after="0"/>
        <w:jc w:val="both"/>
        <w:rPr>
          <w:sz w:val="24"/>
          <w:szCs w:val="24"/>
        </w:rPr>
      </w:pPr>
    </w:p>
    <w:p w14:paraId="4FC4528C" w14:textId="2CCA3982" w:rsidR="003B57F2" w:rsidRDefault="003B57F2" w:rsidP="00756545">
      <w:pPr>
        <w:spacing w:after="0"/>
        <w:jc w:val="both"/>
        <w:rPr>
          <w:sz w:val="24"/>
          <w:szCs w:val="24"/>
        </w:rPr>
      </w:pPr>
      <w:r>
        <w:rPr>
          <w:sz w:val="24"/>
          <w:szCs w:val="24"/>
        </w:rPr>
        <w:t>Further, the Instrument requires that the PDS for the superannuation fund includes either</w:t>
      </w:r>
      <w:r w:rsidR="00657B7E">
        <w:rPr>
          <w:sz w:val="24"/>
          <w:szCs w:val="24"/>
        </w:rPr>
        <w:t xml:space="preserve"> (refer to s1013FB(3)(c))</w:t>
      </w:r>
      <w:r>
        <w:rPr>
          <w:sz w:val="24"/>
          <w:szCs w:val="24"/>
        </w:rPr>
        <w:t>:</w:t>
      </w:r>
    </w:p>
    <w:p w14:paraId="1B65D5DD" w14:textId="77777777" w:rsidR="00627117" w:rsidRDefault="00627117" w:rsidP="00756545">
      <w:pPr>
        <w:spacing w:after="0"/>
        <w:jc w:val="both"/>
        <w:rPr>
          <w:sz w:val="24"/>
          <w:szCs w:val="24"/>
        </w:rPr>
      </w:pPr>
    </w:p>
    <w:p w14:paraId="4FC4528D" w14:textId="77777777" w:rsidR="003B57F2" w:rsidRDefault="003B57F2" w:rsidP="00930BE4">
      <w:pPr>
        <w:pStyle w:val="ListParagraph"/>
        <w:numPr>
          <w:ilvl w:val="0"/>
          <w:numId w:val="19"/>
        </w:numPr>
        <w:spacing w:after="0"/>
        <w:jc w:val="both"/>
        <w:rPr>
          <w:sz w:val="24"/>
          <w:szCs w:val="24"/>
        </w:rPr>
      </w:pPr>
      <w:r>
        <w:rPr>
          <w:sz w:val="24"/>
          <w:szCs w:val="24"/>
        </w:rPr>
        <w:lastRenderedPageBreak/>
        <w:t>a statement that informs people of their right to obtain from the trustee a PDS for the accessible financial product that the trustee has prepared; or</w:t>
      </w:r>
    </w:p>
    <w:p w14:paraId="4FC4528E" w14:textId="77777777" w:rsidR="003B57F2" w:rsidRDefault="003B57F2" w:rsidP="003B57F2">
      <w:pPr>
        <w:spacing w:after="0"/>
        <w:jc w:val="both"/>
        <w:rPr>
          <w:sz w:val="24"/>
          <w:szCs w:val="24"/>
        </w:rPr>
      </w:pPr>
    </w:p>
    <w:p w14:paraId="4FC4528F" w14:textId="77777777" w:rsidR="003B57F2" w:rsidRDefault="003B57F2" w:rsidP="00930BE4">
      <w:pPr>
        <w:pStyle w:val="ListParagraph"/>
        <w:numPr>
          <w:ilvl w:val="0"/>
          <w:numId w:val="19"/>
        </w:numPr>
        <w:spacing w:after="0"/>
        <w:jc w:val="both"/>
        <w:rPr>
          <w:sz w:val="24"/>
          <w:szCs w:val="24"/>
        </w:rPr>
      </w:pPr>
      <w:r>
        <w:rPr>
          <w:sz w:val="24"/>
          <w:szCs w:val="24"/>
        </w:rPr>
        <w:t>a statement that informs people of their right to obtain from the trustee a PDS for the accessible financial product that the issuer of the product has prepared.</w:t>
      </w:r>
    </w:p>
    <w:p w14:paraId="4FC45290" w14:textId="77777777" w:rsidR="003B57F2" w:rsidRDefault="003B57F2" w:rsidP="003B57F2">
      <w:pPr>
        <w:spacing w:after="0"/>
        <w:jc w:val="both"/>
        <w:rPr>
          <w:sz w:val="24"/>
          <w:szCs w:val="24"/>
        </w:rPr>
      </w:pPr>
    </w:p>
    <w:p w14:paraId="4FC45291" w14:textId="38B68077" w:rsidR="003B57F2" w:rsidRDefault="003B57F2" w:rsidP="003B57F2">
      <w:pPr>
        <w:spacing w:after="0"/>
        <w:jc w:val="both"/>
        <w:rPr>
          <w:sz w:val="24"/>
          <w:szCs w:val="24"/>
        </w:rPr>
      </w:pPr>
      <w:r>
        <w:rPr>
          <w:sz w:val="24"/>
          <w:szCs w:val="24"/>
        </w:rPr>
        <w:t xml:space="preserve">As the PDS for an accessible financial product must satisfy the requirements of Division 2 of Part 7.9 of the Act, the shorter PDS requirements will apply for some types of accessible financial products. </w:t>
      </w:r>
      <w:r w:rsidR="00C06EF5">
        <w:rPr>
          <w:sz w:val="24"/>
          <w:szCs w:val="24"/>
        </w:rPr>
        <w:t xml:space="preserve">For example, an accessible financial product may be a simple managed investment scheme, to which the shorter PDS requirements would apply </w:t>
      </w:r>
      <w:r>
        <w:rPr>
          <w:sz w:val="24"/>
          <w:szCs w:val="24"/>
        </w:rPr>
        <w:t>(refer Schedule 10E and reg 7.9.11W of the Regulations).</w:t>
      </w:r>
    </w:p>
    <w:p w14:paraId="4FC45292" w14:textId="77777777" w:rsidR="00657B7E" w:rsidRDefault="00657B7E" w:rsidP="003B57F2">
      <w:pPr>
        <w:spacing w:after="0"/>
        <w:jc w:val="both"/>
        <w:rPr>
          <w:sz w:val="24"/>
          <w:szCs w:val="24"/>
        </w:rPr>
      </w:pPr>
    </w:p>
    <w:p w14:paraId="4FC45293" w14:textId="77777777" w:rsidR="00657B7E" w:rsidRDefault="00657B7E" w:rsidP="003B57F2">
      <w:pPr>
        <w:spacing w:after="0"/>
        <w:jc w:val="both"/>
        <w:rPr>
          <w:sz w:val="24"/>
          <w:szCs w:val="24"/>
        </w:rPr>
      </w:pPr>
      <w:r>
        <w:rPr>
          <w:sz w:val="24"/>
          <w:szCs w:val="24"/>
        </w:rPr>
        <w:t xml:space="preserve">Where this method is relied on, the Instrument relieves the trustee from the obligation to include in the PDS for the superannuation fund any other information about the accessible financial product that would be required by sections 1013C, 1013D, 1013DA, 1013E or 1013F of the Act: refer s1013FB(4)(a). The exemption in relation to the general PDS content requirements under s1013C includes absolving the trustee from any requirement that would otherwise arise to comply with the shorter PDS requirements for an accessible financial product. </w:t>
      </w:r>
      <w:r w:rsidR="003333AE">
        <w:rPr>
          <w:sz w:val="24"/>
          <w:szCs w:val="24"/>
        </w:rPr>
        <w:t>Further, the trustee must give on request the trustee’s PDS for the accessible financial product or the product issuer’s PDS for the accessible financial product, as the case may be: refer s1013FB(4)(b).</w:t>
      </w:r>
    </w:p>
    <w:p w14:paraId="4FC45294" w14:textId="77777777" w:rsidR="003333AE" w:rsidRDefault="003333AE" w:rsidP="003B57F2">
      <w:pPr>
        <w:spacing w:after="0"/>
        <w:jc w:val="both"/>
        <w:rPr>
          <w:sz w:val="24"/>
          <w:szCs w:val="24"/>
        </w:rPr>
      </w:pPr>
    </w:p>
    <w:p w14:paraId="4FC45295" w14:textId="77777777" w:rsidR="003333AE" w:rsidRPr="00930BE4" w:rsidRDefault="003333AE" w:rsidP="003B57F2">
      <w:pPr>
        <w:spacing w:after="0"/>
        <w:jc w:val="both"/>
        <w:rPr>
          <w:sz w:val="24"/>
          <w:szCs w:val="24"/>
        </w:rPr>
      </w:pPr>
      <w:r>
        <w:rPr>
          <w:sz w:val="24"/>
          <w:szCs w:val="24"/>
        </w:rPr>
        <w:t>In relation to the separate PDS method, the terms of the Instrument do not depart in a substantive respect from the corresponding terms of [CO 06/636].</w:t>
      </w:r>
    </w:p>
    <w:p w14:paraId="4FC45296" w14:textId="77777777" w:rsidR="00F020F9" w:rsidRDefault="00F020F9" w:rsidP="004F4A0C">
      <w:pPr>
        <w:spacing w:after="0"/>
        <w:jc w:val="both"/>
        <w:rPr>
          <w:sz w:val="24"/>
          <w:szCs w:val="24"/>
        </w:rPr>
      </w:pPr>
    </w:p>
    <w:p w14:paraId="4FC45297" w14:textId="77777777" w:rsidR="004D6803" w:rsidRDefault="004D6803" w:rsidP="004F4A0C">
      <w:pPr>
        <w:spacing w:after="0"/>
        <w:jc w:val="both"/>
        <w:rPr>
          <w:sz w:val="24"/>
          <w:szCs w:val="24"/>
        </w:rPr>
      </w:pPr>
      <w:r>
        <w:rPr>
          <w:b/>
          <w:i/>
          <w:sz w:val="24"/>
          <w:szCs w:val="24"/>
        </w:rPr>
        <w:t>Integrated PDS method</w:t>
      </w:r>
    </w:p>
    <w:p w14:paraId="4FC45298" w14:textId="77777777" w:rsidR="004D6803" w:rsidRDefault="004D6803" w:rsidP="004F4A0C">
      <w:pPr>
        <w:spacing w:after="0"/>
        <w:jc w:val="both"/>
        <w:rPr>
          <w:sz w:val="24"/>
          <w:szCs w:val="24"/>
        </w:rPr>
      </w:pPr>
    </w:p>
    <w:p w14:paraId="4FC45299" w14:textId="77777777" w:rsidR="004D6803" w:rsidRDefault="004D6803" w:rsidP="004F4A0C">
      <w:pPr>
        <w:spacing w:after="0"/>
        <w:jc w:val="both"/>
        <w:rPr>
          <w:sz w:val="24"/>
          <w:szCs w:val="24"/>
        </w:rPr>
      </w:pPr>
      <w:r>
        <w:rPr>
          <w:sz w:val="24"/>
          <w:szCs w:val="24"/>
        </w:rPr>
        <w:t>Under the Instrument, the other alternative method available to a trustee to give PDSs is to prepare an integrated PDS: refer to s1013FB(5), as inserted by s5(e) of the Instrument. An integrated PDS is a PDS that combines the superannuation fund PDS and the PDS for each accessible financial product in a single document, or where these PDSs are combined in two or more separate documents that are given at the same time.</w:t>
      </w:r>
    </w:p>
    <w:p w14:paraId="4FC4529A" w14:textId="77777777" w:rsidR="004D6803" w:rsidRDefault="004D6803" w:rsidP="004F4A0C">
      <w:pPr>
        <w:spacing w:after="0"/>
        <w:jc w:val="both"/>
        <w:rPr>
          <w:sz w:val="24"/>
          <w:szCs w:val="24"/>
        </w:rPr>
      </w:pPr>
    </w:p>
    <w:p w14:paraId="4FC4529B" w14:textId="01BC388F" w:rsidR="004D6803" w:rsidRDefault="00BF1F25" w:rsidP="004F4A0C">
      <w:pPr>
        <w:spacing w:after="0"/>
        <w:jc w:val="both"/>
        <w:rPr>
          <w:sz w:val="24"/>
          <w:szCs w:val="24"/>
        </w:rPr>
      </w:pPr>
      <w:r>
        <w:rPr>
          <w:sz w:val="24"/>
          <w:szCs w:val="24"/>
        </w:rPr>
        <w:t>Under the integrated PDS method, the integrated PDS must contain the information about the superannuation fund and the information about each accessible financial product that is required by the PDS requirements under Division 2 of Part 7.9 of the Act: refer s1013FB(6)(a). This will include the shorter PDS requirements to the extent that the requirements apply to the superannuation fund and any accessible financial product</w:t>
      </w:r>
      <w:r w:rsidR="00371AF9">
        <w:rPr>
          <w:sz w:val="24"/>
          <w:szCs w:val="24"/>
        </w:rPr>
        <w:t>, such as a simple managed investment scheme</w:t>
      </w:r>
      <w:r>
        <w:rPr>
          <w:sz w:val="24"/>
          <w:szCs w:val="24"/>
        </w:rPr>
        <w:t>.</w:t>
      </w:r>
      <w:r w:rsidR="003C3D72">
        <w:rPr>
          <w:sz w:val="24"/>
          <w:szCs w:val="24"/>
        </w:rPr>
        <w:t xml:space="preserve"> In addition, the integrated PDS must contain the information that a person would reasonably require as a retail client to understand the investment strategy under which the accessible financial product may be acquired: refer s1013FB(6)(b).</w:t>
      </w:r>
    </w:p>
    <w:p w14:paraId="4FC4529C" w14:textId="77777777" w:rsidR="003C3D72" w:rsidRDefault="003C3D72" w:rsidP="004F4A0C">
      <w:pPr>
        <w:spacing w:after="0"/>
        <w:jc w:val="both"/>
        <w:rPr>
          <w:sz w:val="24"/>
          <w:szCs w:val="24"/>
        </w:rPr>
      </w:pPr>
    </w:p>
    <w:p w14:paraId="4FC4529D" w14:textId="77777777" w:rsidR="003C3D72" w:rsidRDefault="003C3D72" w:rsidP="004F4A0C">
      <w:pPr>
        <w:spacing w:after="0"/>
        <w:jc w:val="both"/>
        <w:rPr>
          <w:sz w:val="24"/>
          <w:szCs w:val="24"/>
        </w:rPr>
      </w:pPr>
      <w:r>
        <w:rPr>
          <w:sz w:val="24"/>
          <w:szCs w:val="24"/>
        </w:rPr>
        <w:t>The Instrument clarifies the position that the PDS requirements under Division 2 of Part 7.9 of the Act apply to the superannuation fund PDS and the PDS for each accessible financial product. This requirement was not expressed in the corresponding provisions of [CO 06/636], which were limited to the test of the information reasonably required by a member as a retail client.</w:t>
      </w:r>
    </w:p>
    <w:p w14:paraId="4FC4529E" w14:textId="77777777" w:rsidR="00CF543D" w:rsidRDefault="00CF543D" w:rsidP="004F4A0C">
      <w:pPr>
        <w:spacing w:after="0"/>
        <w:jc w:val="both"/>
        <w:rPr>
          <w:sz w:val="24"/>
          <w:szCs w:val="24"/>
        </w:rPr>
      </w:pPr>
    </w:p>
    <w:p w14:paraId="4FC4529F" w14:textId="77777777" w:rsidR="005E0AC2" w:rsidRDefault="005E0AC2" w:rsidP="004F4A0C">
      <w:pPr>
        <w:spacing w:after="0"/>
        <w:jc w:val="both"/>
        <w:rPr>
          <w:sz w:val="24"/>
          <w:szCs w:val="24"/>
        </w:rPr>
      </w:pPr>
      <w:r>
        <w:rPr>
          <w:b/>
          <w:sz w:val="24"/>
          <w:szCs w:val="24"/>
        </w:rPr>
        <w:lastRenderedPageBreak/>
        <w:t>Significant event notice requirements</w:t>
      </w:r>
    </w:p>
    <w:p w14:paraId="4FC452A0" w14:textId="77777777" w:rsidR="005E0AC2" w:rsidRDefault="005E0AC2" w:rsidP="004F4A0C">
      <w:pPr>
        <w:spacing w:after="0"/>
        <w:jc w:val="both"/>
        <w:rPr>
          <w:sz w:val="24"/>
          <w:szCs w:val="24"/>
        </w:rPr>
      </w:pPr>
    </w:p>
    <w:p w14:paraId="4FC452A1" w14:textId="77777777" w:rsidR="00EF494A" w:rsidRDefault="005E0AC2" w:rsidP="004F4A0C">
      <w:pPr>
        <w:spacing w:after="0"/>
        <w:jc w:val="both"/>
        <w:rPr>
          <w:sz w:val="24"/>
          <w:szCs w:val="24"/>
        </w:rPr>
      </w:pPr>
      <w:r>
        <w:rPr>
          <w:sz w:val="24"/>
          <w:szCs w:val="24"/>
        </w:rPr>
        <w:t>The Instrument continues, subject to minor and machinery changes, the adaptation of the significant event notice requirements to the situation where a financial product is acquired through a superannuation fund: refer s1017CA of the Act, as inserted by s5(f) of the Instrument.</w:t>
      </w:r>
    </w:p>
    <w:p w14:paraId="1CAE1C09" w14:textId="3FFB95F8" w:rsidR="00875070" w:rsidRDefault="00875070" w:rsidP="004F4A0C">
      <w:pPr>
        <w:spacing w:after="0"/>
        <w:jc w:val="both"/>
        <w:rPr>
          <w:sz w:val="24"/>
          <w:szCs w:val="24"/>
        </w:rPr>
      </w:pPr>
    </w:p>
    <w:p w14:paraId="1B95AEAF" w14:textId="77777777" w:rsidR="00875070" w:rsidRPr="00930BE4" w:rsidRDefault="00875070" w:rsidP="00875070">
      <w:pPr>
        <w:spacing w:after="0"/>
        <w:jc w:val="both"/>
        <w:rPr>
          <w:b/>
          <w:sz w:val="24"/>
          <w:szCs w:val="24"/>
        </w:rPr>
      </w:pPr>
      <w:r>
        <w:rPr>
          <w:b/>
          <w:sz w:val="24"/>
          <w:szCs w:val="24"/>
        </w:rPr>
        <w:t>Definitional changes and additional acquisitions relief</w:t>
      </w:r>
    </w:p>
    <w:p w14:paraId="585B412C" w14:textId="77777777" w:rsidR="00875070" w:rsidRDefault="00875070" w:rsidP="00875070">
      <w:pPr>
        <w:spacing w:after="0"/>
        <w:jc w:val="both"/>
        <w:rPr>
          <w:sz w:val="24"/>
          <w:szCs w:val="24"/>
        </w:rPr>
      </w:pPr>
    </w:p>
    <w:p w14:paraId="3FE00768" w14:textId="77777777" w:rsidR="00875070" w:rsidRDefault="00875070" w:rsidP="00875070">
      <w:pPr>
        <w:spacing w:after="0"/>
        <w:jc w:val="both"/>
        <w:rPr>
          <w:sz w:val="24"/>
          <w:szCs w:val="24"/>
        </w:rPr>
      </w:pPr>
      <w:r>
        <w:rPr>
          <w:sz w:val="24"/>
          <w:szCs w:val="24"/>
        </w:rPr>
        <w:t>The Instrument inserts various definitions in sections 1011BA and 1012IA of the Act: please refer to ss5(a) and 5(b)(i) of the Instrument. These definitions do not depart substantively from the corresponding definitions in [CO 06/636].</w:t>
      </w:r>
    </w:p>
    <w:p w14:paraId="1088F321" w14:textId="77777777" w:rsidR="00875070" w:rsidRDefault="00875070" w:rsidP="00875070">
      <w:pPr>
        <w:spacing w:after="0"/>
        <w:jc w:val="both"/>
        <w:rPr>
          <w:sz w:val="24"/>
          <w:szCs w:val="24"/>
        </w:rPr>
      </w:pPr>
    </w:p>
    <w:p w14:paraId="70E4045D" w14:textId="77777777" w:rsidR="00875070" w:rsidRDefault="00875070" w:rsidP="00875070">
      <w:pPr>
        <w:spacing w:after="0"/>
        <w:jc w:val="both"/>
        <w:rPr>
          <w:sz w:val="24"/>
          <w:szCs w:val="24"/>
        </w:rPr>
      </w:pPr>
      <w:r>
        <w:rPr>
          <w:sz w:val="24"/>
          <w:szCs w:val="24"/>
        </w:rPr>
        <w:t>Under the Instrument, the trustee of a superannuation fund will continue to be relieved from the obligation to give a PDS under s1012IA(2) of the Act on each occasion an additional acquisition is made in an accessible financial product. The Instrument makes only minor and technical changes to the corresponding terms under [CO 06/636].</w:t>
      </w:r>
    </w:p>
    <w:p w14:paraId="768859A5" w14:textId="77777777" w:rsidR="00875070" w:rsidRDefault="00875070" w:rsidP="00875070">
      <w:pPr>
        <w:spacing w:after="0"/>
        <w:jc w:val="both"/>
        <w:rPr>
          <w:sz w:val="24"/>
          <w:szCs w:val="24"/>
        </w:rPr>
      </w:pPr>
    </w:p>
    <w:p w14:paraId="67E40480" w14:textId="77777777" w:rsidR="00875070" w:rsidRDefault="00875070" w:rsidP="00875070">
      <w:pPr>
        <w:spacing w:after="0"/>
        <w:jc w:val="both"/>
        <w:rPr>
          <w:sz w:val="24"/>
          <w:szCs w:val="24"/>
        </w:rPr>
      </w:pPr>
      <w:r>
        <w:rPr>
          <w:sz w:val="24"/>
          <w:szCs w:val="24"/>
        </w:rPr>
        <w:t>The Instrument makes technical changes to various provisions in Division 2 of Part 7.9 of the Act to enable the PDS provisions to operate where PDSs are given to a person under a method that is allowed by the Instrument: please refer to ss5(b)(iii), 5(b)(iv), 5(c) and 5(d) of the Instrument. There are no substantive differences between this group of changes made by the Instrument and the corresponding changes made under [CO 06/636].</w:t>
      </w:r>
    </w:p>
    <w:p w14:paraId="41C50FCA" w14:textId="77777777" w:rsidR="00875070" w:rsidRDefault="00875070" w:rsidP="004F4A0C">
      <w:pPr>
        <w:spacing w:after="0"/>
        <w:jc w:val="both"/>
        <w:rPr>
          <w:sz w:val="24"/>
          <w:szCs w:val="24"/>
        </w:rPr>
      </w:pPr>
    </w:p>
    <w:p w14:paraId="4FC452A3" w14:textId="77777777" w:rsidR="005B0E3A" w:rsidRDefault="005B0E3A" w:rsidP="00786CA7">
      <w:pPr>
        <w:spacing w:after="0"/>
        <w:jc w:val="both"/>
        <w:rPr>
          <w:sz w:val="24"/>
          <w:szCs w:val="24"/>
        </w:rPr>
      </w:pPr>
      <w:bookmarkStart w:id="4" w:name="4._Documents_incorporated_by_reference"/>
      <w:bookmarkEnd w:id="4"/>
    </w:p>
    <w:p w14:paraId="4FC452A4" w14:textId="77777777" w:rsidR="005B0E3A" w:rsidRPr="00786CA7" w:rsidRDefault="005B0E3A" w:rsidP="00786CA7">
      <w:pPr>
        <w:pStyle w:val="Heading3"/>
        <w:keepNext w:val="0"/>
        <w:widowControl w:val="0"/>
        <w:numPr>
          <w:ilvl w:val="0"/>
          <w:numId w:val="7"/>
        </w:numPr>
        <w:tabs>
          <w:tab w:val="left" w:pos="1593"/>
        </w:tabs>
        <w:spacing w:after="0" w:line="240" w:lineRule="auto"/>
        <w:ind w:left="0" w:firstLine="0"/>
        <w:jc w:val="both"/>
        <w:rPr>
          <w:rFonts w:eastAsia="Arial"/>
          <w:b/>
          <w:bCs/>
        </w:rPr>
      </w:pPr>
      <w:bookmarkStart w:id="5" w:name="5._Consultation"/>
      <w:bookmarkEnd w:id="5"/>
      <w:r w:rsidRPr="00786CA7">
        <w:rPr>
          <w:b/>
        </w:rPr>
        <w:t>Consultation</w:t>
      </w:r>
    </w:p>
    <w:p w14:paraId="4FC452A5" w14:textId="77777777" w:rsidR="00786CA7" w:rsidRDefault="00786CA7" w:rsidP="00786CA7">
      <w:pPr>
        <w:pStyle w:val="Bodytextplain"/>
        <w:spacing w:before="0"/>
        <w:ind w:left="0"/>
        <w:rPr>
          <w:sz w:val="24"/>
          <w:szCs w:val="24"/>
        </w:rPr>
      </w:pPr>
    </w:p>
    <w:p w14:paraId="4FC452A6" w14:textId="77777777" w:rsidR="00786CA7" w:rsidRPr="00771B10" w:rsidRDefault="00537DBF" w:rsidP="00786CA7">
      <w:pPr>
        <w:pStyle w:val="Bodytextplain"/>
        <w:spacing w:before="0"/>
        <w:ind w:left="0"/>
        <w:rPr>
          <w:sz w:val="24"/>
          <w:szCs w:val="24"/>
        </w:rPr>
      </w:pPr>
      <w:r w:rsidRPr="00771B10">
        <w:rPr>
          <w:sz w:val="24"/>
          <w:szCs w:val="24"/>
        </w:rPr>
        <w:t xml:space="preserve">In June 2015, we released ASIC Consultation Paper 232 – </w:t>
      </w:r>
      <w:r w:rsidRPr="00771B10">
        <w:rPr>
          <w:i/>
          <w:sz w:val="24"/>
          <w:szCs w:val="24"/>
        </w:rPr>
        <w:t>Remaking ASIC Class Orders on superannuation: [CO 04/1574] and [CO 06/636]</w:t>
      </w:r>
      <w:r w:rsidR="00786CA7" w:rsidRPr="00771B10">
        <w:rPr>
          <w:sz w:val="24"/>
          <w:szCs w:val="24"/>
        </w:rPr>
        <w:t>. This Consultation Paper dealt with two superannuation related Class Orders, [CO 04/1574] and [CO 06/636], that were due to lapse in 2016. For both [CO 04/1574] and [CO 06/636], we proposed in the Consultation Paper to remake the instruments with minor and technical changes.</w:t>
      </w:r>
    </w:p>
    <w:p w14:paraId="4FC452A7" w14:textId="77777777" w:rsidR="00EE2027" w:rsidRDefault="00EE2027" w:rsidP="00786CA7">
      <w:pPr>
        <w:pStyle w:val="Bodytextplain"/>
        <w:spacing w:before="0"/>
        <w:ind w:left="0"/>
        <w:rPr>
          <w:sz w:val="24"/>
          <w:szCs w:val="24"/>
        </w:rPr>
      </w:pPr>
    </w:p>
    <w:p w14:paraId="4FC452A8" w14:textId="5A1CF393" w:rsidR="00EE2027" w:rsidRPr="00771B10" w:rsidRDefault="00EE2027" w:rsidP="00771B10">
      <w:pPr>
        <w:rPr>
          <w:rFonts w:ascii="Arial" w:hAnsi="Arial" w:cs="Arial"/>
          <w:b/>
          <w:sz w:val="24"/>
          <w:szCs w:val="24"/>
        </w:rPr>
        <w:sectPr w:rsidR="00EE2027" w:rsidRPr="00771B10" w:rsidSect="00A33EB8">
          <w:headerReference w:type="even" r:id="rId12"/>
          <w:headerReference w:type="default" r:id="rId13"/>
          <w:footerReference w:type="even" r:id="rId14"/>
          <w:footerReference w:type="default" r:id="rId15"/>
          <w:headerReference w:type="first" r:id="rId16"/>
          <w:pgSz w:w="11906" w:h="16838" w:code="9"/>
          <w:pgMar w:top="1644" w:right="1418" w:bottom="1418" w:left="1418" w:header="567" w:footer="567" w:gutter="0"/>
          <w:cols w:space="720"/>
          <w:docGrid w:linePitch="299"/>
        </w:sectPr>
      </w:pPr>
      <w:r w:rsidRPr="00771B10">
        <w:rPr>
          <w:sz w:val="24"/>
          <w:szCs w:val="24"/>
        </w:rPr>
        <w:t xml:space="preserve">We received feedback from the Consultation Paper. The submissions received did not </w:t>
      </w:r>
      <w:r w:rsidR="00771B10" w:rsidRPr="00771B10">
        <w:rPr>
          <w:sz w:val="24"/>
          <w:szCs w:val="24"/>
        </w:rPr>
        <w:t xml:space="preserve">raise any fundamental issues or </w:t>
      </w:r>
      <w:r w:rsidRPr="00771B10">
        <w:rPr>
          <w:sz w:val="24"/>
          <w:szCs w:val="24"/>
        </w:rPr>
        <w:t xml:space="preserve">object to the draft of the </w:t>
      </w:r>
      <w:r w:rsidR="001D086E" w:rsidRPr="00771B10">
        <w:rPr>
          <w:sz w:val="24"/>
          <w:szCs w:val="24"/>
        </w:rPr>
        <w:t>Instrument</w:t>
      </w:r>
      <w:r w:rsidRPr="00771B10">
        <w:rPr>
          <w:sz w:val="24"/>
          <w:szCs w:val="24"/>
        </w:rPr>
        <w:t xml:space="preserve"> that was included in the Consultation Paper. </w:t>
      </w:r>
      <w:r w:rsidR="00771B10" w:rsidRPr="00771B10">
        <w:rPr>
          <w:sz w:val="24"/>
          <w:szCs w:val="24"/>
        </w:rPr>
        <w:t xml:space="preserve">We </w:t>
      </w:r>
      <w:r w:rsidR="00771B10">
        <w:rPr>
          <w:sz w:val="24"/>
          <w:szCs w:val="24"/>
        </w:rPr>
        <w:t>consider</w:t>
      </w:r>
      <w:r w:rsidR="00771B10" w:rsidRPr="00771B10">
        <w:rPr>
          <w:sz w:val="24"/>
          <w:szCs w:val="24"/>
        </w:rPr>
        <w:t xml:space="preserve"> that the relief should be continued with refinements to clarify the operation of the relief</w:t>
      </w:r>
      <w:r w:rsidR="00371AF9">
        <w:rPr>
          <w:sz w:val="24"/>
          <w:szCs w:val="24"/>
        </w:rPr>
        <w:t xml:space="preserve"> </w:t>
      </w:r>
      <w:r w:rsidR="00771B10" w:rsidRPr="00771B10">
        <w:rPr>
          <w:sz w:val="24"/>
          <w:szCs w:val="24"/>
        </w:rPr>
        <w:t xml:space="preserve">and other minor and technical changes. </w:t>
      </w:r>
    </w:p>
    <w:p w14:paraId="4FC452A9" w14:textId="77777777" w:rsidR="000076D6" w:rsidRDefault="000076D6">
      <w:r>
        <w:rPr>
          <w:noProof/>
        </w:rPr>
        <w:lastRenderedPageBreak/>
        <mc:AlternateContent>
          <mc:Choice Requires="wps">
            <w:drawing>
              <wp:anchor distT="0" distB="0" distL="114300" distR="114300" simplePos="0" relativeHeight="251659264" behindDoc="0" locked="0" layoutInCell="1" allowOverlap="1" wp14:anchorId="4FC452AA" wp14:editId="4FC452AB">
                <wp:simplePos x="0" y="0"/>
                <wp:positionH relativeFrom="column">
                  <wp:posOffset>19050</wp:posOffset>
                </wp:positionH>
                <wp:positionV relativeFrom="paragraph">
                  <wp:posOffset>492760</wp:posOffset>
                </wp:positionV>
                <wp:extent cx="5311140" cy="6791325"/>
                <wp:effectExtent l="38100" t="38100" r="41910" b="476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1140" cy="6791325"/>
                        </a:xfrm>
                        <a:prstGeom prst="rect">
                          <a:avLst/>
                        </a:prstGeom>
                        <a:solidFill>
                          <a:srgbClr val="FFFFFF"/>
                        </a:solidFill>
                        <a:ln w="76200" cmpd="tri">
                          <a:solidFill>
                            <a:srgbClr val="000000"/>
                          </a:solidFill>
                          <a:miter lim="800000"/>
                          <a:headEnd/>
                          <a:tailEnd/>
                        </a:ln>
                      </wps:spPr>
                      <wps:txbx>
                        <w:txbxContent>
                          <w:p w14:paraId="4FC452C2" w14:textId="77777777" w:rsidR="000076D6" w:rsidRPr="00834797" w:rsidRDefault="000076D6" w:rsidP="000076D6">
                            <w:pPr>
                              <w:spacing w:before="360" w:after="120"/>
                              <w:jc w:val="center"/>
                              <w:rPr>
                                <w:b/>
                              </w:rPr>
                            </w:pPr>
                            <w:r w:rsidRPr="00834797">
                              <w:rPr>
                                <w:b/>
                              </w:rPr>
                              <w:t>Statement of Compatibility with Human Rights</w:t>
                            </w:r>
                          </w:p>
                          <w:p w14:paraId="4FC452C3" w14:textId="77777777" w:rsidR="000076D6" w:rsidRPr="00247F54" w:rsidRDefault="000076D6" w:rsidP="000076D6">
                            <w:pPr>
                              <w:spacing w:before="120" w:after="120"/>
                              <w:jc w:val="center"/>
                            </w:pPr>
                            <w:r w:rsidRPr="00247F54">
                              <w:rPr>
                                <w:i/>
                              </w:rPr>
                              <w:t>Prepared in accordance with Part 3 of the Human Rights (Parliamentary Scrutiny) Act 2011</w:t>
                            </w:r>
                          </w:p>
                          <w:p w14:paraId="4FC452C4" w14:textId="77777777" w:rsidR="000076D6" w:rsidRPr="00247F54" w:rsidRDefault="000076D6" w:rsidP="000076D6">
                            <w:pPr>
                              <w:spacing w:before="120" w:after="120"/>
                              <w:jc w:val="center"/>
                            </w:pPr>
                          </w:p>
                          <w:p w14:paraId="4FC452C5" w14:textId="56590341" w:rsidR="000076D6" w:rsidRPr="00FF4224" w:rsidRDefault="00704D2F" w:rsidP="000076D6">
                            <w:pPr>
                              <w:spacing w:before="120" w:after="120"/>
                              <w:jc w:val="center"/>
                            </w:pPr>
                            <w:r w:rsidRPr="00FF4224">
                              <w:rPr>
                                <w:b/>
                                <w:i/>
                                <w:sz w:val="28"/>
                                <w:szCs w:val="28"/>
                              </w:rPr>
                              <w:t xml:space="preserve">ASIC </w:t>
                            </w:r>
                            <w:r w:rsidR="00061681" w:rsidRPr="00FF4224">
                              <w:rPr>
                                <w:i/>
                                <w:sz w:val="28"/>
                                <w:szCs w:val="28"/>
                              </w:rPr>
                              <w:t>Corporations (Superannuation</w:t>
                            </w:r>
                            <w:r w:rsidR="00FF4224" w:rsidRPr="00FF4224">
                              <w:rPr>
                                <w:i/>
                                <w:sz w:val="28"/>
                                <w:szCs w:val="28"/>
                              </w:rPr>
                              <w:t xml:space="preserve"> -</w:t>
                            </w:r>
                            <w:r w:rsidR="00061681" w:rsidRPr="00FF4224">
                              <w:rPr>
                                <w:i/>
                                <w:sz w:val="28"/>
                                <w:szCs w:val="28"/>
                              </w:rPr>
                              <w:t xml:space="preserve"> Investment Strategies) Instrument 2016/</w:t>
                            </w:r>
                            <w:r w:rsidR="00FF4224" w:rsidRPr="00FF4224">
                              <w:rPr>
                                <w:i/>
                                <w:sz w:val="28"/>
                                <w:szCs w:val="28"/>
                              </w:rPr>
                              <w:t>65</w:t>
                            </w:r>
                          </w:p>
                          <w:p w14:paraId="4FC452C6" w14:textId="32C005D2" w:rsidR="000076D6" w:rsidRPr="00247F54" w:rsidRDefault="001D086E" w:rsidP="000076D6">
                            <w:pPr>
                              <w:spacing w:before="120" w:after="120"/>
                              <w:jc w:val="center"/>
                            </w:pPr>
                            <w:r w:rsidRPr="00FF4224">
                              <w:rPr>
                                <w:szCs w:val="22"/>
                              </w:rPr>
                              <w:t xml:space="preserve">ASIC </w:t>
                            </w:r>
                            <w:r w:rsidR="00590391" w:rsidRPr="00FF4224">
                              <w:t>Corporations (Superannuation</w:t>
                            </w:r>
                            <w:r w:rsidR="00FF4224" w:rsidRPr="00FF4224">
                              <w:t xml:space="preserve"> -</w:t>
                            </w:r>
                            <w:r w:rsidR="00590391" w:rsidRPr="00FF4224">
                              <w:t xml:space="preserve"> Investment Strategies) Instrument 2016/</w:t>
                            </w:r>
                            <w:r w:rsidR="00FF4224" w:rsidRPr="00FF4224">
                              <w:t>65</w:t>
                            </w:r>
                            <w:r w:rsidRPr="00FF4224">
                              <w:rPr>
                                <w:szCs w:val="22"/>
                              </w:rPr>
                              <w:t xml:space="preserve"> (the </w:t>
                            </w:r>
                            <w:r w:rsidRPr="00FF4224">
                              <w:rPr>
                                <w:b/>
                                <w:i/>
                                <w:szCs w:val="22"/>
                              </w:rPr>
                              <w:t>Instrument</w:t>
                            </w:r>
                            <w:r w:rsidRPr="00FF4224">
                              <w:rPr>
                                <w:szCs w:val="22"/>
                              </w:rPr>
                              <w:t>)</w:t>
                            </w:r>
                            <w:r w:rsidR="00FF4224" w:rsidRPr="00FF4224">
                              <w:rPr>
                                <w:szCs w:val="22"/>
                              </w:rPr>
                              <w:t xml:space="preserve"> </w:t>
                            </w:r>
                            <w:r w:rsidR="000076D6" w:rsidRPr="00FF4224">
                              <w:t xml:space="preserve">is compatible with the human rights and freedoms recognised or declared in the international instruments listed in section 3 of the </w:t>
                            </w:r>
                            <w:r w:rsidR="000076D6" w:rsidRPr="00FF4224">
                              <w:rPr>
                                <w:i/>
                              </w:rPr>
                              <w:t>Human Rights (Parliamentary Scrutiny) Act 2011</w:t>
                            </w:r>
                            <w:r w:rsidR="000076D6" w:rsidRPr="00FF4224">
                              <w:t>.</w:t>
                            </w:r>
                          </w:p>
                          <w:p w14:paraId="4FC452C7" w14:textId="77777777" w:rsidR="000076D6" w:rsidRPr="00247F54" w:rsidRDefault="000076D6" w:rsidP="000076D6">
                            <w:pPr>
                              <w:spacing w:before="120" w:after="120"/>
                              <w:jc w:val="center"/>
                            </w:pPr>
                          </w:p>
                          <w:p w14:paraId="4FC452C8" w14:textId="77777777" w:rsidR="000076D6" w:rsidRPr="00247F54" w:rsidRDefault="000076D6" w:rsidP="000076D6">
                            <w:pPr>
                              <w:spacing w:before="120" w:after="120"/>
                              <w:jc w:val="center"/>
                            </w:pPr>
                          </w:p>
                          <w:p w14:paraId="4FC452C9" w14:textId="77777777" w:rsidR="000076D6" w:rsidRPr="00247F54" w:rsidRDefault="000076D6" w:rsidP="000076D6">
                            <w:pPr>
                              <w:spacing w:before="120" w:after="120"/>
                              <w:jc w:val="both"/>
                              <w:rPr>
                                <w:b/>
                              </w:rPr>
                            </w:pPr>
                            <w:r w:rsidRPr="00247F54">
                              <w:rPr>
                                <w:b/>
                              </w:rPr>
                              <w:t>Overview</w:t>
                            </w:r>
                          </w:p>
                          <w:p w14:paraId="4FC452CA" w14:textId="77777777" w:rsidR="000076D6" w:rsidRPr="004F4A0C" w:rsidRDefault="001D086E" w:rsidP="000076D6">
                            <w:pPr>
                              <w:spacing w:before="120" w:after="120"/>
                            </w:pPr>
                            <w:r>
                              <w:t>The Instrument</w:t>
                            </w:r>
                            <w:r w:rsidR="004F4A0C">
                              <w:t xml:space="preserve"> modifies the Product Disclosure Statement requirements in Part 7.9 of the </w:t>
                            </w:r>
                            <w:r w:rsidR="004F4A0C">
                              <w:rPr>
                                <w:i/>
                              </w:rPr>
                              <w:t>Corporations Act 2001</w:t>
                            </w:r>
                            <w:r w:rsidR="004F4A0C">
                              <w:t xml:space="preserve"> in the situation where a superannuation trustee allows a member of a superannuation fund to select an investment strategy under which the trustee may acquire a financial product to be held on behalf of the member.</w:t>
                            </w:r>
                            <w:r w:rsidR="00590391">
                              <w:t xml:space="preserve"> In this situation, the Instrument provides a superannuation trustee with various options of making the PDS for the superannuation fund and a PDS for each accessible financial product available to the member.</w:t>
                            </w:r>
                          </w:p>
                          <w:p w14:paraId="4FC452CB" w14:textId="77777777" w:rsidR="000076D6" w:rsidRPr="00883DB6" w:rsidRDefault="000076D6" w:rsidP="000076D6">
                            <w:pPr>
                              <w:spacing w:before="120" w:after="120"/>
                            </w:pPr>
                          </w:p>
                          <w:p w14:paraId="4FC452CC" w14:textId="77777777" w:rsidR="000076D6" w:rsidRPr="00247F54" w:rsidRDefault="000076D6" w:rsidP="000076D6">
                            <w:pPr>
                              <w:spacing w:before="120" w:after="120"/>
                              <w:rPr>
                                <w:b/>
                              </w:rPr>
                            </w:pPr>
                            <w:r w:rsidRPr="00247F54">
                              <w:rPr>
                                <w:b/>
                              </w:rPr>
                              <w:t>Human rights implications</w:t>
                            </w:r>
                          </w:p>
                          <w:p w14:paraId="4FC452CD" w14:textId="77777777" w:rsidR="000076D6" w:rsidRPr="00247F54" w:rsidRDefault="000076D6" w:rsidP="000076D6">
                            <w:pPr>
                              <w:spacing w:before="120" w:after="120"/>
                            </w:pPr>
                            <w:r w:rsidRPr="00247F54">
                              <w:t xml:space="preserve">This </w:t>
                            </w:r>
                            <w:r>
                              <w:t>l</w:t>
                            </w:r>
                            <w:r w:rsidRPr="00247F54">
                              <w:t xml:space="preserve">egislative </w:t>
                            </w:r>
                            <w:r>
                              <w:t>i</w:t>
                            </w:r>
                            <w:r w:rsidRPr="00247F54">
                              <w:t>nstrument does not engage any of the applicable rights or freedoms.</w:t>
                            </w:r>
                          </w:p>
                          <w:p w14:paraId="4FC452CE" w14:textId="77777777" w:rsidR="000076D6" w:rsidRPr="00247F54" w:rsidRDefault="000076D6" w:rsidP="000076D6">
                            <w:pPr>
                              <w:spacing w:before="120" w:after="120"/>
                              <w:rPr>
                                <w:b/>
                              </w:rPr>
                            </w:pPr>
                            <w:r w:rsidRPr="00247F54">
                              <w:rPr>
                                <w:b/>
                              </w:rPr>
                              <w:t>Conclusion</w:t>
                            </w:r>
                          </w:p>
                          <w:p w14:paraId="4FC452CF" w14:textId="77777777" w:rsidR="000076D6" w:rsidRPr="00247F54" w:rsidRDefault="000076D6" w:rsidP="000076D6">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14:paraId="4FC452D0" w14:textId="77777777" w:rsidR="000076D6" w:rsidRPr="00E4135E" w:rsidRDefault="000076D6" w:rsidP="000076D6">
                            <w:pPr>
                              <w:spacing w:before="120" w:after="120"/>
                              <w:jc w:val="center"/>
                            </w:pPr>
                          </w:p>
                          <w:p w14:paraId="4FC452D1" w14:textId="1AD149B5" w:rsidR="000076D6" w:rsidRPr="00E4135E" w:rsidRDefault="000076D6" w:rsidP="000076D6">
                            <w:pPr>
                              <w:spacing w:before="120" w:after="120"/>
                              <w:jc w:val="center"/>
                            </w:pP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5pt;margin-top:38.8pt;width:418.2pt;height:53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" strokeweight="6pt">
                <v:stroke linestyle="thickBetweenThin"/>
                <v:textbox inset="5mm,,5mm">
                  <w:txbxContent>
                    <w:p w14:paraId="4FC452C2" w14:textId="77777777" w:rsidR="000076D6" w:rsidRPr="00834797" w:rsidRDefault="000076D6" w:rsidP="000076D6">
                      <w:pPr>
                        <w:spacing w:before="360" w:after="120"/>
                        <w:jc w:val="center"/>
                        <w:rPr>
                          <w:b/>
                        </w:rPr>
                      </w:pPr>
                      <w:r w:rsidRPr="00834797">
                        <w:rPr>
                          <w:b/>
                        </w:rPr>
                        <w:t>Statement of Compatibility with Human Rights</w:t>
                      </w:r>
                    </w:p>
                    <w:p w14:paraId="4FC452C3" w14:textId="77777777" w:rsidR="000076D6" w:rsidRPr="00247F54" w:rsidRDefault="000076D6" w:rsidP="000076D6">
                      <w:pPr>
                        <w:spacing w:before="120" w:after="120"/>
                        <w:jc w:val="center"/>
                      </w:pPr>
                      <w:r w:rsidRPr="00247F54">
                        <w:rPr>
                          <w:i/>
                        </w:rPr>
                        <w:t>Prepared in accordance with Part 3 of the Human Rights (Parliamentary Scrutiny) Act 2011</w:t>
                      </w:r>
                    </w:p>
                    <w:p w14:paraId="4FC452C4" w14:textId="77777777" w:rsidR="000076D6" w:rsidRPr="00247F54" w:rsidRDefault="000076D6" w:rsidP="000076D6">
                      <w:pPr>
                        <w:spacing w:before="120" w:after="120"/>
                        <w:jc w:val="center"/>
                      </w:pPr>
                    </w:p>
                    <w:p w14:paraId="4FC452C5" w14:textId="56590341" w:rsidR="000076D6" w:rsidRPr="00FF4224" w:rsidRDefault="00704D2F" w:rsidP="000076D6">
                      <w:pPr>
                        <w:spacing w:before="120" w:after="120"/>
                        <w:jc w:val="center"/>
                      </w:pPr>
                      <w:r w:rsidRPr="00FF4224">
                        <w:rPr>
                          <w:b/>
                          <w:i/>
                          <w:sz w:val="28"/>
                          <w:szCs w:val="28"/>
                        </w:rPr>
                        <w:t xml:space="preserve">ASIC </w:t>
                      </w:r>
                      <w:r w:rsidR="00061681" w:rsidRPr="00FF4224">
                        <w:rPr>
                          <w:i/>
                          <w:sz w:val="28"/>
                          <w:szCs w:val="28"/>
                        </w:rPr>
                        <w:t>Corporations (Superannuation</w:t>
                      </w:r>
                      <w:r w:rsidR="00FF4224" w:rsidRPr="00FF4224">
                        <w:rPr>
                          <w:i/>
                          <w:sz w:val="28"/>
                          <w:szCs w:val="28"/>
                        </w:rPr>
                        <w:t xml:space="preserve"> -</w:t>
                      </w:r>
                      <w:r w:rsidR="00061681" w:rsidRPr="00FF4224">
                        <w:rPr>
                          <w:i/>
                          <w:sz w:val="28"/>
                          <w:szCs w:val="28"/>
                        </w:rPr>
                        <w:t xml:space="preserve"> Investment Strategies) Instrument 2016/</w:t>
                      </w:r>
                      <w:r w:rsidR="00FF4224" w:rsidRPr="00FF4224">
                        <w:rPr>
                          <w:i/>
                          <w:sz w:val="28"/>
                          <w:szCs w:val="28"/>
                        </w:rPr>
                        <w:t>65</w:t>
                      </w:r>
                    </w:p>
                    <w:p w14:paraId="4FC452C6" w14:textId="32C005D2" w:rsidR="000076D6" w:rsidRPr="00247F54" w:rsidRDefault="001D086E" w:rsidP="000076D6">
                      <w:pPr>
                        <w:spacing w:before="120" w:after="120"/>
                        <w:jc w:val="center"/>
                      </w:pPr>
                      <w:r w:rsidRPr="00FF4224">
                        <w:rPr>
                          <w:szCs w:val="22"/>
                        </w:rPr>
                        <w:t xml:space="preserve">ASIC </w:t>
                      </w:r>
                      <w:r w:rsidR="00590391" w:rsidRPr="00FF4224">
                        <w:t>Corporations (Superannuation</w:t>
                      </w:r>
                      <w:r w:rsidR="00FF4224" w:rsidRPr="00FF4224">
                        <w:t xml:space="preserve"> -</w:t>
                      </w:r>
                      <w:r w:rsidR="00590391" w:rsidRPr="00FF4224">
                        <w:t xml:space="preserve"> Investment Strategies) Instrument 2016/</w:t>
                      </w:r>
                      <w:r w:rsidR="00FF4224" w:rsidRPr="00FF4224">
                        <w:t>65</w:t>
                      </w:r>
                      <w:r w:rsidRPr="00FF4224">
                        <w:rPr>
                          <w:szCs w:val="22"/>
                        </w:rPr>
                        <w:t xml:space="preserve"> (the </w:t>
                      </w:r>
                      <w:r w:rsidRPr="00FF4224">
                        <w:rPr>
                          <w:b/>
                          <w:i/>
                          <w:szCs w:val="22"/>
                        </w:rPr>
                        <w:t>Instrument</w:t>
                      </w:r>
                      <w:r w:rsidRPr="00FF4224">
                        <w:rPr>
                          <w:szCs w:val="22"/>
                        </w:rPr>
                        <w:t>)</w:t>
                      </w:r>
                      <w:r w:rsidR="00FF4224" w:rsidRPr="00FF4224">
                        <w:rPr>
                          <w:szCs w:val="22"/>
                        </w:rPr>
                        <w:t xml:space="preserve"> </w:t>
                      </w:r>
                      <w:r w:rsidR="000076D6" w:rsidRPr="00FF4224">
                        <w:t xml:space="preserve">is compatible with the human rights and freedoms recognised or declared in the international instruments listed in section 3 of the </w:t>
                      </w:r>
                      <w:r w:rsidR="000076D6" w:rsidRPr="00FF4224">
                        <w:rPr>
                          <w:i/>
                        </w:rPr>
                        <w:t>Human Rights (Parliamentary Scrutiny) Act 2011</w:t>
                      </w:r>
                      <w:r w:rsidR="000076D6" w:rsidRPr="00FF4224">
                        <w:t>.</w:t>
                      </w:r>
                    </w:p>
                    <w:p w14:paraId="4FC452C7" w14:textId="77777777" w:rsidR="000076D6" w:rsidRPr="00247F54" w:rsidRDefault="000076D6" w:rsidP="000076D6">
                      <w:pPr>
                        <w:spacing w:before="120" w:after="120"/>
                        <w:jc w:val="center"/>
                      </w:pPr>
                    </w:p>
                    <w:p w14:paraId="4FC452C8" w14:textId="77777777" w:rsidR="000076D6" w:rsidRPr="00247F54" w:rsidRDefault="000076D6" w:rsidP="000076D6">
                      <w:pPr>
                        <w:spacing w:before="120" w:after="120"/>
                        <w:jc w:val="center"/>
                      </w:pPr>
                    </w:p>
                    <w:p w14:paraId="4FC452C9" w14:textId="77777777" w:rsidR="000076D6" w:rsidRPr="00247F54" w:rsidRDefault="000076D6" w:rsidP="000076D6">
                      <w:pPr>
                        <w:spacing w:before="120" w:after="120"/>
                        <w:jc w:val="both"/>
                        <w:rPr>
                          <w:b/>
                        </w:rPr>
                      </w:pPr>
                      <w:r w:rsidRPr="00247F54">
                        <w:rPr>
                          <w:b/>
                        </w:rPr>
                        <w:t>Overview</w:t>
                      </w:r>
                    </w:p>
                    <w:p w14:paraId="4FC452CA" w14:textId="77777777" w:rsidR="000076D6" w:rsidRPr="004F4A0C" w:rsidRDefault="001D086E" w:rsidP="000076D6">
                      <w:pPr>
                        <w:spacing w:before="120" w:after="120"/>
                      </w:pPr>
                      <w:r>
                        <w:t>The Instrument</w:t>
                      </w:r>
                      <w:r w:rsidR="004F4A0C">
                        <w:t xml:space="preserve"> modifies the Product Disclosure Statement requirements in Part 7.9 of the </w:t>
                      </w:r>
                      <w:r w:rsidR="004F4A0C">
                        <w:rPr>
                          <w:i/>
                        </w:rPr>
                        <w:t>Corporations Act 2001</w:t>
                      </w:r>
                      <w:r w:rsidR="004F4A0C">
                        <w:t xml:space="preserve"> in the situation where a superannuation trustee allows a member of a superannuation fund to select an investment strategy under which the trustee may acquire a financial product to be held on behalf of the member.</w:t>
                      </w:r>
                      <w:r w:rsidR="00590391">
                        <w:t xml:space="preserve"> In this situation, the Instrument provides a superannuation trustee with various options of making the PDS for the superannuation fund and a PDS for each accessible financial product available to the member.</w:t>
                      </w:r>
                    </w:p>
                    <w:p w14:paraId="4FC452CB" w14:textId="77777777" w:rsidR="000076D6" w:rsidRPr="00883DB6" w:rsidRDefault="000076D6" w:rsidP="000076D6">
                      <w:pPr>
                        <w:spacing w:before="120" w:after="120"/>
                      </w:pPr>
                    </w:p>
                    <w:p w14:paraId="4FC452CC" w14:textId="77777777" w:rsidR="000076D6" w:rsidRPr="00247F54" w:rsidRDefault="000076D6" w:rsidP="000076D6">
                      <w:pPr>
                        <w:spacing w:before="120" w:after="120"/>
                        <w:rPr>
                          <w:b/>
                        </w:rPr>
                      </w:pPr>
                      <w:r w:rsidRPr="00247F54">
                        <w:rPr>
                          <w:b/>
                        </w:rPr>
                        <w:t>Human rights implications</w:t>
                      </w:r>
                    </w:p>
                    <w:p w14:paraId="4FC452CD" w14:textId="77777777" w:rsidR="000076D6" w:rsidRPr="00247F54" w:rsidRDefault="000076D6" w:rsidP="000076D6">
                      <w:pPr>
                        <w:spacing w:before="120" w:after="120"/>
                      </w:pPr>
                      <w:r w:rsidRPr="00247F54">
                        <w:t xml:space="preserve">This </w:t>
                      </w:r>
                      <w:r>
                        <w:t>l</w:t>
                      </w:r>
                      <w:r w:rsidRPr="00247F54">
                        <w:t xml:space="preserve">egislative </w:t>
                      </w:r>
                      <w:r>
                        <w:t>i</w:t>
                      </w:r>
                      <w:r w:rsidRPr="00247F54">
                        <w:t>nstrument does not engage any of the applicable rights or freedoms.</w:t>
                      </w:r>
                    </w:p>
                    <w:p w14:paraId="4FC452CE" w14:textId="77777777" w:rsidR="000076D6" w:rsidRPr="00247F54" w:rsidRDefault="000076D6" w:rsidP="000076D6">
                      <w:pPr>
                        <w:spacing w:before="120" w:after="120"/>
                        <w:rPr>
                          <w:b/>
                        </w:rPr>
                      </w:pPr>
                      <w:r w:rsidRPr="00247F54">
                        <w:rPr>
                          <w:b/>
                        </w:rPr>
                        <w:t>Conclusion</w:t>
                      </w:r>
                    </w:p>
                    <w:p w14:paraId="4FC452CF" w14:textId="77777777" w:rsidR="000076D6" w:rsidRPr="00247F54" w:rsidRDefault="000076D6" w:rsidP="000076D6">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14:paraId="4FC452D0" w14:textId="77777777" w:rsidR="000076D6" w:rsidRPr="00E4135E" w:rsidRDefault="000076D6" w:rsidP="000076D6">
                      <w:pPr>
                        <w:spacing w:before="120" w:after="120"/>
                        <w:jc w:val="center"/>
                      </w:pPr>
                    </w:p>
                    <w:p w14:paraId="4FC452D1" w14:textId="1AD149B5" w:rsidR="000076D6" w:rsidRPr="00E4135E" w:rsidRDefault="000076D6" w:rsidP="000076D6">
                      <w:pPr>
                        <w:spacing w:before="120" w:after="120"/>
                        <w:jc w:val="center"/>
                      </w:pPr>
                    </w:p>
                  </w:txbxContent>
                </v:textbox>
              </v:rect>
            </w:pict>
          </mc:Fallback>
        </mc:AlternateContent>
      </w:r>
    </w:p>
    <w:sectPr w:rsidR="000076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C452AE" w14:textId="77777777" w:rsidR="00AF0513" w:rsidRDefault="00AF0513">
      <w:pPr>
        <w:spacing w:after="0"/>
      </w:pPr>
      <w:r>
        <w:separator/>
      </w:r>
    </w:p>
  </w:endnote>
  <w:endnote w:type="continuationSeparator" w:id="0">
    <w:p w14:paraId="4FC452AF" w14:textId="77777777" w:rsidR="00AF0513" w:rsidRDefault="00AF05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C452B5" w14:textId="77777777" w:rsidR="00C27A4B" w:rsidRDefault="005B0E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A5B17">
      <w:rPr>
        <w:rStyle w:val="PageNumber"/>
        <w:noProof/>
      </w:rPr>
      <w:t>8</w:t>
    </w:r>
    <w:r>
      <w:rPr>
        <w:rStyle w:val="PageNumber"/>
      </w:rPr>
      <w:fldChar w:fldCharType="end"/>
    </w:r>
  </w:p>
  <w:p w14:paraId="4FC452B6" w14:textId="77777777" w:rsidR="00C27A4B" w:rsidRDefault="00457937">
    <w:pPr>
      <w:pStyle w:val="Footer"/>
      <w:ind w:right="360"/>
    </w:pPr>
  </w:p>
  <w:p w14:paraId="4FC452B7" w14:textId="77777777" w:rsidR="00C27A4B" w:rsidRDefault="00457937"/>
  <w:p w14:paraId="4FC452B8" w14:textId="77777777" w:rsidR="00C27A4B" w:rsidRDefault="00457937"/>
  <w:p w14:paraId="4FC452B9" w14:textId="77777777" w:rsidR="00C27A4B" w:rsidRDefault="00457937"/>
  <w:p w14:paraId="4FC452BA" w14:textId="77777777" w:rsidR="00C27A4B" w:rsidRDefault="00457937"/>
  <w:p w14:paraId="4FC452BB" w14:textId="77777777" w:rsidR="00C27A4B" w:rsidRDefault="0045793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C452BC" w14:textId="2813C1D2" w:rsidR="00C27A4B" w:rsidRDefault="005B0E3A">
    <w:pPr>
      <w:pStyle w:val="Footer"/>
      <w:pBdr>
        <w:top w:val="single" w:sz="4" w:space="1" w:color="117DC7"/>
      </w:pBdr>
      <w:rPr>
        <w:b/>
        <w:color w:val="117DC7"/>
      </w:rPr>
    </w:pPr>
    <w:r>
      <w:rPr>
        <w:noProof/>
        <w:color w:val="117DC7"/>
        <w:sz w:val="20"/>
      </w:rPr>
      <mc:AlternateContent>
        <mc:Choice Requires="wps">
          <w:drawing>
            <wp:anchor distT="0" distB="0" distL="114300" distR="114300" simplePos="0" relativeHeight="251657216" behindDoc="0" locked="1" layoutInCell="1" allowOverlap="1" wp14:anchorId="4FC452BF" wp14:editId="4FC452C0">
              <wp:simplePos x="0" y="0"/>
              <wp:positionH relativeFrom="rightMargin">
                <wp:posOffset>-648335</wp:posOffset>
              </wp:positionH>
              <wp:positionV relativeFrom="paragraph">
                <wp:posOffset>36195</wp:posOffset>
              </wp:positionV>
              <wp:extent cx="657860" cy="158750"/>
              <wp:effectExtent l="1270" t="2540" r="0" b="63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C452D2" w14:textId="77777777" w:rsidR="00C27A4B" w:rsidRPr="008F541E" w:rsidRDefault="005B0E3A" w:rsidP="009E142C">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457937">
                            <w:rPr>
                              <w:rStyle w:val="PageNumber"/>
                              <w:rFonts w:ascii="Arial" w:hAnsi="Arial" w:cs="Arial"/>
                              <w:noProof/>
                              <w:color w:val="117DC7"/>
                              <w:sz w:val="16"/>
                              <w:szCs w:val="16"/>
                            </w:rPr>
                            <w:t>1</w:t>
                          </w:r>
                          <w:r w:rsidRPr="008F541E">
                            <w:rPr>
                              <w:rStyle w:val="PageNumber"/>
                              <w:rFonts w:ascii="Arial" w:hAnsi="Arial" w:cs="Arial"/>
                              <w:color w:val="117DC7"/>
                              <w:sz w:val="16"/>
                              <w:szCs w:val="16"/>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margin-left:-51.05pt;margin-top:2.85pt;width:51.8pt;height:12.5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" stroked="f">
              <v:textbox inset="0,0,0,0">
                <w:txbxContent>
                  <w:p w14:paraId="4FC452D2" w14:textId="77777777" w:rsidR="00C27A4B" w:rsidRPr="008F541E" w:rsidRDefault="005B0E3A" w:rsidP="009E142C">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457937">
                      <w:rPr>
                        <w:rStyle w:val="PageNumber"/>
                        <w:rFonts w:ascii="Arial" w:hAnsi="Arial" w:cs="Arial"/>
                        <w:noProof/>
                        <w:color w:val="117DC7"/>
                        <w:sz w:val="16"/>
                        <w:szCs w:val="16"/>
                      </w:rPr>
                      <w:t>1</w:t>
                    </w:r>
                    <w:r w:rsidRPr="008F541E">
                      <w:rPr>
                        <w:rStyle w:val="PageNumber"/>
                        <w:rFonts w:ascii="Arial" w:hAnsi="Arial" w:cs="Arial"/>
                        <w:color w:val="117DC7"/>
                        <w:sz w:val="16"/>
                        <w:szCs w:val="16"/>
                      </w:rPr>
                      <w:fldChar w:fldCharType="end"/>
                    </w:r>
                  </w:p>
                </w:txbxContent>
              </v:textbox>
              <w10:wrap anchorx="margin"/>
              <w10:anchorlock/>
            </v:shape>
          </w:pict>
        </mc:Fallback>
      </mc:AlternateContent>
    </w:r>
    <w:r>
      <w:rPr>
        <w:color w:val="117DC7"/>
      </w:rPr>
      <w:t>© Australian Securities and Investments Commission</w:t>
    </w:r>
    <w:r>
      <w:rPr>
        <w:color w:val="117DC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452AC" w14:textId="77777777" w:rsidR="00AF0513" w:rsidRDefault="00AF0513">
      <w:pPr>
        <w:spacing w:after="0"/>
      </w:pPr>
      <w:r>
        <w:separator/>
      </w:r>
    </w:p>
  </w:footnote>
  <w:footnote w:type="continuationSeparator" w:id="0">
    <w:p w14:paraId="4FC452AD" w14:textId="77777777" w:rsidR="00AF0513" w:rsidRDefault="00AF051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C452B0" w14:textId="77777777" w:rsidR="00C27A4B" w:rsidRDefault="00457937"/>
  <w:p w14:paraId="4FC452B1" w14:textId="77777777" w:rsidR="00C27A4B" w:rsidRDefault="0045793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C452B2" w14:textId="6F43E741" w:rsidR="009D4395" w:rsidRDefault="005B0E3A">
    <w:pPr>
      <w:pStyle w:val="Footer"/>
      <w:pBdr>
        <w:bottom w:val="single" w:sz="4" w:space="1" w:color="117DC7"/>
      </w:pBdr>
      <w:jc w:val="right"/>
      <w:rPr>
        <w:color w:val="117DC7"/>
      </w:rPr>
    </w:pPr>
    <w:r>
      <w:tab/>
    </w:r>
  </w:p>
  <w:p w14:paraId="4FC452B3" w14:textId="128490D4" w:rsidR="00C27A4B" w:rsidRDefault="009D4395">
    <w:pPr>
      <w:pStyle w:val="Footer"/>
      <w:pBdr>
        <w:bottom w:val="single" w:sz="4" w:space="1" w:color="117DC7"/>
      </w:pBdr>
      <w:jc w:val="right"/>
      <w:rPr>
        <w:color w:val="117DC7"/>
      </w:rPr>
    </w:pPr>
    <w:r w:rsidRPr="00FF4224">
      <w:rPr>
        <w:color w:val="117DC7"/>
      </w:rPr>
      <w:t xml:space="preserve">EXPLANATORY STATEMENT FOR </w:t>
    </w:r>
    <w:r w:rsidR="001D086E" w:rsidRPr="00FF4224">
      <w:rPr>
        <w:color w:val="117DC7"/>
      </w:rPr>
      <w:t xml:space="preserve">ASIC </w:t>
    </w:r>
    <w:r w:rsidR="0030092C" w:rsidRPr="00FF4224">
      <w:rPr>
        <w:color w:val="117DC7"/>
      </w:rPr>
      <w:t>Corporations (Superannuation</w:t>
    </w:r>
    <w:r w:rsidR="00FF4224">
      <w:rPr>
        <w:color w:val="117DC7"/>
      </w:rPr>
      <w:t xml:space="preserve"> </w:t>
    </w:r>
    <w:r w:rsidR="00FF4224" w:rsidRPr="00FF4224">
      <w:rPr>
        <w:color w:val="117DC7"/>
      </w:rPr>
      <w:t xml:space="preserve">- </w:t>
    </w:r>
    <w:r w:rsidR="0030092C" w:rsidRPr="00FF4224">
      <w:rPr>
        <w:color w:val="117DC7"/>
      </w:rPr>
      <w:t>Investment Strategies) Instrument 2016/</w:t>
    </w:r>
    <w:r w:rsidR="00FF4224" w:rsidRPr="00FF4224">
      <w:rPr>
        <w:color w:val="117DC7"/>
      </w:rPr>
      <w:t>65</w:t>
    </w:r>
  </w:p>
  <w:p w14:paraId="4FC452B4" w14:textId="77777777" w:rsidR="00C27A4B" w:rsidRDefault="0045793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C452BD" w14:textId="77777777" w:rsidR="00C27A4B" w:rsidRDefault="005B0E3A">
    <w:pPr>
      <w:pStyle w:val="Header"/>
      <w:pBdr>
        <w:bottom w:val="none" w:sz="0" w:space="0" w:color="auto"/>
      </w:pBdr>
      <w:jc w:val="center"/>
      <w:rPr>
        <w:b/>
        <w:bCs/>
        <w:color w:val="C0C0C0"/>
        <w:sz w:val="48"/>
        <w:lang w:val="en-US"/>
      </w:rPr>
    </w:pPr>
    <w:r>
      <w:rPr>
        <w:b/>
        <w:bCs/>
        <w:color w:val="C0C0C0"/>
        <w:sz w:val="48"/>
        <w:lang w:val="en-US"/>
      </w:rP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2"/>
      <w:numFmt w:val="lowerLetter"/>
      <w:lvlText w:val="(%1)"/>
      <w:lvlJc w:val="left"/>
      <w:pPr>
        <w:ind w:hanging="709"/>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3"/>
    <w:multiLevelType w:val="multilevel"/>
    <w:tmpl w:val="00000886"/>
    <w:lvl w:ilvl="0">
      <w:start w:val="2"/>
      <w:numFmt w:val="decimal"/>
      <w:lvlText w:val="(%1)"/>
      <w:lvlJc w:val="left"/>
      <w:pPr>
        <w:ind w:hanging="425"/>
      </w:pPr>
      <w:rPr>
        <w:rFonts w:ascii="Times New Roman" w:hAnsi="Times New Roman" w:cs="Times New Roman"/>
        <w:b w:val="0"/>
        <w:bCs w:val="0"/>
        <w:sz w:val="24"/>
        <w:szCs w:val="24"/>
      </w:rPr>
    </w:lvl>
    <w:lvl w:ilvl="1">
      <w:start w:val="1"/>
      <w:numFmt w:val="lowerLetter"/>
      <w:lvlText w:val="(%2)"/>
      <w:lvlJc w:val="left"/>
      <w:pPr>
        <w:ind w:hanging="425"/>
      </w:pPr>
      <w:rPr>
        <w:rFonts w:ascii="Times New Roman" w:hAnsi="Times New Roman" w:cs="Times New Roman"/>
        <w:b w:val="0"/>
        <w:bCs w:val="0"/>
        <w:sz w:val="24"/>
        <w:szCs w:val="24"/>
      </w:rPr>
    </w:lvl>
    <w:lvl w:ilvl="2">
      <w:start w:val="1"/>
      <w:numFmt w:val="lowerRoman"/>
      <w:lvlText w:val="(%3)"/>
      <w:lvlJc w:val="left"/>
      <w:pPr>
        <w:ind w:hanging="567"/>
      </w:pPr>
      <w:rPr>
        <w:rFonts w:ascii="Times New Roman" w:hAnsi="Times New Roman" w:cs="Times New Roman"/>
        <w:b w:val="0"/>
        <w:bCs w:val="0"/>
        <w:sz w:val="24"/>
        <w:szCs w:val="24"/>
      </w:rPr>
    </w:lvl>
    <w:lvl w:ilvl="3">
      <w:start w:val="1"/>
      <w:numFmt w:val="upperLetter"/>
      <w:lvlText w:val="(%4)"/>
      <w:lvlJc w:val="left"/>
      <w:pPr>
        <w:ind w:hanging="567"/>
      </w:pPr>
      <w:rPr>
        <w:rFonts w:ascii="Times New Roman" w:hAnsi="Times New Roman" w:cs="Times New Roman"/>
        <w:b w:val="0"/>
        <w:bCs w:val="0"/>
        <w:sz w:val="24"/>
        <w:szCs w:val="24"/>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3A166FB"/>
    <w:multiLevelType w:val="hybridMultilevel"/>
    <w:tmpl w:val="0914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B7C522D"/>
    <w:multiLevelType w:val="hybridMultilevel"/>
    <w:tmpl w:val="E69206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B957CCC"/>
    <w:multiLevelType w:val="hybridMultilevel"/>
    <w:tmpl w:val="DC38FDD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5953580"/>
    <w:multiLevelType w:val="hybridMultilevel"/>
    <w:tmpl w:val="6F36FAF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59D5EBF"/>
    <w:multiLevelType w:val="hybridMultilevel"/>
    <w:tmpl w:val="02AE4EDA"/>
    <w:lvl w:ilvl="0" w:tplc="4DAE7A4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BFB304F"/>
    <w:multiLevelType w:val="hybridMultilevel"/>
    <w:tmpl w:val="581A701A"/>
    <w:lvl w:ilvl="0" w:tplc="0C090001">
      <w:start w:val="1"/>
      <w:numFmt w:val="bullet"/>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8">
    <w:nsid w:val="1E0C6808"/>
    <w:multiLevelType w:val="multilevel"/>
    <w:tmpl w:val="A044F19C"/>
    <w:lvl w:ilvl="0">
      <w:start w:val="1"/>
      <w:numFmt w:val="decimal"/>
      <w:lvlText w:val="%1"/>
      <w:lvlJc w:val="left"/>
      <w:pPr>
        <w:tabs>
          <w:tab w:val="num" w:pos="1134"/>
        </w:tabs>
        <w:ind w:left="1134"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9">
    <w:nsid w:val="243B1A7D"/>
    <w:multiLevelType w:val="multilevel"/>
    <w:tmpl w:val="2BF2360A"/>
    <w:name w:val="ASIC proposal"/>
    <w:lvl w:ilvl="0">
      <w:start w:val="1"/>
      <w:numFmt w:val="upperLetter"/>
      <w:lvlText w:val="%1"/>
      <w:lvlJc w:val="left"/>
      <w:pPr>
        <w:tabs>
          <w:tab w:val="num" w:pos="851"/>
        </w:tabs>
        <w:ind w:left="851" w:hanging="851"/>
      </w:pPr>
      <w:rPr>
        <w:rFonts w:hint="default"/>
        <w:b/>
        <w:i w:val="0"/>
        <w:color w:val="117DC7"/>
        <w:sz w:val="36"/>
        <w:szCs w:val="72"/>
      </w:rPr>
    </w:lvl>
    <w:lvl w:ilvl="1">
      <w:start w:val="1"/>
      <w:numFmt w:val="decimal"/>
      <w:lvlText w:val="%1%2"/>
      <w:lvlJc w:val="left"/>
      <w:pPr>
        <w:tabs>
          <w:tab w:val="num" w:pos="2693"/>
        </w:tabs>
        <w:ind w:left="2693" w:hanging="425"/>
      </w:pPr>
      <w:rPr>
        <w:rFonts w:hint="default"/>
        <w:b/>
        <w:i w:val="0"/>
        <w:color w:val="auto"/>
        <w:sz w:val="16"/>
        <w:szCs w:val="16"/>
      </w:rPr>
    </w:lvl>
    <w:lvl w:ilvl="2">
      <w:start w:val="1"/>
      <w:numFmt w:val="lowerLetter"/>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544"/>
        </w:tabs>
        <w:ind w:left="3544" w:hanging="425"/>
      </w:pPr>
      <w:rPr>
        <w:rFonts w:hint="default"/>
        <w:sz w:val="18"/>
        <w:szCs w:val="18"/>
      </w:rPr>
    </w:lvl>
    <w:lvl w:ilvl="4">
      <w:start w:val="1"/>
      <w:numFmt w:val="decimal"/>
      <w:lvlText w:val="%1%2Q%5"/>
      <w:lvlJc w:val="left"/>
      <w:pPr>
        <w:tabs>
          <w:tab w:val="num" w:pos="3799"/>
        </w:tabs>
        <w:ind w:left="3799" w:hanging="567"/>
      </w:pPr>
      <w:rPr>
        <w:rFonts w:hint="default"/>
        <w:sz w:val="16"/>
        <w:szCs w:val="16"/>
      </w:rPr>
    </w:lvl>
    <w:lvl w:ilvl="5">
      <w:start w:val="1"/>
      <w:numFmt w:val="lowerLetter"/>
      <w:lvlText w:val="             (%6)"/>
      <w:lvlJc w:val="left"/>
      <w:pPr>
        <w:tabs>
          <w:tab w:val="num" w:pos="4139"/>
        </w:tabs>
        <w:ind w:left="4139" w:hanging="907"/>
      </w:pPr>
      <w:rPr>
        <w:rFonts w:hint="default"/>
        <w:sz w:val="16"/>
        <w:szCs w:val="16"/>
      </w:rPr>
    </w:lvl>
    <w:lvl w:ilvl="6">
      <w:start w:val="1"/>
      <w:numFmt w:val="lowerRoma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0">
    <w:nsid w:val="26D1652F"/>
    <w:multiLevelType w:val="hybridMultilevel"/>
    <w:tmpl w:val="2A2AD262"/>
    <w:lvl w:ilvl="0" w:tplc="0C090009">
      <w:start w:val="1"/>
      <w:numFmt w:val="bullet"/>
      <w:lvlText w:val=""/>
      <w:lvlJc w:val="left"/>
      <w:pPr>
        <w:ind w:left="1210" w:hanging="360"/>
      </w:pPr>
      <w:rPr>
        <w:rFonts w:ascii="Wingdings" w:hAnsi="Wingdings"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11">
    <w:nsid w:val="34B84359"/>
    <w:multiLevelType w:val="hybridMultilevel"/>
    <w:tmpl w:val="FA8EC35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F333E7B"/>
    <w:multiLevelType w:val="hybridMultilevel"/>
    <w:tmpl w:val="480E8D74"/>
    <w:lvl w:ilvl="0" w:tplc="230AAAF4">
      <w:start w:val="1"/>
      <w:numFmt w:val="decimal"/>
      <w:lvlText w:val="%1."/>
      <w:lvlJc w:val="left"/>
      <w:pPr>
        <w:ind w:left="1591" w:hanging="720"/>
      </w:pPr>
      <w:rPr>
        <w:rFonts w:ascii="Arial" w:eastAsia="Arial" w:hAnsi="Arial" w:hint="default"/>
        <w:b/>
        <w:bCs/>
        <w:spacing w:val="-1"/>
        <w:sz w:val="24"/>
        <w:szCs w:val="24"/>
      </w:rPr>
    </w:lvl>
    <w:lvl w:ilvl="1" w:tplc="EBDE478C">
      <w:start w:val="1"/>
      <w:numFmt w:val="bullet"/>
      <w:lvlText w:val="•"/>
      <w:lvlJc w:val="left"/>
      <w:pPr>
        <w:ind w:left="2324" w:hanging="720"/>
      </w:pPr>
      <w:rPr>
        <w:rFonts w:hint="default"/>
      </w:rPr>
    </w:lvl>
    <w:lvl w:ilvl="2" w:tplc="32C2B520">
      <w:start w:val="1"/>
      <w:numFmt w:val="bullet"/>
      <w:lvlText w:val="•"/>
      <w:lvlJc w:val="left"/>
      <w:pPr>
        <w:ind w:left="3057" w:hanging="720"/>
      </w:pPr>
      <w:rPr>
        <w:rFonts w:hint="default"/>
      </w:rPr>
    </w:lvl>
    <w:lvl w:ilvl="3" w:tplc="349E1F8C">
      <w:start w:val="1"/>
      <w:numFmt w:val="bullet"/>
      <w:lvlText w:val="•"/>
      <w:lvlJc w:val="left"/>
      <w:pPr>
        <w:ind w:left="3790" w:hanging="720"/>
      </w:pPr>
      <w:rPr>
        <w:rFonts w:hint="default"/>
      </w:rPr>
    </w:lvl>
    <w:lvl w:ilvl="4" w:tplc="8CB208BC">
      <w:start w:val="1"/>
      <w:numFmt w:val="bullet"/>
      <w:lvlText w:val="•"/>
      <w:lvlJc w:val="left"/>
      <w:pPr>
        <w:ind w:left="4523" w:hanging="720"/>
      </w:pPr>
      <w:rPr>
        <w:rFonts w:hint="default"/>
      </w:rPr>
    </w:lvl>
    <w:lvl w:ilvl="5" w:tplc="6CBE2404">
      <w:start w:val="1"/>
      <w:numFmt w:val="bullet"/>
      <w:lvlText w:val="•"/>
      <w:lvlJc w:val="left"/>
      <w:pPr>
        <w:ind w:left="5255" w:hanging="720"/>
      </w:pPr>
      <w:rPr>
        <w:rFonts w:hint="default"/>
      </w:rPr>
    </w:lvl>
    <w:lvl w:ilvl="6" w:tplc="122C6A98">
      <w:start w:val="1"/>
      <w:numFmt w:val="bullet"/>
      <w:lvlText w:val="•"/>
      <w:lvlJc w:val="left"/>
      <w:pPr>
        <w:ind w:left="5988" w:hanging="720"/>
      </w:pPr>
      <w:rPr>
        <w:rFonts w:hint="default"/>
      </w:rPr>
    </w:lvl>
    <w:lvl w:ilvl="7" w:tplc="B3AA378A">
      <w:start w:val="1"/>
      <w:numFmt w:val="bullet"/>
      <w:lvlText w:val="•"/>
      <w:lvlJc w:val="left"/>
      <w:pPr>
        <w:ind w:left="6721" w:hanging="720"/>
      </w:pPr>
      <w:rPr>
        <w:rFonts w:hint="default"/>
      </w:rPr>
    </w:lvl>
    <w:lvl w:ilvl="8" w:tplc="1C92557E">
      <w:start w:val="1"/>
      <w:numFmt w:val="bullet"/>
      <w:lvlText w:val="•"/>
      <w:lvlJc w:val="left"/>
      <w:pPr>
        <w:ind w:left="7454" w:hanging="720"/>
      </w:pPr>
      <w:rPr>
        <w:rFonts w:hint="default"/>
      </w:rPr>
    </w:lvl>
  </w:abstractNum>
  <w:abstractNum w:abstractNumId="13">
    <w:nsid w:val="44E12992"/>
    <w:multiLevelType w:val="hybridMultilevel"/>
    <w:tmpl w:val="40046D04"/>
    <w:lvl w:ilvl="0" w:tplc="9D02CC36">
      <w:start w:val="1"/>
      <w:numFmt w:val="lowerRoman"/>
      <w:pStyle w:val="Subsubpara"/>
      <w:lvlText w:val="(%1)"/>
      <w:lvlJc w:val="left"/>
      <w:pPr>
        <w:tabs>
          <w:tab w:val="num" w:pos="1799"/>
        </w:tabs>
        <w:ind w:left="1259"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5E92EA6"/>
    <w:multiLevelType w:val="hybridMultilevel"/>
    <w:tmpl w:val="2814D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FE72A03"/>
    <w:multiLevelType w:val="hybridMultilevel"/>
    <w:tmpl w:val="C070255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B9B5C87"/>
    <w:multiLevelType w:val="hybridMultilevel"/>
    <w:tmpl w:val="E11C976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18">
    <w:nsid w:val="77857696"/>
    <w:multiLevelType w:val="hybridMultilevel"/>
    <w:tmpl w:val="4E6618A8"/>
    <w:lvl w:ilvl="0" w:tplc="5726AC30">
      <w:start w:val="1"/>
      <w:numFmt w:val="lowerLetter"/>
      <w:pStyle w:val="Subpara"/>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8"/>
  </w:num>
  <w:num w:numId="3">
    <w:abstractNumId w:val="13"/>
  </w:num>
  <w:num w:numId="4">
    <w:abstractNumId w:val="17"/>
  </w:num>
  <w:num w:numId="5">
    <w:abstractNumId w:val="9"/>
  </w:num>
  <w:num w:numId="6">
    <w:abstractNumId w:val="8"/>
  </w:num>
  <w:num w:numId="7">
    <w:abstractNumId w:val="12"/>
  </w:num>
  <w:num w:numId="8">
    <w:abstractNumId w:val="5"/>
  </w:num>
  <w:num w:numId="9">
    <w:abstractNumId w:val="4"/>
  </w:num>
  <w:num w:numId="10">
    <w:abstractNumId w:val="2"/>
  </w:num>
  <w:num w:numId="11">
    <w:abstractNumId w:val="11"/>
  </w:num>
  <w:num w:numId="12">
    <w:abstractNumId w:val="16"/>
  </w:num>
  <w:num w:numId="13">
    <w:abstractNumId w:val="15"/>
  </w:num>
  <w:num w:numId="14">
    <w:abstractNumId w:val="10"/>
  </w:num>
  <w:num w:numId="15">
    <w:abstractNumId w:val="1"/>
  </w:num>
  <w:num w:numId="16">
    <w:abstractNumId w:val="0"/>
  </w:num>
  <w:num w:numId="17">
    <w:abstractNumId w:val="14"/>
  </w:num>
  <w:num w:numId="18">
    <w:abstractNumId w:val="7"/>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513"/>
    <w:rsid w:val="00004FEE"/>
    <w:rsid w:val="000076D6"/>
    <w:rsid w:val="00007739"/>
    <w:rsid w:val="000306E0"/>
    <w:rsid w:val="00061681"/>
    <w:rsid w:val="00072221"/>
    <w:rsid w:val="000F33EB"/>
    <w:rsid w:val="00101223"/>
    <w:rsid w:val="00116AEA"/>
    <w:rsid w:val="00120B0C"/>
    <w:rsid w:val="00155A30"/>
    <w:rsid w:val="00182460"/>
    <w:rsid w:val="001A137A"/>
    <w:rsid w:val="001B61E6"/>
    <w:rsid w:val="001C2F0D"/>
    <w:rsid w:val="001C3F2D"/>
    <w:rsid w:val="001D086E"/>
    <w:rsid w:val="001E4AC6"/>
    <w:rsid w:val="002115D4"/>
    <w:rsid w:val="002313D1"/>
    <w:rsid w:val="002A1B62"/>
    <w:rsid w:val="0030092C"/>
    <w:rsid w:val="00311C0E"/>
    <w:rsid w:val="003333AE"/>
    <w:rsid w:val="00371AF9"/>
    <w:rsid w:val="00393322"/>
    <w:rsid w:val="003A5B17"/>
    <w:rsid w:val="003A7A7E"/>
    <w:rsid w:val="003B55EF"/>
    <w:rsid w:val="003B57F2"/>
    <w:rsid w:val="003C3D72"/>
    <w:rsid w:val="0041082D"/>
    <w:rsid w:val="00414068"/>
    <w:rsid w:val="00414F31"/>
    <w:rsid w:val="0042083B"/>
    <w:rsid w:val="00421E02"/>
    <w:rsid w:val="00423BAD"/>
    <w:rsid w:val="00450E27"/>
    <w:rsid w:val="00457937"/>
    <w:rsid w:val="00463A99"/>
    <w:rsid w:val="004A4101"/>
    <w:rsid w:val="004D6803"/>
    <w:rsid w:val="004F4A0C"/>
    <w:rsid w:val="0050060D"/>
    <w:rsid w:val="00537DBF"/>
    <w:rsid w:val="00542DB1"/>
    <w:rsid w:val="00590391"/>
    <w:rsid w:val="005B0E3A"/>
    <w:rsid w:val="005D2D39"/>
    <w:rsid w:val="005E0AC2"/>
    <w:rsid w:val="0060107E"/>
    <w:rsid w:val="0062127A"/>
    <w:rsid w:val="00627117"/>
    <w:rsid w:val="00637C89"/>
    <w:rsid w:val="00657B7E"/>
    <w:rsid w:val="00704D2F"/>
    <w:rsid w:val="00705134"/>
    <w:rsid w:val="00756509"/>
    <w:rsid w:val="00756545"/>
    <w:rsid w:val="007635F4"/>
    <w:rsid w:val="00771B10"/>
    <w:rsid w:val="00786CA7"/>
    <w:rsid w:val="007E3628"/>
    <w:rsid w:val="007F7947"/>
    <w:rsid w:val="008343DF"/>
    <w:rsid w:val="00871E7B"/>
    <w:rsid w:val="00875070"/>
    <w:rsid w:val="008C02DE"/>
    <w:rsid w:val="008E607A"/>
    <w:rsid w:val="00930BE4"/>
    <w:rsid w:val="009D4395"/>
    <w:rsid w:val="00A655F6"/>
    <w:rsid w:val="00A67CB7"/>
    <w:rsid w:val="00A858B9"/>
    <w:rsid w:val="00A95219"/>
    <w:rsid w:val="00AC02C2"/>
    <w:rsid w:val="00AF0513"/>
    <w:rsid w:val="00B00CC9"/>
    <w:rsid w:val="00B42653"/>
    <w:rsid w:val="00B45326"/>
    <w:rsid w:val="00BD0EBC"/>
    <w:rsid w:val="00BF1F25"/>
    <w:rsid w:val="00C06EF5"/>
    <w:rsid w:val="00C07ABC"/>
    <w:rsid w:val="00C13A7B"/>
    <w:rsid w:val="00C31061"/>
    <w:rsid w:val="00C843E0"/>
    <w:rsid w:val="00C9566C"/>
    <w:rsid w:val="00CB4CEE"/>
    <w:rsid w:val="00CF0B94"/>
    <w:rsid w:val="00CF543D"/>
    <w:rsid w:val="00D12ADD"/>
    <w:rsid w:val="00D67710"/>
    <w:rsid w:val="00D85FA4"/>
    <w:rsid w:val="00D92052"/>
    <w:rsid w:val="00D95E4B"/>
    <w:rsid w:val="00DA5D97"/>
    <w:rsid w:val="00DC1350"/>
    <w:rsid w:val="00E22081"/>
    <w:rsid w:val="00E243BB"/>
    <w:rsid w:val="00E8691E"/>
    <w:rsid w:val="00EB61CC"/>
    <w:rsid w:val="00ED1275"/>
    <w:rsid w:val="00EE2027"/>
    <w:rsid w:val="00EE522C"/>
    <w:rsid w:val="00EF494A"/>
    <w:rsid w:val="00EF52EF"/>
    <w:rsid w:val="00F00FE2"/>
    <w:rsid w:val="00F020F9"/>
    <w:rsid w:val="00F46C49"/>
    <w:rsid w:val="00F57D26"/>
    <w:rsid w:val="00F8685C"/>
    <w:rsid w:val="00FA228A"/>
    <w:rsid w:val="00FC4A03"/>
    <w:rsid w:val="00FF42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C45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paragraph" w:styleId="BalloonText">
    <w:name w:val="Balloon Text"/>
    <w:basedOn w:val="Normal"/>
    <w:link w:val="BalloonTextChar"/>
    <w:uiPriority w:val="99"/>
    <w:semiHidden/>
    <w:unhideWhenUsed/>
    <w:rsid w:val="00116AE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AEA"/>
    <w:rPr>
      <w:rFonts w:ascii="Tahoma" w:hAnsi="Tahoma" w:cs="Tahoma"/>
      <w:sz w:val="16"/>
      <w:szCs w:val="16"/>
    </w:rPr>
  </w:style>
  <w:style w:type="character" w:styleId="CommentReference">
    <w:name w:val="annotation reference"/>
    <w:basedOn w:val="DefaultParagraphFont"/>
    <w:uiPriority w:val="99"/>
    <w:semiHidden/>
    <w:unhideWhenUsed/>
    <w:rsid w:val="00C843E0"/>
    <w:rPr>
      <w:sz w:val="16"/>
      <w:szCs w:val="16"/>
    </w:rPr>
  </w:style>
  <w:style w:type="paragraph" w:styleId="CommentSubject">
    <w:name w:val="annotation subject"/>
    <w:basedOn w:val="CommentText"/>
    <w:next w:val="CommentText"/>
    <w:link w:val="CommentSubjectChar"/>
    <w:uiPriority w:val="99"/>
    <w:semiHidden/>
    <w:unhideWhenUsed/>
    <w:rsid w:val="00C843E0"/>
    <w:rPr>
      <w:b/>
      <w:bCs/>
    </w:rPr>
  </w:style>
  <w:style w:type="character" w:customStyle="1" w:styleId="CommentTextChar">
    <w:name w:val="Comment Text Char"/>
    <w:basedOn w:val="DefaultParagraphFont"/>
    <w:link w:val="CommentText"/>
    <w:semiHidden/>
    <w:rsid w:val="00C843E0"/>
  </w:style>
  <w:style w:type="character" w:customStyle="1" w:styleId="CommentSubjectChar">
    <w:name w:val="Comment Subject Char"/>
    <w:basedOn w:val="CommentTextChar"/>
    <w:link w:val="CommentSubject"/>
    <w:uiPriority w:val="99"/>
    <w:semiHidden/>
    <w:rsid w:val="00C843E0"/>
    <w:rPr>
      <w:b/>
      <w:bCs/>
    </w:rPr>
  </w:style>
  <w:style w:type="paragraph" w:customStyle="1" w:styleId="listc">
    <w:name w:val="listc"/>
    <w:basedOn w:val="Normal"/>
    <w:rsid w:val="008343DF"/>
    <w:pPr>
      <w:spacing w:before="100" w:beforeAutospacing="1" w:after="100" w:afterAutospacing="1"/>
    </w:pPr>
    <w:rPr>
      <w:sz w:val="24"/>
      <w:szCs w:val="24"/>
    </w:rPr>
  </w:style>
  <w:style w:type="paragraph" w:customStyle="1" w:styleId="listd">
    <w:name w:val="listd"/>
    <w:basedOn w:val="Normal"/>
    <w:rsid w:val="008343DF"/>
    <w:pPr>
      <w:spacing w:before="100" w:beforeAutospacing="1" w:after="100" w:afterAutospacing="1"/>
    </w:pPr>
    <w:rPr>
      <w:sz w:val="24"/>
      <w:szCs w:val="24"/>
    </w:rPr>
  </w:style>
  <w:style w:type="paragraph" w:customStyle="1" w:styleId="ahist">
    <w:name w:val="ahist"/>
    <w:basedOn w:val="Normal"/>
    <w:rsid w:val="008343DF"/>
    <w:pPr>
      <w:spacing w:before="100" w:beforeAutospacing="1" w:after="100" w:afterAutospacing="1"/>
    </w:pPr>
    <w:rPr>
      <w:sz w:val="24"/>
      <w:szCs w:val="24"/>
    </w:rPr>
  </w:style>
  <w:style w:type="paragraph" w:customStyle="1" w:styleId="liste">
    <w:name w:val="liste"/>
    <w:basedOn w:val="Normal"/>
    <w:rsid w:val="008343DF"/>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paragraph" w:styleId="BalloonText">
    <w:name w:val="Balloon Text"/>
    <w:basedOn w:val="Normal"/>
    <w:link w:val="BalloonTextChar"/>
    <w:uiPriority w:val="99"/>
    <w:semiHidden/>
    <w:unhideWhenUsed/>
    <w:rsid w:val="00116AE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AEA"/>
    <w:rPr>
      <w:rFonts w:ascii="Tahoma" w:hAnsi="Tahoma" w:cs="Tahoma"/>
      <w:sz w:val="16"/>
      <w:szCs w:val="16"/>
    </w:rPr>
  </w:style>
  <w:style w:type="character" w:styleId="CommentReference">
    <w:name w:val="annotation reference"/>
    <w:basedOn w:val="DefaultParagraphFont"/>
    <w:uiPriority w:val="99"/>
    <w:semiHidden/>
    <w:unhideWhenUsed/>
    <w:rsid w:val="00C843E0"/>
    <w:rPr>
      <w:sz w:val="16"/>
      <w:szCs w:val="16"/>
    </w:rPr>
  </w:style>
  <w:style w:type="paragraph" w:styleId="CommentSubject">
    <w:name w:val="annotation subject"/>
    <w:basedOn w:val="CommentText"/>
    <w:next w:val="CommentText"/>
    <w:link w:val="CommentSubjectChar"/>
    <w:uiPriority w:val="99"/>
    <w:semiHidden/>
    <w:unhideWhenUsed/>
    <w:rsid w:val="00C843E0"/>
    <w:rPr>
      <w:b/>
      <w:bCs/>
    </w:rPr>
  </w:style>
  <w:style w:type="character" w:customStyle="1" w:styleId="CommentTextChar">
    <w:name w:val="Comment Text Char"/>
    <w:basedOn w:val="DefaultParagraphFont"/>
    <w:link w:val="CommentText"/>
    <w:semiHidden/>
    <w:rsid w:val="00C843E0"/>
  </w:style>
  <w:style w:type="character" w:customStyle="1" w:styleId="CommentSubjectChar">
    <w:name w:val="Comment Subject Char"/>
    <w:basedOn w:val="CommentTextChar"/>
    <w:link w:val="CommentSubject"/>
    <w:uiPriority w:val="99"/>
    <w:semiHidden/>
    <w:rsid w:val="00C843E0"/>
    <w:rPr>
      <w:b/>
      <w:bCs/>
    </w:rPr>
  </w:style>
  <w:style w:type="paragraph" w:customStyle="1" w:styleId="listc">
    <w:name w:val="listc"/>
    <w:basedOn w:val="Normal"/>
    <w:rsid w:val="008343DF"/>
    <w:pPr>
      <w:spacing w:before="100" w:beforeAutospacing="1" w:after="100" w:afterAutospacing="1"/>
    </w:pPr>
    <w:rPr>
      <w:sz w:val="24"/>
      <w:szCs w:val="24"/>
    </w:rPr>
  </w:style>
  <w:style w:type="paragraph" w:customStyle="1" w:styleId="listd">
    <w:name w:val="listd"/>
    <w:basedOn w:val="Normal"/>
    <w:rsid w:val="008343DF"/>
    <w:pPr>
      <w:spacing w:before="100" w:beforeAutospacing="1" w:after="100" w:afterAutospacing="1"/>
    </w:pPr>
    <w:rPr>
      <w:sz w:val="24"/>
      <w:szCs w:val="24"/>
    </w:rPr>
  </w:style>
  <w:style w:type="paragraph" w:customStyle="1" w:styleId="ahist">
    <w:name w:val="ahist"/>
    <w:basedOn w:val="Normal"/>
    <w:rsid w:val="008343DF"/>
    <w:pPr>
      <w:spacing w:before="100" w:beforeAutospacing="1" w:after="100" w:afterAutospacing="1"/>
    </w:pPr>
    <w:rPr>
      <w:sz w:val="24"/>
      <w:szCs w:val="24"/>
    </w:rPr>
  </w:style>
  <w:style w:type="paragraph" w:customStyle="1" w:styleId="liste">
    <w:name w:val="liste"/>
    <w:basedOn w:val="Normal"/>
    <w:rsid w:val="008343D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871959">
      <w:bodyDiv w:val="1"/>
      <w:marLeft w:val="0"/>
      <w:marRight w:val="0"/>
      <w:marTop w:val="0"/>
      <w:marBottom w:val="0"/>
      <w:divBdr>
        <w:top w:val="none" w:sz="0" w:space="0" w:color="auto"/>
        <w:left w:val="none" w:sz="0" w:space="0" w:color="auto"/>
        <w:bottom w:val="none" w:sz="0" w:space="0" w:color="auto"/>
        <w:right w:val="none" w:sz="0" w:space="0" w:color="auto"/>
      </w:divBdr>
      <w:divsChild>
        <w:div w:id="977882718">
          <w:marLeft w:val="0"/>
          <w:marRight w:val="0"/>
          <w:marTop w:val="0"/>
          <w:marBottom w:val="0"/>
          <w:divBdr>
            <w:top w:val="none" w:sz="0" w:space="0" w:color="auto"/>
            <w:left w:val="none" w:sz="0" w:space="0" w:color="auto"/>
            <w:bottom w:val="none" w:sz="0" w:space="0" w:color="auto"/>
            <w:right w:val="none" w:sz="0" w:space="0" w:color="auto"/>
          </w:divBdr>
          <w:divsChild>
            <w:div w:id="599067477">
              <w:marLeft w:val="0"/>
              <w:marRight w:val="0"/>
              <w:marTop w:val="0"/>
              <w:marBottom w:val="0"/>
              <w:divBdr>
                <w:top w:val="none" w:sz="0" w:space="0" w:color="auto"/>
                <w:left w:val="none" w:sz="0" w:space="0" w:color="auto"/>
                <w:bottom w:val="none" w:sz="0" w:space="0" w:color="auto"/>
                <w:right w:val="none" w:sz="0" w:space="0" w:color="auto"/>
              </w:divBdr>
              <w:divsChild>
                <w:div w:id="1074620684">
                  <w:marLeft w:val="0"/>
                  <w:marRight w:val="0"/>
                  <w:marTop w:val="0"/>
                  <w:marBottom w:val="0"/>
                  <w:divBdr>
                    <w:top w:val="none" w:sz="0" w:space="0" w:color="auto"/>
                    <w:left w:val="none" w:sz="0" w:space="0" w:color="auto"/>
                    <w:bottom w:val="none" w:sz="0" w:space="0" w:color="auto"/>
                    <w:right w:val="none" w:sz="0" w:space="0" w:color="auto"/>
                  </w:divBdr>
                  <w:divsChild>
                    <w:div w:id="1237477782">
                      <w:marLeft w:val="0"/>
                      <w:marRight w:val="0"/>
                      <w:marTop w:val="0"/>
                      <w:marBottom w:val="0"/>
                      <w:divBdr>
                        <w:top w:val="none" w:sz="0" w:space="0" w:color="auto"/>
                        <w:left w:val="none" w:sz="0" w:space="0" w:color="auto"/>
                        <w:bottom w:val="none" w:sz="0" w:space="0" w:color="auto"/>
                        <w:right w:val="none" w:sz="0" w:space="0" w:color="auto"/>
                      </w:divBdr>
                      <w:divsChild>
                        <w:div w:id="1346516167">
                          <w:marLeft w:val="0"/>
                          <w:marRight w:val="0"/>
                          <w:marTop w:val="0"/>
                          <w:marBottom w:val="0"/>
                          <w:divBdr>
                            <w:top w:val="single" w:sz="6" w:space="0" w:color="828282"/>
                            <w:left w:val="single" w:sz="6" w:space="0" w:color="828282"/>
                            <w:bottom w:val="single" w:sz="6" w:space="0" w:color="828282"/>
                            <w:right w:val="single" w:sz="6" w:space="0" w:color="828282"/>
                          </w:divBdr>
                          <w:divsChild>
                            <w:div w:id="953056897">
                              <w:marLeft w:val="0"/>
                              <w:marRight w:val="0"/>
                              <w:marTop w:val="0"/>
                              <w:marBottom w:val="0"/>
                              <w:divBdr>
                                <w:top w:val="none" w:sz="0" w:space="0" w:color="auto"/>
                                <w:left w:val="none" w:sz="0" w:space="0" w:color="auto"/>
                                <w:bottom w:val="none" w:sz="0" w:space="0" w:color="auto"/>
                                <w:right w:val="none" w:sz="0" w:space="0" w:color="auto"/>
                              </w:divBdr>
                              <w:divsChild>
                                <w:div w:id="2035301151">
                                  <w:marLeft w:val="0"/>
                                  <w:marRight w:val="0"/>
                                  <w:marTop w:val="0"/>
                                  <w:marBottom w:val="0"/>
                                  <w:divBdr>
                                    <w:top w:val="none" w:sz="0" w:space="0" w:color="auto"/>
                                    <w:left w:val="none" w:sz="0" w:space="0" w:color="auto"/>
                                    <w:bottom w:val="none" w:sz="0" w:space="0" w:color="auto"/>
                                    <w:right w:val="none" w:sz="0" w:space="0" w:color="auto"/>
                                  </w:divBdr>
                                  <w:divsChild>
                                    <w:div w:id="2054890894">
                                      <w:marLeft w:val="0"/>
                                      <w:marRight w:val="0"/>
                                      <w:marTop w:val="0"/>
                                      <w:marBottom w:val="0"/>
                                      <w:divBdr>
                                        <w:top w:val="none" w:sz="0" w:space="0" w:color="auto"/>
                                        <w:left w:val="none" w:sz="0" w:space="0" w:color="auto"/>
                                        <w:bottom w:val="none" w:sz="0" w:space="0" w:color="auto"/>
                                        <w:right w:val="none" w:sz="0" w:space="0" w:color="auto"/>
                                      </w:divBdr>
                                      <w:divsChild>
                                        <w:div w:id="502234811">
                                          <w:marLeft w:val="0"/>
                                          <w:marRight w:val="0"/>
                                          <w:marTop w:val="0"/>
                                          <w:marBottom w:val="0"/>
                                          <w:divBdr>
                                            <w:top w:val="none" w:sz="0" w:space="0" w:color="auto"/>
                                            <w:left w:val="none" w:sz="0" w:space="0" w:color="auto"/>
                                            <w:bottom w:val="none" w:sz="0" w:space="0" w:color="auto"/>
                                            <w:right w:val="none" w:sz="0" w:space="0" w:color="auto"/>
                                          </w:divBdr>
                                          <w:divsChild>
                                            <w:div w:id="1677615328">
                                              <w:marLeft w:val="0"/>
                                              <w:marRight w:val="0"/>
                                              <w:marTop w:val="0"/>
                                              <w:marBottom w:val="0"/>
                                              <w:divBdr>
                                                <w:top w:val="none" w:sz="0" w:space="0" w:color="auto"/>
                                                <w:left w:val="none" w:sz="0" w:space="0" w:color="auto"/>
                                                <w:bottom w:val="none" w:sz="0" w:space="0" w:color="auto"/>
                                                <w:right w:val="none" w:sz="0" w:space="0" w:color="auto"/>
                                              </w:divBdr>
                                              <w:divsChild>
                                                <w:div w:id="77765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9425778">
      <w:bodyDiv w:val="1"/>
      <w:marLeft w:val="0"/>
      <w:marRight w:val="0"/>
      <w:marTop w:val="0"/>
      <w:marBottom w:val="0"/>
      <w:divBdr>
        <w:top w:val="none" w:sz="0" w:space="0" w:color="auto"/>
        <w:left w:val="none" w:sz="0" w:space="0" w:color="auto"/>
        <w:bottom w:val="none" w:sz="0" w:space="0" w:color="auto"/>
        <w:right w:val="none" w:sz="0" w:space="0" w:color="auto"/>
      </w:divBdr>
      <w:divsChild>
        <w:div w:id="34164819">
          <w:marLeft w:val="0"/>
          <w:marRight w:val="0"/>
          <w:marTop w:val="0"/>
          <w:marBottom w:val="0"/>
          <w:divBdr>
            <w:top w:val="none" w:sz="0" w:space="0" w:color="auto"/>
            <w:left w:val="none" w:sz="0" w:space="0" w:color="auto"/>
            <w:bottom w:val="none" w:sz="0" w:space="0" w:color="auto"/>
            <w:right w:val="none" w:sz="0" w:space="0" w:color="auto"/>
          </w:divBdr>
          <w:divsChild>
            <w:div w:id="1248418422">
              <w:marLeft w:val="0"/>
              <w:marRight w:val="0"/>
              <w:marTop w:val="0"/>
              <w:marBottom w:val="0"/>
              <w:divBdr>
                <w:top w:val="none" w:sz="0" w:space="0" w:color="auto"/>
                <w:left w:val="none" w:sz="0" w:space="0" w:color="auto"/>
                <w:bottom w:val="none" w:sz="0" w:space="0" w:color="auto"/>
                <w:right w:val="none" w:sz="0" w:space="0" w:color="auto"/>
              </w:divBdr>
              <w:divsChild>
                <w:div w:id="124130124">
                  <w:marLeft w:val="0"/>
                  <w:marRight w:val="0"/>
                  <w:marTop w:val="0"/>
                  <w:marBottom w:val="0"/>
                  <w:divBdr>
                    <w:top w:val="none" w:sz="0" w:space="0" w:color="auto"/>
                    <w:left w:val="none" w:sz="0" w:space="0" w:color="auto"/>
                    <w:bottom w:val="none" w:sz="0" w:space="0" w:color="auto"/>
                    <w:right w:val="none" w:sz="0" w:space="0" w:color="auto"/>
                  </w:divBdr>
                  <w:divsChild>
                    <w:div w:id="829440695">
                      <w:marLeft w:val="0"/>
                      <w:marRight w:val="0"/>
                      <w:marTop w:val="0"/>
                      <w:marBottom w:val="0"/>
                      <w:divBdr>
                        <w:top w:val="none" w:sz="0" w:space="0" w:color="auto"/>
                        <w:left w:val="none" w:sz="0" w:space="0" w:color="auto"/>
                        <w:bottom w:val="none" w:sz="0" w:space="0" w:color="auto"/>
                        <w:right w:val="none" w:sz="0" w:space="0" w:color="auto"/>
                      </w:divBdr>
                      <w:divsChild>
                        <w:div w:id="584845510">
                          <w:marLeft w:val="0"/>
                          <w:marRight w:val="0"/>
                          <w:marTop w:val="0"/>
                          <w:marBottom w:val="0"/>
                          <w:divBdr>
                            <w:top w:val="single" w:sz="6" w:space="0" w:color="828282"/>
                            <w:left w:val="single" w:sz="6" w:space="0" w:color="828282"/>
                            <w:bottom w:val="single" w:sz="6" w:space="0" w:color="828282"/>
                            <w:right w:val="single" w:sz="6" w:space="0" w:color="828282"/>
                          </w:divBdr>
                          <w:divsChild>
                            <w:div w:id="2113746415">
                              <w:marLeft w:val="0"/>
                              <w:marRight w:val="0"/>
                              <w:marTop w:val="0"/>
                              <w:marBottom w:val="0"/>
                              <w:divBdr>
                                <w:top w:val="none" w:sz="0" w:space="0" w:color="auto"/>
                                <w:left w:val="none" w:sz="0" w:space="0" w:color="auto"/>
                                <w:bottom w:val="none" w:sz="0" w:space="0" w:color="auto"/>
                                <w:right w:val="none" w:sz="0" w:space="0" w:color="auto"/>
                              </w:divBdr>
                              <w:divsChild>
                                <w:div w:id="1796413578">
                                  <w:marLeft w:val="0"/>
                                  <w:marRight w:val="0"/>
                                  <w:marTop w:val="0"/>
                                  <w:marBottom w:val="0"/>
                                  <w:divBdr>
                                    <w:top w:val="none" w:sz="0" w:space="0" w:color="auto"/>
                                    <w:left w:val="none" w:sz="0" w:space="0" w:color="auto"/>
                                    <w:bottom w:val="none" w:sz="0" w:space="0" w:color="auto"/>
                                    <w:right w:val="none" w:sz="0" w:space="0" w:color="auto"/>
                                  </w:divBdr>
                                  <w:divsChild>
                                    <w:div w:id="330956935">
                                      <w:marLeft w:val="0"/>
                                      <w:marRight w:val="0"/>
                                      <w:marTop w:val="0"/>
                                      <w:marBottom w:val="0"/>
                                      <w:divBdr>
                                        <w:top w:val="none" w:sz="0" w:space="0" w:color="auto"/>
                                        <w:left w:val="none" w:sz="0" w:space="0" w:color="auto"/>
                                        <w:bottom w:val="none" w:sz="0" w:space="0" w:color="auto"/>
                                        <w:right w:val="none" w:sz="0" w:space="0" w:color="auto"/>
                                      </w:divBdr>
                                      <w:divsChild>
                                        <w:div w:id="1070804992">
                                          <w:marLeft w:val="0"/>
                                          <w:marRight w:val="0"/>
                                          <w:marTop w:val="0"/>
                                          <w:marBottom w:val="0"/>
                                          <w:divBdr>
                                            <w:top w:val="none" w:sz="0" w:space="0" w:color="auto"/>
                                            <w:left w:val="none" w:sz="0" w:space="0" w:color="auto"/>
                                            <w:bottom w:val="none" w:sz="0" w:space="0" w:color="auto"/>
                                            <w:right w:val="none" w:sz="0" w:space="0" w:color="auto"/>
                                          </w:divBdr>
                                          <w:divsChild>
                                            <w:div w:id="1151629355">
                                              <w:marLeft w:val="0"/>
                                              <w:marRight w:val="0"/>
                                              <w:marTop w:val="0"/>
                                              <w:marBottom w:val="0"/>
                                              <w:divBdr>
                                                <w:top w:val="none" w:sz="0" w:space="0" w:color="auto"/>
                                                <w:left w:val="none" w:sz="0" w:space="0" w:color="auto"/>
                                                <w:bottom w:val="none" w:sz="0" w:space="0" w:color="auto"/>
                                                <w:right w:val="none" w:sz="0" w:space="0" w:color="auto"/>
                                              </w:divBdr>
                                              <w:divsChild>
                                                <w:div w:id="143701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8046758">
      <w:bodyDiv w:val="1"/>
      <w:marLeft w:val="0"/>
      <w:marRight w:val="0"/>
      <w:marTop w:val="0"/>
      <w:marBottom w:val="0"/>
      <w:divBdr>
        <w:top w:val="none" w:sz="0" w:space="0" w:color="auto"/>
        <w:left w:val="none" w:sz="0" w:space="0" w:color="auto"/>
        <w:bottom w:val="none" w:sz="0" w:space="0" w:color="auto"/>
        <w:right w:val="none" w:sz="0" w:space="0" w:color="auto"/>
      </w:divBdr>
      <w:divsChild>
        <w:div w:id="63841801">
          <w:marLeft w:val="0"/>
          <w:marRight w:val="0"/>
          <w:marTop w:val="0"/>
          <w:marBottom w:val="0"/>
          <w:divBdr>
            <w:top w:val="none" w:sz="0" w:space="0" w:color="auto"/>
            <w:left w:val="none" w:sz="0" w:space="0" w:color="auto"/>
            <w:bottom w:val="none" w:sz="0" w:space="0" w:color="auto"/>
            <w:right w:val="none" w:sz="0" w:space="0" w:color="auto"/>
          </w:divBdr>
          <w:divsChild>
            <w:div w:id="679619680">
              <w:marLeft w:val="0"/>
              <w:marRight w:val="0"/>
              <w:marTop w:val="0"/>
              <w:marBottom w:val="0"/>
              <w:divBdr>
                <w:top w:val="none" w:sz="0" w:space="0" w:color="auto"/>
                <w:left w:val="none" w:sz="0" w:space="0" w:color="auto"/>
                <w:bottom w:val="none" w:sz="0" w:space="0" w:color="auto"/>
                <w:right w:val="none" w:sz="0" w:space="0" w:color="auto"/>
              </w:divBdr>
              <w:divsChild>
                <w:div w:id="997348412">
                  <w:marLeft w:val="0"/>
                  <w:marRight w:val="0"/>
                  <w:marTop w:val="0"/>
                  <w:marBottom w:val="0"/>
                  <w:divBdr>
                    <w:top w:val="none" w:sz="0" w:space="0" w:color="auto"/>
                    <w:left w:val="none" w:sz="0" w:space="0" w:color="auto"/>
                    <w:bottom w:val="none" w:sz="0" w:space="0" w:color="auto"/>
                    <w:right w:val="none" w:sz="0" w:space="0" w:color="auto"/>
                  </w:divBdr>
                  <w:divsChild>
                    <w:div w:id="728922662">
                      <w:marLeft w:val="0"/>
                      <w:marRight w:val="0"/>
                      <w:marTop w:val="0"/>
                      <w:marBottom w:val="0"/>
                      <w:divBdr>
                        <w:top w:val="none" w:sz="0" w:space="0" w:color="auto"/>
                        <w:left w:val="none" w:sz="0" w:space="0" w:color="auto"/>
                        <w:bottom w:val="none" w:sz="0" w:space="0" w:color="auto"/>
                        <w:right w:val="none" w:sz="0" w:space="0" w:color="auto"/>
                      </w:divBdr>
                      <w:divsChild>
                        <w:div w:id="1709447004">
                          <w:marLeft w:val="0"/>
                          <w:marRight w:val="0"/>
                          <w:marTop w:val="0"/>
                          <w:marBottom w:val="0"/>
                          <w:divBdr>
                            <w:top w:val="single" w:sz="6" w:space="0" w:color="828282"/>
                            <w:left w:val="single" w:sz="6" w:space="0" w:color="828282"/>
                            <w:bottom w:val="single" w:sz="6" w:space="0" w:color="828282"/>
                            <w:right w:val="single" w:sz="6" w:space="0" w:color="828282"/>
                          </w:divBdr>
                          <w:divsChild>
                            <w:div w:id="620768">
                              <w:marLeft w:val="0"/>
                              <w:marRight w:val="0"/>
                              <w:marTop w:val="0"/>
                              <w:marBottom w:val="0"/>
                              <w:divBdr>
                                <w:top w:val="none" w:sz="0" w:space="0" w:color="auto"/>
                                <w:left w:val="none" w:sz="0" w:space="0" w:color="auto"/>
                                <w:bottom w:val="none" w:sz="0" w:space="0" w:color="auto"/>
                                <w:right w:val="none" w:sz="0" w:space="0" w:color="auto"/>
                              </w:divBdr>
                              <w:divsChild>
                                <w:div w:id="796295137">
                                  <w:marLeft w:val="0"/>
                                  <w:marRight w:val="0"/>
                                  <w:marTop w:val="0"/>
                                  <w:marBottom w:val="0"/>
                                  <w:divBdr>
                                    <w:top w:val="none" w:sz="0" w:space="0" w:color="auto"/>
                                    <w:left w:val="none" w:sz="0" w:space="0" w:color="auto"/>
                                    <w:bottom w:val="none" w:sz="0" w:space="0" w:color="auto"/>
                                    <w:right w:val="none" w:sz="0" w:space="0" w:color="auto"/>
                                  </w:divBdr>
                                  <w:divsChild>
                                    <w:div w:id="1691298419">
                                      <w:marLeft w:val="0"/>
                                      <w:marRight w:val="0"/>
                                      <w:marTop w:val="0"/>
                                      <w:marBottom w:val="0"/>
                                      <w:divBdr>
                                        <w:top w:val="none" w:sz="0" w:space="0" w:color="auto"/>
                                        <w:left w:val="none" w:sz="0" w:space="0" w:color="auto"/>
                                        <w:bottom w:val="none" w:sz="0" w:space="0" w:color="auto"/>
                                        <w:right w:val="none" w:sz="0" w:space="0" w:color="auto"/>
                                      </w:divBdr>
                                      <w:divsChild>
                                        <w:div w:id="1981840158">
                                          <w:marLeft w:val="0"/>
                                          <w:marRight w:val="0"/>
                                          <w:marTop w:val="0"/>
                                          <w:marBottom w:val="0"/>
                                          <w:divBdr>
                                            <w:top w:val="none" w:sz="0" w:space="0" w:color="auto"/>
                                            <w:left w:val="none" w:sz="0" w:space="0" w:color="auto"/>
                                            <w:bottom w:val="none" w:sz="0" w:space="0" w:color="auto"/>
                                            <w:right w:val="none" w:sz="0" w:space="0" w:color="auto"/>
                                          </w:divBdr>
                                          <w:divsChild>
                                            <w:div w:id="839542354">
                                              <w:marLeft w:val="0"/>
                                              <w:marRight w:val="0"/>
                                              <w:marTop w:val="0"/>
                                              <w:marBottom w:val="0"/>
                                              <w:divBdr>
                                                <w:top w:val="none" w:sz="0" w:space="0" w:color="auto"/>
                                                <w:left w:val="none" w:sz="0" w:space="0" w:color="auto"/>
                                                <w:bottom w:val="none" w:sz="0" w:space="0" w:color="auto"/>
                                                <w:right w:val="none" w:sz="0" w:space="0" w:color="auto"/>
                                              </w:divBdr>
                                              <w:divsChild>
                                                <w:div w:id="28731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4765018">
      <w:bodyDiv w:val="1"/>
      <w:marLeft w:val="0"/>
      <w:marRight w:val="0"/>
      <w:marTop w:val="0"/>
      <w:marBottom w:val="0"/>
      <w:divBdr>
        <w:top w:val="none" w:sz="0" w:space="0" w:color="auto"/>
        <w:left w:val="none" w:sz="0" w:space="0" w:color="auto"/>
        <w:bottom w:val="none" w:sz="0" w:space="0" w:color="auto"/>
        <w:right w:val="none" w:sz="0" w:space="0" w:color="auto"/>
      </w:divBdr>
      <w:divsChild>
        <w:div w:id="28457426">
          <w:marLeft w:val="0"/>
          <w:marRight w:val="0"/>
          <w:marTop w:val="0"/>
          <w:marBottom w:val="0"/>
          <w:divBdr>
            <w:top w:val="none" w:sz="0" w:space="0" w:color="auto"/>
            <w:left w:val="none" w:sz="0" w:space="0" w:color="auto"/>
            <w:bottom w:val="none" w:sz="0" w:space="0" w:color="auto"/>
            <w:right w:val="none" w:sz="0" w:space="0" w:color="auto"/>
          </w:divBdr>
          <w:divsChild>
            <w:div w:id="1353652669">
              <w:marLeft w:val="0"/>
              <w:marRight w:val="0"/>
              <w:marTop w:val="0"/>
              <w:marBottom w:val="0"/>
              <w:divBdr>
                <w:top w:val="none" w:sz="0" w:space="0" w:color="auto"/>
                <w:left w:val="none" w:sz="0" w:space="0" w:color="auto"/>
                <w:bottom w:val="none" w:sz="0" w:space="0" w:color="auto"/>
                <w:right w:val="none" w:sz="0" w:space="0" w:color="auto"/>
              </w:divBdr>
              <w:divsChild>
                <w:div w:id="309873571">
                  <w:marLeft w:val="0"/>
                  <w:marRight w:val="0"/>
                  <w:marTop w:val="0"/>
                  <w:marBottom w:val="0"/>
                  <w:divBdr>
                    <w:top w:val="none" w:sz="0" w:space="0" w:color="auto"/>
                    <w:left w:val="none" w:sz="0" w:space="0" w:color="auto"/>
                    <w:bottom w:val="none" w:sz="0" w:space="0" w:color="auto"/>
                    <w:right w:val="none" w:sz="0" w:space="0" w:color="auto"/>
                  </w:divBdr>
                  <w:divsChild>
                    <w:div w:id="53313158">
                      <w:marLeft w:val="0"/>
                      <w:marRight w:val="0"/>
                      <w:marTop w:val="0"/>
                      <w:marBottom w:val="0"/>
                      <w:divBdr>
                        <w:top w:val="none" w:sz="0" w:space="0" w:color="auto"/>
                        <w:left w:val="none" w:sz="0" w:space="0" w:color="auto"/>
                        <w:bottom w:val="none" w:sz="0" w:space="0" w:color="auto"/>
                        <w:right w:val="none" w:sz="0" w:space="0" w:color="auto"/>
                      </w:divBdr>
                      <w:divsChild>
                        <w:div w:id="1006177881">
                          <w:marLeft w:val="0"/>
                          <w:marRight w:val="0"/>
                          <w:marTop w:val="0"/>
                          <w:marBottom w:val="0"/>
                          <w:divBdr>
                            <w:top w:val="single" w:sz="6" w:space="0" w:color="828282"/>
                            <w:left w:val="single" w:sz="6" w:space="0" w:color="828282"/>
                            <w:bottom w:val="single" w:sz="6" w:space="0" w:color="828282"/>
                            <w:right w:val="single" w:sz="6" w:space="0" w:color="828282"/>
                          </w:divBdr>
                          <w:divsChild>
                            <w:div w:id="158231307">
                              <w:marLeft w:val="0"/>
                              <w:marRight w:val="0"/>
                              <w:marTop w:val="0"/>
                              <w:marBottom w:val="0"/>
                              <w:divBdr>
                                <w:top w:val="none" w:sz="0" w:space="0" w:color="auto"/>
                                <w:left w:val="none" w:sz="0" w:space="0" w:color="auto"/>
                                <w:bottom w:val="none" w:sz="0" w:space="0" w:color="auto"/>
                                <w:right w:val="none" w:sz="0" w:space="0" w:color="auto"/>
                              </w:divBdr>
                              <w:divsChild>
                                <w:div w:id="1554729686">
                                  <w:marLeft w:val="0"/>
                                  <w:marRight w:val="0"/>
                                  <w:marTop w:val="0"/>
                                  <w:marBottom w:val="0"/>
                                  <w:divBdr>
                                    <w:top w:val="none" w:sz="0" w:space="0" w:color="auto"/>
                                    <w:left w:val="none" w:sz="0" w:space="0" w:color="auto"/>
                                    <w:bottom w:val="none" w:sz="0" w:space="0" w:color="auto"/>
                                    <w:right w:val="none" w:sz="0" w:space="0" w:color="auto"/>
                                  </w:divBdr>
                                  <w:divsChild>
                                    <w:div w:id="703529002">
                                      <w:marLeft w:val="0"/>
                                      <w:marRight w:val="0"/>
                                      <w:marTop w:val="0"/>
                                      <w:marBottom w:val="0"/>
                                      <w:divBdr>
                                        <w:top w:val="none" w:sz="0" w:space="0" w:color="auto"/>
                                        <w:left w:val="none" w:sz="0" w:space="0" w:color="auto"/>
                                        <w:bottom w:val="none" w:sz="0" w:space="0" w:color="auto"/>
                                        <w:right w:val="none" w:sz="0" w:space="0" w:color="auto"/>
                                      </w:divBdr>
                                      <w:divsChild>
                                        <w:div w:id="672300802">
                                          <w:marLeft w:val="0"/>
                                          <w:marRight w:val="0"/>
                                          <w:marTop w:val="0"/>
                                          <w:marBottom w:val="0"/>
                                          <w:divBdr>
                                            <w:top w:val="none" w:sz="0" w:space="0" w:color="auto"/>
                                            <w:left w:val="none" w:sz="0" w:space="0" w:color="auto"/>
                                            <w:bottom w:val="none" w:sz="0" w:space="0" w:color="auto"/>
                                            <w:right w:val="none" w:sz="0" w:space="0" w:color="auto"/>
                                          </w:divBdr>
                                          <w:divsChild>
                                            <w:div w:id="1200896192">
                                              <w:marLeft w:val="0"/>
                                              <w:marRight w:val="0"/>
                                              <w:marTop w:val="0"/>
                                              <w:marBottom w:val="0"/>
                                              <w:divBdr>
                                                <w:top w:val="none" w:sz="0" w:space="0" w:color="auto"/>
                                                <w:left w:val="none" w:sz="0" w:space="0" w:color="auto"/>
                                                <w:bottom w:val="none" w:sz="0" w:space="0" w:color="auto"/>
                                                <w:right w:val="none" w:sz="0" w:space="0" w:color="auto"/>
                                              </w:divBdr>
                                              <w:divsChild>
                                                <w:div w:id="168463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9276577">
      <w:bodyDiv w:val="1"/>
      <w:marLeft w:val="0"/>
      <w:marRight w:val="0"/>
      <w:marTop w:val="0"/>
      <w:marBottom w:val="0"/>
      <w:divBdr>
        <w:top w:val="none" w:sz="0" w:space="0" w:color="auto"/>
        <w:left w:val="none" w:sz="0" w:space="0" w:color="auto"/>
        <w:bottom w:val="none" w:sz="0" w:space="0" w:color="auto"/>
        <w:right w:val="none" w:sz="0" w:space="0" w:color="auto"/>
      </w:divBdr>
      <w:divsChild>
        <w:div w:id="1200585713">
          <w:marLeft w:val="0"/>
          <w:marRight w:val="0"/>
          <w:marTop w:val="0"/>
          <w:marBottom w:val="0"/>
          <w:divBdr>
            <w:top w:val="none" w:sz="0" w:space="0" w:color="auto"/>
            <w:left w:val="none" w:sz="0" w:space="0" w:color="auto"/>
            <w:bottom w:val="none" w:sz="0" w:space="0" w:color="auto"/>
            <w:right w:val="none" w:sz="0" w:space="0" w:color="auto"/>
          </w:divBdr>
          <w:divsChild>
            <w:div w:id="1717043622">
              <w:marLeft w:val="0"/>
              <w:marRight w:val="0"/>
              <w:marTop w:val="0"/>
              <w:marBottom w:val="0"/>
              <w:divBdr>
                <w:top w:val="none" w:sz="0" w:space="0" w:color="auto"/>
                <w:left w:val="none" w:sz="0" w:space="0" w:color="auto"/>
                <w:bottom w:val="none" w:sz="0" w:space="0" w:color="auto"/>
                <w:right w:val="none" w:sz="0" w:space="0" w:color="auto"/>
              </w:divBdr>
              <w:divsChild>
                <w:div w:id="552734323">
                  <w:marLeft w:val="0"/>
                  <w:marRight w:val="0"/>
                  <w:marTop w:val="0"/>
                  <w:marBottom w:val="0"/>
                  <w:divBdr>
                    <w:top w:val="none" w:sz="0" w:space="0" w:color="auto"/>
                    <w:left w:val="none" w:sz="0" w:space="0" w:color="auto"/>
                    <w:bottom w:val="none" w:sz="0" w:space="0" w:color="auto"/>
                    <w:right w:val="none" w:sz="0" w:space="0" w:color="auto"/>
                  </w:divBdr>
                  <w:divsChild>
                    <w:div w:id="1146360867">
                      <w:marLeft w:val="0"/>
                      <w:marRight w:val="0"/>
                      <w:marTop w:val="0"/>
                      <w:marBottom w:val="0"/>
                      <w:divBdr>
                        <w:top w:val="none" w:sz="0" w:space="0" w:color="auto"/>
                        <w:left w:val="none" w:sz="0" w:space="0" w:color="auto"/>
                        <w:bottom w:val="none" w:sz="0" w:space="0" w:color="auto"/>
                        <w:right w:val="none" w:sz="0" w:space="0" w:color="auto"/>
                      </w:divBdr>
                      <w:divsChild>
                        <w:div w:id="732002461">
                          <w:marLeft w:val="0"/>
                          <w:marRight w:val="0"/>
                          <w:marTop w:val="0"/>
                          <w:marBottom w:val="0"/>
                          <w:divBdr>
                            <w:top w:val="single" w:sz="6" w:space="0" w:color="828282"/>
                            <w:left w:val="single" w:sz="6" w:space="0" w:color="828282"/>
                            <w:bottom w:val="single" w:sz="6" w:space="0" w:color="828282"/>
                            <w:right w:val="single" w:sz="6" w:space="0" w:color="828282"/>
                          </w:divBdr>
                          <w:divsChild>
                            <w:div w:id="676230377">
                              <w:marLeft w:val="0"/>
                              <w:marRight w:val="0"/>
                              <w:marTop w:val="0"/>
                              <w:marBottom w:val="0"/>
                              <w:divBdr>
                                <w:top w:val="none" w:sz="0" w:space="0" w:color="auto"/>
                                <w:left w:val="none" w:sz="0" w:space="0" w:color="auto"/>
                                <w:bottom w:val="none" w:sz="0" w:space="0" w:color="auto"/>
                                <w:right w:val="none" w:sz="0" w:space="0" w:color="auto"/>
                              </w:divBdr>
                              <w:divsChild>
                                <w:div w:id="1172061169">
                                  <w:marLeft w:val="0"/>
                                  <w:marRight w:val="0"/>
                                  <w:marTop w:val="0"/>
                                  <w:marBottom w:val="0"/>
                                  <w:divBdr>
                                    <w:top w:val="none" w:sz="0" w:space="0" w:color="auto"/>
                                    <w:left w:val="none" w:sz="0" w:space="0" w:color="auto"/>
                                    <w:bottom w:val="none" w:sz="0" w:space="0" w:color="auto"/>
                                    <w:right w:val="none" w:sz="0" w:space="0" w:color="auto"/>
                                  </w:divBdr>
                                  <w:divsChild>
                                    <w:div w:id="1811632681">
                                      <w:marLeft w:val="0"/>
                                      <w:marRight w:val="0"/>
                                      <w:marTop w:val="0"/>
                                      <w:marBottom w:val="0"/>
                                      <w:divBdr>
                                        <w:top w:val="none" w:sz="0" w:space="0" w:color="auto"/>
                                        <w:left w:val="none" w:sz="0" w:space="0" w:color="auto"/>
                                        <w:bottom w:val="none" w:sz="0" w:space="0" w:color="auto"/>
                                        <w:right w:val="none" w:sz="0" w:space="0" w:color="auto"/>
                                      </w:divBdr>
                                      <w:divsChild>
                                        <w:div w:id="1850170714">
                                          <w:marLeft w:val="0"/>
                                          <w:marRight w:val="0"/>
                                          <w:marTop w:val="0"/>
                                          <w:marBottom w:val="0"/>
                                          <w:divBdr>
                                            <w:top w:val="none" w:sz="0" w:space="0" w:color="auto"/>
                                            <w:left w:val="none" w:sz="0" w:space="0" w:color="auto"/>
                                            <w:bottom w:val="none" w:sz="0" w:space="0" w:color="auto"/>
                                            <w:right w:val="none" w:sz="0" w:space="0" w:color="auto"/>
                                          </w:divBdr>
                                          <w:divsChild>
                                            <w:div w:id="1886484678">
                                              <w:marLeft w:val="0"/>
                                              <w:marRight w:val="0"/>
                                              <w:marTop w:val="0"/>
                                              <w:marBottom w:val="0"/>
                                              <w:divBdr>
                                                <w:top w:val="none" w:sz="0" w:space="0" w:color="auto"/>
                                                <w:left w:val="none" w:sz="0" w:space="0" w:color="auto"/>
                                                <w:bottom w:val="none" w:sz="0" w:space="0" w:color="auto"/>
                                                <w:right w:val="none" w:sz="0" w:space="0" w:color="auto"/>
                                              </w:divBdr>
                                              <w:divsChild>
                                                <w:div w:id="100732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4415674">
      <w:bodyDiv w:val="1"/>
      <w:marLeft w:val="0"/>
      <w:marRight w:val="0"/>
      <w:marTop w:val="0"/>
      <w:marBottom w:val="0"/>
      <w:divBdr>
        <w:top w:val="none" w:sz="0" w:space="0" w:color="auto"/>
        <w:left w:val="none" w:sz="0" w:space="0" w:color="auto"/>
        <w:bottom w:val="none" w:sz="0" w:space="0" w:color="auto"/>
        <w:right w:val="none" w:sz="0" w:space="0" w:color="auto"/>
      </w:divBdr>
      <w:divsChild>
        <w:div w:id="1180437598">
          <w:marLeft w:val="0"/>
          <w:marRight w:val="0"/>
          <w:marTop w:val="0"/>
          <w:marBottom w:val="0"/>
          <w:divBdr>
            <w:top w:val="none" w:sz="0" w:space="0" w:color="auto"/>
            <w:left w:val="none" w:sz="0" w:space="0" w:color="auto"/>
            <w:bottom w:val="none" w:sz="0" w:space="0" w:color="auto"/>
            <w:right w:val="none" w:sz="0" w:space="0" w:color="auto"/>
          </w:divBdr>
          <w:divsChild>
            <w:div w:id="292172675">
              <w:marLeft w:val="0"/>
              <w:marRight w:val="0"/>
              <w:marTop w:val="0"/>
              <w:marBottom w:val="0"/>
              <w:divBdr>
                <w:top w:val="none" w:sz="0" w:space="0" w:color="auto"/>
                <w:left w:val="none" w:sz="0" w:space="0" w:color="auto"/>
                <w:bottom w:val="none" w:sz="0" w:space="0" w:color="auto"/>
                <w:right w:val="none" w:sz="0" w:space="0" w:color="auto"/>
              </w:divBdr>
              <w:divsChild>
                <w:div w:id="1621495399">
                  <w:marLeft w:val="0"/>
                  <w:marRight w:val="0"/>
                  <w:marTop w:val="0"/>
                  <w:marBottom w:val="0"/>
                  <w:divBdr>
                    <w:top w:val="none" w:sz="0" w:space="0" w:color="auto"/>
                    <w:left w:val="none" w:sz="0" w:space="0" w:color="auto"/>
                    <w:bottom w:val="none" w:sz="0" w:space="0" w:color="auto"/>
                    <w:right w:val="none" w:sz="0" w:space="0" w:color="auto"/>
                  </w:divBdr>
                  <w:divsChild>
                    <w:div w:id="709913890">
                      <w:marLeft w:val="0"/>
                      <w:marRight w:val="0"/>
                      <w:marTop w:val="0"/>
                      <w:marBottom w:val="0"/>
                      <w:divBdr>
                        <w:top w:val="none" w:sz="0" w:space="0" w:color="auto"/>
                        <w:left w:val="none" w:sz="0" w:space="0" w:color="auto"/>
                        <w:bottom w:val="none" w:sz="0" w:space="0" w:color="auto"/>
                        <w:right w:val="none" w:sz="0" w:space="0" w:color="auto"/>
                      </w:divBdr>
                      <w:divsChild>
                        <w:div w:id="818769458">
                          <w:marLeft w:val="0"/>
                          <w:marRight w:val="0"/>
                          <w:marTop w:val="0"/>
                          <w:marBottom w:val="0"/>
                          <w:divBdr>
                            <w:top w:val="single" w:sz="6" w:space="0" w:color="828282"/>
                            <w:left w:val="single" w:sz="6" w:space="0" w:color="828282"/>
                            <w:bottom w:val="single" w:sz="6" w:space="0" w:color="828282"/>
                            <w:right w:val="single" w:sz="6" w:space="0" w:color="828282"/>
                          </w:divBdr>
                          <w:divsChild>
                            <w:div w:id="607196256">
                              <w:marLeft w:val="0"/>
                              <w:marRight w:val="0"/>
                              <w:marTop w:val="0"/>
                              <w:marBottom w:val="0"/>
                              <w:divBdr>
                                <w:top w:val="none" w:sz="0" w:space="0" w:color="auto"/>
                                <w:left w:val="none" w:sz="0" w:space="0" w:color="auto"/>
                                <w:bottom w:val="none" w:sz="0" w:space="0" w:color="auto"/>
                                <w:right w:val="none" w:sz="0" w:space="0" w:color="auto"/>
                              </w:divBdr>
                              <w:divsChild>
                                <w:div w:id="2016305513">
                                  <w:marLeft w:val="0"/>
                                  <w:marRight w:val="0"/>
                                  <w:marTop w:val="0"/>
                                  <w:marBottom w:val="0"/>
                                  <w:divBdr>
                                    <w:top w:val="none" w:sz="0" w:space="0" w:color="auto"/>
                                    <w:left w:val="none" w:sz="0" w:space="0" w:color="auto"/>
                                    <w:bottom w:val="none" w:sz="0" w:space="0" w:color="auto"/>
                                    <w:right w:val="none" w:sz="0" w:space="0" w:color="auto"/>
                                  </w:divBdr>
                                  <w:divsChild>
                                    <w:div w:id="1483543050">
                                      <w:marLeft w:val="0"/>
                                      <w:marRight w:val="0"/>
                                      <w:marTop w:val="0"/>
                                      <w:marBottom w:val="0"/>
                                      <w:divBdr>
                                        <w:top w:val="none" w:sz="0" w:space="0" w:color="auto"/>
                                        <w:left w:val="none" w:sz="0" w:space="0" w:color="auto"/>
                                        <w:bottom w:val="none" w:sz="0" w:space="0" w:color="auto"/>
                                        <w:right w:val="none" w:sz="0" w:space="0" w:color="auto"/>
                                      </w:divBdr>
                                      <w:divsChild>
                                        <w:div w:id="88700565">
                                          <w:marLeft w:val="0"/>
                                          <w:marRight w:val="0"/>
                                          <w:marTop w:val="0"/>
                                          <w:marBottom w:val="0"/>
                                          <w:divBdr>
                                            <w:top w:val="none" w:sz="0" w:space="0" w:color="auto"/>
                                            <w:left w:val="none" w:sz="0" w:space="0" w:color="auto"/>
                                            <w:bottom w:val="none" w:sz="0" w:space="0" w:color="auto"/>
                                            <w:right w:val="none" w:sz="0" w:space="0" w:color="auto"/>
                                          </w:divBdr>
                                          <w:divsChild>
                                            <w:div w:id="1269315528">
                                              <w:marLeft w:val="0"/>
                                              <w:marRight w:val="0"/>
                                              <w:marTop w:val="0"/>
                                              <w:marBottom w:val="0"/>
                                              <w:divBdr>
                                                <w:top w:val="none" w:sz="0" w:space="0" w:color="auto"/>
                                                <w:left w:val="none" w:sz="0" w:space="0" w:color="auto"/>
                                                <w:bottom w:val="none" w:sz="0" w:space="0" w:color="auto"/>
                                                <w:right w:val="none" w:sz="0" w:space="0" w:color="auto"/>
                                              </w:divBdr>
                                              <w:divsChild>
                                                <w:div w:id="56703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0591568">
      <w:bodyDiv w:val="1"/>
      <w:marLeft w:val="0"/>
      <w:marRight w:val="0"/>
      <w:marTop w:val="0"/>
      <w:marBottom w:val="0"/>
      <w:divBdr>
        <w:top w:val="none" w:sz="0" w:space="0" w:color="auto"/>
        <w:left w:val="none" w:sz="0" w:space="0" w:color="auto"/>
        <w:bottom w:val="none" w:sz="0" w:space="0" w:color="auto"/>
        <w:right w:val="none" w:sz="0" w:space="0" w:color="auto"/>
      </w:divBdr>
      <w:divsChild>
        <w:div w:id="1513378395">
          <w:marLeft w:val="0"/>
          <w:marRight w:val="0"/>
          <w:marTop w:val="0"/>
          <w:marBottom w:val="0"/>
          <w:divBdr>
            <w:top w:val="none" w:sz="0" w:space="0" w:color="auto"/>
            <w:left w:val="none" w:sz="0" w:space="0" w:color="auto"/>
            <w:bottom w:val="none" w:sz="0" w:space="0" w:color="auto"/>
            <w:right w:val="none" w:sz="0" w:space="0" w:color="auto"/>
          </w:divBdr>
          <w:divsChild>
            <w:div w:id="549918911">
              <w:marLeft w:val="0"/>
              <w:marRight w:val="0"/>
              <w:marTop w:val="0"/>
              <w:marBottom w:val="0"/>
              <w:divBdr>
                <w:top w:val="none" w:sz="0" w:space="0" w:color="auto"/>
                <w:left w:val="none" w:sz="0" w:space="0" w:color="auto"/>
                <w:bottom w:val="none" w:sz="0" w:space="0" w:color="auto"/>
                <w:right w:val="none" w:sz="0" w:space="0" w:color="auto"/>
              </w:divBdr>
              <w:divsChild>
                <w:div w:id="1515607480">
                  <w:marLeft w:val="0"/>
                  <w:marRight w:val="0"/>
                  <w:marTop w:val="0"/>
                  <w:marBottom w:val="0"/>
                  <w:divBdr>
                    <w:top w:val="none" w:sz="0" w:space="0" w:color="auto"/>
                    <w:left w:val="none" w:sz="0" w:space="0" w:color="auto"/>
                    <w:bottom w:val="none" w:sz="0" w:space="0" w:color="auto"/>
                    <w:right w:val="none" w:sz="0" w:space="0" w:color="auto"/>
                  </w:divBdr>
                  <w:divsChild>
                    <w:div w:id="1637099792">
                      <w:marLeft w:val="0"/>
                      <w:marRight w:val="0"/>
                      <w:marTop w:val="0"/>
                      <w:marBottom w:val="0"/>
                      <w:divBdr>
                        <w:top w:val="none" w:sz="0" w:space="0" w:color="auto"/>
                        <w:left w:val="none" w:sz="0" w:space="0" w:color="auto"/>
                        <w:bottom w:val="none" w:sz="0" w:space="0" w:color="auto"/>
                        <w:right w:val="none" w:sz="0" w:space="0" w:color="auto"/>
                      </w:divBdr>
                      <w:divsChild>
                        <w:div w:id="121769350">
                          <w:marLeft w:val="0"/>
                          <w:marRight w:val="0"/>
                          <w:marTop w:val="0"/>
                          <w:marBottom w:val="0"/>
                          <w:divBdr>
                            <w:top w:val="single" w:sz="6" w:space="0" w:color="828282"/>
                            <w:left w:val="single" w:sz="6" w:space="0" w:color="828282"/>
                            <w:bottom w:val="single" w:sz="6" w:space="0" w:color="828282"/>
                            <w:right w:val="single" w:sz="6" w:space="0" w:color="828282"/>
                          </w:divBdr>
                          <w:divsChild>
                            <w:div w:id="163478887">
                              <w:marLeft w:val="0"/>
                              <w:marRight w:val="0"/>
                              <w:marTop w:val="0"/>
                              <w:marBottom w:val="0"/>
                              <w:divBdr>
                                <w:top w:val="none" w:sz="0" w:space="0" w:color="auto"/>
                                <w:left w:val="none" w:sz="0" w:space="0" w:color="auto"/>
                                <w:bottom w:val="none" w:sz="0" w:space="0" w:color="auto"/>
                                <w:right w:val="none" w:sz="0" w:space="0" w:color="auto"/>
                              </w:divBdr>
                              <w:divsChild>
                                <w:div w:id="1616862335">
                                  <w:marLeft w:val="0"/>
                                  <w:marRight w:val="0"/>
                                  <w:marTop w:val="0"/>
                                  <w:marBottom w:val="0"/>
                                  <w:divBdr>
                                    <w:top w:val="none" w:sz="0" w:space="0" w:color="auto"/>
                                    <w:left w:val="none" w:sz="0" w:space="0" w:color="auto"/>
                                    <w:bottom w:val="none" w:sz="0" w:space="0" w:color="auto"/>
                                    <w:right w:val="none" w:sz="0" w:space="0" w:color="auto"/>
                                  </w:divBdr>
                                  <w:divsChild>
                                    <w:div w:id="783161236">
                                      <w:marLeft w:val="0"/>
                                      <w:marRight w:val="0"/>
                                      <w:marTop w:val="0"/>
                                      <w:marBottom w:val="0"/>
                                      <w:divBdr>
                                        <w:top w:val="none" w:sz="0" w:space="0" w:color="auto"/>
                                        <w:left w:val="none" w:sz="0" w:space="0" w:color="auto"/>
                                        <w:bottom w:val="none" w:sz="0" w:space="0" w:color="auto"/>
                                        <w:right w:val="none" w:sz="0" w:space="0" w:color="auto"/>
                                      </w:divBdr>
                                      <w:divsChild>
                                        <w:div w:id="945506220">
                                          <w:marLeft w:val="0"/>
                                          <w:marRight w:val="0"/>
                                          <w:marTop w:val="0"/>
                                          <w:marBottom w:val="0"/>
                                          <w:divBdr>
                                            <w:top w:val="none" w:sz="0" w:space="0" w:color="auto"/>
                                            <w:left w:val="none" w:sz="0" w:space="0" w:color="auto"/>
                                            <w:bottom w:val="none" w:sz="0" w:space="0" w:color="auto"/>
                                            <w:right w:val="none" w:sz="0" w:space="0" w:color="auto"/>
                                          </w:divBdr>
                                          <w:divsChild>
                                            <w:div w:id="1545674796">
                                              <w:marLeft w:val="0"/>
                                              <w:marRight w:val="0"/>
                                              <w:marTop w:val="0"/>
                                              <w:marBottom w:val="0"/>
                                              <w:divBdr>
                                                <w:top w:val="none" w:sz="0" w:space="0" w:color="auto"/>
                                                <w:left w:val="none" w:sz="0" w:space="0" w:color="auto"/>
                                                <w:bottom w:val="none" w:sz="0" w:space="0" w:color="auto"/>
                                                <w:right w:val="none" w:sz="0" w:space="0" w:color="auto"/>
                                              </w:divBdr>
                                              <w:divsChild>
                                                <w:div w:id="77595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ga500041e31e499bae0a2e3b28b012fb xmlns="da7a9ac0-bc47-4684-84e6-3a8e9ac80c12" xsi:nil="true"/>
    <n984d001a78f4b1f81661dbc6638eecd xmlns="e61c8409-2b3d-41a9-86ff-6de17ebba263">
      <Terms xmlns="http://schemas.microsoft.com/office/infopath/2007/PartnerControls"/>
    </n984d001a78f4b1f81661dbc6638eecd>
    <IMSFilesetOrganisationID xmlns="da7a9ac0-bc47-4684-84e6-3a8e9ac80c12" xsi:nil="true"/>
    <RecordNumber xmlns="da7a9ac0-bc47-4684-84e6-3a8e9ac80c12">R20160000042123</RecordNumber>
    <hb3476fe0c25428da9d0464ead195eef xmlns="e61c8409-2b3d-41a9-86ff-6de17ebba263">
      <Terms xmlns="http://schemas.microsoft.com/office/infopath/2007/PartnerControls"/>
    </hb3476fe0c25428da9d0464ead195eef>
    <ObjectiveID xmlns="da7a9ac0-bc47-4684-84e6-3a8e9ac80c12" xsi:nil="true"/>
    <f998abd3fd1d41029811a1917032a7bb xmlns="da7a9ac0-bc47-4684-84e6-3a8e9ac80c12" xsi:nil="true"/>
    <n5630a39299d49819c7e0406fbc52e67 xmlns="da7a9ac0-bc47-4684-84e6-3a8e9ac80c12" xsi:nil="true"/>
    <Precedent xmlns="da7a9ac0-bc47-4684-84e6-3a8e9ac80c12">false</Precedent>
    <IMSOrganisationID xmlns="da7a9ac0-bc47-4684-84e6-3a8e9ac80c12" xsi:nil="true"/>
    <b909c30f6af94f8daa4f6bc346664858 xmlns="da7a9ac0-bc47-4684-84e6-3a8e9ac80c12" xsi:nil="true"/>
    <IconOverlay xmlns="http://schemas.microsoft.com/sharepoint/v4" xsi:nil="true"/>
    <TaxCatchAll xmlns="e61c8409-2b3d-41a9-86ff-6de17ebba263">
      <Value>6</Value>
    </TaxCatchAll>
    <SignificantFlag xmlns="da7a9ac0-bc47-4684-84e6-3a8e9ac80c12">false</SignificantFlag>
    <Tag xmlns="da7a9ac0-bc47-4684-84e6-3a8e9ac80c12" xsi:nil="true"/>
    <p0defd040bb9426381491b2c186908cb xmlns="e61c8409-2b3d-41a9-86ff-6de17ebba263">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p0defd040bb9426381491b2c186908cb>
    <SenateOrder12 xmlns="da7a9ac0-bc47-4684-84e6-3a8e9ac80c12">false</SenateOrder12>
    <ded95d7ab059406991d558011d18c177 xmlns="da7a9ac0-bc47-4684-84e6-3a8e9ac80c12" xsi:nil="true"/>
    <Approvers xmlns="17f478ab-373e-4295-9ff0-9b833ad01319">
      <UserInfo>
        <DisplayName/>
        <AccountId xsi:nil="true"/>
        <AccountType/>
      </UserInfo>
    </Approvers>
    <Reviewers xmlns="17f478ab-373e-4295-9ff0-9b833ad01319">
      <UserInfo>
        <DisplayName/>
        <AccountId xsi:nil="true"/>
        <AccountType/>
      </UserInfo>
    </Reviewers>
    <SignificantReason xmlns="da7a9ac0-bc47-4684-84e6-3a8e9ac80c12" xsi:nil="true"/>
    <f4c29409d90b4a578b768720fd07bb93 xmlns="e61c8409-2b3d-41a9-86ff-6de17ebba263">
      <Terms xmlns="http://schemas.microsoft.com/office/infopath/2007/PartnerControls"/>
    </f4c29409d90b4a578b768720fd07bb93>
    <NotesLinks xmlns="da7a9ac0-bc47-4684-84e6-3a8e9ac80c1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IMS Document" ma:contentTypeID="0x010100B5F685A1365F544391EF8C813B164F3AC100B96475DE23F29F44A6FD58A31C00EB7B" ma:contentTypeVersion="22" ma:contentTypeDescription="" ma:contentTypeScope="" ma:versionID="125f6ebe102197be4c766dc5bd35688c">
  <xsd:schema xmlns:xsd="http://www.w3.org/2001/XMLSchema" xmlns:xs="http://www.w3.org/2001/XMLSchema" xmlns:p="http://schemas.microsoft.com/office/2006/metadata/properties" xmlns:ns2="da7a9ac0-bc47-4684-84e6-3a8e9ac80c12" xmlns:ns3="e61c8409-2b3d-41a9-86ff-6de17ebba263" xmlns:ns5="http://schemas.microsoft.com/sharepoint/v4" xmlns:ns6="17f478ab-373e-4295-9ff0-9b833ad01319" targetNamespace="http://schemas.microsoft.com/office/2006/metadata/properties" ma:root="true" ma:fieldsID="3c357cee84eead44b6e1d2ac3ea6c878" ns2:_="" ns3:_="" ns5:_="" ns6:_="">
    <xsd:import namespace="da7a9ac0-bc47-4684-84e6-3a8e9ac80c12"/>
    <xsd:import namespace="e61c8409-2b3d-41a9-86ff-6de17ebba263"/>
    <xsd:import namespace="http://schemas.microsoft.com/sharepoint/v4"/>
    <xsd:import namespace="17f478ab-373e-4295-9ff0-9b833ad01319"/>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2:f998abd3fd1d41029811a1917032a7bb" minOccurs="0"/>
                <xsd:element ref="ns2:Tag" minOccurs="0"/>
                <xsd:element ref="ns2:Precedent" minOccurs="0"/>
                <xsd:element ref="ns2:n5630a39299d49819c7e0406fbc52e67" minOccurs="0"/>
                <xsd:element ref="ns2:IMSOrganisationID" minOccurs="0"/>
                <xsd:element ref="ns2:ga500041e31e499bae0a2e3b28b012fb" minOccurs="0"/>
                <xsd:element ref="ns2:b909c30f6af94f8daa4f6bc346664858" minOccurs="0"/>
                <xsd:element ref="ns3:f4c29409d90b4a578b768720fd07bb93" minOccurs="0"/>
                <xsd:element ref="ns3:p0defd040bb9426381491b2c186908cb" minOccurs="0"/>
                <xsd:element ref="ns3:hb3476fe0c25428da9d0464ead195eef" minOccurs="0"/>
                <xsd:element ref="ns3:n984d001a78f4b1f81661dbc6638eecd" minOccurs="0"/>
                <xsd:element ref="ns2:IMSFilesetOrganisationID" minOccurs="0"/>
                <xsd:element ref="ns5:IconOverlay" minOccurs="0"/>
                <xsd:element ref="ns2:NotesLinks" minOccurs="0"/>
                <xsd:element ref="ns6:Reviewers" minOccurs="0"/>
                <xsd:element ref="ns6:Approv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f998abd3fd1d41029811a1917032a7bb" ma:index="17" nillable="true" ma:displayName="IMSProductType_0" ma:hidden="true" ma:internalName="f998abd3fd1d41029811a1917032a7bb" ma:readOnly="false">
      <xsd:simpleType>
        <xsd:restriction base="dms:Note"/>
      </xsd:simpleType>
    </xsd:element>
    <xsd:element name="Tag" ma:index="19" nillable="true" ma:displayName="Tag" ma:internalName="Tag">
      <xsd:simpleType>
        <xsd:restriction base="dms:Text">
          <xsd:maxLength value="255"/>
        </xsd:restriction>
      </xsd:simpleType>
    </xsd:element>
    <xsd:element name="Precedent" ma:index="20" nillable="true" ma:displayName="Precedent" ma:default="0" ma:internalName="Precedent">
      <xsd:simpleType>
        <xsd:restriction base="dms:Boolean"/>
      </xsd:simpleType>
    </xsd:element>
    <xsd:element name="n5630a39299d49819c7e0406fbc52e67" ma:index="21" nillable="true" ma:displayName="IMSDocumentType_0" ma:hidden="true" ma:internalName="n5630a39299d49819c7e0406fbc52e67" ma:readOnly="false">
      <xsd:simpleType>
        <xsd:restriction base="dms:Note"/>
      </xsd:simpleType>
    </xsd:element>
    <xsd:element name="IMSOrganisationID" ma:index="22" nillable="true" ma:displayName="IMS Organisation ID" ma:internalName="IMSOrganisationID">
      <xsd:simpleType>
        <xsd:restriction base="dms:Text">
          <xsd:maxLength value="255"/>
        </xsd:restriction>
      </xsd:simpleType>
    </xsd:element>
    <xsd:element name="ga500041e31e499bae0a2e3b28b012fb" ma:index="23" nillable="true" ma:displayName="IMSEntity_0" ma:hidden="true" ma:internalName="ga500041e31e499bae0a2e3b28b012fb" ma:readOnly="false">
      <xsd:simpleType>
        <xsd:restriction base="dms:Note"/>
      </xsd:simpleType>
    </xsd:element>
    <xsd:element name="b909c30f6af94f8daa4f6bc346664858" ma:index="25" nillable="true" ma:displayName="Filesearchkeywords_0" ma:hidden="true" ma:internalName="b909c30f6af94f8daa4f6bc346664858" ma:readOnly="false">
      <xsd:simpleType>
        <xsd:restriction base="dms:Note"/>
      </xsd:simpleType>
    </xsd:element>
    <xsd:element name="IMSFilesetOrganisationID" ma:index="31" nillable="true" ma:displayName="IMS Fileset Organisation ID" ma:internalName="IMSFilesetOrganisationID">
      <xsd:simpleType>
        <xsd:restriction base="dms:Text">
          <xsd:maxLength value="255"/>
        </xsd:restriction>
      </xsd:simpleType>
    </xsd:element>
    <xsd:element name="NotesLinks" ma:index="34"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1c8409-2b3d-41a9-86ff-6de17ebba263"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1ba42a0f-8771-4b0a-aa2d-0ef4af23b252}" ma:internalName="TaxCatchAll" ma:showField="CatchAllData" ma:web="e61c8409-2b3d-41a9-86ff-6de17ebba263">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1ba42a0f-8771-4b0a-aa2d-0ef4af23b252}" ma:internalName="TaxCatchAllLabel" ma:readOnly="true" ma:showField="CatchAllDataLabel" ma:web="e61c8409-2b3d-41a9-86ff-6de17ebba263">
      <xsd:complexType>
        <xsd:complexContent>
          <xsd:extension base="dms:MultiChoiceLookup">
            <xsd:sequence>
              <xsd:element name="Value" type="dms:Lookup" maxOccurs="unbounded" minOccurs="0" nillable="true"/>
            </xsd:sequence>
          </xsd:extension>
        </xsd:complexContent>
      </xsd:complexType>
    </xsd:element>
    <xsd:element name="f4c29409d90b4a578b768720fd07bb93" ma:index="27" nillable="true" ma:taxonomy="true" ma:internalName="f4c29409d90b4a578b768720fd07bb93" ma:taxonomyFieldName="IMSProductType" ma:displayName="IMS Product Type" ma:fieldId="{f4c29409-d90b-4a57-8b76-8720fd07bb93}" ma:taxonomyMulti="true" ma:sspId="b38671ba-7d76-46f8-b8a5-5fc3a7d6229d" ma:termSetId="0c7eea56-9cf4-49ec-883b-a33f90d8b8bf" ma:anchorId="00000000-0000-0000-0000-000000000000" ma:open="false" ma:isKeyword="false">
      <xsd:complexType>
        <xsd:sequence>
          <xsd:element ref="pc:Terms" minOccurs="0" maxOccurs="1"/>
        </xsd:sequence>
      </xsd:complexType>
    </xsd:element>
    <xsd:element name="p0defd040bb9426381491b2c186908cb" ma:index="28" ma:taxonomy="true" ma:internalName="p0defd040bb9426381491b2c186908cb" ma:taxonomyFieldName="SecurityClassification" ma:displayName="Security Classification" ma:default="6;#Sensitive|19fd2cb8-3e97-4464-ae71-8c2c2095d028" ma:fieldId="{90defd04-0bb9-4263-8149-1b2c186908cb}" ma:sspId="b38671ba-7d76-46f8-b8a5-5fc3a7d6229d" ma:termSetId="1d2f2699-c9ac-44b7-aa84-d64945e6f0bf" ma:anchorId="00000000-0000-0000-0000-000000000000" ma:open="false" ma:isKeyword="false">
      <xsd:complexType>
        <xsd:sequence>
          <xsd:element ref="pc:Terms" minOccurs="0" maxOccurs="1"/>
        </xsd:sequence>
      </xsd:complexType>
    </xsd:element>
    <xsd:element name="hb3476fe0c25428da9d0464ead195eef" ma:index="29" nillable="true" ma:taxonomy="true" ma:internalName="hb3476fe0c25428da9d0464ead195eef" ma:taxonomyFieldName="IMSDocumentType" ma:displayName="IMS Document Type" ma:fieldId="{1b3476fe-0c25-428d-a9d0-464ead195eef}" ma:sspId="b38671ba-7d76-46f8-b8a5-5fc3a7d6229d" ma:termSetId="49658fea-027b-4427-8d41-db611e9ad76b" ma:anchorId="00000000-0000-0000-0000-000000000000" ma:open="false" ma:isKeyword="false">
      <xsd:complexType>
        <xsd:sequence>
          <xsd:element ref="pc:Terms" minOccurs="0" maxOccurs="1"/>
        </xsd:sequence>
      </xsd:complexType>
    </xsd:element>
    <xsd:element name="n984d001a78f4b1f81661dbc6638eecd" ma:index="30" nillable="true" ma:taxonomy="true" ma:internalName="n984d001a78f4b1f81661dbc6638eecd" ma:taxonomyFieldName="IMSEntity" ma:displayName="IMS Entity" ma:fieldId="{7984d001-a78f-4b1f-8166-1dbc6638eecd}" ma:taxonomyMulti="true" ma:sspId="b38671ba-7d76-46f8-b8a5-5fc3a7d6229d" ma:termSetId="40156809-d0f5-45f9-b880-9371d52d720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3"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35"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36"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9E151-3043-41C1-8F43-07E4381F5041}">
  <ds:schemaRefs>
    <ds:schemaRef ds:uri="http://purl.org/dc/elements/1.1/"/>
    <ds:schemaRef ds:uri="http://schemas.microsoft.com/office/2006/metadata/properties"/>
    <ds:schemaRef ds:uri="http://schemas.microsoft.com/office/2006/documentManagement/types"/>
    <ds:schemaRef ds:uri="http://schemas.microsoft.com/office/infopath/2007/PartnerControls"/>
    <ds:schemaRef ds:uri="17f478ab-373e-4295-9ff0-9b833ad01319"/>
    <ds:schemaRef ds:uri="http://schemas.microsoft.com/sharepoint/v4"/>
    <ds:schemaRef ds:uri="http://purl.org/dc/dcmitype/"/>
    <ds:schemaRef ds:uri="http://www.w3.org/XML/1998/namespace"/>
    <ds:schemaRef ds:uri="http://schemas.openxmlformats.org/package/2006/metadata/core-properties"/>
    <ds:schemaRef ds:uri="da7a9ac0-bc47-4684-84e6-3a8e9ac80c12"/>
    <ds:schemaRef ds:uri="e61c8409-2b3d-41a9-86ff-6de17ebba263"/>
    <ds:schemaRef ds:uri="http://purl.org/dc/terms/"/>
  </ds:schemaRefs>
</ds:datastoreItem>
</file>

<file path=customXml/itemProps2.xml><?xml version="1.0" encoding="utf-8"?>
<ds:datastoreItem xmlns:ds="http://schemas.openxmlformats.org/officeDocument/2006/customXml" ds:itemID="{25A41087-B917-49FC-BD79-CC32C9F3F4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e61c8409-2b3d-41a9-86ff-6de17ebba263"/>
    <ds:schemaRef ds:uri="http://schemas.microsoft.com/sharepoint/v4"/>
    <ds:schemaRef ds:uri="17f478ab-373e-4295-9ff0-9b833ad01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6A81B1-1788-4B41-A4D2-40A0E80A980C}">
  <ds:schemaRefs>
    <ds:schemaRef ds:uri="http://schemas.microsoft.com/sharepoint/v3/contenttype/forms"/>
  </ds:schemaRefs>
</ds:datastoreItem>
</file>

<file path=customXml/itemProps4.xml><?xml version="1.0" encoding="utf-8"?>
<ds:datastoreItem xmlns:ds="http://schemas.openxmlformats.org/officeDocument/2006/customXml" ds:itemID="{682C0CE7-0A7A-4CA1-8D79-3F2D46C23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2746</Words>
  <Characters>15656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ASIC CLASS ORDER [CO xx/xxx]</vt:lpstr>
    </vt:vector>
  </TitlesOfParts>
  <Company>ASIC</Company>
  <LinksUpToDate>false</LinksUpToDate>
  <CharactersWithSpaces>18366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CLASS ORDER [CO xx/xxx]</dc:title>
  <dc:creator>james.grapsas</dc:creator>
  <cp:lastModifiedBy>Ruki.Weerasinghe</cp:lastModifiedBy>
  <cp:revision>2</cp:revision>
  <cp:lastPrinted>2016-02-05T02:00:00Z</cp:lastPrinted>
  <dcterms:created xsi:type="dcterms:W3CDTF">2016-03-03T04:56:00Z</dcterms:created>
  <dcterms:modified xsi:type="dcterms:W3CDTF">2016-03-03T04:56:00Z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A4332383</vt:lpwstr>
  </property>
  <property fmtid="{D5CDD505-2E9C-101B-9397-08002B2CF9AE}" pid="4" name="Objective-Title">
    <vt:lpwstr>ASIC CLASS ORDER EXPLANATORY STATEMENT TEMPLATE</vt:lpwstr>
  </property>
  <property fmtid="{D5CDD505-2E9C-101B-9397-08002B2CF9AE}" pid="5" name="Objective-Comment">
    <vt:lpwstr>
    </vt:lpwstr>
  </property>
  <property fmtid="{D5CDD505-2E9C-101B-9397-08002B2CF9AE}" pid="6" name="Objective-CreationStamp">
    <vt:filetime>2014-11-20T22:09:27Z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2014-11-20T22:12:17Z</vt:filetime>
  </property>
  <property fmtid="{D5CDD505-2E9C-101B-9397-08002B2CF9AE}" pid="10" name="Objective-ModificationStamp">
    <vt:filetime>2014-11-21T02:12:38Z</vt:filetime>
  </property>
  <property fmtid="{D5CDD505-2E9C-101B-9397-08002B2CF9AE}" pid="11" name="Objective-Owner">
    <vt:lpwstr>Gillian Kreuiter</vt:lpwstr>
  </property>
  <property fmtid="{D5CDD505-2E9C-101B-9397-08002B2CF9AE}" pid="12" name="Objective-Path">
    <vt:lpwstr>ASIC BCS:POLICY &amp; REGULATORY FRAMEWORK:Policy Development:Technical Updates &amp; Other:Sunsetting Class Orders Project:Sunsetting of legislative instruments:Project Management:Training materials:Explanatory statements:</vt:lpwstr>
  </property>
  <property fmtid="{D5CDD505-2E9C-101B-9397-08002B2CF9AE}" pid="13" name="Objective-Parent">
    <vt:lpwstr>Explanatory statements</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2</vt:i4>
  </property>
  <property fmtid="{D5CDD505-2E9C-101B-9397-08002B2CF9AE}" pid="17" name="Objective-VersionComment">
    <vt:lpwstr>Version 2</vt:lpwstr>
  </property>
  <property fmtid="{D5CDD505-2E9C-101B-9397-08002B2CF9AE}" pid="18" name="Objective-FileNumber">
    <vt:lpwstr>2012 - 002402</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y fmtid="{D5CDD505-2E9C-101B-9397-08002B2CF9AE}" pid="22" name="ContentTypeId">
    <vt:lpwstr>0x010100B5F685A1365F544391EF8C813B164F3AC100B96475DE23F29F44A6FD58A31C00EB7B</vt:lpwstr>
  </property>
  <property fmtid="{D5CDD505-2E9C-101B-9397-08002B2CF9AE}" pid="23" name="RecordPoint_WorkflowType">
    <vt:lpwstr>ActiveSubmitStub</vt:lpwstr>
  </property>
  <property fmtid="{D5CDD505-2E9C-101B-9397-08002B2CF9AE}" pid="24" name="RecordPoint_ActiveItemWebId">
    <vt:lpwstr>{e61c8409-2b3d-41a9-86ff-6de17ebba263}</vt:lpwstr>
  </property>
  <property fmtid="{D5CDD505-2E9C-101B-9397-08002B2CF9AE}" pid="25" name="RecordPoint_ActiveItemSiteId">
    <vt:lpwstr>{7c55c358-5415-4198-9ede-08a0775024ad}</vt:lpwstr>
  </property>
  <property fmtid="{D5CDD505-2E9C-101B-9397-08002B2CF9AE}" pid="26" name="RecordPoint_ActiveItemListId">
    <vt:lpwstr>{0ac98799-20dc-43fa-a7f5-120fca1d2db7}</vt:lpwstr>
  </property>
  <property fmtid="{D5CDD505-2E9C-101B-9397-08002B2CF9AE}" pid="27" name="RecordPoint_ActiveItemUniqueId">
    <vt:lpwstr>{a4b90e29-8769-4b28-a0b0-4e501ee2115b}</vt:lpwstr>
  </property>
  <property fmtid="{D5CDD505-2E9C-101B-9397-08002B2CF9AE}" pid="28" name="IMSEntity">
    <vt:lpwstr/>
  </property>
  <property fmtid="{D5CDD505-2E9C-101B-9397-08002B2CF9AE}" pid="29" name="ga26016f869e4783a544bf28ac019362">
    <vt:lpwstr/>
  </property>
  <property fmtid="{D5CDD505-2E9C-101B-9397-08002B2CF9AE}" pid="30" name="SecondaryJurisdiction">
    <vt:lpwstr/>
  </property>
  <property fmtid="{D5CDD505-2E9C-101B-9397-08002B2CF9AE}" pid="31" name="SecurityClassification">
    <vt:lpwstr>6;#Sensitive|19fd2cb8-3e97-4464-ae71-8c2c2095d028</vt:lpwstr>
  </property>
  <property fmtid="{D5CDD505-2E9C-101B-9397-08002B2CF9AE}" pid="32" name="IMSDocumentType">
    <vt:lpwstr/>
  </property>
  <property fmtid="{D5CDD505-2E9C-101B-9397-08002B2CF9AE}" pid="33" name="IMSFilesetEntity">
    <vt:lpwstr/>
  </property>
  <property fmtid="{D5CDD505-2E9C-101B-9397-08002B2CF9AE}" pid="34" name="j9a53d7fe1554b91b170ef98e3957baf">
    <vt:lpwstr/>
  </property>
  <property fmtid="{D5CDD505-2E9C-101B-9397-08002B2CF9AE}" pid="35" name="IMSProductType">
    <vt:lpwstr/>
  </property>
  <property fmtid="{D5CDD505-2E9C-101B-9397-08002B2CF9AE}" pid="36" name="e3d6af94617946d9813caf87b95826d7">
    <vt:lpwstr/>
  </property>
  <property fmtid="{D5CDD505-2E9C-101B-9397-08002B2CF9AE}" pid="37" name="af3f57e54dba403ca4ebb14e4094a9d8">
    <vt:lpwstr/>
  </property>
  <property fmtid="{D5CDD505-2E9C-101B-9397-08002B2CF9AE}" pid="38" name="PrimaryJurisction">
    <vt:lpwstr/>
  </property>
  <property fmtid="{D5CDD505-2E9C-101B-9397-08002B2CF9AE}" pid="39" name="IMSFilesetProductType">
    <vt:lpwstr/>
  </property>
  <property fmtid="{D5CDD505-2E9C-101B-9397-08002B2CF9AE}" pid="40" name="RecordPoint_RecordNumberSubmitted">
    <vt:lpwstr>R20160000042123</vt:lpwstr>
  </property>
  <property fmtid="{D5CDD505-2E9C-101B-9397-08002B2CF9AE}" pid="41" name="RecordPoint_SubmissionCompleted">
    <vt:lpwstr>2016-02-23T20:49:09.4212512+11:00</vt:lpwstr>
  </property>
</Properties>
</file>