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DD508" w14:textId="77777777" w:rsidR="00E04F0E" w:rsidRDefault="00E04F0E" w:rsidP="00E04F0E">
      <w:pPr>
        <w:spacing w:after="0" w:line="240" w:lineRule="auto"/>
        <w:jc w:val="center"/>
        <w:rPr>
          <w:rFonts w:ascii="Times New Roman" w:hAnsi="Times New Roman" w:cs="Times New Roman"/>
          <w:b/>
          <w:sz w:val="24"/>
          <w:szCs w:val="24"/>
        </w:rPr>
      </w:pPr>
      <w:bookmarkStart w:id="0" w:name="_GoBack"/>
      <w:bookmarkEnd w:id="0"/>
    </w:p>
    <w:p w14:paraId="559DD509" w14:textId="77777777" w:rsidR="00145D6E" w:rsidRDefault="00145D6E" w:rsidP="00E04F0E">
      <w:pPr>
        <w:spacing w:after="0" w:line="240" w:lineRule="auto"/>
        <w:jc w:val="center"/>
        <w:rPr>
          <w:rFonts w:ascii="Times New Roman" w:hAnsi="Times New Roman" w:cs="Times New Roman"/>
          <w:b/>
          <w:sz w:val="24"/>
          <w:szCs w:val="24"/>
        </w:rPr>
      </w:pPr>
    </w:p>
    <w:p w14:paraId="559DD50A" w14:textId="77777777" w:rsidR="00E04F0E" w:rsidRPr="00CB0151" w:rsidRDefault="00E04F0E" w:rsidP="00E04F0E">
      <w:pPr>
        <w:spacing w:after="600"/>
        <w:rPr>
          <w:sz w:val="28"/>
        </w:rPr>
      </w:pPr>
      <w:r w:rsidRPr="00CB0151">
        <w:rPr>
          <w:noProof/>
          <w:lang w:eastAsia="en-AU"/>
        </w:rPr>
        <w:drawing>
          <wp:inline distT="0" distB="0" distL="0" distR="0" wp14:anchorId="559DD619" wp14:editId="559DD61A">
            <wp:extent cx="5267325" cy="742950"/>
            <wp:effectExtent l="0" t="0" r="9525"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p w14:paraId="559DD50B" w14:textId="1E95EF05" w:rsidR="00E04F0E" w:rsidRPr="00CB0151" w:rsidRDefault="00E04F0E" w:rsidP="00E14C40">
      <w:pPr>
        <w:pStyle w:val="LI-Title"/>
        <w:pBdr>
          <w:bottom w:val="single" w:sz="4" w:space="1" w:color="auto"/>
        </w:pBdr>
      </w:pPr>
      <w:r w:rsidRPr="00CB0151">
        <w:t>ASIC</w:t>
      </w:r>
      <w:r w:rsidR="00DD2417" w:rsidRPr="00CB0151">
        <w:t xml:space="preserve"> </w:t>
      </w:r>
      <w:r w:rsidR="0085048D">
        <w:t xml:space="preserve">Corporations </w:t>
      </w:r>
      <w:r w:rsidR="00DD2417" w:rsidRPr="00CB0151">
        <w:t>(</w:t>
      </w:r>
      <w:r w:rsidR="00302DCF">
        <w:t>Superannuation:</w:t>
      </w:r>
      <w:r w:rsidR="00DD2417" w:rsidRPr="00CB0151">
        <w:t xml:space="preserve"> Investment Strategies) Instrument</w:t>
      </w:r>
      <w:r w:rsidR="00302DCF">
        <w:t> </w:t>
      </w:r>
      <w:r w:rsidR="00DD2417" w:rsidRPr="00CB0151">
        <w:t>201</w:t>
      </w:r>
      <w:r w:rsidR="0085048D">
        <w:t>6</w:t>
      </w:r>
      <w:r w:rsidR="00E14C40">
        <w:t>/</w:t>
      </w:r>
      <w:r w:rsidR="00134D90">
        <w:t>65</w:t>
      </w:r>
    </w:p>
    <w:p w14:paraId="559DD50D" w14:textId="617E2497" w:rsidR="00E04F0E" w:rsidRPr="00CB0151" w:rsidRDefault="00E04F0E" w:rsidP="00E04F0E">
      <w:pPr>
        <w:pStyle w:val="LI-Fronttext"/>
        <w:rPr>
          <w:sz w:val="24"/>
          <w:szCs w:val="24"/>
        </w:rPr>
      </w:pPr>
      <w:r w:rsidRPr="00CB0151">
        <w:rPr>
          <w:sz w:val="24"/>
          <w:szCs w:val="24"/>
        </w:rPr>
        <w:t xml:space="preserve">I, </w:t>
      </w:r>
      <w:r w:rsidR="00E356B9">
        <w:rPr>
          <w:sz w:val="24"/>
          <w:szCs w:val="24"/>
        </w:rPr>
        <w:t>Grant Moodie</w:t>
      </w:r>
      <w:r w:rsidRPr="00CB0151">
        <w:rPr>
          <w:sz w:val="24"/>
          <w:szCs w:val="24"/>
        </w:rPr>
        <w:t>, delegate of the Australian Securities and Investments Commission, make the following legislative instrument.</w:t>
      </w:r>
    </w:p>
    <w:p w14:paraId="559DD50E" w14:textId="77777777" w:rsidR="00E04F0E" w:rsidRPr="00CB0151" w:rsidRDefault="00E04F0E" w:rsidP="00E04F0E">
      <w:pPr>
        <w:pStyle w:val="LI-Fronttext"/>
      </w:pPr>
    </w:p>
    <w:p w14:paraId="559DD50F" w14:textId="11D00974" w:rsidR="00E04F0E" w:rsidRPr="00CB0151" w:rsidRDefault="00E04F0E" w:rsidP="00E04F0E">
      <w:pPr>
        <w:pStyle w:val="LI-Fronttext"/>
        <w:rPr>
          <w:sz w:val="24"/>
          <w:szCs w:val="24"/>
        </w:rPr>
      </w:pPr>
      <w:r w:rsidRPr="00CB0151">
        <w:rPr>
          <w:sz w:val="24"/>
          <w:szCs w:val="24"/>
        </w:rPr>
        <w:t>Date</w:t>
      </w:r>
      <w:r w:rsidRPr="00CB0151">
        <w:rPr>
          <w:sz w:val="24"/>
          <w:szCs w:val="24"/>
        </w:rPr>
        <w:tab/>
      </w:r>
      <w:r w:rsidRPr="00CB0151">
        <w:rPr>
          <w:sz w:val="24"/>
          <w:szCs w:val="24"/>
        </w:rPr>
        <w:tab/>
      </w:r>
      <w:r w:rsidR="00134D90">
        <w:rPr>
          <w:sz w:val="24"/>
          <w:szCs w:val="24"/>
        </w:rPr>
        <w:t xml:space="preserve">23 February </w:t>
      </w:r>
      <w:r w:rsidR="00E14C40">
        <w:rPr>
          <w:sz w:val="24"/>
          <w:szCs w:val="24"/>
        </w:rPr>
        <w:t>201</w:t>
      </w:r>
      <w:bookmarkStart w:id="1" w:name="BKCheck15B_1"/>
      <w:bookmarkEnd w:id="1"/>
      <w:r w:rsidR="00134D90">
        <w:rPr>
          <w:sz w:val="24"/>
          <w:szCs w:val="24"/>
        </w:rPr>
        <w:t>6</w:t>
      </w:r>
    </w:p>
    <w:p w14:paraId="08CE6240" w14:textId="77777777" w:rsidR="007B0247" w:rsidRDefault="007B0247" w:rsidP="00E04F0E">
      <w:pPr>
        <w:pStyle w:val="LI-Fronttext"/>
        <w:rPr>
          <w:i/>
          <w:sz w:val="24"/>
          <w:szCs w:val="24"/>
        </w:rPr>
      </w:pPr>
    </w:p>
    <w:p w14:paraId="559DD512" w14:textId="46A77B92" w:rsidR="00E04F0E" w:rsidRPr="00CB0151" w:rsidRDefault="00E356B9" w:rsidP="0085048D">
      <w:pPr>
        <w:pStyle w:val="LI-Fronttext"/>
        <w:pBdr>
          <w:bottom w:val="single" w:sz="4" w:space="1" w:color="auto"/>
        </w:pBdr>
        <w:rPr>
          <w:sz w:val="24"/>
          <w:szCs w:val="24"/>
        </w:rPr>
      </w:pPr>
      <w:r>
        <w:rPr>
          <w:sz w:val="24"/>
          <w:szCs w:val="24"/>
        </w:rPr>
        <w:t>Grant Moodie</w:t>
      </w:r>
    </w:p>
    <w:p w14:paraId="559DD513" w14:textId="77777777" w:rsidR="00E04F0E" w:rsidRPr="00CB0151" w:rsidRDefault="00E04F0E" w:rsidP="00E04F0E">
      <w:pPr>
        <w:pStyle w:val="Header"/>
        <w:tabs>
          <w:tab w:val="clear" w:pos="4150"/>
          <w:tab w:val="clear" w:pos="8307"/>
        </w:tabs>
      </w:pPr>
    </w:p>
    <w:p w14:paraId="559DD514" w14:textId="77777777" w:rsidR="00E04F0E" w:rsidRPr="00CB0151" w:rsidRDefault="00E04F0E" w:rsidP="00E04F0E">
      <w:pPr>
        <w:sectPr w:rsidR="00E04F0E" w:rsidRPr="00CB0151" w:rsidSect="0096685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559DD515" w14:textId="77777777" w:rsidR="00E04F0E" w:rsidRPr="00CB0151" w:rsidRDefault="00E04F0E" w:rsidP="00E04F0E">
      <w:pPr>
        <w:spacing w:before="280" w:after="240"/>
        <w:rPr>
          <w:sz w:val="36"/>
        </w:rPr>
      </w:pPr>
      <w:r w:rsidRPr="00CB0151">
        <w:rPr>
          <w:b/>
          <w:sz w:val="32"/>
          <w:szCs w:val="32"/>
        </w:rPr>
        <w:lastRenderedPageBreak/>
        <w:t>Contents</w:t>
      </w:r>
    </w:p>
    <w:bookmarkStart w:id="2" w:name="BKCheck15B_2"/>
    <w:bookmarkEnd w:id="2"/>
    <w:p w14:paraId="667681C6" w14:textId="77777777" w:rsidR="001957A0" w:rsidRDefault="00E85F72">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43660969" w:history="1">
        <w:r w:rsidR="001957A0" w:rsidRPr="00023250">
          <w:rPr>
            <w:rStyle w:val="Hyperlink"/>
            <w:noProof/>
          </w:rPr>
          <w:t>Part 1—Preliminary</w:t>
        </w:r>
        <w:r w:rsidR="001957A0">
          <w:rPr>
            <w:noProof/>
            <w:webHidden/>
          </w:rPr>
          <w:tab/>
        </w:r>
        <w:r w:rsidR="001957A0">
          <w:rPr>
            <w:noProof/>
            <w:webHidden/>
          </w:rPr>
          <w:fldChar w:fldCharType="begin"/>
        </w:r>
        <w:r w:rsidR="001957A0">
          <w:rPr>
            <w:noProof/>
            <w:webHidden/>
          </w:rPr>
          <w:instrText xml:space="preserve"> PAGEREF _Toc443660969 \h </w:instrText>
        </w:r>
        <w:r w:rsidR="001957A0">
          <w:rPr>
            <w:noProof/>
            <w:webHidden/>
          </w:rPr>
        </w:r>
        <w:r w:rsidR="001957A0">
          <w:rPr>
            <w:noProof/>
            <w:webHidden/>
          </w:rPr>
          <w:fldChar w:fldCharType="separate"/>
        </w:r>
        <w:r w:rsidR="00B84BAF">
          <w:rPr>
            <w:noProof/>
            <w:webHidden/>
          </w:rPr>
          <w:t>3</w:t>
        </w:r>
        <w:r w:rsidR="001957A0">
          <w:rPr>
            <w:noProof/>
            <w:webHidden/>
          </w:rPr>
          <w:fldChar w:fldCharType="end"/>
        </w:r>
      </w:hyperlink>
    </w:p>
    <w:p w14:paraId="6B5D79D8" w14:textId="77777777" w:rsidR="001957A0" w:rsidRDefault="00DA4317">
      <w:pPr>
        <w:pStyle w:val="TOC2"/>
        <w:tabs>
          <w:tab w:val="left" w:pos="1474"/>
        </w:tabs>
        <w:rPr>
          <w:rFonts w:asciiTheme="minorHAnsi" w:eastAsiaTheme="minorEastAsia" w:hAnsiTheme="minorHAnsi" w:cstheme="minorBidi"/>
          <w:noProof/>
          <w:kern w:val="0"/>
          <w:sz w:val="22"/>
          <w:szCs w:val="22"/>
        </w:rPr>
      </w:pPr>
      <w:hyperlink w:anchor="_Toc443660970" w:history="1">
        <w:r w:rsidR="001957A0" w:rsidRPr="00023250">
          <w:rPr>
            <w:rStyle w:val="Hyperlink"/>
            <w:noProof/>
          </w:rPr>
          <w:t>1</w:t>
        </w:r>
        <w:r w:rsidR="001957A0">
          <w:rPr>
            <w:rFonts w:asciiTheme="minorHAnsi" w:eastAsiaTheme="minorEastAsia" w:hAnsiTheme="minorHAnsi" w:cstheme="minorBidi"/>
            <w:noProof/>
            <w:kern w:val="0"/>
            <w:sz w:val="22"/>
            <w:szCs w:val="22"/>
          </w:rPr>
          <w:tab/>
        </w:r>
        <w:r w:rsidR="001957A0" w:rsidRPr="00023250">
          <w:rPr>
            <w:rStyle w:val="Hyperlink"/>
            <w:noProof/>
          </w:rPr>
          <w:t>Name of legislative instrument</w:t>
        </w:r>
        <w:r w:rsidR="001957A0">
          <w:rPr>
            <w:noProof/>
            <w:webHidden/>
          </w:rPr>
          <w:tab/>
        </w:r>
        <w:r w:rsidR="001957A0">
          <w:rPr>
            <w:noProof/>
            <w:webHidden/>
          </w:rPr>
          <w:fldChar w:fldCharType="begin"/>
        </w:r>
        <w:r w:rsidR="001957A0">
          <w:rPr>
            <w:noProof/>
            <w:webHidden/>
          </w:rPr>
          <w:instrText xml:space="preserve"> PAGEREF _Toc443660970 \h </w:instrText>
        </w:r>
        <w:r w:rsidR="001957A0">
          <w:rPr>
            <w:noProof/>
            <w:webHidden/>
          </w:rPr>
        </w:r>
        <w:r w:rsidR="001957A0">
          <w:rPr>
            <w:noProof/>
            <w:webHidden/>
          </w:rPr>
          <w:fldChar w:fldCharType="separate"/>
        </w:r>
        <w:r w:rsidR="00B84BAF">
          <w:rPr>
            <w:noProof/>
            <w:webHidden/>
          </w:rPr>
          <w:t>3</w:t>
        </w:r>
        <w:r w:rsidR="001957A0">
          <w:rPr>
            <w:noProof/>
            <w:webHidden/>
          </w:rPr>
          <w:fldChar w:fldCharType="end"/>
        </w:r>
      </w:hyperlink>
    </w:p>
    <w:p w14:paraId="7C184967" w14:textId="77777777" w:rsidR="001957A0" w:rsidRDefault="00DA4317">
      <w:pPr>
        <w:pStyle w:val="TOC2"/>
        <w:tabs>
          <w:tab w:val="left" w:pos="1474"/>
        </w:tabs>
        <w:rPr>
          <w:rFonts w:asciiTheme="minorHAnsi" w:eastAsiaTheme="minorEastAsia" w:hAnsiTheme="minorHAnsi" w:cstheme="minorBidi"/>
          <w:noProof/>
          <w:kern w:val="0"/>
          <w:sz w:val="22"/>
          <w:szCs w:val="22"/>
        </w:rPr>
      </w:pPr>
      <w:hyperlink w:anchor="_Toc443660971" w:history="1">
        <w:r w:rsidR="001957A0" w:rsidRPr="00023250">
          <w:rPr>
            <w:rStyle w:val="Hyperlink"/>
            <w:noProof/>
          </w:rPr>
          <w:t>2</w:t>
        </w:r>
        <w:r w:rsidR="001957A0">
          <w:rPr>
            <w:rFonts w:asciiTheme="minorHAnsi" w:eastAsiaTheme="minorEastAsia" w:hAnsiTheme="minorHAnsi" w:cstheme="minorBidi"/>
            <w:noProof/>
            <w:kern w:val="0"/>
            <w:sz w:val="22"/>
            <w:szCs w:val="22"/>
          </w:rPr>
          <w:tab/>
        </w:r>
        <w:r w:rsidR="001957A0" w:rsidRPr="00023250">
          <w:rPr>
            <w:rStyle w:val="Hyperlink"/>
            <w:noProof/>
          </w:rPr>
          <w:t>Commencement</w:t>
        </w:r>
        <w:r w:rsidR="001957A0">
          <w:rPr>
            <w:noProof/>
            <w:webHidden/>
          </w:rPr>
          <w:tab/>
        </w:r>
        <w:r w:rsidR="001957A0">
          <w:rPr>
            <w:noProof/>
            <w:webHidden/>
          </w:rPr>
          <w:fldChar w:fldCharType="begin"/>
        </w:r>
        <w:r w:rsidR="001957A0">
          <w:rPr>
            <w:noProof/>
            <w:webHidden/>
          </w:rPr>
          <w:instrText xml:space="preserve"> PAGEREF _Toc443660971 \h </w:instrText>
        </w:r>
        <w:r w:rsidR="001957A0">
          <w:rPr>
            <w:noProof/>
            <w:webHidden/>
          </w:rPr>
        </w:r>
        <w:r w:rsidR="001957A0">
          <w:rPr>
            <w:noProof/>
            <w:webHidden/>
          </w:rPr>
          <w:fldChar w:fldCharType="separate"/>
        </w:r>
        <w:r w:rsidR="00B84BAF">
          <w:rPr>
            <w:noProof/>
            <w:webHidden/>
          </w:rPr>
          <w:t>3</w:t>
        </w:r>
        <w:r w:rsidR="001957A0">
          <w:rPr>
            <w:noProof/>
            <w:webHidden/>
          </w:rPr>
          <w:fldChar w:fldCharType="end"/>
        </w:r>
      </w:hyperlink>
    </w:p>
    <w:p w14:paraId="4AC4F106" w14:textId="77777777" w:rsidR="001957A0" w:rsidRDefault="00DA4317">
      <w:pPr>
        <w:pStyle w:val="TOC2"/>
        <w:tabs>
          <w:tab w:val="left" w:pos="1474"/>
        </w:tabs>
        <w:rPr>
          <w:rFonts w:asciiTheme="minorHAnsi" w:eastAsiaTheme="minorEastAsia" w:hAnsiTheme="minorHAnsi" w:cstheme="minorBidi"/>
          <w:noProof/>
          <w:kern w:val="0"/>
          <w:sz w:val="22"/>
          <w:szCs w:val="22"/>
        </w:rPr>
      </w:pPr>
      <w:hyperlink w:anchor="_Toc443660972" w:history="1">
        <w:r w:rsidR="001957A0" w:rsidRPr="00023250">
          <w:rPr>
            <w:rStyle w:val="Hyperlink"/>
            <w:noProof/>
          </w:rPr>
          <w:t>3</w:t>
        </w:r>
        <w:r w:rsidR="001957A0">
          <w:rPr>
            <w:rFonts w:asciiTheme="minorHAnsi" w:eastAsiaTheme="minorEastAsia" w:hAnsiTheme="minorHAnsi" w:cstheme="minorBidi"/>
            <w:noProof/>
            <w:kern w:val="0"/>
            <w:sz w:val="22"/>
            <w:szCs w:val="22"/>
          </w:rPr>
          <w:tab/>
        </w:r>
        <w:r w:rsidR="001957A0" w:rsidRPr="00023250">
          <w:rPr>
            <w:rStyle w:val="Hyperlink"/>
            <w:noProof/>
          </w:rPr>
          <w:t>Authority</w:t>
        </w:r>
        <w:r w:rsidR="001957A0">
          <w:rPr>
            <w:noProof/>
            <w:webHidden/>
          </w:rPr>
          <w:tab/>
        </w:r>
        <w:r w:rsidR="001957A0">
          <w:rPr>
            <w:noProof/>
            <w:webHidden/>
          </w:rPr>
          <w:fldChar w:fldCharType="begin"/>
        </w:r>
        <w:r w:rsidR="001957A0">
          <w:rPr>
            <w:noProof/>
            <w:webHidden/>
          </w:rPr>
          <w:instrText xml:space="preserve"> PAGEREF _Toc443660972 \h </w:instrText>
        </w:r>
        <w:r w:rsidR="001957A0">
          <w:rPr>
            <w:noProof/>
            <w:webHidden/>
          </w:rPr>
        </w:r>
        <w:r w:rsidR="001957A0">
          <w:rPr>
            <w:noProof/>
            <w:webHidden/>
          </w:rPr>
          <w:fldChar w:fldCharType="separate"/>
        </w:r>
        <w:r w:rsidR="00B84BAF">
          <w:rPr>
            <w:noProof/>
            <w:webHidden/>
          </w:rPr>
          <w:t>3</w:t>
        </w:r>
        <w:r w:rsidR="001957A0">
          <w:rPr>
            <w:noProof/>
            <w:webHidden/>
          </w:rPr>
          <w:fldChar w:fldCharType="end"/>
        </w:r>
      </w:hyperlink>
    </w:p>
    <w:p w14:paraId="005F4FB8" w14:textId="77777777" w:rsidR="001957A0" w:rsidRDefault="00DA4317">
      <w:pPr>
        <w:pStyle w:val="TOC2"/>
        <w:tabs>
          <w:tab w:val="left" w:pos="1474"/>
        </w:tabs>
        <w:rPr>
          <w:rFonts w:asciiTheme="minorHAnsi" w:eastAsiaTheme="minorEastAsia" w:hAnsiTheme="minorHAnsi" w:cstheme="minorBidi"/>
          <w:noProof/>
          <w:kern w:val="0"/>
          <w:sz w:val="22"/>
          <w:szCs w:val="22"/>
        </w:rPr>
      </w:pPr>
      <w:hyperlink w:anchor="_Toc443660973" w:history="1">
        <w:r w:rsidR="001957A0" w:rsidRPr="00023250">
          <w:rPr>
            <w:rStyle w:val="Hyperlink"/>
            <w:noProof/>
          </w:rPr>
          <w:t>4</w:t>
        </w:r>
        <w:r w:rsidR="001957A0">
          <w:rPr>
            <w:rFonts w:asciiTheme="minorHAnsi" w:eastAsiaTheme="minorEastAsia" w:hAnsiTheme="minorHAnsi" w:cstheme="minorBidi"/>
            <w:noProof/>
            <w:kern w:val="0"/>
            <w:sz w:val="22"/>
            <w:szCs w:val="22"/>
          </w:rPr>
          <w:tab/>
        </w:r>
        <w:r w:rsidR="001957A0" w:rsidRPr="00023250">
          <w:rPr>
            <w:rStyle w:val="Hyperlink"/>
            <w:noProof/>
          </w:rPr>
          <w:t>Definitions</w:t>
        </w:r>
        <w:r w:rsidR="001957A0">
          <w:rPr>
            <w:noProof/>
            <w:webHidden/>
          </w:rPr>
          <w:tab/>
        </w:r>
        <w:r w:rsidR="001957A0">
          <w:rPr>
            <w:noProof/>
            <w:webHidden/>
          </w:rPr>
          <w:fldChar w:fldCharType="begin"/>
        </w:r>
        <w:r w:rsidR="001957A0">
          <w:rPr>
            <w:noProof/>
            <w:webHidden/>
          </w:rPr>
          <w:instrText xml:space="preserve"> PAGEREF _Toc443660973 \h </w:instrText>
        </w:r>
        <w:r w:rsidR="001957A0">
          <w:rPr>
            <w:noProof/>
            <w:webHidden/>
          </w:rPr>
        </w:r>
        <w:r w:rsidR="001957A0">
          <w:rPr>
            <w:noProof/>
            <w:webHidden/>
          </w:rPr>
          <w:fldChar w:fldCharType="separate"/>
        </w:r>
        <w:r w:rsidR="00B84BAF">
          <w:rPr>
            <w:noProof/>
            <w:webHidden/>
          </w:rPr>
          <w:t>3</w:t>
        </w:r>
        <w:r w:rsidR="001957A0">
          <w:rPr>
            <w:noProof/>
            <w:webHidden/>
          </w:rPr>
          <w:fldChar w:fldCharType="end"/>
        </w:r>
      </w:hyperlink>
    </w:p>
    <w:p w14:paraId="638205D5" w14:textId="77777777" w:rsidR="001957A0" w:rsidRDefault="00DA4317">
      <w:pPr>
        <w:pStyle w:val="TOC1"/>
        <w:rPr>
          <w:rFonts w:asciiTheme="minorHAnsi" w:eastAsiaTheme="minorEastAsia" w:hAnsiTheme="minorHAnsi" w:cstheme="minorBidi"/>
          <w:b w:val="0"/>
          <w:noProof/>
          <w:kern w:val="0"/>
          <w:sz w:val="22"/>
          <w:szCs w:val="22"/>
        </w:rPr>
      </w:pPr>
      <w:hyperlink w:anchor="_Toc443660974" w:history="1">
        <w:r w:rsidR="001957A0" w:rsidRPr="00023250">
          <w:rPr>
            <w:rStyle w:val="Hyperlink"/>
            <w:noProof/>
          </w:rPr>
          <w:t>Part 2—Declaration</w:t>
        </w:r>
        <w:r w:rsidR="001957A0">
          <w:rPr>
            <w:noProof/>
            <w:webHidden/>
          </w:rPr>
          <w:tab/>
        </w:r>
        <w:r w:rsidR="001957A0">
          <w:rPr>
            <w:noProof/>
            <w:webHidden/>
          </w:rPr>
          <w:fldChar w:fldCharType="begin"/>
        </w:r>
        <w:r w:rsidR="001957A0">
          <w:rPr>
            <w:noProof/>
            <w:webHidden/>
          </w:rPr>
          <w:instrText xml:space="preserve"> PAGEREF _Toc443660974 \h </w:instrText>
        </w:r>
        <w:r w:rsidR="001957A0">
          <w:rPr>
            <w:noProof/>
            <w:webHidden/>
          </w:rPr>
        </w:r>
        <w:r w:rsidR="001957A0">
          <w:rPr>
            <w:noProof/>
            <w:webHidden/>
          </w:rPr>
          <w:fldChar w:fldCharType="separate"/>
        </w:r>
        <w:r w:rsidR="00B84BAF">
          <w:rPr>
            <w:noProof/>
            <w:webHidden/>
          </w:rPr>
          <w:t>4</w:t>
        </w:r>
        <w:r w:rsidR="001957A0">
          <w:rPr>
            <w:noProof/>
            <w:webHidden/>
          </w:rPr>
          <w:fldChar w:fldCharType="end"/>
        </w:r>
      </w:hyperlink>
    </w:p>
    <w:p w14:paraId="0E269ADE" w14:textId="77777777" w:rsidR="001957A0" w:rsidRDefault="00DA4317">
      <w:pPr>
        <w:pStyle w:val="TOC2"/>
        <w:tabs>
          <w:tab w:val="left" w:pos="1474"/>
        </w:tabs>
        <w:rPr>
          <w:rFonts w:asciiTheme="minorHAnsi" w:eastAsiaTheme="minorEastAsia" w:hAnsiTheme="minorHAnsi" w:cstheme="minorBidi"/>
          <w:noProof/>
          <w:kern w:val="0"/>
          <w:sz w:val="22"/>
          <w:szCs w:val="22"/>
        </w:rPr>
      </w:pPr>
      <w:hyperlink w:anchor="_Toc443660975" w:history="1">
        <w:r w:rsidR="001957A0" w:rsidRPr="00023250">
          <w:rPr>
            <w:rStyle w:val="Hyperlink"/>
            <w:noProof/>
          </w:rPr>
          <w:t>5</w:t>
        </w:r>
        <w:r w:rsidR="001957A0">
          <w:rPr>
            <w:rFonts w:asciiTheme="minorHAnsi" w:eastAsiaTheme="minorEastAsia" w:hAnsiTheme="minorHAnsi" w:cstheme="minorBidi"/>
            <w:noProof/>
            <w:kern w:val="0"/>
            <w:sz w:val="22"/>
            <w:szCs w:val="22"/>
          </w:rPr>
          <w:tab/>
        </w:r>
        <w:r w:rsidR="001957A0" w:rsidRPr="00023250">
          <w:rPr>
            <w:rStyle w:val="Hyperlink"/>
            <w:noProof/>
          </w:rPr>
          <w:t>Regulated acquisitions through certain superannuation funds</w:t>
        </w:r>
        <w:r w:rsidR="001957A0">
          <w:rPr>
            <w:noProof/>
            <w:webHidden/>
          </w:rPr>
          <w:tab/>
        </w:r>
        <w:r w:rsidR="001957A0">
          <w:rPr>
            <w:noProof/>
            <w:webHidden/>
          </w:rPr>
          <w:fldChar w:fldCharType="begin"/>
        </w:r>
        <w:r w:rsidR="001957A0">
          <w:rPr>
            <w:noProof/>
            <w:webHidden/>
          </w:rPr>
          <w:instrText xml:space="preserve"> PAGEREF _Toc443660975 \h </w:instrText>
        </w:r>
        <w:r w:rsidR="001957A0">
          <w:rPr>
            <w:noProof/>
            <w:webHidden/>
          </w:rPr>
        </w:r>
        <w:r w:rsidR="001957A0">
          <w:rPr>
            <w:noProof/>
            <w:webHidden/>
          </w:rPr>
          <w:fldChar w:fldCharType="separate"/>
        </w:r>
        <w:r w:rsidR="00B84BAF">
          <w:rPr>
            <w:noProof/>
            <w:webHidden/>
          </w:rPr>
          <w:t>4</w:t>
        </w:r>
        <w:r w:rsidR="001957A0">
          <w:rPr>
            <w:noProof/>
            <w:webHidden/>
          </w:rPr>
          <w:fldChar w:fldCharType="end"/>
        </w:r>
      </w:hyperlink>
    </w:p>
    <w:p w14:paraId="559DD520" w14:textId="3132D7B8" w:rsidR="00E04F0E" w:rsidRPr="00CB0151" w:rsidRDefault="00E85F72" w:rsidP="00E04F0E">
      <w:r>
        <w:rPr>
          <w:rFonts w:ascii="Times New Roman" w:eastAsia="Times New Roman" w:hAnsi="Times New Roman" w:cs="Times New Roman"/>
          <w:kern w:val="28"/>
          <w:sz w:val="28"/>
          <w:szCs w:val="20"/>
          <w:lang w:eastAsia="en-AU"/>
        </w:rPr>
        <w:fldChar w:fldCharType="end"/>
      </w:r>
    </w:p>
    <w:p w14:paraId="559DD521" w14:textId="77777777" w:rsidR="00E04F0E" w:rsidRPr="00CB0151" w:rsidRDefault="00E04F0E" w:rsidP="00E04F0E">
      <w:pPr>
        <w:sectPr w:rsidR="00E04F0E" w:rsidRPr="00CB0151" w:rsidSect="00966854">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559DD522" w14:textId="77777777" w:rsidR="00E04F0E" w:rsidRPr="00CB0151" w:rsidRDefault="00E04F0E" w:rsidP="00E04F0E">
      <w:pPr>
        <w:pStyle w:val="LI-Heading1"/>
      </w:pPr>
      <w:bookmarkStart w:id="3" w:name="BK_S3P1L1C1"/>
      <w:bookmarkStart w:id="4" w:name="_Toc443660969"/>
      <w:bookmarkEnd w:id="3"/>
      <w:r w:rsidRPr="00CB0151">
        <w:lastRenderedPageBreak/>
        <w:t>Part 1—Preliminary</w:t>
      </w:r>
      <w:bookmarkEnd w:id="4"/>
    </w:p>
    <w:p w14:paraId="559DD523" w14:textId="77777777" w:rsidR="00E04F0E" w:rsidRPr="00CB0151" w:rsidRDefault="00E04F0E" w:rsidP="00E04F0E">
      <w:pPr>
        <w:pStyle w:val="LI-Heading2"/>
        <w:rPr>
          <w:szCs w:val="24"/>
        </w:rPr>
      </w:pPr>
      <w:bookmarkStart w:id="5" w:name="_Toc443660970"/>
      <w:r w:rsidRPr="00CB0151">
        <w:rPr>
          <w:szCs w:val="24"/>
        </w:rPr>
        <w:t>1</w:t>
      </w:r>
      <w:r w:rsidRPr="00CB0151">
        <w:rPr>
          <w:szCs w:val="24"/>
        </w:rPr>
        <w:tab/>
        <w:t>Name of legislative instrument</w:t>
      </w:r>
      <w:bookmarkEnd w:id="5"/>
    </w:p>
    <w:p w14:paraId="559DD524" w14:textId="472AB436" w:rsidR="00E04F0E" w:rsidRPr="00CB0151" w:rsidRDefault="00E04F0E" w:rsidP="00E04F0E">
      <w:pPr>
        <w:pStyle w:val="LI-BodyTextUnnumbered"/>
        <w:rPr>
          <w:szCs w:val="24"/>
        </w:rPr>
      </w:pPr>
      <w:r w:rsidRPr="00CB0151">
        <w:rPr>
          <w:szCs w:val="24"/>
        </w:rPr>
        <w:t xml:space="preserve">This </w:t>
      </w:r>
      <w:r w:rsidRPr="00CB0151">
        <w:t xml:space="preserve">instrument </w:t>
      </w:r>
      <w:r w:rsidRPr="00CB0151">
        <w:rPr>
          <w:szCs w:val="24"/>
        </w:rPr>
        <w:t xml:space="preserve">is </w:t>
      </w:r>
      <w:r w:rsidR="00DD2417" w:rsidRPr="00CB0151">
        <w:rPr>
          <w:i/>
          <w:szCs w:val="24"/>
        </w:rPr>
        <w:t xml:space="preserve">ASIC </w:t>
      </w:r>
      <w:r w:rsidR="0085048D">
        <w:rPr>
          <w:i/>
          <w:szCs w:val="24"/>
        </w:rPr>
        <w:t xml:space="preserve">Corporations </w:t>
      </w:r>
      <w:r w:rsidR="00DD2417" w:rsidRPr="00CB0151">
        <w:rPr>
          <w:i/>
          <w:szCs w:val="24"/>
        </w:rPr>
        <w:t>(</w:t>
      </w:r>
      <w:r w:rsidR="007B0247">
        <w:rPr>
          <w:i/>
          <w:szCs w:val="24"/>
        </w:rPr>
        <w:t xml:space="preserve">Superannuation: </w:t>
      </w:r>
      <w:r w:rsidR="00DD2417" w:rsidRPr="00CB0151">
        <w:rPr>
          <w:i/>
          <w:szCs w:val="24"/>
        </w:rPr>
        <w:t>Investment Strategies) Instrument 201</w:t>
      </w:r>
      <w:r w:rsidR="0085048D">
        <w:rPr>
          <w:i/>
          <w:szCs w:val="24"/>
        </w:rPr>
        <w:t>6</w:t>
      </w:r>
      <w:r w:rsidR="007B0247">
        <w:rPr>
          <w:i/>
          <w:szCs w:val="24"/>
        </w:rPr>
        <w:t>/</w:t>
      </w:r>
      <w:r w:rsidR="00134D90">
        <w:rPr>
          <w:i/>
          <w:szCs w:val="24"/>
        </w:rPr>
        <w:t>65</w:t>
      </w:r>
      <w:r w:rsidRPr="00CB0151">
        <w:rPr>
          <w:szCs w:val="24"/>
        </w:rPr>
        <w:t>.</w:t>
      </w:r>
    </w:p>
    <w:p w14:paraId="559DD525" w14:textId="77777777" w:rsidR="00E04F0E" w:rsidRPr="00CB0151" w:rsidRDefault="00E04F0E" w:rsidP="00E04F0E">
      <w:pPr>
        <w:pStyle w:val="LI-Heading2"/>
        <w:rPr>
          <w:szCs w:val="24"/>
        </w:rPr>
      </w:pPr>
      <w:bookmarkStart w:id="6" w:name="_Toc443660971"/>
      <w:r w:rsidRPr="00CB0151">
        <w:rPr>
          <w:szCs w:val="24"/>
        </w:rPr>
        <w:t>2</w:t>
      </w:r>
      <w:r w:rsidRPr="00CB0151">
        <w:rPr>
          <w:szCs w:val="24"/>
        </w:rPr>
        <w:tab/>
        <w:t>Commencement</w:t>
      </w:r>
      <w:bookmarkEnd w:id="6"/>
    </w:p>
    <w:p w14:paraId="559DD526" w14:textId="77777777" w:rsidR="00E04F0E" w:rsidRPr="00CB0151" w:rsidRDefault="00E04F0E" w:rsidP="00E04F0E">
      <w:pPr>
        <w:pStyle w:val="LI-BodyTextUnnumbered"/>
        <w:rPr>
          <w:szCs w:val="24"/>
        </w:rPr>
      </w:pPr>
      <w:r w:rsidRPr="00CB0151">
        <w:rPr>
          <w:szCs w:val="24"/>
        </w:rPr>
        <w:t>This instrument commences on the day after it is registered on the Federal Register of Legislative Instruments.</w:t>
      </w:r>
    </w:p>
    <w:p w14:paraId="559DD527" w14:textId="6ACCAFF8" w:rsidR="00E04F0E" w:rsidRPr="00CB0151" w:rsidRDefault="00E04F0E" w:rsidP="00E04F0E">
      <w:pPr>
        <w:pStyle w:val="LI-BodyTextNote"/>
      </w:pPr>
      <w:r w:rsidRPr="00CB0151">
        <w:t>Note:</w:t>
      </w:r>
      <w:r w:rsidRPr="00CB0151">
        <w:tab/>
        <w:t xml:space="preserve">The register may be accessed at </w:t>
      </w:r>
      <w:hyperlink r:id="rId24" w:history="1">
        <w:r w:rsidR="0085048D" w:rsidRPr="00495145">
          <w:rPr>
            <w:rStyle w:val="Hyperlink"/>
          </w:rPr>
          <w:t>www.comlaw.gov.au</w:t>
        </w:r>
      </w:hyperlink>
      <w:r w:rsidRPr="00CB0151">
        <w:t>.</w:t>
      </w:r>
    </w:p>
    <w:p w14:paraId="559DD528" w14:textId="77777777" w:rsidR="00E04F0E" w:rsidRPr="00CB0151" w:rsidRDefault="00E04F0E" w:rsidP="00E04F0E">
      <w:pPr>
        <w:pStyle w:val="LI-Heading2"/>
        <w:spacing w:before="240"/>
        <w:rPr>
          <w:szCs w:val="24"/>
        </w:rPr>
      </w:pPr>
      <w:bookmarkStart w:id="7" w:name="_Toc443660972"/>
      <w:r w:rsidRPr="00CB0151">
        <w:rPr>
          <w:szCs w:val="24"/>
        </w:rPr>
        <w:t>3</w:t>
      </w:r>
      <w:r w:rsidRPr="00CB0151">
        <w:rPr>
          <w:szCs w:val="24"/>
        </w:rPr>
        <w:tab/>
        <w:t>Authority</w:t>
      </w:r>
      <w:bookmarkEnd w:id="7"/>
    </w:p>
    <w:p w14:paraId="559DD529" w14:textId="1354E79F" w:rsidR="00E04F0E" w:rsidRPr="00CB0151" w:rsidRDefault="00E04F0E" w:rsidP="00E04F0E">
      <w:pPr>
        <w:pStyle w:val="LI-BodyTextUnnumbered"/>
        <w:rPr>
          <w:szCs w:val="24"/>
        </w:rPr>
      </w:pPr>
      <w:r w:rsidRPr="00CB0151">
        <w:rPr>
          <w:szCs w:val="24"/>
        </w:rPr>
        <w:t>This instrument is made under</w:t>
      </w:r>
      <w:r w:rsidR="006C2AE4" w:rsidRPr="00CB0151">
        <w:rPr>
          <w:szCs w:val="24"/>
        </w:rPr>
        <w:t xml:space="preserve"> </w:t>
      </w:r>
      <w:r w:rsidR="007B0247">
        <w:rPr>
          <w:szCs w:val="24"/>
        </w:rPr>
        <w:t>sub</w:t>
      </w:r>
      <w:r w:rsidR="006C2AE4" w:rsidRPr="00CB0151">
        <w:rPr>
          <w:szCs w:val="24"/>
        </w:rPr>
        <w:t>section 1020F</w:t>
      </w:r>
      <w:r w:rsidR="007B0247">
        <w:rPr>
          <w:szCs w:val="24"/>
        </w:rPr>
        <w:t>(1)</w:t>
      </w:r>
      <w:r w:rsidR="006C2AE4" w:rsidRPr="00CB0151">
        <w:rPr>
          <w:szCs w:val="24"/>
        </w:rPr>
        <w:t xml:space="preserve"> of the </w:t>
      </w:r>
      <w:r w:rsidR="006C2AE4" w:rsidRPr="00CB0151">
        <w:rPr>
          <w:i/>
          <w:szCs w:val="24"/>
        </w:rPr>
        <w:t>Corporations</w:t>
      </w:r>
      <w:r w:rsidR="007B0247">
        <w:rPr>
          <w:i/>
          <w:szCs w:val="24"/>
        </w:rPr>
        <w:t> </w:t>
      </w:r>
      <w:r w:rsidR="006C2AE4" w:rsidRPr="00CB0151">
        <w:rPr>
          <w:i/>
          <w:szCs w:val="24"/>
        </w:rPr>
        <w:t>Act</w:t>
      </w:r>
      <w:r w:rsidR="007B0247">
        <w:rPr>
          <w:i/>
          <w:szCs w:val="24"/>
        </w:rPr>
        <w:t> </w:t>
      </w:r>
      <w:r w:rsidR="006C2AE4" w:rsidRPr="00CB0151">
        <w:rPr>
          <w:i/>
          <w:szCs w:val="24"/>
        </w:rPr>
        <w:t>2001</w:t>
      </w:r>
      <w:r w:rsidRPr="00CB0151">
        <w:rPr>
          <w:szCs w:val="24"/>
        </w:rPr>
        <w:t>.</w:t>
      </w:r>
    </w:p>
    <w:p w14:paraId="559DD52A" w14:textId="77777777" w:rsidR="00E04F0E" w:rsidRPr="00CB0151" w:rsidRDefault="00E04F0E" w:rsidP="00E04F0E">
      <w:pPr>
        <w:pStyle w:val="LI-Heading2"/>
        <w:spacing w:before="240"/>
        <w:rPr>
          <w:szCs w:val="24"/>
        </w:rPr>
      </w:pPr>
      <w:bookmarkStart w:id="8" w:name="_Toc443660973"/>
      <w:r w:rsidRPr="00CB0151">
        <w:rPr>
          <w:szCs w:val="24"/>
        </w:rPr>
        <w:t>4</w:t>
      </w:r>
      <w:r w:rsidRPr="00CB0151">
        <w:rPr>
          <w:szCs w:val="24"/>
        </w:rPr>
        <w:tab/>
        <w:t>Definitions</w:t>
      </w:r>
      <w:bookmarkEnd w:id="8"/>
    </w:p>
    <w:p w14:paraId="559DD52B" w14:textId="4F59BE81" w:rsidR="00E04F0E" w:rsidRDefault="00E04F0E" w:rsidP="00E04F0E">
      <w:pPr>
        <w:pStyle w:val="LI-BodyTextUnnumbered"/>
      </w:pPr>
      <w:r w:rsidRPr="00CB0151">
        <w:t>In this instrument:</w:t>
      </w:r>
    </w:p>
    <w:p w14:paraId="749C7B34" w14:textId="7DF9A8F9" w:rsidR="00302DCF" w:rsidRDefault="00E01E58" w:rsidP="00302DCF">
      <w:pPr>
        <w:pStyle w:val="LI-BodyTextUnnumbered"/>
      </w:pPr>
      <w:r w:rsidRPr="00E01E58">
        <w:rPr>
          <w:b/>
          <w:i/>
        </w:rPr>
        <w:t>Act</w:t>
      </w:r>
      <w:r>
        <w:t xml:space="preserve"> means the </w:t>
      </w:r>
      <w:r w:rsidRPr="00E01E58">
        <w:rPr>
          <w:i/>
        </w:rPr>
        <w:t>Corporations Act 2001</w:t>
      </w:r>
      <w:r>
        <w:t>.</w:t>
      </w:r>
    </w:p>
    <w:p w14:paraId="6EC76074" w14:textId="0A628A13" w:rsidR="00785AD3" w:rsidRPr="00302DCF" w:rsidRDefault="00785AD3" w:rsidP="00302DCF">
      <w:pPr>
        <w:pStyle w:val="LI-BodyTextUnnumbered"/>
        <w:sectPr w:rsidR="00785AD3" w:rsidRPr="00302DCF" w:rsidSect="00E61E0D">
          <w:headerReference w:type="even" r:id="rId25"/>
          <w:headerReference w:type="default" r:id="rId26"/>
          <w:footerReference w:type="even" r:id="rId27"/>
          <w:headerReference w:type="first" r:id="rId28"/>
          <w:footerReference w:type="first" r:id="rId29"/>
          <w:pgSz w:w="11907" w:h="16839" w:code="9"/>
          <w:pgMar w:top="1534" w:right="1797" w:bottom="1440" w:left="1797" w:header="720" w:footer="709" w:gutter="0"/>
          <w:cols w:space="708"/>
          <w:docGrid w:linePitch="360"/>
        </w:sectPr>
      </w:pPr>
      <w:r w:rsidRPr="00785AD3">
        <w:rPr>
          <w:b/>
          <w:i/>
        </w:rPr>
        <w:t>Regulations</w:t>
      </w:r>
      <w:r>
        <w:t xml:space="preserve"> means the </w:t>
      </w:r>
      <w:r w:rsidRPr="00785AD3">
        <w:rPr>
          <w:i/>
        </w:rPr>
        <w:t>Corporations Regulations 2001</w:t>
      </w:r>
      <w:r>
        <w:t>.</w:t>
      </w:r>
    </w:p>
    <w:p w14:paraId="559DD52F" w14:textId="4C1E1A2E" w:rsidR="00E04F0E" w:rsidRPr="00CB0151" w:rsidRDefault="00E04F0E" w:rsidP="00E04F0E">
      <w:pPr>
        <w:pStyle w:val="LI-Heading1"/>
      </w:pPr>
      <w:bookmarkStart w:id="9" w:name="_Toc402774026"/>
      <w:bookmarkStart w:id="10" w:name="_Toc443660974"/>
      <w:r w:rsidRPr="00CB0151">
        <w:lastRenderedPageBreak/>
        <w:t>Part 2—</w:t>
      </w:r>
      <w:bookmarkEnd w:id="9"/>
      <w:r w:rsidR="006C2AE4" w:rsidRPr="00CB0151">
        <w:t>Declaration</w:t>
      </w:r>
      <w:bookmarkEnd w:id="10"/>
    </w:p>
    <w:p w14:paraId="559DD530" w14:textId="05BEE421" w:rsidR="006C2AE4" w:rsidRPr="00CB0151" w:rsidRDefault="00E01E58" w:rsidP="006C2AE4">
      <w:pPr>
        <w:pStyle w:val="LI-Heading2"/>
      </w:pPr>
      <w:bookmarkStart w:id="11" w:name="_Toc402774030"/>
      <w:bookmarkStart w:id="12" w:name="_Toc443660975"/>
      <w:r>
        <w:t>5</w:t>
      </w:r>
      <w:r w:rsidR="006C2AE4" w:rsidRPr="00CB0151">
        <w:tab/>
      </w:r>
      <w:r w:rsidR="00302DCF">
        <w:t>R</w:t>
      </w:r>
      <w:r w:rsidR="006C2AE4" w:rsidRPr="00CB0151">
        <w:t>egulated acquisitions through certain superannuation funds</w:t>
      </w:r>
      <w:bookmarkEnd w:id="11"/>
      <w:bookmarkEnd w:id="12"/>
    </w:p>
    <w:p w14:paraId="559DD532" w14:textId="09497AA5" w:rsidR="006C2AE4" w:rsidRPr="00CB0151" w:rsidRDefault="006C2AE4" w:rsidP="009D023A">
      <w:pPr>
        <w:pStyle w:val="LI-BodyTextNumbered"/>
        <w:ind w:left="567" w:firstLine="0"/>
        <w:rPr>
          <w:b/>
          <w:lang w:val="en"/>
        </w:rPr>
      </w:pPr>
      <w:r w:rsidRPr="00CB0151">
        <w:rPr>
          <w:lang w:val="en"/>
        </w:rPr>
        <w:t xml:space="preserve">Part 7.9 of the Act applies </w:t>
      </w:r>
      <w:r w:rsidR="00947E9C">
        <w:rPr>
          <w:lang w:val="en"/>
        </w:rPr>
        <w:t xml:space="preserve">in relation to </w:t>
      </w:r>
      <w:r w:rsidR="00947E9C" w:rsidRPr="00F36CCF">
        <w:rPr>
          <w:lang w:val="en"/>
        </w:rPr>
        <w:t xml:space="preserve">all persons </w:t>
      </w:r>
      <w:r w:rsidR="00947E9C">
        <w:rPr>
          <w:lang w:val="en"/>
        </w:rPr>
        <w:t xml:space="preserve">as if </w:t>
      </w:r>
      <w:r w:rsidRPr="00CB0151">
        <w:rPr>
          <w:lang w:val="en"/>
        </w:rPr>
        <w:t xml:space="preserve">provisions in that Part were modified or varied </w:t>
      </w:r>
      <w:r w:rsidR="00947E9C">
        <w:rPr>
          <w:lang w:val="en"/>
        </w:rPr>
        <w:t>as follows</w:t>
      </w:r>
      <w:r w:rsidRPr="00CB0151">
        <w:rPr>
          <w:lang w:val="en"/>
        </w:rPr>
        <w:t>:</w:t>
      </w:r>
    </w:p>
    <w:p w14:paraId="1764BABA" w14:textId="77777777" w:rsidR="00947E9C" w:rsidRDefault="00947E9C" w:rsidP="009D023A">
      <w:pPr>
        <w:pStyle w:val="LI-BodyTextNumbered"/>
        <w:spacing w:before="0"/>
        <w:rPr>
          <w:lang w:val="en"/>
        </w:rPr>
      </w:pPr>
    </w:p>
    <w:p w14:paraId="2ECB0475" w14:textId="239C4FE6" w:rsidR="00DC2E83" w:rsidRPr="00CB0151" w:rsidRDefault="00DC2E83" w:rsidP="006B2971">
      <w:pPr>
        <w:spacing w:after="0" w:line="240" w:lineRule="auto"/>
        <w:ind w:left="1134" w:hanging="567"/>
        <w:jc w:val="both"/>
        <w:rPr>
          <w:rFonts w:ascii="Times New Roman" w:hAnsi="Times New Roman" w:cs="Times New Roman"/>
          <w:sz w:val="24"/>
          <w:szCs w:val="24"/>
        </w:rPr>
      </w:pPr>
      <w:r w:rsidRPr="00CB0151">
        <w:rPr>
          <w:rFonts w:ascii="Times New Roman" w:hAnsi="Times New Roman" w:cs="Times New Roman"/>
          <w:sz w:val="24"/>
          <w:szCs w:val="24"/>
        </w:rPr>
        <w:t>(</w:t>
      </w:r>
      <w:r w:rsidR="00785AD3">
        <w:rPr>
          <w:rFonts w:ascii="Times New Roman" w:hAnsi="Times New Roman" w:cs="Times New Roman"/>
          <w:sz w:val="24"/>
          <w:szCs w:val="24"/>
        </w:rPr>
        <w:t>a</w:t>
      </w:r>
      <w:r w:rsidRPr="00CB0151">
        <w:rPr>
          <w:rFonts w:ascii="Times New Roman" w:hAnsi="Times New Roman" w:cs="Times New Roman"/>
          <w:sz w:val="24"/>
          <w:szCs w:val="24"/>
        </w:rPr>
        <w:t>)</w:t>
      </w:r>
      <w:r w:rsidRPr="00CB0151">
        <w:rPr>
          <w:rFonts w:ascii="Times New Roman" w:hAnsi="Times New Roman" w:cs="Times New Roman"/>
          <w:sz w:val="24"/>
          <w:szCs w:val="24"/>
        </w:rPr>
        <w:tab/>
        <w:t>after section 1011B insert:</w:t>
      </w:r>
    </w:p>
    <w:p w14:paraId="3D76CCC1" w14:textId="77777777" w:rsidR="00DC2E83" w:rsidRPr="00CB0151" w:rsidRDefault="00DC2E83" w:rsidP="00DC2E83">
      <w:pPr>
        <w:spacing w:after="0" w:line="240" w:lineRule="auto"/>
        <w:jc w:val="both"/>
        <w:rPr>
          <w:rFonts w:ascii="Times New Roman" w:hAnsi="Times New Roman" w:cs="Times New Roman"/>
          <w:sz w:val="24"/>
          <w:szCs w:val="24"/>
        </w:rPr>
      </w:pPr>
    </w:p>
    <w:p w14:paraId="1199D033" w14:textId="77777777" w:rsidR="00DC2E83" w:rsidRPr="00CB0151" w:rsidRDefault="00DC2E83" w:rsidP="006B2971">
      <w:pPr>
        <w:spacing w:after="0" w:line="240" w:lineRule="auto"/>
        <w:ind w:left="2160" w:hanging="1026"/>
        <w:jc w:val="both"/>
        <w:rPr>
          <w:rFonts w:ascii="Times New Roman" w:hAnsi="Times New Roman" w:cs="Times New Roman"/>
          <w:b/>
          <w:bCs/>
          <w:sz w:val="24"/>
          <w:szCs w:val="24"/>
          <w:lang w:val="en-US"/>
        </w:rPr>
      </w:pPr>
      <w:r w:rsidRPr="00CB0151">
        <w:rPr>
          <w:rFonts w:ascii="Times New Roman" w:hAnsi="Times New Roman" w:cs="Times New Roman"/>
          <w:sz w:val="24"/>
          <w:szCs w:val="24"/>
          <w:lang w:val="en-US"/>
        </w:rPr>
        <w:t>“</w:t>
      </w:r>
      <w:r w:rsidRPr="00CB0151">
        <w:rPr>
          <w:rFonts w:ascii="Times New Roman" w:hAnsi="Times New Roman" w:cs="Times New Roman"/>
          <w:b/>
          <w:bCs/>
          <w:sz w:val="24"/>
          <w:szCs w:val="24"/>
          <w:lang w:val="en-US"/>
        </w:rPr>
        <w:t>1011BA</w:t>
      </w:r>
      <w:r w:rsidRPr="00CB0151">
        <w:rPr>
          <w:rFonts w:ascii="Times New Roman" w:hAnsi="Times New Roman" w:cs="Times New Roman"/>
          <w:b/>
          <w:bCs/>
          <w:sz w:val="24"/>
          <w:szCs w:val="24"/>
          <w:lang w:val="en-US"/>
        </w:rPr>
        <w:tab/>
        <w:t>Definitions relating to regulated acquisitions of financial products by superannuation trustees</w:t>
      </w:r>
    </w:p>
    <w:p w14:paraId="54D4DDF6" w14:textId="77777777" w:rsidR="00DC2E83" w:rsidRPr="00CB0151" w:rsidRDefault="00DC2E83" w:rsidP="00DC2E83">
      <w:pPr>
        <w:spacing w:after="0" w:line="240" w:lineRule="auto"/>
        <w:ind w:left="2160" w:hanging="1440"/>
        <w:jc w:val="both"/>
        <w:rPr>
          <w:rFonts w:ascii="Times New Roman" w:hAnsi="Times New Roman" w:cs="Times New Roman"/>
          <w:sz w:val="24"/>
          <w:szCs w:val="24"/>
        </w:rPr>
      </w:pPr>
    </w:p>
    <w:p w14:paraId="0554115E" w14:textId="77777777" w:rsidR="00DC2E83" w:rsidRPr="00CB0151" w:rsidRDefault="00DC2E83" w:rsidP="00785AD3">
      <w:pPr>
        <w:spacing w:after="0" w:line="240" w:lineRule="auto"/>
        <w:ind w:left="1418"/>
        <w:rPr>
          <w:rFonts w:ascii="Times New Roman" w:hAnsi="Times New Roman" w:cs="Times New Roman"/>
          <w:sz w:val="24"/>
          <w:szCs w:val="24"/>
          <w:lang w:val="en-US"/>
        </w:rPr>
      </w:pPr>
      <w:r w:rsidRPr="00CB0151">
        <w:rPr>
          <w:rFonts w:ascii="Times New Roman" w:hAnsi="Times New Roman" w:cs="Times New Roman"/>
          <w:sz w:val="24"/>
          <w:szCs w:val="24"/>
          <w:lang w:val="en-US"/>
        </w:rPr>
        <w:t>In this Division and section 1017CA:</w:t>
      </w:r>
    </w:p>
    <w:p w14:paraId="052B0550" w14:textId="77777777" w:rsidR="00DC2E83" w:rsidRPr="00CB0151" w:rsidRDefault="00DC2E83" w:rsidP="00785AD3">
      <w:pPr>
        <w:spacing w:after="0" w:line="240" w:lineRule="auto"/>
        <w:ind w:left="1418" w:firstLine="720"/>
        <w:rPr>
          <w:rFonts w:ascii="Times New Roman" w:hAnsi="Times New Roman" w:cs="Times New Roman"/>
          <w:sz w:val="24"/>
          <w:szCs w:val="24"/>
        </w:rPr>
      </w:pPr>
    </w:p>
    <w:p w14:paraId="5E779073" w14:textId="30AF9630" w:rsidR="00DC2E83" w:rsidRDefault="00DC2E83" w:rsidP="00785AD3">
      <w:pPr>
        <w:spacing w:after="0" w:line="240" w:lineRule="auto"/>
        <w:ind w:left="1418"/>
        <w:rPr>
          <w:rFonts w:ascii="Times New Roman" w:hAnsi="Times New Roman" w:cs="Times New Roman"/>
          <w:sz w:val="24"/>
          <w:szCs w:val="24"/>
          <w:lang w:val="en-US"/>
        </w:rPr>
      </w:pPr>
      <w:r w:rsidRPr="00CB0151">
        <w:rPr>
          <w:rFonts w:ascii="Times New Roman" w:hAnsi="Times New Roman" w:cs="Times New Roman"/>
          <w:b/>
          <w:bCs/>
          <w:i/>
          <w:iCs/>
          <w:sz w:val="24"/>
          <w:szCs w:val="24"/>
          <w:lang w:val="en-US"/>
        </w:rPr>
        <w:t>accessible financial product</w:t>
      </w:r>
      <w:r w:rsidRPr="00CB0151">
        <w:rPr>
          <w:rFonts w:ascii="Times New Roman" w:hAnsi="Times New Roman" w:cs="Times New Roman"/>
          <w:i/>
          <w:iCs/>
          <w:sz w:val="24"/>
          <w:szCs w:val="24"/>
          <w:lang w:val="en-US"/>
        </w:rPr>
        <w:t xml:space="preserve"> </w:t>
      </w:r>
      <w:r w:rsidRPr="00CB0151">
        <w:rPr>
          <w:rFonts w:ascii="Times New Roman" w:hAnsi="Times New Roman" w:cs="Times New Roman"/>
          <w:sz w:val="24"/>
          <w:szCs w:val="24"/>
          <w:lang w:val="en-US"/>
        </w:rPr>
        <w:t xml:space="preserve">has the meaning given </w:t>
      </w:r>
      <w:r w:rsidR="006B2971">
        <w:rPr>
          <w:rFonts w:ascii="Times New Roman" w:hAnsi="Times New Roman" w:cs="Times New Roman"/>
          <w:sz w:val="24"/>
          <w:szCs w:val="24"/>
          <w:lang w:val="en-US"/>
        </w:rPr>
        <w:t>by</w:t>
      </w:r>
      <w:r w:rsidRPr="00CB0151">
        <w:rPr>
          <w:rFonts w:ascii="Times New Roman" w:hAnsi="Times New Roman" w:cs="Times New Roman"/>
          <w:sz w:val="24"/>
          <w:szCs w:val="24"/>
          <w:lang w:val="en-US"/>
        </w:rPr>
        <w:t xml:space="preserve"> section 1013FB.</w:t>
      </w:r>
    </w:p>
    <w:p w14:paraId="3F1ED492" w14:textId="77777777" w:rsidR="006B2971" w:rsidRPr="00CB0151" w:rsidRDefault="006B2971" w:rsidP="00785AD3">
      <w:pPr>
        <w:spacing w:after="0" w:line="240" w:lineRule="auto"/>
        <w:ind w:left="1418"/>
        <w:rPr>
          <w:rFonts w:ascii="Times New Roman" w:hAnsi="Times New Roman" w:cs="Times New Roman"/>
          <w:sz w:val="24"/>
          <w:szCs w:val="24"/>
        </w:rPr>
      </w:pPr>
    </w:p>
    <w:p w14:paraId="2BED6312" w14:textId="6E409C4F" w:rsidR="00DC2E83" w:rsidRDefault="00DC2E83" w:rsidP="00785AD3">
      <w:pPr>
        <w:spacing w:after="0" w:line="240" w:lineRule="auto"/>
        <w:ind w:left="1418"/>
        <w:rPr>
          <w:rFonts w:ascii="Times New Roman" w:hAnsi="Times New Roman" w:cs="Times New Roman"/>
          <w:sz w:val="24"/>
          <w:szCs w:val="24"/>
          <w:lang w:val="en-US"/>
        </w:rPr>
      </w:pPr>
      <w:r w:rsidRPr="00CB0151">
        <w:rPr>
          <w:rFonts w:ascii="Times New Roman" w:hAnsi="Times New Roman" w:cs="Times New Roman"/>
          <w:b/>
          <w:bCs/>
          <w:i/>
          <w:iCs/>
          <w:sz w:val="24"/>
          <w:szCs w:val="24"/>
          <w:lang w:val="en-US"/>
        </w:rPr>
        <w:t xml:space="preserve">additional acquisition </w:t>
      </w:r>
      <w:r w:rsidRPr="00CB0151">
        <w:rPr>
          <w:rFonts w:ascii="Times New Roman" w:hAnsi="Times New Roman" w:cs="Times New Roman"/>
          <w:sz w:val="24"/>
          <w:szCs w:val="24"/>
          <w:lang w:val="en-US"/>
        </w:rPr>
        <w:t xml:space="preserve">has the meaning given </w:t>
      </w:r>
      <w:r w:rsidR="006B2971">
        <w:rPr>
          <w:rFonts w:ascii="Times New Roman" w:hAnsi="Times New Roman" w:cs="Times New Roman"/>
          <w:sz w:val="24"/>
          <w:szCs w:val="24"/>
          <w:lang w:val="en-US"/>
        </w:rPr>
        <w:t>by</w:t>
      </w:r>
      <w:r w:rsidRPr="00CB0151">
        <w:rPr>
          <w:rFonts w:ascii="Times New Roman" w:hAnsi="Times New Roman" w:cs="Times New Roman"/>
          <w:sz w:val="24"/>
          <w:szCs w:val="24"/>
          <w:lang w:val="en-US"/>
        </w:rPr>
        <w:t xml:space="preserve"> subsection 1012IA(1).</w:t>
      </w:r>
    </w:p>
    <w:p w14:paraId="1CCDCAA5" w14:textId="77777777" w:rsidR="006B2971" w:rsidRPr="00CB0151" w:rsidRDefault="006B2971" w:rsidP="00785AD3">
      <w:pPr>
        <w:spacing w:after="0" w:line="240" w:lineRule="auto"/>
        <w:ind w:left="1418"/>
        <w:rPr>
          <w:rFonts w:ascii="Times New Roman" w:hAnsi="Times New Roman" w:cs="Times New Roman"/>
          <w:sz w:val="24"/>
          <w:szCs w:val="24"/>
        </w:rPr>
      </w:pPr>
    </w:p>
    <w:p w14:paraId="7B2DB356" w14:textId="77777777" w:rsidR="00F36CCF" w:rsidRDefault="00DC2E83" w:rsidP="00785AD3">
      <w:pPr>
        <w:spacing w:after="0" w:line="240" w:lineRule="auto"/>
        <w:ind w:left="1418"/>
        <w:rPr>
          <w:rFonts w:ascii="Times New Roman" w:hAnsi="Times New Roman" w:cs="Times New Roman"/>
          <w:sz w:val="24"/>
          <w:szCs w:val="24"/>
          <w:lang w:val="en-US"/>
        </w:rPr>
      </w:pPr>
      <w:r w:rsidRPr="00CB0151">
        <w:rPr>
          <w:rFonts w:ascii="Times New Roman" w:hAnsi="Times New Roman" w:cs="Times New Roman"/>
          <w:b/>
          <w:bCs/>
          <w:i/>
          <w:iCs/>
          <w:sz w:val="24"/>
          <w:szCs w:val="24"/>
          <w:lang w:val="en-US"/>
        </w:rPr>
        <w:t>equivalent direct acquisition</w:t>
      </w:r>
      <w:r w:rsidRPr="00CB0151">
        <w:rPr>
          <w:rFonts w:ascii="Times New Roman" w:hAnsi="Times New Roman" w:cs="Times New Roman"/>
          <w:i/>
          <w:iCs/>
          <w:sz w:val="24"/>
          <w:szCs w:val="24"/>
          <w:lang w:val="en-US"/>
        </w:rPr>
        <w:t xml:space="preserve"> </w:t>
      </w:r>
      <w:r w:rsidRPr="00CB0151">
        <w:rPr>
          <w:rFonts w:ascii="Times New Roman" w:hAnsi="Times New Roman" w:cs="Times New Roman"/>
          <w:sz w:val="24"/>
          <w:szCs w:val="24"/>
          <w:lang w:val="en-US"/>
        </w:rPr>
        <w:t xml:space="preserve">has the meaning given </w:t>
      </w:r>
      <w:r w:rsidR="006B2971">
        <w:rPr>
          <w:rFonts w:ascii="Times New Roman" w:hAnsi="Times New Roman" w:cs="Times New Roman"/>
          <w:sz w:val="24"/>
          <w:szCs w:val="24"/>
          <w:lang w:val="en-US"/>
        </w:rPr>
        <w:t>by</w:t>
      </w:r>
      <w:r w:rsidRPr="00CB0151">
        <w:rPr>
          <w:rFonts w:ascii="Times New Roman" w:hAnsi="Times New Roman" w:cs="Times New Roman"/>
          <w:sz w:val="24"/>
          <w:szCs w:val="24"/>
          <w:lang w:val="en-US"/>
        </w:rPr>
        <w:t xml:space="preserve"> subsection</w:t>
      </w:r>
      <w:r w:rsidR="006B2971">
        <w:rPr>
          <w:rFonts w:ascii="Times New Roman" w:hAnsi="Times New Roman" w:cs="Times New Roman"/>
          <w:sz w:val="24"/>
          <w:szCs w:val="24"/>
          <w:lang w:val="en-US"/>
        </w:rPr>
        <w:t> </w:t>
      </w:r>
      <w:r w:rsidRPr="00CB0151">
        <w:rPr>
          <w:rFonts w:ascii="Times New Roman" w:hAnsi="Times New Roman" w:cs="Times New Roman"/>
          <w:sz w:val="24"/>
          <w:szCs w:val="24"/>
          <w:lang w:val="en-US"/>
        </w:rPr>
        <w:t>1012IA(2).</w:t>
      </w:r>
    </w:p>
    <w:p w14:paraId="4CFE7478" w14:textId="2345EABF" w:rsidR="00DC2E83" w:rsidRDefault="00DC2E83" w:rsidP="00785AD3">
      <w:pPr>
        <w:spacing w:after="0" w:line="240" w:lineRule="auto"/>
        <w:ind w:left="1418"/>
        <w:rPr>
          <w:rFonts w:ascii="Times New Roman" w:hAnsi="Times New Roman" w:cs="Times New Roman"/>
          <w:sz w:val="24"/>
          <w:szCs w:val="24"/>
          <w:lang w:val="en-US"/>
        </w:rPr>
      </w:pPr>
      <w:r w:rsidRPr="00CB0151">
        <w:rPr>
          <w:rFonts w:ascii="Times New Roman" w:hAnsi="Times New Roman" w:cs="Times New Roman"/>
          <w:sz w:val="24"/>
          <w:szCs w:val="24"/>
          <w:lang w:val="en-US"/>
        </w:rPr>
        <w:t xml:space="preserve"> </w:t>
      </w:r>
    </w:p>
    <w:p w14:paraId="624B00CA" w14:textId="2433DA19" w:rsidR="00DC2E83" w:rsidRDefault="00DC2E83" w:rsidP="00785AD3">
      <w:pPr>
        <w:spacing w:after="0" w:line="240" w:lineRule="auto"/>
        <w:ind w:left="1418"/>
        <w:rPr>
          <w:rFonts w:ascii="Times New Roman" w:hAnsi="Times New Roman" w:cs="Times New Roman"/>
          <w:sz w:val="24"/>
          <w:szCs w:val="24"/>
          <w:lang w:val="en-US"/>
        </w:rPr>
      </w:pPr>
      <w:r w:rsidRPr="00CB0151">
        <w:rPr>
          <w:rFonts w:ascii="Times New Roman" w:hAnsi="Times New Roman" w:cs="Times New Roman"/>
          <w:b/>
          <w:bCs/>
          <w:i/>
          <w:iCs/>
          <w:sz w:val="24"/>
          <w:szCs w:val="24"/>
          <w:lang w:val="en-US"/>
        </w:rPr>
        <w:t>regulated acquisition</w:t>
      </w:r>
      <w:r w:rsidRPr="00CB0151">
        <w:rPr>
          <w:rFonts w:ascii="Times New Roman" w:hAnsi="Times New Roman" w:cs="Times New Roman"/>
          <w:sz w:val="24"/>
          <w:szCs w:val="24"/>
          <w:lang w:val="en-US"/>
        </w:rPr>
        <w:t xml:space="preserve"> has the meaning given </w:t>
      </w:r>
      <w:r w:rsidR="00FA6B55">
        <w:rPr>
          <w:rFonts w:ascii="Times New Roman" w:hAnsi="Times New Roman" w:cs="Times New Roman"/>
          <w:sz w:val="24"/>
          <w:szCs w:val="24"/>
          <w:lang w:val="en-US"/>
        </w:rPr>
        <w:t>by</w:t>
      </w:r>
      <w:r w:rsidRPr="00CB0151">
        <w:rPr>
          <w:rFonts w:ascii="Times New Roman" w:hAnsi="Times New Roman" w:cs="Times New Roman"/>
          <w:sz w:val="24"/>
          <w:szCs w:val="24"/>
          <w:lang w:val="en-US"/>
        </w:rPr>
        <w:t xml:space="preserve"> </w:t>
      </w:r>
      <w:r w:rsidR="00CB6A3D">
        <w:rPr>
          <w:rFonts w:ascii="Times New Roman" w:hAnsi="Times New Roman" w:cs="Times New Roman"/>
          <w:sz w:val="24"/>
          <w:szCs w:val="24"/>
          <w:lang w:val="en-US"/>
        </w:rPr>
        <w:t>sub</w:t>
      </w:r>
      <w:r w:rsidRPr="00CB0151">
        <w:rPr>
          <w:rFonts w:ascii="Times New Roman" w:hAnsi="Times New Roman" w:cs="Times New Roman"/>
          <w:sz w:val="24"/>
          <w:szCs w:val="24"/>
          <w:lang w:val="en-US"/>
        </w:rPr>
        <w:t>section 1012IA</w:t>
      </w:r>
      <w:r w:rsidR="00CB6A3D">
        <w:rPr>
          <w:rFonts w:ascii="Times New Roman" w:hAnsi="Times New Roman" w:cs="Times New Roman"/>
          <w:sz w:val="24"/>
          <w:szCs w:val="24"/>
          <w:lang w:val="en-US"/>
        </w:rPr>
        <w:t>(1)</w:t>
      </w:r>
      <w:r w:rsidRPr="00CB0151">
        <w:rPr>
          <w:rFonts w:ascii="Times New Roman" w:hAnsi="Times New Roman" w:cs="Times New Roman"/>
          <w:sz w:val="24"/>
          <w:szCs w:val="24"/>
          <w:lang w:val="en-US"/>
        </w:rPr>
        <w:t>.</w:t>
      </w:r>
      <w:r w:rsidR="00F36CCF">
        <w:rPr>
          <w:rFonts w:ascii="Times New Roman" w:hAnsi="Times New Roman" w:cs="Times New Roman"/>
          <w:sz w:val="24"/>
          <w:szCs w:val="24"/>
          <w:lang w:val="en-US"/>
        </w:rPr>
        <w:t>”;</w:t>
      </w:r>
    </w:p>
    <w:p w14:paraId="32E6CF6D" w14:textId="77777777" w:rsidR="00DC2E83" w:rsidRPr="00CB0151" w:rsidRDefault="00DC2E83" w:rsidP="00DC2E83">
      <w:pPr>
        <w:spacing w:after="0" w:line="240" w:lineRule="auto"/>
        <w:ind w:firstLine="720"/>
        <w:jc w:val="both"/>
        <w:rPr>
          <w:rFonts w:ascii="Times New Roman" w:hAnsi="Times New Roman" w:cs="Times New Roman"/>
          <w:sz w:val="24"/>
          <w:szCs w:val="24"/>
        </w:rPr>
      </w:pPr>
    </w:p>
    <w:p w14:paraId="345D821E" w14:textId="4D87ABC7" w:rsidR="00A866A1" w:rsidRDefault="00A866A1" w:rsidP="009D023A">
      <w:pPr>
        <w:spacing w:after="0" w:line="240" w:lineRule="auto"/>
        <w:ind w:left="1134" w:hanging="567"/>
        <w:rPr>
          <w:rFonts w:ascii="Times New Roman" w:hAnsi="Times New Roman" w:cs="Times New Roman"/>
          <w:sz w:val="24"/>
          <w:szCs w:val="24"/>
          <w:lang w:val="en"/>
        </w:rPr>
      </w:pPr>
      <w:r w:rsidRPr="00CB0151">
        <w:rPr>
          <w:rFonts w:ascii="Times New Roman" w:hAnsi="Times New Roman" w:cs="Times New Roman"/>
          <w:sz w:val="24"/>
          <w:szCs w:val="24"/>
          <w:lang w:val="en"/>
        </w:rPr>
        <w:t>(</w:t>
      </w:r>
      <w:r w:rsidR="00785AD3">
        <w:rPr>
          <w:rFonts w:ascii="Times New Roman" w:hAnsi="Times New Roman" w:cs="Times New Roman"/>
          <w:sz w:val="24"/>
          <w:szCs w:val="24"/>
          <w:lang w:val="en"/>
        </w:rPr>
        <w:t>b</w:t>
      </w:r>
      <w:r w:rsidRPr="00CB0151">
        <w:rPr>
          <w:rFonts w:ascii="Times New Roman" w:hAnsi="Times New Roman" w:cs="Times New Roman"/>
          <w:sz w:val="24"/>
          <w:szCs w:val="24"/>
          <w:lang w:val="en"/>
        </w:rPr>
        <w:t>)</w:t>
      </w:r>
      <w:r w:rsidRPr="00CB0151">
        <w:rPr>
          <w:rFonts w:ascii="Times New Roman" w:hAnsi="Times New Roman" w:cs="Times New Roman"/>
          <w:sz w:val="24"/>
          <w:szCs w:val="24"/>
          <w:lang w:val="en"/>
        </w:rPr>
        <w:tab/>
        <w:t xml:space="preserve">in </w:t>
      </w:r>
      <w:r>
        <w:rPr>
          <w:rFonts w:ascii="Times New Roman" w:hAnsi="Times New Roman" w:cs="Times New Roman"/>
          <w:sz w:val="24"/>
          <w:szCs w:val="24"/>
          <w:lang w:val="en"/>
        </w:rPr>
        <w:t>section 1012IA:</w:t>
      </w:r>
    </w:p>
    <w:p w14:paraId="28724841" w14:textId="77777777" w:rsidR="00A866A1" w:rsidRDefault="00A866A1" w:rsidP="009D023A">
      <w:pPr>
        <w:spacing w:after="0" w:line="240" w:lineRule="auto"/>
        <w:ind w:left="1134" w:hanging="567"/>
        <w:rPr>
          <w:rFonts w:ascii="Times New Roman" w:hAnsi="Times New Roman" w:cs="Times New Roman"/>
          <w:sz w:val="24"/>
          <w:szCs w:val="24"/>
          <w:lang w:val="en"/>
        </w:rPr>
      </w:pPr>
    </w:p>
    <w:p w14:paraId="207674DE" w14:textId="0AF590F5" w:rsidR="00A866A1" w:rsidRPr="00CB0151" w:rsidRDefault="00A866A1" w:rsidP="009D023A">
      <w:pPr>
        <w:spacing w:after="0" w:line="240" w:lineRule="auto"/>
        <w:ind w:left="1701" w:hanging="567"/>
        <w:rPr>
          <w:rFonts w:ascii="Times New Roman" w:hAnsi="Times New Roman" w:cs="Times New Roman"/>
          <w:sz w:val="24"/>
          <w:szCs w:val="24"/>
          <w:lang w:val="en"/>
        </w:rPr>
      </w:pPr>
      <w:r>
        <w:rPr>
          <w:rFonts w:ascii="Times New Roman" w:hAnsi="Times New Roman" w:cs="Times New Roman"/>
          <w:sz w:val="24"/>
          <w:szCs w:val="24"/>
          <w:lang w:val="en"/>
        </w:rPr>
        <w:t>(i)</w:t>
      </w:r>
      <w:r>
        <w:rPr>
          <w:rFonts w:ascii="Times New Roman" w:hAnsi="Times New Roman" w:cs="Times New Roman"/>
          <w:sz w:val="24"/>
          <w:szCs w:val="24"/>
          <w:lang w:val="en"/>
        </w:rPr>
        <w:tab/>
        <w:t xml:space="preserve">in </w:t>
      </w:r>
      <w:r w:rsidRPr="00CB0151">
        <w:rPr>
          <w:rFonts w:ascii="Times New Roman" w:hAnsi="Times New Roman" w:cs="Times New Roman"/>
          <w:sz w:val="24"/>
          <w:szCs w:val="24"/>
          <w:lang w:val="en"/>
        </w:rPr>
        <w:t xml:space="preserve">subsection (1), after the definition of </w:t>
      </w:r>
      <w:r w:rsidRPr="00CB0151">
        <w:rPr>
          <w:rFonts w:ascii="Times New Roman" w:hAnsi="Times New Roman" w:cs="Times New Roman"/>
          <w:b/>
          <w:i/>
          <w:iCs/>
          <w:sz w:val="24"/>
          <w:szCs w:val="24"/>
          <w:lang w:val="en"/>
        </w:rPr>
        <w:t>acquirer</w:t>
      </w:r>
      <w:r w:rsidRPr="00CB0151">
        <w:rPr>
          <w:rFonts w:ascii="Times New Roman" w:hAnsi="Times New Roman" w:cs="Times New Roman"/>
          <w:sz w:val="24"/>
          <w:szCs w:val="24"/>
          <w:lang w:val="en"/>
        </w:rPr>
        <w:t>, insert:</w:t>
      </w:r>
    </w:p>
    <w:p w14:paraId="7B6E1AB2" w14:textId="77777777" w:rsidR="00A866A1" w:rsidRPr="00CB0151" w:rsidRDefault="00A866A1" w:rsidP="009D023A">
      <w:pPr>
        <w:spacing w:after="0" w:line="240" w:lineRule="auto"/>
        <w:rPr>
          <w:rFonts w:ascii="Times New Roman" w:hAnsi="Times New Roman" w:cs="Times New Roman"/>
          <w:sz w:val="24"/>
          <w:szCs w:val="24"/>
          <w:lang w:val="en"/>
        </w:rPr>
      </w:pPr>
    </w:p>
    <w:p w14:paraId="4A032BC1" w14:textId="6883548D" w:rsidR="00A866A1" w:rsidRPr="00CB0151" w:rsidRDefault="009D023A" w:rsidP="009D023A">
      <w:pPr>
        <w:spacing w:after="0" w:line="240" w:lineRule="auto"/>
        <w:ind w:left="1701"/>
        <w:rPr>
          <w:rFonts w:ascii="Times New Roman" w:hAnsi="Times New Roman" w:cs="Times New Roman"/>
          <w:sz w:val="24"/>
          <w:szCs w:val="24"/>
          <w:lang w:val="en"/>
        </w:rPr>
      </w:pPr>
      <w:r w:rsidRPr="009D023A">
        <w:rPr>
          <w:rFonts w:ascii="Times New Roman" w:hAnsi="Times New Roman" w:cs="Times New Roman"/>
          <w:bCs/>
          <w:sz w:val="24"/>
          <w:szCs w:val="24"/>
          <w:lang w:val="en"/>
        </w:rPr>
        <w:t>“</w:t>
      </w:r>
      <w:r>
        <w:rPr>
          <w:rFonts w:ascii="Times New Roman" w:hAnsi="Times New Roman" w:cs="Times New Roman"/>
          <w:b/>
          <w:bCs/>
          <w:i/>
          <w:sz w:val="24"/>
          <w:szCs w:val="24"/>
          <w:lang w:val="en"/>
        </w:rPr>
        <w:t>additional acquisition</w:t>
      </w:r>
      <w:r w:rsidR="00A866A1" w:rsidRPr="00CB0151">
        <w:rPr>
          <w:rFonts w:ascii="Times New Roman" w:hAnsi="Times New Roman" w:cs="Times New Roman"/>
          <w:sz w:val="24"/>
          <w:szCs w:val="24"/>
          <w:lang w:val="en"/>
        </w:rPr>
        <w:t xml:space="preserve">, in relation to </w:t>
      </w:r>
      <w:r w:rsidR="00D76B6F">
        <w:rPr>
          <w:rFonts w:ascii="Times New Roman" w:hAnsi="Times New Roman" w:cs="Times New Roman"/>
          <w:sz w:val="24"/>
          <w:szCs w:val="24"/>
          <w:lang w:val="en"/>
        </w:rPr>
        <w:t xml:space="preserve">a regulated acquisition of a financial product by a provider who is a trustee of a superannuation entity (or another person with whom the provider has an arrangement) in relation to </w:t>
      </w:r>
      <w:r w:rsidR="00A866A1" w:rsidRPr="00CB0151">
        <w:rPr>
          <w:rFonts w:ascii="Times New Roman" w:hAnsi="Times New Roman" w:cs="Times New Roman"/>
          <w:sz w:val="24"/>
          <w:szCs w:val="24"/>
          <w:lang w:val="en"/>
        </w:rPr>
        <w:t xml:space="preserve">a client, </w:t>
      </w:r>
      <w:r>
        <w:rPr>
          <w:rFonts w:ascii="Times New Roman" w:hAnsi="Times New Roman" w:cs="Times New Roman"/>
          <w:sz w:val="24"/>
          <w:szCs w:val="24"/>
          <w:lang w:val="en"/>
        </w:rPr>
        <w:t xml:space="preserve">means </w:t>
      </w:r>
      <w:r w:rsidR="00A866A1" w:rsidRPr="00CB0151">
        <w:rPr>
          <w:rFonts w:ascii="Times New Roman" w:hAnsi="Times New Roman" w:cs="Times New Roman"/>
          <w:sz w:val="24"/>
          <w:szCs w:val="24"/>
          <w:lang w:val="en"/>
        </w:rPr>
        <w:t xml:space="preserve">a regulated acquisition of </w:t>
      </w:r>
      <w:r w:rsidR="00D76B6F">
        <w:rPr>
          <w:rFonts w:ascii="Times New Roman" w:hAnsi="Times New Roman" w:cs="Times New Roman"/>
          <w:sz w:val="24"/>
          <w:szCs w:val="24"/>
          <w:lang w:val="en"/>
        </w:rPr>
        <w:t>the</w:t>
      </w:r>
      <w:r w:rsidR="00A866A1" w:rsidRPr="00CB0151">
        <w:rPr>
          <w:rFonts w:ascii="Times New Roman" w:hAnsi="Times New Roman" w:cs="Times New Roman"/>
          <w:sz w:val="24"/>
          <w:szCs w:val="24"/>
          <w:lang w:val="en"/>
        </w:rPr>
        <w:t xml:space="preserve"> financial product at a time when the provider </w:t>
      </w:r>
      <w:r w:rsidR="00FA6B55">
        <w:rPr>
          <w:rFonts w:ascii="Times New Roman" w:hAnsi="Times New Roman" w:cs="Times New Roman"/>
          <w:sz w:val="24"/>
          <w:szCs w:val="24"/>
          <w:lang w:val="en"/>
        </w:rPr>
        <w:t>(or other person</w:t>
      </w:r>
      <w:r w:rsidR="00D76B6F">
        <w:rPr>
          <w:rFonts w:ascii="Times New Roman" w:hAnsi="Times New Roman" w:cs="Times New Roman"/>
          <w:sz w:val="24"/>
          <w:szCs w:val="24"/>
          <w:lang w:val="en"/>
        </w:rPr>
        <w:t>)</w:t>
      </w:r>
      <w:r w:rsidR="00FA6B55">
        <w:rPr>
          <w:rFonts w:ascii="Times New Roman" w:hAnsi="Times New Roman" w:cs="Times New Roman"/>
          <w:sz w:val="24"/>
          <w:szCs w:val="24"/>
          <w:lang w:val="en"/>
        </w:rPr>
        <w:t xml:space="preserve"> </w:t>
      </w:r>
      <w:r w:rsidR="00A866A1" w:rsidRPr="00CB0151">
        <w:rPr>
          <w:rFonts w:ascii="Times New Roman" w:hAnsi="Times New Roman" w:cs="Times New Roman"/>
          <w:sz w:val="24"/>
          <w:szCs w:val="24"/>
          <w:lang w:val="en"/>
        </w:rPr>
        <w:t>is already holding a financial product of the same kind as a result of an instruction given by the client.”; and</w:t>
      </w:r>
    </w:p>
    <w:p w14:paraId="36E092DA" w14:textId="77777777" w:rsidR="00A866A1" w:rsidRPr="00CB0151" w:rsidRDefault="00A866A1" w:rsidP="009D023A">
      <w:pPr>
        <w:spacing w:after="0" w:line="240" w:lineRule="auto"/>
        <w:rPr>
          <w:rFonts w:ascii="Times New Roman" w:hAnsi="Times New Roman" w:cs="Times New Roman"/>
          <w:sz w:val="24"/>
          <w:szCs w:val="24"/>
          <w:lang w:val="en"/>
        </w:rPr>
      </w:pPr>
    </w:p>
    <w:p w14:paraId="606E975A" w14:textId="042D7D09" w:rsidR="00A866A1" w:rsidRPr="00CB0151" w:rsidRDefault="00A866A1" w:rsidP="009D023A">
      <w:pPr>
        <w:spacing w:after="0" w:line="240" w:lineRule="auto"/>
        <w:ind w:left="1701" w:hanging="567"/>
        <w:rPr>
          <w:rFonts w:ascii="Times New Roman" w:hAnsi="Times New Roman" w:cs="Times New Roman"/>
          <w:sz w:val="24"/>
          <w:szCs w:val="24"/>
          <w:lang w:val="en"/>
        </w:rPr>
      </w:pPr>
      <w:r w:rsidRPr="00CB0151">
        <w:rPr>
          <w:rFonts w:ascii="Times New Roman" w:hAnsi="Times New Roman" w:cs="Times New Roman"/>
          <w:sz w:val="24"/>
          <w:szCs w:val="24"/>
          <w:lang w:val="en"/>
        </w:rPr>
        <w:t>(</w:t>
      </w:r>
      <w:r w:rsidR="009D023A">
        <w:rPr>
          <w:rFonts w:ascii="Times New Roman" w:hAnsi="Times New Roman" w:cs="Times New Roman"/>
          <w:sz w:val="24"/>
          <w:szCs w:val="24"/>
          <w:lang w:val="en"/>
        </w:rPr>
        <w:t>ii</w:t>
      </w:r>
      <w:r w:rsidRPr="00CB0151">
        <w:rPr>
          <w:rFonts w:ascii="Times New Roman" w:hAnsi="Times New Roman" w:cs="Times New Roman"/>
          <w:sz w:val="24"/>
          <w:szCs w:val="24"/>
          <w:lang w:val="en"/>
        </w:rPr>
        <w:t>)</w:t>
      </w:r>
      <w:r w:rsidRPr="00CB0151">
        <w:rPr>
          <w:rFonts w:ascii="Times New Roman" w:hAnsi="Times New Roman" w:cs="Times New Roman"/>
          <w:sz w:val="24"/>
          <w:szCs w:val="24"/>
          <w:lang w:val="en"/>
        </w:rPr>
        <w:tab/>
        <w:t>after subsection (2)</w:t>
      </w:r>
      <w:r w:rsidR="009D023A">
        <w:rPr>
          <w:rFonts w:ascii="Times New Roman" w:hAnsi="Times New Roman" w:cs="Times New Roman"/>
          <w:sz w:val="24"/>
          <w:szCs w:val="24"/>
          <w:lang w:val="en"/>
        </w:rPr>
        <w:t xml:space="preserve"> </w:t>
      </w:r>
      <w:r w:rsidRPr="00CB0151">
        <w:rPr>
          <w:rFonts w:ascii="Times New Roman" w:hAnsi="Times New Roman" w:cs="Times New Roman"/>
          <w:sz w:val="24"/>
          <w:szCs w:val="24"/>
          <w:lang w:val="en"/>
        </w:rPr>
        <w:t>insert:</w:t>
      </w:r>
    </w:p>
    <w:p w14:paraId="0DB12F97" w14:textId="77777777" w:rsidR="00A866A1" w:rsidRPr="00CB0151" w:rsidRDefault="00A866A1" w:rsidP="009D023A">
      <w:pPr>
        <w:spacing w:after="0" w:line="240" w:lineRule="auto"/>
        <w:rPr>
          <w:rFonts w:ascii="Times New Roman" w:hAnsi="Times New Roman" w:cs="Times New Roman"/>
          <w:sz w:val="24"/>
          <w:szCs w:val="24"/>
          <w:lang w:val="en"/>
        </w:rPr>
      </w:pPr>
    </w:p>
    <w:p w14:paraId="617B69CD" w14:textId="59C360FD" w:rsidR="00A866A1" w:rsidRPr="009D023A" w:rsidRDefault="00A866A1" w:rsidP="009D023A">
      <w:pPr>
        <w:spacing w:after="0" w:line="240" w:lineRule="auto"/>
        <w:ind w:left="2552" w:hanging="851"/>
        <w:rPr>
          <w:rFonts w:ascii="Times New Roman" w:hAnsi="Times New Roman" w:cs="Times New Roman"/>
          <w:i/>
          <w:sz w:val="24"/>
          <w:szCs w:val="24"/>
          <w:lang w:val="en"/>
        </w:rPr>
      </w:pPr>
      <w:r w:rsidRPr="00CB0151">
        <w:rPr>
          <w:rFonts w:ascii="Times New Roman" w:hAnsi="Times New Roman" w:cs="Times New Roman"/>
          <w:sz w:val="24"/>
          <w:szCs w:val="24"/>
          <w:lang w:val="en"/>
        </w:rPr>
        <w:t>“</w:t>
      </w:r>
      <w:r w:rsidR="009D023A" w:rsidRPr="009D023A">
        <w:rPr>
          <w:rFonts w:ascii="Times New Roman" w:hAnsi="Times New Roman" w:cs="Times New Roman"/>
          <w:i/>
          <w:sz w:val="24"/>
          <w:szCs w:val="24"/>
          <w:lang w:val="en"/>
        </w:rPr>
        <w:t>A</w:t>
      </w:r>
      <w:r w:rsidRPr="009D023A">
        <w:rPr>
          <w:rFonts w:ascii="Times New Roman" w:hAnsi="Times New Roman" w:cs="Times New Roman"/>
          <w:i/>
          <w:sz w:val="24"/>
          <w:szCs w:val="24"/>
          <w:lang w:val="en"/>
        </w:rPr>
        <w:t>dditional acquisitions by superannuation trustees</w:t>
      </w:r>
    </w:p>
    <w:p w14:paraId="5696D548" w14:textId="77777777" w:rsidR="00A866A1" w:rsidRPr="00CB0151" w:rsidRDefault="00A866A1" w:rsidP="009D023A">
      <w:pPr>
        <w:spacing w:after="0" w:line="240" w:lineRule="auto"/>
        <w:rPr>
          <w:rFonts w:ascii="Times New Roman" w:hAnsi="Times New Roman" w:cs="Times New Roman"/>
          <w:sz w:val="24"/>
          <w:szCs w:val="24"/>
        </w:rPr>
      </w:pPr>
    </w:p>
    <w:p w14:paraId="73811600" w14:textId="0AEFD233" w:rsidR="00A866A1" w:rsidRPr="00CB0151" w:rsidRDefault="001745C1" w:rsidP="001745C1">
      <w:pPr>
        <w:spacing w:after="0" w:line="240" w:lineRule="auto"/>
        <w:ind w:left="2268" w:hanging="567"/>
        <w:rPr>
          <w:rFonts w:ascii="Times New Roman" w:hAnsi="Times New Roman" w:cs="Times New Roman"/>
          <w:sz w:val="24"/>
          <w:szCs w:val="24"/>
          <w:lang w:val="en-US"/>
        </w:rPr>
      </w:pPr>
      <w:r>
        <w:rPr>
          <w:rFonts w:ascii="Times New Roman" w:hAnsi="Times New Roman" w:cs="Times New Roman"/>
          <w:sz w:val="24"/>
          <w:szCs w:val="24"/>
          <w:lang w:val="en-US"/>
        </w:rPr>
        <w:t>(2A)</w:t>
      </w:r>
      <w:r w:rsidR="00A866A1" w:rsidRPr="00CB0151">
        <w:rPr>
          <w:rFonts w:ascii="Times New Roman" w:hAnsi="Times New Roman" w:cs="Times New Roman"/>
          <w:sz w:val="24"/>
          <w:szCs w:val="24"/>
          <w:lang w:val="en-US"/>
        </w:rPr>
        <w:tab/>
        <w:t>A provider who is a trustee of a superannuation entity does not have to comply with subsection (2) in relation to an additional acquisition if at any time before making the acquisition the provider tells the client in writing, and obtains the client’s written acknowledgement, that, at the time an additional acquisition of a financial product occurs, the client may not have received:</w:t>
      </w:r>
    </w:p>
    <w:p w14:paraId="3A35FEF4" w14:textId="77777777" w:rsidR="00A866A1" w:rsidRPr="00CB0151" w:rsidRDefault="00A866A1" w:rsidP="009D023A">
      <w:pPr>
        <w:spacing w:after="0" w:line="240" w:lineRule="auto"/>
        <w:ind w:left="2160" w:hanging="720"/>
        <w:rPr>
          <w:rFonts w:ascii="Times New Roman" w:hAnsi="Times New Roman" w:cs="Times New Roman"/>
          <w:sz w:val="24"/>
          <w:szCs w:val="24"/>
        </w:rPr>
      </w:pPr>
    </w:p>
    <w:p w14:paraId="4482A158" w14:textId="0BC389DD" w:rsidR="00A866A1" w:rsidRPr="00CB0151" w:rsidRDefault="00A866A1" w:rsidP="001745C1">
      <w:pPr>
        <w:spacing w:after="0" w:line="240" w:lineRule="auto"/>
        <w:ind w:left="2835" w:hanging="567"/>
        <w:rPr>
          <w:rFonts w:ascii="Times New Roman" w:hAnsi="Times New Roman" w:cs="Times New Roman"/>
          <w:sz w:val="24"/>
          <w:szCs w:val="24"/>
        </w:rPr>
      </w:pPr>
      <w:r w:rsidRPr="00CB0151">
        <w:rPr>
          <w:rFonts w:ascii="Times New Roman" w:hAnsi="Times New Roman" w:cs="Times New Roman"/>
          <w:sz w:val="24"/>
          <w:szCs w:val="24"/>
          <w:lang w:val="en-US"/>
        </w:rPr>
        <w:t>(</w:t>
      </w:r>
      <w:r w:rsidR="001745C1">
        <w:rPr>
          <w:rFonts w:ascii="Times New Roman" w:hAnsi="Times New Roman" w:cs="Times New Roman"/>
          <w:sz w:val="24"/>
          <w:szCs w:val="24"/>
          <w:lang w:val="en-US"/>
        </w:rPr>
        <w:t>a</w:t>
      </w:r>
      <w:r w:rsidRPr="00CB0151">
        <w:rPr>
          <w:rFonts w:ascii="Times New Roman" w:hAnsi="Times New Roman" w:cs="Times New Roman"/>
          <w:sz w:val="24"/>
          <w:szCs w:val="24"/>
          <w:lang w:val="en-US"/>
        </w:rPr>
        <w:t>)</w:t>
      </w:r>
      <w:r w:rsidRPr="00CB0151">
        <w:rPr>
          <w:rFonts w:ascii="Times New Roman" w:hAnsi="Times New Roman" w:cs="Times New Roman"/>
          <w:sz w:val="24"/>
          <w:szCs w:val="24"/>
          <w:lang w:val="en-US"/>
        </w:rPr>
        <w:tab/>
        <w:t xml:space="preserve">the current Product Disclosure Statement for </w:t>
      </w:r>
      <w:r w:rsidR="001745C1">
        <w:rPr>
          <w:rFonts w:ascii="Times New Roman" w:hAnsi="Times New Roman" w:cs="Times New Roman"/>
          <w:sz w:val="24"/>
          <w:szCs w:val="24"/>
          <w:lang w:val="en-US"/>
        </w:rPr>
        <w:t>the</w:t>
      </w:r>
      <w:r w:rsidRPr="00CB0151">
        <w:rPr>
          <w:rFonts w:ascii="Times New Roman" w:hAnsi="Times New Roman" w:cs="Times New Roman"/>
          <w:sz w:val="24"/>
          <w:szCs w:val="24"/>
          <w:lang w:val="en-US"/>
        </w:rPr>
        <w:t xml:space="preserve"> product; and </w:t>
      </w:r>
    </w:p>
    <w:p w14:paraId="62748A7A" w14:textId="77777777" w:rsidR="00A866A1" w:rsidRPr="00CB0151" w:rsidRDefault="00A866A1" w:rsidP="001745C1">
      <w:pPr>
        <w:spacing w:after="0" w:line="240" w:lineRule="auto"/>
        <w:ind w:left="2835" w:hanging="567"/>
        <w:rPr>
          <w:rFonts w:ascii="Times New Roman" w:hAnsi="Times New Roman" w:cs="Times New Roman"/>
          <w:sz w:val="24"/>
          <w:szCs w:val="24"/>
          <w:lang w:val="en-US"/>
        </w:rPr>
      </w:pPr>
    </w:p>
    <w:p w14:paraId="2BF15E89" w14:textId="2399A1DA" w:rsidR="00A866A1" w:rsidRPr="00CB0151" w:rsidRDefault="00A866A1" w:rsidP="001745C1">
      <w:pPr>
        <w:spacing w:after="0" w:line="240" w:lineRule="auto"/>
        <w:ind w:left="2835" w:hanging="567"/>
        <w:rPr>
          <w:rFonts w:ascii="Times New Roman" w:hAnsi="Times New Roman" w:cs="Times New Roman"/>
          <w:sz w:val="24"/>
          <w:szCs w:val="24"/>
          <w:lang w:val="en-US"/>
        </w:rPr>
      </w:pPr>
      <w:r w:rsidRPr="00CB0151">
        <w:rPr>
          <w:rFonts w:ascii="Times New Roman" w:hAnsi="Times New Roman" w:cs="Times New Roman"/>
          <w:sz w:val="24"/>
          <w:szCs w:val="24"/>
          <w:lang w:val="en-US"/>
        </w:rPr>
        <w:t>(</w:t>
      </w:r>
      <w:r w:rsidR="001745C1">
        <w:rPr>
          <w:rFonts w:ascii="Times New Roman" w:hAnsi="Times New Roman" w:cs="Times New Roman"/>
          <w:sz w:val="24"/>
          <w:szCs w:val="24"/>
          <w:lang w:val="en-US"/>
        </w:rPr>
        <w:t>b</w:t>
      </w:r>
      <w:r w:rsidRPr="00CB0151">
        <w:rPr>
          <w:rFonts w:ascii="Times New Roman" w:hAnsi="Times New Roman" w:cs="Times New Roman"/>
          <w:sz w:val="24"/>
          <w:szCs w:val="24"/>
          <w:lang w:val="en-US"/>
        </w:rPr>
        <w:t>)</w:t>
      </w:r>
      <w:r w:rsidRPr="00CB0151">
        <w:rPr>
          <w:rFonts w:ascii="Times New Roman" w:hAnsi="Times New Roman" w:cs="Times New Roman"/>
          <w:sz w:val="24"/>
          <w:szCs w:val="24"/>
          <w:lang w:val="en-US"/>
        </w:rPr>
        <w:tab/>
        <w:t>the disclosure that subsection 1017B(1) would require the issuer of the product to give to the client if the client had made an equivalent direct acquisition of the product.</w:t>
      </w:r>
    </w:p>
    <w:p w14:paraId="65C47D0B" w14:textId="77777777" w:rsidR="00A866A1" w:rsidRPr="00CB0151" w:rsidRDefault="00A866A1" w:rsidP="009D023A">
      <w:pPr>
        <w:spacing w:after="0" w:line="240" w:lineRule="auto"/>
        <w:ind w:left="2880" w:hanging="720"/>
        <w:rPr>
          <w:rFonts w:ascii="Times New Roman" w:hAnsi="Times New Roman" w:cs="Times New Roman"/>
          <w:sz w:val="24"/>
          <w:szCs w:val="24"/>
        </w:rPr>
      </w:pPr>
    </w:p>
    <w:p w14:paraId="3DFDEF94" w14:textId="77777777" w:rsidR="00A866A1" w:rsidRPr="001745C1" w:rsidRDefault="00A866A1" w:rsidP="001745C1">
      <w:pPr>
        <w:spacing w:after="0" w:line="240" w:lineRule="auto"/>
        <w:ind w:left="2835" w:hanging="567"/>
        <w:rPr>
          <w:rFonts w:ascii="Times New Roman" w:hAnsi="Times New Roman" w:cs="Times New Roman"/>
          <w:sz w:val="20"/>
          <w:szCs w:val="20"/>
        </w:rPr>
      </w:pPr>
      <w:r w:rsidRPr="001745C1">
        <w:rPr>
          <w:rFonts w:ascii="Times New Roman" w:hAnsi="Times New Roman" w:cs="Times New Roman"/>
          <w:sz w:val="20"/>
          <w:szCs w:val="20"/>
        </w:rPr>
        <w:t>Note:</w:t>
      </w:r>
      <w:r w:rsidRPr="001745C1">
        <w:rPr>
          <w:rFonts w:ascii="Times New Roman" w:hAnsi="Times New Roman" w:cs="Times New Roman"/>
          <w:sz w:val="20"/>
          <w:szCs w:val="20"/>
        </w:rPr>
        <w:tab/>
        <w:t>This subsection applies regardless of whether a current Product Disclosure Statement for the product has been prepared.</w:t>
      </w:r>
    </w:p>
    <w:p w14:paraId="51DCDFC6" w14:textId="77777777" w:rsidR="00A866A1" w:rsidRPr="00CB0151" w:rsidRDefault="00A866A1" w:rsidP="00A866A1">
      <w:pPr>
        <w:spacing w:after="0" w:line="240" w:lineRule="auto"/>
        <w:ind w:left="2880" w:hanging="720"/>
        <w:jc w:val="both"/>
        <w:rPr>
          <w:rFonts w:ascii="Times New Roman" w:hAnsi="Times New Roman" w:cs="Times New Roman"/>
          <w:sz w:val="24"/>
          <w:szCs w:val="24"/>
        </w:rPr>
      </w:pPr>
    </w:p>
    <w:p w14:paraId="03402A08" w14:textId="1E2D0544" w:rsidR="00A866A1" w:rsidRDefault="001745C1" w:rsidP="001745C1">
      <w:pPr>
        <w:spacing w:after="0" w:line="240" w:lineRule="auto"/>
        <w:ind w:left="2268" w:hanging="567"/>
        <w:jc w:val="both"/>
        <w:rPr>
          <w:rFonts w:ascii="Times New Roman" w:hAnsi="Times New Roman" w:cs="Times New Roman"/>
          <w:sz w:val="24"/>
          <w:szCs w:val="24"/>
          <w:lang w:val="en-US"/>
        </w:rPr>
      </w:pPr>
      <w:r>
        <w:rPr>
          <w:rFonts w:ascii="Times New Roman" w:hAnsi="Times New Roman" w:cs="Times New Roman"/>
          <w:sz w:val="24"/>
          <w:szCs w:val="24"/>
          <w:lang w:val="en-US"/>
        </w:rPr>
        <w:t>(2B)</w:t>
      </w:r>
      <w:r w:rsidR="00A866A1" w:rsidRPr="00CB0151">
        <w:rPr>
          <w:rFonts w:ascii="Times New Roman" w:hAnsi="Times New Roman" w:cs="Times New Roman"/>
          <w:sz w:val="24"/>
          <w:szCs w:val="24"/>
          <w:lang w:val="en-US"/>
        </w:rPr>
        <w:tab/>
        <w:t xml:space="preserve">The provider does not have to obtain the client’s written acknowledgement if the client held a superannuation product to which the entity relates immediately before 1 July 2007 and has held </w:t>
      </w:r>
      <w:r w:rsidR="00A12F63">
        <w:rPr>
          <w:rFonts w:ascii="Times New Roman" w:hAnsi="Times New Roman" w:cs="Times New Roman"/>
          <w:sz w:val="24"/>
          <w:szCs w:val="24"/>
          <w:lang w:val="en-US"/>
        </w:rPr>
        <w:t>the</w:t>
      </w:r>
      <w:r w:rsidR="00A866A1" w:rsidRPr="00CB0151">
        <w:rPr>
          <w:rFonts w:ascii="Times New Roman" w:hAnsi="Times New Roman" w:cs="Times New Roman"/>
          <w:sz w:val="24"/>
          <w:szCs w:val="24"/>
          <w:lang w:val="en-US"/>
        </w:rPr>
        <w:t xml:space="preserve"> product at all times since</w:t>
      </w:r>
      <w:r w:rsidR="00A12F63">
        <w:rPr>
          <w:rFonts w:ascii="Times New Roman" w:hAnsi="Times New Roman" w:cs="Times New Roman"/>
          <w:sz w:val="24"/>
          <w:szCs w:val="24"/>
          <w:lang w:val="en-US"/>
        </w:rPr>
        <w:t xml:space="preserve"> that date</w:t>
      </w:r>
      <w:r w:rsidR="00A866A1" w:rsidRPr="00CB0151">
        <w:rPr>
          <w:rFonts w:ascii="Times New Roman" w:hAnsi="Times New Roman" w:cs="Times New Roman"/>
          <w:sz w:val="24"/>
          <w:szCs w:val="24"/>
          <w:lang w:val="en-US"/>
        </w:rPr>
        <w:t>.”;</w:t>
      </w:r>
    </w:p>
    <w:p w14:paraId="07079F34" w14:textId="77777777" w:rsidR="001745C1" w:rsidRPr="00CB0151" w:rsidRDefault="001745C1" w:rsidP="001745C1">
      <w:pPr>
        <w:spacing w:after="0" w:line="240" w:lineRule="auto"/>
        <w:ind w:left="2268" w:hanging="567"/>
        <w:jc w:val="both"/>
        <w:rPr>
          <w:rFonts w:ascii="Times New Roman" w:hAnsi="Times New Roman" w:cs="Times New Roman"/>
          <w:sz w:val="24"/>
          <w:szCs w:val="24"/>
        </w:rPr>
      </w:pPr>
    </w:p>
    <w:p w14:paraId="4F99369E" w14:textId="6F0EFFCD" w:rsidR="00A866A1" w:rsidRPr="00CB0151" w:rsidRDefault="00A866A1" w:rsidP="001745C1">
      <w:pPr>
        <w:spacing w:after="0" w:line="240" w:lineRule="auto"/>
        <w:ind w:left="1701" w:hanging="567"/>
        <w:jc w:val="both"/>
        <w:rPr>
          <w:rFonts w:ascii="Times New Roman" w:hAnsi="Times New Roman" w:cs="Times New Roman"/>
          <w:sz w:val="24"/>
          <w:szCs w:val="24"/>
        </w:rPr>
      </w:pPr>
      <w:r w:rsidRPr="00CB0151">
        <w:rPr>
          <w:rFonts w:ascii="Times New Roman" w:hAnsi="Times New Roman" w:cs="Times New Roman"/>
          <w:sz w:val="24"/>
          <w:szCs w:val="24"/>
        </w:rPr>
        <w:t>(</w:t>
      </w:r>
      <w:r w:rsidR="001745C1">
        <w:rPr>
          <w:rFonts w:ascii="Times New Roman" w:hAnsi="Times New Roman" w:cs="Times New Roman"/>
          <w:sz w:val="24"/>
          <w:szCs w:val="24"/>
        </w:rPr>
        <w:t>iii</w:t>
      </w:r>
      <w:r w:rsidRPr="00CB0151">
        <w:rPr>
          <w:rFonts w:ascii="Times New Roman" w:hAnsi="Times New Roman" w:cs="Times New Roman"/>
          <w:sz w:val="24"/>
          <w:szCs w:val="24"/>
        </w:rPr>
        <w:t>)</w:t>
      </w:r>
      <w:r w:rsidRPr="00CB0151">
        <w:rPr>
          <w:rFonts w:ascii="Times New Roman" w:hAnsi="Times New Roman" w:cs="Times New Roman"/>
          <w:sz w:val="24"/>
          <w:szCs w:val="24"/>
        </w:rPr>
        <w:tab/>
      </w:r>
      <w:r w:rsidR="0064064B">
        <w:rPr>
          <w:rFonts w:ascii="Times New Roman" w:hAnsi="Times New Roman" w:cs="Times New Roman"/>
          <w:sz w:val="24"/>
          <w:szCs w:val="24"/>
        </w:rPr>
        <w:t xml:space="preserve">after paragraph </w:t>
      </w:r>
      <w:r w:rsidRPr="00CB0151">
        <w:rPr>
          <w:rFonts w:ascii="Times New Roman" w:hAnsi="Times New Roman" w:cs="Times New Roman"/>
          <w:sz w:val="24"/>
          <w:szCs w:val="24"/>
        </w:rPr>
        <w:t>(5)</w:t>
      </w:r>
      <w:r w:rsidR="0064064B">
        <w:rPr>
          <w:rFonts w:ascii="Times New Roman" w:hAnsi="Times New Roman" w:cs="Times New Roman"/>
          <w:sz w:val="24"/>
          <w:szCs w:val="24"/>
        </w:rPr>
        <w:t>(a)</w:t>
      </w:r>
      <w:r w:rsidRPr="00CB0151">
        <w:rPr>
          <w:rFonts w:ascii="Times New Roman" w:hAnsi="Times New Roman" w:cs="Times New Roman"/>
          <w:sz w:val="24"/>
          <w:szCs w:val="24"/>
        </w:rPr>
        <w:t>:</w:t>
      </w:r>
    </w:p>
    <w:p w14:paraId="08DEAF81" w14:textId="77777777" w:rsidR="0064064B" w:rsidRDefault="0064064B" w:rsidP="001745C1">
      <w:pPr>
        <w:spacing w:after="0" w:line="240" w:lineRule="auto"/>
        <w:ind w:left="2835" w:hanging="567"/>
        <w:jc w:val="both"/>
        <w:rPr>
          <w:rFonts w:ascii="Times New Roman" w:hAnsi="Times New Roman" w:cs="Times New Roman"/>
          <w:sz w:val="24"/>
          <w:szCs w:val="24"/>
          <w:lang w:val="en-US"/>
        </w:rPr>
      </w:pPr>
    </w:p>
    <w:p w14:paraId="6D9F27BA" w14:textId="267E99DC" w:rsidR="009E1D73" w:rsidRDefault="00A866A1" w:rsidP="0002598F">
      <w:pPr>
        <w:spacing w:after="0" w:line="240" w:lineRule="auto"/>
        <w:ind w:left="2835" w:hanging="567"/>
        <w:rPr>
          <w:rFonts w:ascii="Times New Roman" w:hAnsi="Times New Roman" w:cs="Times New Roman"/>
          <w:sz w:val="24"/>
          <w:szCs w:val="24"/>
          <w:lang w:val="en-US"/>
        </w:rPr>
      </w:pPr>
      <w:r w:rsidRPr="00CB0151">
        <w:rPr>
          <w:rFonts w:ascii="Times New Roman" w:hAnsi="Times New Roman" w:cs="Times New Roman"/>
          <w:sz w:val="24"/>
          <w:szCs w:val="24"/>
          <w:lang w:val="en-US"/>
        </w:rPr>
        <w:t>“(aa)</w:t>
      </w:r>
      <w:r w:rsidRPr="00CB0151">
        <w:rPr>
          <w:rFonts w:ascii="Times New Roman" w:hAnsi="Times New Roman" w:cs="Times New Roman"/>
          <w:sz w:val="24"/>
          <w:szCs w:val="24"/>
          <w:lang w:val="en-US"/>
        </w:rPr>
        <w:tab/>
        <w:t xml:space="preserve">where the provider is a trustee of a superannuation entity </w:t>
      </w:r>
      <w:r w:rsidR="0002598F">
        <w:rPr>
          <w:rFonts w:ascii="Times New Roman" w:hAnsi="Times New Roman" w:cs="Times New Roman"/>
          <w:sz w:val="24"/>
          <w:szCs w:val="24"/>
          <w:lang w:val="en-US"/>
        </w:rPr>
        <w:t xml:space="preserve">who chooses to comply </w:t>
      </w:r>
      <w:r w:rsidRPr="00CB0151">
        <w:rPr>
          <w:rFonts w:ascii="Times New Roman" w:hAnsi="Times New Roman" w:cs="Times New Roman"/>
          <w:sz w:val="24"/>
          <w:szCs w:val="24"/>
          <w:lang w:val="en-US"/>
        </w:rPr>
        <w:t xml:space="preserve">with </w:t>
      </w:r>
      <w:r w:rsidR="002B76EE">
        <w:rPr>
          <w:rFonts w:ascii="Times New Roman" w:hAnsi="Times New Roman" w:cs="Times New Roman"/>
          <w:sz w:val="24"/>
          <w:szCs w:val="24"/>
          <w:lang w:val="en-US"/>
        </w:rPr>
        <w:t>subsection</w:t>
      </w:r>
      <w:r w:rsidR="0002598F">
        <w:rPr>
          <w:rFonts w:ascii="Times New Roman" w:hAnsi="Times New Roman" w:cs="Times New Roman"/>
          <w:sz w:val="24"/>
          <w:szCs w:val="24"/>
          <w:lang w:val="en-US"/>
        </w:rPr>
        <w:t>s</w:t>
      </w:r>
      <w:r w:rsidR="002B76EE">
        <w:rPr>
          <w:rFonts w:ascii="Times New Roman" w:hAnsi="Times New Roman" w:cs="Times New Roman"/>
          <w:sz w:val="24"/>
          <w:szCs w:val="24"/>
          <w:lang w:val="en-US"/>
        </w:rPr>
        <w:t xml:space="preserve"> </w:t>
      </w:r>
      <w:r w:rsidRPr="00CB0151">
        <w:rPr>
          <w:rFonts w:ascii="Times New Roman" w:hAnsi="Times New Roman" w:cs="Times New Roman"/>
          <w:sz w:val="24"/>
          <w:szCs w:val="24"/>
          <w:lang w:val="en-US"/>
        </w:rPr>
        <w:t>1013FB(3)</w:t>
      </w:r>
      <w:r w:rsidR="0002598F">
        <w:rPr>
          <w:rFonts w:ascii="Times New Roman" w:hAnsi="Times New Roman" w:cs="Times New Roman"/>
          <w:sz w:val="24"/>
          <w:szCs w:val="24"/>
          <w:lang w:val="en-US"/>
        </w:rPr>
        <w:t xml:space="preserve"> and (4) in relation to a Product Disclosure Statement for a superannuation product to which the entity relates</w:t>
      </w:r>
      <w:r w:rsidRPr="00CB0151">
        <w:rPr>
          <w:rFonts w:ascii="Times New Roman" w:hAnsi="Times New Roman" w:cs="Times New Roman"/>
          <w:sz w:val="24"/>
          <w:szCs w:val="24"/>
          <w:lang w:val="en-US"/>
        </w:rPr>
        <w:t xml:space="preserve"> and</w:t>
      </w:r>
      <w:r w:rsidR="002B76EE">
        <w:rPr>
          <w:rFonts w:ascii="Times New Roman" w:hAnsi="Times New Roman" w:cs="Times New Roman"/>
          <w:sz w:val="24"/>
          <w:szCs w:val="24"/>
          <w:lang w:val="en-US"/>
        </w:rPr>
        <w:t xml:space="preserve"> </w:t>
      </w:r>
      <w:r w:rsidR="0002598F">
        <w:rPr>
          <w:rFonts w:ascii="Times New Roman" w:hAnsi="Times New Roman" w:cs="Times New Roman"/>
          <w:sz w:val="24"/>
          <w:szCs w:val="24"/>
          <w:lang w:val="en-US"/>
        </w:rPr>
        <w:t xml:space="preserve">which </w:t>
      </w:r>
      <w:r w:rsidR="002B76EE">
        <w:rPr>
          <w:rFonts w:ascii="Times New Roman" w:hAnsi="Times New Roman" w:cs="Times New Roman"/>
          <w:sz w:val="24"/>
          <w:szCs w:val="24"/>
          <w:lang w:val="en-US"/>
        </w:rPr>
        <w:t>contains a statement of the kind specified in</w:t>
      </w:r>
      <w:r w:rsidRPr="00CB0151">
        <w:rPr>
          <w:rFonts w:ascii="Times New Roman" w:hAnsi="Times New Roman" w:cs="Times New Roman"/>
          <w:sz w:val="24"/>
          <w:szCs w:val="24"/>
          <w:lang w:val="en-US"/>
        </w:rPr>
        <w:t xml:space="preserve"> subparagraph</w:t>
      </w:r>
      <w:r w:rsidR="0002598F">
        <w:rPr>
          <w:rFonts w:ascii="Times New Roman" w:hAnsi="Times New Roman" w:cs="Times New Roman"/>
          <w:sz w:val="24"/>
          <w:szCs w:val="24"/>
          <w:lang w:val="en-US"/>
        </w:rPr>
        <w:t> </w:t>
      </w:r>
      <w:r w:rsidRPr="00CB0151">
        <w:rPr>
          <w:rFonts w:ascii="Times New Roman" w:hAnsi="Times New Roman" w:cs="Times New Roman"/>
          <w:sz w:val="24"/>
          <w:szCs w:val="24"/>
          <w:lang w:val="en-US"/>
        </w:rPr>
        <w:t>1013FB(3)(c)(</w:t>
      </w:r>
      <w:r w:rsidR="005A2283">
        <w:rPr>
          <w:rFonts w:ascii="Times New Roman" w:hAnsi="Times New Roman" w:cs="Times New Roman"/>
          <w:sz w:val="24"/>
          <w:szCs w:val="24"/>
          <w:lang w:val="en-US"/>
        </w:rPr>
        <w:t>i</w:t>
      </w:r>
      <w:r w:rsidRPr="00CB0151">
        <w:rPr>
          <w:rFonts w:ascii="Times New Roman" w:hAnsi="Times New Roman" w:cs="Times New Roman"/>
          <w:sz w:val="24"/>
          <w:szCs w:val="24"/>
          <w:lang w:val="en-US"/>
        </w:rPr>
        <w:t>)</w:t>
      </w:r>
      <w:r w:rsidR="0002598F" w:rsidRPr="00CB0151">
        <w:rPr>
          <w:rFonts w:ascii="Times New Roman" w:hAnsi="Times New Roman" w:cs="Times New Roman"/>
          <w:sz w:val="24"/>
          <w:szCs w:val="24"/>
          <w:lang w:val="en-US"/>
        </w:rPr>
        <w:t xml:space="preserve">—the reference </w:t>
      </w:r>
      <w:r w:rsidR="00DB3BB8">
        <w:rPr>
          <w:rFonts w:ascii="Times New Roman" w:hAnsi="Times New Roman" w:cs="Times New Roman"/>
          <w:sz w:val="24"/>
          <w:szCs w:val="24"/>
          <w:lang w:val="en-US"/>
        </w:rPr>
        <w:t>in subsection</w:t>
      </w:r>
      <w:r w:rsidR="005A2283">
        <w:rPr>
          <w:rFonts w:ascii="Times New Roman" w:hAnsi="Times New Roman" w:cs="Times New Roman"/>
          <w:sz w:val="24"/>
          <w:szCs w:val="24"/>
          <w:lang w:val="en-US"/>
        </w:rPr>
        <w:t> </w:t>
      </w:r>
      <w:r w:rsidR="00DB3BB8">
        <w:rPr>
          <w:rFonts w:ascii="Times New Roman" w:hAnsi="Times New Roman" w:cs="Times New Roman"/>
          <w:sz w:val="24"/>
          <w:szCs w:val="24"/>
          <w:lang w:val="en-US"/>
        </w:rPr>
        <w:t xml:space="preserve">1013A(1) </w:t>
      </w:r>
      <w:r w:rsidR="0002598F" w:rsidRPr="00CB0151">
        <w:rPr>
          <w:rFonts w:ascii="Times New Roman" w:hAnsi="Times New Roman" w:cs="Times New Roman"/>
          <w:sz w:val="24"/>
          <w:szCs w:val="24"/>
          <w:lang w:val="en-US"/>
        </w:rPr>
        <w:t xml:space="preserve">to the issuer of </w:t>
      </w:r>
      <w:r w:rsidR="00DB3BB8">
        <w:rPr>
          <w:rFonts w:ascii="Times New Roman" w:hAnsi="Times New Roman" w:cs="Times New Roman"/>
          <w:sz w:val="24"/>
          <w:szCs w:val="24"/>
          <w:lang w:val="en-US"/>
        </w:rPr>
        <w:t>a</w:t>
      </w:r>
      <w:r w:rsidR="0002598F" w:rsidRPr="00CB0151">
        <w:rPr>
          <w:rFonts w:ascii="Times New Roman" w:hAnsi="Times New Roman" w:cs="Times New Roman"/>
          <w:sz w:val="24"/>
          <w:szCs w:val="24"/>
          <w:lang w:val="en-US"/>
        </w:rPr>
        <w:t xml:space="preserve"> financial product </w:t>
      </w:r>
      <w:r w:rsidR="00DB3BB8">
        <w:rPr>
          <w:rFonts w:ascii="Times New Roman" w:hAnsi="Times New Roman" w:cs="Times New Roman"/>
          <w:sz w:val="24"/>
          <w:szCs w:val="24"/>
          <w:lang w:val="en-US"/>
        </w:rPr>
        <w:t xml:space="preserve">that is an accessible financial product </w:t>
      </w:r>
      <w:r w:rsidR="0002598F" w:rsidRPr="00CB0151">
        <w:rPr>
          <w:rFonts w:ascii="Times New Roman" w:hAnsi="Times New Roman" w:cs="Times New Roman"/>
          <w:sz w:val="24"/>
          <w:szCs w:val="24"/>
          <w:lang w:val="en-US"/>
        </w:rPr>
        <w:t>included a reference to the provider; and</w:t>
      </w:r>
    </w:p>
    <w:p w14:paraId="6855CB5F" w14:textId="49FE3277" w:rsidR="0002598F" w:rsidRDefault="0002598F" w:rsidP="0002598F">
      <w:pPr>
        <w:spacing w:after="0" w:line="240" w:lineRule="auto"/>
        <w:ind w:left="2835" w:hanging="567"/>
        <w:rPr>
          <w:rFonts w:ascii="Times New Roman" w:hAnsi="Times New Roman" w:cs="Times New Roman"/>
          <w:sz w:val="24"/>
          <w:szCs w:val="24"/>
          <w:lang w:val="en-US"/>
        </w:rPr>
      </w:pPr>
    </w:p>
    <w:p w14:paraId="25C0AE86" w14:textId="3B5819CF" w:rsidR="0064064B" w:rsidRDefault="0002598F" w:rsidP="0064064B">
      <w:pPr>
        <w:spacing w:after="0" w:line="240" w:lineRule="auto"/>
        <w:ind w:left="2835" w:hanging="567"/>
        <w:jc w:val="both"/>
        <w:rPr>
          <w:rFonts w:ascii="Times New Roman" w:hAnsi="Times New Roman" w:cs="Times New Roman"/>
          <w:sz w:val="24"/>
          <w:szCs w:val="24"/>
          <w:lang w:val="en-US"/>
        </w:rPr>
      </w:pPr>
      <w:r>
        <w:rPr>
          <w:rFonts w:ascii="Times New Roman" w:hAnsi="Times New Roman" w:cs="Times New Roman"/>
          <w:sz w:val="24"/>
          <w:szCs w:val="24"/>
          <w:lang w:val="en-US"/>
        </w:rPr>
        <w:t>(ab)</w:t>
      </w:r>
      <w:r>
        <w:rPr>
          <w:rFonts w:ascii="Times New Roman" w:hAnsi="Times New Roman" w:cs="Times New Roman"/>
          <w:sz w:val="24"/>
          <w:szCs w:val="24"/>
          <w:lang w:val="en-US"/>
        </w:rPr>
        <w:tab/>
      </w:r>
      <w:r w:rsidR="009E1D73" w:rsidRPr="00CB0151">
        <w:rPr>
          <w:rFonts w:ascii="Times New Roman" w:hAnsi="Times New Roman" w:cs="Times New Roman"/>
          <w:sz w:val="24"/>
          <w:szCs w:val="24"/>
          <w:lang w:val="en-US"/>
        </w:rPr>
        <w:t xml:space="preserve">where the provider is a trustee of a superannuation entity </w:t>
      </w:r>
      <w:r w:rsidR="009E1D73">
        <w:rPr>
          <w:rFonts w:ascii="Times New Roman" w:hAnsi="Times New Roman" w:cs="Times New Roman"/>
          <w:sz w:val="24"/>
          <w:szCs w:val="24"/>
          <w:lang w:val="en-US"/>
        </w:rPr>
        <w:t xml:space="preserve">who chooses to comply </w:t>
      </w:r>
      <w:r w:rsidR="009E1D73" w:rsidRPr="00CB0151">
        <w:rPr>
          <w:rFonts w:ascii="Times New Roman" w:hAnsi="Times New Roman" w:cs="Times New Roman"/>
          <w:sz w:val="24"/>
          <w:szCs w:val="24"/>
          <w:lang w:val="en-US"/>
        </w:rPr>
        <w:t xml:space="preserve">with </w:t>
      </w:r>
      <w:r w:rsidR="009E1D73">
        <w:rPr>
          <w:rFonts w:ascii="Times New Roman" w:hAnsi="Times New Roman" w:cs="Times New Roman"/>
          <w:sz w:val="24"/>
          <w:szCs w:val="24"/>
          <w:lang w:val="en-US"/>
        </w:rPr>
        <w:t xml:space="preserve">subsections </w:t>
      </w:r>
      <w:r w:rsidR="009E1D73" w:rsidRPr="00CB0151">
        <w:rPr>
          <w:rFonts w:ascii="Times New Roman" w:hAnsi="Times New Roman" w:cs="Times New Roman"/>
          <w:sz w:val="24"/>
          <w:szCs w:val="24"/>
          <w:lang w:val="en-US"/>
        </w:rPr>
        <w:t>1013FB(</w:t>
      </w:r>
      <w:r w:rsidR="009E1D73">
        <w:rPr>
          <w:rFonts w:ascii="Times New Roman" w:hAnsi="Times New Roman" w:cs="Times New Roman"/>
          <w:sz w:val="24"/>
          <w:szCs w:val="24"/>
          <w:lang w:val="en-US"/>
        </w:rPr>
        <w:t>5</w:t>
      </w:r>
      <w:r w:rsidR="009E1D73" w:rsidRPr="00CB0151">
        <w:rPr>
          <w:rFonts w:ascii="Times New Roman" w:hAnsi="Times New Roman" w:cs="Times New Roman"/>
          <w:sz w:val="24"/>
          <w:szCs w:val="24"/>
          <w:lang w:val="en-US"/>
        </w:rPr>
        <w:t>)</w:t>
      </w:r>
      <w:r w:rsidR="009E1D73">
        <w:rPr>
          <w:rFonts w:ascii="Times New Roman" w:hAnsi="Times New Roman" w:cs="Times New Roman"/>
          <w:sz w:val="24"/>
          <w:szCs w:val="24"/>
          <w:lang w:val="en-US"/>
        </w:rPr>
        <w:t xml:space="preserve"> and (6) in relation to a Product Disclosure Statement for a superannuation product to which the entity relates</w:t>
      </w:r>
      <w:r w:rsidR="00DB3BB8" w:rsidRPr="00CB0151">
        <w:rPr>
          <w:rFonts w:ascii="Times New Roman" w:hAnsi="Times New Roman" w:cs="Times New Roman"/>
          <w:sz w:val="24"/>
          <w:szCs w:val="24"/>
          <w:lang w:val="en-US"/>
        </w:rPr>
        <w:t xml:space="preserve">—the reference </w:t>
      </w:r>
      <w:r w:rsidR="00DB3BB8">
        <w:rPr>
          <w:rFonts w:ascii="Times New Roman" w:hAnsi="Times New Roman" w:cs="Times New Roman"/>
          <w:sz w:val="24"/>
          <w:szCs w:val="24"/>
          <w:lang w:val="en-US"/>
        </w:rPr>
        <w:t xml:space="preserve">in subsection 1013A(1) </w:t>
      </w:r>
      <w:r w:rsidR="00DB3BB8" w:rsidRPr="00CB0151">
        <w:rPr>
          <w:rFonts w:ascii="Times New Roman" w:hAnsi="Times New Roman" w:cs="Times New Roman"/>
          <w:sz w:val="24"/>
          <w:szCs w:val="24"/>
          <w:lang w:val="en-US"/>
        </w:rPr>
        <w:t xml:space="preserve">to </w:t>
      </w:r>
      <w:r w:rsidR="00DB3BB8">
        <w:rPr>
          <w:rFonts w:ascii="Times New Roman" w:hAnsi="Times New Roman" w:cs="Times New Roman"/>
          <w:sz w:val="24"/>
          <w:szCs w:val="24"/>
          <w:lang w:val="en-US"/>
        </w:rPr>
        <w:t xml:space="preserve">the </w:t>
      </w:r>
      <w:r w:rsidR="00DB3BB8" w:rsidRPr="00CB0151">
        <w:rPr>
          <w:rFonts w:ascii="Times New Roman" w:hAnsi="Times New Roman" w:cs="Times New Roman"/>
          <w:sz w:val="24"/>
          <w:szCs w:val="24"/>
          <w:lang w:val="en-US"/>
        </w:rPr>
        <w:t xml:space="preserve">issuer of </w:t>
      </w:r>
      <w:r w:rsidR="00DB3BB8">
        <w:rPr>
          <w:rFonts w:ascii="Times New Roman" w:hAnsi="Times New Roman" w:cs="Times New Roman"/>
          <w:sz w:val="24"/>
          <w:szCs w:val="24"/>
          <w:lang w:val="en-US"/>
        </w:rPr>
        <w:t xml:space="preserve">a </w:t>
      </w:r>
      <w:r w:rsidR="00DB3BB8" w:rsidRPr="00CB0151">
        <w:rPr>
          <w:rFonts w:ascii="Times New Roman" w:hAnsi="Times New Roman" w:cs="Times New Roman"/>
          <w:sz w:val="24"/>
          <w:szCs w:val="24"/>
          <w:lang w:val="en-US"/>
        </w:rPr>
        <w:t>financial</w:t>
      </w:r>
      <w:r w:rsidR="00DB3BB8">
        <w:rPr>
          <w:rFonts w:ascii="Times New Roman" w:hAnsi="Times New Roman" w:cs="Times New Roman"/>
          <w:sz w:val="24"/>
          <w:szCs w:val="24"/>
          <w:lang w:val="en-US"/>
        </w:rPr>
        <w:t> </w:t>
      </w:r>
      <w:r w:rsidR="00DB3BB8" w:rsidRPr="00CB0151">
        <w:rPr>
          <w:rFonts w:ascii="Times New Roman" w:hAnsi="Times New Roman" w:cs="Times New Roman"/>
          <w:sz w:val="24"/>
          <w:szCs w:val="24"/>
          <w:lang w:val="en-US"/>
        </w:rPr>
        <w:t xml:space="preserve">product </w:t>
      </w:r>
      <w:r w:rsidR="00DB3BB8">
        <w:rPr>
          <w:rFonts w:ascii="Times New Roman" w:hAnsi="Times New Roman" w:cs="Times New Roman"/>
          <w:sz w:val="24"/>
          <w:szCs w:val="24"/>
          <w:lang w:val="en-US"/>
        </w:rPr>
        <w:t xml:space="preserve">that is an accessible financial product </w:t>
      </w:r>
      <w:r w:rsidR="00DB3BB8" w:rsidRPr="00CB0151">
        <w:rPr>
          <w:rFonts w:ascii="Times New Roman" w:hAnsi="Times New Roman" w:cs="Times New Roman"/>
          <w:sz w:val="24"/>
          <w:szCs w:val="24"/>
          <w:lang w:val="en-US"/>
        </w:rPr>
        <w:t>included a reference to the provider</w:t>
      </w:r>
      <w:r w:rsidR="00DB3BB8">
        <w:rPr>
          <w:rFonts w:ascii="Times New Roman" w:hAnsi="Times New Roman" w:cs="Times New Roman"/>
          <w:sz w:val="24"/>
          <w:szCs w:val="24"/>
          <w:lang w:val="en-US"/>
        </w:rPr>
        <w:t>; and</w:t>
      </w:r>
    </w:p>
    <w:p w14:paraId="3DE2E1FB" w14:textId="77777777" w:rsidR="005A2283" w:rsidRDefault="005A2283" w:rsidP="0064064B">
      <w:pPr>
        <w:spacing w:after="0" w:line="240" w:lineRule="auto"/>
        <w:ind w:left="2835" w:hanging="567"/>
        <w:jc w:val="both"/>
        <w:rPr>
          <w:rFonts w:ascii="Times New Roman" w:hAnsi="Times New Roman" w:cs="Times New Roman"/>
          <w:sz w:val="24"/>
          <w:szCs w:val="24"/>
          <w:lang w:val="en-US"/>
        </w:rPr>
      </w:pPr>
    </w:p>
    <w:p w14:paraId="3577CBF9" w14:textId="2FA2D103" w:rsidR="00A866A1" w:rsidRDefault="005A2283" w:rsidP="0064064B">
      <w:pPr>
        <w:spacing w:after="0" w:line="240" w:lineRule="auto"/>
        <w:ind w:left="2835" w:hanging="567"/>
        <w:jc w:val="both"/>
        <w:rPr>
          <w:lang w:val="en"/>
        </w:rPr>
      </w:pPr>
      <w:r>
        <w:rPr>
          <w:rFonts w:ascii="Times New Roman" w:hAnsi="Times New Roman" w:cs="Times New Roman"/>
          <w:sz w:val="24"/>
          <w:szCs w:val="24"/>
          <w:lang w:val="en-US"/>
        </w:rPr>
        <w:t>(</w:t>
      </w:r>
      <w:r w:rsidR="0064064B">
        <w:rPr>
          <w:rFonts w:ascii="Times New Roman" w:hAnsi="Times New Roman" w:cs="Times New Roman"/>
          <w:sz w:val="24"/>
          <w:szCs w:val="24"/>
          <w:lang w:val="en-US"/>
        </w:rPr>
        <w:t>a</w:t>
      </w:r>
      <w:r w:rsidR="0002598F">
        <w:rPr>
          <w:rFonts w:ascii="Times New Roman" w:hAnsi="Times New Roman" w:cs="Times New Roman"/>
          <w:sz w:val="24"/>
          <w:szCs w:val="24"/>
          <w:lang w:val="en-US"/>
        </w:rPr>
        <w:t>c</w:t>
      </w:r>
      <w:r w:rsidR="00A866A1" w:rsidRPr="00CB0151">
        <w:rPr>
          <w:rFonts w:ascii="Times New Roman" w:hAnsi="Times New Roman" w:cs="Times New Roman"/>
          <w:sz w:val="24"/>
          <w:szCs w:val="24"/>
          <w:lang w:val="en-US"/>
        </w:rPr>
        <w:t>)</w:t>
      </w:r>
      <w:r w:rsidR="00A866A1" w:rsidRPr="00CB0151">
        <w:rPr>
          <w:rFonts w:ascii="Times New Roman" w:hAnsi="Times New Roman" w:cs="Times New Roman"/>
          <w:sz w:val="24"/>
          <w:szCs w:val="24"/>
          <w:lang w:val="en-US"/>
        </w:rPr>
        <w:tab/>
        <w:t xml:space="preserve">where the provider is a trustee of a superannuation entity—the reference </w:t>
      </w:r>
      <w:r w:rsidR="00B41DBC">
        <w:rPr>
          <w:rFonts w:ascii="Times New Roman" w:hAnsi="Times New Roman" w:cs="Times New Roman"/>
          <w:sz w:val="24"/>
          <w:szCs w:val="24"/>
          <w:lang w:val="en-US"/>
        </w:rPr>
        <w:t xml:space="preserve">in subsection 1013A(2) </w:t>
      </w:r>
      <w:r w:rsidR="00A866A1" w:rsidRPr="00CB0151">
        <w:rPr>
          <w:rFonts w:ascii="Times New Roman" w:hAnsi="Times New Roman" w:cs="Times New Roman"/>
          <w:sz w:val="24"/>
          <w:szCs w:val="24"/>
          <w:lang w:val="en-US"/>
        </w:rPr>
        <w:t xml:space="preserve">to </w:t>
      </w:r>
      <w:r w:rsidR="00B41DBC">
        <w:rPr>
          <w:rFonts w:ascii="Times New Roman" w:hAnsi="Times New Roman" w:cs="Times New Roman"/>
          <w:sz w:val="24"/>
          <w:szCs w:val="24"/>
          <w:lang w:val="en-US"/>
        </w:rPr>
        <w:t>a</w:t>
      </w:r>
      <w:r w:rsidR="00A866A1" w:rsidRPr="00CB0151">
        <w:rPr>
          <w:rFonts w:ascii="Times New Roman" w:hAnsi="Times New Roman" w:cs="Times New Roman"/>
          <w:sz w:val="24"/>
          <w:szCs w:val="24"/>
          <w:lang w:val="en-US"/>
        </w:rPr>
        <w:t xml:space="preserve"> person making the offer to sell </w:t>
      </w:r>
      <w:r w:rsidR="00B41DBC">
        <w:rPr>
          <w:rFonts w:ascii="Times New Roman" w:hAnsi="Times New Roman" w:cs="Times New Roman"/>
          <w:sz w:val="24"/>
          <w:szCs w:val="24"/>
          <w:lang w:val="en-US"/>
        </w:rPr>
        <w:t>a</w:t>
      </w:r>
      <w:r w:rsidR="00A866A1" w:rsidRPr="00CB0151">
        <w:rPr>
          <w:rFonts w:ascii="Times New Roman" w:hAnsi="Times New Roman" w:cs="Times New Roman"/>
          <w:sz w:val="24"/>
          <w:szCs w:val="24"/>
          <w:lang w:val="en-US"/>
        </w:rPr>
        <w:t xml:space="preserve"> financial product </w:t>
      </w:r>
      <w:r w:rsidR="00B41DBC">
        <w:rPr>
          <w:rFonts w:ascii="Times New Roman" w:hAnsi="Times New Roman" w:cs="Times New Roman"/>
          <w:sz w:val="24"/>
          <w:szCs w:val="24"/>
          <w:lang w:val="en-US"/>
        </w:rPr>
        <w:t xml:space="preserve">that is an </w:t>
      </w:r>
      <w:r w:rsidR="00DB3BB8">
        <w:rPr>
          <w:rFonts w:ascii="Times New Roman" w:hAnsi="Times New Roman" w:cs="Times New Roman"/>
          <w:sz w:val="24"/>
          <w:szCs w:val="24"/>
          <w:lang w:val="en-US"/>
        </w:rPr>
        <w:t xml:space="preserve">accessible financial product </w:t>
      </w:r>
      <w:r w:rsidR="00A866A1" w:rsidRPr="00CB0151">
        <w:rPr>
          <w:rFonts w:ascii="Times New Roman" w:hAnsi="Times New Roman" w:cs="Times New Roman"/>
          <w:sz w:val="24"/>
          <w:szCs w:val="24"/>
          <w:lang w:val="en-US"/>
        </w:rPr>
        <w:t>included a reference to the</w:t>
      </w:r>
      <w:r w:rsidR="0064064B">
        <w:rPr>
          <w:rFonts w:ascii="Times New Roman" w:hAnsi="Times New Roman" w:cs="Times New Roman"/>
          <w:sz w:val="24"/>
          <w:szCs w:val="24"/>
          <w:lang w:val="en-US"/>
        </w:rPr>
        <w:t> </w:t>
      </w:r>
      <w:r w:rsidR="00A866A1" w:rsidRPr="00CB0151">
        <w:rPr>
          <w:rFonts w:ascii="Times New Roman" w:hAnsi="Times New Roman" w:cs="Times New Roman"/>
          <w:sz w:val="24"/>
          <w:szCs w:val="24"/>
          <w:lang w:val="en-US"/>
        </w:rPr>
        <w:t>provider</w:t>
      </w:r>
      <w:r w:rsidR="00C9000A">
        <w:rPr>
          <w:rFonts w:ascii="Times New Roman" w:hAnsi="Times New Roman" w:cs="Times New Roman"/>
          <w:sz w:val="24"/>
          <w:szCs w:val="24"/>
          <w:lang w:val="en-US"/>
        </w:rPr>
        <w:t>; and</w:t>
      </w:r>
      <w:r w:rsidR="00A866A1" w:rsidRPr="00CB0151">
        <w:rPr>
          <w:rFonts w:ascii="Times New Roman" w:hAnsi="Times New Roman" w:cs="Times New Roman"/>
          <w:sz w:val="24"/>
          <w:szCs w:val="24"/>
          <w:lang w:val="en-US"/>
        </w:rPr>
        <w:t>”;</w:t>
      </w:r>
    </w:p>
    <w:p w14:paraId="5FB71770" w14:textId="77777777" w:rsidR="00A866A1" w:rsidRDefault="00A866A1" w:rsidP="006C2AE4">
      <w:pPr>
        <w:pStyle w:val="LI-BodyTextNumbered"/>
        <w:spacing w:before="0"/>
        <w:rPr>
          <w:lang w:val="en"/>
        </w:rPr>
      </w:pPr>
    </w:p>
    <w:p w14:paraId="3BC851D6" w14:textId="0F9BE3F4" w:rsidR="0064064B" w:rsidRPr="00CB0151" w:rsidRDefault="0064064B" w:rsidP="0064064B">
      <w:pPr>
        <w:spacing w:after="0" w:line="240" w:lineRule="auto"/>
        <w:ind w:left="1701" w:hanging="567"/>
        <w:jc w:val="both"/>
        <w:rPr>
          <w:rFonts w:ascii="Times New Roman" w:hAnsi="Times New Roman" w:cs="Times New Roman"/>
          <w:sz w:val="24"/>
          <w:szCs w:val="24"/>
        </w:rPr>
      </w:pPr>
      <w:r w:rsidRPr="00CB0151">
        <w:rPr>
          <w:rFonts w:ascii="Times New Roman" w:hAnsi="Times New Roman" w:cs="Times New Roman"/>
          <w:sz w:val="24"/>
          <w:szCs w:val="24"/>
        </w:rPr>
        <w:t>(</w:t>
      </w:r>
      <w:r>
        <w:rPr>
          <w:rFonts w:ascii="Times New Roman" w:hAnsi="Times New Roman" w:cs="Times New Roman"/>
          <w:sz w:val="24"/>
          <w:szCs w:val="24"/>
        </w:rPr>
        <w:t>iv</w:t>
      </w:r>
      <w:r w:rsidRPr="00CB0151">
        <w:rPr>
          <w:rFonts w:ascii="Times New Roman" w:hAnsi="Times New Roman" w:cs="Times New Roman"/>
          <w:sz w:val="24"/>
          <w:szCs w:val="24"/>
        </w:rPr>
        <w:t>)</w:t>
      </w:r>
      <w:r w:rsidRPr="00CB0151">
        <w:rPr>
          <w:rFonts w:ascii="Times New Roman" w:hAnsi="Times New Roman" w:cs="Times New Roman"/>
          <w:sz w:val="24"/>
          <w:szCs w:val="24"/>
        </w:rPr>
        <w:tab/>
        <w:t>after subsection (5) insert:</w:t>
      </w:r>
    </w:p>
    <w:p w14:paraId="0EF84EEB" w14:textId="77777777" w:rsidR="0064064B" w:rsidRPr="00CB0151" w:rsidRDefault="0064064B" w:rsidP="0064064B">
      <w:pPr>
        <w:spacing w:after="0" w:line="240" w:lineRule="auto"/>
        <w:jc w:val="both"/>
        <w:rPr>
          <w:rFonts w:ascii="Times New Roman" w:hAnsi="Times New Roman" w:cs="Times New Roman"/>
          <w:sz w:val="24"/>
          <w:szCs w:val="24"/>
        </w:rPr>
      </w:pPr>
    </w:p>
    <w:p w14:paraId="66F84E7B" w14:textId="036CA428" w:rsidR="0064064B" w:rsidRPr="00CB0151" w:rsidRDefault="0064064B" w:rsidP="0064064B">
      <w:pPr>
        <w:spacing w:after="0" w:line="240" w:lineRule="auto"/>
        <w:ind w:left="1701"/>
        <w:jc w:val="both"/>
        <w:rPr>
          <w:rFonts w:ascii="Times New Roman" w:hAnsi="Times New Roman" w:cs="Times New Roman"/>
          <w:b/>
          <w:bCs/>
          <w:sz w:val="24"/>
          <w:szCs w:val="24"/>
          <w:lang w:val="en-US"/>
        </w:rPr>
      </w:pPr>
      <w:r w:rsidRPr="00CB0151">
        <w:rPr>
          <w:rFonts w:ascii="Times New Roman" w:hAnsi="Times New Roman" w:cs="Times New Roman"/>
          <w:sz w:val="24"/>
          <w:szCs w:val="24"/>
          <w:lang w:val="en-US"/>
        </w:rPr>
        <w:t>“</w:t>
      </w:r>
      <w:r w:rsidRPr="0064064B">
        <w:rPr>
          <w:rFonts w:ascii="Times New Roman" w:hAnsi="Times New Roman" w:cs="Times New Roman"/>
          <w:bCs/>
          <w:i/>
          <w:sz w:val="24"/>
          <w:szCs w:val="24"/>
          <w:lang w:val="en-US"/>
        </w:rPr>
        <w:t>Modification of section 1013C</w:t>
      </w:r>
    </w:p>
    <w:p w14:paraId="5EE7BEF7" w14:textId="77777777" w:rsidR="0064064B" w:rsidRPr="00CB0151" w:rsidRDefault="0064064B" w:rsidP="0064064B">
      <w:pPr>
        <w:spacing w:after="0" w:line="240" w:lineRule="auto"/>
        <w:ind w:firstLine="720"/>
        <w:jc w:val="both"/>
        <w:rPr>
          <w:rFonts w:ascii="Times New Roman" w:hAnsi="Times New Roman" w:cs="Times New Roman"/>
          <w:sz w:val="24"/>
          <w:szCs w:val="24"/>
        </w:rPr>
      </w:pPr>
    </w:p>
    <w:p w14:paraId="7B95F45A" w14:textId="33EBF3E6" w:rsidR="0064064B" w:rsidRPr="00CB0151" w:rsidRDefault="0064064B" w:rsidP="0064064B">
      <w:pPr>
        <w:spacing w:after="0" w:line="240" w:lineRule="auto"/>
        <w:ind w:left="2268" w:hanging="567"/>
        <w:jc w:val="both"/>
        <w:rPr>
          <w:rFonts w:ascii="Times New Roman" w:hAnsi="Times New Roman" w:cs="Times New Roman"/>
          <w:sz w:val="24"/>
          <w:szCs w:val="24"/>
          <w:lang w:val="en-US"/>
        </w:rPr>
      </w:pPr>
      <w:r>
        <w:rPr>
          <w:rFonts w:ascii="Times New Roman" w:hAnsi="Times New Roman" w:cs="Times New Roman"/>
          <w:sz w:val="24"/>
          <w:szCs w:val="24"/>
          <w:lang w:val="en-US"/>
        </w:rPr>
        <w:t>(5A)</w:t>
      </w:r>
      <w:r>
        <w:rPr>
          <w:rFonts w:ascii="Times New Roman" w:hAnsi="Times New Roman" w:cs="Times New Roman"/>
          <w:sz w:val="24"/>
          <w:szCs w:val="24"/>
          <w:lang w:val="en-US"/>
        </w:rPr>
        <w:tab/>
      </w:r>
      <w:r w:rsidRPr="00CB0151">
        <w:rPr>
          <w:rFonts w:ascii="Times New Roman" w:hAnsi="Times New Roman" w:cs="Times New Roman"/>
          <w:sz w:val="24"/>
          <w:szCs w:val="24"/>
          <w:lang w:val="en-US"/>
        </w:rPr>
        <w:t>Section 1013C applies in relation to a regulated acquisition by a provider who is a trustee of a superannuation entity as if the reference to the responsible person in subsection 1013C(2) were:</w:t>
      </w:r>
    </w:p>
    <w:p w14:paraId="42CC0CBE" w14:textId="77777777" w:rsidR="0064064B" w:rsidRPr="00CB0151" w:rsidRDefault="0064064B" w:rsidP="0064064B">
      <w:pPr>
        <w:spacing w:after="0" w:line="240" w:lineRule="auto"/>
        <w:ind w:left="1701"/>
        <w:jc w:val="both"/>
        <w:rPr>
          <w:rFonts w:ascii="Times New Roman" w:hAnsi="Times New Roman" w:cs="Times New Roman"/>
          <w:sz w:val="24"/>
          <w:szCs w:val="24"/>
        </w:rPr>
      </w:pPr>
    </w:p>
    <w:p w14:paraId="2911AC2B" w14:textId="77777777" w:rsidR="0064064B" w:rsidRPr="00CB0151" w:rsidRDefault="0064064B" w:rsidP="0064064B">
      <w:pPr>
        <w:spacing w:after="0" w:line="240" w:lineRule="auto"/>
        <w:ind w:left="2835" w:hanging="567"/>
        <w:jc w:val="both"/>
        <w:rPr>
          <w:rFonts w:ascii="Times New Roman" w:hAnsi="Times New Roman" w:cs="Times New Roman"/>
          <w:sz w:val="24"/>
          <w:szCs w:val="24"/>
          <w:lang w:val="en-US"/>
        </w:rPr>
      </w:pPr>
      <w:r w:rsidRPr="00CB0151">
        <w:rPr>
          <w:rFonts w:ascii="Times New Roman" w:hAnsi="Times New Roman" w:cs="Times New Roman"/>
          <w:sz w:val="24"/>
          <w:szCs w:val="24"/>
          <w:lang w:val="en-US"/>
        </w:rPr>
        <w:t>(a)</w:t>
      </w:r>
      <w:r w:rsidRPr="00CB0151">
        <w:rPr>
          <w:rFonts w:ascii="Times New Roman" w:hAnsi="Times New Roman" w:cs="Times New Roman"/>
          <w:sz w:val="24"/>
          <w:szCs w:val="24"/>
          <w:lang w:val="en-US"/>
        </w:rPr>
        <w:tab/>
        <w:t>in the case of an issue Statement—a reference to the issuer of the financial product; or</w:t>
      </w:r>
    </w:p>
    <w:p w14:paraId="2606AA9D" w14:textId="77777777" w:rsidR="0064064B" w:rsidRPr="00CB0151" w:rsidRDefault="0064064B" w:rsidP="0064064B">
      <w:pPr>
        <w:spacing w:after="0" w:line="240" w:lineRule="auto"/>
        <w:ind w:left="2835" w:hanging="567"/>
        <w:jc w:val="both"/>
        <w:rPr>
          <w:rFonts w:ascii="Times New Roman" w:hAnsi="Times New Roman" w:cs="Times New Roman"/>
          <w:sz w:val="24"/>
          <w:szCs w:val="24"/>
          <w:lang w:val="en-US"/>
        </w:rPr>
      </w:pPr>
    </w:p>
    <w:p w14:paraId="7BB94D58" w14:textId="35710EA3" w:rsidR="0064064B" w:rsidRDefault="0064064B" w:rsidP="0064064B">
      <w:pPr>
        <w:spacing w:after="0" w:line="240" w:lineRule="auto"/>
        <w:ind w:left="2835" w:hanging="567"/>
        <w:jc w:val="both"/>
        <w:rPr>
          <w:lang w:val="en"/>
        </w:rPr>
      </w:pPr>
      <w:r w:rsidRPr="00CB0151">
        <w:rPr>
          <w:rFonts w:ascii="Times New Roman" w:hAnsi="Times New Roman" w:cs="Times New Roman"/>
          <w:sz w:val="24"/>
          <w:szCs w:val="24"/>
          <w:lang w:val="en-US"/>
        </w:rPr>
        <w:t xml:space="preserve">(b) </w:t>
      </w:r>
      <w:r w:rsidRPr="00CB0151">
        <w:rPr>
          <w:rFonts w:ascii="Times New Roman" w:hAnsi="Times New Roman" w:cs="Times New Roman"/>
          <w:sz w:val="24"/>
          <w:szCs w:val="24"/>
          <w:lang w:val="en-US"/>
        </w:rPr>
        <w:tab/>
        <w:t>in the case of a sale Statement—a reference to the seller of the financial product.”;</w:t>
      </w:r>
    </w:p>
    <w:p w14:paraId="225219C0" w14:textId="77777777" w:rsidR="0064064B" w:rsidRPr="00CB0151" w:rsidRDefault="0064064B" w:rsidP="0064064B">
      <w:pPr>
        <w:spacing w:after="0" w:line="240" w:lineRule="auto"/>
        <w:ind w:left="1440" w:hanging="720"/>
        <w:jc w:val="both"/>
        <w:rPr>
          <w:rFonts w:ascii="Times New Roman" w:hAnsi="Times New Roman" w:cs="Times New Roman"/>
          <w:sz w:val="24"/>
          <w:szCs w:val="24"/>
          <w:lang w:val="en-US"/>
        </w:rPr>
      </w:pPr>
    </w:p>
    <w:p w14:paraId="42B29BF0" w14:textId="073B84BA" w:rsidR="0064064B" w:rsidRPr="00CB0151" w:rsidRDefault="0064064B" w:rsidP="000E4104">
      <w:pPr>
        <w:spacing w:after="0" w:line="240" w:lineRule="auto"/>
        <w:ind w:left="1134" w:hanging="567"/>
        <w:rPr>
          <w:rFonts w:ascii="Times New Roman" w:hAnsi="Times New Roman" w:cs="Times New Roman"/>
          <w:sz w:val="24"/>
          <w:szCs w:val="24"/>
        </w:rPr>
      </w:pPr>
      <w:r w:rsidRPr="00CB0151">
        <w:rPr>
          <w:rFonts w:ascii="Times New Roman" w:hAnsi="Times New Roman" w:cs="Times New Roman"/>
          <w:sz w:val="24"/>
          <w:szCs w:val="24"/>
        </w:rPr>
        <w:t>(</w:t>
      </w:r>
      <w:r w:rsidR="00785AD3">
        <w:rPr>
          <w:rFonts w:ascii="Times New Roman" w:hAnsi="Times New Roman" w:cs="Times New Roman"/>
          <w:sz w:val="24"/>
          <w:szCs w:val="24"/>
        </w:rPr>
        <w:t>c</w:t>
      </w:r>
      <w:r w:rsidRPr="00CB0151">
        <w:rPr>
          <w:rFonts w:ascii="Times New Roman" w:hAnsi="Times New Roman" w:cs="Times New Roman"/>
          <w:sz w:val="24"/>
          <w:szCs w:val="24"/>
        </w:rPr>
        <w:t>)</w:t>
      </w:r>
      <w:r w:rsidRPr="00CB0151">
        <w:rPr>
          <w:rFonts w:ascii="Times New Roman" w:hAnsi="Times New Roman" w:cs="Times New Roman"/>
          <w:sz w:val="24"/>
          <w:szCs w:val="24"/>
        </w:rPr>
        <w:tab/>
        <w:t xml:space="preserve">in subsection 1013D(1) </w:t>
      </w:r>
      <w:r w:rsidR="000E4104">
        <w:rPr>
          <w:rFonts w:ascii="Times New Roman" w:hAnsi="Times New Roman" w:cs="Times New Roman"/>
          <w:sz w:val="24"/>
          <w:szCs w:val="24"/>
        </w:rPr>
        <w:t xml:space="preserve">omit </w:t>
      </w:r>
      <w:r w:rsidRPr="00CB0151">
        <w:rPr>
          <w:rFonts w:ascii="Times New Roman" w:hAnsi="Times New Roman" w:cs="Times New Roman"/>
          <w:sz w:val="24"/>
          <w:szCs w:val="24"/>
        </w:rPr>
        <w:t>“sections 1013F and 1013FA,”</w:t>
      </w:r>
      <w:r w:rsidR="000E4104">
        <w:rPr>
          <w:rFonts w:ascii="Times New Roman" w:hAnsi="Times New Roman" w:cs="Times New Roman"/>
          <w:sz w:val="24"/>
          <w:szCs w:val="24"/>
        </w:rPr>
        <w:t>,</w:t>
      </w:r>
      <w:r w:rsidRPr="00CB0151">
        <w:rPr>
          <w:rFonts w:ascii="Times New Roman" w:hAnsi="Times New Roman" w:cs="Times New Roman"/>
          <w:sz w:val="24"/>
          <w:szCs w:val="24"/>
        </w:rPr>
        <w:t xml:space="preserve"> </w:t>
      </w:r>
      <w:r w:rsidR="000E4104">
        <w:rPr>
          <w:rFonts w:ascii="Times New Roman" w:hAnsi="Times New Roman" w:cs="Times New Roman"/>
          <w:sz w:val="24"/>
          <w:szCs w:val="24"/>
        </w:rPr>
        <w:t xml:space="preserve">substitute </w:t>
      </w:r>
      <w:r w:rsidRPr="00CB0151">
        <w:rPr>
          <w:rFonts w:ascii="Times New Roman" w:hAnsi="Times New Roman" w:cs="Times New Roman"/>
          <w:sz w:val="24"/>
          <w:szCs w:val="24"/>
        </w:rPr>
        <w:t>“sections</w:t>
      </w:r>
      <w:r w:rsidR="000E4104">
        <w:rPr>
          <w:rFonts w:ascii="Times New Roman" w:hAnsi="Times New Roman" w:cs="Times New Roman"/>
          <w:sz w:val="24"/>
          <w:szCs w:val="24"/>
        </w:rPr>
        <w:t> </w:t>
      </w:r>
      <w:r w:rsidRPr="00CB0151">
        <w:rPr>
          <w:rFonts w:ascii="Times New Roman" w:hAnsi="Times New Roman" w:cs="Times New Roman"/>
          <w:sz w:val="24"/>
          <w:szCs w:val="24"/>
        </w:rPr>
        <w:t>1013F, 1013FA and 1013FB,”; and</w:t>
      </w:r>
    </w:p>
    <w:p w14:paraId="59152113" w14:textId="77777777" w:rsidR="0064064B" w:rsidRPr="00CB0151" w:rsidRDefault="0064064B" w:rsidP="000E4104">
      <w:pPr>
        <w:spacing w:after="0" w:line="240" w:lineRule="auto"/>
        <w:ind w:left="720" w:hanging="720"/>
        <w:rPr>
          <w:rFonts w:ascii="Times New Roman" w:hAnsi="Times New Roman" w:cs="Times New Roman"/>
          <w:sz w:val="24"/>
          <w:szCs w:val="24"/>
        </w:rPr>
      </w:pPr>
    </w:p>
    <w:p w14:paraId="1AA2BC68" w14:textId="76E1E10A" w:rsidR="0064064B" w:rsidRPr="00CB0151" w:rsidRDefault="0064064B" w:rsidP="000E4104">
      <w:pPr>
        <w:spacing w:after="0" w:line="240" w:lineRule="auto"/>
        <w:ind w:left="1134" w:hanging="567"/>
        <w:rPr>
          <w:rFonts w:ascii="Times New Roman" w:hAnsi="Times New Roman" w:cs="Times New Roman"/>
          <w:sz w:val="24"/>
          <w:szCs w:val="24"/>
        </w:rPr>
      </w:pPr>
      <w:r w:rsidRPr="00CB0151">
        <w:rPr>
          <w:rFonts w:ascii="Times New Roman" w:hAnsi="Times New Roman" w:cs="Times New Roman"/>
          <w:sz w:val="24"/>
          <w:szCs w:val="24"/>
        </w:rPr>
        <w:t>(</w:t>
      </w:r>
      <w:r w:rsidR="00785AD3">
        <w:rPr>
          <w:rFonts w:ascii="Times New Roman" w:hAnsi="Times New Roman" w:cs="Times New Roman"/>
          <w:sz w:val="24"/>
          <w:szCs w:val="24"/>
        </w:rPr>
        <w:t>d</w:t>
      </w:r>
      <w:r w:rsidRPr="00CB0151">
        <w:rPr>
          <w:rFonts w:ascii="Times New Roman" w:hAnsi="Times New Roman" w:cs="Times New Roman"/>
          <w:sz w:val="24"/>
          <w:szCs w:val="24"/>
        </w:rPr>
        <w:t>)</w:t>
      </w:r>
      <w:r w:rsidRPr="00CB0151">
        <w:rPr>
          <w:rFonts w:ascii="Times New Roman" w:hAnsi="Times New Roman" w:cs="Times New Roman"/>
          <w:sz w:val="24"/>
          <w:szCs w:val="24"/>
        </w:rPr>
        <w:tab/>
        <w:t xml:space="preserve">in section 1013E </w:t>
      </w:r>
      <w:r w:rsidR="000E4104">
        <w:rPr>
          <w:rFonts w:ascii="Times New Roman" w:hAnsi="Times New Roman" w:cs="Times New Roman"/>
          <w:sz w:val="24"/>
          <w:szCs w:val="24"/>
        </w:rPr>
        <w:t>omit</w:t>
      </w:r>
      <w:r w:rsidRPr="00CB0151">
        <w:rPr>
          <w:rFonts w:ascii="Times New Roman" w:hAnsi="Times New Roman" w:cs="Times New Roman"/>
          <w:sz w:val="24"/>
          <w:szCs w:val="24"/>
        </w:rPr>
        <w:t xml:space="preserve"> “sections 1013F and 1013FA,”</w:t>
      </w:r>
      <w:r w:rsidR="000E4104">
        <w:rPr>
          <w:rFonts w:ascii="Times New Roman" w:hAnsi="Times New Roman" w:cs="Times New Roman"/>
          <w:sz w:val="24"/>
          <w:szCs w:val="24"/>
        </w:rPr>
        <w:t xml:space="preserve">,  substitute </w:t>
      </w:r>
      <w:r w:rsidRPr="00CB0151">
        <w:rPr>
          <w:rFonts w:ascii="Times New Roman" w:hAnsi="Times New Roman" w:cs="Times New Roman"/>
          <w:sz w:val="24"/>
          <w:szCs w:val="24"/>
        </w:rPr>
        <w:t>“sections</w:t>
      </w:r>
      <w:r w:rsidR="000E4104">
        <w:rPr>
          <w:rFonts w:ascii="Times New Roman" w:hAnsi="Times New Roman" w:cs="Times New Roman"/>
          <w:sz w:val="24"/>
          <w:szCs w:val="24"/>
        </w:rPr>
        <w:t> </w:t>
      </w:r>
      <w:r w:rsidRPr="00CB0151">
        <w:rPr>
          <w:rFonts w:ascii="Times New Roman" w:hAnsi="Times New Roman" w:cs="Times New Roman"/>
          <w:sz w:val="24"/>
          <w:szCs w:val="24"/>
        </w:rPr>
        <w:t>1013F,</w:t>
      </w:r>
      <w:r w:rsidR="000E4104">
        <w:rPr>
          <w:rFonts w:ascii="Times New Roman" w:hAnsi="Times New Roman" w:cs="Times New Roman"/>
          <w:sz w:val="24"/>
          <w:szCs w:val="24"/>
        </w:rPr>
        <w:t> </w:t>
      </w:r>
      <w:r w:rsidRPr="00CB0151">
        <w:rPr>
          <w:rFonts w:ascii="Times New Roman" w:hAnsi="Times New Roman" w:cs="Times New Roman"/>
          <w:sz w:val="24"/>
          <w:szCs w:val="24"/>
        </w:rPr>
        <w:t>1013FA and 1013FB,”; and</w:t>
      </w:r>
    </w:p>
    <w:p w14:paraId="3C30419E" w14:textId="77777777" w:rsidR="0064064B" w:rsidRDefault="0064064B" w:rsidP="006C2AE4">
      <w:pPr>
        <w:pStyle w:val="LI-BodyTextNumbered"/>
        <w:spacing w:before="0"/>
        <w:rPr>
          <w:lang w:val="en"/>
        </w:rPr>
      </w:pPr>
    </w:p>
    <w:p w14:paraId="559DD536" w14:textId="0F1BD66B" w:rsidR="006C2AE4" w:rsidRPr="00CB0151" w:rsidRDefault="006C2AE4" w:rsidP="006C2AE4">
      <w:pPr>
        <w:pStyle w:val="LI-BodyTextNumbered"/>
        <w:spacing w:before="0"/>
        <w:rPr>
          <w:lang w:val="en"/>
        </w:rPr>
      </w:pPr>
      <w:r w:rsidRPr="00CB0151">
        <w:rPr>
          <w:lang w:val="en"/>
        </w:rPr>
        <w:t>(</w:t>
      </w:r>
      <w:r w:rsidR="00785AD3">
        <w:rPr>
          <w:lang w:val="en"/>
        </w:rPr>
        <w:t>e</w:t>
      </w:r>
      <w:r w:rsidRPr="00CB0151">
        <w:rPr>
          <w:lang w:val="en"/>
        </w:rPr>
        <w:t>)</w:t>
      </w:r>
      <w:r w:rsidRPr="00CB0151">
        <w:rPr>
          <w:lang w:val="en"/>
        </w:rPr>
        <w:tab/>
        <w:t>after section 1013FA insert:</w:t>
      </w:r>
    </w:p>
    <w:p w14:paraId="559DD537" w14:textId="77777777" w:rsidR="006C2AE4" w:rsidRPr="00CB0151" w:rsidRDefault="006C2AE4" w:rsidP="006C2AE4">
      <w:pPr>
        <w:pStyle w:val="LI-BodyTextNumbered"/>
        <w:spacing w:before="0"/>
        <w:rPr>
          <w:lang w:val="en"/>
        </w:rPr>
      </w:pPr>
    </w:p>
    <w:p w14:paraId="559DD538" w14:textId="3643D536" w:rsidR="006C2AE4" w:rsidRPr="00CB0151" w:rsidRDefault="006C2AE4" w:rsidP="00947E9C">
      <w:pPr>
        <w:pStyle w:val="LI-BodyTextNumbered"/>
        <w:spacing w:before="0"/>
        <w:ind w:firstLine="0"/>
        <w:rPr>
          <w:lang w:val="en"/>
        </w:rPr>
      </w:pPr>
      <w:r w:rsidRPr="00F36CCF">
        <w:rPr>
          <w:bCs/>
          <w:lang w:val="en"/>
        </w:rPr>
        <w:t>“</w:t>
      </w:r>
      <w:r w:rsidRPr="00CB0151">
        <w:rPr>
          <w:b/>
          <w:bCs/>
          <w:lang w:val="en"/>
        </w:rPr>
        <w:t>1013FB</w:t>
      </w:r>
      <w:r w:rsidR="00947E9C">
        <w:rPr>
          <w:b/>
          <w:bCs/>
          <w:lang w:val="en"/>
        </w:rPr>
        <w:t xml:space="preserve"> </w:t>
      </w:r>
      <w:r w:rsidRPr="00CB0151">
        <w:rPr>
          <w:b/>
          <w:bCs/>
          <w:lang w:val="en"/>
        </w:rPr>
        <w:t xml:space="preserve"> Choices available in relation to Product Disclosure Statements for </w:t>
      </w:r>
      <w:r w:rsidR="00F45195">
        <w:rPr>
          <w:b/>
          <w:bCs/>
          <w:lang w:val="en"/>
        </w:rPr>
        <w:t xml:space="preserve">regulated acquisitions through </w:t>
      </w:r>
      <w:r w:rsidRPr="00CB0151">
        <w:rPr>
          <w:b/>
          <w:bCs/>
          <w:lang w:val="en"/>
        </w:rPr>
        <w:t xml:space="preserve">superannuation </w:t>
      </w:r>
      <w:r w:rsidR="00F45195">
        <w:rPr>
          <w:b/>
          <w:bCs/>
          <w:lang w:val="en"/>
        </w:rPr>
        <w:t>funds</w:t>
      </w:r>
    </w:p>
    <w:p w14:paraId="559DD539" w14:textId="77777777" w:rsidR="006C2AE4" w:rsidRPr="00CB0151" w:rsidRDefault="006C2AE4" w:rsidP="006C2AE4">
      <w:pPr>
        <w:pStyle w:val="LI-BodyTextNumbered"/>
        <w:spacing w:before="0"/>
        <w:rPr>
          <w:lang w:val="en"/>
        </w:rPr>
      </w:pPr>
    </w:p>
    <w:p w14:paraId="559DD53A" w14:textId="6EA0820D" w:rsidR="006C2AE4" w:rsidRPr="00CB0151" w:rsidRDefault="006C2AE4" w:rsidP="00947E9C">
      <w:pPr>
        <w:pStyle w:val="LI-BodyTextNumbered"/>
        <w:spacing w:before="0"/>
        <w:ind w:left="1701"/>
        <w:rPr>
          <w:lang w:val="en"/>
        </w:rPr>
      </w:pPr>
      <w:r w:rsidRPr="00CB0151">
        <w:rPr>
          <w:lang w:val="en"/>
        </w:rPr>
        <w:t>(1)</w:t>
      </w:r>
      <w:r w:rsidRPr="00CB0151">
        <w:rPr>
          <w:lang w:val="en"/>
        </w:rPr>
        <w:tab/>
        <w:t xml:space="preserve">This section applies </w:t>
      </w:r>
      <w:r w:rsidR="00833E36">
        <w:rPr>
          <w:lang w:val="en"/>
        </w:rPr>
        <w:t>in relation to</w:t>
      </w:r>
      <w:r w:rsidRPr="00CB0151">
        <w:rPr>
          <w:lang w:val="en"/>
        </w:rPr>
        <w:t xml:space="preserve"> a regulated acquisition of a financial</w:t>
      </w:r>
      <w:r w:rsidR="00833E36">
        <w:rPr>
          <w:lang w:val="en"/>
        </w:rPr>
        <w:t> </w:t>
      </w:r>
      <w:r w:rsidRPr="00CB0151">
        <w:rPr>
          <w:lang w:val="en"/>
        </w:rPr>
        <w:t>product (the</w:t>
      </w:r>
      <w:r w:rsidR="00947E9C">
        <w:rPr>
          <w:lang w:val="en"/>
        </w:rPr>
        <w:t> </w:t>
      </w:r>
      <w:r w:rsidRPr="00CB0151">
        <w:rPr>
          <w:b/>
          <w:i/>
          <w:iCs/>
          <w:lang w:val="en"/>
        </w:rPr>
        <w:t>accessible financial product</w:t>
      </w:r>
      <w:r w:rsidRPr="00CB0151">
        <w:rPr>
          <w:lang w:val="en"/>
        </w:rPr>
        <w:t xml:space="preserve">) </w:t>
      </w:r>
      <w:r w:rsidR="00833E36">
        <w:rPr>
          <w:lang w:val="en"/>
        </w:rPr>
        <w:t xml:space="preserve">that </w:t>
      </w:r>
      <w:r w:rsidRPr="00CB0151">
        <w:rPr>
          <w:lang w:val="en"/>
        </w:rPr>
        <w:t>may be made through a superannuation</w:t>
      </w:r>
      <w:r w:rsidR="00947E9C">
        <w:rPr>
          <w:lang w:val="en"/>
        </w:rPr>
        <w:t> </w:t>
      </w:r>
      <w:r w:rsidRPr="00CB0151">
        <w:rPr>
          <w:lang w:val="en"/>
        </w:rPr>
        <w:t>entity.</w:t>
      </w:r>
    </w:p>
    <w:p w14:paraId="559DD53B" w14:textId="77777777" w:rsidR="006C2AE4" w:rsidRPr="00CB0151" w:rsidRDefault="006C2AE4" w:rsidP="006C2AE4">
      <w:pPr>
        <w:pStyle w:val="LI-BodyTextNumbered"/>
        <w:spacing w:before="0"/>
        <w:rPr>
          <w:lang w:val="en"/>
        </w:rPr>
      </w:pPr>
    </w:p>
    <w:p w14:paraId="559DD53C" w14:textId="31BE07C3" w:rsidR="006C2AE4" w:rsidRPr="00CB0151" w:rsidRDefault="006C2AE4" w:rsidP="000F511D">
      <w:pPr>
        <w:pStyle w:val="LI-BodyTextNumbered"/>
        <w:spacing w:before="0"/>
        <w:ind w:left="1701"/>
        <w:rPr>
          <w:lang w:val="en"/>
        </w:rPr>
      </w:pPr>
      <w:r w:rsidRPr="00CB0151">
        <w:rPr>
          <w:lang w:val="en"/>
        </w:rPr>
        <w:t>(2)</w:t>
      </w:r>
      <w:r w:rsidRPr="00CB0151">
        <w:rPr>
          <w:lang w:val="en"/>
        </w:rPr>
        <w:tab/>
      </w:r>
      <w:r w:rsidR="00036269">
        <w:rPr>
          <w:lang w:val="en"/>
        </w:rPr>
        <w:t xml:space="preserve">The trustee of the superannuation entity, in relation to the </w:t>
      </w:r>
      <w:r w:rsidRPr="00CB0151">
        <w:rPr>
          <w:lang w:val="en"/>
        </w:rPr>
        <w:t>Product</w:t>
      </w:r>
      <w:r w:rsidR="00036269">
        <w:rPr>
          <w:lang w:val="en"/>
        </w:rPr>
        <w:t> </w:t>
      </w:r>
      <w:r w:rsidRPr="00CB0151">
        <w:rPr>
          <w:lang w:val="en"/>
        </w:rPr>
        <w:t>Disclosure Statement (the</w:t>
      </w:r>
      <w:r w:rsidR="000F511D">
        <w:rPr>
          <w:lang w:val="en"/>
        </w:rPr>
        <w:t> </w:t>
      </w:r>
      <w:r w:rsidRPr="00CB0151">
        <w:rPr>
          <w:b/>
          <w:i/>
          <w:iCs/>
          <w:lang w:val="en"/>
        </w:rPr>
        <w:t>superannuation</w:t>
      </w:r>
      <w:r w:rsidR="000F511D">
        <w:rPr>
          <w:b/>
          <w:i/>
          <w:iCs/>
          <w:lang w:val="en"/>
        </w:rPr>
        <w:t> </w:t>
      </w:r>
      <w:r w:rsidRPr="00CB0151">
        <w:rPr>
          <w:b/>
          <w:i/>
          <w:iCs/>
          <w:lang w:val="en"/>
        </w:rPr>
        <w:t>entity PDS</w:t>
      </w:r>
      <w:r w:rsidRPr="00CB0151">
        <w:rPr>
          <w:lang w:val="en"/>
        </w:rPr>
        <w:t xml:space="preserve">) for </w:t>
      </w:r>
      <w:r w:rsidR="00036269">
        <w:rPr>
          <w:lang w:val="en"/>
        </w:rPr>
        <w:t>the</w:t>
      </w:r>
      <w:r w:rsidRPr="00CB0151">
        <w:rPr>
          <w:lang w:val="en"/>
        </w:rPr>
        <w:t xml:space="preserve"> superannuation product to which the superannuation entity relates</w:t>
      </w:r>
      <w:r w:rsidR="00036269">
        <w:rPr>
          <w:lang w:val="en"/>
        </w:rPr>
        <w:t>,</w:t>
      </w:r>
      <w:r w:rsidRPr="00CB0151">
        <w:rPr>
          <w:lang w:val="en"/>
        </w:rPr>
        <w:t xml:space="preserve"> may </w:t>
      </w:r>
      <w:r w:rsidR="00833E36">
        <w:rPr>
          <w:lang w:val="en"/>
        </w:rPr>
        <w:t xml:space="preserve">choose to </w:t>
      </w:r>
      <w:r w:rsidRPr="00CB0151">
        <w:rPr>
          <w:lang w:val="en"/>
        </w:rPr>
        <w:t>comply with:</w:t>
      </w:r>
    </w:p>
    <w:p w14:paraId="559DD53D" w14:textId="77777777" w:rsidR="006C2AE4" w:rsidRPr="00CB0151" w:rsidRDefault="006C2AE4" w:rsidP="00802AB5">
      <w:pPr>
        <w:pStyle w:val="LI-BodyTextNumbered"/>
        <w:spacing w:before="0"/>
        <w:ind w:left="0" w:firstLine="0"/>
        <w:rPr>
          <w:lang w:val="en"/>
        </w:rPr>
      </w:pPr>
    </w:p>
    <w:p w14:paraId="559DD53E" w14:textId="07F25712" w:rsidR="006C2AE4" w:rsidRPr="00CB0151" w:rsidRDefault="006C2AE4" w:rsidP="000F511D">
      <w:pPr>
        <w:pStyle w:val="LI-BodyTextNumbered"/>
        <w:spacing w:before="0"/>
        <w:ind w:left="2268"/>
        <w:rPr>
          <w:lang w:val="en"/>
        </w:rPr>
      </w:pPr>
      <w:r w:rsidRPr="00CB0151">
        <w:rPr>
          <w:lang w:val="en"/>
        </w:rPr>
        <w:t>(a)</w:t>
      </w:r>
      <w:r w:rsidRPr="00CB0151">
        <w:rPr>
          <w:lang w:val="en"/>
        </w:rPr>
        <w:tab/>
        <w:t>subsection</w:t>
      </w:r>
      <w:r w:rsidR="00841E90">
        <w:rPr>
          <w:lang w:val="en"/>
        </w:rPr>
        <w:t>s</w:t>
      </w:r>
      <w:r w:rsidRPr="00CB0151">
        <w:rPr>
          <w:lang w:val="en"/>
        </w:rPr>
        <w:t xml:space="preserve"> (3) </w:t>
      </w:r>
      <w:r w:rsidR="00841E90">
        <w:rPr>
          <w:lang w:val="en"/>
        </w:rPr>
        <w:t xml:space="preserve">and (4) </w:t>
      </w:r>
      <w:r w:rsidRPr="00CB0151">
        <w:rPr>
          <w:lang w:val="en"/>
        </w:rPr>
        <w:t>(separate Statements for the superannuation</w:t>
      </w:r>
      <w:r w:rsidR="00841E90">
        <w:rPr>
          <w:lang w:val="en"/>
        </w:rPr>
        <w:t> </w:t>
      </w:r>
      <w:r w:rsidRPr="00CB0151">
        <w:rPr>
          <w:lang w:val="en"/>
        </w:rPr>
        <w:t>product and the accessible financial product); or</w:t>
      </w:r>
    </w:p>
    <w:p w14:paraId="559DD53F" w14:textId="77777777" w:rsidR="00802AB5" w:rsidRPr="00CB0151" w:rsidRDefault="00802AB5" w:rsidP="000F511D">
      <w:pPr>
        <w:pStyle w:val="LI-BodyTextNumbered"/>
        <w:spacing w:before="0"/>
        <w:ind w:left="2268"/>
        <w:rPr>
          <w:lang w:val="en"/>
        </w:rPr>
      </w:pPr>
    </w:p>
    <w:p w14:paraId="5750B412" w14:textId="3B4F810D" w:rsidR="00833E36" w:rsidRDefault="006C2AE4" w:rsidP="000F511D">
      <w:pPr>
        <w:pStyle w:val="LI-BodyTextNumbered"/>
        <w:spacing w:before="0"/>
        <w:ind w:left="2268"/>
        <w:rPr>
          <w:lang w:val="en"/>
        </w:rPr>
      </w:pPr>
      <w:r w:rsidRPr="00CB0151">
        <w:rPr>
          <w:lang w:val="en"/>
        </w:rPr>
        <w:t>(b)</w:t>
      </w:r>
      <w:r w:rsidRPr="00CB0151">
        <w:rPr>
          <w:lang w:val="en"/>
        </w:rPr>
        <w:tab/>
        <w:t>subsections (5) and (6) (integrated Statement for the superannuation</w:t>
      </w:r>
      <w:r w:rsidR="00841E90">
        <w:rPr>
          <w:lang w:val="en"/>
        </w:rPr>
        <w:t> </w:t>
      </w:r>
      <w:r w:rsidRPr="00CB0151">
        <w:rPr>
          <w:lang w:val="en"/>
        </w:rPr>
        <w:t>product and the accessible financial product)</w:t>
      </w:r>
      <w:r w:rsidR="00833E36">
        <w:rPr>
          <w:lang w:val="en"/>
        </w:rPr>
        <w:t>; or</w:t>
      </w:r>
    </w:p>
    <w:p w14:paraId="2EB6404F" w14:textId="77777777" w:rsidR="00833E36" w:rsidRDefault="00833E36" w:rsidP="000F511D">
      <w:pPr>
        <w:pStyle w:val="LI-BodyTextNumbered"/>
        <w:spacing w:before="0"/>
        <w:ind w:left="2268"/>
        <w:rPr>
          <w:lang w:val="en"/>
        </w:rPr>
      </w:pPr>
    </w:p>
    <w:p w14:paraId="559DD540" w14:textId="74AEFEE4" w:rsidR="006C2AE4" w:rsidRPr="00CB0151" w:rsidRDefault="00833E36" w:rsidP="000F511D">
      <w:pPr>
        <w:pStyle w:val="LI-BodyTextNumbered"/>
        <w:spacing w:before="0"/>
        <w:ind w:left="2268"/>
        <w:rPr>
          <w:lang w:val="en"/>
        </w:rPr>
      </w:pPr>
      <w:r>
        <w:rPr>
          <w:lang w:val="en"/>
        </w:rPr>
        <w:t>(c)</w:t>
      </w:r>
      <w:r>
        <w:rPr>
          <w:lang w:val="en"/>
        </w:rPr>
        <w:tab/>
        <w:t>the requirements of this Division apart from this section</w:t>
      </w:r>
      <w:r w:rsidR="006C2AE4" w:rsidRPr="00CB0151">
        <w:rPr>
          <w:lang w:val="en"/>
        </w:rPr>
        <w:t>.</w:t>
      </w:r>
    </w:p>
    <w:p w14:paraId="559DD545" w14:textId="77777777" w:rsidR="00802AB5" w:rsidRPr="00CB0151" w:rsidRDefault="00802AB5" w:rsidP="006C2AE4">
      <w:pPr>
        <w:pStyle w:val="LI-BodyTextNumbered"/>
        <w:spacing w:before="0"/>
        <w:ind w:left="0"/>
        <w:rPr>
          <w:lang w:val="en"/>
        </w:rPr>
      </w:pPr>
      <w:r w:rsidRPr="00CB0151">
        <w:rPr>
          <w:lang w:val="en"/>
        </w:rPr>
        <w:tab/>
      </w:r>
    </w:p>
    <w:p w14:paraId="559DD546" w14:textId="2DD4751F" w:rsidR="00802AB5" w:rsidRPr="000F511D" w:rsidRDefault="00802AB5" w:rsidP="000F511D">
      <w:pPr>
        <w:pStyle w:val="LI-BodyTextNumbered"/>
        <w:spacing w:before="0"/>
        <w:ind w:firstLine="3"/>
        <w:rPr>
          <w:lang w:val="en"/>
        </w:rPr>
      </w:pPr>
      <w:r w:rsidRPr="000F511D">
        <w:rPr>
          <w:i/>
          <w:iCs/>
          <w:lang w:val="en"/>
        </w:rPr>
        <w:t>Separate PDSs for superannuation product and accessible financial products</w:t>
      </w:r>
    </w:p>
    <w:p w14:paraId="559DD547" w14:textId="77777777" w:rsidR="00802AB5" w:rsidRPr="00CB0151" w:rsidRDefault="00802AB5" w:rsidP="00802AB5">
      <w:pPr>
        <w:pStyle w:val="LI-BodyTextNumbered"/>
        <w:spacing w:before="0"/>
        <w:rPr>
          <w:lang w:val="en"/>
        </w:rPr>
      </w:pPr>
    </w:p>
    <w:p w14:paraId="559DD548" w14:textId="4D05DB20" w:rsidR="00802AB5" w:rsidRPr="00CB0151" w:rsidRDefault="00802AB5" w:rsidP="00833E36">
      <w:pPr>
        <w:pStyle w:val="LI-BodyTextNumbered"/>
        <w:spacing w:before="0"/>
        <w:ind w:left="1701"/>
        <w:rPr>
          <w:lang w:val="en"/>
        </w:rPr>
      </w:pPr>
      <w:r w:rsidRPr="00CB0151">
        <w:rPr>
          <w:lang w:val="en"/>
        </w:rPr>
        <w:t>(3)</w:t>
      </w:r>
      <w:r w:rsidRPr="00CB0151">
        <w:rPr>
          <w:lang w:val="en"/>
        </w:rPr>
        <w:tab/>
        <w:t>The superannuation entity PDS must:</w:t>
      </w:r>
    </w:p>
    <w:p w14:paraId="559DD549" w14:textId="3E07F3E6" w:rsidR="00802AB5" w:rsidRPr="00CB0151" w:rsidRDefault="00802AB5" w:rsidP="00833E36">
      <w:pPr>
        <w:pStyle w:val="LI-BodyTextParaa"/>
        <w:ind w:left="2268"/>
        <w:rPr>
          <w:lang w:val="en"/>
        </w:rPr>
      </w:pPr>
      <w:r w:rsidRPr="00CB0151">
        <w:rPr>
          <w:lang w:val="en"/>
        </w:rPr>
        <w:t>(a)</w:t>
      </w:r>
      <w:r w:rsidRPr="00CB0151">
        <w:rPr>
          <w:lang w:val="en"/>
        </w:rPr>
        <w:tab/>
        <w:t xml:space="preserve">contain the information about the superannuation </w:t>
      </w:r>
      <w:r w:rsidR="00EC035C" w:rsidRPr="00CB0151">
        <w:rPr>
          <w:lang w:val="en"/>
        </w:rPr>
        <w:t>product</w:t>
      </w:r>
      <w:r w:rsidRPr="00CB0151">
        <w:rPr>
          <w:lang w:val="en"/>
        </w:rPr>
        <w:t xml:space="preserve"> that is required by </w:t>
      </w:r>
      <w:r w:rsidR="008C0C3C">
        <w:rPr>
          <w:lang w:val="en"/>
        </w:rPr>
        <w:t>this Division</w:t>
      </w:r>
      <w:r w:rsidR="0039372F" w:rsidRPr="00CB0151">
        <w:rPr>
          <w:lang w:val="en"/>
        </w:rPr>
        <w:t>; and</w:t>
      </w:r>
    </w:p>
    <w:p w14:paraId="559DD54A" w14:textId="77777777" w:rsidR="0039372F" w:rsidRPr="00CB0151" w:rsidRDefault="0039372F" w:rsidP="00833E36">
      <w:pPr>
        <w:pStyle w:val="LI-BodyTextNumbered"/>
        <w:spacing w:before="0"/>
        <w:ind w:left="2268"/>
        <w:rPr>
          <w:lang w:val="en"/>
        </w:rPr>
      </w:pPr>
    </w:p>
    <w:p w14:paraId="559DD54B" w14:textId="02AC651D" w:rsidR="00802AB5" w:rsidRPr="00CB0151" w:rsidRDefault="0039372F" w:rsidP="00833E36">
      <w:pPr>
        <w:pStyle w:val="LI-BodyTextNumbered"/>
        <w:spacing w:before="0"/>
        <w:ind w:left="2268"/>
        <w:rPr>
          <w:lang w:val="en"/>
        </w:rPr>
      </w:pPr>
      <w:r w:rsidRPr="00CB0151">
        <w:rPr>
          <w:lang w:val="en"/>
        </w:rPr>
        <w:t>(</w:t>
      </w:r>
      <w:r w:rsidR="00B066CA" w:rsidRPr="00CB0151">
        <w:rPr>
          <w:lang w:val="en"/>
        </w:rPr>
        <w:t>b</w:t>
      </w:r>
      <w:r w:rsidRPr="00CB0151">
        <w:rPr>
          <w:lang w:val="en"/>
        </w:rPr>
        <w:t>)</w:t>
      </w:r>
      <w:r w:rsidRPr="00CB0151">
        <w:rPr>
          <w:lang w:val="en"/>
        </w:rPr>
        <w:tab/>
        <w:t>in relation to the accessible financial product</w:t>
      </w:r>
      <w:r w:rsidR="00DF262B" w:rsidRPr="00CB0151">
        <w:rPr>
          <w:lang w:val="en"/>
        </w:rPr>
        <w:t>—</w:t>
      </w:r>
      <w:r w:rsidR="00802AB5" w:rsidRPr="00CB0151">
        <w:rPr>
          <w:lang w:val="en"/>
        </w:rPr>
        <w:t>contain the information that a person would reasonably require as a retail client to:</w:t>
      </w:r>
    </w:p>
    <w:p w14:paraId="559DD54C" w14:textId="77777777" w:rsidR="0039372F" w:rsidRPr="00CB0151" w:rsidRDefault="0039372F" w:rsidP="00833E36">
      <w:pPr>
        <w:pStyle w:val="LI-BodyTextNumbered"/>
        <w:spacing w:before="0"/>
        <w:ind w:left="2268"/>
        <w:rPr>
          <w:lang w:val="en"/>
        </w:rPr>
      </w:pPr>
    </w:p>
    <w:p w14:paraId="559DD54D" w14:textId="77777777" w:rsidR="00802AB5" w:rsidRDefault="00802AB5" w:rsidP="00DD5EF4">
      <w:pPr>
        <w:pStyle w:val="LI-BodyTextNumbered"/>
        <w:spacing w:before="0"/>
        <w:ind w:left="2835"/>
        <w:rPr>
          <w:lang w:val="en"/>
        </w:rPr>
      </w:pPr>
      <w:r w:rsidRPr="00CB0151">
        <w:rPr>
          <w:lang w:val="en"/>
        </w:rPr>
        <w:t>(i)</w:t>
      </w:r>
      <w:r w:rsidRPr="00CB0151">
        <w:rPr>
          <w:lang w:val="en"/>
        </w:rPr>
        <w:tab/>
        <w:t>identify the accessible financial product; and</w:t>
      </w:r>
    </w:p>
    <w:p w14:paraId="2EA82196" w14:textId="77777777" w:rsidR="00FE2D36" w:rsidRPr="00CB0151" w:rsidRDefault="00FE2D36" w:rsidP="00DD5EF4">
      <w:pPr>
        <w:pStyle w:val="LI-BodyTextNumbered"/>
        <w:spacing w:before="0"/>
        <w:ind w:left="2835"/>
        <w:rPr>
          <w:lang w:val="en"/>
        </w:rPr>
      </w:pPr>
    </w:p>
    <w:p w14:paraId="559DD54E" w14:textId="77777777" w:rsidR="00802AB5" w:rsidRDefault="00802AB5" w:rsidP="00DD5EF4">
      <w:pPr>
        <w:pStyle w:val="LI-BodyTextNumbered"/>
        <w:spacing w:before="0"/>
        <w:ind w:left="2835"/>
        <w:rPr>
          <w:lang w:val="en"/>
        </w:rPr>
      </w:pPr>
      <w:r w:rsidRPr="00CB0151">
        <w:rPr>
          <w:lang w:val="en"/>
        </w:rPr>
        <w:t>(ii)</w:t>
      </w:r>
      <w:r w:rsidRPr="00CB0151">
        <w:rPr>
          <w:lang w:val="en"/>
        </w:rPr>
        <w:tab/>
        <w:t>understand the investment strategy under which the product may be acquired by way of a regulated acquisition; and</w:t>
      </w:r>
    </w:p>
    <w:p w14:paraId="6F73BEA2" w14:textId="77777777" w:rsidR="00DD5EF4" w:rsidRPr="00CB0151" w:rsidRDefault="00DD5EF4" w:rsidP="00DD5EF4">
      <w:pPr>
        <w:pStyle w:val="LI-BodyTextNumbered"/>
        <w:spacing w:before="0"/>
        <w:ind w:left="2835"/>
        <w:rPr>
          <w:lang w:val="en"/>
        </w:rPr>
      </w:pPr>
    </w:p>
    <w:p w14:paraId="559DD54F" w14:textId="77777777" w:rsidR="00802AB5" w:rsidRPr="00CB0151" w:rsidRDefault="00802AB5" w:rsidP="00DD5EF4">
      <w:pPr>
        <w:pStyle w:val="LI-BodyTextNumbered"/>
        <w:spacing w:before="0"/>
        <w:ind w:left="2835"/>
        <w:rPr>
          <w:lang w:val="en"/>
        </w:rPr>
      </w:pPr>
      <w:r w:rsidRPr="00CB0151">
        <w:rPr>
          <w:lang w:val="en"/>
        </w:rPr>
        <w:t>(iii)</w:t>
      </w:r>
      <w:r w:rsidRPr="00CB0151">
        <w:rPr>
          <w:lang w:val="en"/>
        </w:rPr>
        <w:tab/>
        <w:t>work out whether to ask for further information about the product; and</w:t>
      </w:r>
    </w:p>
    <w:p w14:paraId="559DD550" w14:textId="77777777" w:rsidR="00AF014D" w:rsidRPr="00CB0151" w:rsidRDefault="00AF014D" w:rsidP="00134D90">
      <w:pPr>
        <w:pStyle w:val="LI-BodyTextNumbered"/>
        <w:ind w:left="2268"/>
        <w:rPr>
          <w:lang w:val="en"/>
        </w:rPr>
      </w:pPr>
      <w:r w:rsidRPr="00CB0151">
        <w:rPr>
          <w:lang w:val="en"/>
        </w:rPr>
        <w:t>(</w:t>
      </w:r>
      <w:r w:rsidR="00B066CA" w:rsidRPr="00CB0151">
        <w:rPr>
          <w:lang w:val="en"/>
        </w:rPr>
        <w:t>c</w:t>
      </w:r>
      <w:r w:rsidRPr="00CB0151">
        <w:rPr>
          <w:lang w:val="en"/>
        </w:rPr>
        <w:t>)</w:t>
      </w:r>
      <w:r w:rsidRPr="00CB0151">
        <w:rPr>
          <w:lang w:val="en"/>
        </w:rPr>
        <w:tab/>
        <w:t>either:</w:t>
      </w:r>
    </w:p>
    <w:p w14:paraId="559DD551" w14:textId="5D8CBA83" w:rsidR="00AF014D" w:rsidRPr="00CB0151" w:rsidRDefault="00AF014D" w:rsidP="00134D90">
      <w:pPr>
        <w:pStyle w:val="LI-BodyTextNumbered"/>
        <w:ind w:left="2835"/>
        <w:rPr>
          <w:lang w:val="en"/>
        </w:rPr>
      </w:pPr>
      <w:r w:rsidRPr="00CB0151">
        <w:rPr>
          <w:lang w:val="en"/>
        </w:rPr>
        <w:t>(i)</w:t>
      </w:r>
      <w:r w:rsidRPr="00CB0151">
        <w:rPr>
          <w:lang w:val="en"/>
        </w:rPr>
        <w:tab/>
      </w:r>
      <w:r w:rsidR="00FE2D36" w:rsidRPr="003F0DD3">
        <w:rPr>
          <w:lang w:val="en"/>
        </w:rPr>
        <w:t xml:space="preserve">contain a statement that </w:t>
      </w:r>
      <w:r w:rsidRPr="003F0DD3">
        <w:rPr>
          <w:lang w:val="en"/>
        </w:rPr>
        <w:t>inform</w:t>
      </w:r>
      <w:r w:rsidR="00FE2D36" w:rsidRPr="003F0DD3">
        <w:rPr>
          <w:lang w:val="en"/>
        </w:rPr>
        <w:t>s</w:t>
      </w:r>
      <w:r w:rsidRPr="003F0DD3">
        <w:rPr>
          <w:lang w:val="en"/>
        </w:rPr>
        <w:t xml:space="preserve"> </w:t>
      </w:r>
      <w:r w:rsidRPr="00CB0151">
        <w:rPr>
          <w:lang w:val="en"/>
        </w:rPr>
        <w:t xml:space="preserve">people of their right to obtain from the </w:t>
      </w:r>
      <w:r w:rsidR="00841E90">
        <w:rPr>
          <w:lang w:val="en"/>
        </w:rPr>
        <w:t>trustee</w:t>
      </w:r>
      <w:r w:rsidRPr="00CB0151">
        <w:rPr>
          <w:lang w:val="en"/>
        </w:rPr>
        <w:t xml:space="preserve"> on request a Product Disclosure Statement </w:t>
      </w:r>
      <w:r w:rsidRPr="00CB0151">
        <w:rPr>
          <w:lang w:val="en"/>
        </w:rPr>
        <w:lastRenderedPageBreak/>
        <w:t>(the</w:t>
      </w:r>
      <w:r w:rsidR="00FE2D36">
        <w:rPr>
          <w:lang w:val="en"/>
        </w:rPr>
        <w:t> </w:t>
      </w:r>
      <w:r w:rsidR="00841E90">
        <w:rPr>
          <w:b/>
          <w:i/>
          <w:iCs/>
          <w:lang w:val="en"/>
        </w:rPr>
        <w:t>trustee</w:t>
      </w:r>
      <w:r w:rsidR="00FE2D36">
        <w:rPr>
          <w:b/>
          <w:i/>
          <w:iCs/>
          <w:lang w:val="en"/>
        </w:rPr>
        <w:t>’</w:t>
      </w:r>
      <w:r w:rsidRPr="00CB0151">
        <w:rPr>
          <w:b/>
          <w:i/>
          <w:iCs/>
          <w:lang w:val="en"/>
        </w:rPr>
        <w:t>s</w:t>
      </w:r>
      <w:r w:rsidR="00FE2D36">
        <w:rPr>
          <w:b/>
          <w:i/>
          <w:iCs/>
          <w:lang w:val="en"/>
        </w:rPr>
        <w:t> </w:t>
      </w:r>
      <w:r w:rsidRPr="00CB0151">
        <w:rPr>
          <w:b/>
          <w:i/>
          <w:iCs/>
          <w:lang w:val="en"/>
        </w:rPr>
        <w:t>accessible product PDS</w:t>
      </w:r>
      <w:r w:rsidRPr="00CB0151">
        <w:rPr>
          <w:lang w:val="en"/>
        </w:rPr>
        <w:t>) for the accessible</w:t>
      </w:r>
      <w:r w:rsidR="00FE2D36">
        <w:rPr>
          <w:lang w:val="en"/>
        </w:rPr>
        <w:t> </w:t>
      </w:r>
      <w:r w:rsidRPr="00CB0151">
        <w:rPr>
          <w:lang w:val="en"/>
        </w:rPr>
        <w:t xml:space="preserve">financial product that the </w:t>
      </w:r>
      <w:r w:rsidR="00841E90">
        <w:rPr>
          <w:lang w:val="en"/>
        </w:rPr>
        <w:t xml:space="preserve">trustee </w:t>
      </w:r>
      <w:r w:rsidRPr="00CB0151">
        <w:rPr>
          <w:lang w:val="en"/>
        </w:rPr>
        <w:t>has prepared; or</w:t>
      </w:r>
    </w:p>
    <w:p w14:paraId="559DD552" w14:textId="23B61386" w:rsidR="00940833" w:rsidRPr="00CB0151" w:rsidRDefault="00AF014D" w:rsidP="00134D90">
      <w:pPr>
        <w:pStyle w:val="LI-BodyTextNumbered"/>
        <w:ind w:left="2835"/>
        <w:rPr>
          <w:lang w:val="en"/>
        </w:rPr>
      </w:pPr>
      <w:r w:rsidRPr="00CB0151">
        <w:rPr>
          <w:lang w:val="en"/>
        </w:rPr>
        <w:t>(ii)</w:t>
      </w:r>
      <w:r w:rsidRPr="00CB0151">
        <w:rPr>
          <w:lang w:val="en"/>
        </w:rPr>
        <w:tab/>
      </w:r>
      <w:r w:rsidR="00FE2D36" w:rsidRPr="003F0DD3">
        <w:rPr>
          <w:lang w:val="en"/>
        </w:rPr>
        <w:t xml:space="preserve">contain a statement that </w:t>
      </w:r>
      <w:r w:rsidRPr="003F0DD3">
        <w:rPr>
          <w:lang w:val="en"/>
        </w:rPr>
        <w:t>inform</w:t>
      </w:r>
      <w:r w:rsidR="00FE2D36" w:rsidRPr="003F0DD3">
        <w:rPr>
          <w:lang w:val="en"/>
        </w:rPr>
        <w:t>s</w:t>
      </w:r>
      <w:r w:rsidRPr="003F0DD3">
        <w:rPr>
          <w:lang w:val="en"/>
        </w:rPr>
        <w:t xml:space="preserve"> </w:t>
      </w:r>
      <w:r w:rsidRPr="00CB0151">
        <w:rPr>
          <w:lang w:val="en"/>
        </w:rPr>
        <w:t xml:space="preserve">people of their right to obtain from the </w:t>
      </w:r>
      <w:r w:rsidR="00841E90">
        <w:rPr>
          <w:lang w:val="en"/>
        </w:rPr>
        <w:t>trustee</w:t>
      </w:r>
      <w:r w:rsidRPr="00CB0151">
        <w:rPr>
          <w:lang w:val="en"/>
        </w:rPr>
        <w:t xml:space="preserve"> on request a Product Disclosure Statement (the</w:t>
      </w:r>
      <w:r w:rsidR="00841E90">
        <w:rPr>
          <w:lang w:val="en"/>
        </w:rPr>
        <w:t> </w:t>
      </w:r>
      <w:r w:rsidRPr="00CB0151">
        <w:rPr>
          <w:b/>
          <w:i/>
          <w:iCs/>
          <w:lang w:val="en"/>
        </w:rPr>
        <w:t>issuer</w:t>
      </w:r>
      <w:r w:rsidR="00FE2D36">
        <w:rPr>
          <w:b/>
          <w:i/>
          <w:iCs/>
          <w:lang w:val="en"/>
        </w:rPr>
        <w:t>’</w:t>
      </w:r>
      <w:r w:rsidRPr="00CB0151">
        <w:rPr>
          <w:b/>
          <w:i/>
          <w:iCs/>
          <w:lang w:val="en"/>
        </w:rPr>
        <w:t>s accessible product PDS</w:t>
      </w:r>
      <w:r w:rsidRPr="00CB0151">
        <w:rPr>
          <w:lang w:val="en"/>
        </w:rPr>
        <w:t>) for the accessible</w:t>
      </w:r>
      <w:r w:rsidR="00FE2D36">
        <w:rPr>
          <w:lang w:val="en"/>
        </w:rPr>
        <w:t xml:space="preserve"> </w:t>
      </w:r>
      <w:r w:rsidRPr="00CB0151">
        <w:rPr>
          <w:lang w:val="en"/>
        </w:rPr>
        <w:t>financial product that the issuer of the product has prepared.</w:t>
      </w:r>
    </w:p>
    <w:p w14:paraId="559DD553" w14:textId="77777777" w:rsidR="00F10A17" w:rsidRPr="00CB0151" w:rsidRDefault="00F10A17" w:rsidP="00F10A17">
      <w:pPr>
        <w:pStyle w:val="LI-BodyTextNumbered"/>
        <w:spacing w:before="0"/>
        <w:ind w:left="2880" w:hanging="720"/>
        <w:rPr>
          <w:lang w:val="en"/>
        </w:rPr>
      </w:pPr>
    </w:p>
    <w:p w14:paraId="57C3701E" w14:textId="369B2896" w:rsidR="00036269" w:rsidRDefault="00AF014D" w:rsidP="009A0198">
      <w:pPr>
        <w:pStyle w:val="LI-BodyTextNumbered"/>
        <w:spacing w:before="0"/>
        <w:ind w:left="1701"/>
        <w:rPr>
          <w:lang w:val="en"/>
        </w:rPr>
      </w:pPr>
      <w:r w:rsidRPr="00CB0151">
        <w:rPr>
          <w:lang w:val="en"/>
        </w:rPr>
        <w:t>(4)</w:t>
      </w:r>
      <w:r w:rsidRPr="00CB0151">
        <w:rPr>
          <w:lang w:val="en"/>
        </w:rPr>
        <w:tab/>
      </w:r>
      <w:r w:rsidR="00036269">
        <w:rPr>
          <w:lang w:val="en"/>
        </w:rPr>
        <w:t xml:space="preserve">A trustee </w:t>
      </w:r>
      <w:r w:rsidR="009A0198">
        <w:rPr>
          <w:lang w:val="en"/>
        </w:rPr>
        <w:t>that complies with subsection (3)</w:t>
      </w:r>
      <w:r w:rsidR="00036269">
        <w:rPr>
          <w:lang w:val="en"/>
        </w:rPr>
        <w:t xml:space="preserve"> in relation to the superannuation entity PDS:</w:t>
      </w:r>
    </w:p>
    <w:p w14:paraId="133338D9" w14:textId="77777777" w:rsidR="00036269" w:rsidRDefault="00036269" w:rsidP="009A0198">
      <w:pPr>
        <w:pStyle w:val="LI-BodyTextNumbered"/>
        <w:spacing w:before="0"/>
        <w:ind w:left="1701"/>
        <w:rPr>
          <w:lang w:val="en"/>
        </w:rPr>
      </w:pPr>
    </w:p>
    <w:p w14:paraId="33C2EF92" w14:textId="72AB3889" w:rsidR="00036269" w:rsidRDefault="00036269" w:rsidP="00036269">
      <w:pPr>
        <w:pStyle w:val="LI-BodyTextNumbered"/>
        <w:spacing w:before="0"/>
        <w:ind w:left="2268"/>
        <w:rPr>
          <w:lang w:val="en"/>
        </w:rPr>
      </w:pPr>
      <w:r>
        <w:rPr>
          <w:lang w:val="en"/>
        </w:rPr>
        <w:t>(a)</w:t>
      </w:r>
      <w:r>
        <w:rPr>
          <w:lang w:val="en"/>
        </w:rPr>
        <w:tab/>
      </w:r>
      <w:r w:rsidR="009A0198">
        <w:rPr>
          <w:lang w:val="en"/>
        </w:rPr>
        <w:t xml:space="preserve">does not have to include in the superannuation entity PDS </w:t>
      </w:r>
      <w:r w:rsidR="009A0198" w:rsidRPr="00CB0151">
        <w:rPr>
          <w:lang w:val="en"/>
        </w:rPr>
        <w:t xml:space="preserve">any other information about the accessible financial product that would be required by </w:t>
      </w:r>
      <w:r w:rsidR="009A0198">
        <w:rPr>
          <w:lang w:val="en"/>
        </w:rPr>
        <w:t xml:space="preserve">or under </w:t>
      </w:r>
      <w:r w:rsidR="009A0198" w:rsidRPr="00CB0151">
        <w:rPr>
          <w:lang w:val="en"/>
        </w:rPr>
        <w:t xml:space="preserve">sections </w:t>
      </w:r>
      <w:r w:rsidR="009A0198">
        <w:rPr>
          <w:lang w:val="en"/>
        </w:rPr>
        <w:t xml:space="preserve">1013C, </w:t>
      </w:r>
      <w:r w:rsidR="009A0198" w:rsidRPr="00CB0151">
        <w:rPr>
          <w:lang w:val="en"/>
        </w:rPr>
        <w:t>1013D, 1013DA, 1013E or</w:t>
      </w:r>
      <w:r>
        <w:rPr>
          <w:lang w:val="en"/>
        </w:rPr>
        <w:t> </w:t>
      </w:r>
      <w:r w:rsidR="009A0198" w:rsidRPr="00CB0151">
        <w:rPr>
          <w:lang w:val="en"/>
        </w:rPr>
        <w:t>1013F</w:t>
      </w:r>
      <w:r>
        <w:rPr>
          <w:lang w:val="en"/>
        </w:rPr>
        <w:t>; and</w:t>
      </w:r>
    </w:p>
    <w:p w14:paraId="00DB2871" w14:textId="77777777" w:rsidR="0076350C" w:rsidRDefault="0076350C" w:rsidP="00036269">
      <w:pPr>
        <w:pStyle w:val="LI-BodyTextNumbered"/>
        <w:spacing w:before="0"/>
        <w:ind w:left="2268"/>
        <w:rPr>
          <w:lang w:val="en"/>
        </w:rPr>
      </w:pPr>
    </w:p>
    <w:p w14:paraId="61459503" w14:textId="77777777" w:rsidR="00841E90" w:rsidRDefault="00036269" w:rsidP="00036269">
      <w:pPr>
        <w:pStyle w:val="LI-BodyTextNumbered"/>
        <w:spacing w:before="0"/>
        <w:ind w:left="2268"/>
        <w:rPr>
          <w:lang w:val="en"/>
        </w:rPr>
      </w:pPr>
      <w:r>
        <w:rPr>
          <w:lang w:val="en"/>
        </w:rPr>
        <w:t>(b)</w:t>
      </w:r>
      <w:r>
        <w:rPr>
          <w:lang w:val="en"/>
        </w:rPr>
        <w:tab/>
      </w:r>
      <w:r w:rsidRPr="00CB0151">
        <w:rPr>
          <w:lang w:val="en"/>
        </w:rPr>
        <w:t xml:space="preserve">must give </w:t>
      </w:r>
      <w:r w:rsidR="00841E90">
        <w:rPr>
          <w:lang w:val="en"/>
        </w:rPr>
        <w:t>the following documents to any person who asks for it:</w:t>
      </w:r>
    </w:p>
    <w:p w14:paraId="178AD5BB" w14:textId="77777777" w:rsidR="00841E90" w:rsidRDefault="00841E90" w:rsidP="00036269">
      <w:pPr>
        <w:pStyle w:val="LI-BodyTextNumbered"/>
        <w:spacing w:before="0"/>
        <w:ind w:left="2268"/>
        <w:rPr>
          <w:lang w:val="en"/>
        </w:rPr>
      </w:pPr>
    </w:p>
    <w:p w14:paraId="245CE82A" w14:textId="49B6E6EB" w:rsidR="00841E90" w:rsidRDefault="00841E90" w:rsidP="00841E90">
      <w:pPr>
        <w:pStyle w:val="LI-BodyTextNumbered"/>
        <w:spacing w:before="0"/>
        <w:ind w:left="2835"/>
        <w:rPr>
          <w:lang w:val="en"/>
        </w:rPr>
      </w:pPr>
      <w:r>
        <w:rPr>
          <w:lang w:val="en"/>
        </w:rPr>
        <w:t>(i)</w:t>
      </w:r>
      <w:r>
        <w:rPr>
          <w:lang w:val="en"/>
        </w:rPr>
        <w:tab/>
      </w:r>
      <w:r w:rsidRPr="00CB0151">
        <w:rPr>
          <w:lang w:val="en"/>
        </w:rPr>
        <w:t>where subparagraph (3)(c)(i) applies</w:t>
      </w:r>
      <w:r>
        <w:rPr>
          <w:lang w:val="en"/>
        </w:rPr>
        <w:t>—</w:t>
      </w:r>
      <w:r w:rsidR="00036269" w:rsidRPr="00CB0151">
        <w:rPr>
          <w:lang w:val="en"/>
        </w:rPr>
        <w:t xml:space="preserve">the </w:t>
      </w:r>
      <w:r>
        <w:rPr>
          <w:lang w:val="en"/>
        </w:rPr>
        <w:t xml:space="preserve">trustee’s </w:t>
      </w:r>
      <w:r w:rsidR="00036269" w:rsidRPr="00CB0151">
        <w:rPr>
          <w:lang w:val="en"/>
        </w:rPr>
        <w:t>accessible</w:t>
      </w:r>
      <w:r>
        <w:rPr>
          <w:lang w:val="en"/>
        </w:rPr>
        <w:t> </w:t>
      </w:r>
      <w:r w:rsidR="00036269" w:rsidRPr="00CB0151">
        <w:rPr>
          <w:lang w:val="en"/>
        </w:rPr>
        <w:t>product PDS</w:t>
      </w:r>
      <w:r>
        <w:rPr>
          <w:lang w:val="en"/>
        </w:rPr>
        <w:t>;</w:t>
      </w:r>
    </w:p>
    <w:p w14:paraId="708F5C2B" w14:textId="77777777" w:rsidR="00841E90" w:rsidRDefault="00841E90" w:rsidP="00841E90">
      <w:pPr>
        <w:pStyle w:val="LI-BodyTextNumbered"/>
        <w:spacing w:before="0"/>
        <w:ind w:left="2835"/>
        <w:rPr>
          <w:lang w:val="en"/>
        </w:rPr>
      </w:pPr>
    </w:p>
    <w:p w14:paraId="7B7C2E56" w14:textId="0BA9E8AC" w:rsidR="00036269" w:rsidRDefault="00841E90" w:rsidP="00841E90">
      <w:pPr>
        <w:pStyle w:val="LI-BodyTextNumbered"/>
        <w:spacing w:before="0"/>
        <w:ind w:left="2835"/>
        <w:rPr>
          <w:lang w:val="en"/>
        </w:rPr>
      </w:pPr>
      <w:r>
        <w:rPr>
          <w:lang w:val="en"/>
        </w:rPr>
        <w:t>(ii)</w:t>
      </w:r>
      <w:r>
        <w:rPr>
          <w:lang w:val="en"/>
        </w:rPr>
        <w:tab/>
      </w:r>
      <w:r w:rsidR="00036269" w:rsidRPr="00CB0151">
        <w:rPr>
          <w:lang w:val="en"/>
        </w:rPr>
        <w:t>where subparagraph (3)(c)(i</w:t>
      </w:r>
      <w:r>
        <w:rPr>
          <w:lang w:val="en"/>
        </w:rPr>
        <w:t>i</w:t>
      </w:r>
      <w:r w:rsidR="00036269" w:rsidRPr="00CB0151">
        <w:rPr>
          <w:lang w:val="en"/>
        </w:rPr>
        <w:t>) applies</w:t>
      </w:r>
      <w:r>
        <w:rPr>
          <w:lang w:val="en"/>
        </w:rPr>
        <w:t>—</w:t>
      </w:r>
      <w:r w:rsidR="00036269" w:rsidRPr="00CB0151">
        <w:rPr>
          <w:lang w:val="en"/>
        </w:rPr>
        <w:t>the issuer</w:t>
      </w:r>
      <w:r>
        <w:rPr>
          <w:lang w:val="en"/>
        </w:rPr>
        <w:t>’</w:t>
      </w:r>
      <w:r w:rsidR="00036269" w:rsidRPr="00CB0151">
        <w:rPr>
          <w:lang w:val="en"/>
        </w:rPr>
        <w:t>s accessible</w:t>
      </w:r>
      <w:r>
        <w:rPr>
          <w:lang w:val="en"/>
        </w:rPr>
        <w:t> </w:t>
      </w:r>
      <w:r w:rsidR="00036269" w:rsidRPr="00CB0151">
        <w:rPr>
          <w:lang w:val="en"/>
        </w:rPr>
        <w:t>product PDS.</w:t>
      </w:r>
    </w:p>
    <w:p w14:paraId="559DD571" w14:textId="77777777" w:rsidR="00251642" w:rsidRPr="00CB0151" w:rsidRDefault="00251642" w:rsidP="00251642">
      <w:pPr>
        <w:pStyle w:val="LI-BodyTextNumbered"/>
        <w:spacing w:before="0"/>
        <w:ind w:left="0" w:firstLine="0"/>
      </w:pPr>
    </w:p>
    <w:p w14:paraId="559DD572" w14:textId="02A8B133" w:rsidR="00251642" w:rsidRPr="00456223" w:rsidRDefault="00251642" w:rsidP="00456223">
      <w:pPr>
        <w:pStyle w:val="LI-BodyTextNumbered"/>
        <w:spacing w:before="0"/>
        <w:ind w:firstLine="0"/>
        <w:rPr>
          <w:lang w:val="en"/>
        </w:rPr>
      </w:pPr>
      <w:r w:rsidRPr="00456223">
        <w:rPr>
          <w:i/>
          <w:iCs/>
          <w:lang w:val="en"/>
        </w:rPr>
        <w:t>Integrated PDS for superannuation product and accessible financial products</w:t>
      </w:r>
    </w:p>
    <w:p w14:paraId="559DD573" w14:textId="77777777" w:rsidR="00251642" w:rsidRPr="00CB0151" w:rsidRDefault="00251642" w:rsidP="00251642">
      <w:pPr>
        <w:pStyle w:val="LI-BodyTextNumbered"/>
        <w:spacing w:before="0"/>
        <w:rPr>
          <w:lang w:val="en"/>
        </w:rPr>
      </w:pPr>
    </w:p>
    <w:p w14:paraId="7A9407D6" w14:textId="6B313653" w:rsidR="000419BD" w:rsidRDefault="00251642" w:rsidP="000419BD">
      <w:pPr>
        <w:pStyle w:val="LI-BodyTextNumbered"/>
        <w:spacing w:before="0"/>
        <w:ind w:left="1701"/>
        <w:rPr>
          <w:lang w:val="en"/>
        </w:rPr>
      </w:pPr>
      <w:r w:rsidRPr="00CB0151">
        <w:rPr>
          <w:lang w:val="en"/>
        </w:rPr>
        <w:t>(</w:t>
      </w:r>
      <w:r w:rsidR="00D40DEA" w:rsidRPr="00CB0151">
        <w:rPr>
          <w:lang w:val="en"/>
        </w:rPr>
        <w:t>5</w:t>
      </w:r>
      <w:r w:rsidRPr="00CB0151">
        <w:rPr>
          <w:lang w:val="en"/>
        </w:rPr>
        <w:t>)</w:t>
      </w:r>
      <w:r w:rsidRPr="00CB0151">
        <w:rPr>
          <w:lang w:val="en"/>
        </w:rPr>
        <w:tab/>
        <w:t>The superannuation entity PDS and the Product Disclosure Statement for the accessible financial product must be combined</w:t>
      </w:r>
      <w:r w:rsidR="000419BD">
        <w:rPr>
          <w:lang w:val="en"/>
        </w:rPr>
        <w:t>:</w:t>
      </w:r>
    </w:p>
    <w:p w14:paraId="1EAC62D0" w14:textId="77777777" w:rsidR="000419BD" w:rsidRDefault="000419BD" w:rsidP="00251642">
      <w:pPr>
        <w:pStyle w:val="LI-BodyTextNumbered"/>
        <w:spacing w:before="0"/>
        <w:ind w:left="1440" w:hanging="720"/>
        <w:rPr>
          <w:lang w:val="en"/>
        </w:rPr>
      </w:pPr>
    </w:p>
    <w:p w14:paraId="0E32CF91" w14:textId="59FDFCE5" w:rsidR="000419BD" w:rsidRDefault="000419BD" w:rsidP="000419BD">
      <w:pPr>
        <w:pStyle w:val="LI-BodyTextNumbered"/>
        <w:spacing w:before="0"/>
        <w:ind w:left="2268"/>
        <w:rPr>
          <w:lang w:val="en"/>
        </w:rPr>
      </w:pPr>
      <w:r>
        <w:rPr>
          <w:lang w:val="en"/>
        </w:rPr>
        <w:t>(a)</w:t>
      </w:r>
      <w:r>
        <w:rPr>
          <w:lang w:val="en"/>
        </w:rPr>
        <w:tab/>
      </w:r>
      <w:r w:rsidR="00251642" w:rsidRPr="00CB0151">
        <w:rPr>
          <w:lang w:val="en"/>
        </w:rPr>
        <w:t xml:space="preserve">in a single document (the </w:t>
      </w:r>
      <w:r w:rsidR="00251642" w:rsidRPr="00CB0151">
        <w:rPr>
          <w:b/>
          <w:i/>
          <w:iCs/>
          <w:lang w:val="en"/>
        </w:rPr>
        <w:t>integrated PDS</w:t>
      </w:r>
      <w:r w:rsidR="00251642" w:rsidRPr="00CB0151">
        <w:rPr>
          <w:lang w:val="en"/>
        </w:rPr>
        <w:t>)</w:t>
      </w:r>
      <w:r>
        <w:rPr>
          <w:lang w:val="en"/>
        </w:rPr>
        <w:t>;</w:t>
      </w:r>
      <w:r w:rsidR="00251642" w:rsidRPr="00CB0151">
        <w:rPr>
          <w:lang w:val="en"/>
        </w:rPr>
        <w:t xml:space="preserve"> or</w:t>
      </w:r>
    </w:p>
    <w:p w14:paraId="54FD083E" w14:textId="77777777" w:rsidR="000419BD" w:rsidRDefault="000419BD" w:rsidP="000419BD">
      <w:pPr>
        <w:pStyle w:val="LI-BodyTextNumbered"/>
        <w:spacing w:before="0"/>
        <w:ind w:left="2268"/>
        <w:rPr>
          <w:lang w:val="en"/>
        </w:rPr>
      </w:pPr>
    </w:p>
    <w:p w14:paraId="559DD574" w14:textId="34CFEC06" w:rsidR="00251642" w:rsidRPr="00CB0151" w:rsidRDefault="000419BD" w:rsidP="000419BD">
      <w:pPr>
        <w:pStyle w:val="LI-BodyTextNumbered"/>
        <w:spacing w:before="0"/>
        <w:ind w:left="2268"/>
        <w:rPr>
          <w:lang w:val="en"/>
        </w:rPr>
      </w:pPr>
      <w:r>
        <w:rPr>
          <w:lang w:val="en"/>
        </w:rPr>
        <w:t>(b)</w:t>
      </w:r>
      <w:r>
        <w:rPr>
          <w:lang w:val="en"/>
        </w:rPr>
        <w:tab/>
      </w:r>
      <w:r w:rsidR="00251642" w:rsidRPr="00CB0151">
        <w:rPr>
          <w:lang w:val="en"/>
        </w:rPr>
        <w:t xml:space="preserve">in 2 or more separate documents (the </w:t>
      </w:r>
      <w:r w:rsidR="00251642" w:rsidRPr="00CB0151">
        <w:rPr>
          <w:b/>
          <w:i/>
          <w:iCs/>
          <w:lang w:val="en"/>
        </w:rPr>
        <w:t>integrated PDS</w:t>
      </w:r>
      <w:r w:rsidR="00251642" w:rsidRPr="00CB0151">
        <w:rPr>
          <w:lang w:val="en"/>
        </w:rPr>
        <w:t>) that are given at the same time.</w:t>
      </w:r>
    </w:p>
    <w:p w14:paraId="559DD575" w14:textId="77777777" w:rsidR="00251642" w:rsidRPr="00CB0151" w:rsidRDefault="00251642" w:rsidP="00251642">
      <w:pPr>
        <w:pStyle w:val="LI-BodyTextNumbered"/>
        <w:spacing w:before="0"/>
        <w:ind w:left="0" w:firstLine="0"/>
        <w:rPr>
          <w:lang w:val="en"/>
        </w:rPr>
      </w:pPr>
    </w:p>
    <w:p w14:paraId="2873F23D" w14:textId="5F30B8DF" w:rsidR="00C7141C" w:rsidRDefault="00251642" w:rsidP="003F0DD3">
      <w:pPr>
        <w:pStyle w:val="LI-BodyTextNumbered"/>
        <w:spacing w:before="0"/>
        <w:ind w:left="2268"/>
        <w:rPr>
          <w:sz w:val="20"/>
          <w:szCs w:val="20"/>
          <w:lang w:val="en"/>
        </w:rPr>
      </w:pPr>
      <w:r w:rsidRPr="000419BD">
        <w:rPr>
          <w:iCs/>
          <w:sz w:val="20"/>
          <w:szCs w:val="20"/>
          <w:lang w:val="en"/>
        </w:rPr>
        <w:t>Note:</w:t>
      </w:r>
      <w:r w:rsidR="000419BD">
        <w:rPr>
          <w:iCs/>
          <w:sz w:val="20"/>
          <w:szCs w:val="20"/>
          <w:lang w:val="en"/>
        </w:rPr>
        <w:tab/>
      </w:r>
      <w:r w:rsidRPr="000419BD">
        <w:rPr>
          <w:sz w:val="20"/>
          <w:szCs w:val="20"/>
          <w:lang w:val="en"/>
        </w:rPr>
        <w:t>Other requirements relating to Product Disclosure Statements made up of 2 or more separate documents are set out in section 1013L.</w:t>
      </w:r>
    </w:p>
    <w:p w14:paraId="559DD579" w14:textId="77777777" w:rsidR="00251642" w:rsidRPr="00CB0151" w:rsidRDefault="00251642" w:rsidP="00251642">
      <w:pPr>
        <w:pStyle w:val="LI-BodyTextNumbered"/>
        <w:spacing w:before="0"/>
        <w:ind w:left="567" w:firstLine="0"/>
        <w:rPr>
          <w:i/>
          <w:sz w:val="20"/>
          <w:szCs w:val="20"/>
          <w:lang w:val="en"/>
        </w:rPr>
      </w:pPr>
    </w:p>
    <w:p w14:paraId="1A869DA0" w14:textId="77777777" w:rsidR="00C7141C" w:rsidRDefault="00251642" w:rsidP="00C7141C">
      <w:pPr>
        <w:pStyle w:val="LI-BodyTextNumbered"/>
        <w:spacing w:before="0"/>
        <w:ind w:left="1701"/>
        <w:rPr>
          <w:lang w:val="en"/>
        </w:rPr>
      </w:pPr>
      <w:r w:rsidRPr="00CB0151">
        <w:rPr>
          <w:lang w:val="en"/>
        </w:rPr>
        <w:t>(</w:t>
      </w:r>
      <w:r w:rsidR="00D40DEA" w:rsidRPr="00CB0151">
        <w:rPr>
          <w:lang w:val="en"/>
        </w:rPr>
        <w:t>6</w:t>
      </w:r>
      <w:r w:rsidRPr="00CB0151">
        <w:rPr>
          <w:lang w:val="en"/>
        </w:rPr>
        <w:t>)</w:t>
      </w:r>
      <w:r w:rsidRPr="00CB0151">
        <w:rPr>
          <w:i/>
          <w:lang w:val="en"/>
        </w:rPr>
        <w:tab/>
      </w:r>
      <w:r w:rsidRPr="00CB0151">
        <w:rPr>
          <w:lang w:val="en"/>
        </w:rPr>
        <w:t>The integrated PDS must contain</w:t>
      </w:r>
      <w:r w:rsidR="00B746DA" w:rsidRPr="00CB0151">
        <w:rPr>
          <w:lang w:val="en"/>
        </w:rPr>
        <w:t>:</w:t>
      </w:r>
    </w:p>
    <w:p w14:paraId="37D49B94" w14:textId="77777777" w:rsidR="00C7141C" w:rsidRDefault="00C7141C" w:rsidP="00C7141C">
      <w:pPr>
        <w:pStyle w:val="LI-BodyTextNumbered"/>
        <w:spacing w:before="0"/>
        <w:ind w:left="1437" w:hanging="870"/>
        <w:rPr>
          <w:lang w:val="en"/>
        </w:rPr>
      </w:pPr>
    </w:p>
    <w:p w14:paraId="6489103A" w14:textId="50FCE26C" w:rsidR="003F0DD3" w:rsidRDefault="00C7141C" w:rsidP="003F0DD3">
      <w:pPr>
        <w:pStyle w:val="LI-BodyTextNumbered"/>
        <w:spacing w:before="0"/>
        <w:ind w:left="2268"/>
        <w:rPr>
          <w:lang w:val="en"/>
        </w:rPr>
      </w:pPr>
      <w:r>
        <w:rPr>
          <w:lang w:val="en"/>
        </w:rPr>
        <w:t>(a)</w:t>
      </w:r>
      <w:r>
        <w:rPr>
          <w:lang w:val="en"/>
        </w:rPr>
        <w:tab/>
      </w:r>
      <w:r w:rsidRPr="00C7141C">
        <w:rPr>
          <w:lang w:val="en"/>
        </w:rPr>
        <w:t>the information about the superannuation product and the accessible</w:t>
      </w:r>
      <w:r>
        <w:rPr>
          <w:lang w:val="en"/>
        </w:rPr>
        <w:t> </w:t>
      </w:r>
      <w:r w:rsidRPr="00C7141C">
        <w:rPr>
          <w:lang w:val="en"/>
        </w:rPr>
        <w:t>financial product that is required by this Division;</w:t>
      </w:r>
      <w:r>
        <w:rPr>
          <w:lang w:val="en"/>
        </w:rPr>
        <w:t xml:space="preserve"> and</w:t>
      </w:r>
    </w:p>
    <w:p w14:paraId="10873C7A" w14:textId="77777777" w:rsidR="003F0DD3" w:rsidRDefault="003F0DD3" w:rsidP="003F0DD3">
      <w:pPr>
        <w:pStyle w:val="LI-BodyTextNumbered"/>
        <w:spacing w:before="0"/>
        <w:ind w:left="2268"/>
        <w:rPr>
          <w:lang w:val="en"/>
        </w:rPr>
      </w:pPr>
    </w:p>
    <w:p w14:paraId="559DD57E" w14:textId="397B79D0" w:rsidR="00251642" w:rsidRPr="00CB0151" w:rsidRDefault="00C7141C" w:rsidP="003F0DD3">
      <w:pPr>
        <w:pStyle w:val="LI-BodyTextNumbered"/>
        <w:spacing w:before="0"/>
        <w:ind w:left="2268"/>
        <w:rPr>
          <w:lang w:val="en"/>
        </w:rPr>
      </w:pPr>
      <w:r>
        <w:rPr>
          <w:lang w:val="en"/>
        </w:rPr>
        <w:t>(b)</w:t>
      </w:r>
      <w:r>
        <w:rPr>
          <w:lang w:val="en"/>
        </w:rPr>
        <w:tab/>
      </w:r>
      <w:r w:rsidR="00251642" w:rsidRPr="00CB0151">
        <w:rPr>
          <w:lang w:val="en"/>
        </w:rPr>
        <w:t>the information that a person would reasonably require as a retail</w:t>
      </w:r>
      <w:r>
        <w:rPr>
          <w:lang w:val="en"/>
        </w:rPr>
        <w:t> </w:t>
      </w:r>
      <w:r w:rsidR="00251642" w:rsidRPr="00CB0151">
        <w:rPr>
          <w:lang w:val="en"/>
        </w:rPr>
        <w:t>client to understand the investment strategy under which the accessible financial product may be acquired by way of a regulated</w:t>
      </w:r>
      <w:r>
        <w:rPr>
          <w:lang w:val="en"/>
        </w:rPr>
        <w:t> </w:t>
      </w:r>
      <w:r w:rsidR="00251642" w:rsidRPr="00CB0151">
        <w:rPr>
          <w:lang w:val="en"/>
        </w:rPr>
        <w:t>acquisition.</w:t>
      </w:r>
    </w:p>
    <w:p w14:paraId="559DD57F" w14:textId="77777777" w:rsidR="00B746DA" w:rsidRPr="00CB0151" w:rsidRDefault="00B746DA" w:rsidP="00B746DA">
      <w:pPr>
        <w:pStyle w:val="LI-BodyTextNumbered"/>
        <w:spacing w:before="0"/>
        <w:ind w:left="0" w:firstLine="0"/>
        <w:rPr>
          <w:i/>
          <w:sz w:val="20"/>
          <w:szCs w:val="20"/>
          <w:lang w:val="en"/>
        </w:rPr>
      </w:pPr>
    </w:p>
    <w:p w14:paraId="559DD581" w14:textId="6EDE5989" w:rsidR="00251642" w:rsidRPr="00F54994" w:rsidRDefault="00251642" w:rsidP="00C7141C">
      <w:pPr>
        <w:pStyle w:val="LI-BodyTextNumbered"/>
        <w:spacing w:before="0"/>
        <w:ind w:left="2268"/>
        <w:rPr>
          <w:sz w:val="20"/>
          <w:szCs w:val="20"/>
        </w:rPr>
      </w:pPr>
      <w:r w:rsidRPr="00F54994">
        <w:rPr>
          <w:sz w:val="20"/>
          <w:szCs w:val="20"/>
        </w:rPr>
        <w:t>Note:</w:t>
      </w:r>
      <w:r w:rsidR="00C7141C" w:rsidRPr="00F54994">
        <w:rPr>
          <w:sz w:val="20"/>
          <w:szCs w:val="20"/>
        </w:rPr>
        <w:tab/>
      </w:r>
      <w:r w:rsidRPr="00F54994">
        <w:rPr>
          <w:sz w:val="20"/>
          <w:szCs w:val="20"/>
        </w:rPr>
        <w:t>Paragraph</w:t>
      </w:r>
      <w:r w:rsidR="00B41DBC">
        <w:rPr>
          <w:sz w:val="20"/>
          <w:szCs w:val="20"/>
        </w:rPr>
        <w:t>s</w:t>
      </w:r>
      <w:r w:rsidRPr="00F54994">
        <w:rPr>
          <w:sz w:val="20"/>
          <w:szCs w:val="20"/>
        </w:rPr>
        <w:t xml:space="preserve"> 1012IA(5)(aa)</w:t>
      </w:r>
      <w:r w:rsidR="00B41DBC">
        <w:rPr>
          <w:sz w:val="20"/>
          <w:szCs w:val="20"/>
        </w:rPr>
        <w:t>, (ab) and (ac)</w:t>
      </w:r>
      <w:r w:rsidRPr="00F54994">
        <w:rPr>
          <w:sz w:val="20"/>
          <w:szCs w:val="20"/>
        </w:rPr>
        <w:t xml:space="preserve"> enable a Product Disclosure Statement for the accessible</w:t>
      </w:r>
      <w:r w:rsidR="00C40FE8">
        <w:rPr>
          <w:sz w:val="20"/>
          <w:szCs w:val="20"/>
        </w:rPr>
        <w:t> </w:t>
      </w:r>
      <w:r w:rsidRPr="00F54994">
        <w:rPr>
          <w:sz w:val="20"/>
          <w:szCs w:val="20"/>
        </w:rPr>
        <w:t xml:space="preserve">financial product to be prepared by the </w:t>
      </w:r>
      <w:r w:rsidR="00F54994" w:rsidRPr="00F54994">
        <w:rPr>
          <w:sz w:val="20"/>
          <w:szCs w:val="20"/>
        </w:rPr>
        <w:t xml:space="preserve">trustee </w:t>
      </w:r>
      <w:r w:rsidRPr="00F54994">
        <w:rPr>
          <w:sz w:val="20"/>
          <w:szCs w:val="20"/>
        </w:rPr>
        <w:t>where:</w:t>
      </w:r>
    </w:p>
    <w:p w14:paraId="559DD582" w14:textId="77777777" w:rsidR="00FF1EB3" w:rsidRPr="00F54994" w:rsidRDefault="00FF1EB3" w:rsidP="00FF1EB3">
      <w:pPr>
        <w:pStyle w:val="LI-BodyTextNumbered"/>
        <w:spacing w:before="0"/>
        <w:ind w:left="1287" w:firstLine="0"/>
        <w:rPr>
          <w:sz w:val="20"/>
          <w:szCs w:val="20"/>
        </w:rPr>
      </w:pPr>
    </w:p>
    <w:p w14:paraId="559DD583" w14:textId="6AED9F76" w:rsidR="00251642" w:rsidRPr="00F54994" w:rsidRDefault="00251642" w:rsidP="00C7141C">
      <w:pPr>
        <w:pStyle w:val="LI-BodyTextNumbered"/>
        <w:spacing w:before="0"/>
        <w:ind w:left="2835"/>
        <w:rPr>
          <w:sz w:val="20"/>
          <w:szCs w:val="20"/>
        </w:rPr>
      </w:pPr>
      <w:r w:rsidRPr="00F54994">
        <w:rPr>
          <w:sz w:val="20"/>
          <w:szCs w:val="20"/>
        </w:rPr>
        <w:lastRenderedPageBreak/>
        <w:t>(a)</w:t>
      </w:r>
      <w:r w:rsidR="00C7141C" w:rsidRPr="00F54994">
        <w:rPr>
          <w:sz w:val="20"/>
          <w:szCs w:val="20"/>
        </w:rPr>
        <w:tab/>
      </w:r>
      <w:r w:rsidR="00C40FE8">
        <w:rPr>
          <w:sz w:val="20"/>
          <w:szCs w:val="20"/>
        </w:rPr>
        <w:t xml:space="preserve">the trustee chooses to comply with subsections (3) and (4) of this section </w:t>
      </w:r>
      <w:r w:rsidRPr="00F54994">
        <w:rPr>
          <w:sz w:val="20"/>
          <w:szCs w:val="20"/>
        </w:rPr>
        <w:t>and the Product</w:t>
      </w:r>
      <w:r w:rsidR="00C40FE8">
        <w:rPr>
          <w:sz w:val="20"/>
          <w:szCs w:val="20"/>
        </w:rPr>
        <w:t> </w:t>
      </w:r>
      <w:r w:rsidRPr="00F54994">
        <w:rPr>
          <w:sz w:val="20"/>
          <w:szCs w:val="20"/>
        </w:rPr>
        <w:t xml:space="preserve">Disclosure Statement for the superannuation product informs people of their right to obtain the </w:t>
      </w:r>
      <w:r w:rsidR="00F54994" w:rsidRPr="00F54994">
        <w:rPr>
          <w:sz w:val="20"/>
          <w:szCs w:val="20"/>
        </w:rPr>
        <w:t>trustee’s</w:t>
      </w:r>
      <w:r w:rsidR="00F54994">
        <w:rPr>
          <w:sz w:val="20"/>
          <w:szCs w:val="20"/>
        </w:rPr>
        <w:t> </w:t>
      </w:r>
      <w:r w:rsidRPr="00F54994">
        <w:rPr>
          <w:sz w:val="20"/>
          <w:szCs w:val="20"/>
        </w:rPr>
        <w:t>accessible product PDS; or</w:t>
      </w:r>
    </w:p>
    <w:p w14:paraId="559DD584" w14:textId="77777777" w:rsidR="00FF1EB3" w:rsidRPr="00F54994" w:rsidRDefault="00FF1EB3" w:rsidP="00C7141C">
      <w:pPr>
        <w:pStyle w:val="LI-BodyTextNumbered"/>
        <w:spacing w:before="0"/>
        <w:ind w:left="2835"/>
        <w:rPr>
          <w:sz w:val="20"/>
          <w:szCs w:val="20"/>
        </w:rPr>
      </w:pPr>
    </w:p>
    <w:p w14:paraId="559DD585" w14:textId="564F7438" w:rsidR="00251642" w:rsidRPr="00F54994" w:rsidRDefault="00251642" w:rsidP="00C7141C">
      <w:pPr>
        <w:pStyle w:val="LI-BodyTextNumbered"/>
        <w:spacing w:before="0"/>
        <w:ind w:left="2835"/>
        <w:rPr>
          <w:sz w:val="20"/>
          <w:szCs w:val="20"/>
        </w:rPr>
      </w:pPr>
      <w:r w:rsidRPr="00F54994">
        <w:rPr>
          <w:sz w:val="20"/>
          <w:szCs w:val="20"/>
        </w:rPr>
        <w:t>(b)</w:t>
      </w:r>
      <w:r w:rsidR="00C7141C" w:rsidRPr="00F54994">
        <w:rPr>
          <w:sz w:val="20"/>
          <w:szCs w:val="20"/>
        </w:rPr>
        <w:tab/>
      </w:r>
      <w:r w:rsidR="00C40FE8">
        <w:rPr>
          <w:sz w:val="20"/>
          <w:szCs w:val="20"/>
        </w:rPr>
        <w:t>the trustee chooses to comply with subsections (5) and (6) of this section</w:t>
      </w:r>
      <w:r w:rsidRPr="00F54994">
        <w:rPr>
          <w:sz w:val="20"/>
          <w:szCs w:val="20"/>
        </w:rPr>
        <w:t>.”;</w:t>
      </w:r>
    </w:p>
    <w:p w14:paraId="559DD586" w14:textId="77777777" w:rsidR="00FF1EB3" w:rsidRPr="00CB0151" w:rsidRDefault="00FF1EB3" w:rsidP="00FF1EB3">
      <w:pPr>
        <w:pStyle w:val="LI-BodyTextNumbered"/>
        <w:spacing w:before="0"/>
        <w:ind w:left="0" w:firstLine="0"/>
      </w:pPr>
    </w:p>
    <w:p w14:paraId="559DD587" w14:textId="104E5530" w:rsidR="00F10A17" w:rsidRPr="00CB0151" w:rsidRDefault="00251642" w:rsidP="0043105B">
      <w:pPr>
        <w:pStyle w:val="LI-BodyTextNumbered"/>
        <w:spacing w:before="0"/>
      </w:pPr>
      <w:r w:rsidRPr="00CB0151">
        <w:t>(</w:t>
      </w:r>
      <w:r w:rsidR="00785AD3">
        <w:t>f</w:t>
      </w:r>
      <w:r w:rsidRPr="00CB0151">
        <w:t>)</w:t>
      </w:r>
      <w:r w:rsidR="00F54994">
        <w:tab/>
      </w:r>
      <w:r w:rsidRPr="00CB0151">
        <w:t>after section 1017C insert:</w:t>
      </w:r>
    </w:p>
    <w:p w14:paraId="559DD588" w14:textId="77777777" w:rsidR="00E04F0E" w:rsidRPr="00CB0151" w:rsidRDefault="00E04F0E" w:rsidP="002C2E01">
      <w:pPr>
        <w:spacing w:after="0" w:line="240" w:lineRule="auto"/>
        <w:jc w:val="both"/>
        <w:rPr>
          <w:rFonts w:ascii="Times New Roman" w:hAnsi="Times New Roman" w:cs="Times New Roman"/>
          <w:b/>
          <w:sz w:val="24"/>
          <w:szCs w:val="24"/>
        </w:rPr>
      </w:pPr>
    </w:p>
    <w:p w14:paraId="559DD589" w14:textId="77777777" w:rsidR="002C2E01" w:rsidRPr="00CB0151" w:rsidRDefault="002C2E01" w:rsidP="0043105B">
      <w:pPr>
        <w:spacing w:after="0" w:line="240" w:lineRule="auto"/>
        <w:ind w:left="1134"/>
        <w:jc w:val="both"/>
        <w:rPr>
          <w:rFonts w:ascii="Times New Roman" w:hAnsi="Times New Roman" w:cs="Times New Roman"/>
          <w:b/>
          <w:sz w:val="24"/>
          <w:szCs w:val="24"/>
          <w:lang w:val="en"/>
        </w:rPr>
      </w:pPr>
      <w:r w:rsidRPr="0043105B">
        <w:rPr>
          <w:rFonts w:ascii="Times New Roman" w:hAnsi="Times New Roman" w:cs="Times New Roman"/>
          <w:bCs/>
          <w:sz w:val="24"/>
          <w:szCs w:val="24"/>
          <w:lang w:val="en"/>
        </w:rPr>
        <w:t>“</w:t>
      </w:r>
      <w:r w:rsidRPr="00CB0151">
        <w:rPr>
          <w:rFonts w:ascii="Times New Roman" w:hAnsi="Times New Roman" w:cs="Times New Roman"/>
          <w:b/>
          <w:bCs/>
          <w:sz w:val="24"/>
          <w:szCs w:val="24"/>
          <w:lang w:val="en"/>
        </w:rPr>
        <w:t>1017CA Information for existing holders of superannuation products who have given instructions to make regulated acquisitions</w:t>
      </w:r>
    </w:p>
    <w:p w14:paraId="559DD58A" w14:textId="77777777" w:rsidR="002C2E01" w:rsidRPr="00CB0151" w:rsidRDefault="002C2E01" w:rsidP="002C2E01">
      <w:pPr>
        <w:spacing w:after="0" w:line="240" w:lineRule="auto"/>
        <w:jc w:val="both"/>
        <w:rPr>
          <w:rFonts w:ascii="Times New Roman" w:hAnsi="Times New Roman" w:cs="Times New Roman"/>
          <w:b/>
          <w:sz w:val="24"/>
          <w:szCs w:val="24"/>
          <w:lang w:val="en"/>
        </w:rPr>
      </w:pPr>
    </w:p>
    <w:p w14:paraId="559DD58B" w14:textId="381B1681" w:rsidR="002C2E01" w:rsidRPr="00CB0151" w:rsidRDefault="002C2E01" w:rsidP="0043105B">
      <w:pPr>
        <w:spacing w:after="0" w:line="240" w:lineRule="auto"/>
        <w:ind w:left="1701"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(1)</w:t>
      </w:r>
      <w:r w:rsidRPr="00CB0151">
        <w:rPr>
          <w:rFonts w:ascii="Times New Roman" w:hAnsi="Times New Roman" w:cs="Times New Roman"/>
          <w:sz w:val="24"/>
          <w:szCs w:val="24"/>
          <w:lang w:val="en"/>
        </w:rPr>
        <w:tab/>
      </w:r>
      <w:r w:rsidR="00E61E0D">
        <w:rPr>
          <w:rFonts w:ascii="Times New Roman" w:hAnsi="Times New Roman" w:cs="Times New Roman"/>
          <w:sz w:val="24"/>
          <w:szCs w:val="24"/>
          <w:lang w:val="en"/>
        </w:rPr>
        <w:t>This section applies to a trustee of a superannuation entity if</w:t>
      </w:r>
      <w:r w:rsidRPr="00CB0151">
        <w:rPr>
          <w:rFonts w:ascii="Times New Roman" w:hAnsi="Times New Roman" w:cs="Times New Roman"/>
          <w:sz w:val="24"/>
          <w:szCs w:val="24"/>
          <w:lang w:val="en"/>
        </w:rPr>
        <w:t>:</w:t>
      </w:r>
    </w:p>
    <w:p w14:paraId="559DD58C" w14:textId="77777777" w:rsidR="002C2E01" w:rsidRPr="00CB0151" w:rsidRDefault="002C2E01" w:rsidP="002C2E01">
      <w:pPr>
        <w:spacing w:after="0" w:line="240" w:lineRule="auto"/>
        <w:ind w:firstLine="720"/>
        <w:jc w:val="both"/>
        <w:rPr>
          <w:rFonts w:ascii="Times New Roman" w:hAnsi="Times New Roman" w:cs="Times New Roman"/>
          <w:sz w:val="24"/>
          <w:szCs w:val="24"/>
          <w:lang w:val="en"/>
        </w:rPr>
      </w:pPr>
    </w:p>
    <w:p w14:paraId="559DD58D" w14:textId="030CA660" w:rsidR="002C2E01" w:rsidRPr="00CB0151" w:rsidRDefault="002C2E01" w:rsidP="0043105B">
      <w:pPr>
        <w:spacing w:after="0" w:line="240" w:lineRule="auto"/>
        <w:ind w:left="2268" w:hanging="567"/>
        <w:rPr>
          <w:rFonts w:ascii="Times New Roman" w:hAnsi="Times New Roman" w:cs="Times New Roman"/>
          <w:sz w:val="24"/>
          <w:szCs w:val="24"/>
          <w:lang w:val="en"/>
        </w:rPr>
      </w:pPr>
      <w:r w:rsidRPr="00CB0151">
        <w:rPr>
          <w:rFonts w:ascii="Times New Roman" w:hAnsi="Times New Roman" w:cs="Times New Roman"/>
          <w:sz w:val="24"/>
          <w:szCs w:val="24"/>
          <w:lang w:val="en"/>
        </w:rPr>
        <w:t>(a)</w:t>
      </w:r>
      <w:r w:rsidRPr="00CB0151">
        <w:rPr>
          <w:rFonts w:ascii="Times New Roman" w:hAnsi="Times New Roman" w:cs="Times New Roman"/>
          <w:sz w:val="24"/>
          <w:szCs w:val="24"/>
          <w:lang w:val="en"/>
        </w:rPr>
        <w:tab/>
        <w:t xml:space="preserve">a person (the </w:t>
      </w:r>
      <w:r w:rsidRPr="00CB0151">
        <w:rPr>
          <w:rFonts w:ascii="Times New Roman" w:hAnsi="Times New Roman" w:cs="Times New Roman"/>
          <w:b/>
          <w:i/>
          <w:iCs/>
          <w:sz w:val="24"/>
          <w:szCs w:val="24"/>
          <w:lang w:val="en"/>
        </w:rPr>
        <w:t>client</w:t>
      </w:r>
      <w:r w:rsidRPr="00CB0151">
        <w:rPr>
          <w:rFonts w:ascii="Times New Roman" w:hAnsi="Times New Roman" w:cs="Times New Roman"/>
          <w:sz w:val="24"/>
          <w:szCs w:val="24"/>
          <w:lang w:val="en"/>
        </w:rPr>
        <w:t xml:space="preserve">) has directed the trustee to follow an investment strategy (the </w:t>
      </w:r>
      <w:r w:rsidRPr="00CB0151">
        <w:rPr>
          <w:rFonts w:ascii="Times New Roman" w:hAnsi="Times New Roman" w:cs="Times New Roman"/>
          <w:b/>
          <w:i/>
          <w:iCs/>
          <w:sz w:val="24"/>
          <w:szCs w:val="24"/>
          <w:lang w:val="en"/>
        </w:rPr>
        <w:t>affected investment strategy</w:t>
      </w:r>
      <w:r w:rsidRPr="00CB0151">
        <w:rPr>
          <w:rFonts w:ascii="Times New Roman" w:hAnsi="Times New Roman" w:cs="Times New Roman"/>
          <w:sz w:val="24"/>
          <w:szCs w:val="24"/>
          <w:lang w:val="en"/>
        </w:rPr>
        <w:t>) that involves making a regulated acquisition of an accessible financial product in relation to all or part of the client</w:t>
      </w:r>
      <w:r w:rsidR="00F54994">
        <w:rPr>
          <w:rFonts w:ascii="Times New Roman" w:hAnsi="Times New Roman" w:cs="Times New Roman"/>
          <w:sz w:val="24"/>
          <w:szCs w:val="24"/>
          <w:lang w:val="en"/>
        </w:rPr>
        <w:t>’</w:t>
      </w:r>
      <w:r w:rsidRPr="00CB0151">
        <w:rPr>
          <w:rFonts w:ascii="Times New Roman" w:hAnsi="Times New Roman" w:cs="Times New Roman"/>
          <w:sz w:val="24"/>
          <w:szCs w:val="24"/>
          <w:lang w:val="en"/>
        </w:rPr>
        <w:t>s holding of the superannuation product to which the entity relates; and</w:t>
      </w:r>
    </w:p>
    <w:p w14:paraId="559DD58E" w14:textId="77777777" w:rsidR="002C2E01" w:rsidRPr="00CB0151" w:rsidRDefault="002C2E01" w:rsidP="00E61E0D">
      <w:pPr>
        <w:spacing w:after="0" w:line="240" w:lineRule="auto"/>
        <w:rPr>
          <w:rFonts w:ascii="Times New Roman" w:hAnsi="Times New Roman" w:cs="Times New Roman"/>
          <w:sz w:val="24"/>
          <w:szCs w:val="24"/>
          <w:lang w:val="en"/>
        </w:rPr>
      </w:pPr>
    </w:p>
    <w:p w14:paraId="559DD58F" w14:textId="015D9688" w:rsidR="002C2E01" w:rsidRPr="00CB0151" w:rsidRDefault="002C2E01" w:rsidP="0043105B">
      <w:pPr>
        <w:spacing w:after="0" w:line="240" w:lineRule="auto"/>
        <w:ind w:left="2268" w:hanging="567"/>
        <w:rPr>
          <w:rFonts w:ascii="Times New Roman" w:hAnsi="Times New Roman" w:cs="Times New Roman"/>
          <w:sz w:val="24"/>
          <w:szCs w:val="24"/>
          <w:lang w:val="en"/>
        </w:rPr>
      </w:pPr>
      <w:r w:rsidRPr="00CB0151">
        <w:rPr>
          <w:rFonts w:ascii="Times New Roman" w:hAnsi="Times New Roman" w:cs="Times New Roman"/>
          <w:sz w:val="24"/>
          <w:szCs w:val="24"/>
          <w:lang w:val="en"/>
        </w:rPr>
        <w:t>(b)</w:t>
      </w:r>
      <w:r w:rsidRPr="00CB0151">
        <w:rPr>
          <w:rFonts w:ascii="Times New Roman" w:hAnsi="Times New Roman" w:cs="Times New Roman"/>
          <w:sz w:val="24"/>
          <w:szCs w:val="24"/>
          <w:lang w:val="en"/>
        </w:rPr>
        <w:tab/>
        <w:t xml:space="preserve">at a time when the </w:t>
      </w:r>
      <w:r w:rsidR="00F54994">
        <w:rPr>
          <w:rFonts w:ascii="Times New Roman" w:hAnsi="Times New Roman" w:cs="Times New Roman"/>
          <w:sz w:val="24"/>
          <w:szCs w:val="24"/>
          <w:lang w:val="en"/>
        </w:rPr>
        <w:t xml:space="preserve">trustee (or another person </w:t>
      </w:r>
      <w:r w:rsidR="00E61E0D">
        <w:rPr>
          <w:rFonts w:ascii="Times New Roman" w:hAnsi="Times New Roman" w:cs="Times New Roman"/>
          <w:sz w:val="24"/>
          <w:szCs w:val="24"/>
          <w:lang w:val="en"/>
        </w:rPr>
        <w:t xml:space="preserve">with whom the trustee has an arrangement) </w:t>
      </w:r>
      <w:r w:rsidRPr="00CB0151">
        <w:rPr>
          <w:rFonts w:ascii="Times New Roman" w:hAnsi="Times New Roman" w:cs="Times New Roman"/>
          <w:sz w:val="24"/>
          <w:szCs w:val="24"/>
          <w:lang w:val="en"/>
        </w:rPr>
        <w:t>holds the accessible financial product as a result of the client</w:t>
      </w:r>
      <w:r w:rsidR="00F54994">
        <w:rPr>
          <w:rFonts w:ascii="Times New Roman" w:hAnsi="Times New Roman" w:cs="Times New Roman"/>
          <w:sz w:val="24"/>
          <w:szCs w:val="24"/>
          <w:lang w:val="en"/>
        </w:rPr>
        <w:t>’</w:t>
      </w:r>
      <w:r w:rsidRPr="00CB0151">
        <w:rPr>
          <w:rFonts w:ascii="Times New Roman" w:hAnsi="Times New Roman" w:cs="Times New Roman"/>
          <w:sz w:val="24"/>
          <w:szCs w:val="24"/>
          <w:lang w:val="en"/>
        </w:rPr>
        <w:t>s direction, a material adverse change to a matter, or a significant event that adversely affects a matter occurs, being a matter that would have been required to be specified in a Product Disclosure Statement for the accessible financial product prepared on the day before the change or event occurs; and</w:t>
      </w:r>
    </w:p>
    <w:p w14:paraId="559DD590" w14:textId="77777777" w:rsidR="002C2E01" w:rsidRPr="00CB0151" w:rsidRDefault="002C2E01" w:rsidP="00E61E0D">
      <w:pPr>
        <w:spacing w:after="0" w:line="240" w:lineRule="auto"/>
        <w:rPr>
          <w:rFonts w:ascii="Times New Roman" w:hAnsi="Times New Roman" w:cs="Times New Roman"/>
          <w:sz w:val="24"/>
          <w:szCs w:val="24"/>
          <w:lang w:val="en"/>
        </w:rPr>
      </w:pPr>
    </w:p>
    <w:p w14:paraId="559DD593" w14:textId="315FF9A7" w:rsidR="002C2E01" w:rsidRPr="00CB0151" w:rsidRDefault="002C2E01" w:rsidP="003F0DD3">
      <w:pPr>
        <w:spacing w:after="0" w:line="240" w:lineRule="auto"/>
        <w:ind w:left="2268" w:hanging="567"/>
        <w:rPr>
          <w:rFonts w:ascii="Times New Roman" w:hAnsi="Times New Roman" w:cs="Times New Roman"/>
          <w:sz w:val="24"/>
          <w:szCs w:val="24"/>
          <w:lang w:val="en"/>
        </w:rPr>
      </w:pPr>
      <w:r w:rsidRPr="00CB0151">
        <w:rPr>
          <w:rFonts w:ascii="Times New Roman" w:hAnsi="Times New Roman" w:cs="Times New Roman"/>
          <w:sz w:val="24"/>
          <w:szCs w:val="24"/>
          <w:lang w:val="en"/>
        </w:rPr>
        <w:t>(c)</w:t>
      </w:r>
      <w:r w:rsidRPr="00CB0151">
        <w:rPr>
          <w:rFonts w:ascii="Times New Roman" w:hAnsi="Times New Roman" w:cs="Times New Roman"/>
          <w:sz w:val="24"/>
          <w:szCs w:val="24"/>
          <w:lang w:val="en"/>
        </w:rPr>
        <w:tab/>
        <w:t xml:space="preserve">the </w:t>
      </w:r>
      <w:r w:rsidR="00E61E0D">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has not decided to stop making regulated acquisitions of the product under the affected </w:t>
      </w:r>
      <w:r w:rsidR="007965E0">
        <w:rPr>
          <w:rFonts w:ascii="Times New Roman" w:hAnsi="Times New Roman" w:cs="Times New Roman"/>
          <w:sz w:val="24"/>
          <w:szCs w:val="24"/>
          <w:lang w:val="en"/>
        </w:rPr>
        <w:t xml:space="preserve">investment </w:t>
      </w:r>
      <w:r w:rsidRPr="00CB0151">
        <w:rPr>
          <w:rFonts w:ascii="Times New Roman" w:hAnsi="Times New Roman" w:cs="Times New Roman"/>
          <w:sz w:val="24"/>
          <w:szCs w:val="24"/>
          <w:lang w:val="en"/>
        </w:rPr>
        <w:t>strategy</w:t>
      </w:r>
      <w:r w:rsidR="00E61E0D">
        <w:rPr>
          <w:rFonts w:ascii="Times New Roman" w:hAnsi="Times New Roman" w:cs="Times New Roman"/>
          <w:sz w:val="24"/>
          <w:szCs w:val="24"/>
          <w:lang w:val="en"/>
        </w:rPr>
        <w:t>.</w:t>
      </w:r>
    </w:p>
    <w:p w14:paraId="559DD594" w14:textId="77777777" w:rsidR="002C2E01" w:rsidRPr="00CB0151" w:rsidRDefault="002C2E01" w:rsidP="002C2E01">
      <w:pPr>
        <w:spacing w:after="0" w:line="240" w:lineRule="auto"/>
        <w:jc w:val="both"/>
        <w:rPr>
          <w:rFonts w:ascii="Times New Roman" w:hAnsi="Times New Roman" w:cs="Times New Roman"/>
          <w:sz w:val="24"/>
          <w:szCs w:val="24"/>
          <w:lang w:val="en"/>
        </w:rPr>
      </w:pPr>
    </w:p>
    <w:p w14:paraId="559DD595" w14:textId="77777777" w:rsidR="002C2E01" w:rsidRPr="00E61E0D" w:rsidRDefault="002C2E01" w:rsidP="0043105B">
      <w:pPr>
        <w:spacing w:after="0" w:line="240" w:lineRule="auto"/>
        <w:ind w:left="2268" w:hanging="567"/>
        <w:jc w:val="both"/>
        <w:rPr>
          <w:rFonts w:ascii="Times New Roman" w:hAnsi="Times New Roman" w:cs="Times New Roman"/>
          <w:sz w:val="20"/>
          <w:szCs w:val="20"/>
          <w:lang w:val="en"/>
        </w:rPr>
      </w:pPr>
      <w:r w:rsidRPr="00E61E0D">
        <w:rPr>
          <w:rFonts w:ascii="Times New Roman" w:hAnsi="Times New Roman" w:cs="Times New Roman"/>
          <w:bCs/>
          <w:sz w:val="20"/>
          <w:szCs w:val="20"/>
          <w:lang w:val="en"/>
        </w:rPr>
        <w:t>Note</w:t>
      </w:r>
      <w:r w:rsidR="006567D7" w:rsidRPr="00E61E0D">
        <w:rPr>
          <w:rFonts w:ascii="Times New Roman" w:hAnsi="Times New Roman" w:cs="Times New Roman"/>
          <w:bCs/>
          <w:sz w:val="20"/>
          <w:szCs w:val="20"/>
          <w:lang w:val="en"/>
        </w:rPr>
        <w:t>:</w:t>
      </w:r>
      <w:r w:rsidR="006567D7" w:rsidRPr="00E61E0D">
        <w:rPr>
          <w:rFonts w:ascii="Times New Roman" w:hAnsi="Times New Roman" w:cs="Times New Roman"/>
          <w:bCs/>
          <w:sz w:val="20"/>
          <w:szCs w:val="20"/>
          <w:lang w:val="en"/>
        </w:rPr>
        <w:tab/>
      </w:r>
      <w:r w:rsidRPr="00E61E0D">
        <w:rPr>
          <w:rFonts w:ascii="Times New Roman" w:hAnsi="Times New Roman" w:cs="Times New Roman"/>
          <w:sz w:val="20"/>
          <w:szCs w:val="20"/>
          <w:lang w:val="en"/>
        </w:rPr>
        <w:t>Paragraph (b) applies whether or not a Product Disclosure Statement was in fact prepared (or required to be prepared) on the day before the change or event occurs.</w:t>
      </w:r>
    </w:p>
    <w:p w14:paraId="559DD596" w14:textId="77777777" w:rsidR="006567D7" w:rsidRPr="00CB0151" w:rsidRDefault="006567D7" w:rsidP="006567D7">
      <w:pPr>
        <w:spacing w:after="0" w:line="240" w:lineRule="auto"/>
        <w:ind w:left="1440"/>
        <w:jc w:val="both"/>
        <w:rPr>
          <w:rFonts w:ascii="Times New Roman" w:hAnsi="Times New Roman" w:cs="Times New Roman"/>
          <w:bCs/>
          <w:sz w:val="24"/>
          <w:szCs w:val="24"/>
          <w:lang w:val="en"/>
        </w:rPr>
      </w:pPr>
    </w:p>
    <w:p w14:paraId="559DD597" w14:textId="03C5874E" w:rsidR="002C2E01" w:rsidRPr="00CB0151" w:rsidRDefault="002C2E01" w:rsidP="0043105B">
      <w:pPr>
        <w:spacing w:after="0" w:line="240" w:lineRule="auto"/>
        <w:ind w:left="1701"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(2)</w:t>
      </w:r>
      <w:r w:rsidRPr="00CB0151">
        <w:rPr>
          <w:rFonts w:ascii="Times New Roman" w:hAnsi="Times New Roman" w:cs="Times New Roman"/>
          <w:sz w:val="24"/>
          <w:szCs w:val="24"/>
          <w:lang w:val="en"/>
        </w:rPr>
        <w:tab/>
        <w:t xml:space="preserve">As soon as practicable after the change or event occurs, the </w:t>
      </w:r>
      <w:r w:rsidR="00E61E0D">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must notify the client in accordance with subsections (3) and (4):</w:t>
      </w:r>
    </w:p>
    <w:p w14:paraId="559DD598" w14:textId="77777777" w:rsidR="002C2E01" w:rsidRPr="00CB0151" w:rsidRDefault="002C2E01" w:rsidP="006567D7">
      <w:pPr>
        <w:spacing w:after="0" w:line="240" w:lineRule="auto"/>
        <w:jc w:val="both"/>
        <w:rPr>
          <w:rFonts w:ascii="Times New Roman" w:hAnsi="Times New Roman" w:cs="Times New Roman"/>
          <w:sz w:val="24"/>
          <w:szCs w:val="24"/>
          <w:lang w:val="en"/>
        </w:rPr>
      </w:pPr>
    </w:p>
    <w:p w14:paraId="559DD599" w14:textId="77777777" w:rsidR="002C2E01" w:rsidRPr="00CB0151" w:rsidRDefault="002C2E01"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(a)</w:t>
      </w:r>
      <w:r w:rsidRPr="00CB0151">
        <w:rPr>
          <w:rFonts w:ascii="Times New Roman" w:hAnsi="Times New Roman" w:cs="Times New Roman"/>
          <w:sz w:val="24"/>
          <w:szCs w:val="24"/>
          <w:lang w:val="en"/>
        </w:rPr>
        <w:tab/>
        <w:t>of the change or event; and</w:t>
      </w:r>
    </w:p>
    <w:p w14:paraId="559DD59A" w14:textId="77777777" w:rsidR="006567D7" w:rsidRPr="00CB0151" w:rsidRDefault="006567D7" w:rsidP="0043105B">
      <w:pPr>
        <w:spacing w:after="0" w:line="240" w:lineRule="auto"/>
        <w:ind w:left="2268" w:hanging="567"/>
        <w:jc w:val="both"/>
        <w:rPr>
          <w:rFonts w:ascii="Times New Roman" w:hAnsi="Times New Roman" w:cs="Times New Roman"/>
          <w:sz w:val="24"/>
          <w:szCs w:val="24"/>
          <w:lang w:val="en"/>
        </w:rPr>
      </w:pPr>
    </w:p>
    <w:p w14:paraId="559DD59B" w14:textId="77777777" w:rsidR="006567D7" w:rsidRPr="00CB0151" w:rsidRDefault="006567D7"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(b)</w:t>
      </w:r>
      <w:r w:rsidRPr="00CB0151">
        <w:rPr>
          <w:rFonts w:ascii="Times New Roman" w:hAnsi="Times New Roman" w:cs="Times New Roman"/>
          <w:sz w:val="24"/>
          <w:szCs w:val="24"/>
          <w:lang w:val="en"/>
        </w:rPr>
        <w:tab/>
        <w:t>that:</w:t>
      </w:r>
    </w:p>
    <w:p w14:paraId="559DD59C" w14:textId="77777777" w:rsidR="006567D7" w:rsidRPr="00CB0151" w:rsidRDefault="006567D7" w:rsidP="006567D7">
      <w:pPr>
        <w:spacing w:after="0" w:line="240" w:lineRule="auto"/>
        <w:ind w:left="720" w:firstLine="720"/>
        <w:jc w:val="both"/>
        <w:rPr>
          <w:rFonts w:ascii="Times New Roman" w:hAnsi="Times New Roman" w:cs="Times New Roman"/>
          <w:sz w:val="24"/>
          <w:szCs w:val="24"/>
          <w:lang w:val="en"/>
        </w:rPr>
      </w:pPr>
    </w:p>
    <w:p w14:paraId="559DD59D" w14:textId="1A6CA771" w:rsidR="006567D7" w:rsidRPr="00CB0151" w:rsidRDefault="006567D7" w:rsidP="0043105B">
      <w:pPr>
        <w:spacing w:after="0" w:line="240" w:lineRule="auto"/>
        <w:ind w:left="2835"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(i)</w:t>
      </w:r>
      <w:r w:rsidRPr="00CB0151">
        <w:rPr>
          <w:rFonts w:ascii="Times New Roman" w:hAnsi="Times New Roman" w:cs="Times New Roman"/>
          <w:sz w:val="24"/>
          <w:szCs w:val="24"/>
          <w:lang w:val="en"/>
        </w:rPr>
        <w:tab/>
        <w:t xml:space="preserve">the client may direct the </w:t>
      </w:r>
      <w:r w:rsidR="005B5C20">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to follow an investment strategy made available by the </w:t>
      </w:r>
      <w:r w:rsidR="005B5C20">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that does not involve regulated acquisitions of the accessible financial product, in relation to </w:t>
      </w:r>
      <w:r w:rsidR="002A0A42">
        <w:rPr>
          <w:rFonts w:ascii="Times New Roman" w:hAnsi="Times New Roman" w:cs="Times New Roman"/>
          <w:sz w:val="24"/>
          <w:szCs w:val="24"/>
          <w:lang w:val="en"/>
        </w:rPr>
        <w:t xml:space="preserve">either or both </w:t>
      </w:r>
      <w:r w:rsidRPr="00CB0151">
        <w:rPr>
          <w:rFonts w:ascii="Times New Roman" w:hAnsi="Times New Roman" w:cs="Times New Roman"/>
          <w:sz w:val="24"/>
          <w:szCs w:val="24"/>
          <w:lang w:val="en"/>
        </w:rPr>
        <w:t>of the following:</w:t>
      </w:r>
    </w:p>
    <w:p w14:paraId="559DD59E" w14:textId="77777777" w:rsidR="006567D7" w:rsidRPr="00CB0151" w:rsidRDefault="006567D7" w:rsidP="006567D7">
      <w:pPr>
        <w:spacing w:after="0" w:line="240" w:lineRule="auto"/>
        <w:ind w:left="2880" w:hanging="720"/>
        <w:jc w:val="both"/>
        <w:rPr>
          <w:rFonts w:ascii="Times New Roman" w:hAnsi="Times New Roman" w:cs="Times New Roman"/>
          <w:sz w:val="24"/>
          <w:szCs w:val="24"/>
          <w:lang w:val="en"/>
        </w:rPr>
      </w:pPr>
    </w:p>
    <w:p w14:paraId="559DD59F" w14:textId="631C4E3D" w:rsidR="006567D7" w:rsidRPr="00CB0151" w:rsidRDefault="006567D7" w:rsidP="0043105B">
      <w:pPr>
        <w:spacing w:after="0" w:line="240" w:lineRule="auto"/>
        <w:ind w:left="3402"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(A)</w:t>
      </w:r>
      <w:r w:rsidRPr="00CB0151">
        <w:rPr>
          <w:rFonts w:ascii="Times New Roman" w:hAnsi="Times New Roman" w:cs="Times New Roman"/>
          <w:sz w:val="24"/>
          <w:szCs w:val="24"/>
          <w:lang w:val="en"/>
        </w:rPr>
        <w:tab/>
        <w:t xml:space="preserve">the holding in the product that the </w:t>
      </w:r>
      <w:r w:rsidR="007965E0">
        <w:rPr>
          <w:rFonts w:ascii="Times New Roman" w:hAnsi="Times New Roman" w:cs="Times New Roman"/>
          <w:sz w:val="24"/>
          <w:szCs w:val="24"/>
          <w:lang w:val="en"/>
        </w:rPr>
        <w:t xml:space="preserve">trustee </w:t>
      </w:r>
      <w:r w:rsidR="005B5C20">
        <w:rPr>
          <w:rFonts w:ascii="Times New Roman" w:hAnsi="Times New Roman" w:cs="Times New Roman"/>
          <w:sz w:val="24"/>
          <w:szCs w:val="24"/>
          <w:lang w:val="en"/>
        </w:rPr>
        <w:t xml:space="preserve">(or other person with whom the trustee has an arrangement) </w:t>
      </w:r>
      <w:r w:rsidRPr="00CB0151">
        <w:rPr>
          <w:rFonts w:ascii="Times New Roman" w:hAnsi="Times New Roman" w:cs="Times New Roman"/>
          <w:sz w:val="24"/>
          <w:szCs w:val="24"/>
          <w:lang w:val="en"/>
        </w:rPr>
        <w:t>has acquired as a result of following the affected investment strategy;</w:t>
      </w:r>
    </w:p>
    <w:p w14:paraId="559DD5A0" w14:textId="77777777" w:rsidR="005357AE" w:rsidRPr="00CB0151" w:rsidRDefault="005357AE" w:rsidP="0043105B">
      <w:pPr>
        <w:spacing w:after="0" w:line="240" w:lineRule="auto"/>
        <w:ind w:left="3402" w:hanging="567"/>
        <w:jc w:val="both"/>
        <w:rPr>
          <w:rFonts w:ascii="Times New Roman" w:hAnsi="Times New Roman" w:cs="Times New Roman"/>
          <w:sz w:val="24"/>
          <w:szCs w:val="24"/>
          <w:lang w:val="en"/>
        </w:rPr>
      </w:pPr>
    </w:p>
    <w:p w14:paraId="559DD5A1" w14:textId="77777777" w:rsidR="006567D7" w:rsidRPr="00CB0151" w:rsidRDefault="006567D7" w:rsidP="0043105B">
      <w:pPr>
        <w:spacing w:after="0" w:line="240" w:lineRule="auto"/>
        <w:ind w:left="3402"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(B)</w:t>
      </w:r>
      <w:r w:rsidRPr="00CB0151">
        <w:rPr>
          <w:rFonts w:ascii="Times New Roman" w:hAnsi="Times New Roman" w:cs="Times New Roman"/>
          <w:sz w:val="24"/>
          <w:szCs w:val="24"/>
          <w:lang w:val="en"/>
        </w:rPr>
        <w:tab/>
        <w:t xml:space="preserve">any future contribution by or on behalf of the client to the superannuation entity to the extent to which it would </w:t>
      </w:r>
      <w:r w:rsidRPr="00CB0151">
        <w:rPr>
          <w:rFonts w:ascii="Times New Roman" w:hAnsi="Times New Roman" w:cs="Times New Roman"/>
          <w:sz w:val="24"/>
          <w:szCs w:val="24"/>
          <w:lang w:val="en"/>
        </w:rPr>
        <w:lastRenderedPageBreak/>
        <w:t>otherwise have been subject to the affected investment strategy; and</w:t>
      </w:r>
    </w:p>
    <w:p w14:paraId="559DD5A2" w14:textId="77777777" w:rsidR="006567D7" w:rsidRPr="00CB0151" w:rsidRDefault="006567D7" w:rsidP="006567D7">
      <w:pPr>
        <w:spacing w:after="0" w:line="240" w:lineRule="auto"/>
        <w:ind w:left="3600" w:hanging="720"/>
        <w:jc w:val="both"/>
        <w:rPr>
          <w:rFonts w:ascii="Times New Roman" w:hAnsi="Times New Roman" w:cs="Times New Roman"/>
          <w:sz w:val="24"/>
          <w:szCs w:val="24"/>
          <w:lang w:val="en"/>
        </w:rPr>
      </w:pPr>
    </w:p>
    <w:p w14:paraId="559DD5A3" w14:textId="3BFC6BA7" w:rsidR="006567D7" w:rsidRPr="00CB0151" w:rsidRDefault="006567D7" w:rsidP="0043105B">
      <w:pPr>
        <w:spacing w:after="0" w:line="240" w:lineRule="auto"/>
        <w:ind w:left="2835"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(ii)</w:t>
      </w:r>
      <w:r w:rsidRPr="00CB0151">
        <w:rPr>
          <w:rFonts w:ascii="Times New Roman" w:hAnsi="Times New Roman" w:cs="Times New Roman"/>
          <w:sz w:val="24"/>
          <w:szCs w:val="24"/>
          <w:lang w:val="en"/>
        </w:rPr>
        <w:tab/>
        <w:t xml:space="preserve">if the client does not give the </w:t>
      </w:r>
      <w:r w:rsidR="00D173D4">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directions in accordance with subparagraph (i)</w:t>
      </w:r>
      <w:r w:rsidR="005B5C20">
        <w:rPr>
          <w:rFonts w:ascii="Times New Roman" w:hAnsi="Times New Roman" w:cs="Times New Roman"/>
          <w:sz w:val="24"/>
          <w:szCs w:val="24"/>
          <w:lang w:val="en"/>
        </w:rPr>
        <w:t>—</w:t>
      </w:r>
      <w:r w:rsidRPr="00CB0151">
        <w:rPr>
          <w:rFonts w:ascii="Times New Roman" w:hAnsi="Times New Roman" w:cs="Times New Roman"/>
          <w:sz w:val="24"/>
          <w:szCs w:val="24"/>
          <w:lang w:val="en"/>
        </w:rPr>
        <w:t xml:space="preserve">the </w:t>
      </w:r>
      <w:r w:rsidR="005B5C20">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will continue to follow the affected investment strategy.</w:t>
      </w:r>
    </w:p>
    <w:p w14:paraId="559DD5A4" w14:textId="77777777" w:rsidR="006567D7" w:rsidRPr="00CB0151" w:rsidRDefault="006567D7" w:rsidP="006567D7">
      <w:pPr>
        <w:spacing w:after="0" w:line="240" w:lineRule="auto"/>
        <w:ind w:left="720" w:firstLine="720"/>
        <w:jc w:val="both"/>
        <w:rPr>
          <w:rFonts w:ascii="Times New Roman" w:hAnsi="Times New Roman" w:cs="Times New Roman"/>
          <w:sz w:val="24"/>
          <w:szCs w:val="24"/>
          <w:lang w:val="en"/>
        </w:rPr>
      </w:pPr>
    </w:p>
    <w:p w14:paraId="559DD5A5" w14:textId="4A9342B2" w:rsidR="006567D7" w:rsidRPr="00CB0151" w:rsidRDefault="006567D7" w:rsidP="0043105B">
      <w:pPr>
        <w:spacing w:after="0" w:line="240" w:lineRule="auto"/>
        <w:ind w:left="1701"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(3)</w:t>
      </w:r>
      <w:r w:rsidRPr="00CB0151">
        <w:rPr>
          <w:rFonts w:ascii="Times New Roman" w:hAnsi="Times New Roman" w:cs="Times New Roman"/>
          <w:sz w:val="24"/>
          <w:szCs w:val="24"/>
          <w:lang w:val="en"/>
        </w:rPr>
        <w:tab/>
        <w:t xml:space="preserve">The </w:t>
      </w:r>
      <w:r w:rsidR="00A20486">
        <w:rPr>
          <w:rFonts w:ascii="Times New Roman" w:hAnsi="Times New Roman" w:cs="Times New Roman"/>
          <w:sz w:val="24"/>
          <w:szCs w:val="24"/>
          <w:lang w:val="en"/>
        </w:rPr>
        <w:t xml:space="preserve">trustee </w:t>
      </w:r>
      <w:r w:rsidRPr="00CB0151">
        <w:rPr>
          <w:rFonts w:ascii="Times New Roman" w:hAnsi="Times New Roman" w:cs="Times New Roman"/>
          <w:sz w:val="24"/>
          <w:szCs w:val="24"/>
          <w:lang w:val="en"/>
        </w:rPr>
        <w:t>must notify the client in one of the following ways:</w:t>
      </w:r>
    </w:p>
    <w:p w14:paraId="559DD5A6" w14:textId="77777777" w:rsidR="006567D7" w:rsidRPr="00CB0151" w:rsidRDefault="006567D7" w:rsidP="006567D7">
      <w:pPr>
        <w:spacing w:after="0" w:line="240" w:lineRule="auto"/>
        <w:ind w:left="720" w:firstLine="720"/>
        <w:jc w:val="both"/>
        <w:rPr>
          <w:rFonts w:ascii="Times New Roman" w:hAnsi="Times New Roman" w:cs="Times New Roman"/>
          <w:sz w:val="24"/>
          <w:szCs w:val="24"/>
          <w:lang w:val="en"/>
        </w:rPr>
      </w:pPr>
    </w:p>
    <w:p w14:paraId="559DD5A7" w14:textId="77777777" w:rsidR="006567D7" w:rsidRPr="00CB0151" w:rsidRDefault="006567D7"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(a)</w:t>
      </w:r>
      <w:r w:rsidRPr="00CB0151">
        <w:rPr>
          <w:rFonts w:ascii="Times New Roman" w:hAnsi="Times New Roman" w:cs="Times New Roman"/>
          <w:sz w:val="24"/>
          <w:szCs w:val="24"/>
          <w:lang w:val="en"/>
        </w:rPr>
        <w:tab/>
        <w:t>in writing; or</w:t>
      </w:r>
    </w:p>
    <w:p w14:paraId="559DD5A8" w14:textId="77777777" w:rsidR="006567D7" w:rsidRPr="00CB0151" w:rsidRDefault="006567D7" w:rsidP="0043105B">
      <w:pPr>
        <w:spacing w:after="0" w:line="240" w:lineRule="auto"/>
        <w:ind w:left="2268" w:hanging="567"/>
        <w:jc w:val="both"/>
        <w:rPr>
          <w:rFonts w:ascii="Times New Roman" w:hAnsi="Times New Roman" w:cs="Times New Roman"/>
          <w:sz w:val="24"/>
          <w:szCs w:val="24"/>
          <w:lang w:val="en"/>
        </w:rPr>
      </w:pPr>
    </w:p>
    <w:p w14:paraId="559DD5A9" w14:textId="77777777" w:rsidR="006567D7" w:rsidRPr="00CB0151" w:rsidRDefault="006567D7"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(b)</w:t>
      </w:r>
      <w:r w:rsidRPr="00CB0151">
        <w:rPr>
          <w:rFonts w:ascii="Times New Roman" w:hAnsi="Times New Roman" w:cs="Times New Roman"/>
          <w:sz w:val="24"/>
          <w:szCs w:val="24"/>
          <w:lang w:val="en"/>
        </w:rPr>
        <w:tab/>
        <w:t>electronically; or</w:t>
      </w:r>
    </w:p>
    <w:p w14:paraId="559DD5AA" w14:textId="77777777" w:rsidR="006567D7" w:rsidRPr="00CB0151" w:rsidRDefault="006567D7" w:rsidP="0043105B">
      <w:pPr>
        <w:spacing w:after="0" w:line="240" w:lineRule="auto"/>
        <w:ind w:left="2268" w:hanging="567"/>
        <w:jc w:val="both"/>
        <w:rPr>
          <w:rFonts w:ascii="Times New Roman" w:hAnsi="Times New Roman" w:cs="Times New Roman"/>
          <w:sz w:val="24"/>
          <w:szCs w:val="24"/>
          <w:lang w:val="en"/>
        </w:rPr>
      </w:pPr>
    </w:p>
    <w:p w14:paraId="559DD5AB" w14:textId="77777777" w:rsidR="006567D7" w:rsidRPr="00CB0151" w:rsidRDefault="006567D7"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(c)</w:t>
      </w:r>
      <w:r w:rsidRPr="00CB0151">
        <w:rPr>
          <w:rFonts w:ascii="Times New Roman" w:hAnsi="Times New Roman" w:cs="Times New Roman"/>
          <w:sz w:val="24"/>
          <w:szCs w:val="24"/>
          <w:lang w:val="en"/>
        </w:rPr>
        <w:tab/>
        <w:t>in a way specified in the regulations.</w:t>
      </w:r>
    </w:p>
    <w:p w14:paraId="559DD5AC" w14:textId="77777777" w:rsidR="006567D7" w:rsidRPr="00CB0151" w:rsidRDefault="006567D7" w:rsidP="006567D7">
      <w:pPr>
        <w:spacing w:after="0" w:line="240" w:lineRule="auto"/>
        <w:ind w:left="720" w:firstLine="720"/>
        <w:jc w:val="both"/>
        <w:rPr>
          <w:rFonts w:ascii="Times New Roman" w:hAnsi="Times New Roman" w:cs="Times New Roman"/>
          <w:sz w:val="24"/>
          <w:szCs w:val="24"/>
          <w:lang w:val="en"/>
        </w:rPr>
      </w:pPr>
    </w:p>
    <w:p w14:paraId="559DD5AD" w14:textId="77777777" w:rsidR="006567D7" w:rsidRPr="00CB0151" w:rsidRDefault="006567D7" w:rsidP="001160DA">
      <w:pPr>
        <w:spacing w:after="0" w:line="240" w:lineRule="auto"/>
        <w:ind w:left="1701" w:hanging="567"/>
        <w:rPr>
          <w:rFonts w:ascii="Times New Roman" w:hAnsi="Times New Roman" w:cs="Times New Roman"/>
          <w:sz w:val="24"/>
          <w:szCs w:val="24"/>
          <w:lang w:val="en"/>
        </w:rPr>
      </w:pPr>
      <w:r w:rsidRPr="00CB0151">
        <w:rPr>
          <w:rFonts w:ascii="Times New Roman" w:hAnsi="Times New Roman" w:cs="Times New Roman"/>
          <w:sz w:val="24"/>
          <w:szCs w:val="24"/>
          <w:lang w:val="en"/>
        </w:rPr>
        <w:t>(4)</w:t>
      </w:r>
      <w:r w:rsidRPr="00CB0151">
        <w:rPr>
          <w:rFonts w:ascii="Times New Roman" w:hAnsi="Times New Roman" w:cs="Times New Roman"/>
          <w:sz w:val="24"/>
          <w:szCs w:val="24"/>
          <w:lang w:val="en"/>
        </w:rPr>
        <w:tab/>
        <w:t>The notice must give the client the information that is reasonably necessary for the client to understand the nature and effect of the change or event.</w:t>
      </w:r>
    </w:p>
    <w:p w14:paraId="559DD5AE" w14:textId="77777777" w:rsidR="006567D7" w:rsidRPr="00CB0151" w:rsidRDefault="006567D7" w:rsidP="001160DA">
      <w:pPr>
        <w:spacing w:after="0" w:line="240" w:lineRule="auto"/>
        <w:ind w:left="1701" w:hanging="567"/>
        <w:rPr>
          <w:rFonts w:ascii="Times New Roman" w:hAnsi="Times New Roman" w:cs="Times New Roman"/>
          <w:sz w:val="24"/>
          <w:szCs w:val="24"/>
          <w:lang w:val="en"/>
        </w:rPr>
      </w:pPr>
    </w:p>
    <w:p w14:paraId="559DD5AF" w14:textId="5150B465" w:rsidR="006567D7" w:rsidRPr="00CB0151" w:rsidRDefault="006567D7" w:rsidP="001160DA">
      <w:pPr>
        <w:spacing w:after="0" w:line="240" w:lineRule="auto"/>
        <w:ind w:left="1701" w:hanging="567"/>
        <w:rPr>
          <w:rFonts w:ascii="Times New Roman" w:hAnsi="Times New Roman" w:cs="Times New Roman"/>
          <w:sz w:val="24"/>
          <w:szCs w:val="24"/>
          <w:lang w:val="en"/>
        </w:rPr>
      </w:pPr>
      <w:r w:rsidRPr="00CB0151">
        <w:rPr>
          <w:rFonts w:ascii="Times New Roman" w:hAnsi="Times New Roman" w:cs="Times New Roman"/>
          <w:sz w:val="24"/>
          <w:szCs w:val="24"/>
          <w:lang w:val="en"/>
        </w:rPr>
        <w:t>(5)</w:t>
      </w:r>
      <w:r w:rsidRPr="00CB0151">
        <w:rPr>
          <w:rFonts w:ascii="Times New Roman" w:hAnsi="Times New Roman" w:cs="Times New Roman"/>
          <w:sz w:val="24"/>
          <w:szCs w:val="24"/>
          <w:lang w:val="en"/>
        </w:rPr>
        <w:tab/>
      </w:r>
      <w:r w:rsidR="001160DA">
        <w:rPr>
          <w:rFonts w:ascii="Times New Roman" w:hAnsi="Times New Roman" w:cs="Times New Roman"/>
          <w:sz w:val="24"/>
          <w:szCs w:val="24"/>
          <w:lang w:val="en"/>
        </w:rPr>
        <w:t xml:space="preserve">At </w:t>
      </w:r>
      <w:r w:rsidRPr="00CB0151">
        <w:rPr>
          <w:rFonts w:ascii="Times New Roman" w:hAnsi="Times New Roman" w:cs="Times New Roman"/>
          <w:sz w:val="24"/>
          <w:szCs w:val="24"/>
          <w:lang w:val="en"/>
        </w:rPr>
        <w:t xml:space="preserve">the same time as notifying the client, the </w:t>
      </w:r>
      <w:r w:rsidR="00A20486">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must give the client:</w:t>
      </w:r>
    </w:p>
    <w:p w14:paraId="559DD5B0" w14:textId="77777777" w:rsidR="006567D7" w:rsidRPr="00CB0151" w:rsidRDefault="006567D7" w:rsidP="001160DA">
      <w:pPr>
        <w:spacing w:after="0" w:line="240" w:lineRule="auto"/>
        <w:ind w:left="720" w:firstLine="720"/>
        <w:rPr>
          <w:rFonts w:ascii="Times New Roman" w:hAnsi="Times New Roman" w:cs="Times New Roman"/>
          <w:sz w:val="24"/>
          <w:szCs w:val="24"/>
          <w:lang w:val="en"/>
        </w:rPr>
      </w:pPr>
    </w:p>
    <w:p w14:paraId="559DD5B1" w14:textId="0DC48A0E" w:rsidR="006567D7" w:rsidRPr="00CB0151" w:rsidRDefault="006567D7" w:rsidP="001160DA">
      <w:pPr>
        <w:spacing w:after="0" w:line="240" w:lineRule="auto"/>
        <w:ind w:left="2268" w:hanging="567"/>
        <w:rPr>
          <w:rFonts w:ascii="Times New Roman" w:hAnsi="Times New Roman" w:cs="Times New Roman"/>
          <w:sz w:val="24"/>
          <w:szCs w:val="24"/>
          <w:lang w:val="en"/>
        </w:rPr>
      </w:pPr>
      <w:r w:rsidRPr="00CB0151">
        <w:rPr>
          <w:rFonts w:ascii="Times New Roman" w:hAnsi="Times New Roman" w:cs="Times New Roman"/>
          <w:sz w:val="24"/>
          <w:szCs w:val="24"/>
          <w:lang w:val="en"/>
        </w:rPr>
        <w:t>(a)</w:t>
      </w:r>
      <w:r w:rsidRPr="00CB0151">
        <w:rPr>
          <w:rFonts w:ascii="Times New Roman" w:hAnsi="Times New Roman" w:cs="Times New Roman"/>
          <w:sz w:val="24"/>
          <w:szCs w:val="24"/>
          <w:lang w:val="en"/>
        </w:rPr>
        <w:tab/>
      </w:r>
      <w:r w:rsidR="00CB0151" w:rsidRPr="00CB0151">
        <w:rPr>
          <w:rFonts w:ascii="Times New Roman" w:hAnsi="Times New Roman" w:cs="Times New Roman"/>
          <w:sz w:val="24"/>
          <w:szCs w:val="24"/>
          <w:lang w:val="en"/>
        </w:rPr>
        <w:t xml:space="preserve">where the </w:t>
      </w:r>
      <w:r w:rsidR="001160DA">
        <w:rPr>
          <w:rFonts w:ascii="Times New Roman" w:hAnsi="Times New Roman" w:cs="Times New Roman"/>
          <w:sz w:val="24"/>
          <w:szCs w:val="24"/>
          <w:lang w:val="en"/>
        </w:rPr>
        <w:t>only regulated acquisitions of the accessible financial product that the trustee is making or is proposing to make are additional acquisitions</w:t>
      </w:r>
      <w:r w:rsidR="00D173D4">
        <w:rPr>
          <w:rFonts w:ascii="Times New Roman" w:hAnsi="Times New Roman" w:cs="Times New Roman"/>
          <w:sz w:val="24"/>
          <w:szCs w:val="24"/>
          <w:lang w:val="en"/>
        </w:rPr>
        <w:t>—</w:t>
      </w:r>
      <w:r w:rsidRPr="00CB0151">
        <w:rPr>
          <w:rFonts w:ascii="Times New Roman" w:hAnsi="Times New Roman" w:cs="Times New Roman"/>
          <w:sz w:val="24"/>
          <w:szCs w:val="24"/>
          <w:lang w:val="en"/>
        </w:rPr>
        <w:t>either:</w:t>
      </w:r>
    </w:p>
    <w:p w14:paraId="559DD5B2" w14:textId="77777777" w:rsidR="006567D7" w:rsidRPr="00CB0151" w:rsidRDefault="006567D7" w:rsidP="001160DA">
      <w:pPr>
        <w:spacing w:after="0" w:line="240" w:lineRule="auto"/>
        <w:ind w:left="2160" w:hanging="720"/>
        <w:rPr>
          <w:rFonts w:ascii="Times New Roman" w:hAnsi="Times New Roman" w:cs="Times New Roman"/>
          <w:sz w:val="24"/>
          <w:szCs w:val="24"/>
          <w:lang w:val="en"/>
        </w:rPr>
      </w:pPr>
    </w:p>
    <w:p w14:paraId="559DD5B3" w14:textId="77777777" w:rsidR="006567D7" w:rsidRPr="00CB0151" w:rsidRDefault="006567D7" w:rsidP="001160DA">
      <w:pPr>
        <w:spacing w:after="0" w:line="240" w:lineRule="auto"/>
        <w:ind w:left="2835" w:hanging="567"/>
        <w:rPr>
          <w:rFonts w:ascii="Times New Roman" w:hAnsi="Times New Roman" w:cs="Times New Roman"/>
          <w:sz w:val="24"/>
          <w:szCs w:val="24"/>
          <w:lang w:val="en"/>
        </w:rPr>
      </w:pPr>
      <w:r w:rsidRPr="00CB0151">
        <w:rPr>
          <w:rFonts w:ascii="Times New Roman" w:hAnsi="Times New Roman" w:cs="Times New Roman"/>
          <w:sz w:val="24"/>
          <w:szCs w:val="24"/>
          <w:lang w:val="en"/>
        </w:rPr>
        <w:t>(i)</w:t>
      </w:r>
      <w:r w:rsidRPr="00CB0151">
        <w:rPr>
          <w:rFonts w:ascii="Times New Roman" w:hAnsi="Times New Roman" w:cs="Times New Roman"/>
          <w:sz w:val="24"/>
          <w:szCs w:val="24"/>
          <w:lang w:val="en"/>
        </w:rPr>
        <w:tab/>
        <w:t>any further information that the client reasonably requires for the purposes of making a decision about whether to give a direction of the kind referred to in paragraph (2)(b); or</w:t>
      </w:r>
    </w:p>
    <w:p w14:paraId="559DD5B4" w14:textId="77777777" w:rsidR="000817F8" w:rsidRPr="00CB0151" w:rsidRDefault="000817F8" w:rsidP="001160DA">
      <w:pPr>
        <w:spacing w:after="0" w:line="240" w:lineRule="auto"/>
        <w:ind w:left="2835" w:hanging="567"/>
        <w:rPr>
          <w:rFonts w:ascii="Times New Roman" w:hAnsi="Times New Roman" w:cs="Times New Roman"/>
          <w:sz w:val="24"/>
          <w:szCs w:val="24"/>
          <w:lang w:val="en"/>
        </w:rPr>
      </w:pPr>
    </w:p>
    <w:p w14:paraId="559DD5B5" w14:textId="67639499" w:rsidR="000817F8" w:rsidRPr="00CB0151" w:rsidRDefault="000817F8" w:rsidP="001160DA">
      <w:pPr>
        <w:spacing w:after="0" w:line="240" w:lineRule="auto"/>
        <w:ind w:left="2835" w:hanging="567"/>
        <w:rPr>
          <w:rFonts w:ascii="Times New Roman" w:hAnsi="Times New Roman" w:cs="Times New Roman"/>
          <w:sz w:val="24"/>
          <w:szCs w:val="24"/>
          <w:lang w:val="en"/>
        </w:rPr>
      </w:pPr>
      <w:r w:rsidRPr="00CB0151">
        <w:rPr>
          <w:rFonts w:ascii="Times New Roman" w:hAnsi="Times New Roman" w:cs="Times New Roman"/>
          <w:sz w:val="24"/>
          <w:szCs w:val="24"/>
          <w:lang w:val="en"/>
        </w:rPr>
        <w:t>(ii)</w:t>
      </w:r>
      <w:r w:rsidRPr="00CB0151">
        <w:rPr>
          <w:rFonts w:ascii="Times New Roman" w:hAnsi="Times New Roman" w:cs="Times New Roman"/>
          <w:sz w:val="24"/>
          <w:szCs w:val="24"/>
          <w:lang w:val="en"/>
        </w:rPr>
        <w:tab/>
        <w:t>a Product Disclosure Statement for the accessible financial product that would be required to be given under section</w:t>
      </w:r>
      <w:r w:rsidR="00134D90">
        <w:rPr>
          <w:rFonts w:ascii="Times New Roman" w:hAnsi="Times New Roman" w:cs="Times New Roman"/>
          <w:sz w:val="24"/>
          <w:szCs w:val="24"/>
          <w:lang w:val="en"/>
        </w:rPr>
        <w:t> </w:t>
      </w:r>
      <w:r w:rsidRPr="00CB0151">
        <w:rPr>
          <w:rFonts w:ascii="Times New Roman" w:hAnsi="Times New Roman" w:cs="Times New Roman"/>
          <w:sz w:val="24"/>
          <w:szCs w:val="24"/>
          <w:lang w:val="en"/>
        </w:rPr>
        <w:t>1012IA in relation to a regulated acquisition of the product on the instruction of a person who is not a holder of the product on the day the notice is sent; or</w:t>
      </w:r>
    </w:p>
    <w:p w14:paraId="559DD5B6" w14:textId="77777777" w:rsidR="000817F8" w:rsidRPr="00CB0151" w:rsidRDefault="000817F8" w:rsidP="001160DA">
      <w:pPr>
        <w:spacing w:after="0" w:line="240" w:lineRule="auto"/>
        <w:rPr>
          <w:rFonts w:ascii="Times New Roman" w:hAnsi="Times New Roman" w:cs="Times New Roman"/>
          <w:sz w:val="24"/>
          <w:szCs w:val="24"/>
          <w:lang w:val="en"/>
        </w:rPr>
      </w:pPr>
    </w:p>
    <w:p w14:paraId="559DD5B7" w14:textId="236074F8" w:rsidR="000817F8" w:rsidRPr="00CB0151" w:rsidRDefault="000817F8" w:rsidP="001160DA">
      <w:pPr>
        <w:spacing w:after="0" w:line="240" w:lineRule="auto"/>
        <w:ind w:left="2268" w:hanging="567"/>
        <w:rPr>
          <w:rFonts w:ascii="Times New Roman" w:hAnsi="Times New Roman" w:cs="Times New Roman"/>
          <w:sz w:val="24"/>
          <w:szCs w:val="24"/>
          <w:lang w:val="en"/>
        </w:rPr>
      </w:pPr>
      <w:r w:rsidRPr="00CB0151">
        <w:rPr>
          <w:rFonts w:ascii="Times New Roman" w:hAnsi="Times New Roman" w:cs="Times New Roman"/>
          <w:sz w:val="24"/>
          <w:szCs w:val="24"/>
          <w:lang w:val="en"/>
        </w:rPr>
        <w:t>(b)</w:t>
      </w:r>
      <w:r w:rsidRPr="00CB0151">
        <w:rPr>
          <w:rFonts w:ascii="Times New Roman" w:hAnsi="Times New Roman" w:cs="Times New Roman"/>
          <w:sz w:val="24"/>
          <w:szCs w:val="24"/>
          <w:lang w:val="en"/>
        </w:rPr>
        <w:tab/>
        <w:t>otherwise</w:t>
      </w:r>
      <w:r w:rsidR="002A0A42">
        <w:rPr>
          <w:rFonts w:ascii="Times New Roman" w:hAnsi="Times New Roman" w:cs="Times New Roman"/>
          <w:sz w:val="24"/>
          <w:szCs w:val="24"/>
          <w:lang w:val="en"/>
        </w:rPr>
        <w:t>—</w:t>
      </w:r>
      <w:r w:rsidR="001E58D2">
        <w:rPr>
          <w:rFonts w:ascii="Times New Roman" w:hAnsi="Times New Roman" w:cs="Times New Roman"/>
          <w:sz w:val="24"/>
          <w:szCs w:val="24"/>
          <w:lang w:val="en"/>
        </w:rPr>
        <w:t>a P</w:t>
      </w:r>
      <w:r w:rsidR="001160DA">
        <w:rPr>
          <w:rFonts w:ascii="Times New Roman" w:hAnsi="Times New Roman" w:cs="Times New Roman"/>
          <w:sz w:val="24"/>
          <w:szCs w:val="24"/>
          <w:lang w:val="en"/>
        </w:rPr>
        <w:t xml:space="preserve">roduct Disclosure Statement </w:t>
      </w:r>
      <w:r w:rsidR="002A0A42">
        <w:rPr>
          <w:rFonts w:ascii="Times New Roman" w:hAnsi="Times New Roman" w:cs="Times New Roman"/>
          <w:sz w:val="24"/>
          <w:szCs w:val="24"/>
          <w:lang w:val="en"/>
        </w:rPr>
        <w:t xml:space="preserve">for the accessible </w:t>
      </w:r>
      <w:r w:rsidR="001160DA">
        <w:rPr>
          <w:rFonts w:ascii="Times New Roman" w:hAnsi="Times New Roman" w:cs="Times New Roman"/>
          <w:sz w:val="24"/>
          <w:szCs w:val="24"/>
          <w:lang w:val="en"/>
        </w:rPr>
        <w:t xml:space="preserve">financial </w:t>
      </w:r>
      <w:r w:rsidR="002A0A42">
        <w:rPr>
          <w:rFonts w:ascii="Times New Roman" w:hAnsi="Times New Roman" w:cs="Times New Roman"/>
          <w:sz w:val="24"/>
          <w:szCs w:val="24"/>
          <w:lang w:val="en"/>
        </w:rPr>
        <w:t>product</w:t>
      </w:r>
      <w:r w:rsidRPr="00CB0151">
        <w:rPr>
          <w:rFonts w:ascii="Times New Roman" w:hAnsi="Times New Roman" w:cs="Times New Roman"/>
          <w:sz w:val="24"/>
          <w:szCs w:val="24"/>
          <w:lang w:val="en"/>
        </w:rPr>
        <w:t>.</w:t>
      </w:r>
    </w:p>
    <w:p w14:paraId="559DD5B8" w14:textId="77777777" w:rsidR="000817F8" w:rsidRPr="00CB0151" w:rsidRDefault="000817F8" w:rsidP="000817F8">
      <w:pPr>
        <w:spacing w:after="0" w:line="240" w:lineRule="auto"/>
        <w:jc w:val="both"/>
        <w:rPr>
          <w:rFonts w:ascii="Times New Roman" w:hAnsi="Times New Roman" w:cs="Times New Roman"/>
          <w:b/>
          <w:bCs/>
          <w:sz w:val="24"/>
          <w:szCs w:val="24"/>
          <w:lang w:val="en"/>
        </w:rPr>
      </w:pPr>
    </w:p>
    <w:p w14:paraId="559DD5B9" w14:textId="0294D6FA" w:rsidR="000817F8" w:rsidRPr="005B5C20" w:rsidRDefault="000817F8" w:rsidP="0043105B">
      <w:pPr>
        <w:spacing w:after="0" w:line="240" w:lineRule="auto"/>
        <w:ind w:left="2268" w:hanging="567"/>
        <w:jc w:val="both"/>
        <w:rPr>
          <w:rFonts w:ascii="Times New Roman" w:hAnsi="Times New Roman" w:cs="Times New Roman"/>
          <w:bCs/>
          <w:sz w:val="20"/>
          <w:szCs w:val="20"/>
          <w:lang w:val="en"/>
        </w:rPr>
      </w:pPr>
      <w:r w:rsidRPr="005B5C20">
        <w:rPr>
          <w:rFonts w:ascii="Times New Roman" w:hAnsi="Times New Roman" w:cs="Times New Roman"/>
          <w:bCs/>
          <w:sz w:val="20"/>
          <w:szCs w:val="20"/>
          <w:lang w:val="en"/>
        </w:rPr>
        <w:t>Note:</w:t>
      </w:r>
      <w:r w:rsidRPr="005B5C20">
        <w:rPr>
          <w:rFonts w:ascii="Times New Roman" w:hAnsi="Times New Roman" w:cs="Times New Roman"/>
          <w:bCs/>
          <w:sz w:val="20"/>
          <w:szCs w:val="20"/>
          <w:lang w:val="en"/>
        </w:rPr>
        <w:tab/>
      </w:r>
      <w:r w:rsidRPr="005B5C20">
        <w:rPr>
          <w:rFonts w:ascii="Times New Roman" w:hAnsi="Times New Roman" w:cs="Times New Roman"/>
          <w:sz w:val="20"/>
          <w:szCs w:val="20"/>
          <w:lang w:val="en"/>
        </w:rPr>
        <w:t xml:space="preserve">Sections 1014D and 1014E will enable subparagraph (a)(ii) or paragraph (b) </w:t>
      </w:r>
      <w:r w:rsidR="00134D90">
        <w:rPr>
          <w:rFonts w:ascii="Times New Roman" w:hAnsi="Times New Roman" w:cs="Times New Roman"/>
          <w:sz w:val="20"/>
          <w:szCs w:val="20"/>
          <w:lang w:val="en"/>
        </w:rPr>
        <w:t xml:space="preserve">of this subsection (5) </w:t>
      </w:r>
      <w:r w:rsidRPr="005B5C20">
        <w:rPr>
          <w:rFonts w:ascii="Times New Roman" w:hAnsi="Times New Roman" w:cs="Times New Roman"/>
          <w:sz w:val="20"/>
          <w:szCs w:val="20"/>
          <w:lang w:val="en"/>
        </w:rPr>
        <w:t>to be satisfied in some circumstances by giving a Product Disclosure Statement together with a Supplementary Product Disclosure Statement or just giving a Supplementary Product Disclosure Statement.</w:t>
      </w:r>
    </w:p>
    <w:p w14:paraId="559DD5BA" w14:textId="77777777" w:rsidR="000817F8" w:rsidRPr="00CB0151" w:rsidRDefault="000817F8" w:rsidP="000817F8">
      <w:pPr>
        <w:spacing w:after="0" w:line="240" w:lineRule="auto"/>
        <w:jc w:val="both"/>
        <w:rPr>
          <w:rFonts w:ascii="Times New Roman" w:hAnsi="Times New Roman" w:cs="Times New Roman"/>
          <w:sz w:val="24"/>
          <w:szCs w:val="24"/>
          <w:lang w:val="en"/>
        </w:rPr>
      </w:pPr>
    </w:p>
    <w:p w14:paraId="559DD5BB" w14:textId="0577682E" w:rsidR="000817F8" w:rsidRPr="00CB0151" w:rsidRDefault="000817F8" w:rsidP="0043105B">
      <w:pPr>
        <w:spacing w:after="0" w:line="240" w:lineRule="auto"/>
        <w:ind w:left="1701"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(6)</w:t>
      </w:r>
      <w:r w:rsidRPr="00CB0151">
        <w:rPr>
          <w:rFonts w:ascii="Times New Roman" w:hAnsi="Times New Roman" w:cs="Times New Roman"/>
          <w:sz w:val="24"/>
          <w:szCs w:val="24"/>
          <w:lang w:val="en"/>
        </w:rPr>
        <w:tab/>
        <w:t xml:space="preserve">The </w:t>
      </w:r>
      <w:r w:rsidR="00D173D4">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does not have to give the client information or a Product</w:t>
      </w:r>
      <w:r w:rsidR="003F0DD3">
        <w:rPr>
          <w:rFonts w:ascii="Times New Roman" w:hAnsi="Times New Roman" w:cs="Times New Roman"/>
          <w:sz w:val="24"/>
          <w:szCs w:val="24"/>
          <w:lang w:val="en"/>
        </w:rPr>
        <w:t> </w:t>
      </w:r>
      <w:r w:rsidRPr="00CB0151">
        <w:rPr>
          <w:rFonts w:ascii="Times New Roman" w:hAnsi="Times New Roman" w:cs="Times New Roman"/>
          <w:sz w:val="24"/>
          <w:szCs w:val="24"/>
          <w:lang w:val="en"/>
        </w:rPr>
        <w:t xml:space="preserve">Disclosure Statement under </w:t>
      </w:r>
      <w:r w:rsidR="00C1301A">
        <w:rPr>
          <w:rFonts w:ascii="Times New Roman" w:hAnsi="Times New Roman" w:cs="Times New Roman"/>
          <w:sz w:val="24"/>
          <w:szCs w:val="24"/>
          <w:lang w:val="en"/>
        </w:rPr>
        <w:t>subsection</w:t>
      </w:r>
      <w:r w:rsidRPr="00CB0151">
        <w:rPr>
          <w:rFonts w:ascii="Times New Roman" w:hAnsi="Times New Roman" w:cs="Times New Roman"/>
          <w:sz w:val="24"/>
          <w:szCs w:val="24"/>
          <w:lang w:val="en"/>
        </w:rPr>
        <w:t xml:space="preserve"> (5) if:</w:t>
      </w:r>
    </w:p>
    <w:p w14:paraId="559DD5BC" w14:textId="77777777" w:rsidR="000817F8" w:rsidRPr="00CB0151" w:rsidRDefault="000817F8" w:rsidP="000817F8">
      <w:pPr>
        <w:spacing w:after="0" w:line="240" w:lineRule="auto"/>
        <w:jc w:val="both"/>
        <w:rPr>
          <w:rFonts w:ascii="Times New Roman" w:hAnsi="Times New Roman" w:cs="Times New Roman"/>
          <w:sz w:val="24"/>
          <w:szCs w:val="24"/>
          <w:lang w:val="en"/>
        </w:rPr>
      </w:pPr>
    </w:p>
    <w:p w14:paraId="559DD5BD" w14:textId="77777777" w:rsidR="000817F8" w:rsidRPr="00CB0151" w:rsidRDefault="000817F8"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(a)</w:t>
      </w:r>
      <w:r w:rsidRPr="00CB0151">
        <w:rPr>
          <w:rFonts w:ascii="Times New Roman" w:hAnsi="Times New Roman" w:cs="Times New Roman"/>
          <w:sz w:val="24"/>
          <w:szCs w:val="24"/>
          <w:lang w:val="en"/>
        </w:rPr>
        <w:tab/>
        <w:t>the client has already received a Product Disclosure Statement that contains all of the information that the first-mentioned Product Disclosure Statement would be required to contain; or</w:t>
      </w:r>
    </w:p>
    <w:p w14:paraId="559DD5BE" w14:textId="77777777" w:rsidR="000817F8" w:rsidRPr="00CB0151" w:rsidRDefault="000817F8" w:rsidP="0043105B">
      <w:pPr>
        <w:spacing w:after="0" w:line="240" w:lineRule="auto"/>
        <w:ind w:left="2268" w:hanging="567"/>
        <w:jc w:val="both"/>
        <w:rPr>
          <w:rFonts w:ascii="Times New Roman" w:hAnsi="Times New Roman" w:cs="Times New Roman"/>
          <w:sz w:val="24"/>
          <w:szCs w:val="24"/>
          <w:lang w:val="en"/>
        </w:rPr>
      </w:pPr>
    </w:p>
    <w:p w14:paraId="559DD5BF" w14:textId="6E3DFE36" w:rsidR="000817F8" w:rsidRPr="00CB0151" w:rsidRDefault="000817F8"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(b)</w:t>
      </w:r>
      <w:r w:rsidRPr="00CB0151">
        <w:rPr>
          <w:rFonts w:ascii="Times New Roman" w:hAnsi="Times New Roman" w:cs="Times New Roman"/>
          <w:sz w:val="24"/>
          <w:szCs w:val="24"/>
          <w:lang w:val="en"/>
        </w:rPr>
        <w:tab/>
        <w:t xml:space="preserve">the </w:t>
      </w:r>
      <w:r w:rsidR="00D173D4">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believes on reasonable grounds that paragraph (a) applies.</w:t>
      </w:r>
    </w:p>
    <w:p w14:paraId="559DD5C0" w14:textId="77777777" w:rsidR="000817F8" w:rsidRPr="00CB0151" w:rsidRDefault="000817F8" w:rsidP="000817F8">
      <w:pPr>
        <w:spacing w:after="0" w:line="240" w:lineRule="auto"/>
        <w:jc w:val="both"/>
        <w:rPr>
          <w:rFonts w:ascii="Times New Roman" w:hAnsi="Times New Roman" w:cs="Times New Roman"/>
          <w:sz w:val="24"/>
          <w:szCs w:val="24"/>
          <w:lang w:val="en"/>
        </w:rPr>
      </w:pPr>
    </w:p>
    <w:p w14:paraId="559DD5C1" w14:textId="140D4571" w:rsidR="000817F8" w:rsidRPr="00CB0151" w:rsidRDefault="000817F8" w:rsidP="0043105B">
      <w:pPr>
        <w:spacing w:after="0" w:line="240" w:lineRule="auto"/>
        <w:ind w:left="1701"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lastRenderedPageBreak/>
        <w:t>(7)</w:t>
      </w:r>
      <w:r w:rsidRPr="00CB0151">
        <w:rPr>
          <w:rFonts w:ascii="Times New Roman" w:hAnsi="Times New Roman" w:cs="Times New Roman"/>
          <w:sz w:val="24"/>
          <w:szCs w:val="24"/>
          <w:lang w:val="en"/>
        </w:rPr>
        <w:tab/>
        <w:t xml:space="preserve">The </w:t>
      </w:r>
      <w:r w:rsidR="00D173D4">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does not have to give the client information or a Product</w:t>
      </w:r>
      <w:r w:rsidR="003F0DD3">
        <w:rPr>
          <w:rFonts w:ascii="Times New Roman" w:hAnsi="Times New Roman" w:cs="Times New Roman"/>
          <w:sz w:val="24"/>
          <w:szCs w:val="24"/>
          <w:lang w:val="en"/>
        </w:rPr>
        <w:t> </w:t>
      </w:r>
      <w:r w:rsidRPr="00CB0151">
        <w:rPr>
          <w:rFonts w:ascii="Times New Roman" w:hAnsi="Times New Roman" w:cs="Times New Roman"/>
          <w:sz w:val="24"/>
          <w:szCs w:val="24"/>
          <w:lang w:val="en"/>
        </w:rPr>
        <w:t xml:space="preserve">Disclosure Statement under </w:t>
      </w:r>
      <w:r w:rsidR="008C547F">
        <w:rPr>
          <w:rFonts w:ascii="Times New Roman" w:hAnsi="Times New Roman" w:cs="Times New Roman"/>
          <w:sz w:val="24"/>
          <w:szCs w:val="24"/>
          <w:lang w:val="en"/>
        </w:rPr>
        <w:t>subsection</w:t>
      </w:r>
      <w:r w:rsidRPr="00CB0151">
        <w:rPr>
          <w:rFonts w:ascii="Times New Roman" w:hAnsi="Times New Roman" w:cs="Times New Roman"/>
          <w:sz w:val="24"/>
          <w:szCs w:val="24"/>
          <w:lang w:val="en"/>
        </w:rPr>
        <w:t xml:space="preserve"> (5) if the </w:t>
      </w:r>
      <w:r w:rsidR="00D173D4">
        <w:rPr>
          <w:rFonts w:ascii="Times New Roman" w:hAnsi="Times New Roman" w:cs="Times New Roman"/>
          <w:sz w:val="24"/>
          <w:szCs w:val="24"/>
          <w:lang w:val="en"/>
        </w:rPr>
        <w:t>trustee</w:t>
      </w:r>
      <w:r w:rsidRPr="00CB0151">
        <w:rPr>
          <w:rFonts w:ascii="Times New Roman" w:hAnsi="Times New Roman" w:cs="Times New Roman"/>
          <w:sz w:val="24"/>
          <w:szCs w:val="24"/>
          <w:lang w:val="en"/>
        </w:rPr>
        <w:t xml:space="preserve"> believes on reasonable grounds that the client has received, or has, and knows that they have, access to, all of the information that the first-mentioned Product</w:t>
      </w:r>
      <w:r w:rsidR="003F0DD3">
        <w:rPr>
          <w:rFonts w:ascii="Times New Roman" w:hAnsi="Times New Roman" w:cs="Times New Roman"/>
          <w:sz w:val="24"/>
          <w:szCs w:val="24"/>
          <w:lang w:val="en"/>
        </w:rPr>
        <w:t> </w:t>
      </w:r>
      <w:r w:rsidRPr="00CB0151">
        <w:rPr>
          <w:rFonts w:ascii="Times New Roman" w:hAnsi="Times New Roman" w:cs="Times New Roman"/>
          <w:sz w:val="24"/>
          <w:szCs w:val="24"/>
          <w:lang w:val="en"/>
        </w:rPr>
        <w:t>Disclosure Statement would be required to contain through:</w:t>
      </w:r>
    </w:p>
    <w:p w14:paraId="559DD5C2" w14:textId="77777777" w:rsidR="000817F8" w:rsidRPr="00CB0151" w:rsidRDefault="000817F8" w:rsidP="000817F8">
      <w:pPr>
        <w:spacing w:after="0" w:line="240" w:lineRule="auto"/>
        <w:jc w:val="both"/>
        <w:rPr>
          <w:rFonts w:ascii="Times New Roman" w:hAnsi="Times New Roman" w:cs="Times New Roman"/>
          <w:sz w:val="24"/>
          <w:szCs w:val="24"/>
          <w:lang w:val="en"/>
        </w:rPr>
      </w:pPr>
    </w:p>
    <w:p w14:paraId="559DD5C3" w14:textId="77777777" w:rsidR="000817F8" w:rsidRPr="00CB0151" w:rsidRDefault="000817F8"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(a)</w:t>
      </w:r>
      <w:r w:rsidRPr="00CB0151">
        <w:rPr>
          <w:rFonts w:ascii="Times New Roman" w:hAnsi="Times New Roman" w:cs="Times New Roman"/>
          <w:sz w:val="24"/>
          <w:szCs w:val="24"/>
          <w:lang w:val="en"/>
        </w:rPr>
        <w:tab/>
        <w:t>a Product Disclosure Statement; and</w:t>
      </w:r>
    </w:p>
    <w:p w14:paraId="559DD5C4" w14:textId="77777777" w:rsidR="000817F8" w:rsidRPr="00CB0151" w:rsidRDefault="000817F8" w:rsidP="0043105B">
      <w:pPr>
        <w:spacing w:after="0" w:line="240" w:lineRule="auto"/>
        <w:ind w:left="2268" w:hanging="567"/>
        <w:jc w:val="both"/>
        <w:rPr>
          <w:rFonts w:ascii="Times New Roman" w:hAnsi="Times New Roman" w:cs="Times New Roman"/>
          <w:sz w:val="24"/>
          <w:szCs w:val="24"/>
          <w:lang w:val="en"/>
        </w:rPr>
      </w:pPr>
    </w:p>
    <w:p w14:paraId="559DD5C5" w14:textId="77777777" w:rsidR="000817F8" w:rsidRPr="00CB0151" w:rsidRDefault="000817F8" w:rsidP="0043105B">
      <w:pPr>
        <w:spacing w:after="0" w:line="240" w:lineRule="auto"/>
        <w:ind w:left="2268"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(b)</w:t>
      </w:r>
      <w:r w:rsidRPr="00CB0151">
        <w:rPr>
          <w:rFonts w:ascii="Times New Roman" w:hAnsi="Times New Roman" w:cs="Times New Roman"/>
          <w:sz w:val="24"/>
          <w:szCs w:val="24"/>
          <w:lang w:val="en"/>
        </w:rPr>
        <w:tab/>
        <w:t>information provided to the client under section 1017B in relation to the superannuation product or through continuous disclosure under Chapter 6CA in relation to the accessible financial product.</w:t>
      </w:r>
    </w:p>
    <w:p w14:paraId="559DD5C6" w14:textId="77777777" w:rsidR="000817F8" w:rsidRPr="00CB0151" w:rsidRDefault="000817F8" w:rsidP="000817F8">
      <w:pPr>
        <w:spacing w:after="0" w:line="240" w:lineRule="auto"/>
        <w:jc w:val="both"/>
        <w:rPr>
          <w:rFonts w:ascii="Times New Roman" w:hAnsi="Times New Roman" w:cs="Times New Roman"/>
          <w:sz w:val="24"/>
          <w:szCs w:val="24"/>
          <w:lang w:val="en"/>
        </w:rPr>
      </w:pPr>
    </w:p>
    <w:p w14:paraId="559DD5C7" w14:textId="59B5530B" w:rsidR="005D21A8" w:rsidRPr="00D173D4" w:rsidRDefault="000817F8" w:rsidP="0043105B">
      <w:pPr>
        <w:spacing w:after="0" w:line="240" w:lineRule="auto"/>
        <w:ind w:left="2552" w:hanging="851"/>
        <w:jc w:val="both"/>
        <w:rPr>
          <w:rFonts w:ascii="Times New Roman" w:hAnsi="Times New Roman" w:cs="Times New Roman"/>
          <w:sz w:val="20"/>
          <w:szCs w:val="20"/>
          <w:lang w:val="en"/>
        </w:rPr>
      </w:pPr>
      <w:r w:rsidRPr="00D173D4">
        <w:rPr>
          <w:rFonts w:ascii="Times New Roman" w:hAnsi="Times New Roman" w:cs="Times New Roman"/>
          <w:iCs/>
          <w:sz w:val="20"/>
          <w:szCs w:val="20"/>
          <w:lang w:val="en"/>
        </w:rPr>
        <w:t>Note 1:</w:t>
      </w:r>
      <w:r w:rsidR="005D21A8" w:rsidRPr="00D173D4">
        <w:rPr>
          <w:rFonts w:ascii="Times New Roman" w:hAnsi="Times New Roman" w:cs="Times New Roman"/>
          <w:sz w:val="20"/>
          <w:szCs w:val="20"/>
          <w:lang w:val="en"/>
        </w:rPr>
        <w:tab/>
      </w:r>
      <w:r w:rsidRPr="00D173D4">
        <w:rPr>
          <w:rFonts w:ascii="Times New Roman" w:hAnsi="Times New Roman" w:cs="Times New Roman"/>
          <w:sz w:val="20"/>
          <w:szCs w:val="20"/>
          <w:lang w:val="en"/>
        </w:rPr>
        <w:t>A material adverse change or a significant adverse event relating to the accessible</w:t>
      </w:r>
      <w:r w:rsidR="00D173D4">
        <w:rPr>
          <w:rFonts w:ascii="Times New Roman" w:hAnsi="Times New Roman" w:cs="Times New Roman"/>
          <w:sz w:val="20"/>
          <w:szCs w:val="20"/>
          <w:lang w:val="en"/>
        </w:rPr>
        <w:t> </w:t>
      </w:r>
      <w:r w:rsidRPr="00D173D4">
        <w:rPr>
          <w:rFonts w:ascii="Times New Roman" w:hAnsi="Times New Roman" w:cs="Times New Roman"/>
          <w:sz w:val="20"/>
          <w:szCs w:val="20"/>
          <w:lang w:val="en"/>
        </w:rPr>
        <w:t>financial product may need to be notified to the client under section</w:t>
      </w:r>
      <w:r w:rsidR="00D173D4">
        <w:rPr>
          <w:rFonts w:ascii="Times New Roman" w:hAnsi="Times New Roman" w:cs="Times New Roman"/>
          <w:sz w:val="20"/>
          <w:szCs w:val="20"/>
          <w:lang w:val="en"/>
        </w:rPr>
        <w:t> </w:t>
      </w:r>
      <w:r w:rsidR="005D21A8" w:rsidRPr="00D173D4">
        <w:rPr>
          <w:rFonts w:ascii="Times New Roman" w:hAnsi="Times New Roman" w:cs="Times New Roman"/>
          <w:sz w:val="20"/>
          <w:szCs w:val="20"/>
          <w:lang w:val="en"/>
        </w:rPr>
        <w:t>1017B because the client holds the superannuation product. If the client is notified of the change or event under that section by the time notification is required under subsection (2)</w:t>
      </w:r>
      <w:r w:rsidR="00D173D4">
        <w:rPr>
          <w:rFonts w:ascii="Times New Roman" w:hAnsi="Times New Roman" w:cs="Times New Roman"/>
          <w:sz w:val="20"/>
          <w:szCs w:val="20"/>
          <w:lang w:val="en"/>
        </w:rPr>
        <w:t xml:space="preserve"> of that section</w:t>
      </w:r>
      <w:r w:rsidR="005D21A8" w:rsidRPr="00D173D4">
        <w:rPr>
          <w:rFonts w:ascii="Times New Roman" w:hAnsi="Times New Roman" w:cs="Times New Roman"/>
          <w:sz w:val="20"/>
          <w:szCs w:val="20"/>
          <w:lang w:val="en"/>
        </w:rPr>
        <w:t xml:space="preserve">, the </w:t>
      </w:r>
      <w:r w:rsidR="00D173D4">
        <w:rPr>
          <w:rFonts w:ascii="Times New Roman" w:hAnsi="Times New Roman" w:cs="Times New Roman"/>
          <w:sz w:val="20"/>
          <w:szCs w:val="20"/>
          <w:lang w:val="en"/>
        </w:rPr>
        <w:t>trustee</w:t>
      </w:r>
      <w:r w:rsidR="005D21A8" w:rsidRPr="00D173D4">
        <w:rPr>
          <w:rFonts w:ascii="Times New Roman" w:hAnsi="Times New Roman" w:cs="Times New Roman"/>
          <w:sz w:val="20"/>
          <w:szCs w:val="20"/>
          <w:lang w:val="en"/>
        </w:rPr>
        <w:t xml:space="preserve"> may not need to also give the client information or a Product Disclosure Statement under subsection</w:t>
      </w:r>
      <w:r w:rsidR="0043105B">
        <w:rPr>
          <w:rFonts w:ascii="Times New Roman" w:hAnsi="Times New Roman" w:cs="Times New Roman"/>
          <w:sz w:val="20"/>
          <w:szCs w:val="20"/>
          <w:lang w:val="en"/>
        </w:rPr>
        <w:t> </w:t>
      </w:r>
      <w:r w:rsidR="005D21A8" w:rsidRPr="00D173D4">
        <w:rPr>
          <w:rFonts w:ascii="Times New Roman" w:hAnsi="Times New Roman" w:cs="Times New Roman"/>
          <w:sz w:val="20"/>
          <w:szCs w:val="20"/>
          <w:lang w:val="en"/>
        </w:rPr>
        <w:t>(5)</w:t>
      </w:r>
      <w:r w:rsidR="00D173D4">
        <w:rPr>
          <w:rFonts w:ascii="Times New Roman" w:hAnsi="Times New Roman" w:cs="Times New Roman"/>
          <w:sz w:val="20"/>
          <w:szCs w:val="20"/>
          <w:lang w:val="en"/>
        </w:rPr>
        <w:t xml:space="preserve"> of this section</w:t>
      </w:r>
      <w:r w:rsidR="005D21A8" w:rsidRPr="00D173D4">
        <w:rPr>
          <w:rFonts w:ascii="Times New Roman" w:hAnsi="Times New Roman" w:cs="Times New Roman"/>
          <w:sz w:val="20"/>
          <w:szCs w:val="20"/>
          <w:lang w:val="en"/>
        </w:rPr>
        <w:t>.</w:t>
      </w:r>
    </w:p>
    <w:p w14:paraId="559DD5C8" w14:textId="77777777" w:rsidR="005D21A8" w:rsidRPr="00D173D4" w:rsidRDefault="005D21A8" w:rsidP="00D173D4">
      <w:pPr>
        <w:spacing w:after="0" w:line="240" w:lineRule="auto"/>
        <w:ind w:left="2268" w:hanging="850"/>
        <w:jc w:val="both"/>
        <w:rPr>
          <w:rFonts w:ascii="Times New Roman" w:hAnsi="Times New Roman" w:cs="Times New Roman"/>
          <w:sz w:val="20"/>
          <w:szCs w:val="20"/>
          <w:lang w:val="en"/>
        </w:rPr>
      </w:pPr>
    </w:p>
    <w:p w14:paraId="559DD5C9" w14:textId="77777777" w:rsidR="005D21A8" w:rsidRPr="00D173D4" w:rsidRDefault="005D21A8" w:rsidP="0043105B">
      <w:pPr>
        <w:spacing w:after="0" w:line="240" w:lineRule="auto"/>
        <w:ind w:left="2552" w:hanging="851"/>
        <w:jc w:val="both"/>
        <w:rPr>
          <w:rFonts w:ascii="Times New Roman" w:hAnsi="Times New Roman" w:cs="Times New Roman"/>
          <w:sz w:val="20"/>
          <w:szCs w:val="20"/>
          <w:lang w:val="en"/>
        </w:rPr>
      </w:pPr>
      <w:r w:rsidRPr="00D173D4">
        <w:rPr>
          <w:rFonts w:ascii="Times New Roman" w:hAnsi="Times New Roman" w:cs="Times New Roman"/>
          <w:iCs/>
          <w:sz w:val="20"/>
          <w:szCs w:val="20"/>
          <w:lang w:val="en"/>
        </w:rPr>
        <w:t>Note 2:</w:t>
      </w:r>
      <w:r w:rsidRPr="00D173D4">
        <w:rPr>
          <w:rFonts w:ascii="Times New Roman" w:hAnsi="Times New Roman" w:cs="Times New Roman"/>
          <w:sz w:val="20"/>
          <w:szCs w:val="20"/>
          <w:lang w:val="en"/>
        </w:rPr>
        <w:tab/>
        <w:t>The continuous disclosure provisions in Chapter 6CA apply to accessible financial products that are both managed investment products and ED securities.</w:t>
      </w:r>
    </w:p>
    <w:p w14:paraId="559DD5CA" w14:textId="77777777" w:rsidR="005D21A8" w:rsidRPr="00CB0151" w:rsidRDefault="005D21A8" w:rsidP="00D173D4">
      <w:pPr>
        <w:spacing w:after="0" w:line="240" w:lineRule="auto"/>
        <w:ind w:left="1985" w:hanging="851"/>
        <w:jc w:val="both"/>
        <w:rPr>
          <w:rFonts w:ascii="Times New Roman" w:hAnsi="Times New Roman" w:cs="Times New Roman"/>
          <w:sz w:val="24"/>
          <w:szCs w:val="24"/>
          <w:lang w:val="en"/>
        </w:rPr>
      </w:pPr>
    </w:p>
    <w:p w14:paraId="559DD5CB" w14:textId="77777777" w:rsidR="005D21A8" w:rsidRPr="00CB0151" w:rsidRDefault="005D21A8" w:rsidP="0043105B">
      <w:pPr>
        <w:spacing w:after="0" w:line="240" w:lineRule="auto"/>
        <w:ind w:left="1701"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(8)</w:t>
      </w:r>
      <w:r w:rsidRPr="00CB0151">
        <w:rPr>
          <w:rFonts w:ascii="Times New Roman" w:hAnsi="Times New Roman" w:cs="Times New Roman"/>
          <w:sz w:val="24"/>
          <w:szCs w:val="24"/>
          <w:lang w:val="en"/>
        </w:rPr>
        <w:tab/>
        <w:t>The information referred to in subparagraph (5)(a)(i) may be given by including it in the notice referred to in subsection (2).</w:t>
      </w:r>
    </w:p>
    <w:p w14:paraId="559DD5CC" w14:textId="77777777" w:rsidR="005D21A8" w:rsidRPr="00CB0151" w:rsidRDefault="005D21A8" w:rsidP="00D173D4">
      <w:pPr>
        <w:spacing w:after="0" w:line="240" w:lineRule="auto"/>
        <w:ind w:left="1134" w:hanging="567"/>
        <w:jc w:val="both"/>
        <w:rPr>
          <w:rFonts w:ascii="Times New Roman" w:hAnsi="Times New Roman" w:cs="Times New Roman"/>
          <w:sz w:val="24"/>
          <w:szCs w:val="24"/>
          <w:lang w:val="en"/>
        </w:rPr>
      </w:pPr>
    </w:p>
    <w:p w14:paraId="3D169257" w14:textId="7B8381E0" w:rsidR="00D173D4" w:rsidRDefault="005D21A8" w:rsidP="0043105B">
      <w:pPr>
        <w:spacing w:after="0" w:line="240" w:lineRule="auto"/>
        <w:ind w:left="1701" w:hanging="567"/>
        <w:jc w:val="both"/>
        <w:rPr>
          <w:rFonts w:ascii="Times New Roman" w:hAnsi="Times New Roman" w:cs="Times New Roman"/>
          <w:sz w:val="24"/>
          <w:szCs w:val="24"/>
          <w:lang w:val="en"/>
        </w:rPr>
      </w:pPr>
      <w:r w:rsidRPr="00CB0151">
        <w:rPr>
          <w:rFonts w:ascii="Times New Roman" w:hAnsi="Times New Roman" w:cs="Times New Roman"/>
          <w:sz w:val="24"/>
          <w:szCs w:val="24"/>
          <w:lang w:val="en"/>
        </w:rPr>
        <w:t>(9)</w:t>
      </w:r>
      <w:r w:rsidRPr="00CB0151">
        <w:rPr>
          <w:rFonts w:ascii="Times New Roman" w:hAnsi="Times New Roman" w:cs="Times New Roman"/>
          <w:sz w:val="24"/>
          <w:szCs w:val="24"/>
          <w:lang w:val="en"/>
        </w:rPr>
        <w:tab/>
        <w:t>In this section</w:t>
      </w:r>
      <w:r w:rsidR="00D173D4">
        <w:rPr>
          <w:rFonts w:ascii="Times New Roman" w:hAnsi="Times New Roman" w:cs="Times New Roman"/>
          <w:sz w:val="24"/>
          <w:szCs w:val="24"/>
          <w:lang w:val="en"/>
        </w:rPr>
        <w:t>:</w:t>
      </w:r>
    </w:p>
    <w:p w14:paraId="57F6B464" w14:textId="77777777" w:rsidR="00D173D4" w:rsidRDefault="00D173D4" w:rsidP="00D173D4">
      <w:pPr>
        <w:spacing w:after="0" w:line="240" w:lineRule="auto"/>
        <w:ind w:left="1134" w:hanging="567"/>
        <w:jc w:val="both"/>
        <w:rPr>
          <w:rFonts w:ascii="Times New Roman" w:hAnsi="Times New Roman" w:cs="Times New Roman"/>
          <w:sz w:val="24"/>
          <w:szCs w:val="24"/>
          <w:lang w:val="en"/>
        </w:rPr>
      </w:pPr>
    </w:p>
    <w:p w14:paraId="559DD5CD" w14:textId="2B3E60C3" w:rsidR="005D21A8" w:rsidRPr="00CB0151" w:rsidRDefault="005D21A8" w:rsidP="0043105B">
      <w:pPr>
        <w:spacing w:after="0" w:line="240" w:lineRule="auto"/>
        <w:ind w:left="1701"/>
        <w:jc w:val="both"/>
        <w:rPr>
          <w:rFonts w:ascii="Times New Roman" w:hAnsi="Times New Roman" w:cs="Times New Roman"/>
          <w:sz w:val="24"/>
          <w:szCs w:val="24"/>
          <w:lang w:val="en"/>
        </w:rPr>
      </w:pPr>
      <w:r w:rsidRPr="00CB0151">
        <w:rPr>
          <w:rFonts w:ascii="Times New Roman" w:hAnsi="Times New Roman" w:cs="Times New Roman"/>
          <w:b/>
          <w:i/>
          <w:iCs/>
          <w:sz w:val="24"/>
          <w:szCs w:val="24"/>
          <w:lang w:val="en"/>
        </w:rPr>
        <w:t>investment strategy</w:t>
      </w:r>
      <w:r w:rsidR="00D173D4" w:rsidRPr="00D173D4">
        <w:rPr>
          <w:rFonts w:ascii="Times New Roman" w:hAnsi="Times New Roman" w:cs="Times New Roman"/>
          <w:iCs/>
          <w:sz w:val="24"/>
          <w:szCs w:val="24"/>
          <w:lang w:val="en"/>
        </w:rPr>
        <w:t>,</w:t>
      </w:r>
      <w:r w:rsidRPr="00CB0151">
        <w:rPr>
          <w:rFonts w:ascii="Times New Roman" w:hAnsi="Times New Roman" w:cs="Times New Roman"/>
          <w:sz w:val="24"/>
          <w:szCs w:val="24"/>
          <w:lang w:val="en"/>
        </w:rPr>
        <w:t xml:space="preserve"> in relation to a superannuation entity, </w:t>
      </w:r>
      <w:r w:rsidR="00D173D4">
        <w:rPr>
          <w:rFonts w:ascii="Times New Roman" w:hAnsi="Times New Roman" w:cs="Times New Roman"/>
          <w:sz w:val="24"/>
          <w:szCs w:val="24"/>
          <w:lang w:val="en"/>
        </w:rPr>
        <w:t xml:space="preserve">means </w:t>
      </w:r>
      <w:r w:rsidRPr="00CB0151">
        <w:rPr>
          <w:rFonts w:ascii="Times New Roman" w:hAnsi="Times New Roman" w:cs="Times New Roman"/>
          <w:sz w:val="24"/>
          <w:szCs w:val="24"/>
          <w:lang w:val="en"/>
        </w:rPr>
        <w:t>an investment</w:t>
      </w:r>
      <w:r w:rsidR="00D173D4">
        <w:rPr>
          <w:rFonts w:ascii="Times New Roman" w:hAnsi="Times New Roman" w:cs="Times New Roman"/>
          <w:sz w:val="24"/>
          <w:szCs w:val="24"/>
          <w:lang w:val="en"/>
        </w:rPr>
        <w:t xml:space="preserve"> </w:t>
      </w:r>
      <w:r w:rsidRPr="00CB0151">
        <w:rPr>
          <w:rFonts w:ascii="Times New Roman" w:hAnsi="Times New Roman" w:cs="Times New Roman"/>
          <w:sz w:val="24"/>
          <w:szCs w:val="24"/>
          <w:lang w:val="en"/>
        </w:rPr>
        <w:t xml:space="preserve">strategy formulated by the trustee of the entity under the covenant referred to in paragraph 52(2)(f) of the </w:t>
      </w:r>
      <w:r w:rsidRPr="00CB0151">
        <w:rPr>
          <w:rFonts w:ascii="Times New Roman" w:hAnsi="Times New Roman" w:cs="Times New Roman"/>
          <w:i/>
          <w:sz w:val="24"/>
          <w:szCs w:val="24"/>
          <w:lang w:val="en"/>
        </w:rPr>
        <w:t>Superannuation Industry (Supervision) Act 1993</w:t>
      </w:r>
      <w:r w:rsidRPr="00CB0151">
        <w:rPr>
          <w:rFonts w:ascii="Times New Roman" w:hAnsi="Times New Roman" w:cs="Times New Roman"/>
          <w:sz w:val="24"/>
          <w:szCs w:val="24"/>
          <w:lang w:val="en"/>
        </w:rPr>
        <w:t>.</w:t>
      </w:r>
    </w:p>
    <w:p w14:paraId="559DD5CE" w14:textId="77777777" w:rsidR="005D21A8" w:rsidRPr="00CB0151" w:rsidRDefault="005D21A8" w:rsidP="005D21A8">
      <w:pPr>
        <w:spacing w:after="0" w:line="240" w:lineRule="auto"/>
        <w:jc w:val="both"/>
        <w:rPr>
          <w:rFonts w:ascii="Times New Roman" w:hAnsi="Times New Roman" w:cs="Times New Roman"/>
          <w:sz w:val="24"/>
          <w:szCs w:val="24"/>
          <w:lang w:val="en"/>
        </w:rPr>
      </w:pPr>
    </w:p>
    <w:p w14:paraId="559DD5CF" w14:textId="1E32EEC1" w:rsidR="005D21A8" w:rsidRDefault="005D21A8" w:rsidP="0043105B">
      <w:pPr>
        <w:spacing w:after="0" w:line="240" w:lineRule="auto"/>
        <w:ind w:left="2552" w:hanging="851"/>
        <w:jc w:val="both"/>
        <w:rPr>
          <w:rFonts w:ascii="Times New Roman" w:hAnsi="Times New Roman" w:cs="Times New Roman"/>
          <w:sz w:val="20"/>
          <w:szCs w:val="20"/>
          <w:lang w:val="en"/>
        </w:rPr>
      </w:pPr>
      <w:r w:rsidRPr="00D173D4">
        <w:rPr>
          <w:rFonts w:ascii="Times New Roman" w:hAnsi="Times New Roman" w:cs="Times New Roman"/>
          <w:iCs/>
          <w:sz w:val="20"/>
          <w:szCs w:val="20"/>
          <w:lang w:val="en"/>
        </w:rPr>
        <w:t>Note 1:</w:t>
      </w:r>
      <w:r w:rsidRPr="00D173D4">
        <w:rPr>
          <w:rFonts w:ascii="Times New Roman" w:hAnsi="Times New Roman" w:cs="Times New Roman"/>
          <w:sz w:val="20"/>
          <w:szCs w:val="20"/>
          <w:lang w:val="en"/>
        </w:rPr>
        <w:tab/>
        <w:t xml:space="preserve">This section only applies in relation to a client where the </w:t>
      </w:r>
      <w:r w:rsidR="00D173D4">
        <w:rPr>
          <w:rFonts w:ascii="Times New Roman" w:hAnsi="Times New Roman" w:cs="Times New Roman"/>
          <w:sz w:val="20"/>
          <w:szCs w:val="20"/>
          <w:lang w:val="en"/>
        </w:rPr>
        <w:t>trustee (</w:t>
      </w:r>
      <w:r w:rsidR="00EB2F32" w:rsidRPr="00EB2F32">
        <w:rPr>
          <w:rFonts w:ascii="Times New Roman" w:hAnsi="Times New Roman" w:cs="Times New Roman"/>
          <w:sz w:val="20"/>
          <w:szCs w:val="20"/>
          <w:lang w:val="en"/>
        </w:rPr>
        <w:t>or other person with whom the trustee has an arrangement)</w:t>
      </w:r>
      <w:r w:rsidRPr="00D173D4">
        <w:rPr>
          <w:rFonts w:ascii="Times New Roman" w:hAnsi="Times New Roman" w:cs="Times New Roman"/>
          <w:sz w:val="20"/>
          <w:szCs w:val="20"/>
          <w:lang w:val="en"/>
        </w:rPr>
        <w:t xml:space="preserve"> is holding the relevant financial product as a result of a direction given by the client at the time the change or event occurs. In a case where the </w:t>
      </w:r>
      <w:r w:rsidR="00EB2F32">
        <w:rPr>
          <w:rFonts w:ascii="Times New Roman" w:hAnsi="Times New Roman" w:cs="Times New Roman"/>
          <w:sz w:val="20"/>
          <w:szCs w:val="20"/>
          <w:lang w:val="en"/>
        </w:rPr>
        <w:t>trustee (or other person)</w:t>
      </w:r>
      <w:r w:rsidRPr="00D173D4">
        <w:rPr>
          <w:rFonts w:ascii="Times New Roman" w:hAnsi="Times New Roman" w:cs="Times New Roman"/>
          <w:sz w:val="20"/>
          <w:szCs w:val="20"/>
          <w:lang w:val="en"/>
        </w:rPr>
        <w:t xml:space="preserve"> is not holding the product at that time, the </w:t>
      </w:r>
      <w:r w:rsidR="00EB2F32">
        <w:rPr>
          <w:rFonts w:ascii="Times New Roman" w:hAnsi="Times New Roman" w:cs="Times New Roman"/>
          <w:sz w:val="20"/>
          <w:szCs w:val="20"/>
          <w:lang w:val="en"/>
        </w:rPr>
        <w:t>trustee</w:t>
      </w:r>
      <w:r w:rsidRPr="00D173D4">
        <w:rPr>
          <w:rFonts w:ascii="Times New Roman" w:hAnsi="Times New Roman" w:cs="Times New Roman"/>
          <w:sz w:val="20"/>
          <w:szCs w:val="20"/>
          <w:lang w:val="en"/>
        </w:rPr>
        <w:t xml:space="preserve"> nonetheless may need to give the client an appropriate Supplementary or new Product Disclosure Statement before acquiring the product on their instructions. This is because the Product Disclosure Statement required to be given by subsection 1012IA(2) </w:t>
      </w:r>
      <w:r w:rsidR="00EB2F32">
        <w:rPr>
          <w:rFonts w:ascii="Times New Roman" w:hAnsi="Times New Roman" w:cs="Times New Roman"/>
          <w:sz w:val="20"/>
          <w:szCs w:val="20"/>
          <w:lang w:val="en"/>
        </w:rPr>
        <w:t>must be</w:t>
      </w:r>
      <w:r w:rsidRPr="00D173D4">
        <w:rPr>
          <w:rFonts w:ascii="Times New Roman" w:hAnsi="Times New Roman" w:cs="Times New Roman"/>
          <w:sz w:val="20"/>
          <w:szCs w:val="20"/>
          <w:lang w:val="en"/>
        </w:rPr>
        <w:t xml:space="preserve"> a Statement that meets the requirements set out in Division 2 of </w:t>
      </w:r>
      <w:r w:rsidR="008C547F">
        <w:rPr>
          <w:rFonts w:ascii="Times New Roman" w:hAnsi="Times New Roman" w:cs="Times New Roman"/>
          <w:sz w:val="20"/>
          <w:szCs w:val="20"/>
          <w:lang w:val="en"/>
        </w:rPr>
        <w:t>this Part</w:t>
      </w:r>
      <w:r w:rsidRPr="00D173D4">
        <w:rPr>
          <w:rFonts w:ascii="Times New Roman" w:hAnsi="Times New Roman" w:cs="Times New Roman"/>
          <w:sz w:val="20"/>
          <w:szCs w:val="20"/>
          <w:lang w:val="en"/>
        </w:rPr>
        <w:t>.</w:t>
      </w:r>
    </w:p>
    <w:p w14:paraId="072C444D" w14:textId="77777777" w:rsidR="00D173D4" w:rsidRPr="00D173D4" w:rsidRDefault="00D173D4" w:rsidP="0043105B">
      <w:pPr>
        <w:spacing w:after="0" w:line="240" w:lineRule="auto"/>
        <w:ind w:left="2552" w:hanging="851"/>
        <w:jc w:val="both"/>
        <w:rPr>
          <w:rFonts w:ascii="Times New Roman" w:hAnsi="Times New Roman" w:cs="Times New Roman"/>
          <w:sz w:val="20"/>
          <w:szCs w:val="20"/>
          <w:lang w:val="en"/>
        </w:rPr>
      </w:pPr>
    </w:p>
    <w:p w14:paraId="559DD5D0" w14:textId="47D96CDD" w:rsidR="005D21A8" w:rsidRPr="00D173D4" w:rsidRDefault="005D21A8" w:rsidP="0043105B">
      <w:pPr>
        <w:spacing w:after="0" w:line="240" w:lineRule="auto"/>
        <w:ind w:left="2552" w:hanging="851"/>
        <w:jc w:val="both"/>
        <w:rPr>
          <w:rFonts w:ascii="Times New Roman" w:hAnsi="Times New Roman" w:cs="Times New Roman"/>
          <w:sz w:val="20"/>
          <w:szCs w:val="20"/>
          <w:lang w:val="en"/>
        </w:rPr>
      </w:pPr>
      <w:r w:rsidRPr="00D173D4">
        <w:rPr>
          <w:rFonts w:ascii="Times New Roman" w:hAnsi="Times New Roman" w:cs="Times New Roman"/>
          <w:iCs/>
          <w:sz w:val="20"/>
          <w:szCs w:val="20"/>
          <w:lang w:val="en"/>
        </w:rPr>
        <w:t>Note 2:</w:t>
      </w:r>
      <w:r w:rsidRPr="00D173D4">
        <w:rPr>
          <w:rFonts w:ascii="Times New Roman" w:hAnsi="Times New Roman" w:cs="Times New Roman"/>
          <w:sz w:val="20"/>
          <w:szCs w:val="20"/>
          <w:lang w:val="en"/>
        </w:rPr>
        <w:tab/>
        <w:t xml:space="preserve">If </w:t>
      </w:r>
      <w:r w:rsidR="00EB2F32">
        <w:rPr>
          <w:rFonts w:ascii="Times New Roman" w:hAnsi="Times New Roman" w:cs="Times New Roman"/>
          <w:sz w:val="20"/>
          <w:szCs w:val="20"/>
          <w:lang w:val="en"/>
        </w:rPr>
        <w:t>the trustee</w:t>
      </w:r>
      <w:r w:rsidRPr="00D173D4">
        <w:rPr>
          <w:rFonts w:ascii="Times New Roman" w:hAnsi="Times New Roman" w:cs="Times New Roman"/>
          <w:sz w:val="20"/>
          <w:szCs w:val="20"/>
          <w:lang w:val="en"/>
        </w:rPr>
        <w:t xml:space="preserve"> decides to stop making regulated acquisitions of a financial</w:t>
      </w:r>
      <w:r w:rsidR="00A623FF">
        <w:rPr>
          <w:rFonts w:ascii="Times New Roman" w:hAnsi="Times New Roman" w:cs="Times New Roman"/>
          <w:sz w:val="20"/>
          <w:szCs w:val="20"/>
          <w:lang w:val="en"/>
        </w:rPr>
        <w:t> </w:t>
      </w:r>
      <w:r w:rsidRPr="00D173D4">
        <w:rPr>
          <w:rFonts w:ascii="Times New Roman" w:hAnsi="Times New Roman" w:cs="Times New Roman"/>
          <w:sz w:val="20"/>
          <w:szCs w:val="20"/>
          <w:lang w:val="en"/>
        </w:rPr>
        <w:t xml:space="preserve">product, the </w:t>
      </w:r>
      <w:r w:rsidR="00EB2F32">
        <w:rPr>
          <w:rFonts w:ascii="Times New Roman" w:hAnsi="Times New Roman" w:cs="Times New Roman"/>
          <w:sz w:val="20"/>
          <w:szCs w:val="20"/>
          <w:lang w:val="en"/>
        </w:rPr>
        <w:t xml:space="preserve">trustee </w:t>
      </w:r>
      <w:r w:rsidRPr="00D173D4">
        <w:rPr>
          <w:rFonts w:ascii="Times New Roman" w:hAnsi="Times New Roman" w:cs="Times New Roman"/>
          <w:sz w:val="20"/>
          <w:szCs w:val="20"/>
          <w:lang w:val="en"/>
        </w:rPr>
        <w:t>must notify holders of interests in the superannuation entity in accordance with section 1017B.”</w:t>
      </w:r>
      <w:r w:rsidR="001F2EFF">
        <w:rPr>
          <w:rFonts w:ascii="Times New Roman" w:hAnsi="Times New Roman" w:cs="Times New Roman"/>
          <w:sz w:val="20"/>
          <w:szCs w:val="20"/>
          <w:lang w:val="en"/>
        </w:rPr>
        <w:t>;</w:t>
      </w:r>
    </w:p>
    <w:p w14:paraId="559DD5F3" w14:textId="77777777" w:rsidR="00B758C4" w:rsidRPr="00CB0151" w:rsidRDefault="00B758C4" w:rsidP="00B758C4">
      <w:pPr>
        <w:spacing w:after="0" w:line="240" w:lineRule="auto"/>
        <w:ind w:left="2160" w:hanging="720"/>
        <w:jc w:val="both"/>
        <w:rPr>
          <w:rFonts w:ascii="Times New Roman" w:hAnsi="Times New Roman" w:cs="Times New Roman"/>
          <w:sz w:val="24"/>
          <w:szCs w:val="24"/>
        </w:rPr>
      </w:pPr>
    </w:p>
    <w:p w14:paraId="559DD610" w14:textId="38B808AD" w:rsidR="005D21A8" w:rsidRPr="00CB0151" w:rsidRDefault="005D21A8" w:rsidP="00785AD3">
      <w:pPr>
        <w:spacing w:after="0" w:line="240" w:lineRule="auto"/>
        <w:ind w:left="1134" w:hanging="567"/>
        <w:jc w:val="both"/>
        <w:rPr>
          <w:rFonts w:ascii="Times New Roman" w:hAnsi="Times New Roman" w:cs="Times New Roman"/>
          <w:sz w:val="24"/>
          <w:szCs w:val="24"/>
        </w:rPr>
      </w:pPr>
      <w:r w:rsidRPr="00CB0151">
        <w:rPr>
          <w:rFonts w:ascii="Times New Roman" w:hAnsi="Times New Roman" w:cs="Times New Roman"/>
          <w:sz w:val="24"/>
          <w:szCs w:val="24"/>
        </w:rPr>
        <w:t>(</w:t>
      </w:r>
      <w:r w:rsidR="00785AD3">
        <w:rPr>
          <w:rFonts w:ascii="Times New Roman" w:hAnsi="Times New Roman" w:cs="Times New Roman"/>
          <w:sz w:val="24"/>
          <w:szCs w:val="24"/>
        </w:rPr>
        <w:t>g</w:t>
      </w:r>
      <w:r w:rsidRPr="00CB0151">
        <w:rPr>
          <w:rFonts w:ascii="Times New Roman" w:hAnsi="Times New Roman" w:cs="Times New Roman"/>
          <w:sz w:val="24"/>
          <w:szCs w:val="24"/>
        </w:rPr>
        <w:t>)</w:t>
      </w:r>
      <w:r w:rsidR="00B758C4" w:rsidRPr="00CB0151">
        <w:rPr>
          <w:rFonts w:ascii="Times New Roman" w:hAnsi="Times New Roman" w:cs="Times New Roman"/>
          <w:sz w:val="24"/>
          <w:szCs w:val="24"/>
        </w:rPr>
        <w:tab/>
      </w:r>
      <w:r w:rsidRPr="00CB0151">
        <w:rPr>
          <w:rFonts w:ascii="Times New Roman" w:hAnsi="Times New Roman" w:cs="Times New Roman"/>
          <w:sz w:val="24"/>
          <w:szCs w:val="24"/>
        </w:rPr>
        <w:t xml:space="preserve">in subregulation 7.9.75A(1) of the </w:t>
      </w:r>
      <w:r w:rsidR="00B758C4" w:rsidRPr="00CB0151">
        <w:rPr>
          <w:rFonts w:ascii="Times New Roman" w:hAnsi="Times New Roman" w:cs="Times New Roman"/>
          <w:iCs/>
          <w:sz w:val="24"/>
          <w:szCs w:val="24"/>
        </w:rPr>
        <w:t>Regulations</w:t>
      </w:r>
      <w:r w:rsidRPr="00CB0151">
        <w:rPr>
          <w:rFonts w:ascii="Times New Roman" w:hAnsi="Times New Roman" w:cs="Times New Roman"/>
          <w:sz w:val="24"/>
          <w:szCs w:val="24"/>
        </w:rPr>
        <w:t xml:space="preserve"> </w:t>
      </w:r>
      <w:r w:rsidR="00785AD3">
        <w:rPr>
          <w:rFonts w:ascii="Times New Roman" w:hAnsi="Times New Roman" w:cs="Times New Roman"/>
          <w:sz w:val="24"/>
          <w:szCs w:val="24"/>
        </w:rPr>
        <w:t>omit</w:t>
      </w:r>
      <w:r w:rsidRPr="00CB0151">
        <w:rPr>
          <w:rFonts w:ascii="Times New Roman" w:hAnsi="Times New Roman" w:cs="Times New Roman"/>
          <w:sz w:val="24"/>
          <w:szCs w:val="24"/>
        </w:rPr>
        <w:t xml:space="preserve"> “paragraph 1017B(3)(c)” and substituting “paragraphs 1017B(3)(c) and 1017CA(3)(c)”;</w:t>
      </w:r>
    </w:p>
    <w:p w14:paraId="559DD611" w14:textId="77777777" w:rsidR="00B758C4" w:rsidRPr="00CB0151" w:rsidRDefault="00B758C4" w:rsidP="00785AD3">
      <w:pPr>
        <w:spacing w:after="0" w:line="240" w:lineRule="auto"/>
        <w:ind w:left="1134" w:hanging="567"/>
        <w:jc w:val="both"/>
        <w:rPr>
          <w:rFonts w:ascii="Times New Roman" w:hAnsi="Times New Roman" w:cs="Times New Roman"/>
          <w:sz w:val="24"/>
          <w:szCs w:val="24"/>
        </w:rPr>
      </w:pPr>
    </w:p>
    <w:p w14:paraId="559DD612" w14:textId="384938E2" w:rsidR="005D21A8" w:rsidRDefault="005D21A8" w:rsidP="00785AD3">
      <w:pPr>
        <w:spacing w:after="0" w:line="240" w:lineRule="auto"/>
        <w:ind w:left="1134" w:hanging="567"/>
        <w:jc w:val="both"/>
        <w:rPr>
          <w:rFonts w:ascii="Times New Roman" w:hAnsi="Times New Roman" w:cs="Times New Roman"/>
          <w:sz w:val="24"/>
          <w:szCs w:val="24"/>
        </w:rPr>
      </w:pPr>
      <w:r w:rsidRPr="00CB0151">
        <w:rPr>
          <w:rFonts w:ascii="Times New Roman" w:hAnsi="Times New Roman" w:cs="Times New Roman"/>
          <w:sz w:val="24"/>
          <w:szCs w:val="24"/>
        </w:rPr>
        <w:t>(</w:t>
      </w:r>
      <w:r w:rsidR="00785AD3">
        <w:rPr>
          <w:rFonts w:ascii="Times New Roman" w:hAnsi="Times New Roman" w:cs="Times New Roman"/>
          <w:sz w:val="24"/>
          <w:szCs w:val="24"/>
        </w:rPr>
        <w:t>h</w:t>
      </w:r>
      <w:r w:rsidRPr="00CB0151">
        <w:rPr>
          <w:rFonts w:ascii="Times New Roman" w:hAnsi="Times New Roman" w:cs="Times New Roman"/>
          <w:sz w:val="24"/>
          <w:szCs w:val="24"/>
        </w:rPr>
        <w:t>)</w:t>
      </w:r>
      <w:r w:rsidR="00B758C4" w:rsidRPr="00CB0151">
        <w:rPr>
          <w:rFonts w:ascii="Times New Roman" w:hAnsi="Times New Roman" w:cs="Times New Roman"/>
          <w:sz w:val="24"/>
          <w:szCs w:val="24"/>
        </w:rPr>
        <w:tab/>
      </w:r>
      <w:r w:rsidR="001F2EFF">
        <w:rPr>
          <w:rFonts w:ascii="Times New Roman" w:hAnsi="Times New Roman" w:cs="Times New Roman"/>
          <w:sz w:val="24"/>
          <w:szCs w:val="24"/>
        </w:rPr>
        <w:t xml:space="preserve">after paragraph </w:t>
      </w:r>
      <w:r w:rsidRPr="00CB0151">
        <w:rPr>
          <w:rFonts w:ascii="Times New Roman" w:hAnsi="Times New Roman" w:cs="Times New Roman"/>
          <w:sz w:val="24"/>
          <w:szCs w:val="24"/>
        </w:rPr>
        <w:t>7.9.75B(1)</w:t>
      </w:r>
      <w:r w:rsidR="001F2EFF">
        <w:rPr>
          <w:rFonts w:ascii="Times New Roman" w:hAnsi="Times New Roman" w:cs="Times New Roman"/>
          <w:sz w:val="24"/>
          <w:szCs w:val="24"/>
        </w:rPr>
        <w:t>(a)</w:t>
      </w:r>
      <w:r w:rsidRPr="00CB0151">
        <w:rPr>
          <w:rFonts w:ascii="Times New Roman" w:hAnsi="Times New Roman" w:cs="Times New Roman"/>
          <w:sz w:val="24"/>
          <w:szCs w:val="24"/>
        </w:rPr>
        <w:t xml:space="preserve"> of the Regulations</w:t>
      </w:r>
      <w:r w:rsidRPr="00CB0151">
        <w:rPr>
          <w:rFonts w:ascii="Times New Roman" w:hAnsi="Times New Roman" w:cs="Times New Roman"/>
          <w:i/>
          <w:iCs/>
          <w:sz w:val="24"/>
          <w:szCs w:val="24"/>
        </w:rPr>
        <w:t xml:space="preserve"> </w:t>
      </w:r>
      <w:r w:rsidRPr="00CB0151">
        <w:rPr>
          <w:rFonts w:ascii="Times New Roman" w:hAnsi="Times New Roman" w:cs="Times New Roman"/>
          <w:sz w:val="24"/>
          <w:szCs w:val="24"/>
        </w:rPr>
        <w:t>insert:</w:t>
      </w:r>
    </w:p>
    <w:p w14:paraId="247C32B3" w14:textId="77777777" w:rsidR="001F2EFF" w:rsidRPr="00CB0151" w:rsidRDefault="001F2EFF" w:rsidP="00785AD3">
      <w:pPr>
        <w:spacing w:after="0" w:line="240" w:lineRule="auto"/>
        <w:ind w:left="1134" w:hanging="567"/>
        <w:jc w:val="both"/>
        <w:rPr>
          <w:rFonts w:ascii="Times New Roman" w:hAnsi="Times New Roman" w:cs="Times New Roman"/>
          <w:sz w:val="24"/>
          <w:szCs w:val="24"/>
        </w:rPr>
      </w:pPr>
    </w:p>
    <w:p w14:paraId="559DD613" w14:textId="06AE70CD" w:rsidR="005D21A8" w:rsidRDefault="00145D6E" w:rsidP="001F2EFF">
      <w:pPr>
        <w:spacing w:after="0" w:line="240" w:lineRule="auto"/>
        <w:ind w:left="1701" w:hanging="567"/>
        <w:jc w:val="both"/>
        <w:rPr>
          <w:rFonts w:ascii="Times New Roman" w:hAnsi="Times New Roman" w:cs="Times New Roman"/>
          <w:sz w:val="24"/>
          <w:szCs w:val="24"/>
          <w:lang w:val="en-US"/>
        </w:rPr>
      </w:pPr>
      <w:r w:rsidRPr="00CB0151">
        <w:rPr>
          <w:rFonts w:ascii="Times New Roman" w:hAnsi="Times New Roman" w:cs="Times New Roman"/>
          <w:sz w:val="24"/>
          <w:szCs w:val="24"/>
          <w:lang w:val="en-US"/>
        </w:rPr>
        <w:t>“(aa)</w:t>
      </w:r>
      <w:r w:rsidRPr="00CB0151">
        <w:rPr>
          <w:rFonts w:ascii="Times New Roman" w:hAnsi="Times New Roman" w:cs="Times New Roman"/>
          <w:sz w:val="24"/>
          <w:szCs w:val="24"/>
          <w:lang w:val="en-US"/>
        </w:rPr>
        <w:tab/>
      </w:r>
      <w:r w:rsidR="005D21A8" w:rsidRPr="00CB0151">
        <w:rPr>
          <w:rFonts w:ascii="Times New Roman" w:hAnsi="Times New Roman" w:cs="Times New Roman"/>
          <w:sz w:val="24"/>
          <w:szCs w:val="24"/>
          <w:lang w:val="en-US"/>
        </w:rPr>
        <w:t>paragraph 1017CA(3)(c) of the Act</w:t>
      </w:r>
      <w:r w:rsidR="001F2EFF">
        <w:rPr>
          <w:rFonts w:ascii="Times New Roman" w:hAnsi="Times New Roman" w:cs="Times New Roman"/>
          <w:sz w:val="24"/>
          <w:szCs w:val="24"/>
          <w:lang w:val="en-US"/>
        </w:rPr>
        <w:t>; and</w:t>
      </w:r>
      <w:r w:rsidR="005D21A8" w:rsidRPr="00CB0151">
        <w:rPr>
          <w:rFonts w:ascii="Times New Roman" w:hAnsi="Times New Roman" w:cs="Times New Roman"/>
          <w:sz w:val="24"/>
          <w:szCs w:val="24"/>
          <w:lang w:val="en-US"/>
        </w:rPr>
        <w:t>”</w:t>
      </w:r>
      <w:r w:rsidR="001F2EFF">
        <w:rPr>
          <w:rFonts w:ascii="Times New Roman" w:hAnsi="Times New Roman" w:cs="Times New Roman"/>
          <w:sz w:val="24"/>
          <w:szCs w:val="24"/>
          <w:lang w:val="en-US"/>
        </w:rPr>
        <w:t>;</w:t>
      </w:r>
    </w:p>
    <w:p w14:paraId="5FCDC109" w14:textId="77777777" w:rsidR="00785AD3" w:rsidRPr="00CB0151" w:rsidRDefault="00785AD3" w:rsidP="00785AD3">
      <w:pPr>
        <w:spacing w:after="0" w:line="240" w:lineRule="auto"/>
        <w:ind w:left="1134" w:hanging="567"/>
        <w:jc w:val="both"/>
        <w:rPr>
          <w:rFonts w:ascii="Times New Roman" w:hAnsi="Times New Roman" w:cs="Times New Roman"/>
          <w:sz w:val="24"/>
          <w:szCs w:val="24"/>
        </w:rPr>
      </w:pPr>
    </w:p>
    <w:p w14:paraId="559DD614" w14:textId="55275431" w:rsidR="005D21A8" w:rsidRPr="00CB0151" w:rsidRDefault="005D21A8" w:rsidP="00785AD3">
      <w:pPr>
        <w:spacing w:after="0" w:line="240" w:lineRule="auto"/>
        <w:ind w:left="1134" w:hanging="567"/>
        <w:jc w:val="both"/>
        <w:rPr>
          <w:rFonts w:ascii="Times New Roman" w:hAnsi="Times New Roman" w:cs="Times New Roman"/>
          <w:sz w:val="24"/>
          <w:szCs w:val="24"/>
        </w:rPr>
      </w:pPr>
      <w:r w:rsidRPr="00CB0151">
        <w:rPr>
          <w:rFonts w:ascii="Times New Roman" w:hAnsi="Times New Roman" w:cs="Times New Roman"/>
          <w:sz w:val="24"/>
          <w:szCs w:val="24"/>
        </w:rPr>
        <w:lastRenderedPageBreak/>
        <w:t>(</w:t>
      </w:r>
      <w:r w:rsidR="00785AD3">
        <w:rPr>
          <w:rFonts w:ascii="Times New Roman" w:hAnsi="Times New Roman" w:cs="Times New Roman"/>
          <w:sz w:val="24"/>
          <w:szCs w:val="24"/>
        </w:rPr>
        <w:t>i</w:t>
      </w:r>
      <w:r w:rsidRPr="00CB0151">
        <w:rPr>
          <w:rFonts w:ascii="Times New Roman" w:hAnsi="Times New Roman" w:cs="Times New Roman"/>
          <w:sz w:val="24"/>
          <w:szCs w:val="24"/>
        </w:rPr>
        <w:t>)</w:t>
      </w:r>
      <w:r w:rsidR="00B758C4" w:rsidRPr="00CB0151">
        <w:rPr>
          <w:rFonts w:ascii="Times New Roman" w:hAnsi="Times New Roman" w:cs="Times New Roman"/>
          <w:sz w:val="24"/>
          <w:szCs w:val="24"/>
        </w:rPr>
        <w:tab/>
      </w:r>
      <w:r w:rsidRPr="00CB0151">
        <w:rPr>
          <w:rFonts w:ascii="Times New Roman" w:hAnsi="Times New Roman" w:cs="Times New Roman"/>
          <w:sz w:val="24"/>
          <w:szCs w:val="24"/>
        </w:rPr>
        <w:t xml:space="preserve">in </w:t>
      </w:r>
      <w:r w:rsidR="001F2EFF">
        <w:rPr>
          <w:rFonts w:ascii="Times New Roman" w:hAnsi="Times New Roman" w:cs="Times New Roman"/>
          <w:sz w:val="24"/>
          <w:szCs w:val="24"/>
        </w:rPr>
        <w:t>paragraph 1017K(a)</w:t>
      </w:r>
      <w:r w:rsidR="0043105B">
        <w:rPr>
          <w:rFonts w:ascii="Times New Roman" w:hAnsi="Times New Roman" w:cs="Times New Roman"/>
          <w:sz w:val="24"/>
          <w:szCs w:val="24"/>
        </w:rPr>
        <w:t xml:space="preserve"> of the Act</w:t>
      </w:r>
      <w:r w:rsidR="001F2EFF">
        <w:rPr>
          <w:rFonts w:ascii="Times New Roman" w:hAnsi="Times New Roman" w:cs="Times New Roman"/>
          <w:sz w:val="24"/>
          <w:szCs w:val="24"/>
        </w:rPr>
        <w:t>:</w:t>
      </w:r>
    </w:p>
    <w:p w14:paraId="559DD615" w14:textId="77777777" w:rsidR="00B758C4" w:rsidRPr="00CB0151" w:rsidRDefault="00B758C4" w:rsidP="00B758C4">
      <w:pPr>
        <w:spacing w:after="0" w:line="240" w:lineRule="auto"/>
        <w:ind w:left="720" w:hanging="720"/>
        <w:jc w:val="both"/>
        <w:rPr>
          <w:rFonts w:ascii="Times New Roman" w:hAnsi="Times New Roman" w:cs="Times New Roman"/>
          <w:sz w:val="24"/>
          <w:szCs w:val="24"/>
        </w:rPr>
      </w:pPr>
    </w:p>
    <w:p w14:paraId="559DD616" w14:textId="02EAD60C" w:rsidR="005D21A8" w:rsidRDefault="00B758C4" w:rsidP="001F2EFF">
      <w:pPr>
        <w:spacing w:after="0" w:line="240" w:lineRule="auto"/>
        <w:ind w:left="1701" w:hanging="567"/>
        <w:jc w:val="both"/>
        <w:rPr>
          <w:rFonts w:ascii="Times New Roman" w:hAnsi="Times New Roman" w:cs="Times New Roman"/>
          <w:sz w:val="24"/>
          <w:szCs w:val="24"/>
          <w:lang w:val="en-US"/>
        </w:rPr>
      </w:pPr>
      <w:r w:rsidRPr="00CB0151">
        <w:rPr>
          <w:rFonts w:ascii="Times New Roman" w:hAnsi="Times New Roman" w:cs="Times New Roman"/>
          <w:sz w:val="24"/>
          <w:szCs w:val="24"/>
          <w:lang w:val="en-US"/>
        </w:rPr>
        <w:t>(i)</w:t>
      </w:r>
      <w:r w:rsidRPr="00CB0151">
        <w:rPr>
          <w:rFonts w:ascii="Times New Roman" w:hAnsi="Times New Roman" w:cs="Times New Roman"/>
          <w:sz w:val="24"/>
          <w:szCs w:val="24"/>
          <w:lang w:val="en-US"/>
        </w:rPr>
        <w:tab/>
      </w:r>
      <w:r w:rsidR="005D21A8" w:rsidRPr="00CB0151">
        <w:rPr>
          <w:rFonts w:ascii="Times New Roman" w:hAnsi="Times New Roman" w:cs="Times New Roman"/>
          <w:sz w:val="24"/>
          <w:szCs w:val="24"/>
          <w:lang w:val="en-US"/>
        </w:rPr>
        <w:t xml:space="preserve">after “1013A,” </w:t>
      </w:r>
      <w:r w:rsidR="0043105B">
        <w:rPr>
          <w:rFonts w:ascii="Times New Roman" w:hAnsi="Times New Roman" w:cs="Times New Roman"/>
          <w:sz w:val="24"/>
          <w:szCs w:val="24"/>
          <w:lang w:val="en-US"/>
        </w:rPr>
        <w:t>insert</w:t>
      </w:r>
      <w:r w:rsidR="005D21A8" w:rsidRPr="00CB0151">
        <w:rPr>
          <w:rFonts w:ascii="Times New Roman" w:hAnsi="Times New Roman" w:cs="Times New Roman"/>
          <w:sz w:val="24"/>
          <w:szCs w:val="24"/>
          <w:lang w:val="en-US"/>
        </w:rPr>
        <w:t xml:space="preserve"> “1013FB,”;</w:t>
      </w:r>
    </w:p>
    <w:p w14:paraId="3EE45AC8" w14:textId="77777777" w:rsidR="001F2EFF" w:rsidRPr="00CB0151" w:rsidRDefault="001F2EFF" w:rsidP="001F2EFF">
      <w:pPr>
        <w:spacing w:after="0" w:line="240" w:lineRule="auto"/>
        <w:ind w:left="1701" w:hanging="567"/>
        <w:jc w:val="both"/>
        <w:rPr>
          <w:rFonts w:ascii="Times New Roman" w:hAnsi="Times New Roman" w:cs="Times New Roman"/>
          <w:sz w:val="24"/>
          <w:szCs w:val="24"/>
        </w:rPr>
      </w:pPr>
    </w:p>
    <w:p w14:paraId="559DD617" w14:textId="0756F8DC" w:rsidR="005D21A8" w:rsidRDefault="00B758C4" w:rsidP="001F2EFF">
      <w:pPr>
        <w:spacing w:after="0" w:line="240" w:lineRule="auto"/>
        <w:ind w:left="1701" w:hanging="567"/>
        <w:jc w:val="both"/>
        <w:rPr>
          <w:rFonts w:ascii="Times New Roman" w:hAnsi="Times New Roman" w:cs="Times New Roman"/>
          <w:sz w:val="24"/>
          <w:szCs w:val="24"/>
          <w:lang w:val="en-US"/>
        </w:rPr>
      </w:pPr>
      <w:r w:rsidRPr="00CB0151">
        <w:rPr>
          <w:rFonts w:ascii="Times New Roman" w:hAnsi="Times New Roman" w:cs="Times New Roman"/>
          <w:sz w:val="24"/>
          <w:szCs w:val="24"/>
          <w:lang w:val="en-US"/>
        </w:rPr>
        <w:t>(ii)</w:t>
      </w:r>
      <w:r w:rsidRPr="00CB0151">
        <w:rPr>
          <w:rFonts w:ascii="Times New Roman" w:hAnsi="Times New Roman" w:cs="Times New Roman"/>
          <w:sz w:val="24"/>
          <w:szCs w:val="24"/>
          <w:lang w:val="en-US"/>
        </w:rPr>
        <w:tab/>
      </w:r>
      <w:r w:rsidR="0043105B">
        <w:rPr>
          <w:rFonts w:ascii="Times New Roman" w:hAnsi="Times New Roman" w:cs="Times New Roman"/>
          <w:sz w:val="24"/>
          <w:szCs w:val="24"/>
          <w:lang w:val="en-US"/>
        </w:rPr>
        <w:t>omit</w:t>
      </w:r>
      <w:r w:rsidR="005D21A8" w:rsidRPr="00CB0151">
        <w:rPr>
          <w:rFonts w:ascii="Times New Roman" w:hAnsi="Times New Roman" w:cs="Times New Roman"/>
          <w:sz w:val="24"/>
          <w:szCs w:val="24"/>
          <w:lang w:val="en-US"/>
        </w:rPr>
        <w:t xml:space="preserve"> “1016E and 1017A”</w:t>
      </w:r>
      <w:r w:rsidR="0043105B">
        <w:rPr>
          <w:rFonts w:ascii="Times New Roman" w:hAnsi="Times New Roman" w:cs="Times New Roman"/>
          <w:sz w:val="24"/>
          <w:szCs w:val="24"/>
          <w:lang w:val="en-US"/>
        </w:rPr>
        <w:t>, substitute</w:t>
      </w:r>
      <w:r w:rsidR="005D21A8" w:rsidRPr="00CB0151">
        <w:rPr>
          <w:rFonts w:ascii="Times New Roman" w:hAnsi="Times New Roman" w:cs="Times New Roman"/>
          <w:sz w:val="24"/>
          <w:szCs w:val="24"/>
          <w:lang w:val="en-US"/>
        </w:rPr>
        <w:t xml:space="preserve"> “1016E, 1017A and 1017CA.”</w:t>
      </w:r>
      <w:r w:rsidR="0043105B">
        <w:rPr>
          <w:rFonts w:ascii="Times New Roman" w:hAnsi="Times New Roman" w:cs="Times New Roman"/>
          <w:sz w:val="24"/>
          <w:szCs w:val="24"/>
          <w:lang w:val="en-US"/>
        </w:rPr>
        <w:t>.</w:t>
      </w:r>
    </w:p>
    <w:p w14:paraId="6CFE60F8" w14:textId="77777777" w:rsidR="0043105B" w:rsidRDefault="0043105B" w:rsidP="001F2EFF">
      <w:pPr>
        <w:spacing w:after="0" w:line="240" w:lineRule="auto"/>
        <w:ind w:left="1701" w:hanging="567"/>
        <w:jc w:val="both"/>
        <w:rPr>
          <w:rFonts w:ascii="Times New Roman" w:hAnsi="Times New Roman" w:cs="Times New Roman"/>
          <w:sz w:val="24"/>
          <w:szCs w:val="24"/>
          <w:lang w:val="en-US"/>
        </w:rPr>
      </w:pPr>
    </w:p>
    <w:p w14:paraId="559DD618" w14:textId="12444366" w:rsidR="005D21A8" w:rsidRPr="0043105B" w:rsidRDefault="0043105B" w:rsidP="0043105B">
      <w:pPr>
        <w:spacing w:after="0" w:line="240" w:lineRule="auto"/>
        <w:ind w:left="1701" w:hanging="567"/>
        <w:jc w:val="both"/>
        <w:rPr>
          <w:rFonts w:ascii="Times New Roman" w:hAnsi="Times New Roman" w:cs="Times New Roman"/>
          <w:sz w:val="20"/>
          <w:szCs w:val="20"/>
        </w:rPr>
      </w:pPr>
      <w:r w:rsidRPr="0043105B">
        <w:rPr>
          <w:rFonts w:ascii="Times New Roman" w:hAnsi="Times New Roman" w:cs="Times New Roman"/>
          <w:sz w:val="20"/>
          <w:szCs w:val="20"/>
        </w:rPr>
        <w:t>Note:</w:t>
      </w:r>
      <w:r w:rsidRPr="0043105B">
        <w:rPr>
          <w:rFonts w:ascii="Times New Roman" w:hAnsi="Times New Roman" w:cs="Times New Roman"/>
          <w:sz w:val="20"/>
          <w:szCs w:val="20"/>
        </w:rPr>
        <w:tab/>
      </w:r>
      <w:r>
        <w:rPr>
          <w:rFonts w:ascii="Times New Roman" w:hAnsi="Times New Roman" w:cs="Times New Roman"/>
          <w:sz w:val="20"/>
          <w:szCs w:val="20"/>
        </w:rPr>
        <w:t xml:space="preserve">Section 1017K of the Act is inserted by </w:t>
      </w:r>
      <w:r w:rsidRPr="0043105B">
        <w:rPr>
          <w:rFonts w:ascii="Times New Roman" w:hAnsi="Times New Roman" w:cs="Times New Roman"/>
          <w:sz w:val="20"/>
          <w:szCs w:val="20"/>
        </w:rPr>
        <w:t xml:space="preserve">Part 3 of Schedule 10BA </w:t>
      </w:r>
      <w:r>
        <w:rPr>
          <w:rFonts w:ascii="Times New Roman" w:hAnsi="Times New Roman" w:cs="Times New Roman"/>
          <w:sz w:val="20"/>
          <w:szCs w:val="20"/>
        </w:rPr>
        <w:t xml:space="preserve">to </w:t>
      </w:r>
      <w:r w:rsidRPr="0043105B">
        <w:rPr>
          <w:rFonts w:ascii="Times New Roman" w:hAnsi="Times New Roman" w:cs="Times New Roman"/>
          <w:sz w:val="20"/>
          <w:szCs w:val="20"/>
        </w:rPr>
        <w:t>the Regulations</w:t>
      </w:r>
      <w:r>
        <w:rPr>
          <w:rFonts w:ascii="Times New Roman" w:hAnsi="Times New Roman" w:cs="Times New Roman"/>
          <w:sz w:val="20"/>
          <w:szCs w:val="20"/>
        </w:rPr>
        <w:t>.</w:t>
      </w:r>
    </w:p>
    <w:sectPr w:rsidR="005D21A8" w:rsidRPr="0043105B">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DD62B" w14:textId="77777777" w:rsidR="00CE2D4A" w:rsidRDefault="00CE2D4A" w:rsidP="00AC783C">
      <w:pPr>
        <w:spacing w:after="0" w:line="240" w:lineRule="auto"/>
      </w:pPr>
      <w:r>
        <w:separator/>
      </w:r>
    </w:p>
  </w:endnote>
  <w:endnote w:type="continuationSeparator" w:id="0">
    <w:p w14:paraId="559DD62C" w14:textId="77777777" w:rsidR="00CE2D4A" w:rsidRDefault="00CE2D4A" w:rsidP="00AC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CE2D4A" w:rsidRPr="00081794" w14:paraId="559DD630" w14:textId="77777777" w:rsidTr="00966854">
      <w:tc>
        <w:tcPr>
          <w:tcW w:w="8472" w:type="dxa"/>
          <w:shd w:val="clear" w:color="auto" w:fill="auto"/>
        </w:tcPr>
        <w:p w14:paraId="559DD62F" w14:textId="77777777" w:rsidR="00CE2D4A" w:rsidRPr="00081794" w:rsidRDefault="00DA4317" w:rsidP="00966854">
          <w:pPr>
            <w:jc w:val="right"/>
            <w:rPr>
              <w:sz w:val="18"/>
            </w:rPr>
          </w:pPr>
          <w:r>
            <w:rPr>
              <w:noProof/>
            </w:rPr>
            <w:pict w14:anchorId="559DD646">
              <v:shapetype id="_x0000_t202" coordsize="21600,21600" o:spt="202" path="m,l,21600r21600,l21600,xe">
                <v:stroke joinstyle="miter"/>
                <v:path gradientshapeok="t" o:connecttype="rect"/>
              </v:shapetype>
              <v:shape id="Text Box 21" o:spid="_x0000_s2052" type="#_x0000_t202" style="position:absolute;left:0;text-align:left;margin-left:0;margin-top:793.7pt;width:347.25pt;height:31.5pt;z-index:-251654144;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style="mso-next-textbox:#Text Box 21">
                  <w:txbxContent>
                    <w:p w14:paraId="559DD64B" w14:textId="77777777" w:rsidR="00CE2D4A" w:rsidRPr="00284719" w:rsidRDefault="00CE2D4A" w:rsidP="00966854">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84BA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w:r>
          <w:r w:rsidR="00CE2D4A" w:rsidRPr="00081794">
            <w:rPr>
              <w:i/>
              <w:noProof/>
              <w:sz w:val="18"/>
            </w:rPr>
            <w:t>I14KE197.v07.docx</w:t>
          </w:r>
          <w:r w:rsidR="00CE2D4A" w:rsidRPr="00081794">
            <w:rPr>
              <w:i/>
              <w:sz w:val="18"/>
            </w:rPr>
            <w:t xml:space="preserve"> </w:t>
          </w:r>
          <w:r w:rsidR="00CE2D4A" w:rsidRPr="00081794">
            <w:rPr>
              <w:i/>
              <w:noProof/>
              <w:sz w:val="18"/>
            </w:rPr>
            <w:t>25/6/2014 3:37 PM</w:t>
          </w:r>
        </w:p>
      </w:tc>
    </w:tr>
  </w:tbl>
  <w:p w14:paraId="559DD631" w14:textId="77777777" w:rsidR="00CE2D4A" w:rsidRPr="007500C8" w:rsidRDefault="00CE2D4A" w:rsidP="00966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32" w14:textId="77777777" w:rsidR="00CE2D4A" w:rsidRDefault="00DA4317" w:rsidP="00966854">
    <w:pPr>
      <w:pStyle w:val="Footer"/>
    </w:pPr>
    <w:r>
      <w:rPr>
        <w:noProof/>
      </w:rPr>
      <w:pict w14:anchorId="559DD647">
        <v:shapetype id="_x0000_t202" coordsize="21600,21600" o:spt="202" path="m,l,21600r21600,l21600,xe">
          <v:stroke joinstyle="miter"/>
          <v:path gradientshapeok="t" o:connecttype="rect"/>
        </v:shapetype>
        <v:shape id="Text Box 20" o:spid="_x0000_s2051" type="#_x0000_t202" style="position:absolute;margin-left:0;margin-top:793.7pt;width:347.25pt;height:31.5pt;z-index:-251655168;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style="mso-next-textbox:#Text Box 20">
            <w:txbxContent>
              <w:p w14:paraId="559DD64C" w14:textId="77777777" w:rsidR="00CE2D4A" w:rsidRPr="00284719" w:rsidRDefault="00CE2D4A" w:rsidP="00966854">
                <w:pPr>
                  <w:jc w:val="center"/>
                  <w:rPr>
                    <w:rFonts w:ascii="Arial" w:hAnsi="Arial" w:cs="Arial"/>
                    <w:b/>
                    <w:sz w:val="40"/>
                  </w:rPr>
                </w:pPr>
              </w:p>
            </w:txbxContent>
          </v:textbox>
          <w10:wrap anchory="page"/>
        </v:shape>
      </w:pict>
    </w:r>
  </w:p>
  <w:tbl>
    <w:tblPr>
      <w:tblW w:w="0" w:type="auto"/>
      <w:tblLook w:val="04A0" w:firstRow="1" w:lastRow="0" w:firstColumn="1" w:lastColumn="0" w:noHBand="0" w:noVBand="1"/>
    </w:tblPr>
    <w:tblGrid>
      <w:gridCol w:w="8472"/>
    </w:tblGrid>
    <w:tr w:rsidR="00CE2D4A" w:rsidRPr="00081794" w14:paraId="559DD634" w14:textId="77777777" w:rsidTr="00966854">
      <w:tc>
        <w:tcPr>
          <w:tcW w:w="8472" w:type="dxa"/>
          <w:shd w:val="clear" w:color="auto" w:fill="auto"/>
        </w:tcPr>
        <w:p w14:paraId="559DD633" w14:textId="77777777" w:rsidR="00CE2D4A" w:rsidRPr="00081794" w:rsidRDefault="00CE2D4A" w:rsidP="00966854">
          <w:pPr>
            <w:rPr>
              <w:sz w:val="18"/>
            </w:rPr>
          </w:pPr>
        </w:p>
      </w:tc>
    </w:tr>
  </w:tbl>
  <w:p w14:paraId="559DD635" w14:textId="77777777" w:rsidR="00CE2D4A" w:rsidRPr="007500C8" w:rsidRDefault="00CE2D4A" w:rsidP="00966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37" w14:textId="77777777" w:rsidR="00CE2D4A" w:rsidRPr="00ED79B6" w:rsidRDefault="00CE2D4A" w:rsidP="0096685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3D" w14:textId="77777777" w:rsidR="00CE2D4A" w:rsidRPr="00E2168B" w:rsidRDefault="00CE2D4A" w:rsidP="00966854">
    <w:pPr>
      <w:pStyle w:val="LI-Footer"/>
    </w:pPr>
    <w:r w:rsidRPr="00A52B0F">
      <w:fldChar w:fldCharType="begin"/>
    </w:r>
    <w:r w:rsidRPr="00A52B0F">
      <w:instrText xml:space="preserve"> PAGE  \* Arabic  \* MERGEFORMAT </w:instrText>
    </w:r>
    <w:r w:rsidRPr="00A52B0F">
      <w:fldChar w:fldCharType="separate"/>
    </w:r>
    <w:r>
      <w:rPr>
        <w:noProof/>
      </w:rPr>
      <w:t>11</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3E" w14:textId="5CFA76FA" w:rsidR="00CE2D4A" w:rsidRPr="00E33C1C" w:rsidRDefault="00CE2D4A" w:rsidP="00966854">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sidR="00DA4317">
      <w:rPr>
        <w:noProof/>
      </w:rPr>
      <w:t>11</w:t>
    </w:r>
    <w:r w:rsidRPr="00A52B0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F2360" w14:textId="77777777" w:rsidR="00CE2D4A" w:rsidRPr="00243EC0" w:rsidRDefault="00CE2D4A" w:rsidP="00E61E0D">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125B" w14:textId="77777777" w:rsidR="00CE2D4A" w:rsidRPr="00E33C1C" w:rsidRDefault="00CE2D4A" w:rsidP="00E61E0D">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E2D4A" w:rsidRPr="00081794" w14:paraId="4FC9E980" w14:textId="77777777" w:rsidTr="00E61E0D">
      <w:tc>
        <w:tcPr>
          <w:tcW w:w="1384" w:type="dxa"/>
          <w:tcBorders>
            <w:top w:val="nil"/>
            <w:left w:val="nil"/>
            <w:bottom w:val="nil"/>
            <w:right w:val="nil"/>
          </w:tcBorders>
          <w:shd w:val="clear" w:color="auto" w:fill="auto"/>
        </w:tcPr>
        <w:p w14:paraId="6902DBD0" w14:textId="77777777" w:rsidR="00CE2D4A" w:rsidRPr="00081794" w:rsidRDefault="00CE2D4A" w:rsidP="00E61E0D">
          <w:pPr>
            <w:spacing w:line="0" w:lineRule="atLeast"/>
            <w:rPr>
              <w:sz w:val="18"/>
            </w:rPr>
          </w:pPr>
        </w:p>
      </w:tc>
      <w:tc>
        <w:tcPr>
          <w:tcW w:w="6379" w:type="dxa"/>
          <w:tcBorders>
            <w:top w:val="nil"/>
            <w:left w:val="nil"/>
            <w:bottom w:val="nil"/>
            <w:right w:val="nil"/>
          </w:tcBorders>
          <w:shd w:val="clear" w:color="auto" w:fill="auto"/>
        </w:tcPr>
        <w:p w14:paraId="2DB7A197" w14:textId="77777777" w:rsidR="00CE2D4A" w:rsidRPr="00081794" w:rsidRDefault="00CE2D4A" w:rsidP="00E61E0D">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B84BAF">
            <w:rPr>
              <w:b/>
              <w:bCs/>
              <w:i/>
              <w:sz w:val="18"/>
              <w:lang w:val="en-US"/>
            </w:rPr>
            <w:t>Error! Unknown document property name.</w:t>
          </w:r>
          <w:r w:rsidRPr="00081794">
            <w:rPr>
              <w:i/>
              <w:sz w:val="18"/>
            </w:rPr>
            <w:fldChar w:fldCharType="end"/>
          </w:r>
        </w:p>
      </w:tc>
      <w:tc>
        <w:tcPr>
          <w:tcW w:w="709" w:type="dxa"/>
          <w:tcBorders>
            <w:top w:val="nil"/>
            <w:left w:val="nil"/>
            <w:bottom w:val="nil"/>
            <w:right w:val="nil"/>
          </w:tcBorders>
          <w:shd w:val="clear" w:color="auto" w:fill="auto"/>
        </w:tcPr>
        <w:p w14:paraId="78BEEE53" w14:textId="77777777" w:rsidR="00CE2D4A" w:rsidRPr="00081794" w:rsidRDefault="00CE2D4A" w:rsidP="00E61E0D">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CE2D4A" w:rsidRPr="00081794" w14:paraId="46E0D89A" w14:textId="77777777" w:rsidTr="00E61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00FBD60" w14:textId="77777777" w:rsidR="00CE2D4A" w:rsidRPr="00081794" w:rsidRDefault="00CE2D4A" w:rsidP="00E61E0D">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3AE265C9" w14:textId="77777777" w:rsidR="00CE2D4A" w:rsidRPr="00ED79B6" w:rsidRDefault="00CE2D4A" w:rsidP="00E61E0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DD629" w14:textId="77777777" w:rsidR="00CE2D4A" w:rsidRDefault="00CE2D4A" w:rsidP="00AC783C">
      <w:pPr>
        <w:spacing w:after="0" w:line="240" w:lineRule="auto"/>
      </w:pPr>
      <w:r>
        <w:separator/>
      </w:r>
    </w:p>
  </w:footnote>
  <w:footnote w:type="continuationSeparator" w:id="0">
    <w:p w14:paraId="559DD62A" w14:textId="77777777" w:rsidR="00CE2D4A" w:rsidRDefault="00CE2D4A" w:rsidP="00AC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2D" w14:textId="77777777" w:rsidR="00CE2D4A" w:rsidRPr="005F1388" w:rsidRDefault="00DA4317" w:rsidP="00966854">
    <w:pPr>
      <w:pStyle w:val="Header"/>
      <w:tabs>
        <w:tab w:val="clear" w:pos="4150"/>
        <w:tab w:val="clear" w:pos="8307"/>
      </w:tabs>
    </w:pPr>
    <w:r>
      <w:rPr>
        <w:noProof/>
      </w:rPr>
      <w:pict w14:anchorId="559DD644">
        <v:shapetype id="_x0000_t202" coordsize="21600,21600" o:spt="202" path="m,l,21600r21600,l21600,xe">
          <v:stroke joinstyle="miter"/>
          <v:path gradientshapeok="t" o:connecttype="rect"/>
        </v:shapetype>
        <v:shape id="Text Box 15" o:spid="_x0000_s2050" type="#_x0000_t202" style="position:absolute;margin-left:0;margin-top:11.3pt;width:347.25pt;height:31.5pt;z-index:-251656192;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style="mso-next-textbox:#Text Box 15">
            <w:txbxContent>
              <w:p w14:paraId="559DD649" w14:textId="77777777" w:rsidR="00CE2D4A" w:rsidRPr="00284719" w:rsidRDefault="00CE2D4A" w:rsidP="00966854">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84BA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521"/>
      <w:gridCol w:w="1792"/>
    </w:tblGrid>
    <w:tr w:rsidR="00CE2D4A" w:rsidRPr="00E40FF8" w14:paraId="559DD642" w14:textId="77777777" w:rsidTr="0085048D">
      <w:tc>
        <w:tcPr>
          <w:tcW w:w="6521" w:type="dxa"/>
          <w:shd w:val="clear" w:color="auto" w:fill="auto"/>
        </w:tcPr>
        <w:p w14:paraId="559DD640" w14:textId="77777777" w:rsidR="00CE2D4A" w:rsidRDefault="00DA4317" w:rsidP="00966854">
          <w:pPr>
            <w:pStyle w:val="LI-Header"/>
            <w:pBdr>
              <w:bottom w:val="none" w:sz="0" w:space="0" w:color="auto"/>
            </w:pBdr>
            <w:jc w:val="left"/>
          </w:pPr>
          <w:r>
            <w:fldChar w:fldCharType="begin"/>
          </w:r>
          <w:r>
            <w:instrText xml:space="preserve"> STYLEREF  "LI - Title"  \* MERGEFORMAT </w:instrText>
          </w:r>
          <w:r>
            <w:fldChar w:fldCharType="separate"/>
          </w:r>
          <w:r>
            <w:rPr>
              <w:noProof/>
            </w:rPr>
            <w:t>ASIC Corporations (Superannuation: Investment Strategies) Instrument 2016/65</w:t>
          </w:r>
          <w:r>
            <w:rPr>
              <w:noProof/>
            </w:rPr>
            <w:fldChar w:fldCharType="end"/>
          </w:r>
        </w:p>
      </w:tc>
      <w:tc>
        <w:tcPr>
          <w:tcW w:w="1792" w:type="dxa"/>
          <w:shd w:val="clear" w:color="auto" w:fill="auto"/>
        </w:tcPr>
        <w:p w14:paraId="559DD641" w14:textId="77777777" w:rsidR="00CE2D4A" w:rsidRDefault="00DA4317" w:rsidP="00966854">
          <w:pPr>
            <w:pStyle w:val="LI-Header"/>
            <w:pBdr>
              <w:bottom w:val="none" w:sz="0" w:space="0" w:color="auto"/>
            </w:pBdr>
          </w:pPr>
          <w:r>
            <w:fldChar w:fldCharType="begin"/>
          </w:r>
          <w:r>
            <w:instrText xml:space="preserve"> STYLEREF  "LI - Heading 1" </w:instrText>
          </w:r>
          <w:r>
            <w:fldChar w:fldCharType="separate"/>
          </w:r>
          <w:r>
            <w:rPr>
              <w:noProof/>
            </w:rPr>
            <w:t>Part 2—Declaration</w:t>
          </w:r>
          <w:r>
            <w:rPr>
              <w:noProof/>
            </w:rPr>
            <w:fldChar w:fldCharType="end"/>
          </w:r>
        </w:p>
      </w:tc>
    </w:tr>
  </w:tbl>
  <w:p w14:paraId="559DD643" w14:textId="77777777" w:rsidR="00CE2D4A" w:rsidRPr="00F4215A" w:rsidRDefault="00CE2D4A" w:rsidP="00966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2E" w14:textId="77777777" w:rsidR="00CE2D4A" w:rsidRPr="005F1388" w:rsidRDefault="00DA4317" w:rsidP="00966854">
    <w:pPr>
      <w:pStyle w:val="Header"/>
      <w:tabs>
        <w:tab w:val="clear" w:pos="4150"/>
        <w:tab w:val="clear" w:pos="8307"/>
      </w:tabs>
    </w:pPr>
    <w:r>
      <w:rPr>
        <w:noProof/>
      </w:rPr>
      <w:pict w14:anchorId="559DD645">
        <v:shapetype id="_x0000_t202" coordsize="21600,21600" o:spt="202" path="m,l,21600r21600,l21600,xe">
          <v:stroke joinstyle="miter"/>
          <v:path gradientshapeok="t" o:connecttype="rect"/>
        </v:shapetype>
        <v:shape id="Text Box 14" o:spid="_x0000_s2049" type="#_x0000_t202" style="position:absolute;margin-left:0;margin-top:11.3pt;width:347.25pt;height:31.5pt;z-index:-251657216;visibility:visible;mso-position-horizontal:center;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style="mso-next-textbox:#Text Box 14">
            <w:txbxContent>
              <w:p w14:paraId="559DD64A" w14:textId="77777777" w:rsidR="00CE2D4A" w:rsidRPr="00284719" w:rsidRDefault="00CE2D4A" w:rsidP="00966854">
                <w:pPr>
                  <w:jc w:val="center"/>
                  <w:rPr>
                    <w:rFonts w:ascii="Arial" w:hAnsi="Arial" w:cs="Arial"/>
                    <w:b/>
                    <w:sz w:val="40"/>
                  </w:rPr>
                </w:pPr>
              </w:p>
            </w:txbxContent>
          </v:textbox>
          <w10:wrap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36" w14:textId="05B293C5" w:rsidR="00CE2D4A" w:rsidRPr="005F1388" w:rsidRDefault="00CE2D4A" w:rsidP="0096685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38" w14:textId="77777777" w:rsidR="00CE2D4A" w:rsidRDefault="00CE2D4A" w:rsidP="00966854">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CE2D4A" w:rsidRPr="00E40FF8" w14:paraId="559DD63B" w14:textId="77777777" w:rsidTr="00966854">
      <w:tc>
        <w:tcPr>
          <w:tcW w:w="6804" w:type="dxa"/>
          <w:shd w:val="clear" w:color="auto" w:fill="auto"/>
        </w:tcPr>
        <w:p w14:paraId="559DD639" w14:textId="77777777" w:rsidR="00CE2D4A" w:rsidRDefault="00DA4317" w:rsidP="00966854">
          <w:pPr>
            <w:pStyle w:val="LI-Header"/>
            <w:pBdr>
              <w:bottom w:val="none" w:sz="0" w:space="0" w:color="auto"/>
            </w:pBdr>
            <w:jc w:val="left"/>
          </w:pPr>
          <w:r>
            <w:fldChar w:fldCharType="begin"/>
          </w:r>
          <w:r>
            <w:instrText xml:space="preserve"> STYLEREF  "LI - Title" </w:instrText>
          </w:r>
          <w:r>
            <w:fldChar w:fldCharType="separate"/>
          </w:r>
          <w:r>
            <w:rPr>
              <w:noProof/>
            </w:rPr>
            <w:t>ASIC Corporations (Superannuation: Investment Strategies) Instrument 2016/65</w:t>
          </w:r>
          <w:r>
            <w:rPr>
              <w:noProof/>
            </w:rPr>
            <w:fldChar w:fldCharType="end"/>
          </w:r>
        </w:p>
      </w:tc>
      <w:tc>
        <w:tcPr>
          <w:tcW w:w="1509" w:type="dxa"/>
          <w:shd w:val="clear" w:color="auto" w:fill="auto"/>
        </w:tcPr>
        <w:p w14:paraId="559DD63A" w14:textId="77777777" w:rsidR="00CE2D4A" w:rsidRDefault="00CE2D4A" w:rsidP="00966854">
          <w:pPr>
            <w:pStyle w:val="LI-Header"/>
            <w:pBdr>
              <w:bottom w:val="none" w:sz="0" w:space="0" w:color="auto"/>
            </w:pBdr>
          </w:pPr>
        </w:p>
      </w:tc>
    </w:tr>
  </w:tbl>
  <w:p w14:paraId="559DD63C" w14:textId="77777777" w:rsidR="00CE2D4A" w:rsidRPr="008945E0" w:rsidRDefault="00CE2D4A" w:rsidP="00966854">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D63F" w14:textId="77777777" w:rsidR="00CE2D4A" w:rsidRPr="00ED79B6" w:rsidRDefault="00CE2D4A" w:rsidP="0096685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784C" w14:textId="77777777" w:rsidR="00CE2D4A" w:rsidRPr="00243EC0" w:rsidRDefault="00CE2D4A" w:rsidP="00E61E0D">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CE2D4A" w14:paraId="266EC3A4" w14:textId="77777777" w:rsidTr="00E61E0D">
      <w:tc>
        <w:tcPr>
          <w:tcW w:w="6804" w:type="dxa"/>
          <w:shd w:val="clear" w:color="auto" w:fill="auto"/>
        </w:tcPr>
        <w:p w14:paraId="03901437" w14:textId="77777777" w:rsidR="00CE2D4A" w:rsidRDefault="00DA4317" w:rsidP="00E61E0D">
          <w:pPr>
            <w:pStyle w:val="LI-Header"/>
            <w:pBdr>
              <w:bottom w:val="none" w:sz="0" w:space="0" w:color="auto"/>
            </w:pBdr>
            <w:jc w:val="left"/>
          </w:pPr>
          <w:r>
            <w:fldChar w:fldCharType="begin"/>
          </w:r>
          <w:r>
            <w:instrText xml:space="preserve"> STYLEREF  "LI - Title" </w:instrText>
          </w:r>
          <w:r>
            <w:fldChar w:fldCharType="separate"/>
          </w:r>
          <w:r>
            <w:rPr>
              <w:noProof/>
            </w:rPr>
            <w:t>ASIC Corporations (Superannuation: Investment Strategies) Instrument 2016/65</w:t>
          </w:r>
          <w:r>
            <w:rPr>
              <w:noProof/>
            </w:rPr>
            <w:fldChar w:fldCharType="end"/>
          </w:r>
        </w:p>
      </w:tc>
      <w:tc>
        <w:tcPr>
          <w:tcW w:w="1509" w:type="dxa"/>
          <w:shd w:val="clear" w:color="auto" w:fill="auto"/>
        </w:tcPr>
        <w:p w14:paraId="49644318" w14:textId="77777777" w:rsidR="00CE2D4A" w:rsidRDefault="00DA4317" w:rsidP="00E61E0D">
          <w:pPr>
            <w:pStyle w:val="LI-Header"/>
            <w:pBdr>
              <w:bottom w:val="none" w:sz="0" w:space="0" w:color="auto"/>
            </w:pBdr>
          </w:pPr>
          <w:r>
            <w:fldChar w:fldCharType="begin"/>
          </w:r>
          <w:r>
            <w:instrText xml:space="preserve"> STYLEREF  "LI - Heading 1" </w:instrText>
          </w:r>
          <w:r>
            <w:fldChar w:fldCharType="separate"/>
          </w:r>
          <w:r>
            <w:rPr>
              <w:noProof/>
            </w:rPr>
            <w:t>Part 1—Preliminary</w:t>
          </w:r>
          <w:r>
            <w:rPr>
              <w:noProof/>
            </w:rPr>
            <w:fldChar w:fldCharType="end"/>
          </w:r>
        </w:p>
      </w:tc>
    </w:tr>
  </w:tbl>
  <w:p w14:paraId="02542ED8" w14:textId="77777777" w:rsidR="00CE2D4A" w:rsidRPr="00F4215A" w:rsidRDefault="00CE2D4A" w:rsidP="00E61E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6527" w14:textId="77777777" w:rsidR="00CE2D4A" w:rsidRPr="007A1328" w:rsidRDefault="00CE2D4A" w:rsidP="00E61E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016E1"/>
    <w:multiLevelType w:val="hybridMultilevel"/>
    <w:tmpl w:val="8954F6AE"/>
    <w:lvl w:ilvl="0" w:tplc="6504CBF8">
      <w:start w:val="1"/>
      <w:numFmt w:val="lowerLetter"/>
      <w:lvlText w:val="(%1)"/>
      <w:lvlJc w:val="left"/>
      <w:pPr>
        <w:ind w:left="1827" w:hanging="39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
    <w:nsid w:val="24B20BFC"/>
    <w:multiLevelType w:val="hybridMultilevel"/>
    <w:tmpl w:val="B17C6420"/>
    <w:lvl w:ilvl="0" w:tplc="8DE4DFC8">
      <w:start w:val="1"/>
      <w:numFmt w:val="lowerRoman"/>
      <w:lvlText w:val="(%1)"/>
      <w:lvlJc w:val="left"/>
      <w:pPr>
        <w:ind w:left="2421" w:hanging="720"/>
      </w:pPr>
      <w:rPr>
        <w:rFonts w:hint="default"/>
      </w:rPr>
    </w:lvl>
    <w:lvl w:ilvl="1" w:tplc="0C090019">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nsid w:val="4E9034E8"/>
    <w:multiLevelType w:val="hybridMultilevel"/>
    <w:tmpl w:val="42E84DCC"/>
    <w:lvl w:ilvl="0" w:tplc="03485DA0">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B757AC3"/>
    <w:multiLevelType w:val="hybridMultilevel"/>
    <w:tmpl w:val="B2760356"/>
    <w:lvl w:ilvl="0" w:tplc="99141846">
      <w:start w:val="1"/>
      <w:numFmt w:val="lowerLetter"/>
      <w:lvlText w:val="(%1)"/>
      <w:lvlJc w:val="left"/>
      <w:pPr>
        <w:ind w:left="2157" w:hanging="720"/>
      </w:pPr>
      <w:rPr>
        <w:rFonts w:hint="default"/>
      </w:rPr>
    </w:lvl>
    <w:lvl w:ilvl="1" w:tplc="0C090019">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Formatting/>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C7"/>
    <w:rsid w:val="00000FA2"/>
    <w:rsid w:val="0002598F"/>
    <w:rsid w:val="00035162"/>
    <w:rsid w:val="00036269"/>
    <w:rsid w:val="000419BD"/>
    <w:rsid w:val="00074493"/>
    <w:rsid w:val="000817F8"/>
    <w:rsid w:val="000845AB"/>
    <w:rsid w:val="000869D3"/>
    <w:rsid w:val="000877C2"/>
    <w:rsid w:val="00093508"/>
    <w:rsid w:val="000B361A"/>
    <w:rsid w:val="000B5020"/>
    <w:rsid w:val="000B6FAA"/>
    <w:rsid w:val="000C7502"/>
    <w:rsid w:val="000D6789"/>
    <w:rsid w:val="000E4104"/>
    <w:rsid w:val="000E4400"/>
    <w:rsid w:val="000F511D"/>
    <w:rsid w:val="00106186"/>
    <w:rsid w:val="001160DA"/>
    <w:rsid w:val="00125BD6"/>
    <w:rsid w:val="00134D90"/>
    <w:rsid w:val="00145D6E"/>
    <w:rsid w:val="0015535F"/>
    <w:rsid w:val="0016366B"/>
    <w:rsid w:val="001648E8"/>
    <w:rsid w:val="001745C1"/>
    <w:rsid w:val="0018320A"/>
    <w:rsid w:val="0019556B"/>
    <w:rsid w:val="001957A0"/>
    <w:rsid w:val="001A44B1"/>
    <w:rsid w:val="001A4F8F"/>
    <w:rsid w:val="001B7024"/>
    <w:rsid w:val="001E2737"/>
    <w:rsid w:val="001E58D2"/>
    <w:rsid w:val="001F2EFF"/>
    <w:rsid w:val="00202E69"/>
    <w:rsid w:val="00251642"/>
    <w:rsid w:val="002579B1"/>
    <w:rsid w:val="00266AA5"/>
    <w:rsid w:val="0027237E"/>
    <w:rsid w:val="00274EA6"/>
    <w:rsid w:val="002A0A42"/>
    <w:rsid w:val="002B11FF"/>
    <w:rsid w:val="002B76EE"/>
    <w:rsid w:val="002C2E01"/>
    <w:rsid w:val="002D030E"/>
    <w:rsid w:val="002E0B45"/>
    <w:rsid w:val="002E6363"/>
    <w:rsid w:val="002E65E1"/>
    <w:rsid w:val="00302DCF"/>
    <w:rsid w:val="00317E54"/>
    <w:rsid w:val="00324B72"/>
    <w:rsid w:val="00327DA8"/>
    <w:rsid w:val="00370C3A"/>
    <w:rsid w:val="0039372F"/>
    <w:rsid w:val="003A5E84"/>
    <w:rsid w:val="003D2747"/>
    <w:rsid w:val="003E51A7"/>
    <w:rsid w:val="003F0DD3"/>
    <w:rsid w:val="00403784"/>
    <w:rsid w:val="00407A20"/>
    <w:rsid w:val="00411472"/>
    <w:rsid w:val="004120AE"/>
    <w:rsid w:val="0041560B"/>
    <w:rsid w:val="00417816"/>
    <w:rsid w:val="00422C3A"/>
    <w:rsid w:val="004230E3"/>
    <w:rsid w:val="0043105B"/>
    <w:rsid w:val="00455D91"/>
    <w:rsid w:val="00456223"/>
    <w:rsid w:val="004577DA"/>
    <w:rsid w:val="0046065A"/>
    <w:rsid w:val="004A1EA1"/>
    <w:rsid w:val="004C5B7A"/>
    <w:rsid w:val="004D3926"/>
    <w:rsid w:val="004D71B3"/>
    <w:rsid w:val="00502B9D"/>
    <w:rsid w:val="00525840"/>
    <w:rsid w:val="005324BC"/>
    <w:rsid w:val="005357AE"/>
    <w:rsid w:val="00552BEB"/>
    <w:rsid w:val="00555A76"/>
    <w:rsid w:val="00584E28"/>
    <w:rsid w:val="005A2283"/>
    <w:rsid w:val="005A27C2"/>
    <w:rsid w:val="005B44C6"/>
    <w:rsid w:val="005B5C20"/>
    <w:rsid w:val="005C4E8D"/>
    <w:rsid w:val="005D21A8"/>
    <w:rsid w:val="005D2AB9"/>
    <w:rsid w:val="00600D25"/>
    <w:rsid w:val="0061755E"/>
    <w:rsid w:val="00636175"/>
    <w:rsid w:val="0064064B"/>
    <w:rsid w:val="00656134"/>
    <w:rsid w:val="006567D7"/>
    <w:rsid w:val="0065728E"/>
    <w:rsid w:val="00666C8C"/>
    <w:rsid w:val="006978B4"/>
    <w:rsid w:val="006B2971"/>
    <w:rsid w:val="006B47F4"/>
    <w:rsid w:val="006C2AE4"/>
    <w:rsid w:val="006C38BE"/>
    <w:rsid w:val="00713F4B"/>
    <w:rsid w:val="00754D73"/>
    <w:rsid w:val="00761212"/>
    <w:rsid w:val="0076350C"/>
    <w:rsid w:val="00785AD3"/>
    <w:rsid w:val="007965E0"/>
    <w:rsid w:val="007A334F"/>
    <w:rsid w:val="007A6C9F"/>
    <w:rsid w:val="007A7591"/>
    <w:rsid w:val="007B0247"/>
    <w:rsid w:val="007B47DF"/>
    <w:rsid w:val="007C3A6E"/>
    <w:rsid w:val="007C6622"/>
    <w:rsid w:val="007D6B8C"/>
    <w:rsid w:val="007F2BAC"/>
    <w:rsid w:val="007F6789"/>
    <w:rsid w:val="00802AB5"/>
    <w:rsid w:val="00825E87"/>
    <w:rsid w:val="0083122F"/>
    <w:rsid w:val="00833E36"/>
    <w:rsid w:val="00841E90"/>
    <w:rsid w:val="0085048D"/>
    <w:rsid w:val="00871CCC"/>
    <w:rsid w:val="00893E45"/>
    <w:rsid w:val="00894DAD"/>
    <w:rsid w:val="00897C04"/>
    <w:rsid w:val="008B7FD2"/>
    <w:rsid w:val="008C0C3C"/>
    <w:rsid w:val="008C547F"/>
    <w:rsid w:val="008D5B69"/>
    <w:rsid w:val="008D5EDA"/>
    <w:rsid w:val="008E74D6"/>
    <w:rsid w:val="008F18A0"/>
    <w:rsid w:val="008F5BB1"/>
    <w:rsid w:val="00905144"/>
    <w:rsid w:val="00915BF7"/>
    <w:rsid w:val="009234E0"/>
    <w:rsid w:val="00924701"/>
    <w:rsid w:val="00925C4B"/>
    <w:rsid w:val="00940833"/>
    <w:rsid w:val="00947E9C"/>
    <w:rsid w:val="00951E10"/>
    <w:rsid w:val="00952ED8"/>
    <w:rsid w:val="0096312A"/>
    <w:rsid w:val="00966854"/>
    <w:rsid w:val="009809D6"/>
    <w:rsid w:val="009A0198"/>
    <w:rsid w:val="009B5613"/>
    <w:rsid w:val="009B7E29"/>
    <w:rsid w:val="009D023A"/>
    <w:rsid w:val="009E1D73"/>
    <w:rsid w:val="009F1783"/>
    <w:rsid w:val="009F4A40"/>
    <w:rsid w:val="009F6BEC"/>
    <w:rsid w:val="00A11C21"/>
    <w:rsid w:val="00A12F63"/>
    <w:rsid w:val="00A20486"/>
    <w:rsid w:val="00A2463C"/>
    <w:rsid w:val="00A4699D"/>
    <w:rsid w:val="00A5528F"/>
    <w:rsid w:val="00A623FF"/>
    <w:rsid w:val="00A866A1"/>
    <w:rsid w:val="00A92154"/>
    <w:rsid w:val="00AA1D47"/>
    <w:rsid w:val="00AB4AB2"/>
    <w:rsid w:val="00AC141D"/>
    <w:rsid w:val="00AC3AFE"/>
    <w:rsid w:val="00AC783C"/>
    <w:rsid w:val="00AF014D"/>
    <w:rsid w:val="00AF2635"/>
    <w:rsid w:val="00B066CA"/>
    <w:rsid w:val="00B1689D"/>
    <w:rsid w:val="00B34D60"/>
    <w:rsid w:val="00B41DBC"/>
    <w:rsid w:val="00B56803"/>
    <w:rsid w:val="00B72C8C"/>
    <w:rsid w:val="00B733D5"/>
    <w:rsid w:val="00B746DA"/>
    <w:rsid w:val="00B758C4"/>
    <w:rsid w:val="00B81B61"/>
    <w:rsid w:val="00B83E65"/>
    <w:rsid w:val="00B84BAF"/>
    <w:rsid w:val="00BA066C"/>
    <w:rsid w:val="00BB0BFD"/>
    <w:rsid w:val="00BB3D68"/>
    <w:rsid w:val="00BD2689"/>
    <w:rsid w:val="00BD389D"/>
    <w:rsid w:val="00BE1819"/>
    <w:rsid w:val="00BE1E41"/>
    <w:rsid w:val="00C0105A"/>
    <w:rsid w:val="00C05AF6"/>
    <w:rsid w:val="00C0655E"/>
    <w:rsid w:val="00C1301A"/>
    <w:rsid w:val="00C40FE8"/>
    <w:rsid w:val="00C433F8"/>
    <w:rsid w:val="00C7141C"/>
    <w:rsid w:val="00C9000A"/>
    <w:rsid w:val="00C967C3"/>
    <w:rsid w:val="00CA620F"/>
    <w:rsid w:val="00CB0151"/>
    <w:rsid w:val="00CB526F"/>
    <w:rsid w:val="00CB6A3D"/>
    <w:rsid w:val="00CC39A1"/>
    <w:rsid w:val="00CC4A7D"/>
    <w:rsid w:val="00CE0233"/>
    <w:rsid w:val="00CE062E"/>
    <w:rsid w:val="00CE208A"/>
    <w:rsid w:val="00CE2D4A"/>
    <w:rsid w:val="00CF143D"/>
    <w:rsid w:val="00D0450C"/>
    <w:rsid w:val="00D04ADD"/>
    <w:rsid w:val="00D04CEA"/>
    <w:rsid w:val="00D173D4"/>
    <w:rsid w:val="00D40DEA"/>
    <w:rsid w:val="00D42399"/>
    <w:rsid w:val="00D50921"/>
    <w:rsid w:val="00D65901"/>
    <w:rsid w:val="00D76B6F"/>
    <w:rsid w:val="00D76FD7"/>
    <w:rsid w:val="00D810BE"/>
    <w:rsid w:val="00DA4317"/>
    <w:rsid w:val="00DB349E"/>
    <w:rsid w:val="00DB3BB8"/>
    <w:rsid w:val="00DB6F13"/>
    <w:rsid w:val="00DC2E83"/>
    <w:rsid w:val="00DC32C4"/>
    <w:rsid w:val="00DD2417"/>
    <w:rsid w:val="00DD5EF4"/>
    <w:rsid w:val="00DD6147"/>
    <w:rsid w:val="00DE65A0"/>
    <w:rsid w:val="00DF262B"/>
    <w:rsid w:val="00E01E58"/>
    <w:rsid w:val="00E0360F"/>
    <w:rsid w:val="00E04F0E"/>
    <w:rsid w:val="00E074B4"/>
    <w:rsid w:val="00E14C40"/>
    <w:rsid w:val="00E356B9"/>
    <w:rsid w:val="00E4041D"/>
    <w:rsid w:val="00E476F6"/>
    <w:rsid w:val="00E519B6"/>
    <w:rsid w:val="00E533FA"/>
    <w:rsid w:val="00E56E5A"/>
    <w:rsid w:val="00E61E0D"/>
    <w:rsid w:val="00E7018A"/>
    <w:rsid w:val="00E72B0B"/>
    <w:rsid w:val="00E76D9B"/>
    <w:rsid w:val="00E85F72"/>
    <w:rsid w:val="00EB2F32"/>
    <w:rsid w:val="00EC035C"/>
    <w:rsid w:val="00F10A17"/>
    <w:rsid w:val="00F115C3"/>
    <w:rsid w:val="00F12AB3"/>
    <w:rsid w:val="00F36CCF"/>
    <w:rsid w:val="00F45195"/>
    <w:rsid w:val="00F47EE4"/>
    <w:rsid w:val="00F54994"/>
    <w:rsid w:val="00F92B2A"/>
    <w:rsid w:val="00FA25C7"/>
    <w:rsid w:val="00FA67B4"/>
    <w:rsid w:val="00FA6B55"/>
    <w:rsid w:val="00FB1500"/>
    <w:rsid w:val="00FB22A8"/>
    <w:rsid w:val="00FD1777"/>
    <w:rsid w:val="00FD1F19"/>
    <w:rsid w:val="00FD7D59"/>
    <w:rsid w:val="00FE2D36"/>
    <w:rsid w:val="00FE2D7C"/>
    <w:rsid w:val="00FF1EB3"/>
    <w:rsid w:val="00FF3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59D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E04F0E"/>
    <w:pPr>
      <w:pBdr>
        <w:top w:val="single" w:sz="4" w:space="1" w:color="auto"/>
      </w:pBdr>
      <w:spacing w:after="0" w:line="240" w:lineRule="auto"/>
    </w:pPr>
    <w:rPr>
      <w:rFonts w:ascii="Times New Roman" w:eastAsia="Times New Roman" w:hAnsi="Times New Roman" w:cs="Times New Roman"/>
      <w:b/>
      <w:sz w:val="40"/>
      <w:szCs w:val="20"/>
      <w:lang w:eastAsia="en-AU"/>
    </w:rPr>
  </w:style>
  <w:style w:type="paragraph" w:customStyle="1" w:styleId="LI-Heading1">
    <w:name w:val="LI - Heading 1"/>
    <w:basedOn w:val="Normal"/>
    <w:next w:val="Normal"/>
    <w:qFormat/>
    <w:rsid w:val="00E04F0E"/>
    <w:pPr>
      <w:keepNext/>
      <w:keepLines/>
      <w:spacing w:before="280" w:after="0" w:line="240" w:lineRule="auto"/>
      <w:ind w:left="1134" w:hanging="1134"/>
      <w:outlineLvl w:val="0"/>
    </w:pPr>
    <w:rPr>
      <w:rFonts w:ascii="Times New Roman" w:eastAsia="Times New Roman" w:hAnsi="Times New Roman" w:cs="Times New Roman"/>
      <w:b/>
      <w:kern w:val="28"/>
      <w:sz w:val="32"/>
      <w:szCs w:val="20"/>
      <w:lang w:eastAsia="en-AU"/>
    </w:rPr>
  </w:style>
  <w:style w:type="paragraph" w:customStyle="1" w:styleId="LI-Heading2">
    <w:name w:val="LI - Heading 2"/>
    <w:basedOn w:val="Normal"/>
    <w:next w:val="LI-BodyTextUnnumbered"/>
    <w:qFormat/>
    <w:rsid w:val="00E04F0E"/>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 w:type="paragraph" w:customStyle="1" w:styleId="LI-BodyTextUnnumbered">
    <w:name w:val="LI - Body Text Unnumbered"/>
    <w:basedOn w:val="Normal"/>
    <w:link w:val="LI-BodyTextUnnumberedChar"/>
    <w:rsid w:val="00E04F0E"/>
    <w:pPr>
      <w:spacing w:before="240" w:after="0" w:line="240" w:lineRule="auto"/>
      <w:ind w:left="1134"/>
    </w:pPr>
    <w:rPr>
      <w:rFonts w:ascii="Times New Roman" w:eastAsia="Times New Roman" w:hAnsi="Times New Roman" w:cs="Times New Roman"/>
      <w:sz w:val="24"/>
      <w:szCs w:val="20"/>
      <w:lang w:eastAsia="en-AU"/>
    </w:rPr>
  </w:style>
  <w:style w:type="paragraph" w:styleId="Header">
    <w:name w:val="header"/>
    <w:basedOn w:val="Normal"/>
    <w:link w:val="HeaderChar"/>
    <w:unhideWhenUsed/>
    <w:rsid w:val="00E04F0E"/>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E04F0E"/>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E04F0E"/>
    <w:pPr>
      <w:spacing w:before="240" w:after="0" w:line="240" w:lineRule="auto"/>
      <w:ind w:left="1701" w:hanging="567"/>
    </w:pPr>
    <w:rPr>
      <w:rFonts w:ascii="Times New Roman" w:eastAsia="Times New Roman" w:hAnsi="Times New Roman" w:cs="Times New Roman"/>
      <w:sz w:val="24"/>
      <w:szCs w:val="24"/>
      <w:lang w:eastAsia="en-AU"/>
    </w:rPr>
  </w:style>
  <w:style w:type="paragraph" w:customStyle="1" w:styleId="LI-Heading3">
    <w:name w:val="LI - Heading 3"/>
    <w:basedOn w:val="Normal"/>
    <w:next w:val="LI-BodyTextUnnumbered"/>
    <w:rsid w:val="00E04F0E"/>
    <w:pPr>
      <w:keepNext/>
      <w:keepLines/>
      <w:spacing w:before="240" w:after="0" w:line="240" w:lineRule="auto"/>
      <w:ind w:left="567"/>
      <w:outlineLvl w:val="2"/>
    </w:pPr>
    <w:rPr>
      <w:rFonts w:ascii="Times New Roman" w:eastAsia="Times New Roman" w:hAnsi="Times New Roman" w:cs="Times New Roman"/>
      <w:i/>
      <w:szCs w:val="20"/>
      <w:lang w:eastAsia="en-AU"/>
    </w:rPr>
  </w:style>
  <w:style w:type="paragraph" w:styleId="TOC1">
    <w:name w:val="toc 1"/>
    <w:basedOn w:val="Normal"/>
    <w:next w:val="Normal"/>
    <w:uiPriority w:val="39"/>
    <w:unhideWhenUsed/>
    <w:rsid w:val="00E04F0E"/>
    <w:pPr>
      <w:keepNext/>
      <w:keepLines/>
      <w:tabs>
        <w:tab w:val="right" w:pos="8278"/>
      </w:tabs>
      <w:spacing w:before="120" w:after="0" w:line="240" w:lineRule="auto"/>
      <w:ind w:left="1474" w:right="567" w:hanging="1474"/>
    </w:pPr>
    <w:rPr>
      <w:rFonts w:ascii="Times New Roman" w:eastAsia="Times New Roman" w:hAnsi="Times New Roman" w:cs="Times New Roman"/>
      <w:b/>
      <w:kern w:val="28"/>
      <w:sz w:val="24"/>
      <w:szCs w:val="20"/>
      <w:lang w:eastAsia="en-AU"/>
    </w:rPr>
  </w:style>
  <w:style w:type="paragraph" w:styleId="TOC2">
    <w:name w:val="toc 2"/>
    <w:basedOn w:val="Normal"/>
    <w:next w:val="Normal"/>
    <w:uiPriority w:val="39"/>
    <w:unhideWhenUsed/>
    <w:rsid w:val="00E04F0E"/>
    <w:pPr>
      <w:keepNext/>
      <w:keepLines/>
      <w:tabs>
        <w:tab w:val="right" w:leader="dot" w:pos="8278"/>
      </w:tabs>
      <w:spacing w:before="120" w:after="0" w:line="240" w:lineRule="auto"/>
      <w:ind w:left="851" w:hanging="284"/>
    </w:pPr>
    <w:rPr>
      <w:rFonts w:ascii="Times New Roman" w:eastAsia="Times New Roman" w:hAnsi="Times New Roman" w:cs="Times New Roman"/>
      <w:kern w:val="28"/>
      <w:sz w:val="24"/>
      <w:szCs w:val="20"/>
      <w:lang w:eastAsia="en-AU"/>
    </w:rPr>
  </w:style>
  <w:style w:type="paragraph" w:styleId="Footer">
    <w:name w:val="footer"/>
    <w:link w:val="FooterChar"/>
    <w:rsid w:val="00E04F0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04F0E"/>
    <w:rPr>
      <w:rFonts w:ascii="Times New Roman" w:eastAsia="Times New Roman" w:hAnsi="Times New Roman" w:cs="Times New Roman"/>
      <w:szCs w:val="24"/>
      <w:lang w:eastAsia="en-AU"/>
    </w:rPr>
  </w:style>
  <w:style w:type="paragraph" w:customStyle="1" w:styleId="LI-Fronttext">
    <w:name w:val="LI - Front text"/>
    <w:basedOn w:val="Normal"/>
    <w:next w:val="Normal"/>
    <w:rsid w:val="00E04F0E"/>
    <w:pPr>
      <w:spacing w:before="240" w:after="0" w:line="260" w:lineRule="atLeast"/>
      <w:ind w:right="397"/>
    </w:pPr>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E04F0E"/>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E04F0E"/>
    <w:rPr>
      <w:color w:val="0000FF"/>
      <w:u w:val="single"/>
    </w:rPr>
  </w:style>
  <w:style w:type="paragraph" w:customStyle="1" w:styleId="LI-BodyTextSubparai">
    <w:name w:val="LI - Body Text Subpara (i)"/>
    <w:basedOn w:val="LI-BodyTextParaa"/>
    <w:link w:val="LI-BodyTextSubparaiChar"/>
    <w:qFormat/>
    <w:rsid w:val="00E04F0E"/>
    <w:pPr>
      <w:ind w:left="2268"/>
    </w:pPr>
  </w:style>
  <w:style w:type="paragraph" w:customStyle="1" w:styleId="LI-BodyTextSubsubparaA">
    <w:name w:val="LI - Body Text Subsubpara (A)"/>
    <w:basedOn w:val="LI-BodyTextParaa"/>
    <w:link w:val="LI-BodyTextSubsubparaAChar"/>
    <w:qFormat/>
    <w:rsid w:val="00E04F0E"/>
    <w:pPr>
      <w:ind w:left="2835"/>
    </w:pPr>
  </w:style>
  <w:style w:type="character" w:customStyle="1" w:styleId="LI-BodyTextParaaChar">
    <w:name w:val="LI - Body Text Para (a) Char"/>
    <w:link w:val="LI-BodyTextParaa"/>
    <w:rsid w:val="00E04F0E"/>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E04F0E"/>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E04F0E"/>
    <w:pPr>
      <w:ind w:hanging="567"/>
    </w:pPr>
    <w:rPr>
      <w:szCs w:val="24"/>
    </w:rPr>
  </w:style>
  <w:style w:type="character" w:customStyle="1" w:styleId="LI-BodyTextSubsubparaAChar">
    <w:name w:val="LI - Body Text Subsubpara (A) Char"/>
    <w:basedOn w:val="LI-BodyTextParaaChar"/>
    <w:link w:val="LI-BodyTextSubsubparaA"/>
    <w:rsid w:val="00E04F0E"/>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E04F0E"/>
    <w:pPr>
      <w:pBdr>
        <w:top w:val="single" w:sz="6" w:space="1" w:color="auto"/>
      </w:pBdr>
      <w:tabs>
        <w:tab w:val="right" w:pos="8313"/>
      </w:tabs>
      <w:spacing w:before="120" w:after="0" w:line="0" w:lineRule="atLeast"/>
    </w:pPr>
    <w:rPr>
      <w:rFonts w:ascii="Times New Roman" w:eastAsia="Calibri" w:hAnsi="Times New Roman" w:cs="Times New Roman"/>
      <w:i/>
      <w:sz w:val="18"/>
      <w:szCs w:val="20"/>
    </w:rPr>
  </w:style>
  <w:style w:type="character" w:customStyle="1" w:styleId="LI-BodyTextUnnumberedChar">
    <w:name w:val="LI - Body Text Unnumbered Char"/>
    <w:link w:val="LI-BodyTextUnnumbered"/>
    <w:rsid w:val="00E04F0E"/>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E04F0E"/>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E04F0E"/>
    <w:pPr>
      <w:ind w:left="2268" w:hanging="567"/>
    </w:pPr>
    <w:rPr>
      <w:b/>
      <w:szCs w:val="24"/>
    </w:rPr>
  </w:style>
  <w:style w:type="character" w:customStyle="1" w:styleId="LI-FooterChar">
    <w:name w:val="LI - Footer Char"/>
    <w:link w:val="LI-Footer"/>
    <w:rsid w:val="00E04F0E"/>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E04F0E"/>
    <w:pPr>
      <w:ind w:left="2268" w:hanging="567"/>
    </w:pPr>
    <w:rPr>
      <w:szCs w:val="24"/>
    </w:rPr>
  </w:style>
  <w:style w:type="character" w:customStyle="1" w:styleId="LI-SectionHeadingChar">
    <w:name w:val="LI - Section Heading Char"/>
    <w:link w:val="LI-SectionHeading"/>
    <w:rsid w:val="00E04F0E"/>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E04F0E"/>
    <w:pPr>
      <w:spacing w:before="240"/>
      <w:ind w:left="2835"/>
    </w:pPr>
  </w:style>
  <w:style w:type="character" w:customStyle="1" w:styleId="LI-SectionSubsectionTextChar">
    <w:name w:val="LI - Section Subsection Text Char"/>
    <w:link w:val="LI-SectionSubsectionText"/>
    <w:rsid w:val="00E04F0E"/>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E04F0E"/>
    <w:pPr>
      <w:ind w:left="2835" w:hanging="567"/>
    </w:pPr>
    <w:rPr>
      <w:szCs w:val="24"/>
    </w:rPr>
  </w:style>
  <w:style w:type="character" w:customStyle="1" w:styleId="LI-BodyTextNoteChar">
    <w:name w:val="LI - Body Text Note Char"/>
    <w:link w:val="LI-BodyTextNote"/>
    <w:rsid w:val="00E04F0E"/>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E04F0E"/>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E04F0E"/>
    <w:pPr>
      <w:ind w:left="3402" w:hanging="567"/>
    </w:pPr>
    <w:rPr>
      <w:szCs w:val="24"/>
    </w:rPr>
  </w:style>
  <w:style w:type="character" w:customStyle="1" w:styleId="LI-SectionparaaChar">
    <w:name w:val="LI - Section para (a) Char"/>
    <w:link w:val="LI-Sectionparaa"/>
    <w:rsid w:val="00E04F0E"/>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E04F0E"/>
    <w:pPr>
      <w:ind w:left="3969" w:hanging="567"/>
    </w:pPr>
    <w:rPr>
      <w:szCs w:val="24"/>
    </w:rPr>
  </w:style>
  <w:style w:type="character" w:customStyle="1" w:styleId="LI-SectionsubparaiChar">
    <w:name w:val="LI - Section subpara (i) Char"/>
    <w:link w:val="LI-Sectionsubparai"/>
    <w:rsid w:val="00E04F0E"/>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E04F0E"/>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E04F0E"/>
    <w:pPr>
      <w:pBdr>
        <w:top w:val="none" w:sz="0" w:space="0" w:color="auto"/>
        <w:bottom w:val="single" w:sz="4" w:space="1" w:color="auto"/>
      </w:pBdr>
      <w:jc w:val="right"/>
    </w:pPr>
  </w:style>
  <w:style w:type="paragraph" w:customStyle="1" w:styleId="LI-Subtitle">
    <w:name w:val="LI - Subtitle"/>
    <w:basedOn w:val="Normal"/>
    <w:link w:val="LI-SubtitleChar"/>
    <w:qFormat/>
    <w:rsid w:val="00E04F0E"/>
    <w:pPr>
      <w:pBdr>
        <w:bottom w:val="single" w:sz="4" w:space="1" w:color="auto"/>
      </w:pBdr>
      <w:spacing w:before="240" w:after="0" w:line="260" w:lineRule="atLeast"/>
    </w:pPr>
    <w:rPr>
      <w:rFonts w:ascii="Times New Roman" w:eastAsia="Calibri" w:hAnsi="Times New Roman" w:cs="Times New Roman"/>
      <w:b/>
      <w:sz w:val="28"/>
      <w:szCs w:val="28"/>
      <w:lang w:eastAsia="en-AU"/>
    </w:rPr>
  </w:style>
  <w:style w:type="character" w:customStyle="1" w:styleId="LI-HeaderChar">
    <w:name w:val="LI - Header Char"/>
    <w:basedOn w:val="LI-FooterChar"/>
    <w:link w:val="LI-Header"/>
    <w:rsid w:val="00E04F0E"/>
    <w:rPr>
      <w:rFonts w:ascii="Times New Roman" w:eastAsia="Calibri" w:hAnsi="Times New Roman" w:cs="Times New Roman"/>
      <w:i/>
      <w:sz w:val="18"/>
      <w:szCs w:val="20"/>
    </w:rPr>
  </w:style>
  <w:style w:type="character" w:customStyle="1" w:styleId="LI-SubtitleChar">
    <w:name w:val="LI - Subtitle Char"/>
    <w:link w:val="LI-Subtitle"/>
    <w:rsid w:val="00E04F0E"/>
    <w:rPr>
      <w:rFonts w:ascii="Times New Roman" w:eastAsia="Calibri" w:hAnsi="Times New Roman" w:cs="Times New Roman"/>
      <w:b/>
      <w:sz w:val="28"/>
      <w:szCs w:val="28"/>
      <w:lang w:eastAsia="en-AU"/>
    </w:rPr>
  </w:style>
  <w:style w:type="paragraph" w:styleId="BalloonText">
    <w:name w:val="Balloon Text"/>
    <w:basedOn w:val="Normal"/>
    <w:link w:val="BalloonTextChar"/>
    <w:uiPriority w:val="99"/>
    <w:semiHidden/>
    <w:unhideWhenUsed/>
    <w:rsid w:val="00E0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F0E"/>
    <w:rPr>
      <w:rFonts w:ascii="Tahoma" w:hAnsi="Tahoma" w:cs="Tahoma"/>
      <w:sz w:val="16"/>
      <w:szCs w:val="16"/>
    </w:rPr>
  </w:style>
  <w:style w:type="character" w:styleId="CommentReference">
    <w:name w:val="annotation reference"/>
    <w:basedOn w:val="DefaultParagraphFont"/>
    <w:uiPriority w:val="99"/>
    <w:semiHidden/>
    <w:unhideWhenUsed/>
    <w:rsid w:val="000817F8"/>
    <w:rPr>
      <w:sz w:val="16"/>
      <w:szCs w:val="16"/>
    </w:rPr>
  </w:style>
  <w:style w:type="paragraph" w:styleId="CommentText">
    <w:name w:val="annotation text"/>
    <w:basedOn w:val="Normal"/>
    <w:link w:val="CommentTextChar"/>
    <w:uiPriority w:val="99"/>
    <w:unhideWhenUsed/>
    <w:rsid w:val="000817F8"/>
    <w:pPr>
      <w:spacing w:line="240" w:lineRule="auto"/>
    </w:pPr>
    <w:rPr>
      <w:sz w:val="20"/>
      <w:szCs w:val="20"/>
    </w:rPr>
  </w:style>
  <w:style w:type="character" w:customStyle="1" w:styleId="CommentTextChar">
    <w:name w:val="Comment Text Char"/>
    <w:basedOn w:val="DefaultParagraphFont"/>
    <w:link w:val="CommentText"/>
    <w:uiPriority w:val="99"/>
    <w:rsid w:val="000817F8"/>
    <w:rPr>
      <w:sz w:val="20"/>
      <w:szCs w:val="20"/>
    </w:rPr>
  </w:style>
  <w:style w:type="paragraph" w:styleId="CommentSubject">
    <w:name w:val="annotation subject"/>
    <w:basedOn w:val="CommentText"/>
    <w:next w:val="CommentText"/>
    <w:link w:val="CommentSubjectChar"/>
    <w:uiPriority w:val="99"/>
    <w:semiHidden/>
    <w:unhideWhenUsed/>
    <w:rsid w:val="000817F8"/>
    <w:rPr>
      <w:b/>
      <w:bCs/>
    </w:rPr>
  </w:style>
  <w:style w:type="character" w:customStyle="1" w:styleId="CommentSubjectChar">
    <w:name w:val="Comment Subject Char"/>
    <w:basedOn w:val="CommentTextChar"/>
    <w:link w:val="CommentSubject"/>
    <w:uiPriority w:val="99"/>
    <w:semiHidden/>
    <w:rsid w:val="000817F8"/>
    <w:rPr>
      <w:b/>
      <w:bCs/>
      <w:sz w:val="20"/>
      <w:szCs w:val="20"/>
    </w:rPr>
  </w:style>
  <w:style w:type="paragraph" w:styleId="Revision">
    <w:name w:val="Revision"/>
    <w:hidden/>
    <w:uiPriority w:val="99"/>
    <w:semiHidden/>
    <w:rsid w:val="000E4400"/>
    <w:pPr>
      <w:spacing w:after="0" w:line="240" w:lineRule="auto"/>
    </w:pPr>
  </w:style>
  <w:style w:type="paragraph" w:styleId="ListParagraph">
    <w:name w:val="List Paragraph"/>
    <w:basedOn w:val="Normal"/>
    <w:uiPriority w:val="34"/>
    <w:qFormat/>
    <w:rsid w:val="00535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E04F0E"/>
    <w:pPr>
      <w:pBdr>
        <w:top w:val="single" w:sz="4" w:space="1" w:color="auto"/>
      </w:pBdr>
      <w:spacing w:after="0" w:line="240" w:lineRule="auto"/>
    </w:pPr>
    <w:rPr>
      <w:rFonts w:ascii="Times New Roman" w:eastAsia="Times New Roman" w:hAnsi="Times New Roman" w:cs="Times New Roman"/>
      <w:b/>
      <w:sz w:val="40"/>
      <w:szCs w:val="20"/>
      <w:lang w:eastAsia="en-AU"/>
    </w:rPr>
  </w:style>
  <w:style w:type="paragraph" w:customStyle="1" w:styleId="LI-Heading1">
    <w:name w:val="LI - Heading 1"/>
    <w:basedOn w:val="Normal"/>
    <w:next w:val="Normal"/>
    <w:qFormat/>
    <w:rsid w:val="00E04F0E"/>
    <w:pPr>
      <w:keepNext/>
      <w:keepLines/>
      <w:spacing w:before="280" w:after="0" w:line="240" w:lineRule="auto"/>
      <w:ind w:left="1134" w:hanging="1134"/>
      <w:outlineLvl w:val="0"/>
    </w:pPr>
    <w:rPr>
      <w:rFonts w:ascii="Times New Roman" w:eastAsia="Times New Roman" w:hAnsi="Times New Roman" w:cs="Times New Roman"/>
      <w:b/>
      <w:kern w:val="28"/>
      <w:sz w:val="32"/>
      <w:szCs w:val="20"/>
      <w:lang w:eastAsia="en-AU"/>
    </w:rPr>
  </w:style>
  <w:style w:type="paragraph" w:customStyle="1" w:styleId="LI-Heading2">
    <w:name w:val="LI - Heading 2"/>
    <w:basedOn w:val="Normal"/>
    <w:next w:val="LI-BodyTextUnnumbered"/>
    <w:qFormat/>
    <w:rsid w:val="00E04F0E"/>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 w:type="paragraph" w:customStyle="1" w:styleId="LI-BodyTextUnnumbered">
    <w:name w:val="LI - Body Text Unnumbered"/>
    <w:basedOn w:val="Normal"/>
    <w:link w:val="LI-BodyTextUnnumberedChar"/>
    <w:rsid w:val="00E04F0E"/>
    <w:pPr>
      <w:spacing w:before="240" w:after="0" w:line="240" w:lineRule="auto"/>
      <w:ind w:left="1134"/>
    </w:pPr>
    <w:rPr>
      <w:rFonts w:ascii="Times New Roman" w:eastAsia="Times New Roman" w:hAnsi="Times New Roman" w:cs="Times New Roman"/>
      <w:sz w:val="24"/>
      <w:szCs w:val="20"/>
      <w:lang w:eastAsia="en-AU"/>
    </w:rPr>
  </w:style>
  <w:style w:type="paragraph" w:styleId="Header">
    <w:name w:val="header"/>
    <w:basedOn w:val="Normal"/>
    <w:link w:val="HeaderChar"/>
    <w:unhideWhenUsed/>
    <w:rsid w:val="00E04F0E"/>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E04F0E"/>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E04F0E"/>
    <w:pPr>
      <w:spacing w:before="240" w:after="0" w:line="240" w:lineRule="auto"/>
      <w:ind w:left="1701" w:hanging="567"/>
    </w:pPr>
    <w:rPr>
      <w:rFonts w:ascii="Times New Roman" w:eastAsia="Times New Roman" w:hAnsi="Times New Roman" w:cs="Times New Roman"/>
      <w:sz w:val="24"/>
      <w:szCs w:val="24"/>
      <w:lang w:eastAsia="en-AU"/>
    </w:rPr>
  </w:style>
  <w:style w:type="paragraph" w:customStyle="1" w:styleId="LI-Heading3">
    <w:name w:val="LI - Heading 3"/>
    <w:basedOn w:val="Normal"/>
    <w:next w:val="LI-BodyTextUnnumbered"/>
    <w:rsid w:val="00E04F0E"/>
    <w:pPr>
      <w:keepNext/>
      <w:keepLines/>
      <w:spacing w:before="240" w:after="0" w:line="240" w:lineRule="auto"/>
      <w:ind w:left="567"/>
      <w:outlineLvl w:val="2"/>
    </w:pPr>
    <w:rPr>
      <w:rFonts w:ascii="Times New Roman" w:eastAsia="Times New Roman" w:hAnsi="Times New Roman" w:cs="Times New Roman"/>
      <w:i/>
      <w:szCs w:val="20"/>
      <w:lang w:eastAsia="en-AU"/>
    </w:rPr>
  </w:style>
  <w:style w:type="paragraph" w:styleId="TOC1">
    <w:name w:val="toc 1"/>
    <w:basedOn w:val="Normal"/>
    <w:next w:val="Normal"/>
    <w:uiPriority w:val="39"/>
    <w:unhideWhenUsed/>
    <w:rsid w:val="00E04F0E"/>
    <w:pPr>
      <w:keepNext/>
      <w:keepLines/>
      <w:tabs>
        <w:tab w:val="right" w:pos="8278"/>
      </w:tabs>
      <w:spacing w:before="120" w:after="0" w:line="240" w:lineRule="auto"/>
      <w:ind w:left="1474" w:right="567" w:hanging="1474"/>
    </w:pPr>
    <w:rPr>
      <w:rFonts w:ascii="Times New Roman" w:eastAsia="Times New Roman" w:hAnsi="Times New Roman" w:cs="Times New Roman"/>
      <w:b/>
      <w:kern w:val="28"/>
      <w:sz w:val="24"/>
      <w:szCs w:val="20"/>
      <w:lang w:eastAsia="en-AU"/>
    </w:rPr>
  </w:style>
  <w:style w:type="paragraph" w:styleId="TOC2">
    <w:name w:val="toc 2"/>
    <w:basedOn w:val="Normal"/>
    <w:next w:val="Normal"/>
    <w:uiPriority w:val="39"/>
    <w:unhideWhenUsed/>
    <w:rsid w:val="00E04F0E"/>
    <w:pPr>
      <w:keepNext/>
      <w:keepLines/>
      <w:tabs>
        <w:tab w:val="right" w:leader="dot" w:pos="8278"/>
      </w:tabs>
      <w:spacing w:before="120" w:after="0" w:line="240" w:lineRule="auto"/>
      <w:ind w:left="851" w:hanging="284"/>
    </w:pPr>
    <w:rPr>
      <w:rFonts w:ascii="Times New Roman" w:eastAsia="Times New Roman" w:hAnsi="Times New Roman" w:cs="Times New Roman"/>
      <w:kern w:val="28"/>
      <w:sz w:val="24"/>
      <w:szCs w:val="20"/>
      <w:lang w:eastAsia="en-AU"/>
    </w:rPr>
  </w:style>
  <w:style w:type="paragraph" w:styleId="Footer">
    <w:name w:val="footer"/>
    <w:link w:val="FooterChar"/>
    <w:rsid w:val="00E04F0E"/>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04F0E"/>
    <w:rPr>
      <w:rFonts w:ascii="Times New Roman" w:eastAsia="Times New Roman" w:hAnsi="Times New Roman" w:cs="Times New Roman"/>
      <w:szCs w:val="24"/>
      <w:lang w:eastAsia="en-AU"/>
    </w:rPr>
  </w:style>
  <w:style w:type="paragraph" w:customStyle="1" w:styleId="LI-Fronttext">
    <w:name w:val="LI - Front text"/>
    <w:basedOn w:val="Normal"/>
    <w:next w:val="Normal"/>
    <w:rsid w:val="00E04F0E"/>
    <w:pPr>
      <w:spacing w:before="240" w:after="0" w:line="260" w:lineRule="atLeast"/>
      <w:ind w:right="397"/>
    </w:pPr>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E04F0E"/>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E04F0E"/>
    <w:rPr>
      <w:color w:val="0000FF"/>
      <w:u w:val="single"/>
    </w:rPr>
  </w:style>
  <w:style w:type="paragraph" w:customStyle="1" w:styleId="LI-BodyTextSubparai">
    <w:name w:val="LI - Body Text Subpara (i)"/>
    <w:basedOn w:val="LI-BodyTextParaa"/>
    <w:link w:val="LI-BodyTextSubparaiChar"/>
    <w:qFormat/>
    <w:rsid w:val="00E04F0E"/>
    <w:pPr>
      <w:ind w:left="2268"/>
    </w:pPr>
  </w:style>
  <w:style w:type="paragraph" w:customStyle="1" w:styleId="LI-BodyTextSubsubparaA">
    <w:name w:val="LI - Body Text Subsubpara (A)"/>
    <w:basedOn w:val="LI-BodyTextParaa"/>
    <w:link w:val="LI-BodyTextSubsubparaAChar"/>
    <w:qFormat/>
    <w:rsid w:val="00E04F0E"/>
    <w:pPr>
      <w:ind w:left="2835"/>
    </w:pPr>
  </w:style>
  <w:style w:type="character" w:customStyle="1" w:styleId="LI-BodyTextParaaChar">
    <w:name w:val="LI - Body Text Para (a) Char"/>
    <w:link w:val="LI-BodyTextParaa"/>
    <w:rsid w:val="00E04F0E"/>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E04F0E"/>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E04F0E"/>
    <w:pPr>
      <w:ind w:hanging="567"/>
    </w:pPr>
    <w:rPr>
      <w:szCs w:val="24"/>
    </w:rPr>
  </w:style>
  <w:style w:type="character" w:customStyle="1" w:styleId="LI-BodyTextSubsubparaAChar">
    <w:name w:val="LI - Body Text Subsubpara (A) Char"/>
    <w:basedOn w:val="LI-BodyTextParaaChar"/>
    <w:link w:val="LI-BodyTextSubsubparaA"/>
    <w:rsid w:val="00E04F0E"/>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E04F0E"/>
    <w:pPr>
      <w:pBdr>
        <w:top w:val="single" w:sz="6" w:space="1" w:color="auto"/>
      </w:pBdr>
      <w:tabs>
        <w:tab w:val="right" w:pos="8313"/>
      </w:tabs>
      <w:spacing w:before="120" w:after="0" w:line="0" w:lineRule="atLeast"/>
    </w:pPr>
    <w:rPr>
      <w:rFonts w:ascii="Times New Roman" w:eastAsia="Calibri" w:hAnsi="Times New Roman" w:cs="Times New Roman"/>
      <w:i/>
      <w:sz w:val="18"/>
      <w:szCs w:val="20"/>
    </w:rPr>
  </w:style>
  <w:style w:type="character" w:customStyle="1" w:styleId="LI-BodyTextUnnumberedChar">
    <w:name w:val="LI - Body Text Unnumbered Char"/>
    <w:link w:val="LI-BodyTextUnnumbered"/>
    <w:rsid w:val="00E04F0E"/>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E04F0E"/>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E04F0E"/>
    <w:pPr>
      <w:ind w:left="2268" w:hanging="567"/>
    </w:pPr>
    <w:rPr>
      <w:b/>
      <w:szCs w:val="24"/>
    </w:rPr>
  </w:style>
  <w:style w:type="character" w:customStyle="1" w:styleId="LI-FooterChar">
    <w:name w:val="LI - Footer Char"/>
    <w:link w:val="LI-Footer"/>
    <w:rsid w:val="00E04F0E"/>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E04F0E"/>
    <w:pPr>
      <w:ind w:left="2268" w:hanging="567"/>
    </w:pPr>
    <w:rPr>
      <w:szCs w:val="24"/>
    </w:rPr>
  </w:style>
  <w:style w:type="character" w:customStyle="1" w:styleId="LI-SectionHeadingChar">
    <w:name w:val="LI - Section Heading Char"/>
    <w:link w:val="LI-SectionHeading"/>
    <w:rsid w:val="00E04F0E"/>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E04F0E"/>
    <w:pPr>
      <w:spacing w:before="240"/>
      <w:ind w:left="2835"/>
    </w:pPr>
  </w:style>
  <w:style w:type="character" w:customStyle="1" w:styleId="LI-SectionSubsectionTextChar">
    <w:name w:val="LI - Section Subsection Text Char"/>
    <w:link w:val="LI-SectionSubsectionText"/>
    <w:rsid w:val="00E04F0E"/>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E04F0E"/>
    <w:pPr>
      <w:ind w:left="2835" w:hanging="567"/>
    </w:pPr>
    <w:rPr>
      <w:szCs w:val="24"/>
    </w:rPr>
  </w:style>
  <w:style w:type="character" w:customStyle="1" w:styleId="LI-BodyTextNoteChar">
    <w:name w:val="LI - Body Text Note Char"/>
    <w:link w:val="LI-BodyTextNote"/>
    <w:rsid w:val="00E04F0E"/>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E04F0E"/>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E04F0E"/>
    <w:pPr>
      <w:ind w:left="3402" w:hanging="567"/>
    </w:pPr>
    <w:rPr>
      <w:szCs w:val="24"/>
    </w:rPr>
  </w:style>
  <w:style w:type="character" w:customStyle="1" w:styleId="LI-SectionparaaChar">
    <w:name w:val="LI - Section para (a) Char"/>
    <w:link w:val="LI-Sectionparaa"/>
    <w:rsid w:val="00E04F0E"/>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E04F0E"/>
    <w:pPr>
      <w:ind w:left="3969" w:hanging="567"/>
    </w:pPr>
    <w:rPr>
      <w:szCs w:val="24"/>
    </w:rPr>
  </w:style>
  <w:style w:type="character" w:customStyle="1" w:styleId="LI-SectionsubparaiChar">
    <w:name w:val="LI - Section subpara (i) Char"/>
    <w:link w:val="LI-Sectionsubparai"/>
    <w:rsid w:val="00E04F0E"/>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E04F0E"/>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E04F0E"/>
    <w:pPr>
      <w:pBdr>
        <w:top w:val="none" w:sz="0" w:space="0" w:color="auto"/>
        <w:bottom w:val="single" w:sz="4" w:space="1" w:color="auto"/>
      </w:pBdr>
      <w:jc w:val="right"/>
    </w:pPr>
  </w:style>
  <w:style w:type="paragraph" w:customStyle="1" w:styleId="LI-Subtitle">
    <w:name w:val="LI - Subtitle"/>
    <w:basedOn w:val="Normal"/>
    <w:link w:val="LI-SubtitleChar"/>
    <w:qFormat/>
    <w:rsid w:val="00E04F0E"/>
    <w:pPr>
      <w:pBdr>
        <w:bottom w:val="single" w:sz="4" w:space="1" w:color="auto"/>
      </w:pBdr>
      <w:spacing w:before="240" w:after="0" w:line="260" w:lineRule="atLeast"/>
    </w:pPr>
    <w:rPr>
      <w:rFonts w:ascii="Times New Roman" w:eastAsia="Calibri" w:hAnsi="Times New Roman" w:cs="Times New Roman"/>
      <w:b/>
      <w:sz w:val="28"/>
      <w:szCs w:val="28"/>
      <w:lang w:eastAsia="en-AU"/>
    </w:rPr>
  </w:style>
  <w:style w:type="character" w:customStyle="1" w:styleId="LI-HeaderChar">
    <w:name w:val="LI - Header Char"/>
    <w:basedOn w:val="LI-FooterChar"/>
    <w:link w:val="LI-Header"/>
    <w:rsid w:val="00E04F0E"/>
    <w:rPr>
      <w:rFonts w:ascii="Times New Roman" w:eastAsia="Calibri" w:hAnsi="Times New Roman" w:cs="Times New Roman"/>
      <w:i/>
      <w:sz w:val="18"/>
      <w:szCs w:val="20"/>
    </w:rPr>
  </w:style>
  <w:style w:type="character" w:customStyle="1" w:styleId="LI-SubtitleChar">
    <w:name w:val="LI - Subtitle Char"/>
    <w:link w:val="LI-Subtitle"/>
    <w:rsid w:val="00E04F0E"/>
    <w:rPr>
      <w:rFonts w:ascii="Times New Roman" w:eastAsia="Calibri" w:hAnsi="Times New Roman" w:cs="Times New Roman"/>
      <w:b/>
      <w:sz w:val="28"/>
      <w:szCs w:val="28"/>
      <w:lang w:eastAsia="en-AU"/>
    </w:rPr>
  </w:style>
  <w:style w:type="paragraph" w:styleId="BalloonText">
    <w:name w:val="Balloon Text"/>
    <w:basedOn w:val="Normal"/>
    <w:link w:val="BalloonTextChar"/>
    <w:uiPriority w:val="99"/>
    <w:semiHidden/>
    <w:unhideWhenUsed/>
    <w:rsid w:val="00E04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F0E"/>
    <w:rPr>
      <w:rFonts w:ascii="Tahoma" w:hAnsi="Tahoma" w:cs="Tahoma"/>
      <w:sz w:val="16"/>
      <w:szCs w:val="16"/>
    </w:rPr>
  </w:style>
  <w:style w:type="character" w:styleId="CommentReference">
    <w:name w:val="annotation reference"/>
    <w:basedOn w:val="DefaultParagraphFont"/>
    <w:uiPriority w:val="99"/>
    <w:semiHidden/>
    <w:unhideWhenUsed/>
    <w:rsid w:val="000817F8"/>
    <w:rPr>
      <w:sz w:val="16"/>
      <w:szCs w:val="16"/>
    </w:rPr>
  </w:style>
  <w:style w:type="paragraph" w:styleId="CommentText">
    <w:name w:val="annotation text"/>
    <w:basedOn w:val="Normal"/>
    <w:link w:val="CommentTextChar"/>
    <w:uiPriority w:val="99"/>
    <w:unhideWhenUsed/>
    <w:rsid w:val="000817F8"/>
    <w:pPr>
      <w:spacing w:line="240" w:lineRule="auto"/>
    </w:pPr>
    <w:rPr>
      <w:sz w:val="20"/>
      <w:szCs w:val="20"/>
    </w:rPr>
  </w:style>
  <w:style w:type="character" w:customStyle="1" w:styleId="CommentTextChar">
    <w:name w:val="Comment Text Char"/>
    <w:basedOn w:val="DefaultParagraphFont"/>
    <w:link w:val="CommentText"/>
    <w:uiPriority w:val="99"/>
    <w:rsid w:val="000817F8"/>
    <w:rPr>
      <w:sz w:val="20"/>
      <w:szCs w:val="20"/>
    </w:rPr>
  </w:style>
  <w:style w:type="paragraph" w:styleId="CommentSubject">
    <w:name w:val="annotation subject"/>
    <w:basedOn w:val="CommentText"/>
    <w:next w:val="CommentText"/>
    <w:link w:val="CommentSubjectChar"/>
    <w:uiPriority w:val="99"/>
    <w:semiHidden/>
    <w:unhideWhenUsed/>
    <w:rsid w:val="000817F8"/>
    <w:rPr>
      <w:b/>
      <w:bCs/>
    </w:rPr>
  </w:style>
  <w:style w:type="character" w:customStyle="1" w:styleId="CommentSubjectChar">
    <w:name w:val="Comment Subject Char"/>
    <w:basedOn w:val="CommentTextChar"/>
    <w:link w:val="CommentSubject"/>
    <w:uiPriority w:val="99"/>
    <w:semiHidden/>
    <w:rsid w:val="000817F8"/>
    <w:rPr>
      <w:b/>
      <w:bCs/>
      <w:sz w:val="20"/>
      <w:szCs w:val="20"/>
    </w:rPr>
  </w:style>
  <w:style w:type="paragraph" w:styleId="Revision">
    <w:name w:val="Revision"/>
    <w:hidden/>
    <w:uiPriority w:val="99"/>
    <w:semiHidden/>
    <w:rsid w:val="000E4400"/>
    <w:pPr>
      <w:spacing w:after="0" w:line="240" w:lineRule="auto"/>
    </w:pPr>
  </w:style>
  <w:style w:type="paragraph" w:styleId="ListParagraph">
    <w:name w:val="List Paragraph"/>
    <w:basedOn w:val="Normal"/>
    <w:uiPriority w:val="34"/>
    <w:qFormat/>
    <w:rsid w:val="00535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2706">
      <w:bodyDiv w:val="1"/>
      <w:marLeft w:val="0"/>
      <w:marRight w:val="0"/>
      <w:marTop w:val="0"/>
      <w:marBottom w:val="0"/>
      <w:divBdr>
        <w:top w:val="none" w:sz="0" w:space="0" w:color="auto"/>
        <w:left w:val="none" w:sz="0" w:space="0" w:color="auto"/>
        <w:bottom w:val="none" w:sz="0" w:space="0" w:color="auto"/>
        <w:right w:val="none" w:sz="0" w:space="0" w:color="auto"/>
      </w:divBdr>
      <w:divsChild>
        <w:div w:id="1931959767">
          <w:marLeft w:val="0"/>
          <w:marRight w:val="0"/>
          <w:marTop w:val="0"/>
          <w:marBottom w:val="0"/>
          <w:divBdr>
            <w:top w:val="none" w:sz="0" w:space="0" w:color="auto"/>
            <w:left w:val="none" w:sz="0" w:space="0" w:color="auto"/>
            <w:bottom w:val="none" w:sz="0" w:space="0" w:color="auto"/>
            <w:right w:val="none" w:sz="0" w:space="0" w:color="auto"/>
          </w:divBdr>
          <w:divsChild>
            <w:div w:id="1455295658">
              <w:marLeft w:val="0"/>
              <w:marRight w:val="0"/>
              <w:marTop w:val="0"/>
              <w:marBottom w:val="0"/>
              <w:divBdr>
                <w:top w:val="none" w:sz="0" w:space="0" w:color="auto"/>
                <w:left w:val="none" w:sz="0" w:space="0" w:color="auto"/>
                <w:bottom w:val="none" w:sz="0" w:space="0" w:color="auto"/>
                <w:right w:val="none" w:sz="0" w:space="0" w:color="auto"/>
              </w:divBdr>
              <w:divsChild>
                <w:div w:id="248581447">
                  <w:marLeft w:val="0"/>
                  <w:marRight w:val="0"/>
                  <w:marTop w:val="0"/>
                  <w:marBottom w:val="0"/>
                  <w:divBdr>
                    <w:top w:val="none" w:sz="0" w:space="0" w:color="auto"/>
                    <w:left w:val="none" w:sz="0" w:space="0" w:color="auto"/>
                    <w:bottom w:val="none" w:sz="0" w:space="0" w:color="auto"/>
                    <w:right w:val="none" w:sz="0" w:space="0" w:color="auto"/>
                  </w:divBdr>
                  <w:divsChild>
                    <w:div w:id="1710833475">
                      <w:marLeft w:val="0"/>
                      <w:marRight w:val="0"/>
                      <w:marTop w:val="0"/>
                      <w:marBottom w:val="0"/>
                      <w:divBdr>
                        <w:top w:val="none" w:sz="0" w:space="0" w:color="auto"/>
                        <w:left w:val="none" w:sz="0" w:space="0" w:color="auto"/>
                        <w:bottom w:val="none" w:sz="0" w:space="0" w:color="auto"/>
                        <w:right w:val="none" w:sz="0" w:space="0" w:color="auto"/>
                      </w:divBdr>
                      <w:divsChild>
                        <w:div w:id="1948074375">
                          <w:marLeft w:val="0"/>
                          <w:marRight w:val="0"/>
                          <w:marTop w:val="0"/>
                          <w:marBottom w:val="0"/>
                          <w:divBdr>
                            <w:top w:val="single" w:sz="6" w:space="0" w:color="828282"/>
                            <w:left w:val="single" w:sz="6" w:space="0" w:color="828282"/>
                            <w:bottom w:val="single" w:sz="6" w:space="0" w:color="828282"/>
                            <w:right w:val="single" w:sz="6" w:space="0" w:color="828282"/>
                          </w:divBdr>
                          <w:divsChild>
                            <w:div w:id="751436233">
                              <w:marLeft w:val="0"/>
                              <w:marRight w:val="0"/>
                              <w:marTop w:val="0"/>
                              <w:marBottom w:val="0"/>
                              <w:divBdr>
                                <w:top w:val="none" w:sz="0" w:space="0" w:color="auto"/>
                                <w:left w:val="none" w:sz="0" w:space="0" w:color="auto"/>
                                <w:bottom w:val="none" w:sz="0" w:space="0" w:color="auto"/>
                                <w:right w:val="none" w:sz="0" w:space="0" w:color="auto"/>
                              </w:divBdr>
                              <w:divsChild>
                                <w:div w:id="274868451">
                                  <w:marLeft w:val="0"/>
                                  <w:marRight w:val="0"/>
                                  <w:marTop w:val="0"/>
                                  <w:marBottom w:val="0"/>
                                  <w:divBdr>
                                    <w:top w:val="none" w:sz="0" w:space="0" w:color="auto"/>
                                    <w:left w:val="none" w:sz="0" w:space="0" w:color="auto"/>
                                    <w:bottom w:val="none" w:sz="0" w:space="0" w:color="auto"/>
                                    <w:right w:val="none" w:sz="0" w:space="0" w:color="auto"/>
                                  </w:divBdr>
                                  <w:divsChild>
                                    <w:div w:id="589046585">
                                      <w:marLeft w:val="0"/>
                                      <w:marRight w:val="0"/>
                                      <w:marTop w:val="0"/>
                                      <w:marBottom w:val="0"/>
                                      <w:divBdr>
                                        <w:top w:val="none" w:sz="0" w:space="0" w:color="auto"/>
                                        <w:left w:val="none" w:sz="0" w:space="0" w:color="auto"/>
                                        <w:bottom w:val="none" w:sz="0" w:space="0" w:color="auto"/>
                                        <w:right w:val="none" w:sz="0" w:space="0" w:color="auto"/>
                                      </w:divBdr>
                                      <w:divsChild>
                                        <w:div w:id="144858776">
                                          <w:marLeft w:val="0"/>
                                          <w:marRight w:val="0"/>
                                          <w:marTop w:val="0"/>
                                          <w:marBottom w:val="0"/>
                                          <w:divBdr>
                                            <w:top w:val="none" w:sz="0" w:space="0" w:color="auto"/>
                                            <w:left w:val="none" w:sz="0" w:space="0" w:color="auto"/>
                                            <w:bottom w:val="none" w:sz="0" w:space="0" w:color="auto"/>
                                            <w:right w:val="none" w:sz="0" w:space="0" w:color="auto"/>
                                          </w:divBdr>
                                          <w:divsChild>
                                            <w:div w:id="1265310015">
                                              <w:marLeft w:val="0"/>
                                              <w:marRight w:val="0"/>
                                              <w:marTop w:val="0"/>
                                              <w:marBottom w:val="0"/>
                                              <w:divBdr>
                                                <w:top w:val="none" w:sz="0" w:space="0" w:color="auto"/>
                                                <w:left w:val="none" w:sz="0" w:space="0" w:color="auto"/>
                                                <w:bottom w:val="none" w:sz="0" w:space="0" w:color="auto"/>
                                                <w:right w:val="none" w:sz="0" w:space="0" w:color="auto"/>
                                              </w:divBdr>
                                              <w:divsChild>
                                                <w:div w:id="2052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958324">
      <w:bodyDiv w:val="1"/>
      <w:marLeft w:val="0"/>
      <w:marRight w:val="0"/>
      <w:marTop w:val="0"/>
      <w:marBottom w:val="0"/>
      <w:divBdr>
        <w:top w:val="none" w:sz="0" w:space="0" w:color="auto"/>
        <w:left w:val="none" w:sz="0" w:space="0" w:color="auto"/>
        <w:bottom w:val="none" w:sz="0" w:space="0" w:color="auto"/>
        <w:right w:val="none" w:sz="0" w:space="0" w:color="auto"/>
      </w:divBdr>
      <w:divsChild>
        <w:div w:id="1761640428">
          <w:marLeft w:val="0"/>
          <w:marRight w:val="0"/>
          <w:marTop w:val="0"/>
          <w:marBottom w:val="0"/>
          <w:divBdr>
            <w:top w:val="none" w:sz="0" w:space="0" w:color="auto"/>
            <w:left w:val="none" w:sz="0" w:space="0" w:color="auto"/>
            <w:bottom w:val="none" w:sz="0" w:space="0" w:color="auto"/>
            <w:right w:val="none" w:sz="0" w:space="0" w:color="auto"/>
          </w:divBdr>
          <w:divsChild>
            <w:div w:id="221718266">
              <w:marLeft w:val="0"/>
              <w:marRight w:val="0"/>
              <w:marTop w:val="0"/>
              <w:marBottom w:val="0"/>
              <w:divBdr>
                <w:top w:val="none" w:sz="0" w:space="0" w:color="auto"/>
                <w:left w:val="none" w:sz="0" w:space="0" w:color="auto"/>
                <w:bottom w:val="none" w:sz="0" w:space="0" w:color="auto"/>
                <w:right w:val="none" w:sz="0" w:space="0" w:color="auto"/>
              </w:divBdr>
              <w:divsChild>
                <w:div w:id="1443920962">
                  <w:marLeft w:val="0"/>
                  <w:marRight w:val="0"/>
                  <w:marTop w:val="0"/>
                  <w:marBottom w:val="0"/>
                  <w:divBdr>
                    <w:top w:val="none" w:sz="0" w:space="0" w:color="auto"/>
                    <w:left w:val="none" w:sz="0" w:space="0" w:color="auto"/>
                    <w:bottom w:val="none" w:sz="0" w:space="0" w:color="auto"/>
                    <w:right w:val="none" w:sz="0" w:space="0" w:color="auto"/>
                  </w:divBdr>
                  <w:divsChild>
                    <w:div w:id="956328746">
                      <w:marLeft w:val="0"/>
                      <w:marRight w:val="0"/>
                      <w:marTop w:val="0"/>
                      <w:marBottom w:val="0"/>
                      <w:divBdr>
                        <w:top w:val="none" w:sz="0" w:space="0" w:color="auto"/>
                        <w:left w:val="none" w:sz="0" w:space="0" w:color="auto"/>
                        <w:bottom w:val="none" w:sz="0" w:space="0" w:color="auto"/>
                        <w:right w:val="none" w:sz="0" w:space="0" w:color="auto"/>
                      </w:divBdr>
                      <w:divsChild>
                        <w:div w:id="603465462">
                          <w:marLeft w:val="0"/>
                          <w:marRight w:val="0"/>
                          <w:marTop w:val="0"/>
                          <w:marBottom w:val="0"/>
                          <w:divBdr>
                            <w:top w:val="single" w:sz="6" w:space="0" w:color="828282"/>
                            <w:left w:val="single" w:sz="6" w:space="0" w:color="828282"/>
                            <w:bottom w:val="single" w:sz="6" w:space="0" w:color="828282"/>
                            <w:right w:val="single" w:sz="6" w:space="0" w:color="828282"/>
                          </w:divBdr>
                          <w:divsChild>
                            <w:div w:id="1408918823">
                              <w:marLeft w:val="0"/>
                              <w:marRight w:val="0"/>
                              <w:marTop w:val="0"/>
                              <w:marBottom w:val="0"/>
                              <w:divBdr>
                                <w:top w:val="none" w:sz="0" w:space="0" w:color="auto"/>
                                <w:left w:val="none" w:sz="0" w:space="0" w:color="auto"/>
                                <w:bottom w:val="none" w:sz="0" w:space="0" w:color="auto"/>
                                <w:right w:val="none" w:sz="0" w:space="0" w:color="auto"/>
                              </w:divBdr>
                              <w:divsChild>
                                <w:div w:id="878779820">
                                  <w:marLeft w:val="0"/>
                                  <w:marRight w:val="0"/>
                                  <w:marTop w:val="0"/>
                                  <w:marBottom w:val="0"/>
                                  <w:divBdr>
                                    <w:top w:val="none" w:sz="0" w:space="0" w:color="auto"/>
                                    <w:left w:val="none" w:sz="0" w:space="0" w:color="auto"/>
                                    <w:bottom w:val="none" w:sz="0" w:space="0" w:color="auto"/>
                                    <w:right w:val="none" w:sz="0" w:space="0" w:color="auto"/>
                                  </w:divBdr>
                                  <w:divsChild>
                                    <w:div w:id="71583463">
                                      <w:marLeft w:val="0"/>
                                      <w:marRight w:val="0"/>
                                      <w:marTop w:val="0"/>
                                      <w:marBottom w:val="0"/>
                                      <w:divBdr>
                                        <w:top w:val="none" w:sz="0" w:space="0" w:color="auto"/>
                                        <w:left w:val="none" w:sz="0" w:space="0" w:color="auto"/>
                                        <w:bottom w:val="none" w:sz="0" w:space="0" w:color="auto"/>
                                        <w:right w:val="none" w:sz="0" w:space="0" w:color="auto"/>
                                      </w:divBdr>
                                      <w:divsChild>
                                        <w:div w:id="799810666">
                                          <w:marLeft w:val="0"/>
                                          <w:marRight w:val="0"/>
                                          <w:marTop w:val="0"/>
                                          <w:marBottom w:val="0"/>
                                          <w:divBdr>
                                            <w:top w:val="none" w:sz="0" w:space="0" w:color="auto"/>
                                            <w:left w:val="none" w:sz="0" w:space="0" w:color="auto"/>
                                            <w:bottom w:val="none" w:sz="0" w:space="0" w:color="auto"/>
                                            <w:right w:val="none" w:sz="0" w:space="0" w:color="auto"/>
                                          </w:divBdr>
                                          <w:divsChild>
                                            <w:div w:id="1797289660">
                                              <w:marLeft w:val="0"/>
                                              <w:marRight w:val="0"/>
                                              <w:marTop w:val="0"/>
                                              <w:marBottom w:val="0"/>
                                              <w:divBdr>
                                                <w:top w:val="none" w:sz="0" w:space="0" w:color="auto"/>
                                                <w:left w:val="none" w:sz="0" w:space="0" w:color="auto"/>
                                                <w:bottom w:val="none" w:sz="0" w:space="0" w:color="auto"/>
                                                <w:right w:val="none" w:sz="0" w:space="0" w:color="auto"/>
                                              </w:divBdr>
                                              <w:divsChild>
                                                <w:div w:id="14794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047035">
      <w:bodyDiv w:val="1"/>
      <w:marLeft w:val="0"/>
      <w:marRight w:val="0"/>
      <w:marTop w:val="0"/>
      <w:marBottom w:val="0"/>
      <w:divBdr>
        <w:top w:val="none" w:sz="0" w:space="0" w:color="auto"/>
        <w:left w:val="none" w:sz="0" w:space="0" w:color="auto"/>
        <w:bottom w:val="none" w:sz="0" w:space="0" w:color="auto"/>
        <w:right w:val="none" w:sz="0" w:space="0" w:color="auto"/>
      </w:divBdr>
      <w:divsChild>
        <w:div w:id="1622299072">
          <w:marLeft w:val="0"/>
          <w:marRight w:val="0"/>
          <w:marTop w:val="0"/>
          <w:marBottom w:val="0"/>
          <w:divBdr>
            <w:top w:val="none" w:sz="0" w:space="0" w:color="auto"/>
            <w:left w:val="none" w:sz="0" w:space="0" w:color="auto"/>
            <w:bottom w:val="none" w:sz="0" w:space="0" w:color="auto"/>
            <w:right w:val="none" w:sz="0" w:space="0" w:color="auto"/>
          </w:divBdr>
          <w:divsChild>
            <w:div w:id="1086539363">
              <w:marLeft w:val="0"/>
              <w:marRight w:val="0"/>
              <w:marTop w:val="0"/>
              <w:marBottom w:val="0"/>
              <w:divBdr>
                <w:top w:val="none" w:sz="0" w:space="0" w:color="auto"/>
                <w:left w:val="none" w:sz="0" w:space="0" w:color="auto"/>
                <w:bottom w:val="none" w:sz="0" w:space="0" w:color="auto"/>
                <w:right w:val="none" w:sz="0" w:space="0" w:color="auto"/>
              </w:divBdr>
              <w:divsChild>
                <w:div w:id="1572039496">
                  <w:marLeft w:val="0"/>
                  <w:marRight w:val="0"/>
                  <w:marTop w:val="0"/>
                  <w:marBottom w:val="0"/>
                  <w:divBdr>
                    <w:top w:val="none" w:sz="0" w:space="0" w:color="auto"/>
                    <w:left w:val="none" w:sz="0" w:space="0" w:color="auto"/>
                    <w:bottom w:val="none" w:sz="0" w:space="0" w:color="auto"/>
                    <w:right w:val="none" w:sz="0" w:space="0" w:color="auto"/>
                  </w:divBdr>
                  <w:divsChild>
                    <w:div w:id="815343408">
                      <w:marLeft w:val="0"/>
                      <w:marRight w:val="0"/>
                      <w:marTop w:val="0"/>
                      <w:marBottom w:val="0"/>
                      <w:divBdr>
                        <w:top w:val="none" w:sz="0" w:space="0" w:color="auto"/>
                        <w:left w:val="none" w:sz="0" w:space="0" w:color="auto"/>
                        <w:bottom w:val="none" w:sz="0" w:space="0" w:color="auto"/>
                        <w:right w:val="none" w:sz="0" w:space="0" w:color="auto"/>
                      </w:divBdr>
                      <w:divsChild>
                        <w:div w:id="505904348">
                          <w:marLeft w:val="0"/>
                          <w:marRight w:val="0"/>
                          <w:marTop w:val="0"/>
                          <w:marBottom w:val="0"/>
                          <w:divBdr>
                            <w:top w:val="single" w:sz="6" w:space="0" w:color="828282"/>
                            <w:left w:val="single" w:sz="6" w:space="0" w:color="828282"/>
                            <w:bottom w:val="single" w:sz="6" w:space="0" w:color="828282"/>
                            <w:right w:val="single" w:sz="6" w:space="0" w:color="828282"/>
                          </w:divBdr>
                          <w:divsChild>
                            <w:div w:id="652105825">
                              <w:marLeft w:val="0"/>
                              <w:marRight w:val="0"/>
                              <w:marTop w:val="0"/>
                              <w:marBottom w:val="0"/>
                              <w:divBdr>
                                <w:top w:val="none" w:sz="0" w:space="0" w:color="auto"/>
                                <w:left w:val="none" w:sz="0" w:space="0" w:color="auto"/>
                                <w:bottom w:val="none" w:sz="0" w:space="0" w:color="auto"/>
                                <w:right w:val="none" w:sz="0" w:space="0" w:color="auto"/>
                              </w:divBdr>
                              <w:divsChild>
                                <w:div w:id="94252283">
                                  <w:marLeft w:val="0"/>
                                  <w:marRight w:val="0"/>
                                  <w:marTop w:val="0"/>
                                  <w:marBottom w:val="0"/>
                                  <w:divBdr>
                                    <w:top w:val="none" w:sz="0" w:space="0" w:color="auto"/>
                                    <w:left w:val="none" w:sz="0" w:space="0" w:color="auto"/>
                                    <w:bottom w:val="none" w:sz="0" w:space="0" w:color="auto"/>
                                    <w:right w:val="none" w:sz="0" w:space="0" w:color="auto"/>
                                  </w:divBdr>
                                  <w:divsChild>
                                    <w:div w:id="1631398020">
                                      <w:marLeft w:val="0"/>
                                      <w:marRight w:val="0"/>
                                      <w:marTop w:val="0"/>
                                      <w:marBottom w:val="0"/>
                                      <w:divBdr>
                                        <w:top w:val="none" w:sz="0" w:space="0" w:color="auto"/>
                                        <w:left w:val="none" w:sz="0" w:space="0" w:color="auto"/>
                                        <w:bottom w:val="none" w:sz="0" w:space="0" w:color="auto"/>
                                        <w:right w:val="none" w:sz="0" w:space="0" w:color="auto"/>
                                      </w:divBdr>
                                      <w:divsChild>
                                        <w:div w:id="1335456648">
                                          <w:marLeft w:val="0"/>
                                          <w:marRight w:val="0"/>
                                          <w:marTop w:val="0"/>
                                          <w:marBottom w:val="0"/>
                                          <w:divBdr>
                                            <w:top w:val="none" w:sz="0" w:space="0" w:color="auto"/>
                                            <w:left w:val="none" w:sz="0" w:space="0" w:color="auto"/>
                                            <w:bottom w:val="none" w:sz="0" w:space="0" w:color="auto"/>
                                            <w:right w:val="none" w:sz="0" w:space="0" w:color="auto"/>
                                          </w:divBdr>
                                          <w:divsChild>
                                            <w:div w:id="1892963352">
                                              <w:marLeft w:val="0"/>
                                              <w:marRight w:val="0"/>
                                              <w:marTop w:val="0"/>
                                              <w:marBottom w:val="0"/>
                                              <w:divBdr>
                                                <w:top w:val="none" w:sz="0" w:space="0" w:color="auto"/>
                                                <w:left w:val="none" w:sz="0" w:space="0" w:color="auto"/>
                                                <w:bottom w:val="none" w:sz="0" w:space="0" w:color="auto"/>
                                                <w:right w:val="none" w:sz="0" w:space="0" w:color="auto"/>
                                              </w:divBdr>
                                              <w:divsChild>
                                                <w:div w:id="20370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685395">
      <w:bodyDiv w:val="1"/>
      <w:marLeft w:val="0"/>
      <w:marRight w:val="0"/>
      <w:marTop w:val="0"/>
      <w:marBottom w:val="0"/>
      <w:divBdr>
        <w:top w:val="none" w:sz="0" w:space="0" w:color="auto"/>
        <w:left w:val="none" w:sz="0" w:space="0" w:color="auto"/>
        <w:bottom w:val="none" w:sz="0" w:space="0" w:color="auto"/>
        <w:right w:val="none" w:sz="0" w:space="0" w:color="auto"/>
      </w:divBdr>
      <w:divsChild>
        <w:div w:id="997029067">
          <w:marLeft w:val="0"/>
          <w:marRight w:val="0"/>
          <w:marTop w:val="0"/>
          <w:marBottom w:val="0"/>
          <w:divBdr>
            <w:top w:val="none" w:sz="0" w:space="0" w:color="auto"/>
            <w:left w:val="none" w:sz="0" w:space="0" w:color="auto"/>
            <w:bottom w:val="none" w:sz="0" w:space="0" w:color="auto"/>
            <w:right w:val="none" w:sz="0" w:space="0" w:color="auto"/>
          </w:divBdr>
          <w:divsChild>
            <w:div w:id="1373841829">
              <w:marLeft w:val="0"/>
              <w:marRight w:val="0"/>
              <w:marTop w:val="0"/>
              <w:marBottom w:val="0"/>
              <w:divBdr>
                <w:top w:val="none" w:sz="0" w:space="0" w:color="auto"/>
                <w:left w:val="none" w:sz="0" w:space="0" w:color="auto"/>
                <w:bottom w:val="none" w:sz="0" w:space="0" w:color="auto"/>
                <w:right w:val="none" w:sz="0" w:space="0" w:color="auto"/>
              </w:divBdr>
              <w:divsChild>
                <w:div w:id="971059682">
                  <w:marLeft w:val="0"/>
                  <w:marRight w:val="0"/>
                  <w:marTop w:val="0"/>
                  <w:marBottom w:val="0"/>
                  <w:divBdr>
                    <w:top w:val="none" w:sz="0" w:space="0" w:color="auto"/>
                    <w:left w:val="none" w:sz="0" w:space="0" w:color="auto"/>
                    <w:bottom w:val="none" w:sz="0" w:space="0" w:color="auto"/>
                    <w:right w:val="none" w:sz="0" w:space="0" w:color="auto"/>
                  </w:divBdr>
                  <w:divsChild>
                    <w:div w:id="10761785">
                      <w:marLeft w:val="0"/>
                      <w:marRight w:val="0"/>
                      <w:marTop w:val="0"/>
                      <w:marBottom w:val="0"/>
                      <w:divBdr>
                        <w:top w:val="none" w:sz="0" w:space="0" w:color="auto"/>
                        <w:left w:val="none" w:sz="0" w:space="0" w:color="auto"/>
                        <w:bottom w:val="none" w:sz="0" w:space="0" w:color="auto"/>
                        <w:right w:val="none" w:sz="0" w:space="0" w:color="auto"/>
                      </w:divBdr>
                      <w:divsChild>
                        <w:div w:id="1352145124">
                          <w:marLeft w:val="0"/>
                          <w:marRight w:val="0"/>
                          <w:marTop w:val="0"/>
                          <w:marBottom w:val="0"/>
                          <w:divBdr>
                            <w:top w:val="single" w:sz="6" w:space="0" w:color="828282"/>
                            <w:left w:val="single" w:sz="6" w:space="0" w:color="828282"/>
                            <w:bottom w:val="single" w:sz="6" w:space="0" w:color="828282"/>
                            <w:right w:val="single" w:sz="6" w:space="0" w:color="828282"/>
                          </w:divBdr>
                          <w:divsChild>
                            <w:div w:id="778180161">
                              <w:marLeft w:val="0"/>
                              <w:marRight w:val="0"/>
                              <w:marTop w:val="0"/>
                              <w:marBottom w:val="0"/>
                              <w:divBdr>
                                <w:top w:val="none" w:sz="0" w:space="0" w:color="auto"/>
                                <w:left w:val="none" w:sz="0" w:space="0" w:color="auto"/>
                                <w:bottom w:val="none" w:sz="0" w:space="0" w:color="auto"/>
                                <w:right w:val="none" w:sz="0" w:space="0" w:color="auto"/>
                              </w:divBdr>
                              <w:divsChild>
                                <w:div w:id="203637425">
                                  <w:marLeft w:val="0"/>
                                  <w:marRight w:val="0"/>
                                  <w:marTop w:val="0"/>
                                  <w:marBottom w:val="0"/>
                                  <w:divBdr>
                                    <w:top w:val="none" w:sz="0" w:space="0" w:color="auto"/>
                                    <w:left w:val="none" w:sz="0" w:space="0" w:color="auto"/>
                                    <w:bottom w:val="none" w:sz="0" w:space="0" w:color="auto"/>
                                    <w:right w:val="none" w:sz="0" w:space="0" w:color="auto"/>
                                  </w:divBdr>
                                  <w:divsChild>
                                    <w:div w:id="432407563">
                                      <w:marLeft w:val="0"/>
                                      <w:marRight w:val="0"/>
                                      <w:marTop w:val="0"/>
                                      <w:marBottom w:val="0"/>
                                      <w:divBdr>
                                        <w:top w:val="none" w:sz="0" w:space="0" w:color="auto"/>
                                        <w:left w:val="none" w:sz="0" w:space="0" w:color="auto"/>
                                        <w:bottom w:val="none" w:sz="0" w:space="0" w:color="auto"/>
                                        <w:right w:val="none" w:sz="0" w:space="0" w:color="auto"/>
                                      </w:divBdr>
                                      <w:divsChild>
                                        <w:div w:id="221992326">
                                          <w:marLeft w:val="0"/>
                                          <w:marRight w:val="0"/>
                                          <w:marTop w:val="0"/>
                                          <w:marBottom w:val="0"/>
                                          <w:divBdr>
                                            <w:top w:val="none" w:sz="0" w:space="0" w:color="auto"/>
                                            <w:left w:val="none" w:sz="0" w:space="0" w:color="auto"/>
                                            <w:bottom w:val="none" w:sz="0" w:space="0" w:color="auto"/>
                                            <w:right w:val="none" w:sz="0" w:space="0" w:color="auto"/>
                                          </w:divBdr>
                                          <w:divsChild>
                                            <w:div w:id="1879274111">
                                              <w:marLeft w:val="0"/>
                                              <w:marRight w:val="0"/>
                                              <w:marTop w:val="0"/>
                                              <w:marBottom w:val="0"/>
                                              <w:divBdr>
                                                <w:top w:val="none" w:sz="0" w:space="0" w:color="auto"/>
                                                <w:left w:val="none" w:sz="0" w:space="0" w:color="auto"/>
                                                <w:bottom w:val="none" w:sz="0" w:space="0" w:color="auto"/>
                                                <w:right w:val="none" w:sz="0" w:space="0" w:color="auto"/>
                                              </w:divBdr>
                                              <w:divsChild>
                                                <w:div w:id="19074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911705">
      <w:bodyDiv w:val="1"/>
      <w:marLeft w:val="0"/>
      <w:marRight w:val="0"/>
      <w:marTop w:val="0"/>
      <w:marBottom w:val="0"/>
      <w:divBdr>
        <w:top w:val="none" w:sz="0" w:space="0" w:color="auto"/>
        <w:left w:val="none" w:sz="0" w:space="0" w:color="auto"/>
        <w:bottom w:val="none" w:sz="0" w:space="0" w:color="auto"/>
        <w:right w:val="none" w:sz="0" w:space="0" w:color="auto"/>
      </w:divBdr>
      <w:divsChild>
        <w:div w:id="1143548837">
          <w:marLeft w:val="0"/>
          <w:marRight w:val="0"/>
          <w:marTop w:val="0"/>
          <w:marBottom w:val="0"/>
          <w:divBdr>
            <w:top w:val="none" w:sz="0" w:space="0" w:color="auto"/>
            <w:left w:val="none" w:sz="0" w:space="0" w:color="auto"/>
            <w:bottom w:val="none" w:sz="0" w:space="0" w:color="auto"/>
            <w:right w:val="none" w:sz="0" w:space="0" w:color="auto"/>
          </w:divBdr>
          <w:divsChild>
            <w:div w:id="302320329">
              <w:marLeft w:val="0"/>
              <w:marRight w:val="0"/>
              <w:marTop w:val="0"/>
              <w:marBottom w:val="0"/>
              <w:divBdr>
                <w:top w:val="none" w:sz="0" w:space="0" w:color="auto"/>
                <w:left w:val="none" w:sz="0" w:space="0" w:color="auto"/>
                <w:bottom w:val="none" w:sz="0" w:space="0" w:color="auto"/>
                <w:right w:val="none" w:sz="0" w:space="0" w:color="auto"/>
              </w:divBdr>
              <w:divsChild>
                <w:div w:id="1745909815">
                  <w:marLeft w:val="0"/>
                  <w:marRight w:val="0"/>
                  <w:marTop w:val="0"/>
                  <w:marBottom w:val="0"/>
                  <w:divBdr>
                    <w:top w:val="none" w:sz="0" w:space="0" w:color="auto"/>
                    <w:left w:val="none" w:sz="0" w:space="0" w:color="auto"/>
                    <w:bottom w:val="none" w:sz="0" w:space="0" w:color="auto"/>
                    <w:right w:val="none" w:sz="0" w:space="0" w:color="auto"/>
                  </w:divBdr>
                  <w:divsChild>
                    <w:div w:id="1818959260">
                      <w:marLeft w:val="0"/>
                      <w:marRight w:val="0"/>
                      <w:marTop w:val="0"/>
                      <w:marBottom w:val="0"/>
                      <w:divBdr>
                        <w:top w:val="none" w:sz="0" w:space="0" w:color="auto"/>
                        <w:left w:val="none" w:sz="0" w:space="0" w:color="auto"/>
                        <w:bottom w:val="none" w:sz="0" w:space="0" w:color="auto"/>
                        <w:right w:val="none" w:sz="0" w:space="0" w:color="auto"/>
                      </w:divBdr>
                      <w:divsChild>
                        <w:div w:id="1241721768">
                          <w:marLeft w:val="0"/>
                          <w:marRight w:val="0"/>
                          <w:marTop w:val="0"/>
                          <w:marBottom w:val="0"/>
                          <w:divBdr>
                            <w:top w:val="single" w:sz="6" w:space="0" w:color="828282"/>
                            <w:left w:val="single" w:sz="6" w:space="0" w:color="828282"/>
                            <w:bottom w:val="single" w:sz="6" w:space="0" w:color="828282"/>
                            <w:right w:val="single" w:sz="6" w:space="0" w:color="828282"/>
                          </w:divBdr>
                          <w:divsChild>
                            <w:div w:id="761996002">
                              <w:marLeft w:val="0"/>
                              <w:marRight w:val="0"/>
                              <w:marTop w:val="0"/>
                              <w:marBottom w:val="0"/>
                              <w:divBdr>
                                <w:top w:val="none" w:sz="0" w:space="0" w:color="auto"/>
                                <w:left w:val="none" w:sz="0" w:space="0" w:color="auto"/>
                                <w:bottom w:val="none" w:sz="0" w:space="0" w:color="auto"/>
                                <w:right w:val="none" w:sz="0" w:space="0" w:color="auto"/>
                              </w:divBdr>
                              <w:divsChild>
                                <w:div w:id="1110858946">
                                  <w:marLeft w:val="0"/>
                                  <w:marRight w:val="0"/>
                                  <w:marTop w:val="0"/>
                                  <w:marBottom w:val="0"/>
                                  <w:divBdr>
                                    <w:top w:val="none" w:sz="0" w:space="0" w:color="auto"/>
                                    <w:left w:val="none" w:sz="0" w:space="0" w:color="auto"/>
                                    <w:bottom w:val="none" w:sz="0" w:space="0" w:color="auto"/>
                                    <w:right w:val="none" w:sz="0" w:space="0" w:color="auto"/>
                                  </w:divBdr>
                                  <w:divsChild>
                                    <w:div w:id="1834442386">
                                      <w:marLeft w:val="0"/>
                                      <w:marRight w:val="0"/>
                                      <w:marTop w:val="0"/>
                                      <w:marBottom w:val="0"/>
                                      <w:divBdr>
                                        <w:top w:val="none" w:sz="0" w:space="0" w:color="auto"/>
                                        <w:left w:val="none" w:sz="0" w:space="0" w:color="auto"/>
                                        <w:bottom w:val="none" w:sz="0" w:space="0" w:color="auto"/>
                                        <w:right w:val="none" w:sz="0" w:space="0" w:color="auto"/>
                                      </w:divBdr>
                                      <w:divsChild>
                                        <w:div w:id="663045011">
                                          <w:marLeft w:val="0"/>
                                          <w:marRight w:val="0"/>
                                          <w:marTop w:val="0"/>
                                          <w:marBottom w:val="0"/>
                                          <w:divBdr>
                                            <w:top w:val="none" w:sz="0" w:space="0" w:color="auto"/>
                                            <w:left w:val="none" w:sz="0" w:space="0" w:color="auto"/>
                                            <w:bottom w:val="none" w:sz="0" w:space="0" w:color="auto"/>
                                            <w:right w:val="none" w:sz="0" w:space="0" w:color="auto"/>
                                          </w:divBdr>
                                          <w:divsChild>
                                            <w:div w:id="1669602660">
                                              <w:marLeft w:val="0"/>
                                              <w:marRight w:val="0"/>
                                              <w:marTop w:val="0"/>
                                              <w:marBottom w:val="0"/>
                                              <w:divBdr>
                                                <w:top w:val="none" w:sz="0" w:space="0" w:color="auto"/>
                                                <w:left w:val="none" w:sz="0" w:space="0" w:color="auto"/>
                                                <w:bottom w:val="none" w:sz="0" w:space="0" w:color="auto"/>
                                                <w:right w:val="none" w:sz="0" w:space="0" w:color="auto"/>
                                              </w:divBdr>
                                              <w:divsChild>
                                                <w:div w:id="14002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555694">
      <w:bodyDiv w:val="1"/>
      <w:marLeft w:val="0"/>
      <w:marRight w:val="0"/>
      <w:marTop w:val="0"/>
      <w:marBottom w:val="0"/>
      <w:divBdr>
        <w:top w:val="none" w:sz="0" w:space="0" w:color="auto"/>
        <w:left w:val="none" w:sz="0" w:space="0" w:color="auto"/>
        <w:bottom w:val="none" w:sz="0" w:space="0" w:color="auto"/>
        <w:right w:val="none" w:sz="0" w:space="0" w:color="auto"/>
      </w:divBdr>
      <w:divsChild>
        <w:div w:id="1721904671">
          <w:marLeft w:val="0"/>
          <w:marRight w:val="0"/>
          <w:marTop w:val="0"/>
          <w:marBottom w:val="0"/>
          <w:divBdr>
            <w:top w:val="none" w:sz="0" w:space="0" w:color="auto"/>
            <w:left w:val="none" w:sz="0" w:space="0" w:color="auto"/>
            <w:bottom w:val="none" w:sz="0" w:space="0" w:color="auto"/>
            <w:right w:val="none" w:sz="0" w:space="0" w:color="auto"/>
          </w:divBdr>
          <w:divsChild>
            <w:div w:id="1896307658">
              <w:marLeft w:val="0"/>
              <w:marRight w:val="0"/>
              <w:marTop w:val="0"/>
              <w:marBottom w:val="0"/>
              <w:divBdr>
                <w:top w:val="none" w:sz="0" w:space="0" w:color="auto"/>
                <w:left w:val="none" w:sz="0" w:space="0" w:color="auto"/>
                <w:bottom w:val="none" w:sz="0" w:space="0" w:color="auto"/>
                <w:right w:val="none" w:sz="0" w:space="0" w:color="auto"/>
              </w:divBdr>
              <w:divsChild>
                <w:div w:id="1013655344">
                  <w:marLeft w:val="0"/>
                  <w:marRight w:val="0"/>
                  <w:marTop w:val="0"/>
                  <w:marBottom w:val="0"/>
                  <w:divBdr>
                    <w:top w:val="none" w:sz="0" w:space="0" w:color="auto"/>
                    <w:left w:val="none" w:sz="0" w:space="0" w:color="auto"/>
                    <w:bottom w:val="none" w:sz="0" w:space="0" w:color="auto"/>
                    <w:right w:val="none" w:sz="0" w:space="0" w:color="auto"/>
                  </w:divBdr>
                  <w:divsChild>
                    <w:div w:id="293491629">
                      <w:marLeft w:val="0"/>
                      <w:marRight w:val="0"/>
                      <w:marTop w:val="0"/>
                      <w:marBottom w:val="0"/>
                      <w:divBdr>
                        <w:top w:val="none" w:sz="0" w:space="0" w:color="auto"/>
                        <w:left w:val="none" w:sz="0" w:space="0" w:color="auto"/>
                        <w:bottom w:val="none" w:sz="0" w:space="0" w:color="auto"/>
                        <w:right w:val="none" w:sz="0" w:space="0" w:color="auto"/>
                      </w:divBdr>
                      <w:divsChild>
                        <w:div w:id="531653656">
                          <w:marLeft w:val="0"/>
                          <w:marRight w:val="0"/>
                          <w:marTop w:val="0"/>
                          <w:marBottom w:val="0"/>
                          <w:divBdr>
                            <w:top w:val="single" w:sz="6" w:space="0" w:color="828282"/>
                            <w:left w:val="single" w:sz="6" w:space="0" w:color="828282"/>
                            <w:bottom w:val="single" w:sz="6" w:space="0" w:color="828282"/>
                            <w:right w:val="single" w:sz="6" w:space="0" w:color="828282"/>
                          </w:divBdr>
                          <w:divsChild>
                            <w:div w:id="1168907717">
                              <w:marLeft w:val="0"/>
                              <w:marRight w:val="0"/>
                              <w:marTop w:val="0"/>
                              <w:marBottom w:val="0"/>
                              <w:divBdr>
                                <w:top w:val="none" w:sz="0" w:space="0" w:color="auto"/>
                                <w:left w:val="none" w:sz="0" w:space="0" w:color="auto"/>
                                <w:bottom w:val="none" w:sz="0" w:space="0" w:color="auto"/>
                                <w:right w:val="none" w:sz="0" w:space="0" w:color="auto"/>
                              </w:divBdr>
                              <w:divsChild>
                                <w:div w:id="1731415971">
                                  <w:marLeft w:val="0"/>
                                  <w:marRight w:val="0"/>
                                  <w:marTop w:val="0"/>
                                  <w:marBottom w:val="0"/>
                                  <w:divBdr>
                                    <w:top w:val="none" w:sz="0" w:space="0" w:color="auto"/>
                                    <w:left w:val="none" w:sz="0" w:space="0" w:color="auto"/>
                                    <w:bottom w:val="none" w:sz="0" w:space="0" w:color="auto"/>
                                    <w:right w:val="none" w:sz="0" w:space="0" w:color="auto"/>
                                  </w:divBdr>
                                  <w:divsChild>
                                    <w:div w:id="359015224">
                                      <w:marLeft w:val="0"/>
                                      <w:marRight w:val="0"/>
                                      <w:marTop w:val="0"/>
                                      <w:marBottom w:val="0"/>
                                      <w:divBdr>
                                        <w:top w:val="none" w:sz="0" w:space="0" w:color="auto"/>
                                        <w:left w:val="none" w:sz="0" w:space="0" w:color="auto"/>
                                        <w:bottom w:val="none" w:sz="0" w:space="0" w:color="auto"/>
                                        <w:right w:val="none" w:sz="0" w:space="0" w:color="auto"/>
                                      </w:divBdr>
                                      <w:divsChild>
                                        <w:div w:id="1966539994">
                                          <w:marLeft w:val="0"/>
                                          <w:marRight w:val="0"/>
                                          <w:marTop w:val="0"/>
                                          <w:marBottom w:val="0"/>
                                          <w:divBdr>
                                            <w:top w:val="none" w:sz="0" w:space="0" w:color="auto"/>
                                            <w:left w:val="none" w:sz="0" w:space="0" w:color="auto"/>
                                            <w:bottom w:val="none" w:sz="0" w:space="0" w:color="auto"/>
                                            <w:right w:val="none" w:sz="0" w:space="0" w:color="auto"/>
                                          </w:divBdr>
                                          <w:divsChild>
                                            <w:div w:id="66533720">
                                              <w:marLeft w:val="0"/>
                                              <w:marRight w:val="0"/>
                                              <w:marTop w:val="0"/>
                                              <w:marBottom w:val="0"/>
                                              <w:divBdr>
                                                <w:top w:val="none" w:sz="0" w:space="0" w:color="auto"/>
                                                <w:left w:val="none" w:sz="0" w:space="0" w:color="auto"/>
                                                <w:bottom w:val="none" w:sz="0" w:space="0" w:color="auto"/>
                                                <w:right w:val="none" w:sz="0" w:space="0" w:color="auto"/>
                                              </w:divBdr>
                                              <w:divsChild>
                                                <w:div w:id="16788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omlaw.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R20160000106298</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SignificantReason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EAD1-900B-4FCE-A8D3-41774C509951}">
  <ds:schemaRefs>
    <ds:schemaRef ds:uri="da7a9ac0-bc47-4684-84e6-3a8e9ac80c12"/>
    <ds:schemaRef ds:uri="http://purl.org/dc/dcmitype/"/>
    <ds:schemaRef ds:uri="http://schemas.microsoft.com/office/2006/documentManagement/types"/>
    <ds:schemaRef ds:uri="http://purl.org/dc/elements/1.1/"/>
    <ds:schemaRef ds:uri="http://purl.org/dc/terms/"/>
    <ds:schemaRef ds:uri="17f478ab-373e-4295-9ff0-9b833ad01319"/>
    <ds:schemaRef ds:uri="http://schemas.microsoft.com/office/infopath/2007/PartnerControls"/>
    <ds:schemaRef ds:uri="6fdf923d-1605-456d-9034-49e4c2a6593d"/>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0C004A57-BBFE-436E-9047-D29CB43279DC}">
  <ds:schemaRefs>
    <ds:schemaRef ds:uri="http://schemas.microsoft.com/sharepoint/v3/contenttype/forms"/>
  </ds:schemaRefs>
</ds:datastoreItem>
</file>

<file path=customXml/itemProps3.xml><?xml version="1.0" encoding="utf-8"?>
<ds:datastoreItem xmlns:ds="http://schemas.openxmlformats.org/officeDocument/2006/customXml" ds:itemID="{4AFDD892-23A4-4DFA-AC08-BF916D5B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C333B-B897-4B1C-8903-F5F2C8A3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ASIC Superannuation (Product Disclosure for Investment Strategies) Instrument 2015</vt:lpstr>
    </vt:vector>
  </TitlesOfParts>
  <Company>ASIC</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Superannuation (Product Disclosure for Investment Strategies) Instrument 2015</dc:title>
  <dc:creator>james.grapsas</dc:creator>
  <cp:lastModifiedBy>merrill.murray</cp:lastModifiedBy>
  <cp:revision>2</cp:revision>
  <cp:lastPrinted>2016-02-22T23:50:00Z</cp:lastPrinted>
  <dcterms:created xsi:type="dcterms:W3CDTF">2016-02-23T05:21:00Z</dcterms:created>
  <dcterms:modified xsi:type="dcterms:W3CDTF">2016-02-23T05:21:00Z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A4368266</vt:lpwstr>
  </property>
  <property fmtid="{D5CDD505-2E9C-101B-9397-08002B2CF9AE}" pid="4" name="Objective-Title">
    <vt:lpwstr>ASIC Superannuation (Product Disclosure for Investment Strategies) Instrument 2015</vt:lpwstr>
  </property>
  <property fmtid="{D5CDD505-2E9C-101B-9397-08002B2CF9AE}" pid="5" name="Objective-Comment">
    <vt:lpwstr>
    </vt:lpwstr>
  </property>
  <property fmtid="{D5CDD505-2E9C-101B-9397-08002B2CF9AE}" pid="6" name="Objective-CreationStamp">
    <vt:filetime>2015-01-20T00:02:02Z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2015-03-16T04:34:26Z</vt:filetime>
  </property>
  <property fmtid="{D5CDD505-2E9C-101B-9397-08002B2CF9AE}" pid="11" name="Objective-Owner">
    <vt:lpwstr>Jennifer Dolphin</vt:lpwstr>
  </property>
  <property fmtid="{D5CDD505-2E9C-101B-9397-08002B2CF9AE}" pid="12" name="Objective-Path">
    <vt:lpwstr>BCS:ASIC:LEGAL SERVICES:Advice:Legislative Instruments:Legislative Instruments 2015:</vt:lpwstr>
  </property>
  <property fmtid="{D5CDD505-2E9C-101B-9397-08002B2CF9AE}" pid="13" name="Objective-Parent">
    <vt:lpwstr>Legislative Instruments 2015</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i4>7</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0x010100B5F685A1365F544391EF8C813B164F3A003FC3A1FB886AA841B1151906BEDCBCDF</vt:lpwstr>
  </property>
  <property fmtid="{D5CDD505-2E9C-101B-9397-08002B2CF9AE}" pid="23" name="Order">
    <vt:r8>1700</vt:r8>
  </property>
  <property fmtid="{D5CDD505-2E9C-101B-9397-08002B2CF9AE}" pid="24" name="SecurityClassification">
    <vt:lpwstr>7;#Sensitive|19fd2cb8-3e97-4464-ae71-8c2c2095d028</vt:lpwstr>
  </property>
  <property fmtid="{D5CDD505-2E9C-101B-9397-08002B2CF9AE}" pid="25" name="RecordPoint_WorkflowType">
    <vt:lpwstr>ActiveSubmitStub</vt:lpwstr>
  </property>
  <property fmtid="{D5CDD505-2E9C-101B-9397-08002B2CF9AE}" pid="26" name="RecordPoint_ActiveItemWebId">
    <vt:lpwstr>{6fdf923d-1605-456d-9034-49e4c2a6593d}</vt:lpwstr>
  </property>
  <property fmtid="{D5CDD505-2E9C-101B-9397-08002B2CF9AE}" pid="27" name="RecordPoint_ActiveItemSiteId">
    <vt:lpwstr>{fa96e6fb-4129-44b7-b105-10ec3844cb78}</vt:lpwstr>
  </property>
  <property fmtid="{D5CDD505-2E9C-101B-9397-08002B2CF9AE}" pid="28" name="RecordPoint_ActiveItemListId">
    <vt:lpwstr>{e8634c1b-1868-4a02-8de8-ef4b1316a551}</vt:lpwstr>
  </property>
  <property fmtid="{D5CDD505-2E9C-101B-9397-08002B2CF9AE}" pid="29" name="RecordPoint_ActiveItemUniqueId">
    <vt:lpwstr>{c3605030-cfc7-43d1-b854-3e2a2bfdadac}</vt:lpwstr>
  </property>
  <property fmtid="{D5CDD505-2E9C-101B-9397-08002B2CF9AE}" pid="30" name="RecordPoint_RecordNumberSubmitted">
    <vt:lpwstr>R20160000106298</vt:lpwstr>
  </property>
  <property fmtid="{D5CDD505-2E9C-101B-9397-08002B2CF9AE}" pid="31" name="RecordPoint_SubmissionCompleted">
    <vt:lpwstr>2016-02-23T11:18:46.0256551+11:00</vt:lpwstr>
  </property>
  <property fmtid="{D5CDD505-2E9C-101B-9397-08002B2CF9AE}" pid="32" name="RecordPoint_SubmissionDate">
    <vt:lpwstr/>
  </property>
  <property fmtid="{D5CDD505-2E9C-101B-9397-08002B2CF9AE}" pid="33" name="RecordPoint_RecordFormat">
    <vt:lpwstr/>
  </property>
  <property fmtid="{D5CDD505-2E9C-101B-9397-08002B2CF9AE}" pid="34" name="RecordPoint_ActiveItemMoved">
    <vt:lpwstr/>
  </property>
</Properties>
</file>