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Caption w:val="Cover page header for Compiled AASB Standard / Interpretations"/>
        <w:tblDescription w:val="Identification that the pronouncement is a compiled AASB Standard or Interpretation, the pronouncement number, month of issue and title"/>
      </w:tblPr>
      <w:tblGrid>
        <w:gridCol w:w="4508"/>
        <w:gridCol w:w="4509"/>
      </w:tblGrid>
      <w:tr w:rsidR="00B92637" w14:paraId="3DC7C664" w14:textId="77777777" w:rsidTr="00AA5F63">
        <w:trPr>
          <w:tblHeader/>
        </w:trPr>
        <w:tc>
          <w:tcPr>
            <w:tcW w:w="4508" w:type="dxa"/>
          </w:tcPr>
          <w:p w14:paraId="24FFD6C0" w14:textId="77777777" w:rsidR="00B92637" w:rsidRPr="00165C56" w:rsidRDefault="00B92637" w:rsidP="0059152C">
            <w:pPr>
              <w:pStyle w:val="AASBStandardCover"/>
              <w:rPr>
                <w:color w:val="auto"/>
                <w:sz w:val="24"/>
              </w:rPr>
            </w:pPr>
            <w:r>
              <w:rPr>
                <w:color w:val="auto"/>
                <w:sz w:val="24"/>
              </w:rPr>
              <w:t xml:space="preserve">Compiled </w:t>
            </w:r>
            <w:r w:rsidRPr="00165C56">
              <w:rPr>
                <w:color w:val="auto"/>
                <w:sz w:val="24"/>
              </w:rPr>
              <w:t>AASB Standard</w:t>
            </w:r>
          </w:p>
        </w:tc>
        <w:tc>
          <w:tcPr>
            <w:tcW w:w="4509" w:type="dxa"/>
          </w:tcPr>
          <w:p w14:paraId="05DE574D" w14:textId="77777777" w:rsidR="00B92637" w:rsidRPr="00165C56" w:rsidRDefault="00B92637" w:rsidP="00B92637">
            <w:pPr>
              <w:pStyle w:val="AASBStandardCover"/>
              <w:jc w:val="right"/>
              <w:rPr>
                <w:color w:val="auto"/>
                <w:sz w:val="24"/>
              </w:rPr>
            </w:pPr>
            <w:r w:rsidRPr="00165C56">
              <w:rPr>
                <w:color w:val="auto"/>
                <w:sz w:val="24"/>
              </w:rPr>
              <w:t xml:space="preserve">AASB </w:t>
            </w:r>
            <w:r>
              <w:rPr>
                <w:color w:val="auto"/>
                <w:sz w:val="24"/>
              </w:rPr>
              <w:t>16</w:t>
            </w:r>
          </w:p>
        </w:tc>
      </w:tr>
    </w:tbl>
    <w:bookmarkStart w:id="0" w:name="DocTitle" w:displacedByCustomXml="next"/>
    <w:sdt>
      <w:sdtPr>
        <w:rPr>
          <w:rFonts w:ascii="HelveticaNeueLT Std" w:hAnsi="HelveticaNeueLT Std"/>
          <w:b w:val="0"/>
          <w:szCs w:val="24"/>
        </w:rPr>
        <w:id w:val="473644554"/>
        <w:lock w:val="contentLocked"/>
        <w:placeholder>
          <w:docPart w:val="DefaultPlaceholder_1081868574"/>
        </w:placeholder>
        <w:group/>
      </w:sdtPr>
      <w:sdtEndPr/>
      <w:sdtContent>
        <w:p w14:paraId="3412C49E" w14:textId="18D45254" w:rsidR="00E27198" w:rsidRPr="00B92637" w:rsidRDefault="00E27198" w:rsidP="00B92637">
          <w:pPr>
            <w:pStyle w:val="CoverTitle"/>
            <w:pBdr>
              <w:bottom w:val="single" w:sz="4" w:space="1" w:color="auto"/>
            </w:pBdr>
            <w:spacing w:before="800" w:line="240" w:lineRule="auto"/>
            <w:rPr>
              <w:rFonts w:ascii="HelveticaNeueLT Std" w:hAnsi="HelveticaNeueLT Std"/>
              <w:b w:val="0"/>
              <w:szCs w:val="24"/>
            </w:rPr>
          </w:pPr>
          <w:r w:rsidRPr="00B92637">
            <w:rPr>
              <w:rFonts w:ascii="HelveticaNeueLT Std" w:hAnsi="HelveticaNeueLT Std"/>
              <w:b w:val="0"/>
              <w:szCs w:val="24"/>
            </w:rPr>
            <w:t>Leases</w:t>
          </w:r>
        </w:p>
        <w:bookmarkEnd w:id="0" w:displacedByCustomXml="next"/>
      </w:sdtContent>
    </w:sdt>
    <w:p w14:paraId="4F0DB684" w14:textId="77777777" w:rsidR="00B92637" w:rsidRDefault="00B92637" w:rsidP="00DF0433">
      <w:pPr>
        <w:pStyle w:val="AASBBase"/>
      </w:pPr>
    </w:p>
    <w:p w14:paraId="5C1FCCFA" w14:textId="28BCC9B6" w:rsidR="00B92637" w:rsidRPr="0059152C" w:rsidRDefault="00B92637" w:rsidP="00B92637">
      <w:pPr>
        <w:pStyle w:val="AASBNormal"/>
      </w:pPr>
      <w:r w:rsidRPr="00485BA8">
        <w:t xml:space="preserve">This </w:t>
      </w:r>
      <w:r w:rsidR="00871D02" w:rsidRPr="00485BA8">
        <w:t xml:space="preserve">compiled </w:t>
      </w:r>
      <w:r w:rsidRPr="0059152C">
        <w:t xml:space="preserve">Standard applies to annual periods </w:t>
      </w:r>
      <w:bookmarkStart w:id="1" w:name="ApplyTextCompile"/>
      <w:r w:rsidRPr="0059152C">
        <w:t>beginning</w:t>
      </w:r>
      <w:bookmarkEnd w:id="1"/>
      <w:r w:rsidRPr="0059152C">
        <w:t xml:space="preserve"> on or after </w:t>
      </w:r>
      <w:bookmarkStart w:id="2" w:name="ApplyDateCompile"/>
      <w:r w:rsidR="0059152C" w:rsidRPr="0059152C">
        <w:t xml:space="preserve">1 </w:t>
      </w:r>
      <w:r w:rsidR="0091547E">
        <w:t xml:space="preserve">April </w:t>
      </w:r>
      <w:r w:rsidR="00EB30CA">
        <w:t xml:space="preserve">2021 </w:t>
      </w:r>
      <w:r w:rsidR="00B14EFE">
        <w:t xml:space="preserve">but before 1 </w:t>
      </w:r>
      <w:r w:rsidR="0059152C" w:rsidRPr="0059152C">
        <w:t>J</w:t>
      </w:r>
      <w:r w:rsidR="00B14EFE">
        <w:t>ul</w:t>
      </w:r>
      <w:r w:rsidR="0059152C" w:rsidRPr="0059152C">
        <w:t>y 20</w:t>
      </w:r>
      <w:r w:rsidR="00880D12">
        <w:t>2</w:t>
      </w:r>
      <w:r w:rsidR="00B14EFE">
        <w:t>1</w:t>
      </w:r>
      <w:bookmarkEnd w:id="2"/>
      <w:r w:rsidR="00F828B0">
        <w:t>.</w:t>
      </w:r>
      <w:r w:rsidRPr="0059152C">
        <w:t xml:space="preserve"> </w:t>
      </w:r>
      <w:r w:rsidR="0096534E">
        <w:t>Earlier application is permitted</w:t>
      </w:r>
      <w:r w:rsidR="00D21034">
        <w:t xml:space="preserve"> for annual periods beginning before 1 </w:t>
      </w:r>
      <w:r w:rsidR="00844FB5">
        <w:t xml:space="preserve">April </w:t>
      </w:r>
      <w:r w:rsidR="00D21034">
        <w:t>2021</w:t>
      </w:r>
      <w:r w:rsidR="0096534E">
        <w:t>.</w:t>
      </w:r>
      <w:r w:rsidRPr="0059152C">
        <w:t xml:space="preserve"> It incorporates relevant amendments made up to and including </w:t>
      </w:r>
      <w:r w:rsidRPr="0059152C">
        <w:fldChar w:fldCharType="begin"/>
      </w:r>
      <w:r w:rsidRPr="0059152C">
        <w:instrText xml:space="preserve"> REF CompileDate \* charformat  \* MERGEFORMAT </w:instrText>
      </w:r>
      <w:r w:rsidRPr="0059152C">
        <w:fldChar w:fldCharType="separate"/>
      </w:r>
      <w:r w:rsidR="00045471">
        <w:t>21 April 2021</w:t>
      </w:r>
      <w:r w:rsidRPr="0059152C">
        <w:fldChar w:fldCharType="end"/>
      </w:r>
      <w:r w:rsidR="0041375C">
        <w:t>.</w:t>
      </w:r>
    </w:p>
    <w:p w14:paraId="4B0789A8" w14:textId="299B3941" w:rsidR="00B92637" w:rsidRPr="0059152C" w:rsidRDefault="00B92637" w:rsidP="00B92637">
      <w:pPr>
        <w:pStyle w:val="AASBNormal"/>
      </w:pPr>
      <w:r w:rsidRPr="0059152C">
        <w:t xml:space="preserve">Prepared on </w:t>
      </w:r>
      <w:r w:rsidRPr="0059152C">
        <w:fldChar w:fldCharType="begin"/>
      </w:r>
      <w:r w:rsidRPr="0059152C">
        <w:instrText xml:space="preserve"> REF PrepDate \* charformat  \* MERGEFORMAT </w:instrText>
      </w:r>
      <w:r w:rsidRPr="0059152C">
        <w:fldChar w:fldCharType="separate"/>
      </w:r>
      <w:r w:rsidR="00045471">
        <w:t>6 May 2021</w:t>
      </w:r>
      <w:r w:rsidRPr="0059152C">
        <w:fldChar w:fldCharType="end"/>
      </w:r>
      <w:r w:rsidRPr="0059152C">
        <w:t xml:space="preserve"> by the staff of the Australian Accounting Standards Board.</w:t>
      </w:r>
    </w:p>
    <w:p w14:paraId="36C8C59F" w14:textId="69F116EF" w:rsidR="00E62B6B" w:rsidRDefault="00D470A2" w:rsidP="00E62B6B">
      <w:pPr>
        <w:pStyle w:val="AASBNormal"/>
      </w:pPr>
      <w:r>
        <w:t>Compilation no.</w:t>
      </w:r>
      <w:r w:rsidR="00F828B0">
        <w:t xml:space="preserve"> </w:t>
      </w:r>
      <w:r w:rsidR="0091547E">
        <w:t>5</w:t>
      </w:r>
    </w:p>
    <w:p w14:paraId="5524A88E" w14:textId="6046FF50" w:rsidR="00D470A2" w:rsidRDefault="00D470A2" w:rsidP="00E62B6B">
      <w:pPr>
        <w:pStyle w:val="AASBNormal"/>
      </w:pPr>
      <w:r>
        <w:t>Compilation date:</w:t>
      </w:r>
      <w:r w:rsidR="00D85BFA">
        <w:t xml:space="preserve">  </w:t>
      </w:r>
      <w:r w:rsidR="0091547E">
        <w:t>2</w:t>
      </w:r>
      <w:r w:rsidR="00EB30CA">
        <w:t xml:space="preserve">1 </w:t>
      </w:r>
      <w:r w:rsidR="0091547E">
        <w:t xml:space="preserve">April </w:t>
      </w:r>
      <w:r w:rsidR="00EB30CA">
        <w:t>202</w:t>
      </w:r>
      <w:r w:rsidR="0091547E">
        <w:t>1</w:t>
      </w:r>
    </w:p>
    <w:p w14:paraId="60503649" w14:textId="119D0002" w:rsidR="008F330E" w:rsidRDefault="00833B56" w:rsidP="008E146A">
      <w:pPr>
        <w:pStyle w:val="AASBNormal"/>
        <w:spacing w:after="0"/>
      </w:pPr>
      <w:r w:rsidRPr="0059152C">
        <w:rPr>
          <w:noProof/>
          <w:lang w:eastAsia="en-AU"/>
        </w:rPr>
        <w:drawing>
          <wp:anchor distT="0" distB="0" distL="114300" distR="114300" simplePos="0" relativeHeight="251662848" behindDoc="0" locked="1" layoutInCell="1" allowOverlap="1" wp14:anchorId="4F160380" wp14:editId="1A9116E0">
            <wp:simplePos x="0" y="0"/>
            <wp:positionH relativeFrom="margin">
              <wp:posOffset>0</wp:posOffset>
            </wp:positionH>
            <wp:positionV relativeFrom="page">
              <wp:posOffset>8893175</wp:posOffset>
            </wp:positionV>
            <wp:extent cx="1677600" cy="1332000"/>
            <wp:effectExtent l="0" t="0" r="0" b="1905"/>
            <wp:wrapNone/>
            <wp:docPr id="1" name="Picture 1"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F6837" w14:textId="77777777" w:rsidR="008F330E" w:rsidRDefault="008F330E" w:rsidP="008E146A">
      <w:pPr>
        <w:pStyle w:val="AASBNormal"/>
        <w:spacing w:after="0"/>
        <w:sectPr w:rsidR="008F330E" w:rsidSect="00CB1E99">
          <w:type w:val="continuous"/>
          <w:pgSz w:w="11907" w:h="16839"/>
          <w:pgMar w:top="1440" w:right="1440" w:bottom="1440" w:left="1440" w:header="720" w:footer="720" w:gutter="0"/>
          <w:cols w:space="708"/>
          <w:docGrid w:linePitch="360"/>
        </w:sectPr>
      </w:pPr>
    </w:p>
    <w:p w14:paraId="38017086" w14:textId="77777777" w:rsidR="00B92637" w:rsidRPr="00485BA8" w:rsidRDefault="00B92637" w:rsidP="00FE3AD5">
      <w:pPr>
        <w:pStyle w:val="IASBSectionTitle2NonInd"/>
      </w:pPr>
      <w:r w:rsidRPr="00485BA8">
        <w:lastRenderedPageBreak/>
        <w:t xml:space="preserve">Obtaining </w:t>
      </w:r>
      <w:r>
        <w:t>copies</w:t>
      </w:r>
      <w:r w:rsidRPr="00485BA8">
        <w:t xml:space="preserve"> of Accounting </w:t>
      </w:r>
      <w:r>
        <w:fldChar w:fldCharType="begin" w:fldLock="1"/>
      </w:r>
      <w:r>
        <w:instrText xml:space="preserve"> REF DocType </w:instrText>
      </w:r>
      <w:r>
        <w:fldChar w:fldCharType="separate"/>
      </w:r>
      <w:r w:rsidRPr="00485BA8">
        <w:t>Standard</w:t>
      </w:r>
      <w:r>
        <w:fldChar w:fldCharType="end"/>
      </w:r>
      <w:r w:rsidRPr="00485BA8">
        <w:t>s</w:t>
      </w:r>
    </w:p>
    <w:p w14:paraId="2A46A783" w14:textId="77777777" w:rsidR="00B92637" w:rsidRPr="008B3152" w:rsidRDefault="00B92637" w:rsidP="00AA30FD">
      <w:pPr>
        <w:pStyle w:val="NoNumPlain1"/>
        <w:spacing w:line="240" w:lineRule="auto"/>
        <w:jc w:val="both"/>
        <w:rPr>
          <w:sz w:val="19"/>
          <w:szCs w:val="19"/>
        </w:rPr>
      </w:pPr>
      <w:r w:rsidRPr="008B3152">
        <w:rPr>
          <w:sz w:val="19"/>
          <w:szCs w:val="19"/>
        </w:rPr>
        <w:t>Compiled versions of Standards, original Standards and amending Standards (see Compilation Details) are available on the AASB website: www.aasb.gov.au.</w:t>
      </w:r>
    </w:p>
    <w:p w14:paraId="72F65141" w14:textId="77777777" w:rsidR="008B3152" w:rsidRPr="00485BA8" w:rsidRDefault="008B3152" w:rsidP="00AA30FD">
      <w:r w:rsidRPr="00485BA8">
        <w:t>Australian Accounting Standards Board</w:t>
      </w:r>
    </w:p>
    <w:p w14:paraId="6E9827BE" w14:textId="77777777" w:rsidR="008B3152" w:rsidRPr="00485BA8" w:rsidRDefault="008B3152" w:rsidP="00AA30FD">
      <w:r w:rsidRPr="00485BA8">
        <w:t xml:space="preserve">PO Box 204 </w:t>
      </w:r>
    </w:p>
    <w:p w14:paraId="5E398B0C" w14:textId="77777777" w:rsidR="008B3152" w:rsidRPr="00485BA8" w:rsidRDefault="008B3152" w:rsidP="00AA30FD">
      <w:r w:rsidRPr="00485BA8">
        <w:t>Collins Street West</w:t>
      </w:r>
    </w:p>
    <w:p w14:paraId="60984245" w14:textId="77777777" w:rsidR="008B3152" w:rsidRPr="00485BA8" w:rsidRDefault="008B3152" w:rsidP="00AA30FD">
      <w:r w:rsidRPr="00485BA8">
        <w:t>Victoria   8007</w:t>
      </w:r>
    </w:p>
    <w:p w14:paraId="0563A8B8" w14:textId="4C333505" w:rsidR="00B92637" w:rsidRPr="001A645E" w:rsidRDefault="008B3152" w:rsidP="00FE3AD5">
      <w:pPr>
        <w:pStyle w:val="CoverContact"/>
        <w:spacing w:after="200" w:line="240" w:lineRule="auto"/>
        <w:rPr>
          <w:sz w:val="19"/>
          <w:szCs w:val="19"/>
        </w:rPr>
      </w:pPr>
      <w:r w:rsidRPr="001A645E">
        <w:rPr>
          <w:sz w:val="19"/>
          <w:szCs w:val="19"/>
        </w:rPr>
        <w:t>AUSTRALIA</w:t>
      </w:r>
    </w:p>
    <w:p w14:paraId="5B4C4CD2" w14:textId="77777777" w:rsidR="00B92637" w:rsidRPr="008B3152" w:rsidRDefault="00B92637" w:rsidP="00AA30FD">
      <w:pPr>
        <w:pStyle w:val="CoverContact"/>
        <w:spacing w:line="240" w:lineRule="auto"/>
        <w:rPr>
          <w:sz w:val="19"/>
          <w:szCs w:val="19"/>
        </w:rPr>
      </w:pPr>
      <w:r w:rsidRPr="008B3152">
        <w:rPr>
          <w:sz w:val="19"/>
          <w:szCs w:val="19"/>
        </w:rPr>
        <w:t>Phone:</w:t>
      </w:r>
      <w:r w:rsidRPr="008B3152">
        <w:rPr>
          <w:sz w:val="19"/>
          <w:szCs w:val="19"/>
        </w:rPr>
        <w:tab/>
        <w:t>(03) 9617 7600</w:t>
      </w:r>
    </w:p>
    <w:p w14:paraId="192BF40D" w14:textId="42280DD4" w:rsidR="00B92637" w:rsidRPr="008B3152" w:rsidRDefault="008B3152" w:rsidP="00AA30FD">
      <w:pPr>
        <w:pStyle w:val="CoverContact"/>
        <w:spacing w:line="240" w:lineRule="auto"/>
        <w:rPr>
          <w:sz w:val="19"/>
          <w:szCs w:val="19"/>
        </w:rPr>
      </w:pPr>
      <w:r>
        <w:rPr>
          <w:sz w:val="19"/>
          <w:szCs w:val="19"/>
        </w:rPr>
        <w:t>E-mail:</w:t>
      </w:r>
      <w:r>
        <w:rPr>
          <w:sz w:val="19"/>
          <w:szCs w:val="19"/>
        </w:rPr>
        <w:tab/>
        <w:t>standard</w:t>
      </w:r>
      <w:r w:rsidR="00B92637" w:rsidRPr="008B3152">
        <w:rPr>
          <w:sz w:val="19"/>
          <w:szCs w:val="19"/>
        </w:rPr>
        <w:t>@aasb.gov.au</w:t>
      </w:r>
    </w:p>
    <w:p w14:paraId="463E4F71" w14:textId="77777777" w:rsidR="00B92637" w:rsidRPr="008B3152" w:rsidRDefault="00B92637" w:rsidP="00FE3AD5">
      <w:pPr>
        <w:pStyle w:val="CoverContact"/>
        <w:spacing w:after="200" w:line="240" w:lineRule="auto"/>
        <w:rPr>
          <w:sz w:val="19"/>
          <w:szCs w:val="19"/>
        </w:rPr>
      </w:pPr>
      <w:r w:rsidRPr="008B3152">
        <w:rPr>
          <w:sz w:val="19"/>
          <w:szCs w:val="19"/>
        </w:rPr>
        <w:t>Website:</w:t>
      </w:r>
      <w:r w:rsidRPr="008B3152">
        <w:rPr>
          <w:sz w:val="19"/>
          <w:szCs w:val="19"/>
        </w:rPr>
        <w:tab/>
        <w:t>www.aasb.gov.au</w:t>
      </w:r>
    </w:p>
    <w:p w14:paraId="7BD26A43" w14:textId="77777777" w:rsidR="00B92637" w:rsidRPr="006465AB" w:rsidRDefault="00B92637" w:rsidP="00FE3AD5">
      <w:pPr>
        <w:pStyle w:val="IASBSectionTitle2NonInd"/>
      </w:pPr>
      <w:r w:rsidRPr="006465AB">
        <w:t>Other enquiries</w:t>
      </w:r>
    </w:p>
    <w:p w14:paraId="524374CA" w14:textId="77777777" w:rsidR="00B92637" w:rsidRPr="008B3152" w:rsidRDefault="00B92637" w:rsidP="008E146A">
      <w:pPr>
        <w:pStyle w:val="CoverContact"/>
        <w:spacing w:line="240" w:lineRule="auto"/>
        <w:rPr>
          <w:sz w:val="19"/>
          <w:szCs w:val="19"/>
        </w:rPr>
      </w:pPr>
      <w:r w:rsidRPr="008B3152">
        <w:rPr>
          <w:sz w:val="19"/>
          <w:szCs w:val="19"/>
        </w:rPr>
        <w:t>Phone:</w:t>
      </w:r>
      <w:r w:rsidRPr="008B3152">
        <w:rPr>
          <w:sz w:val="19"/>
          <w:szCs w:val="19"/>
        </w:rPr>
        <w:tab/>
        <w:t>(03) 9617 7600</w:t>
      </w:r>
    </w:p>
    <w:p w14:paraId="00E44B51" w14:textId="77777777" w:rsidR="00B92637" w:rsidRPr="008B3152" w:rsidRDefault="00B92637" w:rsidP="008E146A">
      <w:pPr>
        <w:pStyle w:val="CoverContact"/>
        <w:spacing w:line="240" w:lineRule="auto"/>
        <w:rPr>
          <w:sz w:val="19"/>
          <w:szCs w:val="19"/>
        </w:rPr>
      </w:pPr>
      <w:r w:rsidRPr="008B3152">
        <w:rPr>
          <w:sz w:val="19"/>
          <w:szCs w:val="19"/>
        </w:rPr>
        <w:t>E-mail:</w:t>
      </w:r>
      <w:r w:rsidRPr="008B3152">
        <w:rPr>
          <w:sz w:val="19"/>
          <w:szCs w:val="19"/>
        </w:rPr>
        <w:tab/>
        <w:t>standard@aasb.gov.au</w:t>
      </w:r>
    </w:p>
    <w:p w14:paraId="512A2569" w14:textId="77777777" w:rsidR="00E27198" w:rsidRDefault="00E27198" w:rsidP="00AA30FD">
      <w:pPr>
        <w:pStyle w:val="AASBPara"/>
        <w:spacing w:before="6200"/>
      </w:pPr>
      <w:r>
        <w:t>COPYRIGHT</w:t>
      </w:r>
    </w:p>
    <w:p w14:paraId="58EA15D2" w14:textId="6794F1D7" w:rsidR="00E27198" w:rsidRDefault="00E27198" w:rsidP="00DF0433">
      <w:pPr>
        <w:pStyle w:val="AASBPara"/>
      </w:pPr>
      <w:r>
        <w:t xml:space="preserve">© Commonwealth of Australia </w:t>
      </w:r>
      <w:bookmarkStart w:id="3" w:name="Year"/>
      <w:r>
        <w:t>20</w:t>
      </w:r>
      <w:r w:rsidR="00932EE4">
        <w:t>2</w:t>
      </w:r>
      <w:r w:rsidR="00EB30CA">
        <w:t>1</w:t>
      </w:r>
      <w:bookmarkEnd w:id="3"/>
    </w:p>
    <w:p w14:paraId="2753F514" w14:textId="77777777" w:rsidR="00B92637" w:rsidRPr="00485BA8" w:rsidRDefault="00B92637" w:rsidP="00B92637">
      <w:pPr>
        <w:pStyle w:val="AASBPara"/>
      </w:pPr>
      <w:r w:rsidRPr="00485BA8">
        <w:t xml:space="preserve">This compiled AASB </w:t>
      </w:r>
      <w:r>
        <w:fldChar w:fldCharType="begin" w:fldLock="1"/>
      </w:r>
      <w:r>
        <w:instrText xml:space="preserve"> REF DocType </w:instrText>
      </w:r>
      <w:r>
        <w:fldChar w:fldCharType="separate"/>
      </w:r>
      <w:r w:rsidRPr="00485BA8">
        <w:t>Standard</w:t>
      </w:r>
      <w:r>
        <w:fldChar w:fldCharType="end"/>
      </w:r>
      <w:r w:rsidRPr="00485BA8">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National Director, Australian Accounting Standards Board, PO Box 204, Collins Street West, Victoria 8007.</w:t>
      </w:r>
    </w:p>
    <w:p w14:paraId="5AEDC74C" w14:textId="77777777" w:rsidR="00E27198" w:rsidRDefault="00B92637" w:rsidP="00B92637">
      <w:pPr>
        <w:pStyle w:val="AASBBase"/>
      </w:pPr>
      <w:r w:rsidRPr="00485BA8">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r>
        <w:t>.</w:t>
      </w:r>
    </w:p>
    <w:p w14:paraId="619BD579" w14:textId="77777777" w:rsidR="008F330E" w:rsidRDefault="008F330E" w:rsidP="00B92637">
      <w:pPr>
        <w:pStyle w:val="AASBBase"/>
        <w:sectPr w:rsidR="008F330E" w:rsidSect="008F330E">
          <w:footerReference w:type="default" r:id="rId9"/>
          <w:pgSz w:w="11907" w:h="16839"/>
          <w:pgMar w:top="1440" w:right="1440" w:bottom="1440" w:left="1440" w:header="720" w:footer="720" w:gutter="0"/>
          <w:cols w:space="708"/>
          <w:docGrid w:linePitch="360"/>
        </w:sectPr>
      </w:pPr>
    </w:p>
    <w:p w14:paraId="6F038FF0" w14:textId="77777777" w:rsidR="00E27198" w:rsidRDefault="00E27198" w:rsidP="00DF0433">
      <w:pPr>
        <w:pStyle w:val="ConvSectionTitle"/>
      </w:pPr>
      <w:r>
        <w:lastRenderedPageBreak/>
        <w:t>Contents</w:t>
      </w:r>
    </w:p>
    <w:p w14:paraId="3BA5F362" w14:textId="77777777" w:rsidR="00E27198" w:rsidRDefault="00E27198" w:rsidP="001A645E">
      <w:pPr>
        <w:pStyle w:val="AASBPara"/>
        <w:spacing w:before="400"/>
      </w:pPr>
      <w:r>
        <w:t>COMPARISON WITH</w:t>
      </w:r>
      <w:r w:rsidR="00726C85">
        <w:t xml:space="preserve"> </w:t>
      </w:r>
      <w:bookmarkStart w:id="4" w:name="IntnlType"/>
      <w:r w:rsidR="00726C85">
        <w:t>IFRS</w:t>
      </w:r>
      <w:bookmarkStart w:id="5" w:name="IntnlSep"/>
      <w:bookmarkEnd w:id="4"/>
      <w:r>
        <w:t xml:space="preserve"> </w:t>
      </w:r>
      <w:bookmarkStart w:id="6" w:name="IntnlNo"/>
      <w:bookmarkEnd w:id="5"/>
      <w:r>
        <w:t>16</w:t>
      </w:r>
      <w:bookmarkEnd w:id="6"/>
    </w:p>
    <w:p w14:paraId="6876D1F0" w14:textId="77777777" w:rsidR="00E27198" w:rsidRPr="000C31B3" w:rsidRDefault="00E27198" w:rsidP="00DF0433">
      <w:pPr>
        <w:pStyle w:val="AASBBase"/>
        <w:rPr>
          <w:b/>
        </w:rPr>
      </w:pPr>
      <w:bookmarkStart w:id="7" w:name="TOCTopStandard"/>
      <w:r w:rsidRPr="000C31B3">
        <w:rPr>
          <w:b/>
        </w:rPr>
        <w:t>ACCOUNTING STANDARD</w:t>
      </w:r>
    </w:p>
    <w:p w14:paraId="3160CE23" w14:textId="77777777" w:rsidR="00E27198" w:rsidRPr="000C31B3" w:rsidRDefault="00E27198" w:rsidP="00DF0433">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Pr="00E27198">
        <w:rPr>
          <w:b/>
        </w:rPr>
        <w:t>16</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Pr="00E27198">
        <w:rPr>
          <w:b/>
          <w:i/>
        </w:rPr>
        <w:t>LEASES</w:t>
      </w:r>
      <w:r w:rsidRPr="000C31B3">
        <w:rPr>
          <w:b/>
          <w:i/>
        </w:rPr>
        <w:fldChar w:fldCharType="end"/>
      </w:r>
    </w:p>
    <w:bookmarkEnd w:id="7"/>
    <w:p w14:paraId="69D0E868" w14:textId="77777777" w:rsidR="00E27198" w:rsidRDefault="00E27198" w:rsidP="00DF0433">
      <w:pPr>
        <w:pStyle w:val="ContentsHeading"/>
      </w:pPr>
      <w:r>
        <w:t>from paragraph</w:t>
      </w:r>
    </w:p>
    <w:p w14:paraId="0E70D9DE" w14:textId="77777777" w:rsidR="001A73C1" w:rsidRDefault="001A73C1" w:rsidP="001A73C1">
      <w:pPr>
        <w:pStyle w:val="ContentsLevel1"/>
      </w:pPr>
      <w:bookmarkStart w:id="8" w:name="TOCRange"/>
      <w:bookmarkStart w:id="9" w:name="TOCBottomStandard"/>
      <w:r>
        <w:t>Objective</w:t>
      </w:r>
      <w:r>
        <w:tab/>
        <w:t>1</w:t>
      </w:r>
    </w:p>
    <w:p w14:paraId="1A62C556" w14:textId="77777777" w:rsidR="001A73C1" w:rsidRDefault="001A73C1" w:rsidP="001A73C1">
      <w:pPr>
        <w:pStyle w:val="ContentsLevel1"/>
      </w:pPr>
      <w:r>
        <w:t>Scope</w:t>
      </w:r>
      <w:r>
        <w:tab/>
        <w:t>3</w:t>
      </w:r>
    </w:p>
    <w:p w14:paraId="5A3923BF" w14:textId="77777777" w:rsidR="001A73C1" w:rsidRDefault="001A73C1" w:rsidP="001A73C1">
      <w:pPr>
        <w:pStyle w:val="ContentsLevel1"/>
      </w:pPr>
      <w:r>
        <w:t>Recognition exemptions</w:t>
      </w:r>
      <w:r>
        <w:tab/>
        <w:t>5</w:t>
      </w:r>
    </w:p>
    <w:p w14:paraId="5D1D365E" w14:textId="77777777" w:rsidR="001A73C1" w:rsidRDefault="001A73C1" w:rsidP="001A73C1">
      <w:pPr>
        <w:pStyle w:val="ContentsLevel1"/>
      </w:pPr>
      <w:r>
        <w:t>Identifying a lease</w:t>
      </w:r>
      <w:r>
        <w:tab/>
        <w:t>9</w:t>
      </w:r>
    </w:p>
    <w:p w14:paraId="44BBA823" w14:textId="77777777" w:rsidR="001A73C1" w:rsidRDefault="001A73C1" w:rsidP="001A73C1">
      <w:pPr>
        <w:pStyle w:val="ContentsLevel2"/>
      </w:pPr>
      <w:r>
        <w:t>Separating components of a contract</w:t>
      </w:r>
      <w:r>
        <w:tab/>
        <w:t>12</w:t>
      </w:r>
    </w:p>
    <w:p w14:paraId="6E2E2772" w14:textId="77777777" w:rsidR="001A73C1" w:rsidRDefault="001A73C1" w:rsidP="001A73C1">
      <w:pPr>
        <w:pStyle w:val="ContentsLevel3"/>
      </w:pPr>
      <w:r>
        <w:t>Lessee</w:t>
      </w:r>
      <w:r>
        <w:tab/>
        <w:t>13</w:t>
      </w:r>
    </w:p>
    <w:p w14:paraId="7BAC2D5B" w14:textId="77777777" w:rsidR="001A73C1" w:rsidRDefault="001A73C1" w:rsidP="001A73C1">
      <w:pPr>
        <w:pStyle w:val="ContentsLevel3"/>
      </w:pPr>
      <w:r>
        <w:t>Lessor</w:t>
      </w:r>
      <w:r>
        <w:tab/>
        <w:t>17</w:t>
      </w:r>
    </w:p>
    <w:p w14:paraId="17550076" w14:textId="77777777" w:rsidR="001A73C1" w:rsidRDefault="001A73C1" w:rsidP="001A73C1">
      <w:pPr>
        <w:pStyle w:val="ContentsLevel1"/>
      </w:pPr>
      <w:r>
        <w:t>Lease term</w:t>
      </w:r>
      <w:r>
        <w:tab/>
        <w:t>18</w:t>
      </w:r>
    </w:p>
    <w:p w14:paraId="32FF60D8" w14:textId="77777777" w:rsidR="001A73C1" w:rsidRDefault="001A73C1" w:rsidP="001A73C1">
      <w:pPr>
        <w:pStyle w:val="ContentsLevel1"/>
      </w:pPr>
      <w:r>
        <w:t>Lessee</w:t>
      </w:r>
    </w:p>
    <w:p w14:paraId="0A331E3B" w14:textId="77777777" w:rsidR="001A73C1" w:rsidRDefault="001A73C1" w:rsidP="001A73C1">
      <w:pPr>
        <w:pStyle w:val="ContentsLevel2"/>
      </w:pPr>
      <w:r>
        <w:t>Recognition</w:t>
      </w:r>
      <w:r>
        <w:tab/>
        <w:t>22</w:t>
      </w:r>
    </w:p>
    <w:p w14:paraId="661B7627" w14:textId="77777777" w:rsidR="001A73C1" w:rsidRDefault="001A73C1" w:rsidP="001A73C1">
      <w:pPr>
        <w:pStyle w:val="ContentsLevel2"/>
      </w:pPr>
      <w:r>
        <w:t>Measurement</w:t>
      </w:r>
    </w:p>
    <w:p w14:paraId="4690A343" w14:textId="77777777" w:rsidR="001A73C1" w:rsidRDefault="001A73C1" w:rsidP="001A73C1">
      <w:pPr>
        <w:pStyle w:val="ContentsLevel3"/>
      </w:pPr>
      <w:r>
        <w:t>Initial measurement</w:t>
      </w:r>
    </w:p>
    <w:p w14:paraId="35D42D2A" w14:textId="77777777" w:rsidR="001A73C1" w:rsidRDefault="001A73C1" w:rsidP="001A73C1">
      <w:pPr>
        <w:pStyle w:val="ContentsLevel4"/>
      </w:pPr>
      <w:r>
        <w:t>Initial measurement of the right-of-use asset</w:t>
      </w:r>
      <w:r>
        <w:tab/>
        <w:t>23</w:t>
      </w:r>
    </w:p>
    <w:p w14:paraId="27D56659" w14:textId="77777777" w:rsidR="001A73C1" w:rsidRDefault="001A73C1" w:rsidP="001A73C1">
      <w:pPr>
        <w:pStyle w:val="ContentsLevel4"/>
      </w:pPr>
      <w:r>
        <w:t>Initial measurement of the lease liability</w:t>
      </w:r>
      <w:r>
        <w:tab/>
        <w:t>26</w:t>
      </w:r>
    </w:p>
    <w:p w14:paraId="40C41FC0" w14:textId="77777777" w:rsidR="001A73C1" w:rsidRDefault="001A73C1" w:rsidP="001A73C1">
      <w:pPr>
        <w:pStyle w:val="ContentsLevel3"/>
      </w:pPr>
      <w:r>
        <w:t>Subsequent measurement</w:t>
      </w:r>
    </w:p>
    <w:p w14:paraId="3F02E42A" w14:textId="77777777" w:rsidR="001A73C1" w:rsidRDefault="001A73C1" w:rsidP="001A73C1">
      <w:pPr>
        <w:pStyle w:val="ContentsLevel4"/>
      </w:pPr>
      <w:r>
        <w:t>Subsequent measurement of the right-of-use asset</w:t>
      </w:r>
      <w:r>
        <w:tab/>
        <w:t>29</w:t>
      </w:r>
    </w:p>
    <w:p w14:paraId="6CF7E9CF" w14:textId="77777777" w:rsidR="001A73C1" w:rsidRDefault="001A73C1" w:rsidP="001A73C1">
      <w:pPr>
        <w:pStyle w:val="ContentsLevel4"/>
      </w:pPr>
      <w:r>
        <w:t>Subsequent measurement of the lease liability</w:t>
      </w:r>
      <w:r>
        <w:tab/>
        <w:t>36</w:t>
      </w:r>
    </w:p>
    <w:p w14:paraId="7DD1A022" w14:textId="77777777" w:rsidR="001A73C1" w:rsidRDefault="001A73C1" w:rsidP="001A73C1">
      <w:pPr>
        <w:pStyle w:val="ContentsLevel4"/>
      </w:pPr>
      <w:r>
        <w:t>Lease modifications</w:t>
      </w:r>
      <w:r>
        <w:tab/>
        <w:t>44</w:t>
      </w:r>
    </w:p>
    <w:p w14:paraId="6DF934F4" w14:textId="77777777" w:rsidR="001A73C1" w:rsidRDefault="001A73C1" w:rsidP="001A73C1">
      <w:pPr>
        <w:pStyle w:val="ContentsLevel2"/>
      </w:pPr>
      <w:r>
        <w:t>Presentation</w:t>
      </w:r>
      <w:r>
        <w:tab/>
        <w:t>47</w:t>
      </w:r>
    </w:p>
    <w:p w14:paraId="0C71778B" w14:textId="77777777" w:rsidR="001A73C1" w:rsidRDefault="001A73C1" w:rsidP="001A73C1">
      <w:pPr>
        <w:pStyle w:val="ContentsLevel2"/>
      </w:pPr>
      <w:r>
        <w:t>Disclosure</w:t>
      </w:r>
      <w:r>
        <w:tab/>
        <w:t>51</w:t>
      </w:r>
    </w:p>
    <w:p w14:paraId="7803CF8F" w14:textId="77777777" w:rsidR="001A73C1" w:rsidRDefault="001A73C1" w:rsidP="001A73C1">
      <w:pPr>
        <w:pStyle w:val="ContentsLevel1"/>
      </w:pPr>
      <w:r>
        <w:t>Lessor</w:t>
      </w:r>
    </w:p>
    <w:p w14:paraId="453E8667" w14:textId="77777777" w:rsidR="001A73C1" w:rsidRDefault="001A73C1" w:rsidP="001A73C1">
      <w:pPr>
        <w:pStyle w:val="ContentsLevel2"/>
      </w:pPr>
      <w:r>
        <w:t>Classification of leases</w:t>
      </w:r>
      <w:r>
        <w:tab/>
        <w:t>61</w:t>
      </w:r>
    </w:p>
    <w:p w14:paraId="0AB6F52A" w14:textId="77777777" w:rsidR="001A73C1" w:rsidRDefault="001A73C1" w:rsidP="001A73C1">
      <w:pPr>
        <w:pStyle w:val="ContentsLevel2"/>
      </w:pPr>
      <w:r>
        <w:t>Finance leases</w:t>
      </w:r>
    </w:p>
    <w:p w14:paraId="27E7F445" w14:textId="77777777" w:rsidR="001A73C1" w:rsidRDefault="001A73C1" w:rsidP="001A73C1">
      <w:pPr>
        <w:pStyle w:val="ContentsLevel3"/>
      </w:pPr>
      <w:r>
        <w:t>Recognition and measurement</w:t>
      </w:r>
      <w:r>
        <w:tab/>
        <w:t>67</w:t>
      </w:r>
    </w:p>
    <w:p w14:paraId="0892D4C2" w14:textId="77777777" w:rsidR="001A73C1" w:rsidRDefault="001A73C1" w:rsidP="001A73C1">
      <w:pPr>
        <w:pStyle w:val="ContentsLevel4"/>
      </w:pPr>
      <w:r>
        <w:t>Initial measurement</w:t>
      </w:r>
      <w:r>
        <w:tab/>
        <w:t>68</w:t>
      </w:r>
    </w:p>
    <w:p w14:paraId="03F8DA37" w14:textId="77777777" w:rsidR="001A73C1" w:rsidRDefault="001A73C1" w:rsidP="001A73C1">
      <w:pPr>
        <w:pStyle w:val="ContentsLevel4"/>
      </w:pPr>
      <w:r>
        <w:t>Subsequent measurement</w:t>
      </w:r>
      <w:r>
        <w:tab/>
        <w:t>75</w:t>
      </w:r>
    </w:p>
    <w:p w14:paraId="7CD82B3F" w14:textId="77777777" w:rsidR="001A73C1" w:rsidRDefault="001A73C1" w:rsidP="001A73C1">
      <w:pPr>
        <w:pStyle w:val="ContentsLevel2"/>
      </w:pPr>
      <w:r>
        <w:t>Operating leases</w:t>
      </w:r>
    </w:p>
    <w:p w14:paraId="0C0003BB" w14:textId="77777777" w:rsidR="001A73C1" w:rsidRDefault="001A73C1" w:rsidP="001A73C1">
      <w:pPr>
        <w:pStyle w:val="ContentsLevel3"/>
      </w:pPr>
      <w:r>
        <w:t>Recognition and measurement</w:t>
      </w:r>
      <w:r>
        <w:tab/>
        <w:t>81</w:t>
      </w:r>
    </w:p>
    <w:p w14:paraId="779BC983" w14:textId="77777777" w:rsidR="001A73C1" w:rsidRDefault="001A73C1" w:rsidP="001A73C1">
      <w:pPr>
        <w:pStyle w:val="ContentsLevel4"/>
      </w:pPr>
      <w:r>
        <w:t>Lease modifications</w:t>
      </w:r>
      <w:r>
        <w:tab/>
        <w:t>87</w:t>
      </w:r>
    </w:p>
    <w:p w14:paraId="2E8EA9B7" w14:textId="77777777" w:rsidR="001A73C1" w:rsidRDefault="001A73C1" w:rsidP="001A73C1">
      <w:pPr>
        <w:pStyle w:val="ContentsLevel3"/>
      </w:pPr>
      <w:r>
        <w:t>Presentation</w:t>
      </w:r>
      <w:r>
        <w:tab/>
        <w:t>88</w:t>
      </w:r>
    </w:p>
    <w:p w14:paraId="3211A686" w14:textId="77777777" w:rsidR="001A73C1" w:rsidRDefault="001A73C1" w:rsidP="001A73C1">
      <w:pPr>
        <w:pStyle w:val="ContentsLevel2"/>
      </w:pPr>
      <w:r>
        <w:t>Disclosure</w:t>
      </w:r>
      <w:r>
        <w:tab/>
        <w:t>89</w:t>
      </w:r>
    </w:p>
    <w:p w14:paraId="6A2E42BC" w14:textId="77777777" w:rsidR="001A73C1" w:rsidRDefault="001A73C1" w:rsidP="001A73C1">
      <w:pPr>
        <w:pStyle w:val="ContentsLevel3"/>
      </w:pPr>
      <w:r>
        <w:t>Finance leases</w:t>
      </w:r>
      <w:r>
        <w:tab/>
        <w:t>93</w:t>
      </w:r>
    </w:p>
    <w:p w14:paraId="0BC32142" w14:textId="77777777" w:rsidR="001A73C1" w:rsidRDefault="001A73C1" w:rsidP="001A73C1">
      <w:pPr>
        <w:pStyle w:val="ContentsLevel3"/>
      </w:pPr>
      <w:r>
        <w:t>Operating leases</w:t>
      </w:r>
      <w:r>
        <w:tab/>
        <w:t>95</w:t>
      </w:r>
    </w:p>
    <w:p w14:paraId="57DF9739" w14:textId="77777777" w:rsidR="001A73C1" w:rsidRDefault="001A73C1" w:rsidP="001A73C1">
      <w:pPr>
        <w:pStyle w:val="ContentsLevel1"/>
      </w:pPr>
      <w:r>
        <w:t>Sale and leaseback transactions</w:t>
      </w:r>
      <w:r>
        <w:tab/>
        <w:t>98</w:t>
      </w:r>
    </w:p>
    <w:p w14:paraId="37B95307" w14:textId="77777777" w:rsidR="001A73C1" w:rsidRDefault="001A73C1" w:rsidP="001A73C1">
      <w:pPr>
        <w:pStyle w:val="ContentsLevel2"/>
      </w:pPr>
      <w:r>
        <w:t>Assessing whether the transfer of the asset is a sale</w:t>
      </w:r>
      <w:r>
        <w:tab/>
        <w:t>99</w:t>
      </w:r>
    </w:p>
    <w:p w14:paraId="5BB30DE8" w14:textId="77777777" w:rsidR="001A73C1" w:rsidRDefault="001A73C1" w:rsidP="001A73C1">
      <w:pPr>
        <w:pStyle w:val="ContentsLevel3"/>
      </w:pPr>
      <w:r>
        <w:t>Transfer of the asset is a sale</w:t>
      </w:r>
      <w:r>
        <w:tab/>
        <w:t>100</w:t>
      </w:r>
    </w:p>
    <w:p w14:paraId="7F29595D" w14:textId="13BE0A89" w:rsidR="001A73C1" w:rsidRDefault="001A73C1" w:rsidP="001A73C1">
      <w:pPr>
        <w:pStyle w:val="ContentsLevel3"/>
      </w:pPr>
      <w:r>
        <w:t>Transfer of the asset is not a sale</w:t>
      </w:r>
      <w:r>
        <w:tab/>
        <w:t>103</w:t>
      </w:r>
    </w:p>
    <w:p w14:paraId="70564E0D" w14:textId="32CF23C8" w:rsidR="001A73C1" w:rsidRDefault="001A73C1" w:rsidP="001A73C1">
      <w:pPr>
        <w:pStyle w:val="ContentsLevel1"/>
      </w:pPr>
      <w:r>
        <w:t>Commencement of the legislative instrument</w:t>
      </w:r>
    </w:p>
    <w:p w14:paraId="5185A9B2" w14:textId="7F3D4F07" w:rsidR="00684D1E" w:rsidRDefault="00684D1E" w:rsidP="00684D1E">
      <w:pPr>
        <w:pStyle w:val="ContentsLevel1"/>
      </w:pPr>
      <w:r>
        <w:t>Temporary exception arising from interest rate benchmark reform</w:t>
      </w:r>
      <w:r>
        <w:tab/>
        <w:t>104</w:t>
      </w:r>
    </w:p>
    <w:p w14:paraId="39FD3FEF" w14:textId="77777777" w:rsidR="001A73C1" w:rsidRDefault="001A73C1" w:rsidP="00D21034">
      <w:pPr>
        <w:pStyle w:val="ContentsLevel1"/>
        <w:keepNext/>
      </w:pPr>
      <w:r>
        <w:lastRenderedPageBreak/>
        <w:t>Appendices</w:t>
      </w:r>
    </w:p>
    <w:p w14:paraId="438A8D5D" w14:textId="047B9083" w:rsidR="001A73C1" w:rsidRPr="00BF7F34" w:rsidRDefault="001A73C1" w:rsidP="00D21034">
      <w:pPr>
        <w:pStyle w:val="ContentsLevel1"/>
        <w:keepNext/>
        <w:rPr>
          <w:caps w:val="0"/>
        </w:rPr>
      </w:pPr>
      <w:r w:rsidRPr="00BF7F34">
        <w:rPr>
          <w:caps w:val="0"/>
        </w:rPr>
        <w:t xml:space="preserve">A </w:t>
      </w:r>
      <w:r w:rsidR="00AA30FD">
        <w:rPr>
          <w:caps w:val="0"/>
        </w:rPr>
        <w:t xml:space="preserve"> </w:t>
      </w:r>
      <w:r w:rsidRPr="00BF7F34">
        <w:rPr>
          <w:caps w:val="0"/>
        </w:rPr>
        <w:t xml:space="preserve">Defined </w:t>
      </w:r>
      <w:r>
        <w:rPr>
          <w:caps w:val="0"/>
        </w:rPr>
        <w:t>t</w:t>
      </w:r>
      <w:r w:rsidRPr="00BF7F34">
        <w:rPr>
          <w:caps w:val="0"/>
        </w:rPr>
        <w:t>erms</w:t>
      </w:r>
    </w:p>
    <w:p w14:paraId="355E04F3" w14:textId="136395C9" w:rsidR="001A73C1" w:rsidRPr="00BF7F34" w:rsidRDefault="001A73C1" w:rsidP="001A73C1">
      <w:pPr>
        <w:pStyle w:val="ContentsLevel1"/>
        <w:rPr>
          <w:caps w:val="0"/>
        </w:rPr>
      </w:pPr>
      <w:r w:rsidRPr="00BF7F34">
        <w:rPr>
          <w:caps w:val="0"/>
        </w:rPr>
        <w:t xml:space="preserve">B </w:t>
      </w:r>
      <w:r w:rsidR="00AA30FD">
        <w:rPr>
          <w:caps w:val="0"/>
        </w:rPr>
        <w:t xml:space="preserve"> </w:t>
      </w:r>
      <w:r w:rsidRPr="00BF7F34">
        <w:rPr>
          <w:caps w:val="0"/>
        </w:rPr>
        <w:t>Application guidance</w:t>
      </w:r>
    </w:p>
    <w:p w14:paraId="72F0A1C9" w14:textId="6E75E93A" w:rsidR="001A73C1" w:rsidRPr="00BF7F34" w:rsidRDefault="001A73C1" w:rsidP="001A73C1">
      <w:pPr>
        <w:pStyle w:val="ContentsLevel1"/>
        <w:rPr>
          <w:caps w:val="0"/>
        </w:rPr>
      </w:pPr>
      <w:r w:rsidRPr="00BF7F34">
        <w:rPr>
          <w:caps w:val="0"/>
        </w:rPr>
        <w:t xml:space="preserve">C </w:t>
      </w:r>
      <w:r w:rsidR="00AA30FD">
        <w:rPr>
          <w:caps w:val="0"/>
        </w:rPr>
        <w:t xml:space="preserve"> </w:t>
      </w:r>
      <w:r w:rsidRPr="00BF7F34">
        <w:rPr>
          <w:caps w:val="0"/>
        </w:rPr>
        <w:t>Effective date and transition</w:t>
      </w:r>
    </w:p>
    <w:p w14:paraId="147B8F1D" w14:textId="3C815287" w:rsidR="001A73C1" w:rsidRDefault="001A73C1" w:rsidP="001A73C1">
      <w:pPr>
        <w:pStyle w:val="ContentsLevel1"/>
        <w:rPr>
          <w:caps w:val="0"/>
        </w:rPr>
      </w:pPr>
      <w:r w:rsidRPr="00BF7F34">
        <w:rPr>
          <w:caps w:val="0"/>
        </w:rPr>
        <w:t xml:space="preserve">D </w:t>
      </w:r>
      <w:r w:rsidR="00AA30FD">
        <w:rPr>
          <w:caps w:val="0"/>
        </w:rPr>
        <w:t xml:space="preserve"> </w:t>
      </w:r>
      <w:r w:rsidRPr="00BF7F34">
        <w:rPr>
          <w:caps w:val="0"/>
        </w:rPr>
        <w:t>Amendments to other Standards</w:t>
      </w:r>
    </w:p>
    <w:p w14:paraId="6405D8A9" w14:textId="4847D3A4" w:rsidR="003B440D" w:rsidRDefault="003B440D" w:rsidP="001A73C1">
      <w:pPr>
        <w:pStyle w:val="ContentsLevel1"/>
        <w:rPr>
          <w:caps w:val="0"/>
        </w:rPr>
      </w:pPr>
      <w:r>
        <w:rPr>
          <w:caps w:val="0"/>
        </w:rPr>
        <w:t xml:space="preserve">E </w:t>
      </w:r>
      <w:r w:rsidR="00AA30FD">
        <w:rPr>
          <w:caps w:val="0"/>
        </w:rPr>
        <w:t xml:space="preserve"> </w:t>
      </w:r>
      <w:r w:rsidRPr="003B440D">
        <w:rPr>
          <w:caps w:val="0"/>
        </w:rPr>
        <w:t>Australian reduced disclosure requirements</w:t>
      </w:r>
    </w:p>
    <w:p w14:paraId="632DFF02" w14:textId="77777777" w:rsidR="00B92637" w:rsidRPr="00BF7F34" w:rsidRDefault="00B92637" w:rsidP="001A73C1">
      <w:pPr>
        <w:pStyle w:val="ContentsLevel1"/>
        <w:rPr>
          <w:caps w:val="0"/>
        </w:rPr>
      </w:pPr>
      <w:r>
        <w:rPr>
          <w:caps w:val="0"/>
        </w:rPr>
        <w:t>COMPILATION DETAILS</w:t>
      </w:r>
    </w:p>
    <w:p w14:paraId="769CE7C2" w14:textId="77777777" w:rsidR="001A73C1" w:rsidRDefault="001A73C1" w:rsidP="001A73C1">
      <w:pPr>
        <w:pStyle w:val="ContentsLevel1"/>
      </w:pPr>
      <w:r>
        <w:t>Deleted IFRS 16 text</w:t>
      </w:r>
    </w:p>
    <w:p w14:paraId="7C73FD3A" w14:textId="77777777" w:rsidR="00951297" w:rsidRDefault="00951297" w:rsidP="001A73C1">
      <w:pPr>
        <w:pStyle w:val="ContentsLevel1"/>
      </w:pPr>
    </w:p>
    <w:p w14:paraId="6EBA1F13" w14:textId="42929AA0" w:rsidR="00A53B06" w:rsidRDefault="00A53B06" w:rsidP="00A53B06">
      <w:pPr>
        <w:pStyle w:val="ContentsLevel1"/>
      </w:pPr>
      <w:r>
        <w:t>basis for conclusions on AASB 2018-8</w:t>
      </w:r>
    </w:p>
    <w:p w14:paraId="7F4755F9" w14:textId="77777777" w:rsidR="00A53B06" w:rsidRDefault="00A53B06" w:rsidP="00A53B06">
      <w:pPr>
        <w:pStyle w:val="ContentsLevel1"/>
      </w:pPr>
      <w:r>
        <w:t>basis for conclusions on AASB 2019-8</w:t>
      </w:r>
    </w:p>
    <w:p w14:paraId="6FF10120" w14:textId="77777777" w:rsidR="003A7737" w:rsidRDefault="003A7737" w:rsidP="001A73C1">
      <w:pPr>
        <w:pStyle w:val="ContentsLevel1"/>
      </w:pPr>
    </w:p>
    <w:p w14:paraId="0BC51C3E" w14:textId="77777777" w:rsidR="003A7737" w:rsidRDefault="003A7737" w:rsidP="001A73C1">
      <w:pPr>
        <w:pStyle w:val="ContentsLevel1"/>
      </w:pPr>
    </w:p>
    <w:p w14:paraId="445E9518" w14:textId="77777777" w:rsidR="00951297" w:rsidRDefault="00951297" w:rsidP="001A73C1">
      <w:pPr>
        <w:pStyle w:val="ContentsLevel1"/>
      </w:pPr>
      <w:r>
        <w:t>Available on the AASB website</w:t>
      </w:r>
    </w:p>
    <w:p w14:paraId="7B8A888A" w14:textId="0D6EC541" w:rsidR="00951297" w:rsidRDefault="00951297" w:rsidP="001A73C1">
      <w:pPr>
        <w:pStyle w:val="ContentsLevel1"/>
        <w:rPr>
          <w:rFonts w:ascii="Times New Roman Bold" w:hAnsi="Times New Roman Bold"/>
          <w:caps w:val="0"/>
        </w:rPr>
      </w:pPr>
      <w:r>
        <w:rPr>
          <w:rFonts w:ascii="Times New Roman Bold" w:hAnsi="Times New Roman Bold"/>
          <w:caps w:val="0"/>
        </w:rPr>
        <w:t>Illustrative examples</w:t>
      </w:r>
      <w:r w:rsidR="00D651A6">
        <w:rPr>
          <w:rFonts w:ascii="Times New Roman Bold" w:hAnsi="Times New Roman Bold"/>
          <w:caps w:val="0"/>
        </w:rPr>
        <w:t xml:space="preserve"> for IFRS 16</w:t>
      </w:r>
    </w:p>
    <w:p w14:paraId="0CA519A3" w14:textId="163034FA" w:rsidR="00951297" w:rsidRPr="00BF7F34" w:rsidRDefault="00951297" w:rsidP="001A73C1">
      <w:pPr>
        <w:pStyle w:val="ContentsLevel1"/>
        <w:rPr>
          <w:rFonts w:ascii="Times New Roman Bold" w:hAnsi="Times New Roman Bold"/>
          <w:caps w:val="0"/>
        </w:rPr>
      </w:pPr>
      <w:r>
        <w:rPr>
          <w:rFonts w:ascii="Times New Roman Bold" w:hAnsi="Times New Roman Bold"/>
          <w:caps w:val="0"/>
        </w:rPr>
        <w:t>Basis for Conclusions on IFRS</w:t>
      </w:r>
      <w:r w:rsidR="00D651A6">
        <w:rPr>
          <w:rFonts w:ascii="Times New Roman Bold" w:hAnsi="Times New Roman Bold"/>
          <w:caps w:val="0"/>
        </w:rPr>
        <w:t xml:space="preserve"> </w:t>
      </w:r>
      <w:r>
        <w:rPr>
          <w:rFonts w:ascii="Times New Roman Bold" w:hAnsi="Times New Roman Bold"/>
          <w:caps w:val="0"/>
        </w:rPr>
        <w:t>16</w:t>
      </w:r>
    </w:p>
    <w:bookmarkEnd w:id="8"/>
    <w:p w14:paraId="34D52D4D" w14:textId="77777777" w:rsidR="00E27198" w:rsidRDefault="00E27198" w:rsidP="00DF0433">
      <w:pPr>
        <w:pStyle w:val="ContentsLevel1"/>
      </w:pPr>
    </w:p>
    <w:p w14:paraId="7137A774" w14:textId="77777777" w:rsidR="00E27198" w:rsidRDefault="00E27198" w:rsidP="00DF0433">
      <w:pPr>
        <w:pStyle w:val="ContentsLevel1"/>
      </w:pPr>
    </w:p>
    <w:p w14:paraId="7F200E17" w14:textId="69222D24" w:rsidR="00E27198" w:rsidRDefault="00E27198" w:rsidP="00DF0433">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t>16</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Pr="00E27198">
        <w:rPr>
          <w:i/>
        </w:rPr>
        <w:t>Leases</w:t>
      </w:r>
      <w:r w:rsidRPr="00103CE9">
        <w:rPr>
          <w:i/>
        </w:rPr>
        <w:fldChar w:fldCharType="end"/>
      </w:r>
      <w:r>
        <w:t xml:space="preserve"> </w:t>
      </w:r>
      <w:r w:rsidR="00CB1E99">
        <w:t xml:space="preserve">(as amended) </w:t>
      </w:r>
      <w:r>
        <w:t xml:space="preserve">is set out in paragraphs </w:t>
      </w:r>
      <w:r w:rsidR="00951297">
        <w:t xml:space="preserve">1 – </w:t>
      </w:r>
      <w:r w:rsidR="00EB30CA">
        <w:t xml:space="preserve">106 </w:t>
      </w:r>
      <w:r>
        <w:t xml:space="preserve">and Appendices </w:t>
      </w:r>
      <w:r w:rsidR="00951297">
        <w:t xml:space="preserve">A – </w:t>
      </w:r>
      <w:r w:rsidR="00F828B0">
        <w:t>E</w:t>
      </w:r>
      <w:r w:rsidR="00951297">
        <w:t xml:space="preserve">.  </w:t>
      </w:r>
      <w:r>
        <w:t xml:space="preserve">All the paragraphs have equal authority.  Paragraphs in </w:t>
      </w:r>
      <w:r w:rsidRPr="00103CE9">
        <w:rPr>
          <w:b/>
        </w:rPr>
        <w:t>bold type</w:t>
      </w:r>
      <w:r>
        <w:t xml:space="preserve"> state the main principles.  </w:t>
      </w:r>
      <w:r w:rsidRPr="00ED51CE">
        <w:t xml:space="preserve">Terms defined in Appendix A are in </w:t>
      </w:r>
      <w:r w:rsidRPr="00ED51CE">
        <w:rPr>
          <w:i/>
        </w:rPr>
        <w:t>italics</w:t>
      </w:r>
      <w:r w:rsidRPr="00ED51CE">
        <w:t xml:space="preserve"> the first time they appear in the Standard.</w:t>
      </w:r>
      <w:r>
        <w:t xml:space="preserve">  AASB </w:t>
      </w:r>
      <w:r>
        <w:fldChar w:fldCharType="begin" w:fldLock="1"/>
      </w:r>
      <w:r>
        <w:instrText xml:space="preserve"> REF DocNo \* charformat</w:instrText>
      </w:r>
      <w:r>
        <w:fldChar w:fldCharType="separate"/>
      </w:r>
      <w:r>
        <w:t>16</w:t>
      </w:r>
      <w:r>
        <w:fldChar w:fldCharType="end"/>
      </w:r>
      <w:r>
        <w:t xml:space="preserve"> </w:t>
      </w:r>
      <w:r w:rsidRPr="00103CE9">
        <w:t>is to be read in the context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707FF0">
        <w:t xml:space="preserve">, and AASB 1057 </w:t>
      </w:r>
      <w:r w:rsidR="00707FF0">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14:paraId="0BC9796D" w14:textId="77777777" w:rsidR="00E27198" w:rsidRDefault="00E27198" w:rsidP="00DF0433">
      <w:pPr>
        <w:pStyle w:val="AASBBase"/>
      </w:pPr>
    </w:p>
    <w:p w14:paraId="413B296A" w14:textId="77777777" w:rsidR="008F330E" w:rsidRDefault="008F330E" w:rsidP="00DF0433">
      <w:pPr>
        <w:pStyle w:val="AASBBase"/>
      </w:pPr>
    </w:p>
    <w:bookmarkEnd w:id="9"/>
    <w:p w14:paraId="30C40CB4" w14:textId="77777777" w:rsidR="008F330E" w:rsidRDefault="008F330E" w:rsidP="00DF0433">
      <w:pPr>
        <w:pStyle w:val="AASBBase"/>
        <w:sectPr w:rsidR="008F330E" w:rsidSect="008F330E">
          <w:footerReference w:type="default" r:id="rId10"/>
          <w:pgSz w:w="11907" w:h="16839"/>
          <w:pgMar w:top="1440" w:right="1440" w:bottom="1440" w:left="1440" w:header="720" w:footer="720" w:gutter="0"/>
          <w:cols w:space="708"/>
          <w:docGrid w:linePitch="360"/>
        </w:sectPr>
      </w:pPr>
    </w:p>
    <w:p w14:paraId="575ADB62" w14:textId="42620024" w:rsidR="00E27198" w:rsidRDefault="00E27198" w:rsidP="00DF0433">
      <w:pPr>
        <w:pStyle w:val="ConvSectionTitle"/>
      </w:pPr>
      <w:r>
        <w:lastRenderedPageBreak/>
        <w:t xml:space="preserve">Comparison with </w:t>
      </w:r>
      <w:r w:rsidR="00DF0433">
        <w:fldChar w:fldCharType="begin"/>
      </w:r>
      <w:r w:rsidR="00DF0433">
        <w:instrText xml:space="preserve"> REF \* charformat IntnlType </w:instrText>
      </w:r>
      <w:r w:rsidR="00DF0433">
        <w:fldChar w:fldCharType="separate"/>
      </w:r>
      <w:r w:rsidR="00045471">
        <w:t>IFRS</w:t>
      </w:r>
      <w:r w:rsidR="00DF0433">
        <w:fldChar w:fldCharType="end"/>
      </w:r>
      <w:r w:rsidR="003066F0">
        <w:fldChar w:fldCharType="begin"/>
      </w:r>
      <w:r w:rsidR="003066F0">
        <w:instrText xml:space="preserve"> REF \* charformat IntnlSep </w:instrText>
      </w:r>
      <w:r w:rsidR="003066F0">
        <w:fldChar w:fldCharType="separate"/>
      </w:r>
      <w:r w:rsidR="00045471">
        <w:t xml:space="preserve"> </w:t>
      </w:r>
      <w:r w:rsidR="003066F0">
        <w:fldChar w:fldCharType="end"/>
      </w:r>
      <w:r>
        <w:fldChar w:fldCharType="begin" w:fldLock="1"/>
      </w:r>
      <w:r>
        <w:instrText xml:space="preserve"> REF IntnlNo \* charformat</w:instrText>
      </w:r>
      <w:r>
        <w:fldChar w:fldCharType="separate"/>
      </w:r>
      <w:r>
        <w:t>16</w:t>
      </w:r>
      <w:r>
        <w:fldChar w:fldCharType="end"/>
      </w:r>
    </w:p>
    <w:p w14:paraId="539F2734" w14:textId="69DD1923" w:rsidR="00E27198" w:rsidRDefault="00E27198" w:rsidP="00DF0433">
      <w:pPr>
        <w:pStyle w:val="IASBNormal"/>
      </w:pPr>
      <w:r>
        <w:t xml:space="preserve">AASB </w:t>
      </w:r>
      <w:r>
        <w:fldChar w:fldCharType="begin" w:fldLock="1"/>
      </w:r>
      <w:r>
        <w:instrText xml:space="preserve"> REF DocNo \* charformat</w:instrText>
      </w:r>
      <w:r>
        <w:fldChar w:fldCharType="separate"/>
      </w:r>
      <w:r>
        <w:t>16</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Pr="00E27198">
        <w:rPr>
          <w:i/>
        </w:rPr>
        <w:t>Leases</w:t>
      </w:r>
      <w:r w:rsidRPr="00137A58">
        <w:rPr>
          <w:i/>
        </w:rPr>
        <w:fldChar w:fldCharType="end"/>
      </w:r>
      <w:r>
        <w:t xml:space="preserve"> </w:t>
      </w:r>
      <w:r w:rsidR="00FF6BA5">
        <w:t xml:space="preserve">as amended </w:t>
      </w:r>
      <w:r>
        <w:t xml:space="preserve">incorporates </w:t>
      </w:r>
      <w:r w:rsidR="003066F0">
        <w:fldChar w:fldCharType="begin"/>
      </w:r>
      <w:r w:rsidR="003066F0">
        <w:instrText xml:space="preserve"> REF \* charformat IntnlType </w:instrText>
      </w:r>
      <w:r w:rsidR="003066F0">
        <w:fldChar w:fldCharType="separate"/>
      </w:r>
      <w:r w:rsidR="00045471">
        <w:t>IFRS</w:t>
      </w:r>
      <w:r w:rsidR="003066F0">
        <w:fldChar w:fldCharType="end"/>
      </w:r>
      <w:r w:rsidR="003066F0">
        <w:fldChar w:fldCharType="begin"/>
      </w:r>
      <w:r w:rsidR="003066F0">
        <w:instrText xml:space="preserve"> REF \* charformat IntnlSep </w:instrText>
      </w:r>
      <w:r w:rsidR="003066F0">
        <w:fldChar w:fldCharType="separate"/>
      </w:r>
      <w:r w:rsidR="00045471">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w:t>
      </w:r>
      <w:bookmarkStart w:id="10" w:name="IntnlTitle"/>
      <w:r w:rsidRPr="00E27198">
        <w:rPr>
          <w:i/>
        </w:rPr>
        <w:t>Leases</w:t>
      </w:r>
      <w:bookmarkEnd w:id="10"/>
      <w:r>
        <w:t xml:space="preserve"> </w:t>
      </w:r>
      <w:r w:rsidR="00CB1E99">
        <w:t xml:space="preserve">as </w:t>
      </w:r>
      <w:r>
        <w:t xml:space="preserve">issued </w:t>
      </w:r>
      <w:r w:rsidR="00CB1E99">
        <w:t xml:space="preserve">and amended </w:t>
      </w:r>
      <w:r>
        <w:t>by the International Accounting Standards Board (IASB).  Australian</w:t>
      </w:r>
      <w:r>
        <w:noBreakHyphen/>
        <w:t xml:space="preserve">specific paragraphs (which are not included in </w:t>
      </w:r>
      <w:r w:rsidR="003066F0">
        <w:fldChar w:fldCharType="begin"/>
      </w:r>
      <w:r w:rsidR="003066F0">
        <w:instrText xml:space="preserve"> REF \* charformat IntnlType </w:instrText>
      </w:r>
      <w:r w:rsidR="003066F0">
        <w:fldChar w:fldCharType="separate"/>
      </w:r>
      <w:r w:rsidR="00045471">
        <w:t>IFRS</w:t>
      </w:r>
      <w:r w:rsidR="003066F0">
        <w:fldChar w:fldCharType="end"/>
      </w:r>
      <w:r w:rsidR="003066F0">
        <w:fldChar w:fldCharType="begin"/>
      </w:r>
      <w:r w:rsidR="003066F0">
        <w:instrText xml:space="preserve"> REF \* charformat IntnlSep </w:instrText>
      </w:r>
      <w:r w:rsidR="003066F0">
        <w:fldChar w:fldCharType="separate"/>
      </w:r>
      <w:r w:rsidR="00045471">
        <w:t xml:space="preserve"> </w:t>
      </w:r>
      <w:r w:rsidR="003066F0">
        <w:fldChar w:fldCharType="end"/>
      </w:r>
      <w:r>
        <w:fldChar w:fldCharType="begin" w:fldLock="1"/>
      </w:r>
      <w:r>
        <w:instrText xml:space="preserve"> REF IntnlNo \* charformat</w:instrText>
      </w:r>
      <w:r>
        <w:fldChar w:fldCharType="separate"/>
      </w:r>
      <w:r>
        <w:t>16</w:t>
      </w:r>
      <w:r>
        <w:fldChar w:fldCharType="end"/>
      </w:r>
      <w:r>
        <w:t>) are identified with the prefix “Aus”.  Paragraphs that apply only to not-for-profit entities begin by identifying their limited applicability.</w:t>
      </w:r>
    </w:p>
    <w:p w14:paraId="1BAFD640" w14:textId="77777777" w:rsidR="00E27198" w:rsidRDefault="00E27198" w:rsidP="00DF0433">
      <w:pPr>
        <w:pStyle w:val="ConvStandardTitle1"/>
      </w:pPr>
      <w:r w:rsidRPr="00AB5902">
        <w:t>Tier 1</w:t>
      </w:r>
    </w:p>
    <w:p w14:paraId="43BB1F5B" w14:textId="42E6D238" w:rsidR="00E27198" w:rsidRDefault="00E27198" w:rsidP="00DF0433">
      <w:pPr>
        <w:pStyle w:val="IASBNormal"/>
      </w:pPr>
      <w:r>
        <w:t xml:space="preserve">For-profit entities complying with AASB </w:t>
      </w:r>
      <w:r>
        <w:fldChar w:fldCharType="begin" w:fldLock="1"/>
      </w:r>
      <w:r>
        <w:instrText xml:space="preserve"> REF DocNo \* charformat</w:instrText>
      </w:r>
      <w:r>
        <w:fldChar w:fldCharType="separate"/>
      </w:r>
      <w:r>
        <w:t>16</w:t>
      </w:r>
      <w:r>
        <w:fldChar w:fldCharType="end"/>
      </w:r>
      <w:r>
        <w:t xml:space="preserve"> also comply with </w:t>
      </w:r>
      <w:r w:rsidR="003066F0">
        <w:fldChar w:fldCharType="begin"/>
      </w:r>
      <w:r w:rsidR="003066F0">
        <w:instrText xml:space="preserve"> REF \* charformat IntnlType </w:instrText>
      </w:r>
      <w:r w:rsidR="003066F0">
        <w:fldChar w:fldCharType="separate"/>
      </w:r>
      <w:r w:rsidR="00045471">
        <w:t>IFRS</w:t>
      </w:r>
      <w:r w:rsidR="003066F0">
        <w:fldChar w:fldCharType="end"/>
      </w:r>
      <w:r w:rsidR="003066F0">
        <w:fldChar w:fldCharType="begin"/>
      </w:r>
      <w:r w:rsidR="003066F0">
        <w:instrText xml:space="preserve"> REF \* charformat IntnlSep </w:instrText>
      </w:r>
      <w:r w:rsidR="003066F0">
        <w:fldChar w:fldCharType="separate"/>
      </w:r>
      <w:r w:rsidR="00045471">
        <w:t xml:space="preserve"> </w:t>
      </w:r>
      <w:r w:rsidR="003066F0">
        <w:fldChar w:fldCharType="end"/>
      </w:r>
      <w:r>
        <w:fldChar w:fldCharType="begin" w:fldLock="1"/>
      </w:r>
      <w:r>
        <w:instrText xml:space="preserve"> REF IntnlNo \* charformat</w:instrText>
      </w:r>
      <w:r>
        <w:fldChar w:fldCharType="separate"/>
      </w:r>
      <w:r>
        <w:t>16</w:t>
      </w:r>
      <w:r>
        <w:fldChar w:fldCharType="end"/>
      </w:r>
      <w:r>
        <w:t>.</w:t>
      </w:r>
    </w:p>
    <w:p w14:paraId="7CAEB22F" w14:textId="3ACF5870" w:rsidR="00E27198" w:rsidRDefault="00E27198" w:rsidP="00DF0433">
      <w:pPr>
        <w:pStyle w:val="IASBNormal"/>
      </w:pPr>
      <w:r>
        <w:t xml:space="preserve">Not-for-profit entities’ compliance with </w:t>
      </w:r>
      <w:r w:rsidR="003066F0">
        <w:fldChar w:fldCharType="begin"/>
      </w:r>
      <w:r w:rsidR="003066F0">
        <w:instrText xml:space="preserve"> REF \* charformat IntnlType </w:instrText>
      </w:r>
      <w:r w:rsidR="003066F0">
        <w:fldChar w:fldCharType="separate"/>
      </w:r>
      <w:r w:rsidR="00045471">
        <w:t>IFRS</w:t>
      </w:r>
      <w:r w:rsidR="003066F0">
        <w:fldChar w:fldCharType="end"/>
      </w:r>
      <w:r w:rsidR="003066F0">
        <w:fldChar w:fldCharType="begin"/>
      </w:r>
      <w:r w:rsidR="003066F0">
        <w:instrText xml:space="preserve"> REF \* charformat IntnlSep </w:instrText>
      </w:r>
      <w:r w:rsidR="003066F0">
        <w:fldChar w:fldCharType="separate"/>
      </w:r>
      <w:r w:rsidR="00045471">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will depend on whether any “Aus” paragraphs that specifically apply to not-for-profit entities provide additional guidance or contain applicable requirements that are inconsistent with </w:t>
      </w:r>
      <w:r w:rsidR="003066F0">
        <w:fldChar w:fldCharType="begin"/>
      </w:r>
      <w:r w:rsidR="003066F0">
        <w:instrText xml:space="preserve"> REF \* charformat IntnlType </w:instrText>
      </w:r>
      <w:r w:rsidR="003066F0">
        <w:fldChar w:fldCharType="separate"/>
      </w:r>
      <w:r w:rsidR="00045471">
        <w:t>IFRS</w:t>
      </w:r>
      <w:r w:rsidR="003066F0">
        <w:fldChar w:fldCharType="end"/>
      </w:r>
      <w:r w:rsidR="00794156">
        <w:t> </w:t>
      </w:r>
      <w:r>
        <w:fldChar w:fldCharType="begin" w:fldLock="1"/>
      </w:r>
      <w:r>
        <w:instrText xml:space="preserve"> REF IntnlNo \* charformat</w:instrText>
      </w:r>
      <w:r>
        <w:fldChar w:fldCharType="separate"/>
      </w:r>
      <w:r>
        <w:t>16</w:t>
      </w:r>
      <w:r>
        <w:fldChar w:fldCharType="end"/>
      </w:r>
      <w:r>
        <w:t>.</w:t>
      </w:r>
    </w:p>
    <w:p w14:paraId="4FE6DB9C" w14:textId="77777777" w:rsidR="00EE18FB" w:rsidRPr="0053630D" w:rsidRDefault="00EE18FB" w:rsidP="00EE18FB">
      <w:pPr>
        <w:pStyle w:val="ConvStandardTitle1"/>
      </w:pPr>
      <w:r w:rsidRPr="0053630D">
        <w:t>Tier 2</w:t>
      </w:r>
    </w:p>
    <w:p w14:paraId="6683CB3B" w14:textId="69189549" w:rsidR="00EE18FB" w:rsidRPr="0053630D" w:rsidRDefault="00EE18FB" w:rsidP="00EE18FB">
      <w:pPr>
        <w:pStyle w:val="IASBNormal"/>
      </w:pPr>
      <w:r w:rsidRPr="0053630D">
        <w:t>Entities preparing general purpose financial statements under Australian Accounting Standards – Reduced Disclosure Requirements (Tier 2) will not be in compliance with IFRS</w:t>
      </w:r>
      <w:r>
        <w:t xml:space="preserve"> Standard</w:t>
      </w:r>
      <w:r w:rsidRPr="0053630D">
        <w:t>s.</w:t>
      </w:r>
    </w:p>
    <w:p w14:paraId="54F6A3E4" w14:textId="77777777" w:rsidR="00E27198" w:rsidRPr="00F83914" w:rsidRDefault="00E27198" w:rsidP="00DF0433">
      <w:pPr>
        <w:pStyle w:val="IASBNormal"/>
      </w:pPr>
      <w:r w:rsidRPr="00AB5902">
        <w:t xml:space="preserve">AASB 1053 </w:t>
      </w:r>
      <w:r w:rsidRPr="00AB5902">
        <w:rPr>
          <w:i/>
        </w:rPr>
        <w:t>Application of Tiers of Australian Accounting Standards</w:t>
      </w:r>
      <w:r w:rsidRPr="00AB5902">
        <w:t xml:space="preserve"> explains the two tiers of reporting requirements.</w:t>
      </w:r>
    </w:p>
    <w:p w14:paraId="14FA548C" w14:textId="77777777" w:rsidR="00E27198" w:rsidRDefault="00E27198" w:rsidP="00DF0433">
      <w:pPr>
        <w:pStyle w:val="AASBBase"/>
      </w:pPr>
    </w:p>
    <w:p w14:paraId="7B063375" w14:textId="77777777" w:rsidR="007C6D63" w:rsidRDefault="007C6D63" w:rsidP="00DF0433">
      <w:pPr>
        <w:pStyle w:val="AASBBase"/>
        <w:sectPr w:rsidR="007C6D63" w:rsidSect="008F330E">
          <w:footerReference w:type="default" r:id="rId11"/>
          <w:pgSz w:w="11907" w:h="16839"/>
          <w:pgMar w:top="1440" w:right="1440" w:bottom="1440" w:left="1440" w:header="720" w:footer="720" w:gutter="0"/>
          <w:cols w:space="708"/>
          <w:docGrid w:linePitch="360"/>
        </w:sectPr>
      </w:pPr>
    </w:p>
    <w:p w14:paraId="6503277F" w14:textId="75C7D3CB" w:rsidR="00CB1E99" w:rsidRPr="00590D5C" w:rsidRDefault="00CB1E99" w:rsidP="00190601">
      <w:pPr>
        <w:pStyle w:val="Heading1"/>
        <w:pBdr>
          <w:top w:val="single" w:sz="4" w:space="1" w:color="auto"/>
          <w:left w:val="single" w:sz="4" w:space="4" w:color="auto"/>
          <w:bottom w:val="single" w:sz="4" w:space="5" w:color="auto"/>
          <w:right w:val="single" w:sz="4" w:space="4" w:color="auto"/>
        </w:pBdr>
        <w:spacing w:before="400" w:after="200"/>
        <w:rPr>
          <w:rFonts w:ascii="Arial" w:hAnsi="Arial" w:cs="Arial"/>
          <w:b/>
          <w:bCs/>
          <w:color w:val="auto"/>
          <w:sz w:val="26"/>
          <w:szCs w:val="26"/>
        </w:rPr>
      </w:pPr>
      <w:r w:rsidRPr="00590D5C">
        <w:rPr>
          <w:rFonts w:ascii="Arial" w:hAnsi="Arial" w:cs="Arial"/>
          <w:b/>
          <w:bCs/>
          <w:color w:val="auto"/>
          <w:sz w:val="26"/>
          <w:szCs w:val="26"/>
        </w:rPr>
        <w:lastRenderedPageBreak/>
        <w:t xml:space="preserve">Accounting Standard </w:t>
      </w:r>
      <w:r w:rsidRPr="00CB1E99">
        <w:rPr>
          <w:rFonts w:ascii="Arial" w:hAnsi="Arial" w:cs="Arial"/>
          <w:b/>
          <w:bCs/>
          <w:color w:val="auto"/>
          <w:sz w:val="26"/>
          <w:szCs w:val="26"/>
        </w:rPr>
        <w:t xml:space="preserve">AASB </w:t>
      </w:r>
      <w:r w:rsidRPr="00CB1E99">
        <w:rPr>
          <w:rFonts w:ascii="Arial" w:hAnsi="Arial" w:cs="Arial"/>
          <w:b/>
          <w:bCs/>
          <w:color w:val="auto"/>
          <w:sz w:val="26"/>
          <w:szCs w:val="26"/>
        </w:rPr>
        <w:fldChar w:fldCharType="begin" w:fldLock="1"/>
      </w:r>
      <w:r w:rsidRPr="00CB1E99">
        <w:rPr>
          <w:rFonts w:ascii="Arial" w:hAnsi="Arial" w:cs="Arial"/>
          <w:b/>
          <w:bCs/>
          <w:color w:val="auto"/>
          <w:sz w:val="26"/>
          <w:szCs w:val="26"/>
        </w:rPr>
        <w:instrText xml:space="preserve"> REF DocNo \* charformat</w:instrText>
      </w:r>
      <w:r>
        <w:rPr>
          <w:rFonts w:ascii="Arial" w:hAnsi="Arial" w:cs="Arial"/>
          <w:b/>
          <w:bCs/>
          <w:color w:val="auto"/>
          <w:sz w:val="26"/>
          <w:szCs w:val="26"/>
        </w:rPr>
        <w:instrText xml:space="preserve"> \* MERGEFORMAT </w:instrText>
      </w:r>
      <w:r w:rsidRPr="00CB1E99">
        <w:rPr>
          <w:rFonts w:ascii="Arial" w:hAnsi="Arial" w:cs="Arial"/>
          <w:b/>
          <w:bCs/>
          <w:color w:val="auto"/>
          <w:sz w:val="26"/>
          <w:szCs w:val="26"/>
        </w:rPr>
        <w:fldChar w:fldCharType="separate"/>
      </w:r>
      <w:r w:rsidRPr="00CB1E99">
        <w:rPr>
          <w:rFonts w:ascii="Arial" w:hAnsi="Arial" w:cs="Arial"/>
          <w:b/>
          <w:bCs/>
          <w:color w:val="auto"/>
          <w:sz w:val="26"/>
          <w:szCs w:val="26"/>
        </w:rPr>
        <w:t>16</w:t>
      </w:r>
      <w:r w:rsidRPr="00CB1E99">
        <w:rPr>
          <w:rFonts w:ascii="Arial" w:hAnsi="Arial" w:cs="Arial"/>
          <w:b/>
          <w:bCs/>
          <w:color w:val="auto"/>
          <w:sz w:val="26"/>
          <w:szCs w:val="26"/>
        </w:rPr>
        <w:fldChar w:fldCharType="end"/>
      </w:r>
    </w:p>
    <w:p w14:paraId="450F1166" w14:textId="67C60729" w:rsidR="00CB1E99" w:rsidRPr="00485BA8" w:rsidRDefault="00CB1E99" w:rsidP="00190601">
      <w:pPr>
        <w:pBdr>
          <w:top w:val="single" w:sz="4" w:space="1" w:color="auto"/>
          <w:left w:val="single" w:sz="4" w:space="4" w:color="auto"/>
          <w:bottom w:val="single" w:sz="4" w:space="5" w:color="auto"/>
          <w:right w:val="single" w:sz="4" w:space="4" w:color="auto"/>
        </w:pBdr>
        <w:spacing w:before="100" w:after="100"/>
        <w:jc w:val="both"/>
      </w:pPr>
      <w:r w:rsidRPr="00485BA8">
        <w:t xml:space="preserve">The Australian Accounting Standards Board made Accounting Standard </w:t>
      </w:r>
      <w:r>
        <w:t xml:space="preserve">AASB </w:t>
      </w:r>
      <w:r>
        <w:fldChar w:fldCharType="begin" w:fldLock="1"/>
      </w:r>
      <w:r>
        <w:instrText xml:space="preserve"> REF DocNo \* charformat</w:instrText>
      </w:r>
      <w:r w:rsidR="00F3215D">
        <w:instrText xml:space="preserve"> \* MERGEFORMAT </w:instrText>
      </w:r>
      <w:r>
        <w:fldChar w:fldCharType="separate"/>
      </w:r>
      <w:r>
        <w:t>16</w:t>
      </w:r>
      <w:r>
        <w:fldChar w:fldCharType="end"/>
      </w:r>
      <w:r>
        <w:t xml:space="preserve"> </w:t>
      </w:r>
      <w:r w:rsidRPr="00844AB3">
        <w:rPr>
          <w:i/>
        </w:rPr>
        <w:fldChar w:fldCharType="begin" w:fldLock="1"/>
      </w:r>
      <w:r w:rsidRPr="00844AB3">
        <w:rPr>
          <w:i/>
        </w:rPr>
        <w:instrText xml:space="preserve"> REF DocTitle \* charformat</w:instrText>
      </w:r>
      <w:r w:rsidR="00F3215D">
        <w:rPr>
          <w:i/>
        </w:rPr>
        <w:instrText xml:space="preserve"> \* MERGEFORMAT </w:instrText>
      </w:r>
      <w:r w:rsidRPr="00844AB3">
        <w:rPr>
          <w:i/>
        </w:rPr>
        <w:fldChar w:fldCharType="separate"/>
      </w:r>
      <w:r w:rsidRPr="00E27198">
        <w:rPr>
          <w:i/>
        </w:rPr>
        <w:t>Leases</w:t>
      </w:r>
      <w:r w:rsidRPr="00844AB3">
        <w:rPr>
          <w:i/>
        </w:rPr>
        <w:fldChar w:fldCharType="end"/>
      </w:r>
      <w:r>
        <w:t xml:space="preserve"> </w:t>
      </w:r>
      <w:r w:rsidRPr="00485BA8">
        <w:t xml:space="preserve">under section 334 of the </w:t>
      </w:r>
      <w:r w:rsidRPr="00485BA8">
        <w:rPr>
          <w:i/>
        </w:rPr>
        <w:t>Corporations Act 2001</w:t>
      </w:r>
      <w:r>
        <w:rPr>
          <w:i/>
        </w:rPr>
        <w:t xml:space="preserve"> </w:t>
      </w:r>
      <w:r w:rsidRPr="00485BA8">
        <w:rPr>
          <w:iCs/>
        </w:rPr>
        <w:t xml:space="preserve">on </w:t>
      </w:r>
      <w:r>
        <w:t>23 February 2016</w:t>
      </w:r>
      <w:r w:rsidRPr="00485BA8">
        <w:t>.</w:t>
      </w:r>
    </w:p>
    <w:p w14:paraId="25FAB6B7" w14:textId="30DFA80C" w:rsidR="00CB1E99" w:rsidRPr="00485BA8" w:rsidRDefault="00CB1E99" w:rsidP="00190601">
      <w:pPr>
        <w:pBdr>
          <w:top w:val="single" w:sz="4" w:space="1" w:color="auto"/>
          <w:left w:val="single" w:sz="4" w:space="4" w:color="auto"/>
          <w:bottom w:val="single" w:sz="4" w:space="5" w:color="auto"/>
          <w:right w:val="single" w:sz="4" w:space="4" w:color="auto"/>
        </w:pBdr>
        <w:spacing w:before="100" w:after="100"/>
        <w:jc w:val="both"/>
      </w:pPr>
      <w:r w:rsidRPr="00485BA8">
        <w:t xml:space="preserve">This compiled version of </w:t>
      </w:r>
      <w:r>
        <w:t xml:space="preserve">AASB </w:t>
      </w:r>
      <w:r>
        <w:fldChar w:fldCharType="begin" w:fldLock="1"/>
      </w:r>
      <w:r>
        <w:instrText xml:space="preserve"> REF DocNo \* charformat</w:instrText>
      </w:r>
      <w:r w:rsidR="00F3215D">
        <w:instrText xml:space="preserve"> \* MERGEFORMAT </w:instrText>
      </w:r>
      <w:r>
        <w:fldChar w:fldCharType="separate"/>
      </w:r>
      <w:r>
        <w:t>16</w:t>
      </w:r>
      <w:r>
        <w:fldChar w:fldCharType="end"/>
      </w:r>
      <w:r w:rsidRPr="00485BA8">
        <w:t xml:space="preserve"> </w:t>
      </w:r>
      <w:r w:rsidRPr="00485BA8">
        <w:rPr>
          <w:iCs/>
        </w:rPr>
        <w:t xml:space="preserve">applies to annual periods </w:t>
      </w:r>
      <w:r w:rsidRPr="00485BA8">
        <w:rPr>
          <w:iCs/>
        </w:rPr>
        <w:fldChar w:fldCharType="begin"/>
      </w:r>
      <w:r w:rsidRPr="00485BA8">
        <w:rPr>
          <w:iCs/>
        </w:rPr>
        <w:instrText xml:space="preserve"> REF  ApplyTextCompile  \* MERGEFORMAT </w:instrText>
      </w:r>
      <w:r w:rsidRPr="00485BA8">
        <w:rPr>
          <w:iCs/>
        </w:rPr>
        <w:fldChar w:fldCharType="separate"/>
      </w:r>
      <w:r w:rsidR="00045471" w:rsidRPr="0059152C">
        <w:t>beginning</w:t>
      </w:r>
      <w:r w:rsidRPr="00485BA8">
        <w:rPr>
          <w:iCs/>
        </w:rPr>
        <w:fldChar w:fldCharType="end"/>
      </w:r>
      <w:r w:rsidRPr="00485BA8">
        <w:rPr>
          <w:iCs/>
        </w:rPr>
        <w:t xml:space="preserve"> on or after </w:t>
      </w:r>
      <w:r w:rsidRPr="00485BA8">
        <w:rPr>
          <w:iCs/>
        </w:rPr>
        <w:fldChar w:fldCharType="begin"/>
      </w:r>
      <w:r w:rsidRPr="00485BA8">
        <w:rPr>
          <w:iCs/>
        </w:rPr>
        <w:instrText xml:space="preserve"> REF  ApplyDateCompile  \* MERGEFORMAT </w:instrText>
      </w:r>
      <w:r w:rsidRPr="00485BA8">
        <w:rPr>
          <w:iCs/>
        </w:rPr>
        <w:fldChar w:fldCharType="separate"/>
      </w:r>
      <w:r w:rsidR="00045471" w:rsidRPr="0059152C">
        <w:t xml:space="preserve">1 </w:t>
      </w:r>
      <w:r w:rsidR="00045471">
        <w:t xml:space="preserve">April 2021 but before 1 </w:t>
      </w:r>
      <w:r w:rsidR="00045471" w:rsidRPr="0059152C">
        <w:t>J</w:t>
      </w:r>
      <w:r w:rsidR="00045471">
        <w:t>ul</w:t>
      </w:r>
      <w:r w:rsidR="00045471" w:rsidRPr="0059152C">
        <w:t>y 20</w:t>
      </w:r>
      <w:r w:rsidR="00045471">
        <w:t>21</w:t>
      </w:r>
      <w:r w:rsidRPr="00485BA8">
        <w:rPr>
          <w:iCs/>
        </w:rPr>
        <w:fldChar w:fldCharType="end"/>
      </w:r>
      <w:r w:rsidRPr="00485BA8">
        <w:rPr>
          <w:iCs/>
        </w:rPr>
        <w:t xml:space="preserve">.  It incorporates relevant </w:t>
      </w:r>
      <w:r w:rsidRPr="00485BA8">
        <w:t xml:space="preserve">amendments contained in other AASB Standards made by the AASB up to and including </w:t>
      </w:r>
      <w:r>
        <w:fldChar w:fldCharType="begin"/>
      </w:r>
      <w:r>
        <w:instrText xml:space="preserve"> REF CompileDate \* charformat  \* MERGEFORMAT </w:instrText>
      </w:r>
      <w:r>
        <w:fldChar w:fldCharType="separate"/>
      </w:r>
      <w:r w:rsidR="00045471">
        <w:t>21 April 2021</w:t>
      </w:r>
      <w:r>
        <w:fldChar w:fldCharType="end"/>
      </w:r>
      <w:r w:rsidRPr="00485BA8">
        <w:t xml:space="preserve"> (see Compilation Details).</w:t>
      </w:r>
    </w:p>
    <w:p w14:paraId="7F088302" w14:textId="77777777" w:rsidR="00E27198" w:rsidRDefault="00E27198" w:rsidP="00DF0433">
      <w:pPr>
        <w:pStyle w:val="ConvStandardTitle1"/>
      </w:pPr>
      <w:r>
        <w:t xml:space="preserve">Accounting Standard AASB </w:t>
      </w:r>
      <w:r>
        <w:fldChar w:fldCharType="begin" w:fldLock="1"/>
      </w:r>
      <w:r>
        <w:instrText xml:space="preserve"> REF DocNo \* charformat</w:instrText>
      </w:r>
      <w:r>
        <w:fldChar w:fldCharType="separate"/>
      </w:r>
      <w:r>
        <w:t>16</w:t>
      </w:r>
      <w:r>
        <w:fldChar w:fldCharType="end"/>
      </w:r>
    </w:p>
    <w:p w14:paraId="0496E967" w14:textId="77777777" w:rsidR="00E27198" w:rsidRPr="00844AB3" w:rsidRDefault="00E27198" w:rsidP="00DF0433">
      <w:pPr>
        <w:pStyle w:val="ConvStandardTitle2"/>
      </w:pPr>
      <w:r>
        <w:fldChar w:fldCharType="begin" w:fldLock="1"/>
      </w:r>
      <w:r>
        <w:instrText xml:space="preserve"> REF DocTitle \* charformat</w:instrText>
      </w:r>
      <w:r>
        <w:fldChar w:fldCharType="separate"/>
      </w:r>
      <w:r>
        <w:t>Leases</w:t>
      </w:r>
      <w:r>
        <w:fldChar w:fldCharType="end"/>
      </w:r>
    </w:p>
    <w:p w14:paraId="2C84C9B2" w14:textId="77777777" w:rsidR="00FD4BA8" w:rsidRDefault="009A1D2F">
      <w:pPr>
        <w:pStyle w:val="IASBSectionTitle1NonInd"/>
      </w:pPr>
      <w:r>
        <w:t>Objective</w:t>
      </w:r>
    </w:p>
    <w:p w14:paraId="7D3A6AC2" w14:textId="77777777" w:rsidR="00FD4BA8" w:rsidRDefault="009A1D2F">
      <w:pPr>
        <w:pStyle w:val="IASBNormalnpara"/>
        <w:rPr>
          <w:b/>
        </w:rPr>
      </w:pPr>
      <w:r>
        <w:rPr>
          <w:b/>
        </w:rPr>
        <w:t>1</w:t>
      </w:r>
      <w:r>
        <w:rPr>
          <w:b/>
        </w:rPr>
        <w:tab/>
        <w:t xml:space="preserve">This Standard sets out the principles for the recognition, measurement, presentation and disclosure of </w:t>
      </w:r>
      <w:r>
        <w:rPr>
          <w:b/>
          <w:i/>
        </w:rPr>
        <w:t>leases</w:t>
      </w:r>
      <w:r>
        <w:rPr>
          <w:b/>
        </w:rPr>
        <w:t xml:space="preserve">. The objective is to ensure that </w:t>
      </w:r>
      <w:r>
        <w:rPr>
          <w:b/>
          <w:i/>
        </w:rPr>
        <w:t>lessees</w:t>
      </w:r>
      <w:r>
        <w:rPr>
          <w:b/>
        </w:rPr>
        <w:t xml:space="preserve"> and </w:t>
      </w:r>
      <w:r>
        <w:rPr>
          <w:b/>
          <w:i/>
        </w:rPr>
        <w:t>lessors</w:t>
      </w:r>
      <w:r>
        <w:rPr>
          <w:b/>
        </w:rPr>
        <w:t xml:space="preserve"> provide relevant information in a manner that faithfully represents those transactions. This information gives a basis for users of financial statements to assess the effect that leases have on the financial position, financial performance and cash flows of an entity.</w:t>
      </w:r>
    </w:p>
    <w:p w14:paraId="451E7E0D" w14:textId="77777777" w:rsidR="00FD4BA8" w:rsidRDefault="009A1D2F">
      <w:pPr>
        <w:pStyle w:val="IASBNormalnpara"/>
      </w:pPr>
      <w:r>
        <w:t>2</w:t>
      </w:r>
      <w:r>
        <w:tab/>
        <w:t xml:space="preserve">An entity shall consider the terms and conditions of </w:t>
      </w:r>
      <w:r>
        <w:rPr>
          <w:i/>
        </w:rPr>
        <w:t>contracts</w:t>
      </w:r>
      <w:r>
        <w:t xml:space="preserve"> and all relevant facts and circumstances when applying this Standard. An entity shall apply this Standard consistently to contracts with similar characteristics and in similar circumstances.</w:t>
      </w:r>
    </w:p>
    <w:p w14:paraId="3DD69004" w14:textId="77777777" w:rsidR="00FD4BA8" w:rsidRDefault="009A1D2F">
      <w:pPr>
        <w:pStyle w:val="IASBSectionTitle1NonInd"/>
      </w:pPr>
      <w:r>
        <w:t>Scope</w:t>
      </w:r>
    </w:p>
    <w:p w14:paraId="6B5FB461" w14:textId="77777777" w:rsidR="00FD4BA8" w:rsidRDefault="009A1D2F" w:rsidP="00A34B25">
      <w:pPr>
        <w:pStyle w:val="IASBNormalnpara"/>
      </w:pPr>
      <w:r>
        <w:t>3</w:t>
      </w:r>
      <w:r>
        <w:tab/>
        <w:t xml:space="preserve">An entity shall apply this Standard to all leases, including leases of </w:t>
      </w:r>
      <w:r>
        <w:rPr>
          <w:i/>
        </w:rPr>
        <w:t>right-of-use assets</w:t>
      </w:r>
      <w:r>
        <w:t xml:space="preserve"> in a </w:t>
      </w:r>
      <w:r>
        <w:rPr>
          <w:i/>
        </w:rPr>
        <w:t>sublease</w:t>
      </w:r>
      <w:r>
        <w:t>, except for:</w:t>
      </w:r>
    </w:p>
    <w:p w14:paraId="5197DFA7" w14:textId="77777777" w:rsidR="00FD4BA8" w:rsidRDefault="009A1D2F" w:rsidP="00A34B25">
      <w:pPr>
        <w:pStyle w:val="IASBNormalnparaL1"/>
      </w:pPr>
      <w:r>
        <w:t>(a)</w:t>
      </w:r>
      <w:r>
        <w:tab/>
        <w:t>leases to explore for or use minerals, oil, natural gas and similar non-regenerative resources;</w:t>
      </w:r>
    </w:p>
    <w:p w14:paraId="4A6BF198" w14:textId="77777777" w:rsidR="00FD4BA8" w:rsidRDefault="009A1D2F" w:rsidP="00A34B25">
      <w:pPr>
        <w:pStyle w:val="IASBNormalnparaL1"/>
      </w:pPr>
      <w:r>
        <w:t>(b)</w:t>
      </w:r>
      <w:r>
        <w:tab/>
        <w:t>leases of biological assets within the scope of</w:t>
      </w:r>
      <w:r w:rsidR="00E27198">
        <w:t xml:space="preserve"> AASB 141</w:t>
      </w:r>
      <w:r>
        <w:t xml:space="preserve"> </w:t>
      </w:r>
      <w:r>
        <w:rPr>
          <w:i/>
        </w:rPr>
        <w:t>Agriculture</w:t>
      </w:r>
      <w:r>
        <w:t xml:space="preserve"> held by a lessee;</w:t>
      </w:r>
    </w:p>
    <w:p w14:paraId="2A202B96" w14:textId="77777777" w:rsidR="00FD4BA8" w:rsidRDefault="009A1D2F">
      <w:pPr>
        <w:pStyle w:val="IASBNormalnparaL1"/>
      </w:pPr>
      <w:r>
        <w:t>(c)</w:t>
      </w:r>
      <w:r>
        <w:tab/>
        <w:t>service concession arrangements within the scope of</w:t>
      </w:r>
      <w:r w:rsidR="00E27198">
        <w:t xml:space="preserve"> Interpretation 12</w:t>
      </w:r>
      <w:r>
        <w:t xml:space="preserve"> </w:t>
      </w:r>
      <w:r>
        <w:rPr>
          <w:i/>
        </w:rPr>
        <w:t>Service Concession Arrangements</w:t>
      </w:r>
      <w:r>
        <w:t>;</w:t>
      </w:r>
    </w:p>
    <w:p w14:paraId="2F34EB64" w14:textId="77777777" w:rsidR="00FD4BA8" w:rsidRDefault="009A1D2F">
      <w:pPr>
        <w:pStyle w:val="IASBNormalnparaL1"/>
      </w:pPr>
      <w:r>
        <w:t>(d)</w:t>
      </w:r>
      <w:r>
        <w:tab/>
        <w:t>licences of intellectual property granted by a lessor within the scope of</w:t>
      </w:r>
      <w:r w:rsidR="00E27198">
        <w:t xml:space="preserve"> AASB 15</w:t>
      </w:r>
      <w:r>
        <w:t xml:space="preserve"> </w:t>
      </w:r>
      <w:r>
        <w:rPr>
          <w:i/>
        </w:rPr>
        <w:t>Revenue from Contracts with Customers</w:t>
      </w:r>
      <w:r>
        <w:t>; and</w:t>
      </w:r>
    </w:p>
    <w:p w14:paraId="1C372343" w14:textId="77777777" w:rsidR="00FD4BA8" w:rsidRDefault="009A1D2F">
      <w:pPr>
        <w:pStyle w:val="IASBNormalnparaL1"/>
      </w:pPr>
      <w:r>
        <w:t>(e)</w:t>
      </w:r>
      <w:r>
        <w:tab/>
        <w:t>rights held by a lessee under licensing agreements within the scope of</w:t>
      </w:r>
      <w:r w:rsidR="00E27198">
        <w:t xml:space="preserve"> AASB 138</w:t>
      </w:r>
      <w:r>
        <w:t xml:space="preserve"> </w:t>
      </w:r>
      <w:r>
        <w:rPr>
          <w:i/>
        </w:rPr>
        <w:t>Intangible Assets</w:t>
      </w:r>
      <w:r>
        <w:t xml:space="preserve"> for such items as motion picture films, video recordings, plays, manuscripts, patents and copyrights.</w:t>
      </w:r>
    </w:p>
    <w:p w14:paraId="2BCB68AA" w14:textId="04EFAEC6" w:rsidR="00156D8C" w:rsidRDefault="00156D8C" w:rsidP="00ED73DA">
      <w:pPr>
        <w:pStyle w:val="AusPlain"/>
      </w:pPr>
      <w:r w:rsidRPr="00ED73DA">
        <w:t>Aus3.1</w:t>
      </w:r>
      <w:r w:rsidRPr="00ED73DA">
        <w:tab/>
      </w:r>
      <w:r>
        <w:t xml:space="preserve">This Standard does not apply to service concession assets recognised in accordance with AASB 1059 </w:t>
      </w:r>
      <w:r w:rsidRPr="00156D8C">
        <w:rPr>
          <w:i/>
        </w:rPr>
        <w:t>Service Concession Arrangements: Grantors</w:t>
      </w:r>
      <w:r>
        <w:t>.</w:t>
      </w:r>
    </w:p>
    <w:p w14:paraId="4E347BD4" w14:textId="348875BD" w:rsidR="00E2098D" w:rsidRDefault="00E2098D" w:rsidP="00ED73DA">
      <w:pPr>
        <w:pStyle w:val="AusPlain"/>
      </w:pPr>
      <w:r w:rsidRPr="00ED73DA">
        <w:t>Aus3.1</w:t>
      </w:r>
      <w:r w:rsidRPr="00ED73DA">
        <w:tab/>
      </w:r>
      <w:r w:rsidRPr="00E2098D">
        <w:t>Notwithstanding paragraph 3, in respect of not-for-profit public sector licensors, this Standard also applies to licences that are in substance leases or contain leases, excluding licences of intellectual property. AASB 15 applies to licences of intellectual property.  AASB 15 also applies to licences of non-intellectual property that, in substance, are not leases or do not contain leases.</w:t>
      </w:r>
    </w:p>
    <w:p w14:paraId="0A508335" w14:textId="77777777" w:rsidR="00FD4BA8" w:rsidRDefault="009A1D2F">
      <w:pPr>
        <w:pStyle w:val="IASBNormalnpara"/>
      </w:pPr>
      <w:r>
        <w:t>4</w:t>
      </w:r>
      <w:r>
        <w:tab/>
        <w:t>A lessee may, but is not required to, apply this Standard to leases of intangible assets other than those described in paragraph 3(e).</w:t>
      </w:r>
    </w:p>
    <w:p w14:paraId="4DC62EC4" w14:textId="77777777" w:rsidR="00FD4BA8" w:rsidRDefault="009A1D2F">
      <w:pPr>
        <w:pStyle w:val="IASBSectionTitle1NonInd"/>
      </w:pPr>
      <w:r>
        <w:t>Recognition exemptions (paragraphs B3–B8)</w:t>
      </w:r>
    </w:p>
    <w:p w14:paraId="46FCFCFB" w14:textId="77777777" w:rsidR="00FD4BA8" w:rsidRDefault="009A1D2F">
      <w:pPr>
        <w:pStyle w:val="IASBNormalnpara"/>
      </w:pPr>
      <w:r>
        <w:t>5</w:t>
      </w:r>
      <w:r>
        <w:tab/>
        <w:t>A lessee may elect not to apply the requirements in paragraphs 22–49 to:</w:t>
      </w:r>
    </w:p>
    <w:p w14:paraId="7281F29C" w14:textId="77777777" w:rsidR="00FD4BA8" w:rsidRDefault="009A1D2F">
      <w:pPr>
        <w:pStyle w:val="IASBNormalnparaL1"/>
      </w:pPr>
      <w:r>
        <w:t>(a)</w:t>
      </w:r>
      <w:r>
        <w:tab/>
      </w:r>
      <w:r>
        <w:rPr>
          <w:i/>
        </w:rPr>
        <w:t>short-term leases</w:t>
      </w:r>
      <w:r>
        <w:t>; and</w:t>
      </w:r>
    </w:p>
    <w:p w14:paraId="7E454B2C" w14:textId="77777777" w:rsidR="00FD4BA8" w:rsidRDefault="009A1D2F">
      <w:pPr>
        <w:pStyle w:val="IASBNormalnparaL1"/>
      </w:pPr>
      <w:r>
        <w:t>(b)</w:t>
      </w:r>
      <w:r>
        <w:tab/>
        <w:t xml:space="preserve">leases for which the </w:t>
      </w:r>
      <w:r>
        <w:rPr>
          <w:i/>
        </w:rPr>
        <w:t>underlying asset</w:t>
      </w:r>
      <w:r>
        <w:t xml:space="preserve"> is of low value (as described in paragraphs B3–B8).</w:t>
      </w:r>
    </w:p>
    <w:p w14:paraId="4361C49B" w14:textId="77777777" w:rsidR="00FD4BA8" w:rsidRDefault="009A1D2F">
      <w:pPr>
        <w:pStyle w:val="IASBNormalnpara"/>
      </w:pPr>
      <w:r>
        <w:t>6</w:t>
      </w:r>
      <w:r>
        <w:tab/>
        <w:t xml:space="preserve">If a lessee elects not to apply the requirements in paragraphs 22–49 to either short-term leases or leases for which the underlying asset is of low value, the lessee shall recognise the </w:t>
      </w:r>
      <w:r>
        <w:rPr>
          <w:i/>
        </w:rPr>
        <w:t>lease payments</w:t>
      </w:r>
      <w:r>
        <w:t xml:space="preserve"> associated with those </w:t>
      </w:r>
      <w:r>
        <w:lastRenderedPageBreak/>
        <w:t xml:space="preserve">leases as an expense on either a straight-line basis over the </w:t>
      </w:r>
      <w:r>
        <w:rPr>
          <w:i/>
        </w:rPr>
        <w:t>lease term</w:t>
      </w:r>
      <w:r>
        <w:t xml:space="preserve"> or another systematic basis. The lessee shall apply another systematic basis if that basis is more representative of the pattern of the lessee’s benefit.</w:t>
      </w:r>
    </w:p>
    <w:p w14:paraId="18C03E43" w14:textId="77777777" w:rsidR="00FD4BA8" w:rsidRDefault="009A1D2F">
      <w:pPr>
        <w:pStyle w:val="IASBNormalnpara"/>
      </w:pPr>
      <w:r>
        <w:t>7</w:t>
      </w:r>
      <w:r>
        <w:tab/>
        <w:t>If a lessee accounts for short-term leases applying paragraph 6, the lessee shall consider the lease to be a new lease for the purposes of this Standard if:</w:t>
      </w:r>
    </w:p>
    <w:p w14:paraId="22213C8D" w14:textId="77777777" w:rsidR="00FD4BA8" w:rsidRDefault="009A1D2F">
      <w:pPr>
        <w:pStyle w:val="IASBNormalnparaL1"/>
      </w:pPr>
      <w:r>
        <w:t>(a)</w:t>
      </w:r>
      <w:r>
        <w:tab/>
        <w:t xml:space="preserve">there is a </w:t>
      </w:r>
      <w:r>
        <w:rPr>
          <w:i/>
        </w:rPr>
        <w:t>lease modification</w:t>
      </w:r>
      <w:r>
        <w:t>; or</w:t>
      </w:r>
    </w:p>
    <w:p w14:paraId="701CA724" w14:textId="77777777" w:rsidR="00FD4BA8" w:rsidRDefault="009A1D2F">
      <w:pPr>
        <w:pStyle w:val="IASBNormalnparaL1"/>
      </w:pPr>
      <w:r>
        <w:t>(b)</w:t>
      </w:r>
      <w:r>
        <w:tab/>
        <w:t>there is any change in the lease term (for example, the lessee exercises an option not previously included in its determination of the lease term).</w:t>
      </w:r>
    </w:p>
    <w:p w14:paraId="1644F994" w14:textId="77777777" w:rsidR="00FD4BA8" w:rsidRDefault="009A1D2F">
      <w:pPr>
        <w:pStyle w:val="IASBNormalnpara"/>
      </w:pPr>
      <w:r>
        <w:t>8</w:t>
      </w:r>
      <w:r>
        <w:tab/>
        <w:t>The election for short-term leases shall be made by class of underlying asset to which the right of use relates. A class of underlying asset is a grouping of underlying assets of a similar nature and use in an entity’s operations. The election for leases for which the underlying asset is of low value can be made on a lease-by-lease basis.</w:t>
      </w:r>
    </w:p>
    <w:p w14:paraId="6F277303" w14:textId="77777777" w:rsidR="00FD4BA8" w:rsidRDefault="009A1D2F">
      <w:pPr>
        <w:pStyle w:val="IASBSectionTitle1NonInd"/>
      </w:pPr>
      <w:r>
        <w:t>Identifying a lease (paragraphs B9–B33)</w:t>
      </w:r>
    </w:p>
    <w:p w14:paraId="57742888" w14:textId="77777777" w:rsidR="00FD4BA8" w:rsidRDefault="009A1D2F">
      <w:pPr>
        <w:pStyle w:val="IASBNormalnpara"/>
        <w:rPr>
          <w:b/>
        </w:rPr>
      </w:pPr>
      <w:r>
        <w:rPr>
          <w:b/>
        </w:rPr>
        <w:t>9</w:t>
      </w:r>
      <w:r>
        <w:rPr>
          <w:b/>
        </w:rPr>
        <w:tab/>
        <w:t>At inception of a contract, an entity shall assess whether the contract is, or contains, a lease. A contract is, or contains, a lease if the contract conveys the right to control the use of an identified asset for a period of time in exchange for consideration. Paragraphs B9–B31 set out guidance on the assessment of whether a contract is, or contains, a lease.</w:t>
      </w:r>
    </w:p>
    <w:p w14:paraId="1E43DFB8" w14:textId="77777777" w:rsidR="00FD4BA8" w:rsidRDefault="009A1D2F">
      <w:pPr>
        <w:pStyle w:val="IASBNormalnpara"/>
      </w:pPr>
      <w:r>
        <w:t>10</w:t>
      </w:r>
      <w:r>
        <w:tab/>
        <w:t>A period of time may be described in terms of the amount of use of an identified asset (for example, the number of production units that an item of equipment will be used to produce).</w:t>
      </w:r>
    </w:p>
    <w:p w14:paraId="2CEA686B" w14:textId="77777777" w:rsidR="00FD4BA8" w:rsidRDefault="009A1D2F">
      <w:pPr>
        <w:pStyle w:val="IASBNormalnpara"/>
      </w:pPr>
      <w:r>
        <w:t>11</w:t>
      </w:r>
      <w:r>
        <w:tab/>
        <w:t>An entity shall reassess whether a contract is, or contains, a lease only if the terms and conditions of the contract are changed.</w:t>
      </w:r>
    </w:p>
    <w:p w14:paraId="37B48ACB" w14:textId="77777777" w:rsidR="00FD4BA8" w:rsidRDefault="009A1D2F">
      <w:pPr>
        <w:pStyle w:val="IASBSectionTitle2Ind"/>
      </w:pPr>
      <w:r>
        <w:t>Separating components of a contract</w:t>
      </w:r>
    </w:p>
    <w:p w14:paraId="243D50E2" w14:textId="77777777" w:rsidR="00FD4BA8" w:rsidRDefault="009A1D2F">
      <w:pPr>
        <w:pStyle w:val="IASBNormalnpara"/>
      </w:pPr>
      <w:r>
        <w:t>12</w:t>
      </w:r>
      <w:r>
        <w:tab/>
        <w:t>For a contract that is, or contains, a lease, an entity shall account for each lease component within the contract as a lease separately from non-lease components of the contract, unless the entity applies the practical expedient in paragraph 15. Paragraphs B32–B33 set out guidance on separating components of a contract.</w:t>
      </w:r>
    </w:p>
    <w:p w14:paraId="5F54BE59" w14:textId="77777777" w:rsidR="00FD4BA8" w:rsidRDefault="009A1D2F">
      <w:pPr>
        <w:pStyle w:val="IASBSectionTitle3Ind"/>
      </w:pPr>
      <w:r>
        <w:t>Lessee</w:t>
      </w:r>
    </w:p>
    <w:p w14:paraId="51174AC7" w14:textId="77777777" w:rsidR="00FD4BA8" w:rsidRDefault="009A1D2F">
      <w:pPr>
        <w:pStyle w:val="IASBNormalnpara"/>
      </w:pPr>
      <w:r>
        <w:t>13</w:t>
      </w:r>
      <w:r>
        <w:tab/>
        <w:t>For a contract that contains a lease component and one or more additional lease or non-lease components, a lessee shall allocate the consideration in the contract to each lease component on the basis of the relative stand-alone price of the lease component and the aggregate stand-alone price of the non-lease components.</w:t>
      </w:r>
    </w:p>
    <w:p w14:paraId="059C8418" w14:textId="77777777" w:rsidR="00FD4BA8" w:rsidRDefault="009A1D2F">
      <w:pPr>
        <w:pStyle w:val="IASBNormalnpara"/>
      </w:pPr>
      <w:r>
        <w:t>14</w:t>
      </w:r>
      <w:r>
        <w:tab/>
        <w:t>The relative stand-alone price of lease and non-lease components shall be determined on the basis of the price the lessor, or a similar supplier, would charge an entity for that component, or a similar component, separately. If an observable stand-alone price is not readily available, the lessee shall estimate the stand-alone price, maximising the use of observable information.</w:t>
      </w:r>
    </w:p>
    <w:p w14:paraId="6084515A" w14:textId="77777777" w:rsidR="00FD4BA8" w:rsidRDefault="009A1D2F">
      <w:pPr>
        <w:pStyle w:val="IASBNormalnpara"/>
      </w:pPr>
      <w:r>
        <w:t>15</w:t>
      </w:r>
      <w:r>
        <w:tab/>
        <w:t>As a practical expedient, a lessee may elect, by class of underlying asset, not to separate non-lease components from lease components, and instead account for each lease component and any associated non-lease components as a single lease component. A lessee shall not apply this practical expedient to embedded derivatives that meet the criteria in paragraph 4.3.3 of</w:t>
      </w:r>
      <w:r w:rsidR="00E27198">
        <w:t xml:space="preserve"> AASB 9</w:t>
      </w:r>
      <w:r>
        <w:t xml:space="preserve"> </w:t>
      </w:r>
      <w:r>
        <w:rPr>
          <w:i/>
        </w:rPr>
        <w:t>Financial Instruments</w:t>
      </w:r>
      <w:r>
        <w:t>.</w:t>
      </w:r>
    </w:p>
    <w:p w14:paraId="4F31D238" w14:textId="77777777" w:rsidR="00FD4BA8" w:rsidRDefault="009A1D2F">
      <w:pPr>
        <w:pStyle w:val="IASBNormalnpara"/>
      </w:pPr>
      <w:r>
        <w:t>16</w:t>
      </w:r>
      <w:r>
        <w:tab/>
        <w:t>Unless the practical expedient in paragraph 15 is applied, a lessee shall account for non-lease components applying other applicable Standards.</w:t>
      </w:r>
    </w:p>
    <w:p w14:paraId="455A9718" w14:textId="77777777" w:rsidR="00FD4BA8" w:rsidRDefault="009A1D2F">
      <w:pPr>
        <w:pStyle w:val="IASBSectionTitle3Ind"/>
      </w:pPr>
      <w:r>
        <w:t>Lessor</w:t>
      </w:r>
    </w:p>
    <w:p w14:paraId="3F634B03" w14:textId="77777777" w:rsidR="00FD4BA8" w:rsidRDefault="009A1D2F">
      <w:pPr>
        <w:pStyle w:val="IASBNormalnpara"/>
      </w:pPr>
      <w:r>
        <w:t>17</w:t>
      </w:r>
      <w:r>
        <w:tab/>
        <w:t>For a contract that contains a lease component and one or more additional lease or non-lease components, a lessor shall allocate the consideration in the contract applying paragraphs 73–90 of</w:t>
      </w:r>
      <w:r w:rsidR="00E27198">
        <w:t xml:space="preserve"> AASB 15</w:t>
      </w:r>
      <w:r>
        <w:t>.</w:t>
      </w:r>
    </w:p>
    <w:p w14:paraId="5F417D04" w14:textId="77777777" w:rsidR="00FD4BA8" w:rsidRDefault="009A1D2F">
      <w:pPr>
        <w:pStyle w:val="IASBSectionTitle1Ind"/>
      </w:pPr>
      <w:r>
        <w:t>Lease term (paragraphs B34–B41)</w:t>
      </w:r>
    </w:p>
    <w:p w14:paraId="6E65F4DE" w14:textId="77777777" w:rsidR="00FD4BA8" w:rsidRDefault="009A1D2F">
      <w:pPr>
        <w:pStyle w:val="IASBNormalnpara"/>
      </w:pPr>
      <w:r>
        <w:t>18</w:t>
      </w:r>
      <w:r>
        <w:tab/>
        <w:t>An entity shall determine the lease term as the non-cancellable period of a lease, together with both:</w:t>
      </w:r>
    </w:p>
    <w:p w14:paraId="586FD07F" w14:textId="77777777" w:rsidR="00FD4BA8" w:rsidRDefault="009A1D2F">
      <w:pPr>
        <w:pStyle w:val="IASBNormalnparaL1"/>
      </w:pPr>
      <w:r>
        <w:t>(a)</w:t>
      </w:r>
      <w:r>
        <w:tab/>
        <w:t>periods covered by an option to extend the lease if the lessee is reasonably certain to exercise that option; and</w:t>
      </w:r>
    </w:p>
    <w:p w14:paraId="549E8F0C" w14:textId="77777777" w:rsidR="00FD4BA8" w:rsidRDefault="009A1D2F">
      <w:pPr>
        <w:pStyle w:val="IASBNormalnparaL1"/>
      </w:pPr>
      <w:r>
        <w:lastRenderedPageBreak/>
        <w:t>(b)</w:t>
      </w:r>
      <w:r>
        <w:tab/>
        <w:t>periods covered by an option to terminate the lease if the lessee is reasonably certain not to exercise that option.</w:t>
      </w:r>
    </w:p>
    <w:p w14:paraId="61E2A350" w14:textId="77777777" w:rsidR="00FD4BA8" w:rsidRDefault="009A1D2F">
      <w:pPr>
        <w:pStyle w:val="IASBNormalnpara"/>
      </w:pPr>
      <w:r>
        <w:t>19</w:t>
      </w:r>
      <w:r>
        <w:tab/>
        <w:t>In assessing whether a lessee is reasonably certain to exercise an option to extend a lease, or not to exercise an option to terminate a lease, an entity shall consider all relevant facts and circumstances that create an economic incentive for the lessee to exercise the option to extend the lease, or not to exercise the option to terminate the lease, as described in paragraphs B37–B40.</w:t>
      </w:r>
    </w:p>
    <w:p w14:paraId="4EA019BD" w14:textId="77777777" w:rsidR="00FD4BA8" w:rsidRDefault="009A1D2F">
      <w:pPr>
        <w:pStyle w:val="IASBNormalnpara"/>
      </w:pPr>
      <w:r>
        <w:t>20</w:t>
      </w:r>
      <w:r>
        <w:tab/>
        <w:t>A lessee shall reassess whether it is reasonably certain to exercise an extension option, or not to exercise a termination option, upon the occurrence of either a significant event or a significant change in circumstances that:</w:t>
      </w:r>
    </w:p>
    <w:p w14:paraId="6F085427" w14:textId="77777777" w:rsidR="00FD4BA8" w:rsidRDefault="009A1D2F">
      <w:pPr>
        <w:pStyle w:val="IASBNormalnparaL1"/>
      </w:pPr>
      <w:r>
        <w:t>(a)</w:t>
      </w:r>
      <w:r>
        <w:tab/>
        <w:t>is within the control of the lessee; and</w:t>
      </w:r>
    </w:p>
    <w:p w14:paraId="2D915CF9" w14:textId="77777777" w:rsidR="00FD4BA8" w:rsidRDefault="009A1D2F">
      <w:pPr>
        <w:pStyle w:val="IASBNormalnparaL1"/>
      </w:pPr>
      <w:r>
        <w:t>(b)</w:t>
      </w:r>
      <w:r>
        <w:tab/>
        <w:t>affects whether the lessee is reasonably certain to exercise an option not previously included in its determination of the lease term, or not to exercise an option previously included in its determination of the lease term (as described in paragraph B41).</w:t>
      </w:r>
    </w:p>
    <w:p w14:paraId="3CA87939" w14:textId="77777777" w:rsidR="00FD4BA8" w:rsidRDefault="009A1D2F">
      <w:pPr>
        <w:pStyle w:val="IASBNormalnpara"/>
      </w:pPr>
      <w:r>
        <w:t>21</w:t>
      </w:r>
      <w:r>
        <w:tab/>
        <w:t>An entity shall revise the lease term if there is a change in the non-cancellable period of a lease. For example, the non-cancellable period of a lease will change if:</w:t>
      </w:r>
    </w:p>
    <w:p w14:paraId="263F6576" w14:textId="77777777" w:rsidR="00FD4BA8" w:rsidRDefault="009A1D2F">
      <w:pPr>
        <w:pStyle w:val="IASBNormalnparaL1"/>
      </w:pPr>
      <w:r>
        <w:t>(a)</w:t>
      </w:r>
      <w:r>
        <w:tab/>
        <w:t>the lessee exercises an option not previously included in the entity’s determination of the lease term;</w:t>
      </w:r>
    </w:p>
    <w:p w14:paraId="69242CF7" w14:textId="77777777" w:rsidR="00FD4BA8" w:rsidRDefault="009A1D2F">
      <w:pPr>
        <w:pStyle w:val="IASBNormalnparaL1"/>
      </w:pPr>
      <w:r>
        <w:t>(b)</w:t>
      </w:r>
      <w:r>
        <w:tab/>
        <w:t>the lessee does not exercise an option previously included in the entity’s determination of the lease term;</w:t>
      </w:r>
    </w:p>
    <w:p w14:paraId="2BDDFC6A" w14:textId="77777777" w:rsidR="00FD4BA8" w:rsidRDefault="009A1D2F">
      <w:pPr>
        <w:pStyle w:val="IASBNormalnparaL1"/>
      </w:pPr>
      <w:r>
        <w:t>(c)</w:t>
      </w:r>
      <w:r>
        <w:tab/>
        <w:t>an event occurs that contractually obliges the lessee to exercise an option not previously included in the entity’s determination of the lease term; or</w:t>
      </w:r>
    </w:p>
    <w:p w14:paraId="7E292B92" w14:textId="77777777" w:rsidR="00FD4BA8" w:rsidRDefault="009A1D2F">
      <w:pPr>
        <w:pStyle w:val="IASBNormalnparaL1"/>
      </w:pPr>
      <w:r>
        <w:t>(d)</w:t>
      </w:r>
      <w:r>
        <w:tab/>
        <w:t>an event occurs that contractually prohibits the lessee from exercising an option previously included in the entity’s determination of the lease term.</w:t>
      </w:r>
    </w:p>
    <w:p w14:paraId="0C7981AB" w14:textId="77777777" w:rsidR="00FD4BA8" w:rsidRDefault="009A1D2F">
      <w:pPr>
        <w:pStyle w:val="IASBSectionTitle1NonInd"/>
      </w:pPr>
      <w:r>
        <w:t>Lessee</w:t>
      </w:r>
    </w:p>
    <w:p w14:paraId="2C7039E4" w14:textId="77777777" w:rsidR="00FD4BA8" w:rsidRDefault="009A1D2F">
      <w:pPr>
        <w:pStyle w:val="IASBSectionTitle2Ind"/>
      </w:pPr>
      <w:r>
        <w:t>Recognition</w:t>
      </w:r>
    </w:p>
    <w:p w14:paraId="68699F37" w14:textId="77777777" w:rsidR="00FD4BA8" w:rsidRDefault="009A1D2F">
      <w:pPr>
        <w:pStyle w:val="IASBNormalnpara"/>
        <w:rPr>
          <w:b/>
        </w:rPr>
      </w:pPr>
      <w:r>
        <w:rPr>
          <w:b/>
        </w:rPr>
        <w:t>22</w:t>
      </w:r>
      <w:r>
        <w:rPr>
          <w:b/>
        </w:rPr>
        <w:tab/>
        <w:t xml:space="preserve">At the </w:t>
      </w:r>
      <w:r>
        <w:rPr>
          <w:b/>
          <w:i/>
        </w:rPr>
        <w:t>commencement date</w:t>
      </w:r>
      <w:r>
        <w:rPr>
          <w:b/>
        </w:rPr>
        <w:t>, a lessee shall recognise a right-of-use asset and a lease liability.</w:t>
      </w:r>
    </w:p>
    <w:p w14:paraId="370DF472" w14:textId="77777777" w:rsidR="00FD4BA8" w:rsidRDefault="009A1D2F">
      <w:pPr>
        <w:pStyle w:val="IASBSectionTitle2Ind"/>
      </w:pPr>
      <w:r>
        <w:t>Measurement</w:t>
      </w:r>
    </w:p>
    <w:p w14:paraId="2D678FBC" w14:textId="77777777" w:rsidR="00FD4BA8" w:rsidRDefault="009A1D2F">
      <w:pPr>
        <w:pStyle w:val="IASBSectionTitle3Ind"/>
      </w:pPr>
      <w:r>
        <w:t>Initial measurement</w:t>
      </w:r>
    </w:p>
    <w:p w14:paraId="7901DC5C" w14:textId="77777777" w:rsidR="00FD4BA8" w:rsidRDefault="009A1D2F">
      <w:pPr>
        <w:pStyle w:val="IASBSectionTitle4Ind"/>
      </w:pPr>
      <w:r>
        <w:t>Initial measurement of the right-of-use asset</w:t>
      </w:r>
    </w:p>
    <w:p w14:paraId="576FB70C" w14:textId="77777777" w:rsidR="00FD4BA8" w:rsidRDefault="009A1D2F">
      <w:pPr>
        <w:pStyle w:val="IASBNormalnpara"/>
        <w:rPr>
          <w:b/>
        </w:rPr>
      </w:pPr>
      <w:r>
        <w:rPr>
          <w:b/>
        </w:rPr>
        <w:t>23</w:t>
      </w:r>
      <w:r>
        <w:rPr>
          <w:b/>
        </w:rPr>
        <w:tab/>
        <w:t>At the commencement date, a lessee shall measure the right-of-use asset at cost.</w:t>
      </w:r>
    </w:p>
    <w:p w14:paraId="73CE2A7D" w14:textId="77777777" w:rsidR="00FD4BA8" w:rsidRDefault="009A1D2F">
      <w:pPr>
        <w:pStyle w:val="IASBNormalnpara"/>
      </w:pPr>
      <w:r>
        <w:t>24</w:t>
      </w:r>
      <w:r>
        <w:tab/>
        <w:t>The cost of the right-of-use asset shall comprise:</w:t>
      </w:r>
    </w:p>
    <w:p w14:paraId="4740E32A" w14:textId="77777777" w:rsidR="00FD4BA8" w:rsidRDefault="009A1D2F">
      <w:pPr>
        <w:pStyle w:val="IASBNormalnparaL1"/>
      </w:pPr>
      <w:r>
        <w:t>(a)</w:t>
      </w:r>
      <w:r>
        <w:tab/>
        <w:t>the amount of the initial measurement of the lease liability, as described in paragraph 26;</w:t>
      </w:r>
    </w:p>
    <w:p w14:paraId="1F578F83" w14:textId="77777777" w:rsidR="00FD4BA8" w:rsidRDefault="009A1D2F">
      <w:pPr>
        <w:pStyle w:val="IASBNormalnparaL1"/>
      </w:pPr>
      <w:r>
        <w:t>(b)</w:t>
      </w:r>
      <w:r>
        <w:tab/>
        <w:t xml:space="preserve">any lease payments made at or before the commencement date, less any </w:t>
      </w:r>
      <w:r>
        <w:rPr>
          <w:i/>
        </w:rPr>
        <w:t>lease incentives</w:t>
      </w:r>
      <w:r>
        <w:t xml:space="preserve"> received;</w:t>
      </w:r>
    </w:p>
    <w:p w14:paraId="7D29527A" w14:textId="77777777" w:rsidR="00FD4BA8" w:rsidRDefault="009A1D2F">
      <w:pPr>
        <w:pStyle w:val="IASBNormalnparaL1"/>
      </w:pPr>
      <w:r>
        <w:t>(c)</w:t>
      </w:r>
      <w:r>
        <w:tab/>
        <w:t xml:space="preserve">any </w:t>
      </w:r>
      <w:r>
        <w:rPr>
          <w:i/>
        </w:rPr>
        <w:t>initial direct costs</w:t>
      </w:r>
      <w:r>
        <w:t xml:space="preserve"> incurred by the lessee; and</w:t>
      </w:r>
    </w:p>
    <w:p w14:paraId="354E13DF" w14:textId="77777777" w:rsidR="00FD4BA8" w:rsidRDefault="009A1D2F">
      <w:pPr>
        <w:pStyle w:val="IASBNormalnparaL1"/>
      </w:pPr>
      <w:r>
        <w:t>(d)</w:t>
      </w:r>
      <w:r>
        <w:tab/>
        <w:t>an estimate of costs to be incurred by the lessee in dismantling and removing the underlying asset, restoring the site on which it is located or restoring the underlying asset to the condition required by the terms and conditions of the lease, unless those costs are incurred to produce inventories. The lessee incurs the obligation for those costs either at the commencement date or as a consequence of having used the underlying asset during a particular period.</w:t>
      </w:r>
    </w:p>
    <w:p w14:paraId="0F5D2E1A" w14:textId="77777777" w:rsidR="00FD4BA8" w:rsidRDefault="009A1D2F">
      <w:pPr>
        <w:pStyle w:val="IASBNormalnpara"/>
      </w:pPr>
      <w:r>
        <w:t>25</w:t>
      </w:r>
      <w:r>
        <w:tab/>
        <w:t>A lessee shall recognise the costs described in paragraph 24(d) as part of the cost of the right-of-use asset when it incurs an obligation for those costs. A lessee applies</w:t>
      </w:r>
      <w:r w:rsidR="00E27198">
        <w:t xml:space="preserve"> AASB 102</w:t>
      </w:r>
      <w:r>
        <w:t xml:space="preserve"> </w:t>
      </w:r>
      <w:r>
        <w:rPr>
          <w:i/>
        </w:rPr>
        <w:t>Inventories</w:t>
      </w:r>
      <w:r>
        <w:t xml:space="preserve"> to costs that are incurred during a particular period as a consequence of having used the right-of-use asset to produce inventories during that period. The obligations for such costs accounted for applying this Standard or</w:t>
      </w:r>
      <w:r w:rsidR="00E27198">
        <w:t xml:space="preserve"> AASB 102</w:t>
      </w:r>
      <w:r>
        <w:t xml:space="preserve"> are recognised and measured applying</w:t>
      </w:r>
      <w:r w:rsidR="00E27198">
        <w:t xml:space="preserve"> AASB 137</w:t>
      </w:r>
      <w:r>
        <w:t xml:space="preserve"> </w:t>
      </w:r>
      <w:r>
        <w:rPr>
          <w:i/>
        </w:rPr>
        <w:t>Provisions, Contingent Liabilities and Contingent Assets</w:t>
      </w:r>
      <w:r>
        <w:t>.</w:t>
      </w:r>
    </w:p>
    <w:p w14:paraId="0C297EA7" w14:textId="65D60B39" w:rsidR="002848C0" w:rsidRDefault="002848C0" w:rsidP="00F76BCD">
      <w:pPr>
        <w:pStyle w:val="AusPlain"/>
        <w:rPr>
          <w:b/>
        </w:rPr>
      </w:pPr>
      <w:r w:rsidRPr="00F76BCD">
        <w:rPr>
          <w:b/>
        </w:rPr>
        <w:t>Aus25.1</w:t>
      </w:r>
      <w:r w:rsidRPr="00F76BCD">
        <w:rPr>
          <w:b/>
        </w:rPr>
        <w:tab/>
      </w:r>
      <w:r w:rsidR="00E0079A" w:rsidRPr="00F76BCD">
        <w:rPr>
          <w:b/>
        </w:rPr>
        <w:t>Notwithstanding paragraphs 23–25, where the lessee is a not-for-profit entity, the lessee may elect to measure right-of-use assets on a class</w:t>
      </w:r>
      <w:r w:rsidR="00E0079A" w:rsidRPr="00F76BCD">
        <w:rPr>
          <w:b/>
        </w:rPr>
        <w:noBreakHyphen/>
        <w:t>by</w:t>
      </w:r>
      <w:r w:rsidR="00E0079A" w:rsidRPr="00F76BCD">
        <w:rPr>
          <w:b/>
        </w:rPr>
        <w:noBreakHyphen/>
        <w:t xml:space="preserve">class basis at initial recognition at fair value </w:t>
      </w:r>
      <w:r w:rsidR="00E0079A" w:rsidRPr="00F76BCD">
        <w:rPr>
          <w:b/>
        </w:rPr>
        <w:lastRenderedPageBreak/>
        <w:t>in accordance with</w:t>
      </w:r>
      <w:r w:rsidR="00E0079A" w:rsidRPr="00F76BCD">
        <w:rPr>
          <w:b/>
          <w:i/>
        </w:rPr>
        <w:t xml:space="preserve"> </w:t>
      </w:r>
      <w:r w:rsidR="00E0079A" w:rsidRPr="00F76BCD">
        <w:rPr>
          <w:b/>
        </w:rPr>
        <w:t xml:space="preserve">AASB 13 </w:t>
      </w:r>
      <w:r w:rsidR="00E0079A" w:rsidRPr="00F76BCD">
        <w:rPr>
          <w:b/>
          <w:i/>
        </w:rPr>
        <w:t>Fair Value Measurement</w:t>
      </w:r>
      <w:r w:rsidR="00E0079A" w:rsidRPr="00F76BCD">
        <w:rPr>
          <w:b/>
        </w:rPr>
        <w:t xml:space="preserve"> for leases that have significantly below-market terms and conditions principally to enable the entity to further its objectives. AASB 1058 </w:t>
      </w:r>
      <w:r w:rsidR="00E0079A" w:rsidRPr="00F76BCD">
        <w:rPr>
          <w:b/>
          <w:i/>
        </w:rPr>
        <w:t xml:space="preserve">Income of Not-for-Profit Entities </w:t>
      </w:r>
      <w:r w:rsidR="00E0079A" w:rsidRPr="00F76BCD">
        <w:rPr>
          <w:b/>
        </w:rPr>
        <w:t xml:space="preserve">addresses the </w:t>
      </w:r>
      <w:r w:rsidR="007A55FB">
        <w:rPr>
          <w:b/>
        </w:rPr>
        <w:t>recognition of related amounts.</w:t>
      </w:r>
    </w:p>
    <w:p w14:paraId="39E46059" w14:textId="77777777" w:rsidR="005F417C" w:rsidRPr="00011D56" w:rsidRDefault="005F417C" w:rsidP="005F417C">
      <w:pPr>
        <w:pStyle w:val="NumPlain1"/>
        <w:numPr>
          <w:ilvl w:val="0"/>
          <w:numId w:val="0"/>
        </w:numPr>
        <w:ind w:left="1560" w:hanging="1497"/>
      </w:pPr>
      <w:r w:rsidRPr="00011D56">
        <w:rPr>
          <w:szCs w:val="19"/>
        </w:rPr>
        <w:t>Aus25.2</w:t>
      </w:r>
      <w:r w:rsidRPr="00011D56">
        <w:rPr>
          <w:szCs w:val="19"/>
        </w:rPr>
        <w:tab/>
        <w:t>Right-of-use assets arising under leases that have significantly below-market terms and conditions principally to enable a not-for-profit entity to further its objectives may be treated as a separate class of right-of-use assets to right-of-use assets arising under other leases, despite their similar nature and use in the entity’s operations</w:t>
      </w:r>
      <w:r w:rsidRPr="00011D56">
        <w:t>. Identifying separate classes of right-of-use assets despite their similar nature and use in the entity’s operations applies for the purposes of this Standard and other Standards that refer to classes of assets. However, this approach shall not be applied by analogy to distinguish sub-classes of other assets as separate classes of assets.</w:t>
      </w:r>
    </w:p>
    <w:p w14:paraId="04BE57FE" w14:textId="77777777" w:rsidR="00FD4BA8" w:rsidRDefault="009A1D2F">
      <w:pPr>
        <w:pStyle w:val="IASBSectionTitle4Ind"/>
      </w:pPr>
      <w:r>
        <w:t>Initial measurement of the lease liability</w:t>
      </w:r>
    </w:p>
    <w:p w14:paraId="154255C3" w14:textId="77777777" w:rsidR="00FD4BA8" w:rsidRDefault="009A1D2F">
      <w:pPr>
        <w:pStyle w:val="IASBNormalnpara"/>
        <w:rPr>
          <w:b/>
        </w:rPr>
      </w:pPr>
      <w:r>
        <w:rPr>
          <w:b/>
        </w:rPr>
        <w:t>26</w:t>
      </w:r>
      <w:r>
        <w:rPr>
          <w:b/>
        </w:rPr>
        <w:tab/>
        <w:t xml:space="preserve">At the commencement date, a lessee shall measure the lease liability at the present value of the lease payments that are not paid at that date. The lease payments shall be discounted using the </w:t>
      </w:r>
      <w:r>
        <w:rPr>
          <w:b/>
          <w:i/>
        </w:rPr>
        <w:t>interest rate implicit in the lease</w:t>
      </w:r>
      <w:r>
        <w:rPr>
          <w:b/>
        </w:rPr>
        <w:t xml:space="preserve">, if that rate can be readily determined. If that rate cannot be readily determined, the lessee shall use the </w:t>
      </w:r>
      <w:r>
        <w:rPr>
          <w:b/>
          <w:i/>
        </w:rPr>
        <w:t>lessee’s incremental borrowing rate</w:t>
      </w:r>
      <w:r>
        <w:rPr>
          <w:b/>
        </w:rPr>
        <w:t>.</w:t>
      </w:r>
    </w:p>
    <w:p w14:paraId="2CE0CCF1" w14:textId="77777777" w:rsidR="00FD4BA8" w:rsidRDefault="009A1D2F">
      <w:pPr>
        <w:pStyle w:val="IASBNormalnpara"/>
      </w:pPr>
      <w:r>
        <w:t>27</w:t>
      </w:r>
      <w:r>
        <w:tab/>
        <w:t>At the commencement date, the lease payments included in the measurement of the lease liability comprise the following payments for the right to use the underlying asset during the lease term that are not paid at the commencement date:</w:t>
      </w:r>
    </w:p>
    <w:p w14:paraId="47230EBE" w14:textId="77777777" w:rsidR="00FD4BA8" w:rsidRDefault="009A1D2F">
      <w:pPr>
        <w:pStyle w:val="IASBNormalnparaL1"/>
      </w:pPr>
      <w:r>
        <w:t>(a)</w:t>
      </w:r>
      <w:r>
        <w:tab/>
      </w:r>
      <w:r>
        <w:rPr>
          <w:i/>
        </w:rPr>
        <w:t>fixed payments</w:t>
      </w:r>
      <w:r>
        <w:t xml:space="preserve"> (including in-substance fixed payments as described in paragraph B42), less any lease incentives receivable;</w:t>
      </w:r>
    </w:p>
    <w:p w14:paraId="26F97D05" w14:textId="77777777" w:rsidR="00FD4BA8" w:rsidRDefault="009A1D2F">
      <w:pPr>
        <w:pStyle w:val="IASBNormalnparaL1"/>
      </w:pPr>
      <w:r>
        <w:t>(b)</w:t>
      </w:r>
      <w:r>
        <w:tab/>
      </w:r>
      <w:r>
        <w:rPr>
          <w:i/>
        </w:rPr>
        <w:t>variable lease payments</w:t>
      </w:r>
      <w:r>
        <w:t xml:space="preserve"> that depend on an index or a rate, initially measured using the index or rate as at the commencement date (as described in paragraph 28);</w:t>
      </w:r>
    </w:p>
    <w:p w14:paraId="4C3DF52B" w14:textId="77777777" w:rsidR="00FD4BA8" w:rsidRDefault="009A1D2F">
      <w:pPr>
        <w:pStyle w:val="IASBNormalnparaL1"/>
      </w:pPr>
      <w:r>
        <w:t>(c)</w:t>
      </w:r>
      <w:r>
        <w:tab/>
        <w:t xml:space="preserve">amounts expected to be payable by the lessee under </w:t>
      </w:r>
      <w:r>
        <w:rPr>
          <w:i/>
        </w:rPr>
        <w:t>residual value guarantees</w:t>
      </w:r>
      <w:r>
        <w:t>;</w:t>
      </w:r>
    </w:p>
    <w:p w14:paraId="7FF34FFA" w14:textId="77777777" w:rsidR="00FD4BA8" w:rsidRDefault="009A1D2F">
      <w:pPr>
        <w:pStyle w:val="IASBNormalnparaL1"/>
      </w:pPr>
      <w:r>
        <w:t>(d)</w:t>
      </w:r>
      <w:r>
        <w:tab/>
        <w:t>the exercise price of a purchase option if the lessee is reasonably certain to exercise that option (assessed considering the factors described in paragraphs B37–B40); and</w:t>
      </w:r>
    </w:p>
    <w:p w14:paraId="34503676" w14:textId="77777777" w:rsidR="00FD4BA8" w:rsidRDefault="009A1D2F">
      <w:pPr>
        <w:pStyle w:val="IASBNormalnparaL1"/>
      </w:pPr>
      <w:r>
        <w:t>(e)</w:t>
      </w:r>
      <w:r>
        <w:tab/>
        <w:t>payments of penalties for terminating the lease, if the lease term reflects the lessee exercising an option to terminate the lease.</w:t>
      </w:r>
    </w:p>
    <w:p w14:paraId="04462476" w14:textId="77777777" w:rsidR="00FD4BA8" w:rsidRDefault="009A1D2F">
      <w:pPr>
        <w:pStyle w:val="IASBNormalnpara"/>
      </w:pPr>
      <w:r>
        <w:t>28</w:t>
      </w:r>
      <w:r>
        <w:tab/>
        <w:t>Variable lease payments that depend on an index or a rate described in paragraph 27(b) include, for example, payments linked to a consumer price index, payments linked to a benchmark interest rate (such as LIBOR) or payments that vary to reflect changes in market rental rates.</w:t>
      </w:r>
    </w:p>
    <w:p w14:paraId="11F1834F" w14:textId="77777777" w:rsidR="00FD4BA8" w:rsidRDefault="009A1D2F">
      <w:pPr>
        <w:pStyle w:val="IASBSectionTitle3Ind"/>
      </w:pPr>
      <w:r>
        <w:t>Subsequent measurement</w:t>
      </w:r>
    </w:p>
    <w:p w14:paraId="79472944" w14:textId="77777777" w:rsidR="00FD4BA8" w:rsidRDefault="009A1D2F">
      <w:pPr>
        <w:pStyle w:val="IASBSectionTitle4Ind"/>
      </w:pPr>
      <w:r>
        <w:t>Subsequent measurement of the right-of-use asset</w:t>
      </w:r>
    </w:p>
    <w:p w14:paraId="3A06FF0E" w14:textId="77777777" w:rsidR="00FD4BA8" w:rsidRDefault="009A1D2F">
      <w:pPr>
        <w:pStyle w:val="IASBNormalnpara"/>
        <w:rPr>
          <w:b/>
        </w:rPr>
      </w:pPr>
      <w:r>
        <w:rPr>
          <w:b/>
        </w:rPr>
        <w:t>29</w:t>
      </w:r>
      <w:r>
        <w:rPr>
          <w:b/>
        </w:rPr>
        <w:tab/>
        <w:t>After the commencement date, a lessee shall measure the right-of-use asset applying a cost model, unless it applies either of the measurement models described in paragraphs 34 and 35.</w:t>
      </w:r>
    </w:p>
    <w:p w14:paraId="39737E8C" w14:textId="77777777" w:rsidR="00FD4BA8" w:rsidRDefault="009A1D2F">
      <w:pPr>
        <w:pStyle w:val="IASBSectionTitle5Ind"/>
      </w:pPr>
      <w:r>
        <w:t>Cost model</w:t>
      </w:r>
    </w:p>
    <w:p w14:paraId="1ECA9F1F" w14:textId="77777777" w:rsidR="00FD4BA8" w:rsidRDefault="009A1D2F">
      <w:pPr>
        <w:pStyle w:val="IASBNormalnpara"/>
      </w:pPr>
      <w:r>
        <w:t>30</w:t>
      </w:r>
      <w:r>
        <w:tab/>
        <w:t>To apply a cost model, a lessee shall measure the right-of-use asset at cost:</w:t>
      </w:r>
    </w:p>
    <w:p w14:paraId="5E472F11" w14:textId="77777777" w:rsidR="00FD4BA8" w:rsidRDefault="009A1D2F">
      <w:pPr>
        <w:pStyle w:val="IASBNormalnparaL1"/>
      </w:pPr>
      <w:r>
        <w:t>(a)</w:t>
      </w:r>
      <w:r>
        <w:tab/>
        <w:t>less any accumulated depreciation and any accumulated impairment losses; and</w:t>
      </w:r>
    </w:p>
    <w:p w14:paraId="6BE591F7" w14:textId="77777777" w:rsidR="00FD4BA8" w:rsidRDefault="009A1D2F">
      <w:pPr>
        <w:pStyle w:val="IASBNormalnparaL1"/>
      </w:pPr>
      <w:r>
        <w:t>(b)</w:t>
      </w:r>
      <w:r>
        <w:tab/>
        <w:t>adjusted for any remeasurement of the lease liability specified in paragraph 36(c).</w:t>
      </w:r>
    </w:p>
    <w:p w14:paraId="611D950F" w14:textId="77777777" w:rsidR="00FD4BA8" w:rsidRDefault="009A1D2F">
      <w:pPr>
        <w:pStyle w:val="IASBNormalnpara"/>
      </w:pPr>
      <w:r>
        <w:t>31</w:t>
      </w:r>
      <w:r>
        <w:tab/>
        <w:t>A lessee shall apply the depreciation requirements in</w:t>
      </w:r>
      <w:r w:rsidR="00E27198">
        <w:t xml:space="preserve"> AASB 116</w:t>
      </w:r>
      <w:r>
        <w:t xml:space="preserve"> </w:t>
      </w:r>
      <w:r>
        <w:rPr>
          <w:i/>
        </w:rPr>
        <w:t>Property, Plant and Equipment</w:t>
      </w:r>
      <w:r>
        <w:t xml:space="preserve"> in depreciating the right-of-use asset, subject to the requirements in paragraph 32.</w:t>
      </w:r>
    </w:p>
    <w:p w14:paraId="46EC42AE" w14:textId="77777777" w:rsidR="00FD4BA8" w:rsidRDefault="009A1D2F">
      <w:pPr>
        <w:pStyle w:val="IASBNormalnpara"/>
      </w:pPr>
      <w:r>
        <w:t>32</w:t>
      </w:r>
      <w:r>
        <w:tab/>
        <w:t xml:space="preserve">If the lease transfers ownership of the underlying asset to the lessee by the end of the lease term or if the cost of the right-of-use asset reflects that the lessee will exercise a purchase option, the lessee shall depreciate the right-of-use asset from the commencement date to the end of the </w:t>
      </w:r>
      <w:r>
        <w:rPr>
          <w:i/>
        </w:rPr>
        <w:t>useful life</w:t>
      </w:r>
      <w:r>
        <w:t xml:space="preserve"> of the underlying asset. Otherwise, the lessee shall depreciate the right-of-use asset from the commencement date to the earlier of the end of the </w:t>
      </w:r>
      <w:r>
        <w:rPr>
          <w:i/>
        </w:rPr>
        <w:t>useful life</w:t>
      </w:r>
      <w:r>
        <w:t xml:space="preserve"> of the right-of-use asset or the end of the lease term.</w:t>
      </w:r>
    </w:p>
    <w:p w14:paraId="70C6EC11" w14:textId="77777777" w:rsidR="00FD4BA8" w:rsidRDefault="009A1D2F">
      <w:pPr>
        <w:pStyle w:val="IASBNormalnpara"/>
      </w:pPr>
      <w:r>
        <w:t>33</w:t>
      </w:r>
      <w:r>
        <w:tab/>
        <w:t>A lessee shall apply</w:t>
      </w:r>
      <w:r w:rsidR="00E27198">
        <w:t xml:space="preserve"> AASB 136</w:t>
      </w:r>
      <w:r>
        <w:t xml:space="preserve"> </w:t>
      </w:r>
      <w:r>
        <w:rPr>
          <w:i/>
        </w:rPr>
        <w:t>Impairment of Assets</w:t>
      </w:r>
      <w:r>
        <w:t xml:space="preserve"> to determine whether the right-of-use asset is impaired and to account for any impairment loss identified.</w:t>
      </w:r>
    </w:p>
    <w:p w14:paraId="1A5B46BB" w14:textId="77777777" w:rsidR="00FD4BA8" w:rsidRDefault="009A1D2F">
      <w:pPr>
        <w:pStyle w:val="IASBSectionTitle5Ind"/>
      </w:pPr>
      <w:r>
        <w:lastRenderedPageBreak/>
        <w:t>Other measurement models</w:t>
      </w:r>
    </w:p>
    <w:p w14:paraId="3AB545D5" w14:textId="77777777" w:rsidR="00FD4BA8" w:rsidRDefault="009A1D2F">
      <w:pPr>
        <w:pStyle w:val="IASBNormalnpara"/>
      </w:pPr>
      <w:r>
        <w:t>34</w:t>
      </w:r>
      <w:r>
        <w:tab/>
        <w:t>If a lessee applies the fair value model in</w:t>
      </w:r>
      <w:r w:rsidR="00E27198">
        <w:t xml:space="preserve"> AASB 140</w:t>
      </w:r>
      <w:r>
        <w:t xml:space="preserve"> </w:t>
      </w:r>
      <w:r>
        <w:rPr>
          <w:i/>
        </w:rPr>
        <w:t>Investment Property</w:t>
      </w:r>
      <w:r>
        <w:t xml:space="preserve"> to its investment property, the lessee shall also apply that fair value model to right-of-use assets that meet the definition of investment property in</w:t>
      </w:r>
      <w:r w:rsidR="00E27198">
        <w:t xml:space="preserve"> AASB 140</w:t>
      </w:r>
      <w:r>
        <w:t>.</w:t>
      </w:r>
    </w:p>
    <w:p w14:paraId="5744C44F" w14:textId="6B5EF52C" w:rsidR="00FD4BA8" w:rsidRDefault="009A1D2F">
      <w:pPr>
        <w:pStyle w:val="IASBNormalnpara"/>
      </w:pPr>
      <w:r>
        <w:t>35</w:t>
      </w:r>
      <w:r>
        <w:tab/>
        <w:t>If right-of-use assets relate to a class of property, plant and equipment to which the lessee applies the revaluation model in</w:t>
      </w:r>
      <w:r w:rsidR="00E27198">
        <w:t xml:space="preserve"> AASB 116</w:t>
      </w:r>
      <w:r>
        <w:t>, a lessee may elect to apply that revaluation model to all of the right-of-use assets that relate to that class of property, plant and equipment.</w:t>
      </w:r>
    </w:p>
    <w:p w14:paraId="34F08E49" w14:textId="5AB43CEC" w:rsidR="005F417C" w:rsidRDefault="005F417C" w:rsidP="00F828B0">
      <w:pPr>
        <w:pStyle w:val="AusPlain"/>
      </w:pPr>
      <w:r w:rsidRPr="00011D56">
        <w:t>Aus35.1</w:t>
      </w:r>
      <w:r w:rsidRPr="00011D56">
        <w:tab/>
        <w:t>Notwithstanding paragraph 35, a not-for-profit public sector entity may elect to measure a class of right-of-use assets at cost or at fair value if the entity applies the revaluation model in AASB 116 to the related class of property, plant and equipment.</w:t>
      </w:r>
      <w:r w:rsidR="00F828B0">
        <w:t xml:space="preserve"> </w:t>
      </w:r>
    </w:p>
    <w:p w14:paraId="042BF2EE" w14:textId="77777777" w:rsidR="00FD4BA8" w:rsidRDefault="009A1D2F">
      <w:pPr>
        <w:pStyle w:val="IASBSectionTitle4Ind"/>
      </w:pPr>
      <w:r>
        <w:t>Subsequent measurement of the lease liability</w:t>
      </w:r>
    </w:p>
    <w:p w14:paraId="25133AFA" w14:textId="77777777" w:rsidR="00FD4BA8" w:rsidRDefault="009A1D2F">
      <w:pPr>
        <w:pStyle w:val="IASBNormalnpara"/>
        <w:rPr>
          <w:b/>
        </w:rPr>
      </w:pPr>
      <w:r>
        <w:rPr>
          <w:b/>
        </w:rPr>
        <w:t>36</w:t>
      </w:r>
      <w:r>
        <w:rPr>
          <w:b/>
        </w:rPr>
        <w:tab/>
        <w:t>After the commencement date, a lessee shall measure the lease liability by:</w:t>
      </w:r>
    </w:p>
    <w:p w14:paraId="6DCA4A3B" w14:textId="77777777" w:rsidR="00FD4BA8" w:rsidRDefault="009A1D2F">
      <w:pPr>
        <w:pStyle w:val="IASBNormalnparaL1"/>
        <w:rPr>
          <w:b/>
        </w:rPr>
      </w:pPr>
      <w:r>
        <w:rPr>
          <w:b/>
        </w:rPr>
        <w:t>(a)</w:t>
      </w:r>
      <w:r>
        <w:rPr>
          <w:b/>
        </w:rPr>
        <w:tab/>
        <w:t>increasing the carrying amount to reflect interest on the lease liability;</w:t>
      </w:r>
    </w:p>
    <w:p w14:paraId="048EA93B" w14:textId="77777777" w:rsidR="00FD4BA8" w:rsidRDefault="009A1D2F">
      <w:pPr>
        <w:pStyle w:val="IASBNormalnparaL1"/>
        <w:rPr>
          <w:b/>
        </w:rPr>
      </w:pPr>
      <w:r>
        <w:rPr>
          <w:b/>
        </w:rPr>
        <w:t>(b)</w:t>
      </w:r>
      <w:r>
        <w:rPr>
          <w:b/>
        </w:rPr>
        <w:tab/>
        <w:t>reducing the carrying amount to reflect the lease payments made; and</w:t>
      </w:r>
    </w:p>
    <w:p w14:paraId="6FFEF035" w14:textId="77777777" w:rsidR="00FD4BA8" w:rsidRDefault="009A1D2F">
      <w:pPr>
        <w:pStyle w:val="IASBNormalnparaL1"/>
        <w:rPr>
          <w:b/>
        </w:rPr>
      </w:pPr>
      <w:r>
        <w:rPr>
          <w:b/>
        </w:rPr>
        <w:t>(c)</w:t>
      </w:r>
      <w:r>
        <w:rPr>
          <w:b/>
        </w:rPr>
        <w:tab/>
        <w:t>remeasuring the carrying amount to reflect any reassessment or lease modifications specified in paragraphs 39–46, or to reflect revised in-substance fixed lease payments (see paragraph B42).</w:t>
      </w:r>
    </w:p>
    <w:p w14:paraId="22520ECD" w14:textId="77777777" w:rsidR="00FD4BA8" w:rsidRDefault="009A1D2F">
      <w:pPr>
        <w:pStyle w:val="IASBNormalnpara"/>
      </w:pPr>
      <w:r>
        <w:t>37</w:t>
      </w:r>
      <w:r>
        <w:tab/>
        <w:t>Interest on the lease liability in each period during the lease term shall be the amount that produces a constant periodic rate of interest on the remaining balance of the lease liability. The periodic rate of interest is the discount rate described in paragraph 26, or if applicable the revised discount rate described in paragraph 41, paragraph 43 or paragraph 45(c).</w:t>
      </w:r>
    </w:p>
    <w:p w14:paraId="410E9787" w14:textId="77777777" w:rsidR="00FD4BA8" w:rsidRDefault="009A1D2F">
      <w:pPr>
        <w:pStyle w:val="IASBNormalnpara"/>
      </w:pPr>
      <w:r>
        <w:t>38</w:t>
      </w:r>
      <w:r>
        <w:tab/>
        <w:t>After the commencement date, a lessee shall recognise in profit or loss, unless the costs are included in the carrying amount of another asset applying other applicable Standards, both:</w:t>
      </w:r>
    </w:p>
    <w:p w14:paraId="67D7F3B4" w14:textId="77777777" w:rsidR="00FD4BA8" w:rsidRDefault="009A1D2F">
      <w:pPr>
        <w:pStyle w:val="IASBNormalnparaL1"/>
      </w:pPr>
      <w:r>
        <w:t>(a)</w:t>
      </w:r>
      <w:r>
        <w:tab/>
        <w:t>interest on the lease liability; and</w:t>
      </w:r>
    </w:p>
    <w:p w14:paraId="62AD1C2D" w14:textId="77777777" w:rsidR="00FD4BA8" w:rsidRDefault="009A1D2F">
      <w:pPr>
        <w:pStyle w:val="IASBNormalnparaL1"/>
      </w:pPr>
      <w:r>
        <w:t>(b)</w:t>
      </w:r>
      <w:r>
        <w:tab/>
        <w:t>variable lease payments not included in the measurement of the lease liability in the period in which the event or condition that triggers those payments occurs.</w:t>
      </w:r>
    </w:p>
    <w:p w14:paraId="261ED7BF" w14:textId="77777777" w:rsidR="00FD4BA8" w:rsidRDefault="009A1D2F">
      <w:pPr>
        <w:pStyle w:val="IASBSectionTitle5Ind"/>
      </w:pPr>
      <w:r>
        <w:t>Reassessment of the lease liability</w:t>
      </w:r>
    </w:p>
    <w:p w14:paraId="0847755C" w14:textId="77777777" w:rsidR="00FD4BA8" w:rsidRDefault="009A1D2F">
      <w:pPr>
        <w:pStyle w:val="IASBNormalnpara"/>
      </w:pPr>
      <w:r>
        <w:t>39</w:t>
      </w:r>
      <w:r>
        <w:tab/>
        <w:t>After the commencement date, a lessee shall apply paragraphs 40–43 to remeasure the lease liability to reflect changes to the lease payments. A lessee shall recognise the amount of the remeasurement of the lease liability as an adjustment to the right-of-use asset. However, if the carrying amount of the right-of-use asset is reduced to zero and there is a further reduction in the measurement of the lease liability, a lessee shall recognise any remaining amount of the remeasurement in profit or loss.</w:t>
      </w:r>
    </w:p>
    <w:p w14:paraId="386DFC06" w14:textId="77777777" w:rsidR="00FD4BA8" w:rsidRDefault="009A1D2F">
      <w:pPr>
        <w:pStyle w:val="IASBNormalnpara"/>
      </w:pPr>
      <w:r>
        <w:t>40</w:t>
      </w:r>
      <w:r>
        <w:tab/>
        <w:t>A lessee shall remeasure the lease liability by discounting the revised lease payments using a revised discount rate, if either:</w:t>
      </w:r>
    </w:p>
    <w:p w14:paraId="6E6A5575" w14:textId="77777777" w:rsidR="00FD4BA8" w:rsidRDefault="009A1D2F">
      <w:pPr>
        <w:pStyle w:val="IASBNormalnparaL1"/>
      </w:pPr>
      <w:r>
        <w:t>(a)</w:t>
      </w:r>
      <w:r>
        <w:tab/>
        <w:t>there is a change in the lease term, as described in paragraphs 20–21. A lessee shall determine the revised lease payments on the basis of the revised lease term; or</w:t>
      </w:r>
    </w:p>
    <w:p w14:paraId="005D5D33" w14:textId="77777777" w:rsidR="00FD4BA8" w:rsidRDefault="009A1D2F">
      <w:pPr>
        <w:pStyle w:val="IASBNormalnparaL1"/>
      </w:pPr>
      <w:r>
        <w:t>(b)</w:t>
      </w:r>
      <w:r>
        <w:tab/>
        <w:t>there is a change in the assessment of an option to purchase the underlying asset, assessed considering the events and circumstances described in paragraphs 20–21 in the context of a purchase option. A lessee shall determine the revised lease payments to reflect the change in amounts payable under the purchase option.</w:t>
      </w:r>
    </w:p>
    <w:p w14:paraId="18CD0C07" w14:textId="77777777" w:rsidR="00FD4BA8" w:rsidRDefault="009A1D2F">
      <w:pPr>
        <w:pStyle w:val="IASBNormalnpara"/>
      </w:pPr>
      <w:r>
        <w:t>41</w:t>
      </w:r>
      <w:r>
        <w:tab/>
        <w:t>In applying paragraph 40, a lessee shall determine the revised discount rate as the interest rate implicit in the lease for the remainder of the lease term, if that rate can be readily determined, or the lessee’s incremental borrowing rate at the date of reassessment, if the interest rate implicit in the lease cannot be readily determined.</w:t>
      </w:r>
    </w:p>
    <w:p w14:paraId="0D531940" w14:textId="77777777" w:rsidR="00FD4BA8" w:rsidRDefault="009A1D2F">
      <w:pPr>
        <w:pStyle w:val="IASBNormalnpara"/>
      </w:pPr>
      <w:r>
        <w:t>42</w:t>
      </w:r>
      <w:r>
        <w:tab/>
        <w:t>A lessee shall remeasure the lease liability by discounting the revised lease payments, if either:</w:t>
      </w:r>
    </w:p>
    <w:p w14:paraId="47FC70A4" w14:textId="77777777" w:rsidR="00FD4BA8" w:rsidRDefault="009A1D2F">
      <w:pPr>
        <w:pStyle w:val="IASBNormalnparaL1"/>
      </w:pPr>
      <w:r>
        <w:t>(a)</w:t>
      </w:r>
      <w:r>
        <w:tab/>
        <w:t>there is a change in the amounts expected to be payable under a residual value guarantee. A lessee shall determine the revised lease payments to reflect the change in amounts expected to be payable under the residual value guarantee.</w:t>
      </w:r>
    </w:p>
    <w:p w14:paraId="3A7A1F0C" w14:textId="77777777" w:rsidR="00FD4BA8" w:rsidRDefault="009A1D2F">
      <w:pPr>
        <w:pStyle w:val="IASBNormalnparaL1"/>
      </w:pPr>
      <w:r>
        <w:t>(b)</w:t>
      </w:r>
      <w:r>
        <w:tab/>
        <w:t xml:space="preserve">there is a change in future lease payments resulting from a change in an index or a rate used to determine those payments, including for example a change to reflect changes in market rental rates </w:t>
      </w:r>
      <w:r>
        <w:lastRenderedPageBreak/>
        <w:t>following a market rent review. The lessee shall remeasure the lease liability to reflect those revised lease payments only when there is a change in the cash flows (ie when the adjustment to the lease payments takes effect). A lessee shall determine the revised lease payments for the remainder of the lease term based on the revised contractual payments.</w:t>
      </w:r>
    </w:p>
    <w:p w14:paraId="7A05E8BF" w14:textId="77777777" w:rsidR="00FD4BA8" w:rsidRDefault="009A1D2F">
      <w:pPr>
        <w:pStyle w:val="IASBNormalnpara"/>
      </w:pPr>
      <w:r>
        <w:t>43</w:t>
      </w:r>
      <w:r>
        <w:tab/>
        <w:t>In applying paragraph 42, a lessee shall use an unchanged discount rate, unless the change in lease payments results from a change in floating interest rates. In that case, the lessee shall use a revised discount rate that reflects changes in the interest rate.</w:t>
      </w:r>
    </w:p>
    <w:p w14:paraId="4FBEDBF9" w14:textId="77777777" w:rsidR="00FD4BA8" w:rsidRDefault="009A1D2F">
      <w:pPr>
        <w:pStyle w:val="IASBSectionTitle4Ind"/>
      </w:pPr>
      <w:r>
        <w:t>Lease modifications</w:t>
      </w:r>
    </w:p>
    <w:p w14:paraId="6809D192" w14:textId="77777777" w:rsidR="00FD4BA8" w:rsidRDefault="009A1D2F">
      <w:pPr>
        <w:pStyle w:val="IASBNormalnpara"/>
      </w:pPr>
      <w:r>
        <w:t>44</w:t>
      </w:r>
      <w:r>
        <w:tab/>
        <w:t>A lessee shall account for a lease modification as a separate lease if both:</w:t>
      </w:r>
    </w:p>
    <w:p w14:paraId="5BB9C061" w14:textId="77777777" w:rsidR="00FD4BA8" w:rsidRDefault="009A1D2F">
      <w:pPr>
        <w:pStyle w:val="IASBNormalnparaL1"/>
      </w:pPr>
      <w:r>
        <w:t>(a)</w:t>
      </w:r>
      <w:r>
        <w:tab/>
        <w:t>the modification increases the scope of the lease by adding the right to use one or more underlying assets; and</w:t>
      </w:r>
    </w:p>
    <w:p w14:paraId="00162A20" w14:textId="77777777" w:rsidR="00FD4BA8" w:rsidRDefault="009A1D2F">
      <w:pPr>
        <w:pStyle w:val="IASBNormalnparaL1"/>
      </w:pPr>
      <w:r>
        <w:t>(b)</w:t>
      </w:r>
      <w:r>
        <w:tab/>
        <w:t>the consideration for the lease increases by an amount commensurate with the stand-alone price for the increase in scope and any appropriate adjustments to that stand-alone price to reflect the circumstances of the particular contract.</w:t>
      </w:r>
    </w:p>
    <w:p w14:paraId="6D5ABBC7" w14:textId="77777777" w:rsidR="00FD4BA8" w:rsidRDefault="009A1D2F">
      <w:pPr>
        <w:pStyle w:val="IASBNormalnpara"/>
      </w:pPr>
      <w:r>
        <w:t>45</w:t>
      </w:r>
      <w:r>
        <w:tab/>
        <w:t xml:space="preserve">For a lease modification that is not accounted for as a separate lease, at the </w:t>
      </w:r>
      <w:r>
        <w:rPr>
          <w:i/>
        </w:rPr>
        <w:t>effective date of the lease modification</w:t>
      </w:r>
      <w:r>
        <w:t xml:space="preserve"> a lessee shall:</w:t>
      </w:r>
    </w:p>
    <w:p w14:paraId="4CE2BD4D" w14:textId="77777777" w:rsidR="00FD4BA8" w:rsidRDefault="009A1D2F">
      <w:pPr>
        <w:pStyle w:val="IASBNormalnparaL1"/>
      </w:pPr>
      <w:r>
        <w:t>(a)</w:t>
      </w:r>
      <w:r>
        <w:tab/>
        <w:t>allocate the consideration in the modified contract applying paragraphs 13–16;</w:t>
      </w:r>
    </w:p>
    <w:p w14:paraId="31850BC4" w14:textId="77777777" w:rsidR="00FD4BA8" w:rsidRDefault="009A1D2F">
      <w:pPr>
        <w:pStyle w:val="IASBNormalnparaL1"/>
      </w:pPr>
      <w:r>
        <w:t>(b)</w:t>
      </w:r>
      <w:r>
        <w:tab/>
        <w:t>determine the lease term of the modified lease applying paragraphs 18–19; and</w:t>
      </w:r>
    </w:p>
    <w:p w14:paraId="58211B0B" w14:textId="77777777" w:rsidR="00FD4BA8" w:rsidRDefault="009A1D2F">
      <w:pPr>
        <w:pStyle w:val="IASBNormalnparaL1"/>
      </w:pPr>
      <w:r>
        <w:t>(c)</w:t>
      </w:r>
      <w:r>
        <w:tab/>
        <w:t>remeasure the lease liability by discounting the revised lease payments using a revised discount rate. The revised discount rate is determined as the interest rate implicit in the lease for the remainder of the lease term, if that rate can be readily determined, or the lessee’s incremental borrowing rate at the effective date of the modification, if the interest rate implicit in the lease cannot be readily determined.</w:t>
      </w:r>
    </w:p>
    <w:p w14:paraId="091761B9" w14:textId="77777777" w:rsidR="00FD4BA8" w:rsidRDefault="009A1D2F">
      <w:pPr>
        <w:pStyle w:val="IASBNormalnpara"/>
      </w:pPr>
      <w:r>
        <w:t>46</w:t>
      </w:r>
      <w:r>
        <w:tab/>
        <w:t>For a lease modification that is not accounted for as a separate lease, the lessee shall account for the remeasurement of the lease liability by:</w:t>
      </w:r>
    </w:p>
    <w:p w14:paraId="610C98D2" w14:textId="77777777" w:rsidR="00FD4BA8" w:rsidRDefault="009A1D2F">
      <w:pPr>
        <w:pStyle w:val="IASBNormalnparaL1"/>
      </w:pPr>
      <w:r>
        <w:t>(a)</w:t>
      </w:r>
      <w:r>
        <w:tab/>
        <w:t>decreasing the carrying amount of the right-of-use asset to reflect the partial or full termination of the lease for lease modifications that decrease the scope of the lease. The lessee shall recognise in profit or loss any gain or loss relating to the partial or full termination of the lease.</w:t>
      </w:r>
    </w:p>
    <w:p w14:paraId="3B4FAD58" w14:textId="77777777" w:rsidR="00FD4BA8" w:rsidRDefault="009A1D2F">
      <w:pPr>
        <w:pStyle w:val="IASBNormalnparaL1"/>
      </w:pPr>
      <w:r>
        <w:t>(b)</w:t>
      </w:r>
      <w:r>
        <w:tab/>
        <w:t>making a corresponding adjustment to the right-of-use asset for all other lease modifications.</w:t>
      </w:r>
    </w:p>
    <w:p w14:paraId="7BBC726B" w14:textId="77777777" w:rsidR="00AE22E6" w:rsidRPr="001F6AB8" w:rsidRDefault="00AE22E6" w:rsidP="00AE22E6">
      <w:pPr>
        <w:pStyle w:val="IASBNormalnpara"/>
      </w:pPr>
      <w:r w:rsidRPr="001F6AB8">
        <w:t>46A</w:t>
      </w:r>
      <w:r w:rsidRPr="001F6AB8">
        <w:tab/>
        <w:t>As a practical expedient, a lessee may elect not to assess whether a rent concession that meets the conditions in paragraph 46B is a lease modification. A lessee that makes this election shall account for any change in lease payments resulting from the rent concession the same way it would account for the change applying this Standard if the change were not a lease modification.</w:t>
      </w:r>
    </w:p>
    <w:p w14:paraId="4EED53DB" w14:textId="77777777" w:rsidR="00AE22E6" w:rsidRPr="001F6AB8" w:rsidRDefault="00AE22E6" w:rsidP="00AE22E6">
      <w:pPr>
        <w:pStyle w:val="IASBNormalnpara"/>
      </w:pPr>
      <w:r w:rsidRPr="001F6AB8">
        <w:t>46B</w:t>
      </w:r>
      <w:r w:rsidRPr="001F6AB8">
        <w:tab/>
        <w:t>The practical expedient in paragraph 46A applies only to rent concessions occurring as a direct consequence of the covid-19 pandemic and only if all of the following conditions are met:</w:t>
      </w:r>
    </w:p>
    <w:p w14:paraId="01B6EA4E" w14:textId="77777777" w:rsidR="00AE22E6" w:rsidRPr="001F6AB8" w:rsidRDefault="00AE22E6" w:rsidP="00AE22E6">
      <w:pPr>
        <w:pStyle w:val="IASBNormalnparaL1"/>
      </w:pPr>
      <w:r w:rsidRPr="001F6AB8">
        <w:t>(a)</w:t>
      </w:r>
      <w:r w:rsidRPr="001F6AB8">
        <w:tab/>
        <w:t>the change in lease payments results in revised consideration for the lease that is substantially the same as, or less than, the consideration for the lease immediately preceding the change;</w:t>
      </w:r>
    </w:p>
    <w:p w14:paraId="61475B78" w14:textId="45763AAE" w:rsidR="00AE22E6" w:rsidRPr="001F6AB8" w:rsidRDefault="00AE22E6" w:rsidP="00AE22E6">
      <w:pPr>
        <w:pStyle w:val="IASBNormalnparaL1"/>
      </w:pPr>
      <w:r w:rsidRPr="001F6AB8">
        <w:t>(b)</w:t>
      </w:r>
      <w:r w:rsidRPr="001F6AB8">
        <w:tab/>
        <w:t>any reduction in lease payments affects only payments originally due on or before 30 June 202</w:t>
      </w:r>
      <w:r w:rsidR="0091547E">
        <w:t>2</w:t>
      </w:r>
      <w:r w:rsidRPr="001F6AB8">
        <w:t xml:space="preserve"> (for example, a rent concession would meet this condition if it results in reduced lease payments on or before 30 June 202</w:t>
      </w:r>
      <w:r w:rsidR="0091547E">
        <w:t>2</w:t>
      </w:r>
      <w:r w:rsidRPr="001F6AB8">
        <w:t xml:space="preserve"> and increased lease payments that extend beyond 30 June 202</w:t>
      </w:r>
      <w:r w:rsidR="0091547E">
        <w:t>2</w:t>
      </w:r>
      <w:r w:rsidRPr="001F6AB8">
        <w:t>); and</w:t>
      </w:r>
    </w:p>
    <w:p w14:paraId="098D0016" w14:textId="77777777" w:rsidR="00AE22E6" w:rsidRPr="001F6AB8" w:rsidRDefault="00AE22E6" w:rsidP="00AE22E6">
      <w:pPr>
        <w:pStyle w:val="IASBNormalnparaL1"/>
      </w:pPr>
      <w:r w:rsidRPr="001F6AB8">
        <w:t>(c)</w:t>
      </w:r>
      <w:r w:rsidRPr="001F6AB8">
        <w:tab/>
        <w:t>there is no substantive change to other terms and conditions of the lease.</w:t>
      </w:r>
    </w:p>
    <w:p w14:paraId="7AB9E8E0" w14:textId="77777777" w:rsidR="00FD4BA8" w:rsidRDefault="009A1D2F">
      <w:pPr>
        <w:pStyle w:val="IASBSectionTitle2Ind"/>
      </w:pPr>
      <w:r>
        <w:t>Presentation</w:t>
      </w:r>
    </w:p>
    <w:p w14:paraId="4927C665" w14:textId="77777777" w:rsidR="00FD4BA8" w:rsidRDefault="009A1D2F">
      <w:pPr>
        <w:pStyle w:val="IASBNormalnpara"/>
      </w:pPr>
      <w:r>
        <w:t>47</w:t>
      </w:r>
      <w:r>
        <w:tab/>
        <w:t>A lessee shall either present in the statement of financial position, or disclose in the notes:</w:t>
      </w:r>
    </w:p>
    <w:p w14:paraId="15F2F59F" w14:textId="77777777" w:rsidR="00FD4BA8" w:rsidRDefault="009A1D2F">
      <w:pPr>
        <w:pStyle w:val="IASBNormalnparaL1"/>
      </w:pPr>
      <w:r>
        <w:t>(a)</w:t>
      </w:r>
      <w:r>
        <w:tab/>
        <w:t>right-of-use assets separately from other assets. If a lessee does not present right-of-use assets separately in the statement of financial position, the lessee shall:</w:t>
      </w:r>
    </w:p>
    <w:p w14:paraId="24C5A1F1" w14:textId="77777777" w:rsidR="00FD4BA8" w:rsidRDefault="009A1D2F">
      <w:pPr>
        <w:pStyle w:val="IASBNormalnparaL2"/>
      </w:pPr>
      <w:r>
        <w:t>(i)</w:t>
      </w:r>
      <w:r>
        <w:tab/>
        <w:t>include right-of-use assets within the same line item as that within which the corresponding underlying assets would be presented if they were owned; and</w:t>
      </w:r>
    </w:p>
    <w:p w14:paraId="4CE25179" w14:textId="77777777" w:rsidR="00FD4BA8" w:rsidRDefault="009A1D2F">
      <w:pPr>
        <w:pStyle w:val="IASBNormalnparaL2"/>
      </w:pPr>
      <w:r>
        <w:t>(ii)</w:t>
      </w:r>
      <w:r>
        <w:tab/>
        <w:t>disclose which line items in the statement of financial position include those right-of-use assets.</w:t>
      </w:r>
    </w:p>
    <w:p w14:paraId="215C6E45" w14:textId="77777777" w:rsidR="00FD4BA8" w:rsidRDefault="009A1D2F">
      <w:pPr>
        <w:pStyle w:val="IASBNormalnparaL1"/>
      </w:pPr>
      <w:r>
        <w:lastRenderedPageBreak/>
        <w:t>(b)</w:t>
      </w:r>
      <w:r>
        <w:tab/>
        <w:t>lease liabilities separately from other liabilities. If the lessee does not present lease liabilities separately in the statement of financial position, the lessee shall disclose which line items in the statement of financial position include those liabilities.</w:t>
      </w:r>
    </w:p>
    <w:p w14:paraId="71FF0256" w14:textId="77777777" w:rsidR="00FD4BA8" w:rsidRDefault="009A1D2F">
      <w:pPr>
        <w:pStyle w:val="IASBNormalnpara"/>
      </w:pPr>
      <w:r>
        <w:t>48</w:t>
      </w:r>
      <w:r>
        <w:tab/>
        <w:t>The requirement in paragraph 47(a) does not apply to right-of-use assets that meet the definition of investment property, which shall be presented in the statement of financial position as investment property.</w:t>
      </w:r>
    </w:p>
    <w:p w14:paraId="5F09A310" w14:textId="77777777" w:rsidR="00FD4BA8" w:rsidRDefault="009A1D2F">
      <w:pPr>
        <w:pStyle w:val="IASBNormalnpara"/>
      </w:pPr>
      <w:r>
        <w:t>49</w:t>
      </w:r>
      <w:r>
        <w:tab/>
        <w:t>In the statement of profit or loss and other comprehensive income, a lessee shall present interest expense on the lease liability separately from the depreciation charge for the right-of-use asset. Interest expense on the lease liability is a component of finance costs, which paragraph 82(b) of</w:t>
      </w:r>
      <w:r w:rsidR="00E27198">
        <w:t xml:space="preserve"> AASB 101</w:t>
      </w:r>
      <w:r>
        <w:t xml:space="preserve"> </w:t>
      </w:r>
      <w:r>
        <w:rPr>
          <w:i/>
        </w:rPr>
        <w:t>Presentation of Financial Statements</w:t>
      </w:r>
      <w:r>
        <w:t xml:space="preserve"> requires to be presented separately in the statement of profit or loss and other comprehensive income.</w:t>
      </w:r>
    </w:p>
    <w:p w14:paraId="0FC1868A" w14:textId="77777777" w:rsidR="00FD4BA8" w:rsidRDefault="009A1D2F" w:rsidP="003A7737">
      <w:pPr>
        <w:pStyle w:val="IASBNormalnpara"/>
        <w:keepNext/>
      </w:pPr>
      <w:r>
        <w:t>50</w:t>
      </w:r>
      <w:r>
        <w:tab/>
        <w:t>In the statement of cash flows, a lessee shall classify:</w:t>
      </w:r>
    </w:p>
    <w:p w14:paraId="0E531AED" w14:textId="77777777" w:rsidR="00FD4BA8" w:rsidRDefault="009A1D2F">
      <w:pPr>
        <w:pStyle w:val="IASBNormalnparaL1"/>
      </w:pPr>
      <w:r>
        <w:t>(a)</w:t>
      </w:r>
      <w:r>
        <w:tab/>
        <w:t>cash payments for the principal portion of the lease liability within financing activities;</w:t>
      </w:r>
    </w:p>
    <w:p w14:paraId="253CB1D1" w14:textId="77777777" w:rsidR="00FD4BA8" w:rsidRDefault="009A1D2F">
      <w:pPr>
        <w:pStyle w:val="IASBNormalnparaL1"/>
      </w:pPr>
      <w:r>
        <w:t>(b)</w:t>
      </w:r>
      <w:r>
        <w:tab/>
        <w:t>cash payments for the interest portion of the lease liability applying the requirements in</w:t>
      </w:r>
      <w:r w:rsidR="00E27198">
        <w:t xml:space="preserve"> AASB 107</w:t>
      </w:r>
      <w:r>
        <w:t xml:space="preserve"> </w:t>
      </w:r>
      <w:r>
        <w:rPr>
          <w:i/>
        </w:rPr>
        <w:t>Statement of Cash Flows</w:t>
      </w:r>
      <w:r>
        <w:t xml:space="preserve"> for interest paid; and</w:t>
      </w:r>
    </w:p>
    <w:p w14:paraId="247E6FDA" w14:textId="77777777" w:rsidR="00FD4BA8" w:rsidRDefault="009A1D2F">
      <w:pPr>
        <w:pStyle w:val="IASBNormalnparaL1"/>
      </w:pPr>
      <w:r>
        <w:t>(c)</w:t>
      </w:r>
      <w:r>
        <w:tab/>
        <w:t>short-term lease payments, payments for leases of low-value assets and variable lease payments not included in the measurement of the lease liability within operating activities.</w:t>
      </w:r>
    </w:p>
    <w:p w14:paraId="2195B844" w14:textId="77777777" w:rsidR="00FD4BA8" w:rsidRDefault="009A1D2F">
      <w:pPr>
        <w:pStyle w:val="IASBSectionTitle2Ind"/>
      </w:pPr>
      <w:r>
        <w:t>Disclosure</w:t>
      </w:r>
    </w:p>
    <w:p w14:paraId="07CAD9C7" w14:textId="77777777" w:rsidR="00FD4BA8" w:rsidRDefault="009A1D2F">
      <w:pPr>
        <w:pStyle w:val="IASBNormalnpara"/>
        <w:rPr>
          <w:b/>
        </w:rPr>
      </w:pPr>
      <w:r>
        <w:rPr>
          <w:b/>
        </w:rPr>
        <w:t>51</w:t>
      </w:r>
      <w:r>
        <w:rPr>
          <w:b/>
        </w:rPr>
        <w:tab/>
        <w:t>The objective of the disclosures is for lessees to disclose information in the notes that, together with the information provided in the statement of financial position, statement of profit or loss and statement of cash flows, gives a basis for users of financial statements to assess the effect that leases have on the financial position, financial performance and cash flows of the lessee. Paragraphs 52–60 specify requirements on how to meet this objective.</w:t>
      </w:r>
    </w:p>
    <w:p w14:paraId="0C116F4D" w14:textId="77777777" w:rsidR="00FD4BA8" w:rsidRDefault="009A1D2F">
      <w:pPr>
        <w:pStyle w:val="IASBNormalnpara"/>
      </w:pPr>
      <w:r>
        <w:t>52</w:t>
      </w:r>
      <w:r>
        <w:tab/>
        <w:t>A lessee shall disclose information about its leases for which it is a lessee in a single note or separate section in its financial statements. However, a lessee need not duplicate information that is already presented elsewhere in the financial statements, provided that the information is incorporated by cross-reference in the single note or separate section about leases.</w:t>
      </w:r>
    </w:p>
    <w:p w14:paraId="13E7A5CE" w14:textId="77777777" w:rsidR="00FD4BA8" w:rsidRDefault="009A1D2F">
      <w:pPr>
        <w:pStyle w:val="IASBNormalnpara"/>
      </w:pPr>
      <w:r>
        <w:t>53</w:t>
      </w:r>
      <w:r>
        <w:tab/>
        <w:t>A lessee shall disclose the following amounts for the reporting period:</w:t>
      </w:r>
    </w:p>
    <w:p w14:paraId="38D09898" w14:textId="77777777" w:rsidR="00FD4BA8" w:rsidRDefault="009A1D2F">
      <w:pPr>
        <w:pStyle w:val="IASBNormalnparaL1"/>
      </w:pPr>
      <w:r>
        <w:t>(a)</w:t>
      </w:r>
      <w:r>
        <w:tab/>
        <w:t>depreciation charge for right-of-use assets by class of underlying asset;</w:t>
      </w:r>
    </w:p>
    <w:p w14:paraId="357AC102" w14:textId="77777777" w:rsidR="00FD4BA8" w:rsidRDefault="009A1D2F">
      <w:pPr>
        <w:pStyle w:val="IASBNormalnparaL1"/>
      </w:pPr>
      <w:r>
        <w:t>(b)</w:t>
      </w:r>
      <w:r>
        <w:tab/>
        <w:t>interest expense on lease liabilities;</w:t>
      </w:r>
    </w:p>
    <w:p w14:paraId="414B2FA3" w14:textId="77777777" w:rsidR="00FD4BA8" w:rsidRDefault="009A1D2F">
      <w:pPr>
        <w:pStyle w:val="IASBNormalnparaL1"/>
      </w:pPr>
      <w:r>
        <w:t>(c)</w:t>
      </w:r>
      <w:r>
        <w:tab/>
        <w:t>the expense relating to short-term leases accounted for applying paragraph 6. This expense need not include the expense relating to leases with a lease term of one month or less;</w:t>
      </w:r>
    </w:p>
    <w:p w14:paraId="7C6F45BF" w14:textId="77777777" w:rsidR="00FD4BA8" w:rsidRDefault="009A1D2F">
      <w:pPr>
        <w:pStyle w:val="IASBNormalnparaL1"/>
      </w:pPr>
      <w:r>
        <w:t>(d)</w:t>
      </w:r>
      <w:r>
        <w:tab/>
        <w:t>the expense relating to leases of low-value assets accounted for applying paragraph 6. This expense shall not include the expense relating to short-term leases of low-value assets included in paragraph 53(c);</w:t>
      </w:r>
    </w:p>
    <w:p w14:paraId="53D39FCE" w14:textId="77777777" w:rsidR="00FD4BA8" w:rsidRDefault="009A1D2F">
      <w:pPr>
        <w:pStyle w:val="IASBNormalnparaL1"/>
      </w:pPr>
      <w:r>
        <w:t>(e)</w:t>
      </w:r>
      <w:r>
        <w:tab/>
        <w:t>the expense relating to variable lease payments not included in the measurement of lease liabilities;</w:t>
      </w:r>
    </w:p>
    <w:p w14:paraId="78A67F91" w14:textId="77777777" w:rsidR="00FD4BA8" w:rsidRDefault="009A1D2F">
      <w:pPr>
        <w:pStyle w:val="IASBNormalnparaL1"/>
      </w:pPr>
      <w:r>
        <w:t>(f)</w:t>
      </w:r>
      <w:r>
        <w:tab/>
        <w:t>income from subleasing right-of-use assets;</w:t>
      </w:r>
    </w:p>
    <w:p w14:paraId="2678E6CC" w14:textId="77777777" w:rsidR="00FD4BA8" w:rsidRDefault="009A1D2F">
      <w:pPr>
        <w:pStyle w:val="IASBNormalnparaL1"/>
      </w:pPr>
      <w:r>
        <w:t>(g)</w:t>
      </w:r>
      <w:r>
        <w:tab/>
        <w:t>total cash outflow for leases;</w:t>
      </w:r>
    </w:p>
    <w:p w14:paraId="073AE32D" w14:textId="77777777" w:rsidR="00FD4BA8" w:rsidRDefault="009A1D2F">
      <w:pPr>
        <w:pStyle w:val="IASBNormalnparaL1"/>
      </w:pPr>
      <w:r>
        <w:t>(h)</w:t>
      </w:r>
      <w:r>
        <w:tab/>
        <w:t>additions to right-of-use assets;</w:t>
      </w:r>
    </w:p>
    <w:p w14:paraId="7929D843" w14:textId="77777777" w:rsidR="00FD4BA8" w:rsidRDefault="009A1D2F">
      <w:pPr>
        <w:pStyle w:val="IASBNormalnparaL1"/>
      </w:pPr>
      <w:r>
        <w:t>(i)</w:t>
      </w:r>
      <w:r>
        <w:tab/>
        <w:t>gains or losses arising from sale and leaseback transactions; and</w:t>
      </w:r>
    </w:p>
    <w:p w14:paraId="555A74E7" w14:textId="77777777" w:rsidR="00FD4BA8" w:rsidRDefault="009A1D2F">
      <w:pPr>
        <w:pStyle w:val="IASBNormalnparaL1"/>
      </w:pPr>
      <w:r>
        <w:t>(j)</w:t>
      </w:r>
      <w:r>
        <w:tab/>
        <w:t>the carrying amount of right-of-use assets at the end of the reporting period by class of underlying asset.</w:t>
      </w:r>
    </w:p>
    <w:p w14:paraId="0A43B7C9" w14:textId="77777777" w:rsidR="00FD4BA8" w:rsidRDefault="009A1D2F" w:rsidP="00CE32A4">
      <w:pPr>
        <w:pStyle w:val="RDRM1"/>
      </w:pPr>
      <w:r>
        <w:t>54</w:t>
      </w:r>
      <w:r>
        <w:tab/>
        <w:t>A lessee shall provide the disclosures specified in paragraph 53 in a tabular format, unless another format is more appropriate. The amounts disclosed shall include costs that a lessee has included in the carrying amount of another asset during the reporting period.</w:t>
      </w:r>
    </w:p>
    <w:p w14:paraId="62EE42C7" w14:textId="77777777" w:rsidR="00FD4BA8" w:rsidRDefault="009A1D2F">
      <w:pPr>
        <w:pStyle w:val="IASBNormalnpara"/>
      </w:pPr>
      <w:r>
        <w:t>55</w:t>
      </w:r>
      <w:r>
        <w:tab/>
        <w:t>A lessee shall disclose the amount of its lease commitments for short-term leases accounted for applying paragraph 6 if the portfolio of short-term leases to which it is committed at the end of the reporting period is dissimilar to the portfolio of short-term leases to which the short-term lease expense disclosed applying paragraph 53(c) relates.</w:t>
      </w:r>
    </w:p>
    <w:p w14:paraId="6984C54D" w14:textId="77777777" w:rsidR="00FD4BA8" w:rsidRDefault="009A1D2F">
      <w:pPr>
        <w:pStyle w:val="IASBNormalnpara"/>
      </w:pPr>
      <w:r>
        <w:t>56</w:t>
      </w:r>
      <w:r>
        <w:tab/>
        <w:t>If right-of-use assets meet the definition of investment property, a lessee shall apply the disclosure requirements in</w:t>
      </w:r>
      <w:r w:rsidR="00E27198">
        <w:t xml:space="preserve"> AASB 140</w:t>
      </w:r>
      <w:r>
        <w:t>. In that case, a lessee is not required to provide the disclosures in paragraph 53(a), (f), (h) or (j) for those right-of-use assets.</w:t>
      </w:r>
    </w:p>
    <w:p w14:paraId="2592023A" w14:textId="77777777" w:rsidR="00FD4BA8" w:rsidRDefault="009A1D2F">
      <w:pPr>
        <w:pStyle w:val="IASBNormalnpara"/>
      </w:pPr>
      <w:r>
        <w:lastRenderedPageBreak/>
        <w:t>57</w:t>
      </w:r>
      <w:r>
        <w:tab/>
        <w:t>If a lessee measures right-of-use assets at revalued amounts applying</w:t>
      </w:r>
      <w:r w:rsidR="00E27198">
        <w:t xml:space="preserve"> AASB 116</w:t>
      </w:r>
      <w:r>
        <w:t>, the lessee shall disclose the information required by paragraph 77 of</w:t>
      </w:r>
      <w:r w:rsidR="00E27198">
        <w:t xml:space="preserve"> AASB 116</w:t>
      </w:r>
      <w:r>
        <w:t xml:space="preserve"> for those right-of-use assets.</w:t>
      </w:r>
    </w:p>
    <w:p w14:paraId="6D6C2A15" w14:textId="77777777" w:rsidR="00FD4BA8" w:rsidRDefault="009A1D2F" w:rsidP="00CE32A4">
      <w:pPr>
        <w:pStyle w:val="RDRM1"/>
      </w:pPr>
      <w:r>
        <w:t>58</w:t>
      </w:r>
      <w:r>
        <w:tab/>
        <w:t>A lessee shall disclose a maturity analysis of lease liabilities applying paragraphs 39 and B11 of</w:t>
      </w:r>
      <w:r w:rsidR="00E27198">
        <w:t xml:space="preserve"> AASB 7</w:t>
      </w:r>
      <w:r>
        <w:t xml:space="preserve"> </w:t>
      </w:r>
      <w:r>
        <w:rPr>
          <w:i/>
        </w:rPr>
        <w:t>Financial Instruments: Disclosures</w:t>
      </w:r>
      <w:r>
        <w:t xml:space="preserve"> separately from the maturity analyses of other financial liabilities.</w:t>
      </w:r>
    </w:p>
    <w:p w14:paraId="69975E9D" w14:textId="77777777" w:rsidR="00FD4BA8" w:rsidRDefault="009A1D2F">
      <w:pPr>
        <w:pStyle w:val="IASBNormalnpara"/>
      </w:pPr>
      <w:r>
        <w:t>59</w:t>
      </w:r>
      <w:r>
        <w:tab/>
        <w:t>In addition to the disclosures required in paragraphs 53–58, a lessee shall disclose additional qualitative and quantitative information about its leasing activities necessary to meet the disclosure objective in paragraph</w:t>
      </w:r>
      <w:r w:rsidR="004E76B3">
        <w:t> </w:t>
      </w:r>
      <w:r>
        <w:t>51 (as described in paragraph B48). This additional information may include, but is not limited to, information that helps users of financial statements to assess:</w:t>
      </w:r>
    </w:p>
    <w:p w14:paraId="6F1597F5" w14:textId="77777777" w:rsidR="00FD4BA8" w:rsidRDefault="009A1D2F">
      <w:pPr>
        <w:pStyle w:val="IASBNormalnparaL1"/>
      </w:pPr>
      <w:r>
        <w:t>(a)</w:t>
      </w:r>
      <w:r>
        <w:tab/>
        <w:t>the nature of the lessee’s leasing activities;</w:t>
      </w:r>
    </w:p>
    <w:p w14:paraId="2A737390" w14:textId="77777777" w:rsidR="00FD4BA8" w:rsidRDefault="009A1D2F">
      <w:pPr>
        <w:pStyle w:val="IASBNormalnparaL1"/>
      </w:pPr>
      <w:r>
        <w:t>(b)</w:t>
      </w:r>
      <w:r>
        <w:tab/>
        <w:t>future cash outflows to which the lessee is potentially exposed that are not reflected in the measurement of lease liabilities. This includes exposure arising from:</w:t>
      </w:r>
    </w:p>
    <w:p w14:paraId="2A2521F9" w14:textId="77777777" w:rsidR="00FD4BA8" w:rsidRDefault="009A1D2F">
      <w:pPr>
        <w:pStyle w:val="IASBNormalnparaL2"/>
      </w:pPr>
      <w:r>
        <w:t>(i)</w:t>
      </w:r>
      <w:r>
        <w:tab/>
        <w:t>variable lease payments (as described in paragraph B49);</w:t>
      </w:r>
    </w:p>
    <w:p w14:paraId="6D950BF2" w14:textId="77777777" w:rsidR="00FD4BA8" w:rsidRDefault="009A1D2F">
      <w:pPr>
        <w:pStyle w:val="IASBNormalnparaL2"/>
      </w:pPr>
      <w:r>
        <w:t>(ii)</w:t>
      </w:r>
      <w:r>
        <w:tab/>
        <w:t>extension options and termination options (as described in paragraph B50);</w:t>
      </w:r>
    </w:p>
    <w:p w14:paraId="09F82F7D" w14:textId="77777777" w:rsidR="00FD4BA8" w:rsidRDefault="009A1D2F">
      <w:pPr>
        <w:pStyle w:val="IASBNormalnparaL2"/>
      </w:pPr>
      <w:r>
        <w:t>(iii)</w:t>
      </w:r>
      <w:r>
        <w:tab/>
        <w:t>residual value guarantees (as described in paragraph B51); and</w:t>
      </w:r>
    </w:p>
    <w:p w14:paraId="11428988" w14:textId="77777777" w:rsidR="00FD4BA8" w:rsidRDefault="009A1D2F">
      <w:pPr>
        <w:pStyle w:val="IASBNormalnparaL2"/>
      </w:pPr>
      <w:r>
        <w:t>(iv)</w:t>
      </w:r>
      <w:r>
        <w:tab/>
        <w:t>leases not yet commenced to which the lessee is committed.</w:t>
      </w:r>
    </w:p>
    <w:p w14:paraId="40A2E5F2" w14:textId="77777777" w:rsidR="00FD4BA8" w:rsidRDefault="009A1D2F">
      <w:pPr>
        <w:pStyle w:val="IASBNormalnparaL1"/>
      </w:pPr>
      <w:r>
        <w:t>(c)</w:t>
      </w:r>
      <w:r>
        <w:tab/>
        <w:t>restrictions or covenants imposed by leases; and</w:t>
      </w:r>
    </w:p>
    <w:p w14:paraId="445C4FF4" w14:textId="77777777" w:rsidR="00FD4BA8" w:rsidRDefault="009A1D2F">
      <w:pPr>
        <w:pStyle w:val="IASBNormalnparaL1"/>
      </w:pPr>
      <w:r>
        <w:t>(d)</w:t>
      </w:r>
      <w:r>
        <w:tab/>
        <w:t>sale and leaseback transactions (as described in paragraph B52).</w:t>
      </w:r>
    </w:p>
    <w:p w14:paraId="3D3D3032" w14:textId="77777777" w:rsidR="00E0079A" w:rsidRPr="00E0079A" w:rsidRDefault="00E0079A" w:rsidP="00F76BCD">
      <w:pPr>
        <w:pStyle w:val="AusPlain"/>
      </w:pPr>
      <w:r w:rsidRPr="00E0079A">
        <w:t>Aus59.1</w:t>
      </w:r>
      <w:r w:rsidRPr="00E0079A">
        <w:tab/>
        <w:t>In addition to the disclosures required in paragraphs 53–59, where a lessee is a not-for-profit entity and elects to measure a class or classes of right-of-use assets at initial recognition at cost in accordance with paragraphs 23–25 for leases that have significantly below-market terms and conditions principally to enable the entity to further its objectives, the lessee shall disclose additional qualitative and quantitative information about those leases</w:t>
      </w:r>
      <w:r w:rsidRPr="00E0079A" w:rsidDel="00D448CD">
        <w:t xml:space="preserve"> </w:t>
      </w:r>
      <w:r w:rsidRPr="00E0079A">
        <w:t>necessary to meet the disclosure objective in paragraph 51. This additional information shall include, but is not limited to, information that helps users of financial statements to assess:</w:t>
      </w:r>
    </w:p>
    <w:p w14:paraId="6F6EC228" w14:textId="77777777" w:rsidR="00E0079A" w:rsidRPr="00E0079A" w:rsidRDefault="00E0079A" w:rsidP="00F76BCD">
      <w:pPr>
        <w:pStyle w:val="IASBNormalnparaL2"/>
      </w:pPr>
      <w:r w:rsidRPr="00E0079A">
        <w:t>(a)</w:t>
      </w:r>
      <w:r w:rsidRPr="00E0079A">
        <w:tab/>
        <w:t>the entity’s dependence on leases that have significantly below-market terms and conditions principally to enable the entity to further its objectives; and</w:t>
      </w:r>
    </w:p>
    <w:p w14:paraId="071B6A20" w14:textId="77777777" w:rsidR="00E0079A" w:rsidRPr="00E0079A" w:rsidRDefault="00E0079A" w:rsidP="00F76BCD">
      <w:pPr>
        <w:pStyle w:val="IASBNormalnparaL2"/>
      </w:pPr>
      <w:r w:rsidRPr="00E0079A">
        <w:t>(b)</w:t>
      </w:r>
      <w:r w:rsidRPr="00E0079A">
        <w:tab/>
        <w:t>the nature and terms of the leases, including:</w:t>
      </w:r>
    </w:p>
    <w:p w14:paraId="41C30F30" w14:textId="77777777" w:rsidR="00E0079A" w:rsidRPr="00E0079A" w:rsidRDefault="00E0079A" w:rsidP="001A645E">
      <w:pPr>
        <w:pStyle w:val="IASBNormalnparaL2"/>
        <w:ind w:left="3129"/>
      </w:pPr>
      <w:r w:rsidRPr="00E0079A">
        <w:t>(i)</w:t>
      </w:r>
      <w:r w:rsidRPr="00E0079A">
        <w:tab/>
        <w:t>the lease payments;</w:t>
      </w:r>
    </w:p>
    <w:p w14:paraId="732A7BCD" w14:textId="77777777" w:rsidR="00E0079A" w:rsidRPr="00E0079A" w:rsidRDefault="00E0079A" w:rsidP="001A645E">
      <w:pPr>
        <w:pStyle w:val="IASBNormalnparaL2"/>
        <w:ind w:left="3129"/>
      </w:pPr>
      <w:r w:rsidRPr="00E0079A">
        <w:t>(ii)</w:t>
      </w:r>
      <w:r w:rsidRPr="00E0079A">
        <w:tab/>
        <w:t>the lease term;</w:t>
      </w:r>
    </w:p>
    <w:p w14:paraId="3FDC5FBC" w14:textId="77777777" w:rsidR="00E0079A" w:rsidRPr="00E0079A" w:rsidRDefault="00E0079A" w:rsidP="001A645E">
      <w:pPr>
        <w:pStyle w:val="IASBNormalnparaL2"/>
        <w:ind w:left="3129"/>
      </w:pPr>
      <w:r w:rsidRPr="00E0079A">
        <w:t>(iii)</w:t>
      </w:r>
      <w:r w:rsidRPr="00E0079A">
        <w:tab/>
        <w:t>a description of the underlying assets; and</w:t>
      </w:r>
    </w:p>
    <w:p w14:paraId="0451774F" w14:textId="77777777" w:rsidR="00E0079A" w:rsidRDefault="00E0079A" w:rsidP="001A645E">
      <w:pPr>
        <w:pStyle w:val="IASBNormalnparaL2"/>
        <w:ind w:left="3129"/>
      </w:pPr>
      <w:r w:rsidRPr="00E0079A">
        <w:t>(iv)</w:t>
      </w:r>
      <w:r w:rsidRPr="00E0079A">
        <w:tab/>
        <w:t>restrictions on the use of the underlying assets specific to the entity.</w:t>
      </w:r>
    </w:p>
    <w:p w14:paraId="55621C7C" w14:textId="39CEB107" w:rsidR="00E0079A" w:rsidRPr="00E0079A" w:rsidRDefault="00E0079A" w:rsidP="00F76BCD">
      <w:pPr>
        <w:pStyle w:val="AusPlain"/>
      </w:pPr>
      <w:r w:rsidRPr="00E0079A">
        <w:t>Aus59.2</w:t>
      </w:r>
      <w:r w:rsidRPr="00E0079A">
        <w:tab/>
        <w:t>The disclosures provided by a not</w:t>
      </w:r>
      <w:r w:rsidRPr="00E0079A">
        <w:noBreakHyphen/>
        <w:t>for</w:t>
      </w:r>
      <w:r w:rsidRPr="00E0079A">
        <w:noBreakHyphen/>
        <w:t>profit entity in accordance with paragraph Aus59.1 shall be provided individually for each material lease that has significantly below-market terms and conditions principally to enable the entity to further its objectives or in aggregate for leases involving right-of-use assets of a similar nature. An entity shall consider the level of detail necessary to satisfy the disclosure objective and how much emphasis to place on each of the various requirements. An entity shall aggregate or disaggregate disclosures so that useful information is not obscured by either the inclusion of a large amount of insignificant detail or the aggregation of items that have substantially different characteristics.</w:t>
      </w:r>
    </w:p>
    <w:p w14:paraId="247411B8" w14:textId="77777777" w:rsidR="00FD4BA8" w:rsidRDefault="009A1D2F">
      <w:pPr>
        <w:pStyle w:val="IASBNormalnpara"/>
      </w:pPr>
      <w:r>
        <w:t>60</w:t>
      </w:r>
      <w:r>
        <w:tab/>
        <w:t>A lessee that accounts for short-term leases or leases of low-value assets applying paragraph 6 shall disclose that fact.</w:t>
      </w:r>
    </w:p>
    <w:p w14:paraId="77D24DB5" w14:textId="77777777" w:rsidR="00AE22E6" w:rsidRPr="001F6AB8" w:rsidRDefault="00AE22E6" w:rsidP="00AE22E6">
      <w:pPr>
        <w:pStyle w:val="IASBNormalnpara"/>
      </w:pPr>
      <w:r w:rsidRPr="001F6AB8">
        <w:t>60A</w:t>
      </w:r>
      <w:r w:rsidRPr="001F6AB8">
        <w:tab/>
        <w:t>If a lessee applies the practical expedient in paragraph 46A, the lessee shall disclose:</w:t>
      </w:r>
    </w:p>
    <w:p w14:paraId="59FC15CF" w14:textId="77777777" w:rsidR="00AE22E6" w:rsidRPr="001F6AB8" w:rsidRDefault="00AE22E6" w:rsidP="00AE22E6">
      <w:pPr>
        <w:pStyle w:val="IASBNormalnparaL1"/>
      </w:pPr>
      <w:r w:rsidRPr="001F6AB8">
        <w:t>(a)</w:t>
      </w:r>
      <w:r w:rsidRPr="001F6AB8">
        <w:tab/>
        <w:t>that it has applied the practical expedient to all rent concessions that meet the conditions in paragraph 46B or, if not applied to all such rent concessions, information about the nature of the contracts to which it has applied the practical expedient (see paragraph 2); and</w:t>
      </w:r>
    </w:p>
    <w:p w14:paraId="36DD862F" w14:textId="77777777" w:rsidR="00AE22E6" w:rsidRPr="001F6AB8" w:rsidRDefault="00AE22E6" w:rsidP="00AE22E6">
      <w:pPr>
        <w:pStyle w:val="IASBNormalnparaL1"/>
      </w:pPr>
      <w:r w:rsidRPr="001F6AB8">
        <w:t>(b)</w:t>
      </w:r>
      <w:r w:rsidRPr="001F6AB8">
        <w:tab/>
        <w:t>the amount recognised in profit or loss for the reporting period to reflect changes in lease payments that arise from rent concessions to which the lessee has applied the practical expedient in paragraph 46A.</w:t>
      </w:r>
    </w:p>
    <w:p w14:paraId="13D87DAA" w14:textId="77777777" w:rsidR="00FD4BA8" w:rsidRDefault="009A1D2F">
      <w:pPr>
        <w:pStyle w:val="IASBSectionTitle1NonInd"/>
      </w:pPr>
      <w:r>
        <w:lastRenderedPageBreak/>
        <w:t>Lessor</w:t>
      </w:r>
    </w:p>
    <w:p w14:paraId="7359909C" w14:textId="77777777" w:rsidR="00FD4BA8" w:rsidRDefault="009A1D2F">
      <w:pPr>
        <w:pStyle w:val="IASBSectionTitle2Ind"/>
      </w:pPr>
      <w:r>
        <w:t>Classification of leases (paragraphs B53–B58)</w:t>
      </w:r>
    </w:p>
    <w:p w14:paraId="4E0DB72B" w14:textId="77777777" w:rsidR="00FD4BA8" w:rsidRDefault="009A1D2F">
      <w:pPr>
        <w:pStyle w:val="IASBNormalnpara"/>
        <w:rPr>
          <w:b/>
        </w:rPr>
      </w:pPr>
      <w:r>
        <w:rPr>
          <w:b/>
        </w:rPr>
        <w:t>61</w:t>
      </w:r>
      <w:r>
        <w:rPr>
          <w:b/>
        </w:rPr>
        <w:tab/>
        <w:t xml:space="preserve">A lessor shall classify each of its leases as either an </w:t>
      </w:r>
      <w:r>
        <w:rPr>
          <w:b/>
          <w:i/>
        </w:rPr>
        <w:t>operating lease or a finance lease</w:t>
      </w:r>
      <w:r>
        <w:rPr>
          <w:b/>
        </w:rPr>
        <w:t>.</w:t>
      </w:r>
    </w:p>
    <w:p w14:paraId="7F38C841" w14:textId="77777777" w:rsidR="00FD4BA8" w:rsidRDefault="009A1D2F">
      <w:pPr>
        <w:pStyle w:val="IASBNormalnpara"/>
        <w:rPr>
          <w:b/>
        </w:rPr>
      </w:pPr>
      <w:r>
        <w:rPr>
          <w:b/>
        </w:rPr>
        <w:t>62</w:t>
      </w:r>
      <w:r>
        <w:rPr>
          <w:b/>
        </w:rPr>
        <w:tab/>
        <w:t>A lease is classified as a finance lease if it transfers substantially all the risks and rewards incidental to ownership of an underlying asset. A lease is classified as an operating lease if it does not transfer substantially all the risks and rewards incidental to ownership of an underlying asset.</w:t>
      </w:r>
    </w:p>
    <w:p w14:paraId="40676B6F" w14:textId="77777777" w:rsidR="00FD4BA8" w:rsidRDefault="009A1D2F">
      <w:pPr>
        <w:pStyle w:val="IASBNormalnpara"/>
      </w:pPr>
      <w:r>
        <w:t>63</w:t>
      </w:r>
      <w:r>
        <w:tab/>
        <w:t>Whether a lease is a finance lease or an operating lease depends on the substance of the transaction rather than the form of the contract. Examples of situations that individually or in combination would normally lead to a lease being classified as a finance lease are:</w:t>
      </w:r>
    </w:p>
    <w:p w14:paraId="5A916B0C" w14:textId="77777777" w:rsidR="00FD4BA8" w:rsidRDefault="009A1D2F">
      <w:pPr>
        <w:pStyle w:val="IASBNormalnparaL1"/>
      </w:pPr>
      <w:r>
        <w:t>(a)</w:t>
      </w:r>
      <w:r>
        <w:tab/>
        <w:t>the lease transfers ownership of the underlying asset to the lessee by the end of the lease term;</w:t>
      </w:r>
    </w:p>
    <w:p w14:paraId="17C49084" w14:textId="77777777" w:rsidR="00FD4BA8" w:rsidRDefault="009A1D2F">
      <w:pPr>
        <w:pStyle w:val="IASBNormalnparaL1"/>
      </w:pPr>
      <w:r>
        <w:t>(b)</w:t>
      </w:r>
      <w:r>
        <w:tab/>
        <w:t xml:space="preserve">the lessee has the option to purchase the underlying asset at a price that is expected to be sufficiently lower than the </w:t>
      </w:r>
      <w:r>
        <w:rPr>
          <w:i/>
        </w:rPr>
        <w:t>fair value</w:t>
      </w:r>
      <w:r>
        <w:t xml:space="preserve"> at the date the option becomes exercisable for it to be reasonably certain, at the </w:t>
      </w:r>
      <w:r>
        <w:rPr>
          <w:i/>
        </w:rPr>
        <w:t>inception date</w:t>
      </w:r>
      <w:r>
        <w:t>, that the option will be exercised;</w:t>
      </w:r>
    </w:p>
    <w:p w14:paraId="6AE8D3AB" w14:textId="77777777" w:rsidR="00FD4BA8" w:rsidRDefault="009A1D2F">
      <w:pPr>
        <w:pStyle w:val="IASBNormalnparaL1"/>
      </w:pPr>
      <w:r>
        <w:t>(c)</w:t>
      </w:r>
      <w:r>
        <w:tab/>
        <w:t xml:space="preserve">the lease term is for the major part of the </w:t>
      </w:r>
      <w:r>
        <w:rPr>
          <w:i/>
        </w:rPr>
        <w:t>economic life</w:t>
      </w:r>
      <w:r>
        <w:t xml:space="preserve"> of the underlying asset even if title is not transferred;</w:t>
      </w:r>
    </w:p>
    <w:p w14:paraId="010D3E69" w14:textId="77777777" w:rsidR="00FD4BA8" w:rsidRDefault="009A1D2F">
      <w:pPr>
        <w:pStyle w:val="IASBNormalnparaL1"/>
      </w:pPr>
      <w:r>
        <w:t>(d)</w:t>
      </w:r>
      <w:r>
        <w:tab/>
        <w:t>at the inception date, the present value of the lease payments amounts to at least substantially all of the fair value of the underlying asset; and</w:t>
      </w:r>
    </w:p>
    <w:p w14:paraId="741FFC36" w14:textId="77777777" w:rsidR="00FD4BA8" w:rsidRDefault="009A1D2F">
      <w:pPr>
        <w:pStyle w:val="IASBNormalnparaL1"/>
      </w:pPr>
      <w:r>
        <w:t>(e)</w:t>
      </w:r>
      <w:r>
        <w:tab/>
        <w:t>the underlying asset is of such a specialised nature that only the lessee can use it without major modifications.</w:t>
      </w:r>
    </w:p>
    <w:p w14:paraId="0A1B9B0F" w14:textId="77777777" w:rsidR="00FD4BA8" w:rsidRDefault="009A1D2F">
      <w:pPr>
        <w:pStyle w:val="IASBNormalnpara"/>
      </w:pPr>
      <w:r>
        <w:t>64</w:t>
      </w:r>
      <w:r>
        <w:tab/>
        <w:t>Indicators of situations that individually or in combination could also lead to a lease being classified as a finance lease are:</w:t>
      </w:r>
    </w:p>
    <w:p w14:paraId="60183BA1" w14:textId="77777777" w:rsidR="00FD4BA8" w:rsidRDefault="009A1D2F">
      <w:pPr>
        <w:pStyle w:val="IASBNormalnparaL1"/>
      </w:pPr>
      <w:r>
        <w:t>(a)</w:t>
      </w:r>
      <w:r>
        <w:tab/>
        <w:t>if the lessee can cancel the lease, the lessor’s losses associated with the cancellation are borne by the lessee;</w:t>
      </w:r>
    </w:p>
    <w:p w14:paraId="1CB47DA3" w14:textId="77777777" w:rsidR="00FD4BA8" w:rsidRDefault="009A1D2F">
      <w:pPr>
        <w:pStyle w:val="IASBNormalnparaL1"/>
      </w:pPr>
      <w:r>
        <w:t>(b)</w:t>
      </w:r>
      <w:r>
        <w:tab/>
        <w:t>gains or losses from the fluctuation in the fair value of the residual accrue to the lessee (for example, in the form of a rent rebate equaling most of the sales proceeds at the end of the lease); and</w:t>
      </w:r>
    </w:p>
    <w:p w14:paraId="53448A24" w14:textId="77777777" w:rsidR="00FD4BA8" w:rsidRDefault="009A1D2F">
      <w:pPr>
        <w:pStyle w:val="IASBNormalnparaL1"/>
      </w:pPr>
      <w:r>
        <w:t>(c)</w:t>
      </w:r>
      <w:r>
        <w:tab/>
        <w:t>the lessee has the ability to continue the lease for a secondary period at a rent that is substantially lower than market rent.</w:t>
      </w:r>
    </w:p>
    <w:p w14:paraId="07745C33" w14:textId="77777777" w:rsidR="00FD4BA8" w:rsidRDefault="009A1D2F">
      <w:pPr>
        <w:pStyle w:val="IASBNormalnpara"/>
      </w:pPr>
      <w:r>
        <w:t>65</w:t>
      </w:r>
      <w:r>
        <w:tab/>
        <w:t>The examples and indicators in paragraphs 63–64 are not always conclusive. If it is clear from other features that the lease does not transfer substantially all the risks and rewards incidental to ownership of an underlying asset, the lease is classified as an operating lease. For example, this may be the case if ownership of the underlying asset transfers at the end of the lease for a variable payment equal to its then fair value, or if there are variable lease payments, as a result of which the lessor does not transfer substantially all such risks and rewards.</w:t>
      </w:r>
    </w:p>
    <w:p w14:paraId="1601D131" w14:textId="77777777" w:rsidR="00FD4BA8" w:rsidRDefault="009A1D2F">
      <w:pPr>
        <w:pStyle w:val="IASBNormalnpara"/>
      </w:pPr>
      <w:r>
        <w:t>66</w:t>
      </w:r>
      <w:r>
        <w:tab/>
        <w:t>Lease classification is made at the inception date and is reassessed only if there is a lease modification. Changes in estimates (for example, changes in estimates of the economic life or of the residual value of the underlying asset), or changes in circumstances (for example, default by the lessee), do not give rise to a new classification of a lease for accounting purposes.</w:t>
      </w:r>
    </w:p>
    <w:p w14:paraId="5EC31546" w14:textId="77777777" w:rsidR="00FD4BA8" w:rsidRDefault="009A1D2F">
      <w:pPr>
        <w:pStyle w:val="IASBSectionTitle2Ind"/>
      </w:pPr>
      <w:r>
        <w:t>Finance leases</w:t>
      </w:r>
    </w:p>
    <w:p w14:paraId="7D13FB6A" w14:textId="77777777" w:rsidR="00FD4BA8" w:rsidRDefault="009A1D2F">
      <w:pPr>
        <w:pStyle w:val="IASBSectionTitle3Ind"/>
      </w:pPr>
      <w:r>
        <w:t>Recognition and measurement</w:t>
      </w:r>
    </w:p>
    <w:p w14:paraId="02A0FB50" w14:textId="77777777" w:rsidR="00FD4BA8" w:rsidRDefault="009A1D2F">
      <w:pPr>
        <w:pStyle w:val="IASBNormalnpara"/>
        <w:rPr>
          <w:b/>
        </w:rPr>
      </w:pPr>
      <w:r>
        <w:rPr>
          <w:b/>
        </w:rPr>
        <w:t>67</w:t>
      </w:r>
      <w:r>
        <w:rPr>
          <w:b/>
        </w:rPr>
        <w:tab/>
        <w:t xml:space="preserve">At the commencement date, a lessor shall recognise assets held under a finance lease in its statement of financial position and present them as a receivable at an amount equal to the </w:t>
      </w:r>
      <w:r>
        <w:rPr>
          <w:b/>
          <w:i/>
        </w:rPr>
        <w:t>net investment in the lease</w:t>
      </w:r>
      <w:r>
        <w:rPr>
          <w:b/>
        </w:rPr>
        <w:t>.</w:t>
      </w:r>
    </w:p>
    <w:p w14:paraId="74D5CB74" w14:textId="77777777" w:rsidR="00FD4BA8" w:rsidRDefault="009A1D2F">
      <w:pPr>
        <w:pStyle w:val="IASBSectionTitle4Ind"/>
      </w:pPr>
      <w:r>
        <w:t>Initial measurement</w:t>
      </w:r>
    </w:p>
    <w:p w14:paraId="48EB2577" w14:textId="77777777" w:rsidR="00FD4BA8" w:rsidRDefault="009A1D2F">
      <w:pPr>
        <w:pStyle w:val="IASBNormalnpara"/>
      </w:pPr>
      <w:r>
        <w:t>68</w:t>
      </w:r>
      <w:r>
        <w:tab/>
        <w:t>The lessor shall use the interest rate implicit in the lease to measure the net investment in the lease. In the case of a sublease, if the interest rate implicit in the sublease cannot be readily determined, an intermediate lessor may use the discount rate used for the head lease (adjusted for any initial direct costs associated with the sublease) to measure the net investment in the sublease.</w:t>
      </w:r>
    </w:p>
    <w:p w14:paraId="00092E9C" w14:textId="77777777" w:rsidR="00FD4BA8" w:rsidRDefault="009A1D2F">
      <w:pPr>
        <w:pStyle w:val="IASBNormalnpara"/>
      </w:pPr>
      <w:r>
        <w:t>69</w:t>
      </w:r>
      <w:r>
        <w:tab/>
        <w:t xml:space="preserve">Initial direct costs, other than those incurred by manufacturer or dealer lessors, are included in the initial measurement of the net investment in the lease and reduce the amount of income recognised over the lease </w:t>
      </w:r>
      <w:r>
        <w:lastRenderedPageBreak/>
        <w:t xml:space="preserve">term. The interest rate implicit in the lease is defined in such a way that the initial direct costs are included automatically in the net investment in the lease; there is no need to add them separately. </w:t>
      </w:r>
    </w:p>
    <w:p w14:paraId="7B4DCB1E" w14:textId="77777777" w:rsidR="00FD4BA8" w:rsidRDefault="009A1D2F">
      <w:pPr>
        <w:pStyle w:val="IASBSectionTitle5Ind"/>
      </w:pPr>
      <w:r>
        <w:t>Initial measurement of the lease payments included in the net investment in the lease</w:t>
      </w:r>
    </w:p>
    <w:p w14:paraId="727643CB" w14:textId="77777777" w:rsidR="00FD4BA8" w:rsidRDefault="009A1D2F">
      <w:pPr>
        <w:pStyle w:val="IASBNormalnpara"/>
      </w:pPr>
      <w:r>
        <w:t>70</w:t>
      </w:r>
      <w:r>
        <w:tab/>
        <w:t>At the commencement date, the lease payments included in the measurement of the net investment in the lease comprise the following payments for the right to use the underlying asset during the lease term that are not received at the commencement date:</w:t>
      </w:r>
    </w:p>
    <w:p w14:paraId="3E13C100" w14:textId="77777777" w:rsidR="00FD4BA8" w:rsidRDefault="009A1D2F">
      <w:pPr>
        <w:pStyle w:val="IASBNormalnparaL1"/>
      </w:pPr>
      <w:r>
        <w:t>(a)</w:t>
      </w:r>
      <w:r>
        <w:tab/>
        <w:t>fixed payments (including in-substance fixed payments as described in paragraph B42), less any lease incentives payable;</w:t>
      </w:r>
    </w:p>
    <w:p w14:paraId="16DFF964" w14:textId="77777777" w:rsidR="00FD4BA8" w:rsidRDefault="009A1D2F">
      <w:pPr>
        <w:pStyle w:val="IASBNormalnparaL1"/>
      </w:pPr>
      <w:r>
        <w:t>(b)</w:t>
      </w:r>
      <w:r>
        <w:tab/>
        <w:t>variable lease payments that depend on an index or a rate, initially measured using the index or rate as at the commencement date;</w:t>
      </w:r>
    </w:p>
    <w:p w14:paraId="296F2362" w14:textId="77777777" w:rsidR="00FD4BA8" w:rsidRDefault="009A1D2F">
      <w:pPr>
        <w:pStyle w:val="IASBNormalnparaL1"/>
      </w:pPr>
      <w:r>
        <w:t>(c)</w:t>
      </w:r>
      <w:r>
        <w:tab/>
        <w:t>any residual value guarantees provided to the lessor by the lessee, a party related to the lessee or a third party unrelated to the lessor that is financially capable of discharging the obligations under the guarantee;</w:t>
      </w:r>
    </w:p>
    <w:p w14:paraId="27AD26F7" w14:textId="77777777" w:rsidR="00FD4BA8" w:rsidRDefault="009A1D2F">
      <w:pPr>
        <w:pStyle w:val="IASBNormalnparaL1"/>
      </w:pPr>
      <w:r>
        <w:t>(d)</w:t>
      </w:r>
      <w:r>
        <w:tab/>
        <w:t>the exercise price of a purchase option if the lessee is reasonably certain to exercise that option (assessed considering the factors described in paragraph B37); and</w:t>
      </w:r>
    </w:p>
    <w:p w14:paraId="38BCACB2" w14:textId="77777777" w:rsidR="00FD4BA8" w:rsidRDefault="009A1D2F">
      <w:pPr>
        <w:pStyle w:val="IASBNormalnparaL1"/>
      </w:pPr>
      <w:r>
        <w:t>(e)</w:t>
      </w:r>
      <w:r>
        <w:tab/>
        <w:t>payments of penalties for terminating the lease, if the lease term reflects the lessee exercising an option to terminate the lease.</w:t>
      </w:r>
    </w:p>
    <w:p w14:paraId="3939EFC6" w14:textId="77777777" w:rsidR="00FD4BA8" w:rsidRDefault="009A1D2F">
      <w:pPr>
        <w:pStyle w:val="IASBSectionTitle5Ind"/>
      </w:pPr>
      <w:r>
        <w:t>Manufacturer or dealer lessors</w:t>
      </w:r>
    </w:p>
    <w:p w14:paraId="7EB040DD" w14:textId="77777777" w:rsidR="00FD4BA8" w:rsidRDefault="009A1D2F">
      <w:pPr>
        <w:pStyle w:val="IASBNormalnpara"/>
      </w:pPr>
      <w:r>
        <w:t>71</w:t>
      </w:r>
      <w:r>
        <w:tab/>
        <w:t>At the commencement date, a manufacturer or dealer lessor shall recognise the following for each of its finance leases:</w:t>
      </w:r>
    </w:p>
    <w:p w14:paraId="4AB5587E" w14:textId="77777777" w:rsidR="00FD4BA8" w:rsidRDefault="009A1D2F">
      <w:pPr>
        <w:pStyle w:val="IASBNormalnparaL1"/>
      </w:pPr>
      <w:r>
        <w:t>(a)</w:t>
      </w:r>
      <w:r>
        <w:tab/>
        <w:t>revenue being the fair value of the underlying asset, or, if lower, the present value of the lease payments accruing to the lessor, discounted using a market rate of interest;</w:t>
      </w:r>
    </w:p>
    <w:p w14:paraId="2A10BD81" w14:textId="77777777" w:rsidR="00FD4BA8" w:rsidRDefault="009A1D2F">
      <w:pPr>
        <w:pStyle w:val="IASBNormalnparaL1"/>
      </w:pPr>
      <w:r>
        <w:t>(b)</w:t>
      </w:r>
      <w:r>
        <w:tab/>
        <w:t xml:space="preserve">the cost of sale being the cost, or carrying amount if different, of the underlying asset less the present value of the </w:t>
      </w:r>
      <w:r>
        <w:rPr>
          <w:i/>
        </w:rPr>
        <w:t>unguaranteed residual value</w:t>
      </w:r>
      <w:r>
        <w:t>; and</w:t>
      </w:r>
    </w:p>
    <w:p w14:paraId="5F42CEA2" w14:textId="77777777" w:rsidR="00FD4BA8" w:rsidRDefault="009A1D2F">
      <w:pPr>
        <w:pStyle w:val="IASBNormalnparaL1"/>
      </w:pPr>
      <w:r>
        <w:t>(c)</w:t>
      </w:r>
      <w:r>
        <w:tab/>
        <w:t>selling profit or loss (being the difference between revenue and the cost of sale) in accordance with its policy for outright sales to which</w:t>
      </w:r>
      <w:r w:rsidR="00E27198">
        <w:t xml:space="preserve"> AASB 15</w:t>
      </w:r>
      <w:r>
        <w:t xml:space="preserve"> applies. A manufacturer or dealer lessor shall recognise selling profit or loss on a finance lease at the commencement date, regardless of whether the lessor transfers the underlying asset as described in</w:t>
      </w:r>
      <w:r w:rsidR="00E27198">
        <w:t xml:space="preserve"> AASB 15</w:t>
      </w:r>
      <w:r>
        <w:t>.</w:t>
      </w:r>
    </w:p>
    <w:p w14:paraId="20FE15B7" w14:textId="77777777" w:rsidR="00FD4BA8" w:rsidRDefault="009A1D2F">
      <w:pPr>
        <w:pStyle w:val="IASBNormalnpara"/>
      </w:pPr>
      <w:r>
        <w:t>72</w:t>
      </w:r>
      <w:r>
        <w:tab/>
        <w:t>Manufacturers or dealers often offer to customers the choice of either buying or leasing an asset. A finance lease of an asset by a manufacturer or dealer lessor gives rise to profit or loss equivalent to the profit or loss resulting from an outright sale of the underlying asset, at normal selling prices, reflecting any applicable volume or trade discounts.</w:t>
      </w:r>
    </w:p>
    <w:p w14:paraId="4E93C06E" w14:textId="77777777" w:rsidR="00FD4BA8" w:rsidRDefault="009A1D2F">
      <w:pPr>
        <w:pStyle w:val="IASBNormalnpara"/>
      </w:pPr>
      <w:r>
        <w:t>73</w:t>
      </w:r>
      <w:r>
        <w:tab/>
        <w:t>Manufacturer or dealer lessors sometimes quote artificially low rates of interest in order to attract customers. The use of such a rate would result in a lessor recognising an excessive portion of the total income from the transaction at the commencement date. If artificially low rates of interest are quoted, a manufacturer or dealer lessor shall restrict selling profit to that which would apply if a market rate of interest were charged.</w:t>
      </w:r>
    </w:p>
    <w:p w14:paraId="154A2995" w14:textId="77777777" w:rsidR="00FD4BA8" w:rsidRDefault="009A1D2F">
      <w:pPr>
        <w:pStyle w:val="IASBNormalnpara"/>
      </w:pPr>
      <w:r>
        <w:t>74</w:t>
      </w:r>
      <w:r>
        <w:tab/>
        <w:t>A manufacturer or dealer lessor shall recognise as an expense costs incurred in connection with obtaining a finance lease at the commencement date because they are mainly related to earning the manufacturer or dealer’s selling profit. Costs incurred by manufacturer or dealer lessors in connection with obtaining a finance lease are excluded from the definition of initial direct costs and, thus, are excluded from the net investment in the lease.</w:t>
      </w:r>
    </w:p>
    <w:p w14:paraId="592A0900" w14:textId="77777777" w:rsidR="00FD4BA8" w:rsidRDefault="009A1D2F">
      <w:pPr>
        <w:pStyle w:val="IASBSectionTitle4Ind"/>
      </w:pPr>
      <w:r>
        <w:t>Subsequent measurement</w:t>
      </w:r>
    </w:p>
    <w:p w14:paraId="3CA836F7" w14:textId="77777777" w:rsidR="00FD4BA8" w:rsidRDefault="009A1D2F">
      <w:pPr>
        <w:pStyle w:val="IASBNormalnpara"/>
        <w:rPr>
          <w:b/>
        </w:rPr>
      </w:pPr>
      <w:r>
        <w:rPr>
          <w:b/>
        </w:rPr>
        <w:t>75</w:t>
      </w:r>
      <w:r>
        <w:rPr>
          <w:b/>
        </w:rPr>
        <w:tab/>
        <w:t>A lessor shall recognise finance income over the lease term, based on a pattern reflecting a constant periodic rate of return on the lessor’s net investment in the lease.</w:t>
      </w:r>
    </w:p>
    <w:p w14:paraId="1C518623" w14:textId="77777777" w:rsidR="00FD4BA8" w:rsidRDefault="009A1D2F">
      <w:pPr>
        <w:pStyle w:val="IASBNormalnpara"/>
      </w:pPr>
      <w:r>
        <w:t>76</w:t>
      </w:r>
      <w:r>
        <w:tab/>
        <w:t xml:space="preserve">A lessor aims to allocate finance income over the lease term on a systematic and rational basis. A lessor shall apply the lease payments relating to the period against the </w:t>
      </w:r>
      <w:r>
        <w:rPr>
          <w:i/>
        </w:rPr>
        <w:t>gross investment in the lease</w:t>
      </w:r>
      <w:r>
        <w:t xml:space="preserve"> to reduce both the principal and the </w:t>
      </w:r>
      <w:r>
        <w:rPr>
          <w:i/>
        </w:rPr>
        <w:t>unearned finance income</w:t>
      </w:r>
      <w:r>
        <w:t>.</w:t>
      </w:r>
    </w:p>
    <w:p w14:paraId="7E93AF79" w14:textId="77777777" w:rsidR="00FD4BA8" w:rsidRDefault="009A1D2F">
      <w:pPr>
        <w:pStyle w:val="IASBNormalnpara"/>
      </w:pPr>
      <w:r>
        <w:t>77</w:t>
      </w:r>
      <w:r>
        <w:tab/>
        <w:t>A lessor shall apply the derecognition and impairment requirements in</w:t>
      </w:r>
      <w:r w:rsidR="00E27198">
        <w:t xml:space="preserve"> AASB 9</w:t>
      </w:r>
      <w:r>
        <w:t xml:space="preserve"> to the net investment in the lease. A lessor shall review regularly estimated unguaranteed residual values used in computing the gross investment in the lease. If there has been a reduction in the estimated unguaranteed residual value, the lessor </w:t>
      </w:r>
      <w:r>
        <w:lastRenderedPageBreak/>
        <w:t>shall revise the income allocation over the lease term and recognise immediately any reduction in respect of amounts accrued.</w:t>
      </w:r>
    </w:p>
    <w:p w14:paraId="02BFAF18" w14:textId="77777777" w:rsidR="00FD4BA8" w:rsidRDefault="009A1D2F">
      <w:pPr>
        <w:pStyle w:val="IASBNormalnpara"/>
      </w:pPr>
      <w:r>
        <w:t>78</w:t>
      </w:r>
      <w:r>
        <w:tab/>
        <w:t>A lessor that classifies an asset under a finance lease as held for sale (or includes it in a disposal group that is classified as held for sale) applying</w:t>
      </w:r>
      <w:r w:rsidR="00E27198">
        <w:t xml:space="preserve"> AASB 5</w:t>
      </w:r>
      <w:r>
        <w:t xml:space="preserve"> </w:t>
      </w:r>
      <w:r>
        <w:rPr>
          <w:i/>
        </w:rPr>
        <w:t>Non-current Assets Held for Sale and Discontinued Operations</w:t>
      </w:r>
      <w:r>
        <w:t xml:space="preserve"> shall account for the asset in accordance with that Standard.</w:t>
      </w:r>
    </w:p>
    <w:p w14:paraId="0EACE232" w14:textId="77777777" w:rsidR="00FD4BA8" w:rsidRDefault="009A1D2F">
      <w:pPr>
        <w:pStyle w:val="IASBSectionTitle5Ind"/>
      </w:pPr>
      <w:r>
        <w:t>Lease modifications</w:t>
      </w:r>
    </w:p>
    <w:p w14:paraId="196E4DAB" w14:textId="77777777" w:rsidR="00FD4BA8" w:rsidRDefault="009A1D2F">
      <w:pPr>
        <w:pStyle w:val="IASBNormalnpara"/>
      </w:pPr>
      <w:r>
        <w:t>79</w:t>
      </w:r>
      <w:r>
        <w:tab/>
        <w:t>A lessor shall account for a modification to a finance lease as a separate lease if both:</w:t>
      </w:r>
    </w:p>
    <w:p w14:paraId="37A657C3" w14:textId="77777777" w:rsidR="00FD4BA8" w:rsidRDefault="009A1D2F">
      <w:pPr>
        <w:pStyle w:val="IASBNormalnparaL1"/>
      </w:pPr>
      <w:r>
        <w:t>(a)</w:t>
      </w:r>
      <w:r>
        <w:tab/>
        <w:t>the modification increases the scope of the lease by adding the right to use one or more underlying assets; and</w:t>
      </w:r>
    </w:p>
    <w:p w14:paraId="0381A7FD" w14:textId="77777777" w:rsidR="00FD4BA8" w:rsidRDefault="009A1D2F">
      <w:pPr>
        <w:pStyle w:val="IASBNormalnparaL1"/>
      </w:pPr>
      <w:r>
        <w:t>(b)</w:t>
      </w:r>
      <w:r>
        <w:tab/>
        <w:t>the consideration for the lease increases by an amount commensurate with the stand-alone price for the increase in scope and any appropriate adjustments to that stand-alone price to reflect the circumstances of the particular contract.</w:t>
      </w:r>
    </w:p>
    <w:p w14:paraId="201647B7" w14:textId="77777777" w:rsidR="00FD4BA8" w:rsidRDefault="009A1D2F">
      <w:pPr>
        <w:pStyle w:val="IASBNormalnpara"/>
      </w:pPr>
      <w:r>
        <w:t>80</w:t>
      </w:r>
      <w:r>
        <w:tab/>
        <w:t>For a modification to a finance lease that is not accounted for as a separate lease, a lessor shall account for the modification as follows:</w:t>
      </w:r>
    </w:p>
    <w:p w14:paraId="11C9F0CE" w14:textId="77777777" w:rsidR="00FD4BA8" w:rsidRDefault="009A1D2F">
      <w:pPr>
        <w:pStyle w:val="IASBNormalnparaL1"/>
      </w:pPr>
      <w:r>
        <w:t>(a)</w:t>
      </w:r>
      <w:r>
        <w:tab/>
        <w:t>if the lease would have been classified as an operating lease had the modification been in effect at the inception date, the lessor shall:</w:t>
      </w:r>
    </w:p>
    <w:p w14:paraId="0B27C098" w14:textId="77777777" w:rsidR="00FD4BA8" w:rsidRDefault="009A1D2F">
      <w:pPr>
        <w:pStyle w:val="IASBNormalnparaL2"/>
      </w:pPr>
      <w:r>
        <w:t>(i)</w:t>
      </w:r>
      <w:r>
        <w:tab/>
        <w:t>account for the lease modification as a new lease from the effective date of the modification; and</w:t>
      </w:r>
    </w:p>
    <w:p w14:paraId="0F142BB6" w14:textId="77777777" w:rsidR="00FD4BA8" w:rsidRDefault="009A1D2F">
      <w:pPr>
        <w:pStyle w:val="IASBNormalnparaL2"/>
      </w:pPr>
      <w:r>
        <w:t>(ii)</w:t>
      </w:r>
      <w:r>
        <w:tab/>
        <w:t>measure the carrying amount of the underlying asset as the net investment in the lease immediately before the effective date of the lease modification.</w:t>
      </w:r>
    </w:p>
    <w:p w14:paraId="13DDAA34" w14:textId="77777777" w:rsidR="00FD4BA8" w:rsidRDefault="009A1D2F">
      <w:pPr>
        <w:pStyle w:val="IASBNormalnparaL1"/>
      </w:pPr>
      <w:r>
        <w:t>(b)</w:t>
      </w:r>
      <w:r>
        <w:tab/>
        <w:t>otherwise, the lessor shall apply the requirements of</w:t>
      </w:r>
      <w:r w:rsidR="00E27198">
        <w:t xml:space="preserve"> AASB 9</w:t>
      </w:r>
      <w:r>
        <w:t>.</w:t>
      </w:r>
    </w:p>
    <w:p w14:paraId="39D75280" w14:textId="77777777" w:rsidR="00FD4BA8" w:rsidRDefault="009A1D2F">
      <w:pPr>
        <w:pStyle w:val="IASBSectionTitle2Ind"/>
      </w:pPr>
      <w:r>
        <w:t>Operating leases</w:t>
      </w:r>
    </w:p>
    <w:p w14:paraId="1484C887" w14:textId="77777777" w:rsidR="00FD4BA8" w:rsidRDefault="009A1D2F">
      <w:pPr>
        <w:pStyle w:val="IASBSectionTitle3Ind"/>
      </w:pPr>
      <w:r>
        <w:t>Recognition and measurement</w:t>
      </w:r>
    </w:p>
    <w:p w14:paraId="450D9638" w14:textId="77777777" w:rsidR="00FD4BA8" w:rsidRDefault="009A1D2F">
      <w:pPr>
        <w:pStyle w:val="IASBNormalnpara"/>
        <w:rPr>
          <w:b/>
        </w:rPr>
      </w:pPr>
      <w:r>
        <w:rPr>
          <w:b/>
        </w:rPr>
        <w:t>81</w:t>
      </w:r>
      <w:r>
        <w:rPr>
          <w:b/>
        </w:rPr>
        <w:tab/>
        <w:t>A lessor shall recognise lease payments from operating leases as income on either a straight-line basis or another systematic basis. The lessor shall apply another systematic basis if that basis is more representative of the pattern in which benefit from the use of the underlying asset is diminished.</w:t>
      </w:r>
    </w:p>
    <w:p w14:paraId="3548BE82" w14:textId="77777777" w:rsidR="00FD4BA8" w:rsidRDefault="009A1D2F">
      <w:pPr>
        <w:pStyle w:val="IASBNormalnpara"/>
      </w:pPr>
      <w:r>
        <w:t>82</w:t>
      </w:r>
      <w:r>
        <w:tab/>
        <w:t>A lessor shall recognise costs, including depreciation, incurred in earning the lease income as an expense.</w:t>
      </w:r>
    </w:p>
    <w:p w14:paraId="42C144BD" w14:textId="77777777" w:rsidR="00FD4BA8" w:rsidRDefault="009A1D2F">
      <w:pPr>
        <w:pStyle w:val="IASBNormalnpara"/>
      </w:pPr>
      <w:r>
        <w:t>83</w:t>
      </w:r>
      <w:r>
        <w:tab/>
        <w:t>A lessor shall add initial direct costs incurred in obtaining an operating lease to the carrying amount of the underlying asset and recognise those costs as an expense over the lease term on the same basis as the lease income.</w:t>
      </w:r>
    </w:p>
    <w:p w14:paraId="0B76D364" w14:textId="77777777" w:rsidR="00FD4BA8" w:rsidRDefault="009A1D2F">
      <w:pPr>
        <w:pStyle w:val="IASBNormalnpara"/>
      </w:pPr>
      <w:r>
        <w:t>84</w:t>
      </w:r>
      <w:r>
        <w:tab/>
        <w:t>The depreciation policy for depreciable underlying assets subject to operating leases shall be consistent with the lessor’s normal depreciation policy for similar assets. A lessor shall calculate depreciation in accordance with</w:t>
      </w:r>
      <w:r w:rsidR="00E27198">
        <w:t xml:space="preserve"> AASB 116</w:t>
      </w:r>
      <w:r>
        <w:t xml:space="preserve"> and</w:t>
      </w:r>
      <w:r w:rsidR="00E27198">
        <w:t xml:space="preserve"> AASB 138</w:t>
      </w:r>
      <w:r>
        <w:t>.</w:t>
      </w:r>
    </w:p>
    <w:p w14:paraId="689856CD" w14:textId="77777777" w:rsidR="00FD4BA8" w:rsidRDefault="009A1D2F">
      <w:pPr>
        <w:pStyle w:val="IASBNormalnpara"/>
      </w:pPr>
      <w:r>
        <w:t>85</w:t>
      </w:r>
      <w:r>
        <w:tab/>
        <w:t>A lessor shall apply</w:t>
      </w:r>
      <w:r w:rsidR="00E27198">
        <w:t xml:space="preserve"> AASB 136</w:t>
      </w:r>
      <w:r>
        <w:t xml:space="preserve"> to determine whether an underlying asset subject to an operating lease is impaired and to account for any impairment loss identified.</w:t>
      </w:r>
    </w:p>
    <w:p w14:paraId="3746EE82" w14:textId="77777777" w:rsidR="00FD4BA8" w:rsidRDefault="009A1D2F">
      <w:pPr>
        <w:pStyle w:val="IASBNormalnpara"/>
      </w:pPr>
      <w:r>
        <w:t>86</w:t>
      </w:r>
      <w:r>
        <w:tab/>
        <w:t>A manufacturer or dealer lessor does not recognise any selling profit on entering into an operating lease because it is not the equivalent of a sale.</w:t>
      </w:r>
    </w:p>
    <w:p w14:paraId="3738CA9E" w14:textId="77777777" w:rsidR="00FD4BA8" w:rsidRDefault="009A1D2F">
      <w:pPr>
        <w:pStyle w:val="IASBSectionTitle4Ind"/>
      </w:pPr>
      <w:r>
        <w:t>Lease modifications</w:t>
      </w:r>
    </w:p>
    <w:p w14:paraId="18C1DDA0" w14:textId="77777777" w:rsidR="00FD4BA8" w:rsidRDefault="009A1D2F">
      <w:pPr>
        <w:pStyle w:val="IASBNormalnpara"/>
      </w:pPr>
      <w:r>
        <w:t>87</w:t>
      </w:r>
      <w:r>
        <w:tab/>
        <w:t>A lessor shall account for a modification to an operating lease as a new lease from the effective date of the modification, considering any prepaid or accrued lease payments relating to the original lease as part of the lease payments for the new lease.</w:t>
      </w:r>
    </w:p>
    <w:p w14:paraId="60600EE0" w14:textId="77777777" w:rsidR="00FD4BA8" w:rsidRDefault="009A1D2F">
      <w:pPr>
        <w:pStyle w:val="IASBSectionTitle3Ind"/>
      </w:pPr>
      <w:r>
        <w:t>Presentation</w:t>
      </w:r>
    </w:p>
    <w:p w14:paraId="602799B7" w14:textId="77777777" w:rsidR="00FD4BA8" w:rsidRDefault="009A1D2F">
      <w:pPr>
        <w:pStyle w:val="IASBNormalnpara"/>
      </w:pPr>
      <w:r>
        <w:t>88</w:t>
      </w:r>
      <w:r>
        <w:tab/>
        <w:t>A lessor shall present underlying assets subject to operating leases in its statement of financial position according to the nature of the underlying asset.</w:t>
      </w:r>
    </w:p>
    <w:p w14:paraId="6A40E25C" w14:textId="77777777" w:rsidR="00FD4BA8" w:rsidRDefault="009A1D2F">
      <w:pPr>
        <w:pStyle w:val="IASBSectionTitle2Ind"/>
      </w:pPr>
      <w:r>
        <w:lastRenderedPageBreak/>
        <w:t>Disclosure</w:t>
      </w:r>
    </w:p>
    <w:p w14:paraId="5638DE4E" w14:textId="77777777" w:rsidR="00FD4BA8" w:rsidRDefault="009A1D2F">
      <w:pPr>
        <w:pStyle w:val="IASBNormalnpara"/>
        <w:rPr>
          <w:b/>
        </w:rPr>
      </w:pPr>
      <w:r>
        <w:rPr>
          <w:b/>
        </w:rPr>
        <w:t>89</w:t>
      </w:r>
      <w:r>
        <w:rPr>
          <w:b/>
        </w:rPr>
        <w:tab/>
        <w:t>The objective of the disclosures is for lessors to disclose information in the notes that, together with the information provided in the statement of financial position, statement of profit or loss and statement of cash flows, gives a basis for users of financial statements to assess the effect that leases have on the financial position, financial performance and cash flows of the lessor. Paragraphs 90–97 specify requirements on how to meet this objective.</w:t>
      </w:r>
    </w:p>
    <w:p w14:paraId="5EB52BFA" w14:textId="77777777" w:rsidR="00FD4BA8" w:rsidRDefault="009A1D2F">
      <w:pPr>
        <w:pStyle w:val="IASBNormalnpara"/>
      </w:pPr>
      <w:r>
        <w:t>90</w:t>
      </w:r>
      <w:r>
        <w:tab/>
        <w:t>A lessor shall disclose the following amounts for the reporting period:</w:t>
      </w:r>
    </w:p>
    <w:p w14:paraId="67650742" w14:textId="77777777" w:rsidR="00FD4BA8" w:rsidRDefault="009A1D2F">
      <w:pPr>
        <w:pStyle w:val="IASBNormalnparaL1"/>
      </w:pPr>
      <w:r>
        <w:t>(a)</w:t>
      </w:r>
      <w:r>
        <w:tab/>
        <w:t>for finance leases:</w:t>
      </w:r>
    </w:p>
    <w:p w14:paraId="29D46F55" w14:textId="77777777" w:rsidR="00FD4BA8" w:rsidRDefault="009A1D2F">
      <w:pPr>
        <w:pStyle w:val="IASBNormalnparaL2"/>
      </w:pPr>
      <w:r>
        <w:t>(i)</w:t>
      </w:r>
      <w:r>
        <w:tab/>
        <w:t>selling profit or loss;</w:t>
      </w:r>
    </w:p>
    <w:p w14:paraId="55BFC920" w14:textId="77777777" w:rsidR="00FD4BA8" w:rsidRDefault="009A1D2F">
      <w:pPr>
        <w:pStyle w:val="IASBNormalnparaL2"/>
      </w:pPr>
      <w:r>
        <w:t>(ii)</w:t>
      </w:r>
      <w:r>
        <w:tab/>
        <w:t>finance income on the net investment in the lease; and</w:t>
      </w:r>
    </w:p>
    <w:p w14:paraId="3993A1C6" w14:textId="77777777" w:rsidR="00FD4BA8" w:rsidRDefault="009A1D2F">
      <w:pPr>
        <w:pStyle w:val="IASBNormalnparaL2"/>
      </w:pPr>
      <w:r>
        <w:t>(iii)</w:t>
      </w:r>
      <w:r>
        <w:tab/>
        <w:t>income relating to variable lease payments not included in the measurement of the net investment in the lease.</w:t>
      </w:r>
    </w:p>
    <w:p w14:paraId="6FB1F7E7" w14:textId="77777777" w:rsidR="00FD4BA8" w:rsidRDefault="009A1D2F">
      <w:pPr>
        <w:pStyle w:val="IASBNormalnparaL1"/>
      </w:pPr>
      <w:r>
        <w:t>(b)</w:t>
      </w:r>
      <w:r>
        <w:tab/>
        <w:t>for operating leases, lease income</w:t>
      </w:r>
      <w:r w:rsidRPr="0094287A">
        <w:rPr>
          <w:shd w:val="clear" w:color="auto" w:fill="D9D9D9" w:themeFill="background1" w:themeFillShade="D9"/>
        </w:rPr>
        <w:t>, s</w:t>
      </w:r>
      <w:r w:rsidRPr="00CE32A4">
        <w:rPr>
          <w:shd w:val="clear" w:color="auto" w:fill="D9D9D9" w:themeFill="background1" w:themeFillShade="D9"/>
        </w:rPr>
        <w:t>eparately disclosing income relating to variable lease payments that do not depend on an index or a rate</w:t>
      </w:r>
      <w:r w:rsidRPr="0094287A">
        <w:t>.</w:t>
      </w:r>
    </w:p>
    <w:p w14:paraId="198043FE" w14:textId="77777777" w:rsidR="00FD4BA8" w:rsidRDefault="009A1D2F" w:rsidP="00CE32A4">
      <w:pPr>
        <w:pStyle w:val="RDRM1"/>
      </w:pPr>
      <w:r>
        <w:t>91</w:t>
      </w:r>
      <w:r>
        <w:tab/>
        <w:t>A lessor shall provide the disclosures specified in paragraph 90 in a tabular format, unless another format is more appropriate.</w:t>
      </w:r>
    </w:p>
    <w:p w14:paraId="68BD307A" w14:textId="77777777" w:rsidR="00FD4BA8" w:rsidRDefault="009A1D2F">
      <w:pPr>
        <w:pStyle w:val="IASBNormalnpara"/>
      </w:pPr>
      <w:r>
        <w:t>92</w:t>
      </w:r>
      <w:r>
        <w:tab/>
        <w:t>A lessor shall disclose additional qualitative and quantitative information about its leasing activities necessary to meet the disclosure objective in paragraph 89. This additional information includes, but is not limited to, information that helps users of financial statements to assess:</w:t>
      </w:r>
    </w:p>
    <w:p w14:paraId="3CF9A3EB" w14:textId="77777777" w:rsidR="00FD4BA8" w:rsidRDefault="009A1D2F">
      <w:pPr>
        <w:pStyle w:val="IASBNormalnparaL1"/>
      </w:pPr>
      <w:r>
        <w:t>(a)</w:t>
      </w:r>
      <w:r>
        <w:tab/>
        <w:t>the nature of the lessor’s leasing activities; and</w:t>
      </w:r>
    </w:p>
    <w:p w14:paraId="501241EA" w14:textId="77777777" w:rsidR="00FD4BA8" w:rsidRDefault="009A1D2F">
      <w:pPr>
        <w:pStyle w:val="IASBNormalnparaL1"/>
      </w:pPr>
      <w:r>
        <w:t>(b)</w:t>
      </w:r>
      <w:r>
        <w:tab/>
        <w:t>how the lessor manages the risk associated with any rights it retains in underlying assets. In particular, a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p w14:paraId="67779C26" w14:textId="77777777" w:rsidR="00FD4BA8" w:rsidRDefault="009A1D2F">
      <w:pPr>
        <w:pStyle w:val="IASBSectionTitle3Ind"/>
      </w:pPr>
      <w:r>
        <w:t>Finance leases</w:t>
      </w:r>
    </w:p>
    <w:p w14:paraId="72AE5E74" w14:textId="77777777" w:rsidR="00FD4BA8" w:rsidRDefault="009A1D2F">
      <w:pPr>
        <w:pStyle w:val="IASBNormalnpara"/>
      </w:pPr>
      <w:r>
        <w:t>93</w:t>
      </w:r>
      <w:r>
        <w:tab/>
        <w:t>A lessor shall provide a qualitative and quantitative explanation of the significant changes in the carrying amount of the net investment in finance leases.</w:t>
      </w:r>
    </w:p>
    <w:p w14:paraId="266A83A0" w14:textId="77777777" w:rsidR="00FD4BA8" w:rsidRDefault="009A1D2F">
      <w:pPr>
        <w:pStyle w:val="IASBNormalnpara"/>
      </w:pPr>
      <w:r>
        <w:t>94</w:t>
      </w:r>
      <w:r>
        <w:tab/>
        <w:t>A lessor shall disclose a maturity analysis of the lease payments receivable, showing the undiscounted lease payments to be received on an annual basis for a minimum of each of the first five years and a total of the amounts for the remaining years. A lessor shall reconcile the undiscounted lease payments to the net investment in the lease. The reconciliation shall identify the unearned finance income relating to the lease payments receivable and any discounted unguaranteed residual value.</w:t>
      </w:r>
    </w:p>
    <w:p w14:paraId="5F4851C9" w14:textId="77777777" w:rsidR="00FD4BA8" w:rsidRDefault="009A1D2F">
      <w:pPr>
        <w:pStyle w:val="IASBSectionTitle3Ind"/>
      </w:pPr>
      <w:r>
        <w:t>Operating leases</w:t>
      </w:r>
    </w:p>
    <w:p w14:paraId="747682DA" w14:textId="77777777" w:rsidR="00FD4BA8" w:rsidRDefault="009A1D2F">
      <w:pPr>
        <w:pStyle w:val="IASBNormalnpara"/>
      </w:pPr>
      <w:r>
        <w:t>95</w:t>
      </w:r>
      <w:r>
        <w:tab/>
        <w:t>For items of property, plant and equipment subject to an operating lease, a lessor shall apply the disclosure requirements of</w:t>
      </w:r>
      <w:r w:rsidR="00E27198">
        <w:t xml:space="preserve"> AASB 116</w:t>
      </w:r>
      <w:r>
        <w:t>. In applying the disclosure requirements in</w:t>
      </w:r>
      <w:r w:rsidR="00E27198">
        <w:t xml:space="preserve"> AASB 116</w:t>
      </w:r>
      <w:r>
        <w:t>, a lessor shall disaggregate each class of property, plant and equipment into assets subject to operating leases and assets not subject to operating leases. Accordingly, a lessor shall provide the disclosures required by</w:t>
      </w:r>
      <w:r w:rsidR="00E27198">
        <w:t xml:space="preserve"> AASB 116</w:t>
      </w:r>
      <w:r>
        <w:t xml:space="preserve"> for assets subject to an operating lease (by class of underlying asset) separately from owned assets held and used by the lessor.</w:t>
      </w:r>
    </w:p>
    <w:p w14:paraId="0186E88C" w14:textId="77777777" w:rsidR="00FD4BA8" w:rsidRDefault="009A1D2F">
      <w:pPr>
        <w:pStyle w:val="IASBNormalnpara"/>
      </w:pPr>
      <w:r>
        <w:t>96</w:t>
      </w:r>
      <w:r>
        <w:tab/>
        <w:t>A lessor shall apply the disclosure requirements in</w:t>
      </w:r>
      <w:r w:rsidR="00E27198">
        <w:t xml:space="preserve"> AASB 136</w:t>
      </w:r>
      <w:r>
        <w:t>,</w:t>
      </w:r>
      <w:r w:rsidR="00E27198">
        <w:t xml:space="preserve"> AASB 138</w:t>
      </w:r>
      <w:r>
        <w:t>,</w:t>
      </w:r>
      <w:r w:rsidR="00E27198">
        <w:t xml:space="preserve"> AASB 140</w:t>
      </w:r>
      <w:r>
        <w:t xml:space="preserve"> and</w:t>
      </w:r>
      <w:r w:rsidR="00E27198">
        <w:t xml:space="preserve"> AASB 141</w:t>
      </w:r>
      <w:r>
        <w:t xml:space="preserve"> for assets subject to operating leases.</w:t>
      </w:r>
    </w:p>
    <w:p w14:paraId="2F94065F" w14:textId="77777777" w:rsidR="00FD4BA8" w:rsidRDefault="009A1D2F">
      <w:pPr>
        <w:pStyle w:val="IASBNormalnpara"/>
      </w:pPr>
      <w:r>
        <w:t>97</w:t>
      </w:r>
      <w:r>
        <w:tab/>
        <w:t xml:space="preserve">A lessor shall disclose a maturity analysis of lease payments, showing the undiscounted lease payments to be received on an annual basis for a minimum of each of the first five years and a total of the amounts for the remaining years. </w:t>
      </w:r>
    </w:p>
    <w:p w14:paraId="5CC5373D" w14:textId="77777777" w:rsidR="00FD4BA8" w:rsidRDefault="009A1D2F">
      <w:pPr>
        <w:pStyle w:val="IASBSectionTitle1NonInd"/>
      </w:pPr>
      <w:r>
        <w:t>Sale and leaseback transactions</w:t>
      </w:r>
    </w:p>
    <w:p w14:paraId="14E50481" w14:textId="77777777" w:rsidR="00FD4BA8" w:rsidRDefault="009A1D2F">
      <w:pPr>
        <w:pStyle w:val="IASBNormalnpara"/>
      </w:pPr>
      <w:r>
        <w:t>98</w:t>
      </w:r>
      <w:r>
        <w:tab/>
        <w:t>If an entity (the seller-lessee) transfers an asset to another entity (the buyer-lessor) and leases that asset back from the buyer-lessor, both the seller-lessee and the buyer-lessor shall account for the transfer contract and the lease applying paragraphs 99–103.</w:t>
      </w:r>
    </w:p>
    <w:p w14:paraId="30EA82DC" w14:textId="77777777" w:rsidR="00FD4BA8" w:rsidRDefault="009A1D2F">
      <w:pPr>
        <w:pStyle w:val="IASBSectionTitle2Ind"/>
      </w:pPr>
      <w:r>
        <w:lastRenderedPageBreak/>
        <w:t>Assessing whether the transfer of the asset is a sale</w:t>
      </w:r>
    </w:p>
    <w:p w14:paraId="2FAAFC07" w14:textId="77777777" w:rsidR="00FD4BA8" w:rsidRDefault="009A1D2F">
      <w:pPr>
        <w:pStyle w:val="IASBNormalnpara"/>
      </w:pPr>
      <w:r>
        <w:t>99</w:t>
      </w:r>
      <w:r>
        <w:tab/>
        <w:t>An entity shall apply the requirements for determining when a performance obligation is satisfied in</w:t>
      </w:r>
      <w:r w:rsidR="00E27198">
        <w:t xml:space="preserve"> AASB 15</w:t>
      </w:r>
      <w:r>
        <w:t xml:space="preserve"> to determine whether the transfer of an asset is accounted for as a sale of that asset. </w:t>
      </w:r>
    </w:p>
    <w:p w14:paraId="4D9364AB" w14:textId="77777777" w:rsidR="00FD4BA8" w:rsidRDefault="009A1D2F">
      <w:pPr>
        <w:pStyle w:val="IASBSectionTitle3Ind"/>
      </w:pPr>
      <w:r>
        <w:t>Transfer of the asset is a sale</w:t>
      </w:r>
    </w:p>
    <w:p w14:paraId="2A89E2F1" w14:textId="77777777" w:rsidR="00FD4BA8" w:rsidRDefault="009A1D2F">
      <w:pPr>
        <w:pStyle w:val="IASBNormalnpara"/>
      </w:pPr>
      <w:r>
        <w:t>100</w:t>
      </w:r>
      <w:r>
        <w:tab/>
        <w:t>If the transfer of an asset by the seller-lessee satisfies the requirements of</w:t>
      </w:r>
      <w:r w:rsidR="00E27198">
        <w:t xml:space="preserve"> AASB 15</w:t>
      </w:r>
      <w:r>
        <w:t xml:space="preserve"> to be accounted for as a sale of the asset:</w:t>
      </w:r>
    </w:p>
    <w:p w14:paraId="06D403D5" w14:textId="77777777" w:rsidR="00FD4BA8" w:rsidRDefault="009A1D2F">
      <w:pPr>
        <w:pStyle w:val="IASBNormalnparaL1"/>
      </w:pPr>
      <w:r>
        <w:t>(a)</w:t>
      </w:r>
      <w:r>
        <w:tab/>
        <w:t>the seller-lessee shall measure the right-of-use asset arising from the leaseback at the proportion of the previous carrying amount of the asset that relates to the right of use retained by the seller</w:t>
      </w:r>
      <w:r w:rsidR="00383BC5">
        <w:t>-</w:t>
      </w:r>
      <w:r>
        <w:t>lessee. Accordingly, the seller-lessee shall recognise only the amount of any gain or loss that relates to the rights transferred to the buyer-lessor.</w:t>
      </w:r>
    </w:p>
    <w:p w14:paraId="0EA3B269" w14:textId="77777777" w:rsidR="00FD4BA8" w:rsidRDefault="009A1D2F">
      <w:pPr>
        <w:pStyle w:val="IASBNormalnparaL1"/>
      </w:pPr>
      <w:r>
        <w:t>(b)</w:t>
      </w:r>
      <w:r>
        <w:tab/>
        <w:t>the buyer-lessor shall account for the purchase of the asset applying applicable Standards, and for the lease applying the lessor accounting requirements in this Standard.</w:t>
      </w:r>
    </w:p>
    <w:p w14:paraId="39002A2E" w14:textId="77777777" w:rsidR="00FD4BA8" w:rsidRDefault="009A1D2F">
      <w:pPr>
        <w:pStyle w:val="IASBNormalnpara"/>
      </w:pPr>
      <w:r>
        <w:t>101</w:t>
      </w:r>
      <w:r>
        <w:tab/>
        <w:t>If the fair value of the consideration for the sale of an asset does not equal the fair value of the asset, or if the payments for the lease are not at market rates, an entity shall make the following adjustments to measure the sale proceeds at fair value:</w:t>
      </w:r>
    </w:p>
    <w:p w14:paraId="565EFDDA" w14:textId="77777777" w:rsidR="00FD4BA8" w:rsidRDefault="009A1D2F">
      <w:pPr>
        <w:pStyle w:val="IASBNormalnparaL1"/>
      </w:pPr>
      <w:r>
        <w:t>(a)</w:t>
      </w:r>
      <w:r>
        <w:tab/>
        <w:t>any below-market terms shall be accounted for as a prepayment of lease payments; and</w:t>
      </w:r>
    </w:p>
    <w:p w14:paraId="153D778E" w14:textId="77777777" w:rsidR="00FD4BA8" w:rsidRDefault="009A1D2F">
      <w:pPr>
        <w:pStyle w:val="IASBNormalnparaL1"/>
      </w:pPr>
      <w:r>
        <w:t>(b)</w:t>
      </w:r>
      <w:r>
        <w:tab/>
        <w:t>any above-market terms shall be accounted for as additional financing provided by the buyer-lessor to the seller-lessee.</w:t>
      </w:r>
    </w:p>
    <w:p w14:paraId="72203084" w14:textId="77777777" w:rsidR="00FD4BA8" w:rsidRDefault="009A1D2F">
      <w:pPr>
        <w:pStyle w:val="IASBNormalnpara"/>
      </w:pPr>
      <w:r>
        <w:t>102</w:t>
      </w:r>
      <w:r>
        <w:tab/>
        <w:t>The entity shall measure any potential adjustment required by paragraph 101 on the basis of the more readily determinable of:</w:t>
      </w:r>
    </w:p>
    <w:p w14:paraId="57F21F0E" w14:textId="77777777" w:rsidR="00FD4BA8" w:rsidRDefault="009A1D2F">
      <w:pPr>
        <w:pStyle w:val="IASBNormalnparaL1"/>
      </w:pPr>
      <w:r>
        <w:t>(a)</w:t>
      </w:r>
      <w:r>
        <w:tab/>
        <w:t>the difference between the fair value of the consideration for the sale and the fair value of the asset; and</w:t>
      </w:r>
    </w:p>
    <w:p w14:paraId="7E9E3386" w14:textId="77777777" w:rsidR="00FD4BA8" w:rsidRDefault="009A1D2F">
      <w:pPr>
        <w:pStyle w:val="IASBNormalnparaL1"/>
      </w:pPr>
      <w:r>
        <w:t>(b)</w:t>
      </w:r>
      <w:r>
        <w:tab/>
        <w:t>the difference between the present value of the contractual payments for the lease and the present value of payments for the lease at market rates.</w:t>
      </w:r>
    </w:p>
    <w:p w14:paraId="162B9AE9" w14:textId="77777777" w:rsidR="00FD4BA8" w:rsidRDefault="009A1D2F">
      <w:pPr>
        <w:pStyle w:val="IASBSectionTitle3Ind"/>
      </w:pPr>
      <w:r>
        <w:t>Transfer of the asset is not a sale</w:t>
      </w:r>
    </w:p>
    <w:p w14:paraId="21E2A09B" w14:textId="77777777" w:rsidR="00FD4BA8" w:rsidRDefault="009A1D2F">
      <w:pPr>
        <w:pStyle w:val="IASBNormalnpara"/>
      </w:pPr>
      <w:r>
        <w:t>103</w:t>
      </w:r>
      <w:r>
        <w:tab/>
        <w:t>If the transfer of an asset by the seller-lessee does not satisfy the requirements of</w:t>
      </w:r>
      <w:r w:rsidR="00E27198">
        <w:t xml:space="preserve"> AASB 15</w:t>
      </w:r>
      <w:r>
        <w:t xml:space="preserve"> to be accounted for as a sale of the asset:</w:t>
      </w:r>
    </w:p>
    <w:p w14:paraId="0E382A7C" w14:textId="77777777" w:rsidR="00FD4BA8" w:rsidRDefault="009A1D2F">
      <w:pPr>
        <w:pStyle w:val="IASBNormalnparaL1"/>
      </w:pPr>
      <w:r>
        <w:t>(a)</w:t>
      </w:r>
      <w:r>
        <w:tab/>
        <w:t>the seller-lessee shall continue to recognise the transferred asset and shall recognise a financial liability equal to the transfer proceeds. It shall account for the financial liability applying</w:t>
      </w:r>
      <w:r w:rsidR="00E27198">
        <w:t xml:space="preserve"> AASB 9</w:t>
      </w:r>
      <w:r>
        <w:t>.</w:t>
      </w:r>
    </w:p>
    <w:p w14:paraId="1BC29829" w14:textId="77777777" w:rsidR="00FD4BA8" w:rsidRDefault="009A1D2F">
      <w:pPr>
        <w:pStyle w:val="IASBNormalnparaL1"/>
      </w:pPr>
      <w:r>
        <w:t>(b)</w:t>
      </w:r>
      <w:r>
        <w:tab/>
        <w:t>the buyer-lessor shall not recognise the transferred asset and shall recognise a financial asset equal to the transfer proceeds. It shall account for the financial asset applying</w:t>
      </w:r>
      <w:r w:rsidR="00E27198">
        <w:t xml:space="preserve"> AASB 9</w:t>
      </w:r>
      <w:r>
        <w:t>.</w:t>
      </w:r>
    </w:p>
    <w:p w14:paraId="1FE18630" w14:textId="77777777" w:rsidR="00E27198" w:rsidRDefault="00E27198" w:rsidP="00DF0433">
      <w:pPr>
        <w:pStyle w:val="IASBSectionTitle1NonInd"/>
      </w:pPr>
      <w:r>
        <w:t>Commencement of the legislative instrument</w:t>
      </w:r>
    </w:p>
    <w:p w14:paraId="29E5A51F" w14:textId="463EF777" w:rsidR="00E27198" w:rsidRDefault="00E27198" w:rsidP="00DF0433">
      <w:pPr>
        <w:pStyle w:val="AusPlain"/>
      </w:pPr>
      <w:r w:rsidRPr="00951297">
        <w:t>Aus</w:t>
      </w:r>
      <w:r w:rsidR="00951297" w:rsidRPr="00ED51CE">
        <w:t>103</w:t>
      </w:r>
      <w:r>
        <w:t>.1</w:t>
      </w:r>
      <w:r>
        <w:tab/>
      </w:r>
      <w:r w:rsidR="00A449C1">
        <w:t>[repealed]</w:t>
      </w:r>
    </w:p>
    <w:p w14:paraId="70CCF0EB" w14:textId="77777777" w:rsidR="00684D1E" w:rsidRPr="001E5C87" w:rsidRDefault="00684D1E" w:rsidP="00684D1E">
      <w:pPr>
        <w:pStyle w:val="IASBSectionTitle1NonInd"/>
      </w:pPr>
      <w:r w:rsidRPr="001E5C87">
        <w:t>Temporary exception arising from interest rate benchmark reform</w:t>
      </w:r>
    </w:p>
    <w:p w14:paraId="014358AB" w14:textId="77777777" w:rsidR="00684D1E" w:rsidRPr="001E5C87" w:rsidRDefault="00684D1E" w:rsidP="00684D1E">
      <w:pPr>
        <w:pStyle w:val="IASBNormalnpara"/>
      </w:pPr>
      <w:r w:rsidRPr="001E5C87">
        <w:t>104</w:t>
      </w:r>
      <w:r w:rsidRPr="001E5C87">
        <w:tab/>
        <w:t>A lessee shall apply paragraphs 105–106 to all lease modifications that change the basis for determining future lease payments as a result of interest rate benchmark reform (see paragraphs 5.4.6 and 5.4.8 of AASB</w:t>
      </w:r>
      <w:r>
        <w:t> </w:t>
      </w:r>
      <w:r w:rsidRPr="001E5C87">
        <w:t xml:space="preserve">9). These paragraphs apply only to such lease modifications. For this purpose, the term ‘interest rate benchmark reform’ refers to the market-wide reform of an interest rate benchmark as described in paragraph 6.8.2 of </w:t>
      </w:r>
      <w:r>
        <w:t>AASB </w:t>
      </w:r>
      <w:r w:rsidRPr="001E5C87">
        <w:t>9.</w:t>
      </w:r>
    </w:p>
    <w:p w14:paraId="0FAD3DD0" w14:textId="77777777" w:rsidR="00684D1E" w:rsidRPr="001E5C87" w:rsidRDefault="00684D1E" w:rsidP="00684D1E">
      <w:pPr>
        <w:pStyle w:val="IASBNormalnpara"/>
      </w:pPr>
      <w:r w:rsidRPr="001E5C87">
        <w:t>105</w:t>
      </w:r>
      <w:r w:rsidRPr="001E5C87">
        <w:tab/>
        <w:t>As a practical expedient, a lessee shall apply paragraph 42 to account for a lease modification required by interest rate benchmark reform. This practical expedient applies only to such modifications. For this purpose, a lease modification is required by interest rate benchmark reform if, and only if, both of these conditions are met:</w:t>
      </w:r>
    </w:p>
    <w:p w14:paraId="0429160E" w14:textId="77777777" w:rsidR="00684D1E" w:rsidRPr="001E5C87" w:rsidRDefault="00684D1E" w:rsidP="00684D1E">
      <w:pPr>
        <w:pStyle w:val="IASBNormalnparaL1"/>
      </w:pPr>
      <w:r w:rsidRPr="001E5C87">
        <w:t>(a)</w:t>
      </w:r>
      <w:r w:rsidRPr="001E5C87">
        <w:tab/>
        <w:t>the modification is necessary as a direct consequence of interest rate benchmark reform; and</w:t>
      </w:r>
    </w:p>
    <w:p w14:paraId="373FCCA0" w14:textId="77777777" w:rsidR="00684D1E" w:rsidRPr="001E5C87" w:rsidRDefault="00684D1E" w:rsidP="00684D1E">
      <w:pPr>
        <w:pStyle w:val="IASBNormalnparaL1"/>
      </w:pPr>
      <w:r w:rsidRPr="001E5C87">
        <w:lastRenderedPageBreak/>
        <w:t>(b)</w:t>
      </w:r>
      <w:r w:rsidRPr="001E5C87">
        <w:tab/>
        <w:t>the new basis for determining the lease payments is economically equivalent to the previous basis (ie the basis immediately preceding the modification).</w:t>
      </w:r>
    </w:p>
    <w:p w14:paraId="1B9FA167" w14:textId="7F0C8BF5" w:rsidR="00684D1E" w:rsidRDefault="00684D1E" w:rsidP="00684D1E">
      <w:pPr>
        <w:pStyle w:val="IASBNormalnpara"/>
      </w:pPr>
      <w:r w:rsidRPr="001E5C87">
        <w:t>106</w:t>
      </w:r>
      <w:r w:rsidRPr="001E5C87">
        <w:tab/>
        <w:t>However, if lease modifications are made in addition to those lease modifications required by interest rate benchmark reform, a lessee shall apply the applicable requirements in this Standard to account for all lease modifications made at the same time, including those required by interest rate benchmark reform.</w:t>
      </w:r>
    </w:p>
    <w:p w14:paraId="50B06CDC" w14:textId="77777777" w:rsidR="007C6D63" w:rsidRDefault="007C6D63" w:rsidP="0009112D">
      <w:pPr>
        <w:pStyle w:val="IASBNormalnparaL1P"/>
        <w:ind w:left="0"/>
      </w:pPr>
    </w:p>
    <w:p w14:paraId="1B4D2631" w14:textId="77777777" w:rsidR="007C6D63" w:rsidRDefault="007C6D63" w:rsidP="0009112D">
      <w:pPr>
        <w:pStyle w:val="IASBNormalnparaL1P"/>
        <w:ind w:left="0"/>
        <w:sectPr w:rsidR="007C6D63" w:rsidSect="007C6D63">
          <w:footerReference w:type="default" r:id="rId12"/>
          <w:pgSz w:w="11907" w:h="16839"/>
          <w:pgMar w:top="1440" w:right="1440" w:bottom="1440" w:left="1440" w:header="720" w:footer="720" w:gutter="0"/>
          <w:cols w:space="708"/>
          <w:docGrid w:linePitch="360"/>
        </w:sectPr>
      </w:pPr>
    </w:p>
    <w:p w14:paraId="32BE0B72" w14:textId="77777777" w:rsidR="00FD4BA8" w:rsidRDefault="009A1D2F">
      <w:pPr>
        <w:pStyle w:val="IASBSectionTitle1NonInd"/>
        <w:pBdr>
          <w:bottom w:val="none" w:sz="0" w:space="0" w:color="auto"/>
        </w:pBdr>
      </w:pPr>
      <w:r>
        <w:lastRenderedPageBreak/>
        <w:t xml:space="preserve">Appendix A </w:t>
      </w:r>
      <w:r>
        <w:br/>
        <w:t>Defined terms</w:t>
      </w:r>
    </w:p>
    <w:p w14:paraId="3FC9D467" w14:textId="77777777" w:rsidR="00FD4BA8" w:rsidRDefault="009A1D2F">
      <w:pPr>
        <w:pStyle w:val="IASBNote"/>
      </w:pPr>
      <w:r>
        <w:t>This appendix is an integral part of the Standard.</w:t>
      </w:r>
    </w:p>
    <w:p w14:paraId="3CE651E7" w14:textId="77777777" w:rsidR="00FD4BA8" w:rsidRDefault="00FD4BA8">
      <w:pPr>
        <w:pStyle w:val="IASBNormalnpara"/>
      </w:pPr>
    </w:p>
    <w:tbl>
      <w:tblPr>
        <w:tblW w:w="0" w:type="auto"/>
        <w:tblLayout w:type="fixed"/>
        <w:tblLook w:val="0000" w:firstRow="0" w:lastRow="0" w:firstColumn="0" w:lastColumn="0" w:noHBand="0" w:noVBand="0"/>
        <w:tblCaption w:val="AASB 16 Table 1"/>
        <w:tblDescription w:val="Table of definitions"/>
      </w:tblPr>
      <w:tblGrid>
        <w:gridCol w:w="2383"/>
        <w:gridCol w:w="6825"/>
      </w:tblGrid>
      <w:tr w:rsidR="00FD4BA8" w14:paraId="04E9BA8A" w14:textId="77777777" w:rsidTr="00D858E3">
        <w:trPr>
          <w:cantSplit/>
        </w:trPr>
        <w:tc>
          <w:tcPr>
            <w:tcW w:w="2383" w:type="dxa"/>
          </w:tcPr>
          <w:p w14:paraId="6AE0E6A1" w14:textId="77777777" w:rsidR="00FD4BA8" w:rsidRDefault="009A1D2F">
            <w:pPr>
              <w:pStyle w:val="IASBTableTNR"/>
            </w:pPr>
            <w:r>
              <w:rPr>
                <w:b/>
              </w:rPr>
              <w:t>commencement date of the lease (commencement date)</w:t>
            </w:r>
          </w:p>
        </w:tc>
        <w:tc>
          <w:tcPr>
            <w:tcW w:w="6825" w:type="dxa"/>
            <w:tcBorders>
              <w:left w:val="nil"/>
            </w:tcBorders>
          </w:tcPr>
          <w:p w14:paraId="50FC94EA" w14:textId="77777777" w:rsidR="00FD4BA8" w:rsidRDefault="009A1D2F" w:rsidP="0098706A">
            <w:pPr>
              <w:pStyle w:val="IASBTableTNR"/>
              <w:jc w:val="both"/>
            </w:pPr>
            <w:r>
              <w:t xml:space="preserve">The date on which a </w:t>
            </w:r>
            <w:r>
              <w:rPr>
                <w:b/>
              </w:rPr>
              <w:t>lessor</w:t>
            </w:r>
            <w:r>
              <w:t xml:space="preserve"> makes an </w:t>
            </w:r>
            <w:r>
              <w:rPr>
                <w:b/>
              </w:rPr>
              <w:t>underlying asset</w:t>
            </w:r>
            <w:r>
              <w:t xml:space="preserve"> available for use by a </w:t>
            </w:r>
            <w:r>
              <w:rPr>
                <w:b/>
              </w:rPr>
              <w:t>lessee</w:t>
            </w:r>
            <w:r>
              <w:t>.</w:t>
            </w:r>
          </w:p>
        </w:tc>
      </w:tr>
      <w:tr w:rsidR="00FD4BA8" w14:paraId="4AB30D78" w14:textId="77777777" w:rsidTr="00D858E3">
        <w:trPr>
          <w:cantSplit/>
        </w:trPr>
        <w:tc>
          <w:tcPr>
            <w:tcW w:w="2383" w:type="dxa"/>
            <w:tcBorders>
              <w:top w:val="nil"/>
            </w:tcBorders>
          </w:tcPr>
          <w:p w14:paraId="15A5F855" w14:textId="77777777" w:rsidR="00FD4BA8" w:rsidRDefault="009A1D2F">
            <w:pPr>
              <w:pStyle w:val="IASBTableTNR"/>
            </w:pPr>
            <w:r>
              <w:rPr>
                <w:b/>
              </w:rPr>
              <w:t>economic life</w:t>
            </w:r>
          </w:p>
        </w:tc>
        <w:tc>
          <w:tcPr>
            <w:tcW w:w="6825" w:type="dxa"/>
            <w:tcBorders>
              <w:top w:val="nil"/>
              <w:left w:val="nil"/>
            </w:tcBorders>
          </w:tcPr>
          <w:p w14:paraId="1B349133" w14:textId="77777777" w:rsidR="00FD4BA8" w:rsidRDefault="009A1D2F" w:rsidP="0098706A">
            <w:pPr>
              <w:pStyle w:val="IASBTableTNR"/>
              <w:jc w:val="both"/>
            </w:pPr>
            <w:r>
              <w:t>Either the period over which an asset is expected to be economically usable by one or more users or the number of production or similar units expected to be obtained from an asset by one or more users.</w:t>
            </w:r>
          </w:p>
        </w:tc>
      </w:tr>
      <w:tr w:rsidR="00FD4BA8" w14:paraId="48178388" w14:textId="77777777" w:rsidTr="00D858E3">
        <w:trPr>
          <w:cantSplit/>
        </w:trPr>
        <w:tc>
          <w:tcPr>
            <w:tcW w:w="2383" w:type="dxa"/>
            <w:tcBorders>
              <w:top w:val="nil"/>
            </w:tcBorders>
          </w:tcPr>
          <w:p w14:paraId="52189A6C" w14:textId="77777777" w:rsidR="00FD4BA8" w:rsidRDefault="009A1D2F">
            <w:pPr>
              <w:pStyle w:val="IASBTableTNR"/>
            </w:pPr>
            <w:r>
              <w:rPr>
                <w:b/>
              </w:rPr>
              <w:t>effective date of the modification</w:t>
            </w:r>
          </w:p>
        </w:tc>
        <w:tc>
          <w:tcPr>
            <w:tcW w:w="6825" w:type="dxa"/>
            <w:tcBorders>
              <w:top w:val="nil"/>
              <w:left w:val="nil"/>
            </w:tcBorders>
          </w:tcPr>
          <w:p w14:paraId="14E8F54F" w14:textId="77777777" w:rsidR="00FD4BA8" w:rsidRDefault="009A1D2F" w:rsidP="0098706A">
            <w:pPr>
              <w:pStyle w:val="IASBTableTNR"/>
              <w:jc w:val="both"/>
            </w:pPr>
            <w:r>
              <w:t xml:space="preserve">The date when both parties agree to a </w:t>
            </w:r>
            <w:r>
              <w:rPr>
                <w:b/>
              </w:rPr>
              <w:t>lease modification</w:t>
            </w:r>
            <w:r>
              <w:t>.</w:t>
            </w:r>
          </w:p>
        </w:tc>
      </w:tr>
      <w:tr w:rsidR="00FD4BA8" w14:paraId="250D26CD" w14:textId="77777777" w:rsidTr="00D858E3">
        <w:trPr>
          <w:cantSplit/>
        </w:trPr>
        <w:tc>
          <w:tcPr>
            <w:tcW w:w="2383" w:type="dxa"/>
            <w:tcBorders>
              <w:top w:val="nil"/>
            </w:tcBorders>
          </w:tcPr>
          <w:p w14:paraId="491DDC36" w14:textId="77777777" w:rsidR="00FD4BA8" w:rsidRDefault="009A1D2F">
            <w:pPr>
              <w:pStyle w:val="IASBTableTNR"/>
            </w:pPr>
            <w:r>
              <w:rPr>
                <w:b/>
              </w:rPr>
              <w:t>fair value</w:t>
            </w:r>
          </w:p>
        </w:tc>
        <w:tc>
          <w:tcPr>
            <w:tcW w:w="6825" w:type="dxa"/>
            <w:tcBorders>
              <w:top w:val="nil"/>
              <w:left w:val="nil"/>
            </w:tcBorders>
          </w:tcPr>
          <w:p w14:paraId="1995DB5C" w14:textId="77777777" w:rsidR="00FD4BA8" w:rsidRDefault="009A1D2F" w:rsidP="0098706A">
            <w:pPr>
              <w:pStyle w:val="IASBTableTNR"/>
              <w:jc w:val="both"/>
            </w:pPr>
            <w:r>
              <w:t xml:space="preserve">For the purpose of applying the </w:t>
            </w:r>
            <w:r>
              <w:rPr>
                <w:b/>
              </w:rPr>
              <w:t>lessor</w:t>
            </w:r>
            <w:r>
              <w:t xml:space="preserve"> accounting requirements in this Standard, the amount for which an asset could be exchanged, or a liability settled, between knowledgeable, willing parties in an arm’s length transaction.</w:t>
            </w:r>
          </w:p>
        </w:tc>
      </w:tr>
      <w:tr w:rsidR="00FD4BA8" w14:paraId="77509FE2" w14:textId="77777777" w:rsidTr="00D858E3">
        <w:trPr>
          <w:cantSplit/>
        </w:trPr>
        <w:tc>
          <w:tcPr>
            <w:tcW w:w="2383" w:type="dxa"/>
            <w:tcBorders>
              <w:top w:val="nil"/>
            </w:tcBorders>
          </w:tcPr>
          <w:p w14:paraId="049639CD" w14:textId="77777777" w:rsidR="00FD4BA8" w:rsidRDefault="009A1D2F">
            <w:pPr>
              <w:pStyle w:val="IASBTableTNR"/>
            </w:pPr>
            <w:r>
              <w:rPr>
                <w:b/>
              </w:rPr>
              <w:t>finance lease</w:t>
            </w:r>
          </w:p>
        </w:tc>
        <w:tc>
          <w:tcPr>
            <w:tcW w:w="6825" w:type="dxa"/>
            <w:tcBorders>
              <w:top w:val="nil"/>
              <w:left w:val="nil"/>
            </w:tcBorders>
          </w:tcPr>
          <w:p w14:paraId="12343136" w14:textId="77777777" w:rsidR="00FD4BA8" w:rsidRDefault="009A1D2F" w:rsidP="0098706A">
            <w:pPr>
              <w:pStyle w:val="IASBTableTNR"/>
              <w:jc w:val="both"/>
            </w:pPr>
            <w:r>
              <w:t xml:space="preserve">A </w:t>
            </w:r>
            <w:r>
              <w:rPr>
                <w:b/>
              </w:rPr>
              <w:t>lease</w:t>
            </w:r>
            <w:r>
              <w:t xml:space="preserve"> that transfers substantially all the risks and rewards incidental to ownership of an </w:t>
            </w:r>
            <w:r>
              <w:rPr>
                <w:b/>
              </w:rPr>
              <w:t>underlying asset</w:t>
            </w:r>
            <w:r>
              <w:t>.</w:t>
            </w:r>
          </w:p>
        </w:tc>
      </w:tr>
      <w:tr w:rsidR="00FD4BA8" w14:paraId="746148F8" w14:textId="77777777" w:rsidTr="00D858E3">
        <w:trPr>
          <w:cantSplit/>
        </w:trPr>
        <w:tc>
          <w:tcPr>
            <w:tcW w:w="2383" w:type="dxa"/>
            <w:tcBorders>
              <w:top w:val="nil"/>
            </w:tcBorders>
          </w:tcPr>
          <w:p w14:paraId="6B1294F0" w14:textId="77777777" w:rsidR="00FD4BA8" w:rsidRDefault="009A1D2F">
            <w:pPr>
              <w:pStyle w:val="IASBTableTNR"/>
            </w:pPr>
            <w:r>
              <w:rPr>
                <w:b/>
              </w:rPr>
              <w:t>fixed payments</w:t>
            </w:r>
          </w:p>
        </w:tc>
        <w:tc>
          <w:tcPr>
            <w:tcW w:w="6825" w:type="dxa"/>
            <w:tcBorders>
              <w:top w:val="nil"/>
              <w:left w:val="nil"/>
            </w:tcBorders>
          </w:tcPr>
          <w:p w14:paraId="42E8B47F" w14:textId="77777777" w:rsidR="00FD4BA8" w:rsidRDefault="009A1D2F" w:rsidP="0098706A">
            <w:pPr>
              <w:pStyle w:val="IASBTableTNR"/>
              <w:jc w:val="both"/>
            </w:pPr>
            <w:r>
              <w:t xml:space="preserve">Payments made by a </w:t>
            </w:r>
            <w:r>
              <w:rPr>
                <w:b/>
              </w:rPr>
              <w:t>lessee</w:t>
            </w:r>
            <w:r>
              <w:t xml:space="preserve"> to a </w:t>
            </w:r>
            <w:r>
              <w:rPr>
                <w:b/>
              </w:rPr>
              <w:t>lessor</w:t>
            </w:r>
            <w:r>
              <w:t xml:space="preserve"> for the right to use an </w:t>
            </w:r>
            <w:r>
              <w:rPr>
                <w:b/>
              </w:rPr>
              <w:t>underlying asset</w:t>
            </w:r>
            <w:r>
              <w:t xml:space="preserve"> during the </w:t>
            </w:r>
            <w:r>
              <w:rPr>
                <w:b/>
              </w:rPr>
              <w:t>lease term</w:t>
            </w:r>
            <w:r>
              <w:t xml:space="preserve">, excluding </w:t>
            </w:r>
            <w:r>
              <w:rPr>
                <w:b/>
              </w:rPr>
              <w:t>variable lease payments</w:t>
            </w:r>
            <w:r>
              <w:t>.</w:t>
            </w:r>
          </w:p>
        </w:tc>
      </w:tr>
      <w:tr w:rsidR="00FD4BA8" w14:paraId="6B4C6A1C" w14:textId="77777777" w:rsidTr="00D858E3">
        <w:trPr>
          <w:cantSplit/>
        </w:trPr>
        <w:tc>
          <w:tcPr>
            <w:tcW w:w="2383" w:type="dxa"/>
            <w:tcBorders>
              <w:top w:val="nil"/>
            </w:tcBorders>
          </w:tcPr>
          <w:p w14:paraId="53395451" w14:textId="77777777" w:rsidR="00FD4BA8" w:rsidRDefault="009A1D2F">
            <w:pPr>
              <w:pStyle w:val="IASBTableTNR"/>
            </w:pPr>
            <w:r>
              <w:rPr>
                <w:b/>
              </w:rPr>
              <w:t>gross investment in the lease</w:t>
            </w:r>
          </w:p>
        </w:tc>
        <w:tc>
          <w:tcPr>
            <w:tcW w:w="6825" w:type="dxa"/>
            <w:tcBorders>
              <w:top w:val="nil"/>
              <w:left w:val="nil"/>
            </w:tcBorders>
          </w:tcPr>
          <w:p w14:paraId="59649BF0" w14:textId="77777777" w:rsidR="00FD4BA8" w:rsidRDefault="009A1D2F" w:rsidP="0098706A">
            <w:pPr>
              <w:pStyle w:val="IASBTableTNR"/>
              <w:jc w:val="both"/>
            </w:pPr>
            <w:r>
              <w:t>The sum of:</w:t>
            </w:r>
          </w:p>
          <w:p w14:paraId="03BF3157" w14:textId="77777777" w:rsidR="00FD4BA8" w:rsidRDefault="009A1D2F" w:rsidP="0098706A">
            <w:pPr>
              <w:pStyle w:val="IASBNormalL1"/>
            </w:pPr>
            <w:r>
              <w:t>(a)</w:t>
            </w:r>
            <w:r>
              <w:tab/>
              <w:t xml:space="preserve">the </w:t>
            </w:r>
            <w:r>
              <w:rPr>
                <w:b/>
              </w:rPr>
              <w:t>lease payments</w:t>
            </w:r>
            <w:r>
              <w:t xml:space="preserve"> receivable by a </w:t>
            </w:r>
            <w:r>
              <w:rPr>
                <w:b/>
              </w:rPr>
              <w:t>lessor</w:t>
            </w:r>
            <w:r>
              <w:t xml:space="preserve"> under a </w:t>
            </w:r>
            <w:r>
              <w:rPr>
                <w:b/>
              </w:rPr>
              <w:t>finance lease</w:t>
            </w:r>
            <w:r>
              <w:t>; and</w:t>
            </w:r>
          </w:p>
          <w:p w14:paraId="58D48057" w14:textId="77777777" w:rsidR="00FD4BA8" w:rsidRDefault="009A1D2F" w:rsidP="0098706A">
            <w:pPr>
              <w:pStyle w:val="IASBNormalL1"/>
            </w:pPr>
            <w:r>
              <w:t>(b)</w:t>
            </w:r>
            <w:r>
              <w:tab/>
              <w:t xml:space="preserve">any </w:t>
            </w:r>
            <w:r>
              <w:rPr>
                <w:b/>
              </w:rPr>
              <w:t>unguaranteed residual value</w:t>
            </w:r>
            <w:r>
              <w:t xml:space="preserve"> accruing to the lessor.</w:t>
            </w:r>
          </w:p>
        </w:tc>
      </w:tr>
      <w:tr w:rsidR="00FD4BA8" w14:paraId="10DCFED2" w14:textId="77777777" w:rsidTr="00D858E3">
        <w:trPr>
          <w:cantSplit/>
        </w:trPr>
        <w:tc>
          <w:tcPr>
            <w:tcW w:w="2383" w:type="dxa"/>
            <w:tcBorders>
              <w:top w:val="nil"/>
            </w:tcBorders>
          </w:tcPr>
          <w:p w14:paraId="6D8FB293" w14:textId="77777777" w:rsidR="00FD4BA8" w:rsidRDefault="009A1D2F">
            <w:pPr>
              <w:pStyle w:val="IASBTableTNR"/>
            </w:pPr>
            <w:r>
              <w:rPr>
                <w:b/>
              </w:rPr>
              <w:t>inception date of the lease (inception date)</w:t>
            </w:r>
          </w:p>
        </w:tc>
        <w:tc>
          <w:tcPr>
            <w:tcW w:w="6825" w:type="dxa"/>
            <w:tcBorders>
              <w:top w:val="nil"/>
              <w:left w:val="nil"/>
            </w:tcBorders>
          </w:tcPr>
          <w:p w14:paraId="3CC29BBA" w14:textId="77777777" w:rsidR="00FD4BA8" w:rsidRDefault="009A1D2F" w:rsidP="0098706A">
            <w:pPr>
              <w:pStyle w:val="IASBTableTNR"/>
              <w:jc w:val="both"/>
            </w:pPr>
            <w:r>
              <w:t xml:space="preserve">The earlier of the date of a </w:t>
            </w:r>
            <w:r>
              <w:rPr>
                <w:b/>
              </w:rPr>
              <w:t>lease</w:t>
            </w:r>
            <w:r>
              <w:t xml:space="preserve"> agreement and the date of commitment by the parties to the principal terms and conditions of the lease.</w:t>
            </w:r>
          </w:p>
        </w:tc>
      </w:tr>
      <w:tr w:rsidR="00FD4BA8" w14:paraId="0D7353B3" w14:textId="77777777" w:rsidTr="00D858E3">
        <w:trPr>
          <w:cantSplit/>
        </w:trPr>
        <w:tc>
          <w:tcPr>
            <w:tcW w:w="2383" w:type="dxa"/>
            <w:tcBorders>
              <w:top w:val="nil"/>
            </w:tcBorders>
          </w:tcPr>
          <w:p w14:paraId="09288660" w14:textId="77777777" w:rsidR="00FD4BA8" w:rsidRDefault="009A1D2F">
            <w:pPr>
              <w:pStyle w:val="IASBTableTNR"/>
            </w:pPr>
            <w:r>
              <w:rPr>
                <w:b/>
              </w:rPr>
              <w:t>initial direct costs</w:t>
            </w:r>
          </w:p>
        </w:tc>
        <w:tc>
          <w:tcPr>
            <w:tcW w:w="6825" w:type="dxa"/>
            <w:tcBorders>
              <w:top w:val="nil"/>
              <w:left w:val="nil"/>
            </w:tcBorders>
          </w:tcPr>
          <w:p w14:paraId="72B7BA4F" w14:textId="77777777" w:rsidR="00FD4BA8" w:rsidRDefault="009A1D2F" w:rsidP="0098706A">
            <w:pPr>
              <w:pStyle w:val="IASBTableTNR"/>
              <w:jc w:val="both"/>
            </w:pPr>
            <w:r>
              <w:t xml:space="preserve">Incremental costs of obtaining a </w:t>
            </w:r>
            <w:r>
              <w:rPr>
                <w:b/>
              </w:rPr>
              <w:t>lease</w:t>
            </w:r>
            <w:r>
              <w:t xml:space="preserve"> that would not have been incurred if the lease had not been obtained, except for such costs incurred by a manufacturer or dealer </w:t>
            </w:r>
            <w:r>
              <w:rPr>
                <w:b/>
              </w:rPr>
              <w:t>lessor</w:t>
            </w:r>
            <w:r>
              <w:t xml:space="preserve"> in connection with a </w:t>
            </w:r>
            <w:r>
              <w:rPr>
                <w:b/>
              </w:rPr>
              <w:t>finance lease</w:t>
            </w:r>
            <w:r>
              <w:t>.</w:t>
            </w:r>
          </w:p>
        </w:tc>
      </w:tr>
      <w:tr w:rsidR="00FD4BA8" w14:paraId="686B16BA" w14:textId="77777777" w:rsidTr="00D858E3">
        <w:trPr>
          <w:cantSplit/>
        </w:trPr>
        <w:tc>
          <w:tcPr>
            <w:tcW w:w="2383" w:type="dxa"/>
            <w:tcBorders>
              <w:top w:val="nil"/>
            </w:tcBorders>
          </w:tcPr>
          <w:p w14:paraId="1C5EBC31" w14:textId="77777777" w:rsidR="00FD4BA8" w:rsidRDefault="009A1D2F">
            <w:pPr>
              <w:pStyle w:val="IASBTableTNR"/>
            </w:pPr>
            <w:r>
              <w:rPr>
                <w:b/>
              </w:rPr>
              <w:t>interest rate implicit in the lease</w:t>
            </w:r>
          </w:p>
        </w:tc>
        <w:tc>
          <w:tcPr>
            <w:tcW w:w="6825" w:type="dxa"/>
            <w:tcBorders>
              <w:top w:val="nil"/>
              <w:left w:val="nil"/>
            </w:tcBorders>
          </w:tcPr>
          <w:p w14:paraId="7966662F" w14:textId="77777777" w:rsidR="00FD4BA8" w:rsidRDefault="009A1D2F" w:rsidP="0098706A">
            <w:pPr>
              <w:pStyle w:val="IASBTableTNR"/>
              <w:jc w:val="both"/>
            </w:pPr>
            <w:r>
              <w:t xml:space="preserve">The rate of interest that causes the present value of (a) the </w:t>
            </w:r>
            <w:r>
              <w:rPr>
                <w:b/>
              </w:rPr>
              <w:t>lease payments</w:t>
            </w:r>
            <w:r>
              <w:t xml:space="preserve"> and (b) the </w:t>
            </w:r>
            <w:r>
              <w:rPr>
                <w:b/>
              </w:rPr>
              <w:t>unguaranteed residual value</w:t>
            </w:r>
            <w:r>
              <w:t xml:space="preserve"> to equal the sum of (i) the </w:t>
            </w:r>
            <w:r>
              <w:rPr>
                <w:b/>
              </w:rPr>
              <w:t>fair value</w:t>
            </w:r>
            <w:r>
              <w:t xml:space="preserve"> of the </w:t>
            </w:r>
            <w:r>
              <w:rPr>
                <w:b/>
              </w:rPr>
              <w:t>underlying asset</w:t>
            </w:r>
            <w:r>
              <w:t xml:space="preserve"> and (ii) any </w:t>
            </w:r>
            <w:r>
              <w:rPr>
                <w:b/>
              </w:rPr>
              <w:t>initial direct costs</w:t>
            </w:r>
            <w:r>
              <w:t xml:space="preserve"> of the lessor.</w:t>
            </w:r>
          </w:p>
        </w:tc>
      </w:tr>
      <w:tr w:rsidR="00FD4BA8" w14:paraId="33ACF4FC" w14:textId="77777777" w:rsidTr="00D858E3">
        <w:trPr>
          <w:cantSplit/>
        </w:trPr>
        <w:tc>
          <w:tcPr>
            <w:tcW w:w="2383" w:type="dxa"/>
            <w:tcBorders>
              <w:top w:val="nil"/>
            </w:tcBorders>
          </w:tcPr>
          <w:p w14:paraId="6F53CEEF" w14:textId="77777777" w:rsidR="00FD4BA8" w:rsidRDefault="009A1D2F">
            <w:pPr>
              <w:pStyle w:val="IASBTableTNR"/>
            </w:pPr>
            <w:r>
              <w:rPr>
                <w:b/>
              </w:rPr>
              <w:t>lease</w:t>
            </w:r>
          </w:p>
        </w:tc>
        <w:tc>
          <w:tcPr>
            <w:tcW w:w="6825" w:type="dxa"/>
            <w:tcBorders>
              <w:top w:val="nil"/>
              <w:left w:val="nil"/>
            </w:tcBorders>
          </w:tcPr>
          <w:p w14:paraId="7D36A034" w14:textId="77777777" w:rsidR="00FD4BA8" w:rsidRDefault="009A1D2F" w:rsidP="0098706A">
            <w:pPr>
              <w:pStyle w:val="IASBTableTNR"/>
              <w:jc w:val="both"/>
            </w:pPr>
            <w:r>
              <w:t xml:space="preserve">A contract, or part of a contract, that conveys the right to use an asset (the </w:t>
            </w:r>
            <w:r>
              <w:rPr>
                <w:b/>
              </w:rPr>
              <w:t>underlying asset</w:t>
            </w:r>
            <w:r>
              <w:t>) for a period of time in exchange for consideration.</w:t>
            </w:r>
          </w:p>
        </w:tc>
      </w:tr>
      <w:tr w:rsidR="00FD4BA8" w14:paraId="76A057B9" w14:textId="77777777" w:rsidTr="00D858E3">
        <w:trPr>
          <w:cantSplit/>
        </w:trPr>
        <w:tc>
          <w:tcPr>
            <w:tcW w:w="2383" w:type="dxa"/>
            <w:tcBorders>
              <w:top w:val="nil"/>
            </w:tcBorders>
          </w:tcPr>
          <w:p w14:paraId="0D3F3866" w14:textId="77777777" w:rsidR="00FD4BA8" w:rsidRDefault="009A1D2F">
            <w:pPr>
              <w:pStyle w:val="IASBTableTNR"/>
            </w:pPr>
            <w:r>
              <w:rPr>
                <w:b/>
              </w:rPr>
              <w:t>lease incentives</w:t>
            </w:r>
          </w:p>
        </w:tc>
        <w:tc>
          <w:tcPr>
            <w:tcW w:w="6825" w:type="dxa"/>
            <w:tcBorders>
              <w:top w:val="nil"/>
              <w:left w:val="nil"/>
            </w:tcBorders>
          </w:tcPr>
          <w:p w14:paraId="4D635428" w14:textId="77777777" w:rsidR="00FD4BA8" w:rsidRDefault="009A1D2F" w:rsidP="0098706A">
            <w:pPr>
              <w:pStyle w:val="IASBTableTNR"/>
              <w:jc w:val="both"/>
            </w:pPr>
            <w:r>
              <w:t xml:space="preserve">Payments made by a </w:t>
            </w:r>
            <w:r>
              <w:rPr>
                <w:b/>
              </w:rPr>
              <w:t>lessor</w:t>
            </w:r>
            <w:r>
              <w:t xml:space="preserve"> to a </w:t>
            </w:r>
            <w:r>
              <w:rPr>
                <w:b/>
              </w:rPr>
              <w:t>lessee</w:t>
            </w:r>
            <w:r>
              <w:t xml:space="preserve"> associated with a </w:t>
            </w:r>
            <w:r>
              <w:rPr>
                <w:b/>
              </w:rPr>
              <w:t>lease</w:t>
            </w:r>
            <w:r>
              <w:t>, or the reimbursement or assumption by a lessor of costs of a lessee.</w:t>
            </w:r>
          </w:p>
        </w:tc>
      </w:tr>
      <w:tr w:rsidR="00FD4BA8" w14:paraId="394AD4E3" w14:textId="77777777" w:rsidTr="00D858E3">
        <w:trPr>
          <w:cantSplit/>
        </w:trPr>
        <w:tc>
          <w:tcPr>
            <w:tcW w:w="2383" w:type="dxa"/>
            <w:tcBorders>
              <w:top w:val="nil"/>
            </w:tcBorders>
          </w:tcPr>
          <w:p w14:paraId="00524235" w14:textId="77777777" w:rsidR="00FD4BA8" w:rsidRDefault="009A1D2F">
            <w:pPr>
              <w:pStyle w:val="IASBTableTNR"/>
            </w:pPr>
            <w:r>
              <w:rPr>
                <w:b/>
              </w:rPr>
              <w:t>lease modification</w:t>
            </w:r>
          </w:p>
        </w:tc>
        <w:tc>
          <w:tcPr>
            <w:tcW w:w="6825" w:type="dxa"/>
            <w:tcBorders>
              <w:top w:val="nil"/>
              <w:left w:val="nil"/>
            </w:tcBorders>
          </w:tcPr>
          <w:p w14:paraId="6EC2913D" w14:textId="77777777" w:rsidR="00FD4BA8" w:rsidRDefault="009A1D2F" w:rsidP="0098706A">
            <w:pPr>
              <w:pStyle w:val="IASBTableTNR"/>
              <w:jc w:val="both"/>
            </w:pPr>
            <w:r>
              <w:t xml:space="preserve">A change in the scope of a </w:t>
            </w:r>
            <w:r>
              <w:rPr>
                <w:b/>
              </w:rPr>
              <w:t>lease</w:t>
            </w:r>
            <w:r>
              <w:t xml:space="preserve">, or the consideration for a lease, that was not part of the original terms and conditions of the lease (for example, adding or terminating the right to use one or more </w:t>
            </w:r>
            <w:r>
              <w:rPr>
                <w:b/>
              </w:rPr>
              <w:t>underlying assets</w:t>
            </w:r>
            <w:r>
              <w:t xml:space="preserve">, or extending or shortening the contractual </w:t>
            </w:r>
            <w:r>
              <w:rPr>
                <w:b/>
              </w:rPr>
              <w:t>lease term</w:t>
            </w:r>
            <w:r>
              <w:t>).</w:t>
            </w:r>
          </w:p>
        </w:tc>
      </w:tr>
      <w:tr w:rsidR="00FD4BA8" w14:paraId="28BBAA9D" w14:textId="77777777" w:rsidTr="00FC0C24">
        <w:tc>
          <w:tcPr>
            <w:tcW w:w="2383" w:type="dxa"/>
            <w:tcBorders>
              <w:top w:val="nil"/>
            </w:tcBorders>
          </w:tcPr>
          <w:p w14:paraId="06D5D6C5" w14:textId="77777777" w:rsidR="00FD4BA8" w:rsidRDefault="009A1D2F">
            <w:pPr>
              <w:pStyle w:val="IASBTableTNR"/>
            </w:pPr>
            <w:r>
              <w:rPr>
                <w:b/>
              </w:rPr>
              <w:t>lease payments</w:t>
            </w:r>
          </w:p>
        </w:tc>
        <w:tc>
          <w:tcPr>
            <w:tcW w:w="6825" w:type="dxa"/>
            <w:tcBorders>
              <w:top w:val="nil"/>
              <w:left w:val="nil"/>
            </w:tcBorders>
          </w:tcPr>
          <w:p w14:paraId="549CEFEC" w14:textId="77777777" w:rsidR="00FD4BA8" w:rsidRDefault="009A1D2F" w:rsidP="0098706A">
            <w:pPr>
              <w:pStyle w:val="IASBTableTNR"/>
              <w:jc w:val="both"/>
            </w:pPr>
            <w:r>
              <w:t xml:space="preserve">Payments made by a </w:t>
            </w:r>
            <w:r>
              <w:rPr>
                <w:b/>
              </w:rPr>
              <w:t>lessee</w:t>
            </w:r>
            <w:r>
              <w:t xml:space="preserve"> to a </w:t>
            </w:r>
            <w:r>
              <w:rPr>
                <w:b/>
              </w:rPr>
              <w:t>lessor</w:t>
            </w:r>
            <w:r>
              <w:t xml:space="preserve"> relating to the right to use an </w:t>
            </w:r>
            <w:r>
              <w:rPr>
                <w:b/>
              </w:rPr>
              <w:t>underlying asset</w:t>
            </w:r>
            <w:r>
              <w:t xml:space="preserve"> during the </w:t>
            </w:r>
            <w:r>
              <w:rPr>
                <w:b/>
              </w:rPr>
              <w:t>lease term</w:t>
            </w:r>
            <w:r>
              <w:t>, comprising the following:</w:t>
            </w:r>
          </w:p>
          <w:p w14:paraId="23AD1EF5" w14:textId="77777777" w:rsidR="00FD4BA8" w:rsidRDefault="009A1D2F" w:rsidP="0098706A">
            <w:pPr>
              <w:pStyle w:val="IASBNormalL1"/>
            </w:pPr>
            <w:r>
              <w:t>(a)</w:t>
            </w:r>
            <w:r>
              <w:tab/>
            </w:r>
            <w:r>
              <w:rPr>
                <w:b/>
              </w:rPr>
              <w:t>fixed payments</w:t>
            </w:r>
            <w:r>
              <w:t xml:space="preserve"> (including in-substance fixed payments), less any </w:t>
            </w:r>
            <w:r>
              <w:rPr>
                <w:b/>
              </w:rPr>
              <w:t>lease incentives</w:t>
            </w:r>
            <w:r>
              <w:t>;</w:t>
            </w:r>
          </w:p>
          <w:p w14:paraId="438957E6" w14:textId="77777777" w:rsidR="00FD4BA8" w:rsidRDefault="009A1D2F" w:rsidP="0098706A">
            <w:pPr>
              <w:pStyle w:val="IASBNormalL1"/>
            </w:pPr>
            <w:r>
              <w:t>(b)</w:t>
            </w:r>
            <w:r>
              <w:tab/>
            </w:r>
            <w:r>
              <w:rPr>
                <w:b/>
              </w:rPr>
              <w:t>variable lease payments</w:t>
            </w:r>
            <w:r>
              <w:t xml:space="preserve"> that depend on an index or a rate;</w:t>
            </w:r>
          </w:p>
          <w:p w14:paraId="06FDE38E" w14:textId="77777777" w:rsidR="00FD4BA8" w:rsidRDefault="009A1D2F" w:rsidP="0098706A">
            <w:pPr>
              <w:pStyle w:val="IASBNormalL1"/>
            </w:pPr>
            <w:r>
              <w:t>(c)</w:t>
            </w:r>
            <w:r>
              <w:tab/>
              <w:t>the exercise price of a purchase option if the lessee is reasonably certain to exercise that option; and</w:t>
            </w:r>
          </w:p>
          <w:p w14:paraId="550F7F9F" w14:textId="77777777" w:rsidR="00FD4BA8" w:rsidRDefault="009A1D2F" w:rsidP="0098706A">
            <w:pPr>
              <w:pStyle w:val="IASBNormalL1"/>
            </w:pPr>
            <w:r>
              <w:t>(d)</w:t>
            </w:r>
            <w:r>
              <w:tab/>
              <w:t xml:space="preserve">payments of penalties for terminating the </w:t>
            </w:r>
            <w:r>
              <w:rPr>
                <w:b/>
              </w:rPr>
              <w:t>lease</w:t>
            </w:r>
            <w:r>
              <w:t>, if the lease term reflects the lessee exercising an option to terminate the lease.</w:t>
            </w:r>
          </w:p>
          <w:p w14:paraId="4E9FEA13" w14:textId="77777777" w:rsidR="00FD4BA8" w:rsidRDefault="009A1D2F" w:rsidP="0098706A">
            <w:pPr>
              <w:pStyle w:val="IASBTableTNR"/>
              <w:jc w:val="both"/>
            </w:pPr>
            <w:r>
              <w:lastRenderedPageBreak/>
              <w:t xml:space="preserve">For the lessee, lease payments also include amounts expected to be payable by the lessee under </w:t>
            </w:r>
            <w:r>
              <w:rPr>
                <w:b/>
              </w:rPr>
              <w:t>residual value guarantees</w:t>
            </w:r>
            <w:r>
              <w:t>. Lease payments do not include payments allocated to non-lease components of a contract, unless the lessee elects to combine non-lease components with a lease component and to account for them as a single lease component.</w:t>
            </w:r>
          </w:p>
          <w:p w14:paraId="67E3C9A5" w14:textId="77777777" w:rsidR="00FD4BA8" w:rsidRDefault="009A1D2F" w:rsidP="0098706A">
            <w:pPr>
              <w:pStyle w:val="IASBTableTNR"/>
              <w:jc w:val="both"/>
            </w:pPr>
            <w:r>
              <w:t>For the lessor, lease payments also include any residual value guarantees provided to the lessor by the lessee, a party related to the lessee or a third party unrelated to the lessor that is financially capable of discharging the obligations under the guarantee. Lease payments do not include payments allocated to non-lease components.</w:t>
            </w:r>
          </w:p>
        </w:tc>
      </w:tr>
      <w:tr w:rsidR="00FD4BA8" w14:paraId="463D79E5" w14:textId="77777777" w:rsidTr="00D858E3">
        <w:trPr>
          <w:cantSplit/>
        </w:trPr>
        <w:tc>
          <w:tcPr>
            <w:tcW w:w="2383" w:type="dxa"/>
            <w:tcBorders>
              <w:top w:val="nil"/>
            </w:tcBorders>
          </w:tcPr>
          <w:p w14:paraId="428D238C" w14:textId="77777777" w:rsidR="00FD4BA8" w:rsidRDefault="009A1D2F">
            <w:pPr>
              <w:pStyle w:val="IASBTableTNR"/>
            </w:pPr>
            <w:r>
              <w:rPr>
                <w:b/>
              </w:rPr>
              <w:lastRenderedPageBreak/>
              <w:t>lease term</w:t>
            </w:r>
          </w:p>
        </w:tc>
        <w:tc>
          <w:tcPr>
            <w:tcW w:w="6825" w:type="dxa"/>
            <w:tcBorders>
              <w:top w:val="nil"/>
              <w:left w:val="nil"/>
            </w:tcBorders>
          </w:tcPr>
          <w:p w14:paraId="3B999BE2" w14:textId="77777777" w:rsidR="00FD4BA8" w:rsidRDefault="009A1D2F" w:rsidP="0098706A">
            <w:pPr>
              <w:pStyle w:val="IASBTableTNR"/>
              <w:jc w:val="both"/>
            </w:pPr>
            <w:r>
              <w:t xml:space="preserve">The non-cancellable period for which a </w:t>
            </w:r>
            <w:r>
              <w:rPr>
                <w:b/>
              </w:rPr>
              <w:t>lessee</w:t>
            </w:r>
            <w:r>
              <w:t xml:space="preserve"> has the right to use an </w:t>
            </w:r>
            <w:r>
              <w:rPr>
                <w:b/>
              </w:rPr>
              <w:t>underlying asset</w:t>
            </w:r>
            <w:r>
              <w:t>, together with both:</w:t>
            </w:r>
          </w:p>
          <w:p w14:paraId="0EFE07C5" w14:textId="77777777" w:rsidR="00FD4BA8" w:rsidRDefault="009A1D2F" w:rsidP="0098706A">
            <w:pPr>
              <w:pStyle w:val="IASBNormalL1"/>
            </w:pPr>
            <w:r>
              <w:t>(a)</w:t>
            </w:r>
            <w:r>
              <w:tab/>
              <w:t xml:space="preserve">periods covered by an option to extend the </w:t>
            </w:r>
            <w:r>
              <w:rPr>
                <w:b/>
              </w:rPr>
              <w:t>lease</w:t>
            </w:r>
            <w:r>
              <w:t xml:space="preserve"> if the lessee is reasonably certain to exercise that option; and</w:t>
            </w:r>
          </w:p>
          <w:p w14:paraId="427CBBCD" w14:textId="77777777" w:rsidR="00FD4BA8" w:rsidRDefault="009A1D2F" w:rsidP="0098706A">
            <w:pPr>
              <w:pStyle w:val="IASBNormalL1"/>
            </w:pPr>
            <w:r>
              <w:t>(b)</w:t>
            </w:r>
            <w:r>
              <w:tab/>
              <w:t>periods covered by an option to terminate the lease if the lessee is reasonably certain not to exercise that option.</w:t>
            </w:r>
          </w:p>
        </w:tc>
      </w:tr>
      <w:tr w:rsidR="00FD4BA8" w14:paraId="50D43E17" w14:textId="77777777" w:rsidTr="00D858E3">
        <w:trPr>
          <w:cantSplit/>
        </w:trPr>
        <w:tc>
          <w:tcPr>
            <w:tcW w:w="2383" w:type="dxa"/>
            <w:tcBorders>
              <w:top w:val="nil"/>
            </w:tcBorders>
          </w:tcPr>
          <w:p w14:paraId="3F7A188A" w14:textId="77777777" w:rsidR="00FD4BA8" w:rsidRDefault="009A1D2F">
            <w:pPr>
              <w:pStyle w:val="IASBTableTNR"/>
            </w:pPr>
            <w:r>
              <w:rPr>
                <w:b/>
              </w:rPr>
              <w:t>lessee</w:t>
            </w:r>
          </w:p>
        </w:tc>
        <w:tc>
          <w:tcPr>
            <w:tcW w:w="6825" w:type="dxa"/>
            <w:tcBorders>
              <w:top w:val="nil"/>
              <w:left w:val="nil"/>
            </w:tcBorders>
          </w:tcPr>
          <w:p w14:paraId="4A0C3183" w14:textId="77777777" w:rsidR="00FD4BA8" w:rsidRDefault="009A1D2F" w:rsidP="0098706A">
            <w:pPr>
              <w:pStyle w:val="IASBTableTNR"/>
              <w:jc w:val="both"/>
            </w:pPr>
            <w:r>
              <w:t xml:space="preserve">An entity that obtains the right to use an </w:t>
            </w:r>
            <w:r>
              <w:rPr>
                <w:b/>
              </w:rPr>
              <w:t>underlying asset</w:t>
            </w:r>
            <w:r>
              <w:t xml:space="preserve"> for a period of time in exchange for consideration.</w:t>
            </w:r>
          </w:p>
        </w:tc>
      </w:tr>
      <w:tr w:rsidR="00FD4BA8" w14:paraId="566F59D7" w14:textId="77777777" w:rsidTr="00D858E3">
        <w:trPr>
          <w:cantSplit/>
        </w:trPr>
        <w:tc>
          <w:tcPr>
            <w:tcW w:w="2383" w:type="dxa"/>
            <w:tcBorders>
              <w:top w:val="nil"/>
            </w:tcBorders>
          </w:tcPr>
          <w:p w14:paraId="795EC77A" w14:textId="77777777" w:rsidR="00FD4BA8" w:rsidRDefault="009A1D2F">
            <w:pPr>
              <w:pStyle w:val="IASBTableTNR"/>
            </w:pPr>
            <w:r>
              <w:rPr>
                <w:b/>
              </w:rPr>
              <w:t>lessee’s incremental borrowing rate</w:t>
            </w:r>
          </w:p>
        </w:tc>
        <w:tc>
          <w:tcPr>
            <w:tcW w:w="6825" w:type="dxa"/>
            <w:tcBorders>
              <w:top w:val="nil"/>
              <w:left w:val="nil"/>
            </w:tcBorders>
          </w:tcPr>
          <w:p w14:paraId="44178C54" w14:textId="77777777" w:rsidR="00FD4BA8" w:rsidRDefault="009A1D2F" w:rsidP="0098706A">
            <w:pPr>
              <w:pStyle w:val="IASBTableTNR"/>
              <w:jc w:val="both"/>
            </w:pPr>
            <w:r>
              <w:t xml:space="preserve">The rate of interest that a </w:t>
            </w:r>
            <w:r>
              <w:rPr>
                <w:b/>
              </w:rPr>
              <w:t>lessee</w:t>
            </w:r>
            <w:r>
              <w:t xml:space="preserve"> would have to pay to borrow over a similar term, and with a similar security, the funds necessary to obtain an asset of a similar value to the </w:t>
            </w:r>
            <w:r>
              <w:rPr>
                <w:b/>
              </w:rPr>
              <w:t>right-of-use asset</w:t>
            </w:r>
            <w:r>
              <w:t xml:space="preserve"> in a similar economic environment.</w:t>
            </w:r>
          </w:p>
        </w:tc>
      </w:tr>
      <w:tr w:rsidR="00FD4BA8" w14:paraId="7EAA35DF" w14:textId="77777777" w:rsidTr="00D858E3">
        <w:trPr>
          <w:cantSplit/>
        </w:trPr>
        <w:tc>
          <w:tcPr>
            <w:tcW w:w="2383" w:type="dxa"/>
            <w:tcBorders>
              <w:top w:val="nil"/>
            </w:tcBorders>
          </w:tcPr>
          <w:p w14:paraId="08D67975" w14:textId="77777777" w:rsidR="00FD4BA8" w:rsidRDefault="009A1D2F">
            <w:pPr>
              <w:pStyle w:val="IASBTableTNR"/>
            </w:pPr>
            <w:r>
              <w:rPr>
                <w:b/>
              </w:rPr>
              <w:t>lessor</w:t>
            </w:r>
          </w:p>
        </w:tc>
        <w:tc>
          <w:tcPr>
            <w:tcW w:w="6825" w:type="dxa"/>
            <w:tcBorders>
              <w:top w:val="nil"/>
              <w:left w:val="nil"/>
            </w:tcBorders>
          </w:tcPr>
          <w:p w14:paraId="26FE23A5" w14:textId="77777777" w:rsidR="00FD4BA8" w:rsidRDefault="009A1D2F" w:rsidP="0098706A">
            <w:pPr>
              <w:pStyle w:val="IASBTableTNR"/>
              <w:jc w:val="both"/>
            </w:pPr>
            <w:r>
              <w:t xml:space="preserve">An entity that provides the right to use an </w:t>
            </w:r>
            <w:r>
              <w:rPr>
                <w:b/>
              </w:rPr>
              <w:t>underlying asset</w:t>
            </w:r>
            <w:r>
              <w:t xml:space="preserve"> for a period of time in exchange for consideration.</w:t>
            </w:r>
          </w:p>
        </w:tc>
      </w:tr>
      <w:tr w:rsidR="00FD4BA8" w14:paraId="449C68CE" w14:textId="77777777" w:rsidTr="00D858E3">
        <w:trPr>
          <w:cantSplit/>
        </w:trPr>
        <w:tc>
          <w:tcPr>
            <w:tcW w:w="2383" w:type="dxa"/>
            <w:tcBorders>
              <w:top w:val="nil"/>
            </w:tcBorders>
          </w:tcPr>
          <w:p w14:paraId="62E1B069" w14:textId="77777777" w:rsidR="00FD4BA8" w:rsidRDefault="009A1D2F">
            <w:pPr>
              <w:pStyle w:val="IASBTableTNR"/>
            </w:pPr>
            <w:r>
              <w:rPr>
                <w:b/>
              </w:rPr>
              <w:t>net investment in the lease</w:t>
            </w:r>
          </w:p>
        </w:tc>
        <w:tc>
          <w:tcPr>
            <w:tcW w:w="6825" w:type="dxa"/>
            <w:tcBorders>
              <w:top w:val="nil"/>
              <w:left w:val="nil"/>
            </w:tcBorders>
          </w:tcPr>
          <w:p w14:paraId="0739847D" w14:textId="77777777" w:rsidR="00FD4BA8" w:rsidRDefault="009A1D2F" w:rsidP="0098706A">
            <w:pPr>
              <w:pStyle w:val="IASBTableTNR"/>
              <w:jc w:val="both"/>
            </w:pPr>
            <w:r>
              <w:t xml:space="preserve">The </w:t>
            </w:r>
            <w:r>
              <w:rPr>
                <w:b/>
              </w:rPr>
              <w:t>gross investment in the lease</w:t>
            </w:r>
            <w:r>
              <w:t xml:space="preserve"> discounted at the </w:t>
            </w:r>
            <w:r>
              <w:rPr>
                <w:b/>
              </w:rPr>
              <w:t>interest rate implicit in the lease</w:t>
            </w:r>
            <w:r>
              <w:t>.</w:t>
            </w:r>
          </w:p>
        </w:tc>
      </w:tr>
      <w:tr w:rsidR="00FD4BA8" w14:paraId="0422420E" w14:textId="77777777" w:rsidTr="00D858E3">
        <w:trPr>
          <w:cantSplit/>
        </w:trPr>
        <w:tc>
          <w:tcPr>
            <w:tcW w:w="2383" w:type="dxa"/>
            <w:tcBorders>
              <w:top w:val="nil"/>
            </w:tcBorders>
          </w:tcPr>
          <w:p w14:paraId="3F6D85EC" w14:textId="77777777" w:rsidR="00FD4BA8" w:rsidRDefault="009A1D2F">
            <w:pPr>
              <w:pStyle w:val="IASBTableTNR"/>
            </w:pPr>
            <w:r>
              <w:rPr>
                <w:b/>
              </w:rPr>
              <w:t>operating lease</w:t>
            </w:r>
          </w:p>
        </w:tc>
        <w:tc>
          <w:tcPr>
            <w:tcW w:w="6825" w:type="dxa"/>
            <w:tcBorders>
              <w:top w:val="nil"/>
              <w:left w:val="nil"/>
            </w:tcBorders>
          </w:tcPr>
          <w:p w14:paraId="67B77577" w14:textId="77777777" w:rsidR="00FD4BA8" w:rsidRDefault="009A1D2F" w:rsidP="0098706A">
            <w:pPr>
              <w:pStyle w:val="IASBTableTNR"/>
              <w:jc w:val="both"/>
            </w:pPr>
            <w:r>
              <w:t xml:space="preserve">A </w:t>
            </w:r>
            <w:r>
              <w:rPr>
                <w:b/>
              </w:rPr>
              <w:t>lease</w:t>
            </w:r>
            <w:r>
              <w:t xml:space="preserve"> that does not transfer substantially all the risks and rewards incidental to ownership of an </w:t>
            </w:r>
            <w:r>
              <w:rPr>
                <w:b/>
              </w:rPr>
              <w:t>underlying asset</w:t>
            </w:r>
            <w:r>
              <w:t>.</w:t>
            </w:r>
          </w:p>
        </w:tc>
      </w:tr>
      <w:tr w:rsidR="00FD4BA8" w14:paraId="2EC76C9E" w14:textId="77777777" w:rsidTr="00D858E3">
        <w:trPr>
          <w:cantSplit/>
        </w:trPr>
        <w:tc>
          <w:tcPr>
            <w:tcW w:w="2383" w:type="dxa"/>
            <w:tcBorders>
              <w:top w:val="nil"/>
            </w:tcBorders>
          </w:tcPr>
          <w:p w14:paraId="314CD52D" w14:textId="77777777" w:rsidR="00FD4BA8" w:rsidRDefault="009A1D2F">
            <w:pPr>
              <w:pStyle w:val="IASBTableTNR"/>
            </w:pPr>
            <w:r>
              <w:rPr>
                <w:b/>
              </w:rPr>
              <w:t>optional lease payments</w:t>
            </w:r>
          </w:p>
        </w:tc>
        <w:tc>
          <w:tcPr>
            <w:tcW w:w="6825" w:type="dxa"/>
            <w:tcBorders>
              <w:top w:val="nil"/>
              <w:left w:val="nil"/>
            </w:tcBorders>
          </w:tcPr>
          <w:p w14:paraId="6B9ADAC3" w14:textId="77777777" w:rsidR="00FD4BA8" w:rsidRDefault="009A1D2F" w:rsidP="0098706A">
            <w:pPr>
              <w:pStyle w:val="IASBTableTNR"/>
              <w:jc w:val="both"/>
            </w:pPr>
            <w:r>
              <w:t xml:space="preserve">Payments to be made by a </w:t>
            </w:r>
            <w:r>
              <w:rPr>
                <w:b/>
              </w:rPr>
              <w:t>lessee</w:t>
            </w:r>
            <w:r>
              <w:t xml:space="preserve"> to a </w:t>
            </w:r>
            <w:r>
              <w:rPr>
                <w:b/>
              </w:rPr>
              <w:t>lessor</w:t>
            </w:r>
            <w:r>
              <w:t xml:space="preserve"> for the right to use an </w:t>
            </w:r>
            <w:r>
              <w:rPr>
                <w:b/>
              </w:rPr>
              <w:t>underlying asset</w:t>
            </w:r>
            <w:r>
              <w:t xml:space="preserve"> during periods covered by an option to extend or terminate a </w:t>
            </w:r>
            <w:r>
              <w:rPr>
                <w:b/>
              </w:rPr>
              <w:t>lease</w:t>
            </w:r>
            <w:r>
              <w:t xml:space="preserve"> that are not included in the </w:t>
            </w:r>
            <w:r>
              <w:rPr>
                <w:b/>
              </w:rPr>
              <w:t>lease term</w:t>
            </w:r>
            <w:r>
              <w:t>.</w:t>
            </w:r>
          </w:p>
        </w:tc>
      </w:tr>
      <w:tr w:rsidR="00FD4BA8" w14:paraId="0F067F14" w14:textId="77777777" w:rsidTr="00D858E3">
        <w:trPr>
          <w:cantSplit/>
        </w:trPr>
        <w:tc>
          <w:tcPr>
            <w:tcW w:w="2383" w:type="dxa"/>
            <w:tcBorders>
              <w:top w:val="nil"/>
            </w:tcBorders>
          </w:tcPr>
          <w:p w14:paraId="339EB3F4" w14:textId="77777777" w:rsidR="00FD4BA8" w:rsidRDefault="009A1D2F">
            <w:pPr>
              <w:pStyle w:val="IASBTableTNR"/>
            </w:pPr>
            <w:r>
              <w:rPr>
                <w:b/>
              </w:rPr>
              <w:t>period of use</w:t>
            </w:r>
          </w:p>
        </w:tc>
        <w:tc>
          <w:tcPr>
            <w:tcW w:w="6825" w:type="dxa"/>
            <w:tcBorders>
              <w:top w:val="nil"/>
              <w:left w:val="nil"/>
            </w:tcBorders>
          </w:tcPr>
          <w:p w14:paraId="6A6A6736" w14:textId="77777777" w:rsidR="00FD4BA8" w:rsidRDefault="009A1D2F" w:rsidP="0098706A">
            <w:pPr>
              <w:pStyle w:val="IASBTableTNR"/>
              <w:jc w:val="both"/>
            </w:pPr>
            <w:r>
              <w:t>The total period of time that an asset is used to fulfil a contract with a customer (including any non-consecutive periods of time).</w:t>
            </w:r>
          </w:p>
        </w:tc>
      </w:tr>
      <w:tr w:rsidR="00FD4BA8" w14:paraId="3DB02F90" w14:textId="77777777" w:rsidTr="00D858E3">
        <w:trPr>
          <w:cantSplit/>
        </w:trPr>
        <w:tc>
          <w:tcPr>
            <w:tcW w:w="2383" w:type="dxa"/>
            <w:tcBorders>
              <w:top w:val="nil"/>
            </w:tcBorders>
          </w:tcPr>
          <w:p w14:paraId="0745CA6E" w14:textId="77777777" w:rsidR="00FD4BA8" w:rsidRDefault="009A1D2F">
            <w:pPr>
              <w:pStyle w:val="IASBTableTNR"/>
            </w:pPr>
            <w:r>
              <w:rPr>
                <w:b/>
              </w:rPr>
              <w:t>residual value guarantee</w:t>
            </w:r>
          </w:p>
        </w:tc>
        <w:tc>
          <w:tcPr>
            <w:tcW w:w="6825" w:type="dxa"/>
            <w:tcBorders>
              <w:top w:val="nil"/>
              <w:left w:val="nil"/>
            </w:tcBorders>
          </w:tcPr>
          <w:p w14:paraId="1B739F3A" w14:textId="77777777" w:rsidR="00FD4BA8" w:rsidRDefault="009A1D2F" w:rsidP="0098706A">
            <w:pPr>
              <w:pStyle w:val="IASBTableTNR"/>
              <w:jc w:val="both"/>
            </w:pPr>
            <w:r>
              <w:t xml:space="preserve">A guarantee made to a </w:t>
            </w:r>
            <w:r>
              <w:rPr>
                <w:b/>
              </w:rPr>
              <w:t>lessor</w:t>
            </w:r>
            <w:r>
              <w:t xml:space="preserve"> by a party unrelated to the lessor that the value (or part of the value) of an </w:t>
            </w:r>
            <w:r>
              <w:rPr>
                <w:b/>
              </w:rPr>
              <w:t>underlying asset</w:t>
            </w:r>
            <w:r>
              <w:t xml:space="preserve"> at the end of a </w:t>
            </w:r>
            <w:r>
              <w:rPr>
                <w:b/>
              </w:rPr>
              <w:t>lease</w:t>
            </w:r>
            <w:r>
              <w:t xml:space="preserve"> will be at least a specified amount.</w:t>
            </w:r>
          </w:p>
        </w:tc>
      </w:tr>
      <w:tr w:rsidR="00FD4BA8" w14:paraId="32CCE708" w14:textId="77777777" w:rsidTr="00D858E3">
        <w:trPr>
          <w:cantSplit/>
        </w:trPr>
        <w:tc>
          <w:tcPr>
            <w:tcW w:w="2383" w:type="dxa"/>
            <w:tcBorders>
              <w:top w:val="nil"/>
            </w:tcBorders>
          </w:tcPr>
          <w:p w14:paraId="2B1D89B2" w14:textId="77777777" w:rsidR="00FD4BA8" w:rsidRDefault="009A1D2F">
            <w:pPr>
              <w:pStyle w:val="IASBTableTNR"/>
            </w:pPr>
            <w:r>
              <w:rPr>
                <w:b/>
              </w:rPr>
              <w:t>right-of-use asset</w:t>
            </w:r>
          </w:p>
        </w:tc>
        <w:tc>
          <w:tcPr>
            <w:tcW w:w="6825" w:type="dxa"/>
            <w:tcBorders>
              <w:top w:val="nil"/>
              <w:left w:val="nil"/>
            </w:tcBorders>
          </w:tcPr>
          <w:p w14:paraId="27383819" w14:textId="77777777" w:rsidR="00FD4BA8" w:rsidRDefault="009A1D2F" w:rsidP="0098706A">
            <w:pPr>
              <w:pStyle w:val="IASBTableTNR"/>
              <w:jc w:val="both"/>
            </w:pPr>
            <w:r>
              <w:t xml:space="preserve">An asset that represents a </w:t>
            </w:r>
            <w:r>
              <w:rPr>
                <w:b/>
              </w:rPr>
              <w:t>lessee’s</w:t>
            </w:r>
            <w:r>
              <w:t xml:space="preserve"> right to use an </w:t>
            </w:r>
            <w:r>
              <w:rPr>
                <w:b/>
              </w:rPr>
              <w:t>underlying asset</w:t>
            </w:r>
            <w:r>
              <w:t xml:space="preserve"> for the </w:t>
            </w:r>
            <w:r>
              <w:rPr>
                <w:b/>
              </w:rPr>
              <w:t>lease term</w:t>
            </w:r>
            <w:r>
              <w:t>.</w:t>
            </w:r>
          </w:p>
        </w:tc>
      </w:tr>
      <w:tr w:rsidR="00FD4BA8" w14:paraId="5F90F585" w14:textId="77777777" w:rsidTr="00D858E3">
        <w:trPr>
          <w:cantSplit/>
        </w:trPr>
        <w:tc>
          <w:tcPr>
            <w:tcW w:w="2383" w:type="dxa"/>
            <w:tcBorders>
              <w:top w:val="nil"/>
            </w:tcBorders>
          </w:tcPr>
          <w:p w14:paraId="79C7F079" w14:textId="77777777" w:rsidR="00FD4BA8" w:rsidRDefault="009A1D2F">
            <w:pPr>
              <w:pStyle w:val="IASBTableTNR"/>
            </w:pPr>
            <w:r>
              <w:rPr>
                <w:b/>
              </w:rPr>
              <w:t>short-term lease</w:t>
            </w:r>
          </w:p>
        </w:tc>
        <w:tc>
          <w:tcPr>
            <w:tcW w:w="6825" w:type="dxa"/>
            <w:tcBorders>
              <w:top w:val="nil"/>
              <w:left w:val="nil"/>
            </w:tcBorders>
          </w:tcPr>
          <w:p w14:paraId="0661589B" w14:textId="77777777" w:rsidR="00FD4BA8" w:rsidRDefault="009A1D2F" w:rsidP="0098706A">
            <w:pPr>
              <w:pStyle w:val="IASBTableTNR"/>
              <w:jc w:val="both"/>
            </w:pPr>
            <w:r>
              <w:t xml:space="preserve">A </w:t>
            </w:r>
            <w:r>
              <w:rPr>
                <w:b/>
              </w:rPr>
              <w:t>lease</w:t>
            </w:r>
            <w:r>
              <w:t xml:space="preserve"> that, at the </w:t>
            </w:r>
            <w:r>
              <w:rPr>
                <w:b/>
              </w:rPr>
              <w:t>commencement date</w:t>
            </w:r>
            <w:r>
              <w:t xml:space="preserve">, has a </w:t>
            </w:r>
            <w:r>
              <w:rPr>
                <w:b/>
              </w:rPr>
              <w:t>lease term</w:t>
            </w:r>
            <w:r>
              <w:t xml:space="preserve"> of 12 months or less. A lease that contains a purchase option is not a short-term lease.</w:t>
            </w:r>
          </w:p>
        </w:tc>
      </w:tr>
      <w:tr w:rsidR="00FD4BA8" w14:paraId="6CCB8B1B" w14:textId="77777777" w:rsidTr="00D858E3">
        <w:trPr>
          <w:cantSplit/>
        </w:trPr>
        <w:tc>
          <w:tcPr>
            <w:tcW w:w="2383" w:type="dxa"/>
            <w:tcBorders>
              <w:top w:val="nil"/>
            </w:tcBorders>
          </w:tcPr>
          <w:p w14:paraId="5727C688" w14:textId="77777777" w:rsidR="00FD4BA8" w:rsidRDefault="009A1D2F">
            <w:pPr>
              <w:pStyle w:val="IASBTableTNR"/>
            </w:pPr>
            <w:r>
              <w:rPr>
                <w:b/>
              </w:rPr>
              <w:t>sublease</w:t>
            </w:r>
          </w:p>
        </w:tc>
        <w:tc>
          <w:tcPr>
            <w:tcW w:w="6825" w:type="dxa"/>
            <w:tcBorders>
              <w:top w:val="nil"/>
              <w:left w:val="nil"/>
            </w:tcBorders>
          </w:tcPr>
          <w:p w14:paraId="2BF839BB" w14:textId="77777777" w:rsidR="00FD4BA8" w:rsidRDefault="009A1D2F" w:rsidP="0098706A">
            <w:pPr>
              <w:pStyle w:val="IASBTableTNR"/>
              <w:jc w:val="both"/>
            </w:pPr>
            <w:r>
              <w:t xml:space="preserve">A transaction for which an </w:t>
            </w:r>
            <w:r>
              <w:rPr>
                <w:b/>
              </w:rPr>
              <w:t>underlying asset</w:t>
            </w:r>
            <w:r>
              <w:t xml:space="preserve"> is re-leased by a </w:t>
            </w:r>
            <w:r>
              <w:rPr>
                <w:b/>
              </w:rPr>
              <w:t>lessee</w:t>
            </w:r>
            <w:r>
              <w:t xml:space="preserve"> (‘intermediate lessor’) to a third party, and the </w:t>
            </w:r>
            <w:r>
              <w:rPr>
                <w:b/>
              </w:rPr>
              <w:t>lease</w:t>
            </w:r>
            <w:r>
              <w:t xml:space="preserve"> (‘head lease’) between the head lessor and lessee remains in effect.</w:t>
            </w:r>
          </w:p>
        </w:tc>
      </w:tr>
      <w:tr w:rsidR="00FD4BA8" w14:paraId="4022492E" w14:textId="77777777" w:rsidTr="00D858E3">
        <w:trPr>
          <w:cantSplit/>
        </w:trPr>
        <w:tc>
          <w:tcPr>
            <w:tcW w:w="2383" w:type="dxa"/>
            <w:tcBorders>
              <w:top w:val="nil"/>
            </w:tcBorders>
          </w:tcPr>
          <w:p w14:paraId="57A47249" w14:textId="77777777" w:rsidR="00FD4BA8" w:rsidRDefault="009A1D2F">
            <w:pPr>
              <w:pStyle w:val="IASBTableTNR"/>
            </w:pPr>
            <w:r>
              <w:rPr>
                <w:b/>
              </w:rPr>
              <w:t>underlying asset</w:t>
            </w:r>
          </w:p>
        </w:tc>
        <w:tc>
          <w:tcPr>
            <w:tcW w:w="6825" w:type="dxa"/>
            <w:tcBorders>
              <w:top w:val="nil"/>
              <w:left w:val="nil"/>
            </w:tcBorders>
          </w:tcPr>
          <w:p w14:paraId="5AC12E83" w14:textId="77777777" w:rsidR="00FD4BA8" w:rsidRDefault="009A1D2F" w:rsidP="0098706A">
            <w:pPr>
              <w:pStyle w:val="IASBTableTNR"/>
              <w:jc w:val="both"/>
            </w:pPr>
            <w:r>
              <w:t xml:space="preserve">An asset that is the subject of a </w:t>
            </w:r>
            <w:r>
              <w:rPr>
                <w:b/>
              </w:rPr>
              <w:t>lease</w:t>
            </w:r>
            <w:r>
              <w:t xml:space="preserve">, for which the right to use that asset has been provided by a </w:t>
            </w:r>
            <w:r>
              <w:rPr>
                <w:b/>
              </w:rPr>
              <w:t>lessor</w:t>
            </w:r>
            <w:r>
              <w:t xml:space="preserve"> to a </w:t>
            </w:r>
            <w:r>
              <w:rPr>
                <w:b/>
              </w:rPr>
              <w:t>lessee</w:t>
            </w:r>
            <w:r>
              <w:t>.</w:t>
            </w:r>
          </w:p>
        </w:tc>
      </w:tr>
      <w:tr w:rsidR="00FD4BA8" w14:paraId="63422CF6" w14:textId="77777777" w:rsidTr="00D858E3">
        <w:trPr>
          <w:cantSplit/>
        </w:trPr>
        <w:tc>
          <w:tcPr>
            <w:tcW w:w="2383" w:type="dxa"/>
            <w:tcBorders>
              <w:top w:val="nil"/>
            </w:tcBorders>
          </w:tcPr>
          <w:p w14:paraId="7E5E51A2" w14:textId="77777777" w:rsidR="00FD4BA8" w:rsidRDefault="009A1D2F">
            <w:pPr>
              <w:pStyle w:val="IASBTableTNR"/>
            </w:pPr>
            <w:r>
              <w:rPr>
                <w:b/>
              </w:rPr>
              <w:t>unearned finance income</w:t>
            </w:r>
          </w:p>
        </w:tc>
        <w:tc>
          <w:tcPr>
            <w:tcW w:w="6825" w:type="dxa"/>
            <w:tcBorders>
              <w:top w:val="nil"/>
              <w:left w:val="nil"/>
            </w:tcBorders>
          </w:tcPr>
          <w:p w14:paraId="036EB196" w14:textId="77777777" w:rsidR="00FD4BA8" w:rsidRDefault="009A1D2F" w:rsidP="0098706A">
            <w:pPr>
              <w:pStyle w:val="IASBTableTNR"/>
              <w:jc w:val="both"/>
            </w:pPr>
            <w:r>
              <w:t>The difference between:</w:t>
            </w:r>
          </w:p>
          <w:p w14:paraId="489F732D" w14:textId="77777777" w:rsidR="00FD4BA8" w:rsidRDefault="009A1D2F" w:rsidP="0098706A">
            <w:pPr>
              <w:pStyle w:val="IASBNormalL1"/>
            </w:pPr>
            <w:r>
              <w:t>(a)</w:t>
            </w:r>
            <w:r>
              <w:tab/>
              <w:t xml:space="preserve">the </w:t>
            </w:r>
            <w:r>
              <w:rPr>
                <w:b/>
              </w:rPr>
              <w:t>gross investment in the lease</w:t>
            </w:r>
            <w:r>
              <w:t>; and</w:t>
            </w:r>
          </w:p>
          <w:p w14:paraId="28125B38" w14:textId="77777777" w:rsidR="00FD4BA8" w:rsidRDefault="009A1D2F" w:rsidP="0098706A">
            <w:pPr>
              <w:pStyle w:val="IASBNormalL1"/>
            </w:pPr>
            <w:r>
              <w:t>(b)</w:t>
            </w:r>
            <w:r>
              <w:tab/>
              <w:t xml:space="preserve">the </w:t>
            </w:r>
            <w:r>
              <w:rPr>
                <w:b/>
              </w:rPr>
              <w:t>net investment in the lease</w:t>
            </w:r>
            <w:r>
              <w:t>.</w:t>
            </w:r>
          </w:p>
        </w:tc>
      </w:tr>
      <w:tr w:rsidR="00FD4BA8" w14:paraId="5A53BE67" w14:textId="77777777" w:rsidTr="00D858E3">
        <w:trPr>
          <w:cantSplit/>
        </w:trPr>
        <w:tc>
          <w:tcPr>
            <w:tcW w:w="2383" w:type="dxa"/>
            <w:tcBorders>
              <w:top w:val="nil"/>
            </w:tcBorders>
          </w:tcPr>
          <w:p w14:paraId="7CC3CD5A" w14:textId="77777777" w:rsidR="00FD4BA8" w:rsidRDefault="009A1D2F">
            <w:pPr>
              <w:pStyle w:val="IASBTableTNR"/>
            </w:pPr>
            <w:r>
              <w:rPr>
                <w:b/>
              </w:rPr>
              <w:t>unguaranteed residual value</w:t>
            </w:r>
          </w:p>
        </w:tc>
        <w:tc>
          <w:tcPr>
            <w:tcW w:w="6825" w:type="dxa"/>
            <w:tcBorders>
              <w:top w:val="nil"/>
              <w:left w:val="nil"/>
            </w:tcBorders>
          </w:tcPr>
          <w:p w14:paraId="7EA9FCCA" w14:textId="77777777" w:rsidR="00FD4BA8" w:rsidRDefault="009A1D2F" w:rsidP="0098706A">
            <w:pPr>
              <w:pStyle w:val="IASBTableTNR"/>
              <w:jc w:val="both"/>
            </w:pPr>
            <w:r>
              <w:t xml:space="preserve">That portion of the residual value of the </w:t>
            </w:r>
            <w:r>
              <w:rPr>
                <w:b/>
              </w:rPr>
              <w:t>underlying asset</w:t>
            </w:r>
            <w:r>
              <w:t xml:space="preserve">, the realisation of which by a </w:t>
            </w:r>
            <w:r>
              <w:rPr>
                <w:b/>
              </w:rPr>
              <w:t>lessor</w:t>
            </w:r>
            <w:r>
              <w:t xml:space="preserve"> is not assured or is guaranteed solely by a party related to the lessor.</w:t>
            </w:r>
          </w:p>
        </w:tc>
      </w:tr>
      <w:tr w:rsidR="00FD4BA8" w14:paraId="7E25B982" w14:textId="77777777" w:rsidTr="00D858E3">
        <w:trPr>
          <w:cantSplit/>
        </w:trPr>
        <w:tc>
          <w:tcPr>
            <w:tcW w:w="2383" w:type="dxa"/>
            <w:tcBorders>
              <w:top w:val="nil"/>
            </w:tcBorders>
          </w:tcPr>
          <w:p w14:paraId="59BC5A58" w14:textId="77777777" w:rsidR="00FD4BA8" w:rsidRDefault="009A1D2F">
            <w:pPr>
              <w:pStyle w:val="IASBTableTNR"/>
            </w:pPr>
            <w:r>
              <w:rPr>
                <w:b/>
              </w:rPr>
              <w:t>variable lease payments</w:t>
            </w:r>
          </w:p>
        </w:tc>
        <w:tc>
          <w:tcPr>
            <w:tcW w:w="6825" w:type="dxa"/>
            <w:tcBorders>
              <w:top w:val="nil"/>
              <w:left w:val="nil"/>
            </w:tcBorders>
          </w:tcPr>
          <w:p w14:paraId="29E2D583" w14:textId="77777777" w:rsidR="00FD4BA8" w:rsidRDefault="009A1D2F" w:rsidP="0098706A">
            <w:pPr>
              <w:pStyle w:val="IASBTableTNR"/>
              <w:jc w:val="both"/>
            </w:pPr>
            <w:r>
              <w:t xml:space="preserve">The portion of payments made by a </w:t>
            </w:r>
            <w:r>
              <w:rPr>
                <w:b/>
              </w:rPr>
              <w:t>lessee</w:t>
            </w:r>
            <w:r>
              <w:t xml:space="preserve"> to a </w:t>
            </w:r>
            <w:r>
              <w:rPr>
                <w:b/>
              </w:rPr>
              <w:t>lessor</w:t>
            </w:r>
            <w:r>
              <w:t xml:space="preserve"> for the right to use an </w:t>
            </w:r>
            <w:r>
              <w:rPr>
                <w:b/>
              </w:rPr>
              <w:t>underlying asset</w:t>
            </w:r>
            <w:r>
              <w:t xml:space="preserve"> during the </w:t>
            </w:r>
            <w:r>
              <w:rPr>
                <w:b/>
              </w:rPr>
              <w:t>lease term</w:t>
            </w:r>
            <w:r>
              <w:t xml:space="preserve"> that varies because of changes in facts or circumstances occurring after the </w:t>
            </w:r>
            <w:r>
              <w:rPr>
                <w:b/>
              </w:rPr>
              <w:t>commencement date</w:t>
            </w:r>
            <w:r>
              <w:t>, other than the passage of time.</w:t>
            </w:r>
          </w:p>
        </w:tc>
      </w:tr>
    </w:tbl>
    <w:p w14:paraId="084AB5E7" w14:textId="77777777" w:rsidR="00FD4BA8" w:rsidRDefault="00FD4BA8">
      <w:pPr>
        <w:pStyle w:val="IASBNormalnpara"/>
      </w:pPr>
    </w:p>
    <w:p w14:paraId="35311431" w14:textId="77777777" w:rsidR="00FD4BA8" w:rsidRDefault="009A1D2F">
      <w:pPr>
        <w:pStyle w:val="IASBSectionTitle2NonInd"/>
      </w:pPr>
      <w:r>
        <w:lastRenderedPageBreak/>
        <w:t>Terms defined in other Standards and used in this Standard with the same meaning</w:t>
      </w:r>
    </w:p>
    <w:tbl>
      <w:tblPr>
        <w:tblW w:w="0" w:type="auto"/>
        <w:tblLayout w:type="fixed"/>
        <w:tblLook w:val="0000" w:firstRow="0" w:lastRow="0" w:firstColumn="0" w:lastColumn="0" w:noHBand="0" w:noVBand="0"/>
        <w:tblCaption w:val="AASB 16 Table 2"/>
        <w:tblDescription w:val="Terms defined in other Standards and used in this Standard with the same meaning"/>
      </w:tblPr>
      <w:tblGrid>
        <w:gridCol w:w="2383"/>
        <w:gridCol w:w="6825"/>
      </w:tblGrid>
      <w:tr w:rsidR="00FD4BA8" w14:paraId="61FF2702" w14:textId="77777777">
        <w:trPr>
          <w:cantSplit/>
        </w:trPr>
        <w:tc>
          <w:tcPr>
            <w:tcW w:w="2383" w:type="dxa"/>
          </w:tcPr>
          <w:p w14:paraId="5CE57C8D" w14:textId="77777777" w:rsidR="00FD4BA8" w:rsidRDefault="009A1D2F">
            <w:pPr>
              <w:pStyle w:val="IASBTableTNR"/>
            </w:pPr>
            <w:r>
              <w:rPr>
                <w:b/>
              </w:rPr>
              <w:t>contract</w:t>
            </w:r>
          </w:p>
        </w:tc>
        <w:tc>
          <w:tcPr>
            <w:tcW w:w="6825" w:type="dxa"/>
            <w:tcBorders>
              <w:left w:val="nil"/>
            </w:tcBorders>
            <w:vAlign w:val="bottom"/>
          </w:tcPr>
          <w:p w14:paraId="6AE80470" w14:textId="77777777" w:rsidR="00FD4BA8" w:rsidRDefault="009A1D2F" w:rsidP="00D858E3">
            <w:pPr>
              <w:pStyle w:val="IASBTableTNR"/>
              <w:jc w:val="both"/>
            </w:pPr>
            <w:r>
              <w:t>An agreement between two or more parties that creates enforceable rights and obligations.</w:t>
            </w:r>
          </w:p>
        </w:tc>
      </w:tr>
      <w:tr w:rsidR="00FD4BA8" w14:paraId="32E27ABD" w14:textId="77777777">
        <w:trPr>
          <w:cantSplit/>
        </w:trPr>
        <w:tc>
          <w:tcPr>
            <w:tcW w:w="2383" w:type="dxa"/>
            <w:tcBorders>
              <w:top w:val="nil"/>
            </w:tcBorders>
          </w:tcPr>
          <w:p w14:paraId="14886E57" w14:textId="77777777" w:rsidR="00FD4BA8" w:rsidRDefault="009A1D2F">
            <w:pPr>
              <w:pStyle w:val="IASBTableTNR"/>
            </w:pPr>
            <w:r>
              <w:rPr>
                <w:b/>
              </w:rPr>
              <w:t>useful life</w:t>
            </w:r>
          </w:p>
        </w:tc>
        <w:tc>
          <w:tcPr>
            <w:tcW w:w="6825" w:type="dxa"/>
            <w:tcBorders>
              <w:top w:val="nil"/>
              <w:left w:val="nil"/>
            </w:tcBorders>
            <w:vAlign w:val="bottom"/>
          </w:tcPr>
          <w:p w14:paraId="50FDC7B0" w14:textId="77777777" w:rsidR="00FD4BA8" w:rsidRDefault="009A1D2F" w:rsidP="00D858E3">
            <w:pPr>
              <w:pStyle w:val="IASBTableTNR"/>
              <w:jc w:val="both"/>
            </w:pPr>
            <w:r>
              <w:t>The period over which an asset is expected to be available for use by an entity; or the number of production or similar units expected to be obtained from an asset by an entity.</w:t>
            </w:r>
          </w:p>
        </w:tc>
      </w:tr>
    </w:tbl>
    <w:p w14:paraId="4B2D0F3D" w14:textId="77777777" w:rsidR="007C6D63" w:rsidRDefault="007C6D63">
      <w:pPr>
        <w:pStyle w:val="IASBNormalnpara"/>
        <w:sectPr w:rsidR="007C6D63" w:rsidSect="007C6D63">
          <w:footerReference w:type="default" r:id="rId13"/>
          <w:pgSz w:w="11907" w:h="16839"/>
          <w:pgMar w:top="1440" w:right="1440" w:bottom="1440" w:left="1440" w:header="720" w:footer="720" w:gutter="0"/>
          <w:cols w:space="708"/>
          <w:docGrid w:linePitch="360"/>
        </w:sectPr>
      </w:pPr>
    </w:p>
    <w:p w14:paraId="56685051" w14:textId="77777777" w:rsidR="00FD4BA8" w:rsidRDefault="009A1D2F">
      <w:pPr>
        <w:pStyle w:val="IASBSectionTitle1NonInd"/>
        <w:pBdr>
          <w:bottom w:val="none" w:sz="0" w:space="0" w:color="auto"/>
        </w:pBdr>
      </w:pPr>
      <w:r>
        <w:lastRenderedPageBreak/>
        <w:t>Appendix B</w:t>
      </w:r>
      <w:r>
        <w:br/>
        <w:t>Application guidance</w:t>
      </w:r>
    </w:p>
    <w:p w14:paraId="7ADE0AB7" w14:textId="77777777" w:rsidR="00FD4BA8" w:rsidRDefault="009A1D2F">
      <w:pPr>
        <w:pStyle w:val="IASBNormal"/>
      </w:pPr>
      <w:r>
        <w:rPr>
          <w:i/>
        </w:rPr>
        <w:t>This appendix is an integral part of the Standard. It describes the application of paragraphs 1–103 and has the same authority as the other parts of the Standard.</w:t>
      </w:r>
    </w:p>
    <w:p w14:paraId="334DFFC6" w14:textId="77777777" w:rsidR="00FD4BA8" w:rsidRDefault="009A1D2F">
      <w:pPr>
        <w:pStyle w:val="IASBSectionTitle2Ind"/>
      </w:pPr>
      <w:r>
        <w:t>Portfolio application</w:t>
      </w:r>
    </w:p>
    <w:p w14:paraId="525A1AFB" w14:textId="77777777" w:rsidR="00FD4BA8" w:rsidRDefault="009A1D2F">
      <w:pPr>
        <w:pStyle w:val="IASBNormalnpara"/>
      </w:pPr>
      <w:r>
        <w:t>B1</w:t>
      </w:r>
      <w:r>
        <w:tab/>
        <w:t>This Standard specifies the accounting for an individual lease. However, as a practical expedient, an entity may apply this Standard to a portfolio of leases with similar characteristics if the entity reasonably expects that the effects on the financial statements of applying this Standard to the portfolio would not differ materially from applying this Standard to the individual leases within that portfolio. If accounting for a portfolio, an entity shall use estimates and assumptions that reflect the size and composition of the portfolio.</w:t>
      </w:r>
    </w:p>
    <w:p w14:paraId="65C9F708" w14:textId="77777777" w:rsidR="00FD4BA8" w:rsidRDefault="009A1D2F">
      <w:pPr>
        <w:pStyle w:val="IASBSectionTitle2Ind"/>
      </w:pPr>
      <w:r>
        <w:t>Combination of contracts</w:t>
      </w:r>
    </w:p>
    <w:p w14:paraId="1016E4AC" w14:textId="77777777" w:rsidR="00FD4BA8" w:rsidRDefault="009A1D2F">
      <w:pPr>
        <w:pStyle w:val="IASBNormalnpara"/>
      </w:pPr>
      <w:r>
        <w:t>B2</w:t>
      </w:r>
      <w:r>
        <w:tab/>
        <w:t>In applying this Standard, an entity shall combine two or more contracts entered into at or near the same time with the same counterparty (or related parties of the counterparty), and account for the contracts as a single contract if one or more of the following criteria are met:</w:t>
      </w:r>
    </w:p>
    <w:p w14:paraId="594F4A23" w14:textId="77777777" w:rsidR="00FD4BA8" w:rsidRDefault="009A1D2F">
      <w:pPr>
        <w:pStyle w:val="IASBNormalnparaL1"/>
      </w:pPr>
      <w:r>
        <w:t>(a)</w:t>
      </w:r>
      <w:r>
        <w:tab/>
        <w:t>the contracts are negotiated as a package with an overall commercial objective that cannot be understood without considering the contracts together;</w:t>
      </w:r>
    </w:p>
    <w:p w14:paraId="51DC0EA2" w14:textId="77777777" w:rsidR="00FD4BA8" w:rsidRDefault="009A1D2F">
      <w:pPr>
        <w:pStyle w:val="IASBNormalnparaL1"/>
      </w:pPr>
      <w:r>
        <w:t>(b)</w:t>
      </w:r>
      <w:r>
        <w:tab/>
        <w:t>the amount of consideration to be paid in one contract depends on the price or performance of the other contract; or</w:t>
      </w:r>
    </w:p>
    <w:p w14:paraId="022A489A" w14:textId="77777777" w:rsidR="00FD4BA8" w:rsidRDefault="009A1D2F">
      <w:pPr>
        <w:pStyle w:val="IASBNormalnparaL1"/>
      </w:pPr>
      <w:r>
        <w:t>(c)</w:t>
      </w:r>
      <w:r>
        <w:tab/>
        <w:t>the rights to use underlying assets conveyed in the contracts (or some rights to use underlying assets conveyed in each of the contracts) form a single lease component as described in paragraph</w:t>
      </w:r>
      <w:r w:rsidR="003A699B">
        <w:t> </w:t>
      </w:r>
      <w:r>
        <w:t>B32.</w:t>
      </w:r>
    </w:p>
    <w:p w14:paraId="2B2FF711" w14:textId="77777777" w:rsidR="00FD4BA8" w:rsidRDefault="009A1D2F">
      <w:pPr>
        <w:pStyle w:val="IASBSectionTitle2Ind"/>
      </w:pPr>
      <w:r>
        <w:t>Recognition exemption: leases for which the underlying asset is of low value (paragraphs 5–8)</w:t>
      </w:r>
    </w:p>
    <w:p w14:paraId="6A2606B7" w14:textId="77777777" w:rsidR="00FD4BA8" w:rsidRDefault="009A1D2F">
      <w:pPr>
        <w:pStyle w:val="IASBNormalnpara"/>
      </w:pPr>
      <w:r>
        <w:t>B3</w:t>
      </w:r>
      <w:r>
        <w:tab/>
        <w:t>Except as specified in paragraph B7, this Standard permits a lessee to apply paragraph 6 to account for leases for which the underlying asset is of low value. A lessee shall assess the value of an underlying asset based on the value of the asset when it is new, regardless of the age of the asset being leased.</w:t>
      </w:r>
    </w:p>
    <w:p w14:paraId="4FDC8C85" w14:textId="77777777" w:rsidR="00FD4BA8" w:rsidRDefault="009A1D2F">
      <w:pPr>
        <w:pStyle w:val="IASBNormalnpara"/>
      </w:pPr>
      <w:r>
        <w:t>B4</w:t>
      </w:r>
      <w:r>
        <w:tab/>
        <w:t>The assessment of whether an underlying asset is of low value is performed on an absolute basis. Leases of low-value assets qualify for the accounting treatment in paragraph 6 regardless of whether those leases are material to the lessee. The assessment is not affected by the size, nature or circumstances of the lessee. Accordingly, different lessees are expected to reach the same conclusions about whether a particular underlying asset is of low value.</w:t>
      </w:r>
    </w:p>
    <w:p w14:paraId="5B07B5B0" w14:textId="77777777" w:rsidR="00FD4BA8" w:rsidRDefault="009A1D2F">
      <w:pPr>
        <w:pStyle w:val="IASBNormalnpara"/>
      </w:pPr>
      <w:r>
        <w:t>B5</w:t>
      </w:r>
      <w:r>
        <w:tab/>
        <w:t>An underlying asset can be of low value only if:</w:t>
      </w:r>
    </w:p>
    <w:p w14:paraId="51D205F1" w14:textId="77777777" w:rsidR="00FD4BA8" w:rsidRDefault="009A1D2F">
      <w:pPr>
        <w:pStyle w:val="IASBNormalnparaL1"/>
      </w:pPr>
      <w:r>
        <w:t>(a)</w:t>
      </w:r>
      <w:r>
        <w:tab/>
        <w:t>the lessee can benefit from use of the underlying asset on its own or together with other resources that are readily available to the lessee; and</w:t>
      </w:r>
    </w:p>
    <w:p w14:paraId="013AC2B3" w14:textId="77777777" w:rsidR="00FD4BA8" w:rsidRDefault="009A1D2F">
      <w:pPr>
        <w:pStyle w:val="IASBNormalnparaL1"/>
      </w:pPr>
      <w:r>
        <w:t>(b)</w:t>
      </w:r>
      <w:r>
        <w:tab/>
        <w:t>the underlying asset is not highly dependent on, or highly interrelated with, other assets.</w:t>
      </w:r>
    </w:p>
    <w:p w14:paraId="464BFFD4" w14:textId="77777777" w:rsidR="00FD4BA8" w:rsidRDefault="009A1D2F">
      <w:pPr>
        <w:pStyle w:val="IASBNormalnpara"/>
      </w:pPr>
      <w:r>
        <w:t>B6</w:t>
      </w:r>
      <w:r>
        <w:tab/>
        <w:t>A lease of an underlying asset does not qualify as a lease of a low-value asset if the nature of the asset is such that, when new, the asset is typically not of low value. For example, leases of cars would not qualify as leases of low-value assets because a new car would typically not be of low value.</w:t>
      </w:r>
    </w:p>
    <w:p w14:paraId="6CA247B3" w14:textId="77777777" w:rsidR="00FD4BA8" w:rsidRDefault="009A1D2F">
      <w:pPr>
        <w:pStyle w:val="IASBNormalnpara"/>
      </w:pPr>
      <w:r>
        <w:t>B7</w:t>
      </w:r>
      <w:r>
        <w:tab/>
        <w:t>If a lessee subleases an asset, or expects to sublease an asset, the head lease does not qualify as a lease of a low-value asset.</w:t>
      </w:r>
    </w:p>
    <w:p w14:paraId="28A5819C" w14:textId="77777777" w:rsidR="00FD4BA8" w:rsidRDefault="009A1D2F">
      <w:pPr>
        <w:pStyle w:val="IASBNormalnpara"/>
      </w:pPr>
      <w:r>
        <w:t>B8</w:t>
      </w:r>
      <w:r>
        <w:tab/>
        <w:t>Examples of low-value underlying assets can include tablet and personal computers, small items of office furniture and telephones.</w:t>
      </w:r>
    </w:p>
    <w:p w14:paraId="706A0095" w14:textId="77777777" w:rsidR="00FD4BA8" w:rsidRDefault="009A1D2F">
      <w:pPr>
        <w:pStyle w:val="IASBSectionTitle2Ind"/>
      </w:pPr>
      <w:r>
        <w:t>Identifying a lease (paragraphs 9–11)</w:t>
      </w:r>
    </w:p>
    <w:p w14:paraId="2DA535D6" w14:textId="77777777" w:rsidR="00FD4BA8" w:rsidRDefault="009A1D2F">
      <w:pPr>
        <w:pStyle w:val="IASBNormalnpara"/>
      </w:pPr>
      <w:r>
        <w:t>B9</w:t>
      </w:r>
      <w:r>
        <w:tab/>
        <w:t xml:space="preserve">To assess whether a contract conveys the right to control the use of an identified asset (see paragraphs B13–B20) for a period of time, an entity shall assess whether, throughout the </w:t>
      </w:r>
      <w:r>
        <w:rPr>
          <w:i/>
        </w:rPr>
        <w:t>period of use</w:t>
      </w:r>
      <w:r>
        <w:t>, the customer has both of the following:</w:t>
      </w:r>
    </w:p>
    <w:p w14:paraId="360F2730" w14:textId="77777777" w:rsidR="00FD4BA8" w:rsidRDefault="009A1D2F">
      <w:pPr>
        <w:pStyle w:val="IASBNormalnparaL1"/>
      </w:pPr>
      <w:r>
        <w:lastRenderedPageBreak/>
        <w:t>(a)</w:t>
      </w:r>
      <w:r>
        <w:tab/>
        <w:t>the right to obtain substantially all of the economic benefits from use of the identified asset (as described in paragraphs B21–B23); and</w:t>
      </w:r>
    </w:p>
    <w:p w14:paraId="7E5F2B1C" w14:textId="77777777" w:rsidR="00FD4BA8" w:rsidRDefault="009A1D2F">
      <w:pPr>
        <w:pStyle w:val="IASBNormalnparaL1"/>
      </w:pPr>
      <w:r>
        <w:t>(b)</w:t>
      </w:r>
      <w:r>
        <w:tab/>
        <w:t>the right to direct the use of the identified asset (as described in paragraphs B24–B30).</w:t>
      </w:r>
    </w:p>
    <w:p w14:paraId="2405C6BD" w14:textId="77777777" w:rsidR="00FD4BA8" w:rsidRDefault="009A1D2F">
      <w:pPr>
        <w:pStyle w:val="IASBNormalnpara"/>
      </w:pPr>
      <w:r>
        <w:t>B10</w:t>
      </w:r>
      <w:r>
        <w:tab/>
        <w:t>If the customer has the right to control the use of an identified asset for only a portion of the term of the contract, the contract contains a lease for that portion of the term.</w:t>
      </w:r>
    </w:p>
    <w:p w14:paraId="0CA5F3FD" w14:textId="77777777" w:rsidR="00FD4BA8" w:rsidRDefault="009A1D2F">
      <w:pPr>
        <w:pStyle w:val="IASBNormalnpara"/>
      </w:pPr>
      <w:r>
        <w:t>B11</w:t>
      </w:r>
      <w:r>
        <w:tab/>
        <w:t>A contract to receive goods or services may be entered into by a joint arrangement, or on behalf of a joint arrangement, as defined in</w:t>
      </w:r>
      <w:r w:rsidR="00E27198">
        <w:t xml:space="preserve"> AASB 11</w:t>
      </w:r>
      <w:r>
        <w:t xml:space="preserve"> </w:t>
      </w:r>
      <w:r>
        <w:rPr>
          <w:i/>
        </w:rPr>
        <w:t>Joint Arrangements</w:t>
      </w:r>
      <w:r>
        <w:t>. In this case, the joint arrangement is considered to be the customer in the contract. Accordingly, in assessing whether such a contract contains a lease, an entity shall assess whether the joint arrangement has the right to control the use of an identified asset throughout the period of use.</w:t>
      </w:r>
    </w:p>
    <w:p w14:paraId="558DF4A5" w14:textId="77777777" w:rsidR="00FD4BA8" w:rsidRDefault="009A1D2F">
      <w:pPr>
        <w:pStyle w:val="IASBNormalnpara"/>
      </w:pPr>
      <w:r>
        <w:t>B12</w:t>
      </w:r>
      <w:r>
        <w:tab/>
        <w:t>An entity shall assess whether a contract contains a lease for each potential separate lease component. Refer to paragraph B32 for guidance on separate lease components.</w:t>
      </w:r>
    </w:p>
    <w:p w14:paraId="41EF3F93" w14:textId="77777777" w:rsidR="00FD4BA8" w:rsidRDefault="009A1D2F">
      <w:pPr>
        <w:pStyle w:val="IASBSectionTitle3Ind"/>
      </w:pPr>
      <w:r>
        <w:t>Identified asset</w:t>
      </w:r>
    </w:p>
    <w:p w14:paraId="1266B7E2" w14:textId="77777777" w:rsidR="00FD4BA8" w:rsidRDefault="009A1D2F">
      <w:pPr>
        <w:pStyle w:val="IASBNormalnpara"/>
      </w:pPr>
      <w:r>
        <w:t>B13</w:t>
      </w:r>
      <w:r>
        <w:tab/>
        <w:t>An asset is typically identified by being explicitly specified in a contract. However, an asset can also be identified by being implicitly specified at the time that the asset is made available for use by the customer.</w:t>
      </w:r>
    </w:p>
    <w:p w14:paraId="09A9058A" w14:textId="77777777" w:rsidR="00FD4BA8" w:rsidRDefault="009A1D2F">
      <w:pPr>
        <w:pStyle w:val="IASBSectionTitle4Ind"/>
      </w:pPr>
      <w:r>
        <w:t>Substantive substitution rights</w:t>
      </w:r>
    </w:p>
    <w:p w14:paraId="34462798" w14:textId="77777777" w:rsidR="00FD4BA8" w:rsidRDefault="009A1D2F">
      <w:pPr>
        <w:pStyle w:val="IASBNormalnpara"/>
      </w:pPr>
      <w:r>
        <w:t>B14</w:t>
      </w:r>
      <w:r>
        <w:tab/>
        <w:t>Even if an asset is specified, a customer does not have the right to use an identified asset if the supplier has the substantive right to substitute the asset throughout the period of use. A supplier’s right to substitute an asset is substantive only if both of the following conditions exist:</w:t>
      </w:r>
    </w:p>
    <w:p w14:paraId="0269CF5C" w14:textId="77777777" w:rsidR="00FD4BA8" w:rsidRDefault="009A1D2F">
      <w:pPr>
        <w:pStyle w:val="IASBNormalnparaL1"/>
      </w:pPr>
      <w:r>
        <w:t>(a)</w:t>
      </w:r>
      <w:r>
        <w:tab/>
        <w:t>the supplier has the practical ability to substitute alternative assets throughout the period of use (for example, the customer cannot prevent the supplier from substituting the asset and alternative assets are readily available to the supplier or could be sourced by the supplier within a reasonable period of time); and</w:t>
      </w:r>
    </w:p>
    <w:p w14:paraId="3044A76F" w14:textId="77777777" w:rsidR="00FD4BA8" w:rsidRDefault="009A1D2F">
      <w:pPr>
        <w:pStyle w:val="IASBNormalnparaL1"/>
      </w:pPr>
      <w:r>
        <w:t>(b)</w:t>
      </w:r>
      <w:r>
        <w:tab/>
        <w:t>the supplier would benefit economically from the exercise of its right to substitute the asset (ie the economic benefits associated with substituting the asset are expected to exceed the costs associated with substituting the asset).</w:t>
      </w:r>
    </w:p>
    <w:p w14:paraId="54D80AD7" w14:textId="77777777" w:rsidR="00FD4BA8" w:rsidRDefault="009A1D2F">
      <w:pPr>
        <w:pStyle w:val="IASBNormalnpara"/>
      </w:pPr>
      <w:r>
        <w:t>B15</w:t>
      </w:r>
      <w:r>
        <w:tab/>
        <w:t>If the supplier has a right or an obligation to substitute the asset only on or after either a particular date or the occurrence of a specified event, the supplier’s substitution right is not substantive because the supplier does not have the practical ability to substitute alternative assets throughout the period of use.</w:t>
      </w:r>
    </w:p>
    <w:p w14:paraId="7F24CFD0" w14:textId="77777777" w:rsidR="00FD4BA8" w:rsidRDefault="009A1D2F">
      <w:pPr>
        <w:pStyle w:val="IASBNormalnpara"/>
      </w:pPr>
      <w:r>
        <w:t>B16</w:t>
      </w:r>
      <w:r>
        <w:tab/>
        <w:t>An entity’s evaluation of whether a supplier’s substitution right is substantive is based on facts and circumstances at inception of the contract and shall exclude consideration of future events that, at inception of the contract, are not considered likely to occur. Examples of future events that, at inception of the contract, would not be considered likely to occur and, thus, should be excluded from the evaluation include:</w:t>
      </w:r>
    </w:p>
    <w:p w14:paraId="42456C7A" w14:textId="77777777" w:rsidR="00FD4BA8" w:rsidRDefault="009A1D2F">
      <w:pPr>
        <w:pStyle w:val="IASBNormalnparaL1"/>
      </w:pPr>
      <w:r>
        <w:t>(a)</w:t>
      </w:r>
      <w:r>
        <w:tab/>
        <w:t>an agreement by a future customer to pay an above market rate for use of the asset;</w:t>
      </w:r>
    </w:p>
    <w:p w14:paraId="7C5F5F5B" w14:textId="77777777" w:rsidR="00FD4BA8" w:rsidRDefault="009A1D2F">
      <w:pPr>
        <w:pStyle w:val="IASBNormalnparaL1"/>
      </w:pPr>
      <w:r>
        <w:t>(b)</w:t>
      </w:r>
      <w:r>
        <w:tab/>
        <w:t>the introduction of new technology that is not substantially developed at inception of the contract;</w:t>
      </w:r>
    </w:p>
    <w:p w14:paraId="71DA1A7F" w14:textId="77777777" w:rsidR="00FD4BA8" w:rsidRDefault="009A1D2F">
      <w:pPr>
        <w:pStyle w:val="IASBNormalnparaL1"/>
      </w:pPr>
      <w:r>
        <w:t>(c)</w:t>
      </w:r>
      <w:r>
        <w:tab/>
        <w:t>a substantial difference between the customer’s use of the asset, or the performance of the asset, and the use or performance considered likely at inception of the contract; and</w:t>
      </w:r>
    </w:p>
    <w:p w14:paraId="57375E77" w14:textId="77777777" w:rsidR="00FD4BA8" w:rsidRDefault="009A1D2F">
      <w:pPr>
        <w:pStyle w:val="IASBNormalnparaL1"/>
      </w:pPr>
      <w:r>
        <w:t>(d)</w:t>
      </w:r>
      <w:r>
        <w:tab/>
        <w:t>a substantial difference between the market price of the asset during the period of use, and the market price considered likely at inception of the contract.</w:t>
      </w:r>
    </w:p>
    <w:p w14:paraId="022FDD77" w14:textId="77777777" w:rsidR="00FD4BA8" w:rsidRDefault="009A1D2F">
      <w:pPr>
        <w:pStyle w:val="IASBNormalnpara"/>
      </w:pPr>
      <w:r>
        <w:t>B17</w:t>
      </w:r>
      <w:r>
        <w:tab/>
        <w:t>If the asset is located at the customer’s premises or elsewhere, the costs associated with substitution are generally higher than when located at the supplier’s premises and, therefore, are more likely to exceed the benefits associated with substituting the asset.</w:t>
      </w:r>
    </w:p>
    <w:p w14:paraId="014FD6BB" w14:textId="77777777" w:rsidR="00FD4BA8" w:rsidRDefault="009A1D2F">
      <w:pPr>
        <w:pStyle w:val="IASBNormalnpara"/>
      </w:pPr>
      <w:r>
        <w:t>B18</w:t>
      </w:r>
      <w:r>
        <w:tab/>
        <w:t>The supplier’s right or obligation to substitute the asset for repairs and maintenance, if the asset is not operating properly or if a technical upgrade becomes available does not preclude the customer from having the right to use an identified asset.</w:t>
      </w:r>
    </w:p>
    <w:p w14:paraId="6EED75C3" w14:textId="77777777" w:rsidR="00FD4BA8" w:rsidRDefault="009A1D2F">
      <w:pPr>
        <w:pStyle w:val="IASBNormalnpara"/>
      </w:pPr>
      <w:r>
        <w:t>B19</w:t>
      </w:r>
      <w:r>
        <w:tab/>
        <w:t>If the customer cannot readily determine whether the supplier has a substantive substitution right, the customer shall presume that any substitution right is not substantive.</w:t>
      </w:r>
    </w:p>
    <w:p w14:paraId="26CBA2A9" w14:textId="77777777" w:rsidR="00FD4BA8" w:rsidRDefault="009A1D2F">
      <w:pPr>
        <w:pStyle w:val="IASBSectionTitle4Ind"/>
      </w:pPr>
      <w:r>
        <w:lastRenderedPageBreak/>
        <w:t>Portions of assets</w:t>
      </w:r>
    </w:p>
    <w:p w14:paraId="6D2BF88C" w14:textId="77777777" w:rsidR="00FD4BA8" w:rsidRDefault="009A1D2F">
      <w:pPr>
        <w:pStyle w:val="IASBNormalnpara"/>
      </w:pPr>
      <w:r>
        <w:t>B20</w:t>
      </w:r>
      <w:r>
        <w:tab/>
        <w:t>A capacity portion of an asset is an identified asset if it is physically distinct (for example, a floor of a building). A capacity or other portion of an asset that is not physically distinct (for example, a capacity portion of a fibre optic cable) is not an identified asset, unless it represents substantially all of the capacity of the asset and thereby provides the customer with the right to obtain substantially all of the economic benefits from use of the asset.</w:t>
      </w:r>
    </w:p>
    <w:p w14:paraId="4AEAF3D1" w14:textId="77777777" w:rsidR="00FD4BA8" w:rsidRDefault="009A1D2F">
      <w:pPr>
        <w:pStyle w:val="IASBSectionTitle3Ind"/>
      </w:pPr>
      <w:r>
        <w:t>Right to obtain economic benefits from use</w:t>
      </w:r>
    </w:p>
    <w:p w14:paraId="32987490" w14:textId="77777777" w:rsidR="00FD4BA8" w:rsidRDefault="009A1D2F">
      <w:pPr>
        <w:pStyle w:val="IASBNormalnpara"/>
      </w:pPr>
      <w:r>
        <w:t>B21</w:t>
      </w:r>
      <w:r>
        <w:tab/>
        <w:t>To control the use of an identified asset, a customer is required to have the right to obtain substantially all of the economic benefits from use of the asset throughout the period of use (for example, by having exclusive use of the asset throughout that period). A customer can obtain economic benefits from use of an asset directly or indirectly in many ways, such as by using, holding or sub-leasing the asset. The economic benefits from use of an asset include its primary output and by-products (including potential cash flows derived from these items), and other economic benefits from using the asset that could be realised from a commercial transaction with a third party.</w:t>
      </w:r>
    </w:p>
    <w:p w14:paraId="1DBC97C6" w14:textId="77777777" w:rsidR="00FD4BA8" w:rsidRDefault="009A1D2F">
      <w:pPr>
        <w:pStyle w:val="IASBNormalnpara"/>
      </w:pPr>
      <w:r>
        <w:t>B22</w:t>
      </w:r>
      <w:r>
        <w:tab/>
        <w:t>When assessing the right to obtain substantially all of the economic benefits from use of an asset, an entity shall consider the economic benefits that result from use of the asset within the defined scope of a customer’s right to use the asset (see paragraph B30). For example:</w:t>
      </w:r>
    </w:p>
    <w:p w14:paraId="67174A23" w14:textId="77777777" w:rsidR="00FD4BA8" w:rsidRDefault="009A1D2F">
      <w:pPr>
        <w:pStyle w:val="IASBNormalnparaL1"/>
      </w:pPr>
      <w:r>
        <w:t>(a)</w:t>
      </w:r>
      <w:r>
        <w:tab/>
        <w:t>if a contract limits the use of a motor vehicle to only one particular territory during the period of use, an entity shall consider only the economic benefits from use of the motor vehicle within that territory, and not beyond.</w:t>
      </w:r>
    </w:p>
    <w:p w14:paraId="03841E4C" w14:textId="77777777" w:rsidR="00FD4BA8" w:rsidRDefault="009A1D2F">
      <w:pPr>
        <w:pStyle w:val="IASBNormalnparaL1"/>
      </w:pPr>
      <w:r>
        <w:t>(b)</w:t>
      </w:r>
      <w:r>
        <w:tab/>
        <w:t>if a contract specifies that a customer can drive a motor vehicle only up to a particular number of miles during the period of use, an entity shall consider only the economic benefits from use of the motor vehicle for the permitted mileage, and not beyond.</w:t>
      </w:r>
    </w:p>
    <w:p w14:paraId="7E8B0D91" w14:textId="77777777" w:rsidR="00FD4BA8" w:rsidRDefault="009A1D2F">
      <w:pPr>
        <w:pStyle w:val="IASBNormalnpara"/>
      </w:pPr>
      <w:r>
        <w:t>B23</w:t>
      </w:r>
      <w:r>
        <w:tab/>
        <w:t>If a contract requires a customer to pay the supplier or another party a portion of the cash flows derived from use of an asset as consideration, those cash flows paid as consideration shall be considered to be part of the economic benefits that the customer obtains from use of the asset. For example, if the customer is required to pay the supplier a percentage of sales from use of retail space as consideration for that use, that requirement does not prevent the customer from having the right to obtain substantially all of the economic benefits from use of the retail space. This is because the cash flows arising from those sales are considered to be economic benefits that the customer obtains from use of the retail space, a portion of which it then pays to the supplier as consideration for the right to use that space.</w:t>
      </w:r>
    </w:p>
    <w:p w14:paraId="37946A37" w14:textId="77777777" w:rsidR="00FD4BA8" w:rsidRDefault="009A1D2F">
      <w:pPr>
        <w:pStyle w:val="IASBSectionTitle3Ind"/>
      </w:pPr>
      <w:r>
        <w:t>Right to direct the use</w:t>
      </w:r>
    </w:p>
    <w:p w14:paraId="53BB813E" w14:textId="77777777" w:rsidR="00FD4BA8" w:rsidRDefault="009A1D2F">
      <w:pPr>
        <w:pStyle w:val="IASBNormalnpara"/>
      </w:pPr>
      <w:r>
        <w:t>B24</w:t>
      </w:r>
      <w:r>
        <w:tab/>
        <w:t>A customer has the right to direct the use of an identified asset throughout the period of use only if either:</w:t>
      </w:r>
    </w:p>
    <w:p w14:paraId="5B5A0961" w14:textId="77777777" w:rsidR="00FD4BA8" w:rsidRDefault="009A1D2F">
      <w:pPr>
        <w:pStyle w:val="IASBNormalnparaL1"/>
      </w:pPr>
      <w:r>
        <w:t>(a)</w:t>
      </w:r>
      <w:r>
        <w:tab/>
        <w:t>the customer has the right to direct how and for what purpose the asset is used throughout the period of use (as described in paragraphs B25–B30); or</w:t>
      </w:r>
    </w:p>
    <w:p w14:paraId="2826B09F" w14:textId="77777777" w:rsidR="00FD4BA8" w:rsidRDefault="009A1D2F">
      <w:pPr>
        <w:pStyle w:val="IASBNormalnparaL1"/>
      </w:pPr>
      <w:r>
        <w:t>(b)</w:t>
      </w:r>
      <w:r>
        <w:tab/>
        <w:t>the relevant decisions about how and for what purpose the asset is used are predetermined and:</w:t>
      </w:r>
    </w:p>
    <w:p w14:paraId="6F528A31" w14:textId="77777777" w:rsidR="00FD4BA8" w:rsidRDefault="009A1D2F">
      <w:pPr>
        <w:pStyle w:val="IASBNormalnparaL2"/>
      </w:pPr>
      <w:r>
        <w:t>(i)</w:t>
      </w:r>
      <w:r>
        <w:tab/>
        <w:t>the customer has the right to operate the asset (or to direct others to operate the asset in a manner that it determines) throughout the period of use, without the supplier having the right to change those operating instructions; or</w:t>
      </w:r>
    </w:p>
    <w:p w14:paraId="4C8C701D" w14:textId="77777777" w:rsidR="00FD4BA8" w:rsidRDefault="009A1D2F">
      <w:pPr>
        <w:pStyle w:val="IASBNormalnparaL2"/>
      </w:pPr>
      <w:r>
        <w:t>(ii)</w:t>
      </w:r>
      <w:r>
        <w:tab/>
        <w:t>the customer designed the asset (or specific aspects of the asset) in a way that predetermines how and for what purpose the asset will be used throughout the period of use.</w:t>
      </w:r>
    </w:p>
    <w:p w14:paraId="42B5DB2E" w14:textId="77777777" w:rsidR="00FD4BA8" w:rsidRDefault="009A1D2F">
      <w:pPr>
        <w:pStyle w:val="IASBSectionTitle4Ind"/>
      </w:pPr>
      <w:r>
        <w:t>How and for what purpose the asset is used</w:t>
      </w:r>
    </w:p>
    <w:p w14:paraId="55A65AF6" w14:textId="77777777" w:rsidR="00FD4BA8" w:rsidRDefault="009A1D2F">
      <w:pPr>
        <w:pStyle w:val="IASBNormalnpara"/>
      </w:pPr>
      <w:r>
        <w:t>B25</w:t>
      </w:r>
      <w:r>
        <w:tab/>
        <w:t>A customer has the right to direct how and for what purpose the asset is used if, within the scope of its right of use defined in the contract, it can change how and for what purpose the asset is used throughout the period of use. In making this assessment, an entity considers the decision-making rights that are most relevant to changing how and for what purpose the asset is used throughout the period of use. Decision-making rights are relevant when they affect the economic benefits to be derived from use. The decision-making rights that are most relevant are likely to be different for different contracts, depending on the nature of the asset and the terms and conditions of the contract.</w:t>
      </w:r>
    </w:p>
    <w:p w14:paraId="69FC74BE" w14:textId="77777777" w:rsidR="00FD4BA8" w:rsidRDefault="009A1D2F">
      <w:pPr>
        <w:pStyle w:val="IASBNormalnpara"/>
      </w:pPr>
      <w:r>
        <w:lastRenderedPageBreak/>
        <w:t>B26</w:t>
      </w:r>
      <w:r>
        <w:tab/>
        <w:t>Examples of decision-making rights that, depending on the circumstances, grant the right to change how and for what purpose the asset is used, within the defined scope of the customer’s right of use, include:</w:t>
      </w:r>
    </w:p>
    <w:p w14:paraId="15179403" w14:textId="77777777" w:rsidR="00FD4BA8" w:rsidRDefault="009A1D2F">
      <w:pPr>
        <w:pStyle w:val="IASBNormalnparaL1"/>
      </w:pPr>
      <w:r>
        <w:t>(a)</w:t>
      </w:r>
      <w:r>
        <w:tab/>
        <w:t>rights to change the type of output that is produced by the asset (for example, to decide whether to use a shipping container to transport goods or for storage, or to decide upon the mix of products sold from retail space);</w:t>
      </w:r>
    </w:p>
    <w:p w14:paraId="4495FBA6" w14:textId="77777777" w:rsidR="00FD4BA8" w:rsidRDefault="009A1D2F">
      <w:pPr>
        <w:pStyle w:val="IASBNormalnparaL1"/>
      </w:pPr>
      <w:r>
        <w:t>(b)</w:t>
      </w:r>
      <w:r>
        <w:tab/>
        <w:t>rights to change when the output is produced (for example, to decide when an item of machinery or a power plant will be used);</w:t>
      </w:r>
    </w:p>
    <w:p w14:paraId="48E3F0DC" w14:textId="77777777" w:rsidR="00FD4BA8" w:rsidRDefault="009A1D2F">
      <w:pPr>
        <w:pStyle w:val="IASBNormalnparaL1"/>
      </w:pPr>
      <w:r>
        <w:t>(c)</w:t>
      </w:r>
      <w:r>
        <w:tab/>
        <w:t>rights to change where the output is produced (for example, to decide upon the destination of a truck or a ship, or to decide where an item of equipment is used); and</w:t>
      </w:r>
    </w:p>
    <w:p w14:paraId="6B9C14CA" w14:textId="77777777" w:rsidR="00FD4BA8" w:rsidRDefault="009A1D2F">
      <w:pPr>
        <w:pStyle w:val="IASBNormalnparaL1"/>
      </w:pPr>
      <w:r>
        <w:t>(d)</w:t>
      </w:r>
      <w:r>
        <w:tab/>
        <w:t>rights to change whether the output is produced, and the quantity of that output (for example, to decide whether to produce energy from a power plant and how much energy to produce from that power plant).</w:t>
      </w:r>
    </w:p>
    <w:p w14:paraId="5DD686A9" w14:textId="77777777" w:rsidR="00FD4BA8" w:rsidRDefault="009A1D2F">
      <w:pPr>
        <w:pStyle w:val="IASBNormalnpara"/>
      </w:pPr>
      <w:r>
        <w:t>B27</w:t>
      </w:r>
      <w:r>
        <w:tab/>
        <w:t>Examples of decision-making rights that do not grant the right to change how and for what purpose the asset is used include rights that are limited to operating or maintaining the asset. Such rights can be held by the customer or the supplier. Although rights such as those to operate or maintain an asset are often essential to the efficient use of an asset, they are not rights to direct how and for what purpose the asset is used and are often dependent on the decisions about how and for what purpose the asset is used. However, rights to operate an asset may grant the customer the right to direct the use of the asset if the relevant decisions about how and for what purpose the asset is used are predetermined (see paragraph B24(b)(i)).</w:t>
      </w:r>
    </w:p>
    <w:p w14:paraId="09F8F636" w14:textId="77777777" w:rsidR="00FD4BA8" w:rsidRDefault="009A1D2F">
      <w:pPr>
        <w:pStyle w:val="IASBSectionTitle5Ind"/>
      </w:pPr>
      <w:r>
        <w:t>Decisions determined during and before the period of use</w:t>
      </w:r>
    </w:p>
    <w:p w14:paraId="2F0A2FEA" w14:textId="77777777" w:rsidR="00FD4BA8" w:rsidRDefault="009A1D2F">
      <w:pPr>
        <w:pStyle w:val="IASBNormalnpara"/>
      </w:pPr>
      <w:r>
        <w:t>B28</w:t>
      </w:r>
      <w:r>
        <w:tab/>
        <w:t>The relevant decisions about how and for what purpose the asset is used can be predetermined in a number of ways. For example, the relevant decisions can be predetermined by the design of the asset or by contractual restrictions on the use of the asset.</w:t>
      </w:r>
    </w:p>
    <w:p w14:paraId="34DCE39F" w14:textId="77777777" w:rsidR="00FD4BA8" w:rsidRDefault="009A1D2F">
      <w:pPr>
        <w:pStyle w:val="IASBNormalnpara"/>
      </w:pPr>
      <w:r>
        <w:t>B29</w:t>
      </w:r>
      <w:r>
        <w:tab/>
        <w:t xml:space="preserve">In assessing whether a customer has the right to direct the use of an asset, an entity shall consider only rights to make decisions about the use of the asset during the period of use, unless the customer designed the asset (or specific aspects of the asset) as described in paragraph B24(b)(ii). Consequently, unless the conditions in paragraph B24(b)(ii) exist, an entity shall not consider decisions that are predetermined before the period of use. For example, if a customer is able only to specify the output of an asset before the period of use, the customer does not have the right to direct the use of that asset. The ability to specify the output in a contract before the period of use, without any other decision-making rights relating to the use of the asset, gives a customer the same rights as any customer that purchases goods or services. </w:t>
      </w:r>
    </w:p>
    <w:p w14:paraId="19152CC5" w14:textId="77777777" w:rsidR="00FD4BA8" w:rsidRDefault="009A1D2F">
      <w:pPr>
        <w:pStyle w:val="IASBSectionTitle5Ind"/>
      </w:pPr>
      <w:r>
        <w:t>Protective rights</w:t>
      </w:r>
    </w:p>
    <w:p w14:paraId="5C634B85" w14:textId="77777777" w:rsidR="00FD4BA8" w:rsidRDefault="009A1D2F">
      <w:pPr>
        <w:pStyle w:val="IASBNormalnpara"/>
      </w:pPr>
      <w:r>
        <w:t>B30</w:t>
      </w:r>
      <w:r>
        <w:tab/>
        <w:t>A contract may include terms and conditions designed to protect the supplier’s interest in the asset or other assets, to protect its personnel, or to ensure the supplier’s compliance with laws or regulations. These are examples of protective rights. For example, a contract may (i) specify the maximum amount of use of an asset or limit where or when the customer can use the asset, (ii) require a customer to follow particular operating practices, or (iii) require a customer to inform the supplier of changes in how an asset will be used. Protective rights typically define the scope of the customer’s right of use but do not, in isolation, prevent the customer from having the right to direct the use of an asset.</w:t>
      </w:r>
    </w:p>
    <w:p w14:paraId="229B68B6" w14:textId="77777777" w:rsidR="00FD4BA8" w:rsidRDefault="009A1D2F">
      <w:pPr>
        <w:pStyle w:val="IASBNormalnpara"/>
      </w:pPr>
      <w:r>
        <w:t>B31</w:t>
      </w:r>
      <w:r>
        <w:tab/>
        <w:t>The following flowchart may assist entities in making the assessment of whether a contract is, or contains, a lease.</w:t>
      </w:r>
    </w:p>
    <w:p w14:paraId="3F0CD9A5" w14:textId="77777777" w:rsidR="00FD4BA8" w:rsidRDefault="006A5CB0">
      <w:pPr>
        <w:pStyle w:val="IASBNormal"/>
      </w:pPr>
      <w:r>
        <w:rPr>
          <w:noProof/>
          <w:lang w:eastAsia="en-AU"/>
        </w:rPr>
        <w:lastRenderedPageBreak/>
        <mc:AlternateContent>
          <mc:Choice Requires="wpg">
            <w:drawing>
              <wp:anchor distT="0" distB="0" distL="114300" distR="114300" simplePos="0" relativeHeight="251660800" behindDoc="0" locked="0" layoutInCell="1" allowOverlap="1" wp14:anchorId="07A63A37" wp14:editId="17BFA463">
                <wp:simplePos x="0" y="0"/>
                <wp:positionH relativeFrom="column">
                  <wp:posOffset>0</wp:posOffset>
                </wp:positionH>
                <wp:positionV relativeFrom="paragraph">
                  <wp:posOffset>63500</wp:posOffset>
                </wp:positionV>
                <wp:extent cx="5673600" cy="6796800"/>
                <wp:effectExtent l="0" t="0" r="22860" b="23495"/>
                <wp:wrapTopAndBottom/>
                <wp:docPr id="2" name="Group 2" descr="Decision tree to assist in applying the definition of a lease" title="Decision tree to assist in applying the definition of a lease"/>
                <wp:cNvGraphicFramePr/>
                <a:graphic xmlns:a="http://schemas.openxmlformats.org/drawingml/2006/main">
                  <a:graphicData uri="http://schemas.microsoft.com/office/word/2010/wordprocessingGroup">
                    <wpg:wgp>
                      <wpg:cNvGrpSpPr/>
                      <wpg:grpSpPr>
                        <a:xfrm>
                          <a:off x="0" y="0"/>
                          <a:ext cx="5673600" cy="6796800"/>
                          <a:chOff x="0" y="0"/>
                          <a:chExt cx="6710045" cy="6600825"/>
                        </a:xfrm>
                      </wpg:grpSpPr>
                      <wps:wsp>
                        <wps:cNvPr id="3" name="Rectangle 3"/>
                        <wps:cNvSpPr/>
                        <wps:spPr>
                          <a:xfrm>
                            <a:off x="1104900" y="0"/>
                            <a:ext cx="2719070"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9899A"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Is there an identified asset? </w:t>
                              </w:r>
                            </w:p>
                            <w:p w14:paraId="6310CAE9"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paragraphs B13-B20.</w:t>
                              </w:r>
                            </w:p>
                            <w:p w14:paraId="1645310D"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93"/>
                        <wps:cNvSpPr txBox="1">
                          <a:spLocks noChangeArrowheads="1"/>
                        </wps:cNvSpPr>
                        <wps:spPr bwMode="auto">
                          <a:xfrm>
                            <a:off x="4152900" y="0"/>
                            <a:ext cx="476885" cy="219075"/>
                          </a:xfrm>
                          <a:prstGeom prst="rect">
                            <a:avLst/>
                          </a:prstGeom>
                          <a:solidFill>
                            <a:srgbClr val="FFFFFF"/>
                          </a:solidFill>
                          <a:ln w="9525">
                            <a:solidFill>
                              <a:srgbClr val="FFFFFF"/>
                            </a:solidFill>
                            <a:miter lim="800000"/>
                            <a:headEnd/>
                            <a:tailEnd/>
                          </a:ln>
                        </wps:spPr>
                        <wps:txbx>
                          <w:txbxContent>
                            <w:p w14:paraId="3ED5A2D1"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17" name="Text Box 93"/>
                        <wps:cNvSpPr txBox="1">
                          <a:spLocks noChangeArrowheads="1"/>
                        </wps:cNvSpPr>
                        <wps:spPr bwMode="auto">
                          <a:xfrm>
                            <a:off x="2581275" y="4362450"/>
                            <a:ext cx="476885" cy="219075"/>
                          </a:xfrm>
                          <a:prstGeom prst="rect">
                            <a:avLst/>
                          </a:prstGeom>
                          <a:solidFill>
                            <a:srgbClr val="FFFFFF"/>
                          </a:solidFill>
                          <a:ln w="9525">
                            <a:solidFill>
                              <a:srgbClr val="FFFFFF"/>
                            </a:solidFill>
                            <a:miter lim="800000"/>
                            <a:headEnd/>
                            <a:tailEnd/>
                          </a:ln>
                        </wps:spPr>
                        <wps:txbx>
                          <w:txbxContent>
                            <w:p w14:paraId="7560FCB3"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25" name="Text Box 93"/>
                        <wps:cNvSpPr txBox="1">
                          <a:spLocks noChangeArrowheads="1"/>
                        </wps:cNvSpPr>
                        <wps:spPr bwMode="auto">
                          <a:xfrm>
                            <a:off x="352425" y="3495675"/>
                            <a:ext cx="476885" cy="219075"/>
                          </a:xfrm>
                          <a:prstGeom prst="rect">
                            <a:avLst/>
                          </a:prstGeom>
                          <a:solidFill>
                            <a:srgbClr val="FFFFFF"/>
                          </a:solidFill>
                          <a:ln w="9525">
                            <a:solidFill>
                              <a:srgbClr val="FFFFFF"/>
                            </a:solidFill>
                            <a:miter lim="800000"/>
                            <a:headEnd/>
                            <a:tailEnd/>
                          </a:ln>
                        </wps:spPr>
                        <wps:txbx>
                          <w:txbxContent>
                            <w:p w14:paraId="274B009E"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26" name="Text Box 93"/>
                        <wps:cNvSpPr txBox="1">
                          <a:spLocks noChangeArrowheads="1"/>
                        </wps:cNvSpPr>
                        <wps:spPr bwMode="auto">
                          <a:xfrm>
                            <a:off x="2638425" y="581025"/>
                            <a:ext cx="476885" cy="219075"/>
                          </a:xfrm>
                          <a:prstGeom prst="rect">
                            <a:avLst/>
                          </a:prstGeom>
                          <a:solidFill>
                            <a:srgbClr val="FFFFFF"/>
                          </a:solidFill>
                          <a:ln w="9525">
                            <a:solidFill>
                              <a:srgbClr val="FFFFFF"/>
                            </a:solidFill>
                            <a:miter lim="800000"/>
                            <a:headEnd/>
                            <a:tailEnd/>
                          </a:ln>
                        </wps:spPr>
                        <wps:txbx>
                          <w:txbxContent>
                            <w:p w14:paraId="175A199C"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15" name="Rectangle 15"/>
                        <wps:cNvSpPr/>
                        <wps:spPr>
                          <a:xfrm>
                            <a:off x="1076325" y="895350"/>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FFEC7" w14:textId="77777777" w:rsidR="00D21034"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 xml:space="preserve">Does the customer have the right to obtain substantially all of the economic benefits from use of the asset throughout the period of use? </w:t>
                              </w:r>
                            </w:p>
                            <w:p w14:paraId="504DEF95" w14:textId="77777777" w:rsidR="00D21034" w:rsidRPr="00C25FC6"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Consider paragraphs B21-B23.</w:t>
                              </w:r>
                            </w:p>
                            <w:p w14:paraId="58ED186B"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057275" y="197167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0DF6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the supplier, or neither party, have the right to direct how and for what purpose the asset is used throughout the period of use? Consider paragraphs B25-B30.</w:t>
                              </w:r>
                            </w:p>
                            <w:p w14:paraId="30460FE9" w14:textId="77777777" w:rsidR="00D21034" w:rsidRPr="00C25FC6" w:rsidRDefault="00D21034" w:rsidP="006A5CB0">
                              <w:pPr>
                                <w:widowControl w:val="0"/>
                                <w:jc w:val="center"/>
                                <w:rPr>
                                  <w:rFonts w:ascii="Arial" w:hAnsi="Arial" w:cs="Arial"/>
                                  <w:color w:val="000000" w:themeColor="text1"/>
                                  <w:sz w:val="16"/>
                                  <w:szCs w:val="16"/>
                                </w:rPr>
                              </w:pPr>
                            </w:p>
                            <w:p w14:paraId="0ADD33AA"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04900" y="359092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890D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have the right to operate the asset throughout the period of use, without the supplier having the right to change those operating instructions? Consider paragraph B24(b)(i).</w:t>
                              </w:r>
                            </w:p>
                            <w:p w14:paraId="42D836AE" w14:textId="77777777" w:rsidR="00D21034" w:rsidRPr="00C25FC6" w:rsidRDefault="00D21034" w:rsidP="006A5CB0">
                              <w:pPr>
                                <w:widowControl w:val="0"/>
                                <w:jc w:val="center"/>
                                <w:rPr>
                                  <w:rFonts w:ascii="Arial" w:hAnsi="Arial" w:cs="Arial"/>
                                  <w:color w:val="000000" w:themeColor="text1"/>
                                  <w:sz w:val="16"/>
                                  <w:szCs w:val="16"/>
                                </w:rPr>
                              </w:pPr>
                            </w:p>
                            <w:p w14:paraId="7BB6971C" w14:textId="77777777" w:rsidR="00D21034" w:rsidRPr="00BB226E" w:rsidRDefault="00D21034" w:rsidP="006A5CB0">
                              <w:pPr>
                                <w:jc w:val="cente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114425" y="4695825"/>
                            <a:ext cx="271907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BEB8E"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Did the customer design the asset in a way that predetermines how and for what purpose the asset will be used throughout the period of use? </w:t>
                              </w:r>
                            </w:p>
                            <w:p w14:paraId="28186B5F" w14:textId="77777777" w:rsidR="00D21034" w:rsidRPr="00BB226E"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 B24(b)(ii)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3819525" y="247650"/>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2457450" y="466725"/>
                            <a:ext cx="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3790950" y="1200150"/>
                            <a:ext cx="1600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Text Box 93"/>
                        <wps:cNvSpPr txBox="1">
                          <a:spLocks noChangeArrowheads="1"/>
                        </wps:cNvSpPr>
                        <wps:spPr bwMode="auto">
                          <a:xfrm>
                            <a:off x="4152900" y="895350"/>
                            <a:ext cx="476885" cy="219075"/>
                          </a:xfrm>
                          <a:prstGeom prst="rect">
                            <a:avLst/>
                          </a:prstGeom>
                          <a:solidFill>
                            <a:srgbClr val="FFFFFF"/>
                          </a:solidFill>
                          <a:ln w="9525">
                            <a:solidFill>
                              <a:srgbClr val="FFFFFF"/>
                            </a:solidFill>
                            <a:miter lim="800000"/>
                            <a:headEnd/>
                            <a:tailEnd/>
                          </a:ln>
                        </wps:spPr>
                        <wps:txbx>
                          <w:txbxContent>
                            <w:p w14:paraId="4EEAA02E"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35" name="Straight Arrow Connector 35"/>
                        <wps:cNvCnPr/>
                        <wps:spPr>
                          <a:xfrm>
                            <a:off x="2457450" y="1533525"/>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Text Box 93"/>
                        <wps:cNvSpPr txBox="1">
                          <a:spLocks noChangeArrowheads="1"/>
                        </wps:cNvSpPr>
                        <wps:spPr bwMode="auto">
                          <a:xfrm>
                            <a:off x="2638425" y="1647825"/>
                            <a:ext cx="476885" cy="219075"/>
                          </a:xfrm>
                          <a:prstGeom prst="rect">
                            <a:avLst/>
                          </a:prstGeom>
                          <a:solidFill>
                            <a:srgbClr val="FFFFFF"/>
                          </a:solidFill>
                          <a:ln w="9525">
                            <a:solidFill>
                              <a:srgbClr val="FFFFFF"/>
                            </a:solidFill>
                            <a:miter lim="800000"/>
                            <a:headEnd/>
                            <a:tailEnd/>
                          </a:ln>
                        </wps:spPr>
                        <wps:txbx>
                          <w:txbxContent>
                            <w:p w14:paraId="6D949BFF"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38" name="Straight Connector 38"/>
                        <wps:cNvCnPr/>
                        <wps:spPr>
                          <a:xfrm flipH="1">
                            <a:off x="0" y="2295525"/>
                            <a:ext cx="105727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Text Box 93"/>
                        <wps:cNvSpPr txBox="1">
                          <a:spLocks noChangeArrowheads="1"/>
                        </wps:cNvSpPr>
                        <wps:spPr bwMode="auto">
                          <a:xfrm>
                            <a:off x="4067175" y="2000250"/>
                            <a:ext cx="714375" cy="219075"/>
                          </a:xfrm>
                          <a:prstGeom prst="rect">
                            <a:avLst/>
                          </a:prstGeom>
                          <a:solidFill>
                            <a:srgbClr val="FFFFFF"/>
                          </a:solidFill>
                          <a:ln w="9525">
                            <a:solidFill>
                              <a:srgbClr val="FFFFFF"/>
                            </a:solidFill>
                            <a:miter lim="800000"/>
                            <a:headEnd/>
                            <a:tailEnd/>
                          </a:ln>
                        </wps:spPr>
                        <wps:txbx>
                          <w:txbxContent>
                            <w:p w14:paraId="796A378F" w14:textId="77777777" w:rsidR="00D21034" w:rsidRPr="00B26EC0" w:rsidRDefault="00D21034" w:rsidP="006A5CB0">
                              <w:pPr>
                                <w:jc w:val="center"/>
                                <w:rPr>
                                  <w:rFonts w:ascii="Arial" w:hAnsi="Arial" w:cs="Arial"/>
                                  <w:sz w:val="16"/>
                                  <w:szCs w:val="16"/>
                                </w:rPr>
                              </w:pPr>
                              <w:r>
                                <w:rPr>
                                  <w:rFonts w:ascii="Arial" w:hAnsi="Arial" w:cs="Arial"/>
                                  <w:sz w:val="16"/>
                                  <w:szCs w:val="16"/>
                                </w:rPr>
                                <w:t>Supplier</w:t>
                              </w:r>
                            </w:p>
                          </w:txbxContent>
                        </wps:txbx>
                        <wps:bodyPr rot="0" vert="horz" wrap="square" lIns="91440" tIns="45720" rIns="91440" bIns="45720" anchor="t" anchorCtr="0" upright="1">
                          <a:noAutofit/>
                        </wps:bodyPr>
                      </wps:wsp>
                      <wps:wsp>
                        <wps:cNvPr id="41" name="Text Box 93"/>
                        <wps:cNvSpPr txBox="1">
                          <a:spLocks noChangeArrowheads="1"/>
                        </wps:cNvSpPr>
                        <wps:spPr bwMode="auto">
                          <a:xfrm>
                            <a:off x="180975" y="2009775"/>
                            <a:ext cx="714375" cy="219075"/>
                          </a:xfrm>
                          <a:prstGeom prst="rect">
                            <a:avLst/>
                          </a:prstGeom>
                          <a:solidFill>
                            <a:srgbClr val="FFFFFF"/>
                          </a:solidFill>
                          <a:ln w="9525">
                            <a:solidFill>
                              <a:srgbClr val="FFFFFF"/>
                            </a:solidFill>
                            <a:miter lim="800000"/>
                            <a:headEnd/>
                            <a:tailEnd/>
                          </a:ln>
                        </wps:spPr>
                        <wps:txbx>
                          <w:txbxContent>
                            <w:p w14:paraId="5B058D9F" w14:textId="77777777" w:rsidR="00D21034" w:rsidRPr="00B26EC0" w:rsidRDefault="00D21034" w:rsidP="006A5CB0">
                              <w:pPr>
                                <w:jc w:val="center"/>
                                <w:rPr>
                                  <w:rFonts w:ascii="Arial" w:hAnsi="Arial" w:cs="Arial"/>
                                  <w:sz w:val="16"/>
                                  <w:szCs w:val="16"/>
                                </w:rPr>
                              </w:pPr>
                              <w:r>
                                <w:rPr>
                                  <w:rFonts w:ascii="Arial" w:hAnsi="Arial" w:cs="Arial"/>
                                  <w:sz w:val="16"/>
                                  <w:szCs w:val="16"/>
                                </w:rPr>
                                <w:t>Customer</w:t>
                              </w:r>
                            </w:p>
                          </w:txbxContent>
                        </wps:txbx>
                        <wps:bodyPr rot="0" vert="horz" wrap="square" lIns="91440" tIns="45720" rIns="91440" bIns="45720" anchor="t" anchorCtr="0" upright="1">
                          <a:noAutofit/>
                        </wps:bodyPr>
                      </wps:wsp>
                      <wps:wsp>
                        <wps:cNvPr id="43" name="Text Box 93"/>
                        <wps:cNvSpPr txBox="1">
                          <a:spLocks noChangeArrowheads="1"/>
                        </wps:cNvSpPr>
                        <wps:spPr bwMode="auto">
                          <a:xfrm>
                            <a:off x="2571750" y="2762250"/>
                            <a:ext cx="1638300" cy="609600"/>
                          </a:xfrm>
                          <a:prstGeom prst="rect">
                            <a:avLst/>
                          </a:prstGeom>
                          <a:solidFill>
                            <a:srgbClr val="FFFFFF"/>
                          </a:solidFill>
                          <a:ln w="9525">
                            <a:solidFill>
                              <a:srgbClr val="FFFFFF"/>
                            </a:solidFill>
                            <a:miter lim="800000"/>
                            <a:headEnd/>
                            <a:tailEnd/>
                          </a:ln>
                        </wps:spPr>
                        <wps:txbx>
                          <w:txbxContent>
                            <w:p w14:paraId="2D292D27" w14:textId="77777777" w:rsidR="00D21034" w:rsidRPr="00B26EC0" w:rsidRDefault="00D21034" w:rsidP="006A5CB0">
                              <w:pPr>
                                <w:rPr>
                                  <w:rFonts w:ascii="Arial" w:hAnsi="Arial" w:cs="Arial"/>
                                  <w:sz w:val="16"/>
                                  <w:szCs w:val="16"/>
                                </w:rPr>
                              </w:pPr>
                              <w:r>
                                <w:rPr>
                                  <w:rFonts w:ascii="Arial" w:hAnsi="Arial" w:cs="Arial"/>
                                  <w:sz w:val="16"/>
                                  <w:szCs w:val="16"/>
                                </w:rPr>
                                <w:t>Neither; how and for what purpose the asset will be used is predetermined</w:t>
                              </w:r>
                            </w:p>
                          </w:txbxContent>
                        </wps:txbx>
                        <wps:bodyPr rot="0" vert="horz" wrap="square" lIns="91440" tIns="45720" rIns="91440" bIns="45720" anchor="t" anchorCtr="0" upright="1">
                          <a:noAutofit/>
                        </wps:bodyPr>
                      </wps:wsp>
                      <wps:wsp>
                        <wps:cNvPr id="44" name="Straight Arrow Connector 44"/>
                        <wps:cNvCnPr/>
                        <wps:spPr>
                          <a:xfrm>
                            <a:off x="2476500" y="422910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0" y="3714750"/>
                            <a:ext cx="1104900"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3838575" y="5038725"/>
                            <a:ext cx="1571625"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Text Box 93"/>
                        <wps:cNvSpPr txBox="1">
                          <a:spLocks noChangeArrowheads="1"/>
                        </wps:cNvSpPr>
                        <wps:spPr bwMode="auto">
                          <a:xfrm>
                            <a:off x="4229100" y="4695825"/>
                            <a:ext cx="476885" cy="219075"/>
                          </a:xfrm>
                          <a:prstGeom prst="rect">
                            <a:avLst/>
                          </a:prstGeom>
                          <a:solidFill>
                            <a:srgbClr val="FFFFFF"/>
                          </a:solidFill>
                          <a:ln w="9525">
                            <a:solidFill>
                              <a:srgbClr val="FFFFFF"/>
                            </a:solidFill>
                            <a:miter lim="800000"/>
                            <a:headEnd/>
                            <a:tailEnd/>
                          </a:ln>
                        </wps:spPr>
                        <wps:txbx>
                          <w:txbxContent>
                            <w:p w14:paraId="239DB6C0"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wps:txbx>
                        <wps:bodyPr rot="0" vert="horz" wrap="square" lIns="91440" tIns="45720" rIns="91440" bIns="45720" anchor="t" anchorCtr="0" upright="1">
                          <a:noAutofit/>
                        </wps:bodyPr>
                      </wps:wsp>
                      <wps:wsp>
                        <wps:cNvPr id="48" name="Oval 48"/>
                        <wps:cNvSpPr/>
                        <wps:spPr>
                          <a:xfrm>
                            <a:off x="1162050" y="5753100"/>
                            <a:ext cx="2623820" cy="8477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D9AE5"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The contract contains a 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4086225" y="5743575"/>
                            <a:ext cx="2623820" cy="8477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A6431"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 xml:space="preserve">The contract </w:t>
                              </w:r>
                              <w:r>
                                <w:rPr>
                                  <w:rFonts w:ascii="Arial" w:hAnsi="Arial" w:cs="Arial"/>
                                  <w:color w:val="000000" w:themeColor="text1"/>
                                  <w:sz w:val="18"/>
                                  <w:szCs w:val="18"/>
                                </w:rPr>
                                <w:t>does not contain</w:t>
                              </w:r>
                              <w:r w:rsidRPr="0038314C">
                                <w:rPr>
                                  <w:rFonts w:ascii="Arial" w:hAnsi="Arial" w:cs="Arial"/>
                                  <w:color w:val="000000" w:themeColor="text1"/>
                                  <w:sz w:val="18"/>
                                  <w:szCs w:val="18"/>
                                </w:rPr>
                                <w:t xml:space="preserve"> a 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3771900" y="2295525"/>
                            <a:ext cx="1619250" cy="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a:off x="2476500" y="533400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Text Box 93"/>
                        <wps:cNvSpPr txBox="1">
                          <a:spLocks noChangeArrowheads="1"/>
                        </wps:cNvSpPr>
                        <wps:spPr bwMode="auto">
                          <a:xfrm>
                            <a:off x="2590800" y="5438775"/>
                            <a:ext cx="476885" cy="219075"/>
                          </a:xfrm>
                          <a:prstGeom prst="rect">
                            <a:avLst/>
                          </a:prstGeom>
                          <a:solidFill>
                            <a:srgbClr val="FFFFFF"/>
                          </a:solidFill>
                          <a:ln w="9525">
                            <a:solidFill>
                              <a:srgbClr val="FFFFFF"/>
                            </a:solidFill>
                            <a:miter lim="800000"/>
                            <a:headEnd/>
                            <a:tailEnd/>
                          </a:ln>
                        </wps:spPr>
                        <wps:txbx>
                          <w:txbxContent>
                            <w:p w14:paraId="7C444DB7"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wps:txbx>
                        <wps:bodyPr rot="0" vert="horz" wrap="square" lIns="91440" tIns="45720" rIns="91440" bIns="45720" anchor="t" anchorCtr="0" upright="1">
                          <a:noAutofit/>
                        </wps:bodyPr>
                      </wps:wsp>
                      <wps:wsp>
                        <wps:cNvPr id="54" name="Straight Connector 54"/>
                        <wps:cNvCnPr/>
                        <wps:spPr>
                          <a:xfrm>
                            <a:off x="0" y="2295525"/>
                            <a:ext cx="0" cy="391477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0" y="6210300"/>
                            <a:ext cx="1152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2457450" y="2609850"/>
                            <a:ext cx="0"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 name="Straight Arrow Connector 59"/>
                        <wps:cNvCnPr/>
                        <wps:spPr>
                          <a:xfrm>
                            <a:off x="5391150" y="247650"/>
                            <a:ext cx="9525" cy="5505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A63A37" id="Group 2" o:spid="_x0000_s1026" alt="Title: Decision tree to assist in applying the definition of a lease - Description: Decision tree to assist in applying the definition of a lease" style="position:absolute;left:0;text-align:left;margin-left:0;margin-top:5pt;width:446.75pt;height:535.2pt;z-index:251660800;mso-width-relative:margin;mso-height-relative:margin" coordsize="67100,6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">
                <v:rect id="Rectangle 3" o:spid="_x0000_s1027" style="position:absolute;left:11049;width:2719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" filled="f" strokecolor="black [3213]">
                  <v:textbox>
                    <w:txbxContent>
                      <w:p w14:paraId="60A9899A"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Is there an identified asset? </w:t>
                        </w:r>
                      </w:p>
                      <w:p w14:paraId="6310CAE9"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paragraphs B13-B20.</w:t>
                        </w:r>
                      </w:p>
                      <w:p w14:paraId="1645310D" w14:textId="77777777" w:rsidR="00D21034" w:rsidRPr="00BB226E" w:rsidRDefault="00D21034" w:rsidP="006A5CB0">
                        <w:pPr>
                          <w:jc w:val="center"/>
                          <w:rPr>
                            <w:rFonts w:ascii="Arial" w:hAnsi="Arial" w:cs="Arial"/>
                            <w:color w:val="000000" w:themeColor="text1"/>
                            <w:sz w:val="16"/>
                            <w:szCs w:val="16"/>
                          </w:rPr>
                        </w:pPr>
                      </w:p>
                    </w:txbxContent>
                  </v:textbox>
                </v:rect>
                <v:shapetype id="_x0000_t202" coordsize="21600,21600" o:spt="202" path="m,l,21600r21600,l21600,xe">
                  <v:stroke joinstyle="miter"/>
                  <v:path gradientshapeok="t" o:connecttype="rect"/>
                </v:shapetype>
                <v:shape id="Text Box 93" o:spid="_x0000_s1028" type="#_x0000_t202" style="position:absolute;left:41529;width:476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14:paraId="3ED5A2D1"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shape id="Text Box 93" o:spid="_x0000_s1029" type="#_x0000_t202" style="position:absolute;left:25812;top:43624;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" strokecolor="white">
                  <v:textbox>
                    <w:txbxContent>
                      <w:p w14:paraId="7560FCB3"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shape id="Text Box 93" o:spid="_x0000_s1030" type="#_x0000_t202" style="position:absolute;left:3524;top:34956;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14:paraId="274B009E"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shape id="Text Box 93" o:spid="_x0000_s1031" type="#_x0000_t202" style="position:absolute;left:26384;top:5810;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175A199C"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rect id="Rectangle 15" o:spid="_x0000_s1032" style="position:absolute;left:10763;top:8953;width:2719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QHwQAAANsAAAAPAAAAZHJzL2Rvd25yZXYueG1sRE9LasMw&#10;EN0XcgcxhW5KI9el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KUA1AfBAAAA2wAAAA8AAAAA&#10;AAAAAAAAAAAABwIAAGRycy9kb3ducmV2LnhtbFBLBQYAAAAAAwADALcAAAD1AgAAAAA=&#10;" filled="f" strokecolor="black [3213]">
                  <v:textbox>
                    <w:txbxContent>
                      <w:p w14:paraId="542FFEC7" w14:textId="77777777" w:rsidR="00D21034"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 xml:space="preserve">Does the customer have the right to obtain substantially all of the economic benefits from use of the asset throughout the period of use? </w:t>
                        </w:r>
                      </w:p>
                      <w:p w14:paraId="504DEF95" w14:textId="77777777" w:rsidR="00D21034" w:rsidRPr="00C25FC6" w:rsidRDefault="00D21034" w:rsidP="006A5CB0">
                        <w:pPr>
                          <w:widowControl w:val="0"/>
                          <w:jc w:val="center"/>
                          <w:rPr>
                            <w:rFonts w:ascii="Arial" w:hAnsi="Arial" w:cs="Arial"/>
                            <w:color w:val="000000" w:themeColor="text1"/>
                            <w:sz w:val="16"/>
                            <w:szCs w:val="16"/>
                          </w:rPr>
                        </w:pPr>
                        <w:r>
                          <w:rPr>
                            <w:rFonts w:ascii="Arial" w:hAnsi="Arial" w:cs="Arial"/>
                            <w:color w:val="000000" w:themeColor="text1"/>
                            <w:sz w:val="16"/>
                            <w:szCs w:val="16"/>
                          </w:rPr>
                          <w:t>Consider paragraphs B21-B23.</w:t>
                        </w:r>
                      </w:p>
                      <w:p w14:paraId="58ED186B" w14:textId="77777777" w:rsidR="00D21034" w:rsidRPr="00BB226E" w:rsidRDefault="00D21034" w:rsidP="006A5CB0">
                        <w:pPr>
                          <w:jc w:val="center"/>
                          <w:rPr>
                            <w:rFonts w:ascii="Arial" w:hAnsi="Arial" w:cs="Arial"/>
                            <w:color w:val="000000" w:themeColor="text1"/>
                            <w:sz w:val="16"/>
                            <w:szCs w:val="16"/>
                          </w:rPr>
                        </w:pPr>
                      </w:p>
                    </w:txbxContent>
                  </v:textbox>
                </v:rect>
                <v:rect id="Rectangle 20" o:spid="_x0000_s1033" style="position:absolute;left:10572;top:19716;width:27191;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" filled="f" strokecolor="black [3213]">
                  <v:textbox>
                    <w:txbxContent>
                      <w:p w14:paraId="06C0DF6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the supplier, or neither party, have the right to direct how and for what purpose the asset is used throughout the period of use? Consider paragraphs B25-B30.</w:t>
                        </w:r>
                      </w:p>
                      <w:p w14:paraId="30460FE9" w14:textId="77777777" w:rsidR="00D21034" w:rsidRPr="00C25FC6" w:rsidRDefault="00D21034" w:rsidP="006A5CB0">
                        <w:pPr>
                          <w:widowControl w:val="0"/>
                          <w:jc w:val="center"/>
                          <w:rPr>
                            <w:rFonts w:ascii="Arial" w:hAnsi="Arial" w:cs="Arial"/>
                            <w:color w:val="000000" w:themeColor="text1"/>
                            <w:sz w:val="16"/>
                            <w:szCs w:val="16"/>
                          </w:rPr>
                        </w:pPr>
                      </w:p>
                      <w:p w14:paraId="0ADD33AA" w14:textId="77777777" w:rsidR="00D21034" w:rsidRPr="00BB226E" w:rsidRDefault="00D21034" w:rsidP="006A5CB0">
                        <w:pPr>
                          <w:jc w:val="center"/>
                          <w:rPr>
                            <w:rFonts w:ascii="Arial" w:hAnsi="Arial" w:cs="Arial"/>
                            <w:color w:val="000000" w:themeColor="text1"/>
                            <w:sz w:val="16"/>
                            <w:szCs w:val="16"/>
                          </w:rPr>
                        </w:pPr>
                      </w:p>
                    </w:txbxContent>
                  </v:textbox>
                </v:rect>
                <v:rect id="Rectangle 29" o:spid="_x0000_s1034" style="position:absolute;left:11049;top:35909;width:2719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" filled="f" strokecolor="black [3213]">
                  <v:textbox>
                    <w:txbxContent>
                      <w:p w14:paraId="08F890D0" w14:textId="77777777" w:rsidR="00D21034" w:rsidRPr="00C25FC6"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Does the customer have the right to operate the asset throughout the period of use, without the supplier having the right to change those operating instructions? Consider paragraph B24(b)(i).</w:t>
                        </w:r>
                      </w:p>
                      <w:p w14:paraId="42D836AE" w14:textId="77777777" w:rsidR="00D21034" w:rsidRPr="00C25FC6" w:rsidRDefault="00D21034" w:rsidP="006A5CB0">
                        <w:pPr>
                          <w:widowControl w:val="0"/>
                          <w:jc w:val="center"/>
                          <w:rPr>
                            <w:rFonts w:ascii="Arial" w:hAnsi="Arial" w:cs="Arial"/>
                            <w:color w:val="000000" w:themeColor="text1"/>
                            <w:sz w:val="16"/>
                            <w:szCs w:val="16"/>
                          </w:rPr>
                        </w:pPr>
                      </w:p>
                      <w:p w14:paraId="7BB6971C" w14:textId="77777777" w:rsidR="00D21034" w:rsidRPr="00BB226E" w:rsidRDefault="00D21034" w:rsidP="006A5CB0">
                        <w:pPr>
                          <w:jc w:val="center"/>
                          <w:rPr>
                            <w:rFonts w:ascii="Arial" w:hAnsi="Arial" w:cs="Arial"/>
                            <w:color w:val="000000" w:themeColor="text1"/>
                            <w:sz w:val="16"/>
                            <w:szCs w:val="16"/>
                          </w:rPr>
                        </w:pPr>
                      </w:p>
                    </w:txbxContent>
                  </v:textbox>
                </v:rect>
                <v:rect id="Rectangle 30" o:spid="_x0000_s1035" style="position:absolute;left:11144;top:46958;width:2719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" filled="f" strokecolor="black [3213]">
                  <v:textbox>
                    <w:txbxContent>
                      <w:p w14:paraId="16CBEB8E" w14:textId="77777777" w:rsidR="00D21034"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 xml:space="preserve">Did the customer design the asset in a way that predetermines how and for what purpose the asset will be used throughout the period of use? </w:t>
                        </w:r>
                      </w:p>
                      <w:p w14:paraId="28186B5F" w14:textId="77777777" w:rsidR="00D21034" w:rsidRPr="00BB226E" w:rsidRDefault="00D21034" w:rsidP="006A5CB0">
                        <w:pPr>
                          <w:jc w:val="center"/>
                          <w:rPr>
                            <w:rFonts w:ascii="Arial" w:hAnsi="Arial" w:cs="Arial"/>
                            <w:color w:val="000000" w:themeColor="text1"/>
                            <w:sz w:val="16"/>
                            <w:szCs w:val="16"/>
                          </w:rPr>
                        </w:pPr>
                        <w:r>
                          <w:rPr>
                            <w:rFonts w:ascii="Arial" w:hAnsi="Arial" w:cs="Arial"/>
                            <w:color w:val="000000" w:themeColor="text1"/>
                            <w:sz w:val="16"/>
                            <w:szCs w:val="16"/>
                          </w:rPr>
                          <w:t>Consider paragraph B24(b)(ii)</w:t>
                        </w:r>
                      </w:p>
                    </w:txbxContent>
                  </v:textbox>
                </v:rect>
                <v:line id="Straight Connector 31" o:spid="_x0000_s1036" style="position:absolute;visibility:visible;mso-wrap-style:square" from="38195,2476" to="5391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shapetype id="_x0000_t32" coordsize="21600,21600" o:spt="32" o:oned="t" path="m,l21600,21600e" filled="f">
                  <v:path arrowok="t" fillok="f" o:connecttype="none"/>
                  <o:lock v:ext="edit" shapetype="t"/>
                </v:shapetype>
                <v:shape id="Straight Arrow Connector 32" o:spid="_x0000_s1037" type="#_x0000_t32" style="position:absolute;left:24574;top:4667;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" strokecolor="black [3040]">
                  <v:stroke endarrow="block"/>
                </v:shape>
                <v:line id="Straight Connector 33" o:spid="_x0000_s1038" style="position:absolute;visibility:visible;mso-wrap-style:square" from="37909,12001" to="5391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shape id="Text Box 93" o:spid="_x0000_s1039" type="#_x0000_t202" style="position:absolute;left:41529;top:8953;width:4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xVwgAAANsAAAAPAAAAZHJzL2Rvd25yZXYueG1sRI9Pi8Iw&#10;FMTvgt8hPMGLaGoV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Dvc5xVwgAAANsAAAAPAAAA&#10;AAAAAAAAAAAAAAcCAABkcnMvZG93bnJldi54bWxQSwUGAAAAAAMAAwC3AAAA9gIAAAAA&#10;" strokecolor="white">
                  <v:textbox>
                    <w:txbxContent>
                      <w:p w14:paraId="4EEAA02E"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shape id="Straight Arrow Connector 35" o:spid="_x0000_s1040" type="#_x0000_t32" style="position:absolute;left:24574;top:15335;width:0;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" strokecolor="black [3040]">
                  <v:stroke endarrow="block"/>
                </v:shape>
                <v:shape id="Text Box 93" o:spid="_x0000_s1041" type="#_x0000_t202" style="position:absolute;left:26384;top:16478;width:4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e5wwAAANsAAAAPAAAAZHJzL2Rvd25yZXYueG1sRI9Pi8Iw&#10;FMTvC36H8AQvi6Z2Q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cO2nucMAAADbAAAADwAA&#10;AAAAAAAAAAAAAAAHAgAAZHJzL2Rvd25yZXYueG1sUEsFBgAAAAADAAMAtwAAAPcCAAAAAA==&#10;" strokecolor="white">
                  <v:textbox>
                    <w:txbxContent>
                      <w:p w14:paraId="6D949BFF"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line id="Straight Connector 38" o:spid="_x0000_s1042" style="position:absolute;flip:x;visibility:visible;mso-wrap-style:square" from="0,22955" to="10572,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JvwAAANsAAAAPAAAAZHJzL2Rvd25yZXYueG1sRE/LisIw&#10;FN0L/kO4gjtNHcG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Ad+XfJvwAAANsAAAAPAAAAAAAA&#10;AAAAAAAAAAcCAABkcnMvZG93bnJldi54bWxQSwUGAAAAAAMAAwC3AAAA8wIAAAAA&#10;" strokecolor="black [3040]"/>
                <v:shape id="Text Box 93" o:spid="_x0000_s1043" type="#_x0000_t202" style="position:absolute;left:40671;top:20002;width:714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PLwgAAANsAAAAPAAAAZHJzL2Rvd25yZXYueG1sRI9Pi8Iw&#10;FMTvgt8hPMGLaGoF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ABcjPLwgAAANsAAAAPAAAA&#10;AAAAAAAAAAAAAAcCAABkcnMvZG93bnJldi54bWxQSwUGAAAAAAMAAwC3AAAA9gIAAAAA&#10;" strokecolor="white">
                  <v:textbox>
                    <w:txbxContent>
                      <w:p w14:paraId="796A378F" w14:textId="77777777" w:rsidR="00D21034" w:rsidRPr="00B26EC0" w:rsidRDefault="00D21034" w:rsidP="006A5CB0">
                        <w:pPr>
                          <w:jc w:val="center"/>
                          <w:rPr>
                            <w:rFonts w:ascii="Arial" w:hAnsi="Arial" w:cs="Arial"/>
                            <w:sz w:val="16"/>
                            <w:szCs w:val="16"/>
                          </w:rPr>
                        </w:pPr>
                        <w:r>
                          <w:rPr>
                            <w:rFonts w:ascii="Arial" w:hAnsi="Arial" w:cs="Arial"/>
                            <w:sz w:val="16"/>
                            <w:szCs w:val="16"/>
                          </w:rPr>
                          <w:t>Supplier</w:t>
                        </w:r>
                      </w:p>
                    </w:txbxContent>
                  </v:textbox>
                </v:shape>
                <v:shape id="Text Box 93" o:spid="_x0000_s1044" type="#_x0000_t202" style="position:absolute;left:1809;top:20097;width:714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ywwQAAANsAAAAPAAAAZHJzL2Rvd25yZXYueG1sRI9Bi8Iw&#10;FITvC/6H8AQvi6YWWa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KcCTLDBAAAA2wAAAA8AAAAA&#10;AAAAAAAAAAAABwIAAGRycy9kb3ducmV2LnhtbFBLBQYAAAAAAwADALcAAAD1AgAAAAA=&#10;" strokecolor="white">
                  <v:textbox>
                    <w:txbxContent>
                      <w:p w14:paraId="5B058D9F" w14:textId="77777777" w:rsidR="00D21034" w:rsidRPr="00B26EC0" w:rsidRDefault="00D21034" w:rsidP="006A5CB0">
                        <w:pPr>
                          <w:jc w:val="center"/>
                          <w:rPr>
                            <w:rFonts w:ascii="Arial" w:hAnsi="Arial" w:cs="Arial"/>
                            <w:sz w:val="16"/>
                            <w:szCs w:val="16"/>
                          </w:rPr>
                        </w:pPr>
                        <w:r>
                          <w:rPr>
                            <w:rFonts w:ascii="Arial" w:hAnsi="Arial" w:cs="Arial"/>
                            <w:sz w:val="16"/>
                            <w:szCs w:val="16"/>
                          </w:rPr>
                          <w:t>Customer</w:t>
                        </w:r>
                      </w:p>
                    </w:txbxContent>
                  </v:textbox>
                </v:shape>
                <v:shape id="Text Box 93" o:spid="_x0000_s1045" type="#_x0000_t202" style="position:absolute;left:25717;top:27622;width:163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HdcwgAAANsAAAAPAAAAZHJzL2Rvd25yZXYueG1sRI9Pi8Iw&#10;FMTvgt8hPMGLaGoV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A4nHdcwgAAANsAAAAPAAAA&#10;AAAAAAAAAAAAAAcCAABkcnMvZG93bnJldi54bWxQSwUGAAAAAAMAAwC3AAAA9gIAAAAA&#10;" strokecolor="white">
                  <v:textbox>
                    <w:txbxContent>
                      <w:p w14:paraId="2D292D27" w14:textId="77777777" w:rsidR="00D21034" w:rsidRPr="00B26EC0" w:rsidRDefault="00D21034" w:rsidP="006A5CB0">
                        <w:pPr>
                          <w:rPr>
                            <w:rFonts w:ascii="Arial" w:hAnsi="Arial" w:cs="Arial"/>
                            <w:sz w:val="16"/>
                            <w:szCs w:val="16"/>
                          </w:rPr>
                        </w:pPr>
                        <w:r>
                          <w:rPr>
                            <w:rFonts w:ascii="Arial" w:hAnsi="Arial" w:cs="Arial"/>
                            <w:sz w:val="16"/>
                            <w:szCs w:val="16"/>
                          </w:rPr>
                          <w:t>Neither; how and for what purpose the asset will be used is predetermined</w:t>
                        </w:r>
                      </w:p>
                    </w:txbxContent>
                  </v:textbox>
                </v:shape>
                <v:shape id="Straight Arrow Connector 44" o:spid="_x0000_s1046" type="#_x0000_t32" style="position:absolute;left:24765;top:42291;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" strokecolor="black [3040]">
                  <v:stroke endarrow="block"/>
                </v:shape>
                <v:line id="Straight Connector 45" o:spid="_x0000_s1047" style="position:absolute;flip:x;visibility:visible;mso-wrap-style:square" from="0,37147" to="11049,3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qxQAAANsAAAAPAAAAZHJzL2Rvd25yZXYueG1sRI9Pa8JA&#10;FMTvBb/D8oTemo2l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r/qsqxQAAANsAAAAP&#10;AAAAAAAAAAAAAAAAAAcCAABkcnMvZG93bnJldi54bWxQSwUGAAAAAAMAAwC3AAAA+QIAAAAA&#10;" strokecolor="black [3040]"/>
                <v:line id="Straight Connector 46" o:spid="_x0000_s1048" style="position:absolute;visibility:visible;mso-wrap-style:square" from="38385,50387" to="54102,50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" strokecolor="black [3040]"/>
                <v:shape id="Text Box 93" o:spid="_x0000_s1049" type="#_x0000_t202" style="position:absolute;left:42291;top:46958;width:4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14:paraId="239DB6C0" w14:textId="77777777" w:rsidR="00D21034" w:rsidRPr="00B26EC0" w:rsidRDefault="00D21034" w:rsidP="006A5CB0">
                        <w:pPr>
                          <w:jc w:val="center"/>
                          <w:rPr>
                            <w:rFonts w:ascii="Arial" w:hAnsi="Arial" w:cs="Arial"/>
                            <w:sz w:val="16"/>
                            <w:szCs w:val="16"/>
                          </w:rPr>
                        </w:pPr>
                        <w:r w:rsidRPr="00B26EC0">
                          <w:rPr>
                            <w:rFonts w:ascii="Arial" w:hAnsi="Arial" w:cs="Arial"/>
                            <w:sz w:val="16"/>
                            <w:szCs w:val="16"/>
                          </w:rPr>
                          <w:t>No</w:t>
                        </w:r>
                      </w:p>
                    </w:txbxContent>
                  </v:textbox>
                </v:shape>
                <v:oval id="Oval 48" o:spid="_x0000_s1050" style="position:absolute;left:11620;top:57531;width:2623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" filled="f" strokecolor="black [3213]" strokeweight=".25pt">
                  <v:textbox>
                    <w:txbxContent>
                      <w:p w14:paraId="518D9AE5"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The contract contains a lease</w:t>
                        </w:r>
                      </w:p>
                    </w:txbxContent>
                  </v:textbox>
                </v:oval>
                <v:oval id="Oval 49" o:spid="_x0000_s1051" style="position:absolute;left:40862;top:57435;width:26238;height: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" filled="f" strokecolor="black [3213]" strokeweight=".25pt">
                  <v:textbox>
                    <w:txbxContent>
                      <w:p w14:paraId="780A6431" w14:textId="77777777" w:rsidR="00D21034" w:rsidRPr="0038314C" w:rsidRDefault="00D21034" w:rsidP="006A5CB0">
                        <w:pPr>
                          <w:jc w:val="center"/>
                          <w:rPr>
                            <w:rFonts w:ascii="Arial" w:hAnsi="Arial" w:cs="Arial"/>
                            <w:color w:val="000000" w:themeColor="text1"/>
                            <w:sz w:val="18"/>
                            <w:szCs w:val="18"/>
                          </w:rPr>
                        </w:pPr>
                        <w:r w:rsidRPr="0038314C">
                          <w:rPr>
                            <w:rFonts w:ascii="Arial" w:hAnsi="Arial" w:cs="Arial"/>
                            <w:color w:val="000000" w:themeColor="text1"/>
                            <w:sz w:val="18"/>
                            <w:szCs w:val="18"/>
                          </w:rPr>
                          <w:t xml:space="preserve">The contract </w:t>
                        </w:r>
                        <w:r>
                          <w:rPr>
                            <w:rFonts w:ascii="Arial" w:hAnsi="Arial" w:cs="Arial"/>
                            <w:color w:val="000000" w:themeColor="text1"/>
                            <w:sz w:val="18"/>
                            <w:szCs w:val="18"/>
                          </w:rPr>
                          <w:t>does not contain</w:t>
                        </w:r>
                        <w:r w:rsidRPr="0038314C">
                          <w:rPr>
                            <w:rFonts w:ascii="Arial" w:hAnsi="Arial" w:cs="Arial"/>
                            <w:color w:val="000000" w:themeColor="text1"/>
                            <w:sz w:val="18"/>
                            <w:szCs w:val="18"/>
                          </w:rPr>
                          <w:t xml:space="preserve"> a lease</w:t>
                        </w:r>
                      </w:p>
                    </w:txbxContent>
                  </v:textbox>
                </v:oval>
                <v:line id="Straight Connector 50" o:spid="_x0000_s1052" style="position:absolute;visibility:visible;mso-wrap-style:square" from="37719,22955" to="53911,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" strokecolor="black [3040]"/>
                <v:shape id="Straight Arrow Connector 52" o:spid="_x0000_s1053" type="#_x0000_t32" style="position:absolute;left:24765;top:53340;width:0;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" strokecolor="black [3040]">
                  <v:stroke endarrow="block"/>
                </v:shape>
                <v:shape id="Text Box 93" o:spid="_x0000_s1054" type="#_x0000_t202" style="position:absolute;left:25908;top:54387;width:476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GBwgAAANsAAAAPAAAAZHJzL2Rvd25yZXYueG1sRI9Pi8Iw&#10;FMTvgt8hPMGLaGpF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C9ReGBwgAAANsAAAAPAAAA&#10;AAAAAAAAAAAAAAcCAABkcnMvZG93bnJldi54bWxQSwUGAAAAAAMAAwC3AAAA9gIAAAAA&#10;" strokecolor="white">
                  <v:textbox>
                    <w:txbxContent>
                      <w:p w14:paraId="7C444DB7" w14:textId="77777777" w:rsidR="00D21034" w:rsidRPr="00B26EC0" w:rsidRDefault="00D21034" w:rsidP="006A5CB0">
                        <w:pPr>
                          <w:jc w:val="center"/>
                          <w:rPr>
                            <w:rFonts w:ascii="Arial" w:hAnsi="Arial" w:cs="Arial"/>
                            <w:sz w:val="16"/>
                            <w:szCs w:val="16"/>
                          </w:rPr>
                        </w:pPr>
                        <w:r>
                          <w:rPr>
                            <w:rFonts w:ascii="Arial" w:hAnsi="Arial" w:cs="Arial"/>
                            <w:sz w:val="16"/>
                            <w:szCs w:val="16"/>
                          </w:rPr>
                          <w:t>Yes</w:t>
                        </w:r>
                      </w:p>
                    </w:txbxContent>
                  </v:textbox>
                </v:shape>
                <v:line id="Straight Connector 54" o:spid="_x0000_s1055" style="position:absolute;visibility:visible;mso-wrap-style:square" from="0,22955" to="0,6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shape id="Straight Arrow Connector 55" o:spid="_x0000_s1056" type="#_x0000_t32" style="position:absolute;top:62103;width:11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" strokecolor="black [3040]">
                  <v:stroke endarrow="block"/>
                </v:shape>
                <v:shape id="Straight Arrow Connector 58" o:spid="_x0000_s1057" type="#_x0000_t32" style="position:absolute;left:24574;top:26098;width:0;height:9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" strokecolor="black [3040]">
                  <v:stroke endarrow="block"/>
                </v:shape>
                <v:shape id="Straight Arrow Connector 59" o:spid="_x0000_s1058" type="#_x0000_t32" style="position:absolute;left:53911;top:2476;width:95;height:55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" strokecolor="black [3040]">
                  <v:stroke endarrow="block"/>
                </v:shape>
                <w10:wrap type="topAndBottom"/>
              </v:group>
            </w:pict>
          </mc:Fallback>
        </mc:AlternateContent>
      </w:r>
    </w:p>
    <w:p w14:paraId="70788C1E" w14:textId="77777777" w:rsidR="00FD4BA8" w:rsidRDefault="009A1D2F">
      <w:pPr>
        <w:pStyle w:val="IASBSectionTitle2Ind"/>
      </w:pPr>
      <w:r>
        <w:t>Separating components of a contract (paragraphs 12–17)</w:t>
      </w:r>
    </w:p>
    <w:p w14:paraId="5BA454CE" w14:textId="77777777" w:rsidR="00FD4BA8" w:rsidRDefault="009A1D2F">
      <w:pPr>
        <w:pStyle w:val="IASBNormalnpara"/>
      </w:pPr>
      <w:r>
        <w:t>B32</w:t>
      </w:r>
      <w:r>
        <w:tab/>
        <w:t>The right to use an underlying asset is a separate lease component if both:</w:t>
      </w:r>
    </w:p>
    <w:p w14:paraId="4A56510E" w14:textId="77777777" w:rsidR="00FD4BA8" w:rsidRDefault="009A1D2F">
      <w:pPr>
        <w:pStyle w:val="IASBNormalnparaL1"/>
      </w:pPr>
      <w:r>
        <w:t>(a)</w:t>
      </w:r>
      <w:r>
        <w:tab/>
        <w:t>the lessee can benefit from use of the underlying asset either on its own or together with other resources that are readily available to the lessee. Readily available resources are goods or services that are sold or leased separately (by the lessor or other suppliers) or resources that the lessee has already obtained (from the lessor or from other transactions or events); and</w:t>
      </w:r>
    </w:p>
    <w:p w14:paraId="6C706757" w14:textId="77777777" w:rsidR="00FD4BA8" w:rsidRDefault="009A1D2F">
      <w:pPr>
        <w:pStyle w:val="IASBNormalnparaL1"/>
      </w:pPr>
      <w:r>
        <w:t>(b)</w:t>
      </w:r>
      <w:r>
        <w:tab/>
        <w:t xml:space="preserve">the underlying asset is neither highly dependent on, nor highly interrelated with, the other underlying assets in the contract. For example, the fact that a lessee could decide not to lease the underlying asset without significantly affecting its rights to use other underlying assets in the </w:t>
      </w:r>
      <w:r>
        <w:lastRenderedPageBreak/>
        <w:t>contract might indicate that the underlying asset is not highly dependent on, or highly interrelated with, those other underlying assets.</w:t>
      </w:r>
    </w:p>
    <w:p w14:paraId="2F396BF8" w14:textId="77777777" w:rsidR="00FD4BA8" w:rsidRDefault="009A1D2F">
      <w:pPr>
        <w:pStyle w:val="IASBNormalnpara"/>
      </w:pPr>
      <w:r>
        <w:t>B33</w:t>
      </w:r>
      <w:r>
        <w:tab/>
        <w:t>A contract may include an amount payable by the lessee for activities and costs that do not transfer a good or service to the lessee. For example, a lessor may include in the total amount payable a charge for administrative tasks, or other costs it incurs associated with the lease, that do not transfer a good or service to the lessee. Such amounts payable do not give rise to a separate component of the contract, but are considered to be part of the total consideration that is allocated to the separately identified components of the contract.</w:t>
      </w:r>
    </w:p>
    <w:p w14:paraId="48EFCA35" w14:textId="77777777" w:rsidR="00FD4BA8" w:rsidRDefault="009A1D2F">
      <w:pPr>
        <w:pStyle w:val="IASBSectionTitle2Ind"/>
      </w:pPr>
      <w:r>
        <w:t>Lease term (paragraphs 18–21)</w:t>
      </w:r>
    </w:p>
    <w:p w14:paraId="322D272D" w14:textId="77777777" w:rsidR="00FD4BA8" w:rsidRDefault="009A1D2F">
      <w:pPr>
        <w:pStyle w:val="IASBNormalnpara"/>
      </w:pPr>
      <w:r>
        <w:t>B34</w:t>
      </w:r>
      <w:r>
        <w:tab/>
        <w:t>In determining the lease term and assessing the length of the non-cancellable period of a lease, an entity shall apply the definition of a contract and determine the period for which the contract is enforceable. A lease is no longer enforceable when the lessee and the lessor each has the right to terminate the lease without permission from the other party with no more than an insignificant penalty.</w:t>
      </w:r>
    </w:p>
    <w:p w14:paraId="0944AD9C" w14:textId="77777777" w:rsidR="00FD4BA8" w:rsidRDefault="009A1D2F">
      <w:pPr>
        <w:pStyle w:val="IASBNormalnpara"/>
      </w:pPr>
      <w:r>
        <w:t>B35</w:t>
      </w:r>
      <w:r>
        <w:tab/>
        <w:t>If only a lessee has the right to terminate a lease, that right is considered to be an option to terminate the lease available to the lessee that an entity considers when determining the lease term. If only a lessor has the right to terminate a lease, the non-cancellable period of the lease includes the period covered by the option to terminate the lease.</w:t>
      </w:r>
    </w:p>
    <w:p w14:paraId="2AC4FF5B" w14:textId="77777777" w:rsidR="00FD4BA8" w:rsidRDefault="009A1D2F">
      <w:pPr>
        <w:pStyle w:val="IASBNormalnpara"/>
      </w:pPr>
      <w:r>
        <w:t>B36</w:t>
      </w:r>
      <w:r>
        <w:tab/>
        <w:t>The lease term begins at the commencement date and includes any rent-free periods provided to the lessee by the lessor.</w:t>
      </w:r>
    </w:p>
    <w:p w14:paraId="62851D0C" w14:textId="77777777" w:rsidR="00FD4BA8" w:rsidRDefault="009A1D2F">
      <w:pPr>
        <w:pStyle w:val="IASBNormalnpara"/>
      </w:pPr>
      <w:r>
        <w:t>B37</w:t>
      </w:r>
      <w:r>
        <w:tab/>
        <w:t>At the commencement date, an entity assesses whether the lessee is reasonably certain to exercise an option to extend the lease or to purchase the underlying asset, or not to exercise an option to terminate the lease. The entity considers all relevant facts and circumstances that create an economic incentive for the lessee to exercise, or not to exercise, the option, including any expected changes in facts and circumstances from the commencement date until the exercise date of the option. Examples of factors to consider include, but are not limited to:</w:t>
      </w:r>
    </w:p>
    <w:p w14:paraId="27B85125" w14:textId="77777777" w:rsidR="00FD4BA8" w:rsidRDefault="009A1D2F">
      <w:pPr>
        <w:pStyle w:val="IASBNormalnparaL1"/>
      </w:pPr>
      <w:r>
        <w:t>(a)</w:t>
      </w:r>
      <w:r>
        <w:tab/>
        <w:t>contractual terms and conditions for the optional periods compared with market rates, such as:</w:t>
      </w:r>
    </w:p>
    <w:p w14:paraId="650DAE9D" w14:textId="77777777" w:rsidR="00FD4BA8" w:rsidRDefault="009A1D2F">
      <w:pPr>
        <w:pStyle w:val="IASBNormalnparaL2"/>
      </w:pPr>
      <w:r>
        <w:t>(i)</w:t>
      </w:r>
      <w:r>
        <w:tab/>
        <w:t>the amount of payments for the lease in any optional period;</w:t>
      </w:r>
    </w:p>
    <w:p w14:paraId="58F0A363" w14:textId="77777777" w:rsidR="00FD4BA8" w:rsidRDefault="009A1D2F">
      <w:pPr>
        <w:pStyle w:val="IASBNormalnparaL2"/>
      </w:pPr>
      <w:r>
        <w:t>(ii)</w:t>
      </w:r>
      <w:r>
        <w:tab/>
        <w:t>the amount of any variable payments for the lease or other contingent payments, such as payments resulting from termination penalties and residual value guarantees; and</w:t>
      </w:r>
    </w:p>
    <w:p w14:paraId="22B8EB74" w14:textId="77777777" w:rsidR="00FD4BA8" w:rsidRDefault="009A1D2F">
      <w:pPr>
        <w:pStyle w:val="IASBNormalnparaL2"/>
      </w:pPr>
      <w:r>
        <w:t>(iii)</w:t>
      </w:r>
      <w:r>
        <w:tab/>
        <w:t>the terms and conditions of any options that are exercisable after initial optional periods (for example, a purchase option that is exercisable at the end of an extension period at a rate that is currently below market rates).</w:t>
      </w:r>
    </w:p>
    <w:p w14:paraId="2B2D767E" w14:textId="77777777" w:rsidR="00FD4BA8" w:rsidRDefault="009A1D2F">
      <w:pPr>
        <w:pStyle w:val="IASBNormalnparaL1"/>
      </w:pPr>
      <w:r>
        <w:t>(b)</w:t>
      </w:r>
      <w:r>
        <w:tab/>
        <w:t>significant leasehold improvements undertaken (or expected to be undertaken) over the term of the contract that are expected to have significant economic benefit for the lessee when the option to extend or terminate the lease, or to purchase the underlying asset, becomes exercisable;</w:t>
      </w:r>
    </w:p>
    <w:p w14:paraId="0A277FD7" w14:textId="77777777" w:rsidR="00FD4BA8" w:rsidRDefault="009A1D2F">
      <w:pPr>
        <w:pStyle w:val="IASBNormalnparaL1"/>
      </w:pPr>
      <w:r>
        <w:t>(c)</w:t>
      </w:r>
      <w:r>
        <w:tab/>
        <w:t>costs relating to the termination of the lease, such as negotiation costs, relocation costs, costs of identifying another underlying asset suitable for the lessee’s needs, costs of integrating a new asset into the lessee’s operations, or termination penalties and similar costs, including costs associated with returning the underlying asset in a contractually specified condition or to a contractually specified location;</w:t>
      </w:r>
    </w:p>
    <w:p w14:paraId="28601A32" w14:textId="77777777" w:rsidR="00FD4BA8" w:rsidRDefault="009A1D2F">
      <w:pPr>
        <w:pStyle w:val="IASBNormalnparaL1"/>
      </w:pPr>
      <w:r>
        <w:t>(d)</w:t>
      </w:r>
      <w:r>
        <w:tab/>
        <w:t>the importance of that underlying asset to the lessee’s operations, considering, for example, whether the underlying asset is a specialised asset, the location of the underlying asset and the availability of suitable alternatives; and</w:t>
      </w:r>
    </w:p>
    <w:p w14:paraId="09D9C7C2" w14:textId="77777777" w:rsidR="00FD4BA8" w:rsidRDefault="009A1D2F">
      <w:pPr>
        <w:pStyle w:val="IASBNormalnparaL1"/>
      </w:pPr>
      <w:r>
        <w:t>(e)</w:t>
      </w:r>
      <w:r>
        <w:tab/>
        <w:t>conditionality associated with exercising the option (ie when the option can be exercised only if one or more conditions are met), and the likelihood that those conditions will exist.</w:t>
      </w:r>
    </w:p>
    <w:p w14:paraId="02D11DEB" w14:textId="77777777" w:rsidR="00FD4BA8" w:rsidRDefault="009A1D2F">
      <w:pPr>
        <w:pStyle w:val="IASBNormalnpara"/>
      </w:pPr>
      <w:r>
        <w:t>B38</w:t>
      </w:r>
      <w:r>
        <w:tab/>
        <w:t>An option to extend or terminate a lease may be combined with one or more other contractual features (for example, a residual value guarantee) such that the lessee guarantees the lessor a minimum or fixed cash return that is substantially the same regardless of whether the option is exercised. In such cases, and notwithstanding the guidance on in-substance fixed payments in paragraph B42, an entity shall assume that the lessee is reasonably certain to exercise the option to extend the lease, or not to exercise the option to terminate the lease.</w:t>
      </w:r>
    </w:p>
    <w:p w14:paraId="2B757BF1" w14:textId="77777777" w:rsidR="00FD4BA8" w:rsidRDefault="009A1D2F">
      <w:pPr>
        <w:pStyle w:val="IASBNormalnpara"/>
      </w:pPr>
      <w:r>
        <w:t>B39</w:t>
      </w:r>
      <w:r>
        <w:tab/>
        <w:t>The shorter the non-cancellable period of a lease, the more likely a lessee is to exercise an option to extend the lease or not to exercise an option to terminate the lease. This is because the costs associated with obtaining a replacement asset are likely to be proportionately higher the shorter the non-cancellable period.</w:t>
      </w:r>
    </w:p>
    <w:p w14:paraId="55208F8A" w14:textId="77777777" w:rsidR="00FD4BA8" w:rsidRDefault="009A1D2F">
      <w:pPr>
        <w:pStyle w:val="IASBNormalnpara"/>
      </w:pPr>
      <w:r>
        <w:lastRenderedPageBreak/>
        <w:t>B40</w:t>
      </w:r>
      <w:r>
        <w:tab/>
        <w:t>A lessee’s past practice regarding the period over which it has typically used particular types of assets (whether leased or owned), and its economic reasons for doing so, may provide information that is helpful in assessing whether the lessee is reasonably certain to exercise, or not to exercise, an option. For example, if a lessee has typically used particular types of assets for a particular period of time or if the lessee has a practice of frequently exercising options on leases of particular types of underlying assets, the lessee shall consider the economic reasons for that past practice in assessing whether it is reasonably certain to exercise an option on leases of those assets.</w:t>
      </w:r>
    </w:p>
    <w:p w14:paraId="5D2F7A72" w14:textId="77777777" w:rsidR="00FD4BA8" w:rsidRDefault="009A1D2F">
      <w:pPr>
        <w:pStyle w:val="IASBNormalnpara"/>
      </w:pPr>
      <w:r>
        <w:t>B41</w:t>
      </w:r>
      <w:r>
        <w:tab/>
        <w:t>Paragraph 20 specifies that, after the commencement date, a lessee reassesses the lease term upon the occurrence of a significant event or a significant change in circumstances that is within the control of the lessee and affects whether the lessee is reasonably certain to exercise an option not previously included in its determination of the lease term, or not to exercise an option previously included in its determination of the lease term. Examples of significant events or changes in circumstances include:</w:t>
      </w:r>
    </w:p>
    <w:p w14:paraId="0179550A" w14:textId="77777777" w:rsidR="00FD4BA8" w:rsidRDefault="009A1D2F">
      <w:pPr>
        <w:pStyle w:val="IASBNormalnparaL1"/>
      </w:pPr>
      <w:r>
        <w:t>(a)</w:t>
      </w:r>
      <w:r>
        <w:tab/>
        <w:t>significant leasehold improvements not anticipated at the commencement date that are expected to have significant economic benefit for the lessee when the option to extend or terminate the lease, or to purchase the underlying asset, becomes exercisable;</w:t>
      </w:r>
    </w:p>
    <w:p w14:paraId="26C00A25" w14:textId="77777777" w:rsidR="00FD4BA8" w:rsidRDefault="009A1D2F">
      <w:pPr>
        <w:pStyle w:val="IASBNormalnparaL1"/>
      </w:pPr>
      <w:r>
        <w:t>(b)</w:t>
      </w:r>
      <w:r>
        <w:tab/>
        <w:t>a significant modification to, or customisation of, the underlying asset that was not anticipated at the commencement date;</w:t>
      </w:r>
    </w:p>
    <w:p w14:paraId="3051F90C" w14:textId="77777777" w:rsidR="00FD4BA8" w:rsidRDefault="009A1D2F">
      <w:pPr>
        <w:pStyle w:val="IASBNormalnparaL1"/>
      </w:pPr>
      <w:r>
        <w:t>(c)</w:t>
      </w:r>
      <w:r>
        <w:tab/>
        <w:t>the inception of a sublease of the underlying asset for a period beyond the end of the previously determined lease term; and</w:t>
      </w:r>
    </w:p>
    <w:p w14:paraId="53CC0AE7" w14:textId="77777777" w:rsidR="00FD4BA8" w:rsidRDefault="009A1D2F">
      <w:pPr>
        <w:pStyle w:val="IASBNormalnparaL1"/>
      </w:pPr>
      <w:r>
        <w:t>(d)</w:t>
      </w:r>
      <w:r>
        <w:tab/>
        <w:t>a business decision of the lessee that is directly relevant to exercising, or not exercising, an option (for example, a decision to extend the lease of a complementary asset, to dispose of an alternative asset or to dispose of a business unit within which the right-of-use asset is employed).</w:t>
      </w:r>
    </w:p>
    <w:p w14:paraId="55CB1154" w14:textId="77777777" w:rsidR="00FD4BA8" w:rsidRDefault="009A1D2F">
      <w:pPr>
        <w:pStyle w:val="IASBSectionTitle2Ind"/>
      </w:pPr>
      <w:r>
        <w:t>In-substance fixed lease payments (paragraphs 27(a), 36(c) and 70(a))</w:t>
      </w:r>
    </w:p>
    <w:p w14:paraId="6A6497BC" w14:textId="77777777" w:rsidR="00FD4BA8" w:rsidRDefault="009A1D2F">
      <w:pPr>
        <w:pStyle w:val="IASBNormalnpara"/>
      </w:pPr>
      <w:r>
        <w:t>B42</w:t>
      </w:r>
      <w:r>
        <w:tab/>
        <w:t>Lease payments include any in-substance fixed lease payments. In-substance fixed lease payments are payments that may, in form, contain variability but that, in substance, are unavoidable. In-substance fixed lease payments exist, for example, if:</w:t>
      </w:r>
    </w:p>
    <w:p w14:paraId="301DE76E" w14:textId="77777777" w:rsidR="00FD4BA8" w:rsidRDefault="009A1D2F">
      <w:pPr>
        <w:pStyle w:val="IASBNormalnparaL1"/>
      </w:pPr>
      <w:r>
        <w:t>(a)</w:t>
      </w:r>
      <w:r>
        <w:tab/>
        <w:t>payments are structured as variable lease payments, but there is no genuine variability in those payments. Those payments contain variable clauses that do not have real economic substance. Examples of those types of payments include:</w:t>
      </w:r>
    </w:p>
    <w:p w14:paraId="06444287" w14:textId="77777777" w:rsidR="00FD4BA8" w:rsidRDefault="009A1D2F">
      <w:pPr>
        <w:pStyle w:val="IASBNormalnparaL2"/>
      </w:pPr>
      <w:r>
        <w:t>(i)</w:t>
      </w:r>
      <w:r>
        <w:tab/>
        <w:t>payments that must be made only if an asset is proven to be capable of operating during the lease, or only if an event occurs that has no genuine possibility of not occurring; or</w:t>
      </w:r>
    </w:p>
    <w:p w14:paraId="03B8E72D" w14:textId="77777777" w:rsidR="00FD4BA8" w:rsidRDefault="009A1D2F">
      <w:pPr>
        <w:pStyle w:val="IASBNormalnparaL2"/>
      </w:pPr>
      <w:r>
        <w:t>(ii)</w:t>
      </w:r>
      <w:r>
        <w:tab/>
        <w:t>payments that are initially structured as variable lease payments linked to the use of the underlying asset but for which the variability will be resolved at some point after the commencement date so that the payments become fixed for the remainder of the lease term. Those payments become in-substance fixed payments when the variability is resolved.</w:t>
      </w:r>
    </w:p>
    <w:p w14:paraId="67894A50" w14:textId="77777777" w:rsidR="00FD4BA8" w:rsidRDefault="009A1D2F">
      <w:pPr>
        <w:pStyle w:val="IASBNormalnparaL1"/>
      </w:pPr>
      <w:r>
        <w:t>(b)</w:t>
      </w:r>
      <w:r>
        <w:tab/>
        <w:t>there is more than one set of payments that a lessee could make, but only one of those sets of payments is realistic. In this case, an entity shall consider the realistic set of payments to be lease payments.</w:t>
      </w:r>
    </w:p>
    <w:p w14:paraId="18F4DC45" w14:textId="77777777" w:rsidR="00FD4BA8" w:rsidRDefault="009A1D2F">
      <w:pPr>
        <w:pStyle w:val="IASBNormalnparaL1"/>
      </w:pPr>
      <w:r>
        <w:t>(c)</w:t>
      </w:r>
      <w:r>
        <w:tab/>
        <w:t>there is more than one realistic set of payments that a lessee could make, but it must make at least one of those sets of payments. In this case, an entity shall consider the set of payments that aggregates to the lowest amount (on a discounted basis) to be lease payments.</w:t>
      </w:r>
    </w:p>
    <w:p w14:paraId="04B30A8D" w14:textId="77777777" w:rsidR="00FD4BA8" w:rsidRDefault="009A1D2F">
      <w:pPr>
        <w:pStyle w:val="IASBSectionTitle2Ind"/>
      </w:pPr>
      <w:r>
        <w:t>Lessee involvement with the underlying asset before the commencement date</w:t>
      </w:r>
    </w:p>
    <w:p w14:paraId="63A881A3" w14:textId="77777777" w:rsidR="00FD4BA8" w:rsidRDefault="009A1D2F">
      <w:pPr>
        <w:pStyle w:val="IASBSectionTitle3Ind"/>
      </w:pPr>
      <w:r>
        <w:t>Costs of the lessee relating to the construction or design of the underlying asset</w:t>
      </w:r>
    </w:p>
    <w:p w14:paraId="52822FD1" w14:textId="77777777" w:rsidR="00FD4BA8" w:rsidRDefault="009A1D2F">
      <w:pPr>
        <w:pStyle w:val="IASBNormalnpara"/>
      </w:pPr>
      <w:r>
        <w:t>B43</w:t>
      </w:r>
      <w:r>
        <w:tab/>
        <w:t>An entity may negotiate a lease before the underlying asset is available for use by the lessee. For some leases, the underlying asset may need to be constructed or redesigned for use by the lessee. Depending on the terms and conditions of the contract, a lessee may be required to make payments relating to the construction or design of the asset.</w:t>
      </w:r>
    </w:p>
    <w:p w14:paraId="67714A74" w14:textId="77777777" w:rsidR="00FD4BA8" w:rsidRDefault="009A1D2F">
      <w:pPr>
        <w:pStyle w:val="IASBNormalnpara"/>
      </w:pPr>
      <w:r>
        <w:lastRenderedPageBreak/>
        <w:t>B44</w:t>
      </w:r>
      <w:r>
        <w:tab/>
        <w:t>If a lessee incurs costs relating to the construction or design of an underlying asset, the lessee shall account for those costs applying other applicable Standards, such as</w:t>
      </w:r>
      <w:r w:rsidR="00E27198">
        <w:t xml:space="preserve"> AASB 116</w:t>
      </w:r>
      <w:r>
        <w:t>. Costs relating to the construction or design of an underlying asset do not include payments made by the lessee for the right to use the underlying asset. Payments for the right to use an underlying asset are payments for a lease, regardless of the timing of those payments.</w:t>
      </w:r>
    </w:p>
    <w:p w14:paraId="004222B4" w14:textId="77777777" w:rsidR="00FD4BA8" w:rsidRDefault="009A1D2F">
      <w:pPr>
        <w:pStyle w:val="IASBSectionTitle3Ind"/>
      </w:pPr>
      <w:r>
        <w:t>Legal title to the underlying asset</w:t>
      </w:r>
    </w:p>
    <w:p w14:paraId="043A0FB6" w14:textId="77777777" w:rsidR="00FD4BA8" w:rsidRDefault="009A1D2F">
      <w:pPr>
        <w:pStyle w:val="IASBNormalnpara"/>
      </w:pPr>
      <w:r>
        <w:t>B45</w:t>
      </w:r>
      <w:r>
        <w:tab/>
        <w:t>A lessee may obtain legal title to an underlying asset before that legal title is transferred to the lessor and the asset is leased to the lessee. Obtaining legal title does not in itself determine how to account for the transaction.</w:t>
      </w:r>
    </w:p>
    <w:p w14:paraId="42797510" w14:textId="77777777" w:rsidR="00FD4BA8" w:rsidRDefault="009A1D2F">
      <w:pPr>
        <w:pStyle w:val="IASBNormalnpara"/>
      </w:pPr>
      <w:r>
        <w:t>B46</w:t>
      </w:r>
      <w:r>
        <w:tab/>
        <w:t xml:space="preserve">If the lessee controls (or obtains control of) the underlying asset before that asset is transferred to the lessor, the transaction is a sale and leaseback transaction that is accounted for applying paragraphs 98–103. </w:t>
      </w:r>
    </w:p>
    <w:p w14:paraId="488CB4A6" w14:textId="77777777" w:rsidR="00FD4BA8" w:rsidRDefault="009A1D2F">
      <w:pPr>
        <w:pStyle w:val="IASBNormalnpara"/>
      </w:pPr>
      <w:r>
        <w:t>B47</w:t>
      </w:r>
      <w:r>
        <w:tab/>
        <w:t>However, if the lessee does not obtain control of the underlying asset before the asset is transferred to the lessor, the transaction is not a sale and leaseback transaction. For example, this may be the case if a manufacturer, a lessor and a lessee negotiate a transaction for the purchase of an asset from the manufacturer by the lessor, which is in turn leased to the lessee. The lessee may obtain legal title to the underlying asset before legal title transfers to the lessor. In this case, if the lessee obtains legal title to the underlying asset but does not obtain control of the asset before it is transferred to the lessor, the transaction is not accounted for as a sale and leaseback transaction, but as a lease.</w:t>
      </w:r>
    </w:p>
    <w:p w14:paraId="58FB2316" w14:textId="77777777" w:rsidR="00FD4BA8" w:rsidRDefault="009A1D2F">
      <w:pPr>
        <w:pStyle w:val="IASBSectionTitle2Ind"/>
      </w:pPr>
      <w:r>
        <w:t>Lessee disclosures (paragraph 59)</w:t>
      </w:r>
    </w:p>
    <w:p w14:paraId="357DFA94" w14:textId="77777777" w:rsidR="00FD4BA8" w:rsidRDefault="009A1D2F">
      <w:pPr>
        <w:pStyle w:val="IASBNormalnpara"/>
      </w:pPr>
      <w:r>
        <w:t>B48</w:t>
      </w:r>
      <w:r>
        <w:tab/>
        <w:t>In determining whether additional information about leasing activities is necessary to meet the disclosure objective in paragraph 51, a lessee shall consider:</w:t>
      </w:r>
    </w:p>
    <w:p w14:paraId="3D02D5B5" w14:textId="77777777" w:rsidR="00FD4BA8" w:rsidRDefault="009A1D2F">
      <w:pPr>
        <w:pStyle w:val="IASBNormalnparaL1"/>
      </w:pPr>
      <w:r>
        <w:t>(a)</w:t>
      </w:r>
      <w:r>
        <w:tab/>
        <w:t>whether that information is relevant to users of financial statements. A lessee shall provide additional information specified in paragraph 59 only if that information is expected to be relevant to users of financial statements. In this context, this is likely to be the case if it helps those users to understand:</w:t>
      </w:r>
    </w:p>
    <w:p w14:paraId="30CD67B5" w14:textId="77777777" w:rsidR="00FD4BA8" w:rsidRDefault="009A1D2F">
      <w:pPr>
        <w:pStyle w:val="IASBNormalnparaL2"/>
      </w:pPr>
      <w:r>
        <w:t>(i)</w:t>
      </w:r>
      <w:r>
        <w:tab/>
        <w:t>the flexibility provided by leases. Leases may provide flexibility if, for example, a lessee can reduce its exposure by exercising termination options or renewing leases with favourable terms and conditions.</w:t>
      </w:r>
    </w:p>
    <w:p w14:paraId="53105442" w14:textId="77777777" w:rsidR="00FD4BA8" w:rsidRDefault="009A1D2F">
      <w:pPr>
        <w:pStyle w:val="IASBNormalnparaL2"/>
      </w:pPr>
      <w:r>
        <w:t>(ii)</w:t>
      </w:r>
      <w:r>
        <w:tab/>
        <w:t>restrictions imposed by leases. Leases may impose restrictions, for example, by requiring the lessee to maintain particular financial ratios.</w:t>
      </w:r>
    </w:p>
    <w:p w14:paraId="347D4916" w14:textId="77777777" w:rsidR="00FD4BA8" w:rsidRDefault="009A1D2F">
      <w:pPr>
        <w:pStyle w:val="IASBNormalnparaL2"/>
      </w:pPr>
      <w:r>
        <w:t>(iii)</w:t>
      </w:r>
      <w:r>
        <w:tab/>
        <w:t>sensitivity of reported information to key variables. Reported information may be sensitive to, for example, future variable lease payments.</w:t>
      </w:r>
    </w:p>
    <w:p w14:paraId="4569940E" w14:textId="77777777" w:rsidR="00FD4BA8" w:rsidRDefault="009A1D2F">
      <w:pPr>
        <w:pStyle w:val="IASBNormalnparaL2"/>
      </w:pPr>
      <w:r>
        <w:t>(iv)</w:t>
      </w:r>
      <w:r>
        <w:tab/>
        <w:t>exposure to other risks arising from leases.</w:t>
      </w:r>
    </w:p>
    <w:p w14:paraId="7E61A65D" w14:textId="77777777" w:rsidR="00FD4BA8" w:rsidRDefault="009A1D2F">
      <w:pPr>
        <w:pStyle w:val="IASBNormalnparaL2"/>
      </w:pPr>
      <w:r>
        <w:t>(v)</w:t>
      </w:r>
      <w:r>
        <w:tab/>
        <w:t>deviations from industry practice. Such deviations may include, for example, unusual or unique lease terms and conditions that affect a lessee’s lease portfolio.</w:t>
      </w:r>
    </w:p>
    <w:p w14:paraId="0338305B" w14:textId="77777777" w:rsidR="00FD4BA8" w:rsidRDefault="009A1D2F">
      <w:pPr>
        <w:pStyle w:val="IASBNormalnparaL1"/>
      </w:pPr>
      <w:r>
        <w:t>(b)</w:t>
      </w:r>
      <w:r>
        <w:tab/>
        <w:t>whether that information is apparent from information either presented in the primary financial statements or disclosed in the notes. A lessee need not duplicate information that is already presented elsewhere in the financial statements.</w:t>
      </w:r>
    </w:p>
    <w:p w14:paraId="1DA3BC32" w14:textId="77777777" w:rsidR="00FD4BA8" w:rsidRDefault="009A1D2F">
      <w:pPr>
        <w:pStyle w:val="IASBNormalnpara"/>
      </w:pPr>
      <w:r>
        <w:t>B49</w:t>
      </w:r>
      <w:r>
        <w:tab/>
        <w:t>Additional information relating to variable lease payments that, depending on the circumstances, may be needed to satisfy the disclosure objective in paragraph 51 could include information that helps users of financial statements to assess, for example:</w:t>
      </w:r>
    </w:p>
    <w:p w14:paraId="2D77994B" w14:textId="77777777" w:rsidR="00FD4BA8" w:rsidRDefault="009A1D2F">
      <w:pPr>
        <w:pStyle w:val="IASBNormalnparaL1"/>
      </w:pPr>
      <w:r>
        <w:t>(a)</w:t>
      </w:r>
      <w:r>
        <w:tab/>
        <w:t>the lessee’s reasons for using variable lease payments and the prevalence of those payments;</w:t>
      </w:r>
    </w:p>
    <w:p w14:paraId="60409588" w14:textId="77777777" w:rsidR="00FD4BA8" w:rsidRDefault="009A1D2F">
      <w:pPr>
        <w:pStyle w:val="IASBNormalnparaL1"/>
      </w:pPr>
      <w:r>
        <w:t>(b)</w:t>
      </w:r>
      <w:r>
        <w:tab/>
        <w:t>the relative magnitude of variable lease payments to fixed payments;</w:t>
      </w:r>
    </w:p>
    <w:p w14:paraId="28B56098" w14:textId="77777777" w:rsidR="00FD4BA8" w:rsidRDefault="009A1D2F">
      <w:pPr>
        <w:pStyle w:val="IASBNormalnparaL1"/>
      </w:pPr>
      <w:r>
        <w:t>(c)</w:t>
      </w:r>
      <w:r>
        <w:tab/>
        <w:t>key variables upon which variable lease payments depend and how payments are expected to vary in response to changes in those key variables; and</w:t>
      </w:r>
    </w:p>
    <w:p w14:paraId="5147670F" w14:textId="77777777" w:rsidR="00FD4BA8" w:rsidRDefault="009A1D2F">
      <w:pPr>
        <w:pStyle w:val="IASBNormalnparaL1"/>
      </w:pPr>
      <w:r>
        <w:t>(d)</w:t>
      </w:r>
      <w:r>
        <w:tab/>
        <w:t>other operational and financial effects of variable lease payments.</w:t>
      </w:r>
    </w:p>
    <w:p w14:paraId="3B497AFF" w14:textId="77777777" w:rsidR="00FD4BA8" w:rsidRDefault="009A1D2F">
      <w:pPr>
        <w:pStyle w:val="IASBNormalnpara"/>
      </w:pPr>
      <w:r>
        <w:t>B50</w:t>
      </w:r>
      <w:r>
        <w:tab/>
        <w:t>Additional information relating to extension options or termination options that, depending on the circumstances, may be needed to satisfy the disclosure objective in paragraph 51 could include information that helps users of financial statements to assess, for example:</w:t>
      </w:r>
    </w:p>
    <w:p w14:paraId="0D006C98" w14:textId="77777777" w:rsidR="00FD4BA8" w:rsidRDefault="009A1D2F" w:rsidP="00F7754E">
      <w:pPr>
        <w:pStyle w:val="RDR11"/>
      </w:pPr>
      <w:r>
        <w:t>(a)</w:t>
      </w:r>
      <w:r>
        <w:tab/>
        <w:t>the lessee’s reasons for using extension options or termination options and the prevalence of those options;</w:t>
      </w:r>
    </w:p>
    <w:p w14:paraId="6452C288" w14:textId="77777777" w:rsidR="00FD4BA8" w:rsidRDefault="009A1D2F" w:rsidP="00F7754E">
      <w:pPr>
        <w:pStyle w:val="RDR11"/>
      </w:pPr>
      <w:r>
        <w:t>(b)</w:t>
      </w:r>
      <w:r>
        <w:tab/>
        <w:t xml:space="preserve">the relative magnitude of </w:t>
      </w:r>
      <w:r>
        <w:rPr>
          <w:i/>
        </w:rPr>
        <w:t>optional lease payments</w:t>
      </w:r>
      <w:r>
        <w:t xml:space="preserve"> to lease payments;</w:t>
      </w:r>
    </w:p>
    <w:p w14:paraId="55FDC7E7" w14:textId="77777777" w:rsidR="00FD4BA8" w:rsidRDefault="009A1D2F">
      <w:pPr>
        <w:pStyle w:val="IASBNormalnparaL1"/>
      </w:pPr>
      <w:r>
        <w:lastRenderedPageBreak/>
        <w:t>(c)</w:t>
      </w:r>
      <w:r>
        <w:tab/>
        <w:t>the prevalence of the exercise of options that were not included in the measurement of lease liabilities; and</w:t>
      </w:r>
    </w:p>
    <w:p w14:paraId="03EAC35C" w14:textId="77777777" w:rsidR="00FD4BA8" w:rsidRDefault="009A1D2F" w:rsidP="00F7754E">
      <w:pPr>
        <w:pStyle w:val="RDR11"/>
      </w:pPr>
      <w:r>
        <w:t>(d)</w:t>
      </w:r>
      <w:r>
        <w:tab/>
        <w:t>other operational and financial effects of those options.</w:t>
      </w:r>
    </w:p>
    <w:p w14:paraId="60555D1D" w14:textId="77777777" w:rsidR="00FD4BA8" w:rsidRDefault="009A1D2F">
      <w:pPr>
        <w:pStyle w:val="IASBNormalnpara"/>
      </w:pPr>
      <w:r>
        <w:t>B51</w:t>
      </w:r>
      <w:r>
        <w:tab/>
        <w:t>Additional information relating to residual value guarantees that, depending on the circumstances, may be needed to satisfy the disclosure objective in paragraph 51 could include information that helps users of financial statements to assess, for example:</w:t>
      </w:r>
    </w:p>
    <w:p w14:paraId="45E20052" w14:textId="77777777" w:rsidR="00FD4BA8" w:rsidRDefault="009A1D2F" w:rsidP="00CE32A4">
      <w:pPr>
        <w:pStyle w:val="RDR11"/>
      </w:pPr>
      <w:r>
        <w:t>(a)</w:t>
      </w:r>
      <w:r>
        <w:tab/>
        <w:t>the lessee’s reasons for providing residual value guarantees and the prevalence of those guarantees;</w:t>
      </w:r>
    </w:p>
    <w:p w14:paraId="0A331B04" w14:textId="77777777" w:rsidR="00FD4BA8" w:rsidRDefault="009A1D2F" w:rsidP="00CE32A4">
      <w:pPr>
        <w:pStyle w:val="RDR11"/>
      </w:pPr>
      <w:r>
        <w:t>(b)</w:t>
      </w:r>
      <w:r>
        <w:tab/>
        <w:t>the magnitude of a lessee’s exposure to residual value risk;</w:t>
      </w:r>
    </w:p>
    <w:p w14:paraId="65A01808" w14:textId="77777777" w:rsidR="00FD4BA8" w:rsidRDefault="009A1D2F">
      <w:pPr>
        <w:pStyle w:val="IASBNormalnparaL1"/>
      </w:pPr>
      <w:r>
        <w:t>(c)</w:t>
      </w:r>
      <w:r>
        <w:tab/>
        <w:t>the nature of underlying assets for which those guarantees are provided; and</w:t>
      </w:r>
    </w:p>
    <w:p w14:paraId="49C6D1DC" w14:textId="77777777" w:rsidR="00FD4BA8" w:rsidRDefault="009A1D2F" w:rsidP="00CE32A4">
      <w:pPr>
        <w:pStyle w:val="RDR11"/>
      </w:pPr>
      <w:r>
        <w:t>(d)</w:t>
      </w:r>
      <w:r>
        <w:tab/>
        <w:t>other operational and financial effects of those guarantees.</w:t>
      </w:r>
    </w:p>
    <w:p w14:paraId="6B6DAE6D" w14:textId="77777777" w:rsidR="00FD4BA8" w:rsidRDefault="009A1D2F" w:rsidP="00CE32A4">
      <w:pPr>
        <w:pStyle w:val="RDRM1"/>
      </w:pPr>
      <w:r>
        <w:t>B52</w:t>
      </w:r>
      <w:r>
        <w:tab/>
        <w:t>Additional information relating to sale and leaseback transactions that, depending on the circumstances, may be needed to satisfy the disclosure objective in paragraph 51 could include information that helps users of financial statements to assess, for example:</w:t>
      </w:r>
    </w:p>
    <w:p w14:paraId="69C96CB4" w14:textId="4E81DE5F" w:rsidR="00FD4BA8" w:rsidRDefault="00CE32A4" w:rsidP="00CE32A4">
      <w:pPr>
        <w:pStyle w:val="RDRM2"/>
      </w:pPr>
      <w:r>
        <w:tab/>
      </w:r>
      <w:r w:rsidR="009A1D2F">
        <w:t>(a)</w:t>
      </w:r>
      <w:r w:rsidR="009A1D2F">
        <w:tab/>
        <w:t>the lessee’s reasons for sale and leaseback transactions and the prevalence of those transactions;</w:t>
      </w:r>
    </w:p>
    <w:p w14:paraId="6F5C1ED0" w14:textId="673CBFF2" w:rsidR="00FD4BA8" w:rsidRDefault="00CE32A4" w:rsidP="00CE32A4">
      <w:pPr>
        <w:pStyle w:val="RDRM2"/>
      </w:pPr>
      <w:r>
        <w:tab/>
      </w:r>
      <w:r w:rsidR="009A1D2F">
        <w:t>(b)</w:t>
      </w:r>
      <w:r w:rsidR="009A1D2F">
        <w:tab/>
        <w:t>key terms and conditions of individual sale and leaseback transactions;</w:t>
      </w:r>
    </w:p>
    <w:p w14:paraId="3C170135" w14:textId="209C9429" w:rsidR="00FD4BA8" w:rsidRDefault="00CE32A4" w:rsidP="00CE32A4">
      <w:pPr>
        <w:pStyle w:val="RDRM2"/>
      </w:pPr>
      <w:r>
        <w:tab/>
      </w:r>
      <w:r w:rsidR="009A1D2F">
        <w:t>(c)</w:t>
      </w:r>
      <w:r w:rsidR="009A1D2F">
        <w:tab/>
        <w:t>payments not included in the measurement of lease liabilities; and</w:t>
      </w:r>
    </w:p>
    <w:p w14:paraId="59961A9B" w14:textId="31ECBC4A" w:rsidR="00FD4BA8" w:rsidRDefault="00CE32A4" w:rsidP="00CE32A4">
      <w:pPr>
        <w:pStyle w:val="RDRM2"/>
      </w:pPr>
      <w:r>
        <w:tab/>
      </w:r>
      <w:r w:rsidR="009A1D2F">
        <w:t>(d)</w:t>
      </w:r>
      <w:r w:rsidR="009A1D2F">
        <w:tab/>
        <w:t>the cash flow effect of sale and leaseback transactions in the reporting period.</w:t>
      </w:r>
    </w:p>
    <w:p w14:paraId="6E8789AB" w14:textId="77777777" w:rsidR="00FD4BA8" w:rsidRDefault="009A1D2F">
      <w:pPr>
        <w:pStyle w:val="IASBSectionTitle2Ind"/>
      </w:pPr>
      <w:r>
        <w:t>Lessor lease classification (paragraphs 61–66)</w:t>
      </w:r>
    </w:p>
    <w:p w14:paraId="60B94B66" w14:textId="77777777" w:rsidR="00FD4BA8" w:rsidRDefault="009A1D2F">
      <w:pPr>
        <w:pStyle w:val="IASBNormalnpara"/>
      </w:pPr>
      <w:r>
        <w:t>B53</w:t>
      </w:r>
      <w:r>
        <w:tab/>
        <w:t>The classification of leases for lessors in this Standard is based on the extent to which the lease transfers the risks and rewards incidental to ownership of an underlying asset. Risks include the possibilities of losses from idle capacity or technological obsolescence and of variations in return because of changing economic conditions. Rewards may be represented by the expectation of profitable operation over the underlying asset’s economic life and of gain from appreciation in value or realisation of a residual value.</w:t>
      </w:r>
    </w:p>
    <w:p w14:paraId="3F8E5FA5" w14:textId="77777777" w:rsidR="00FD4BA8" w:rsidRDefault="009A1D2F">
      <w:pPr>
        <w:pStyle w:val="IASBNormalnpara"/>
      </w:pPr>
      <w:r>
        <w:t>B54</w:t>
      </w:r>
      <w:r>
        <w:tab/>
        <w:t>A lease contract may include terms and conditions to adjust the lease payments for particular changes that occur between the inception date and the commencement date (such as a change in the lessor’s cost of the underlying asset or a change in the lessor’s cost of financing the lease). In that case, for the purposes of classifying the lease, the effect of any such changes shall be deemed to have taken place at the inception date.</w:t>
      </w:r>
    </w:p>
    <w:p w14:paraId="53F823BE" w14:textId="77777777" w:rsidR="00FD4BA8" w:rsidRDefault="009A1D2F">
      <w:pPr>
        <w:pStyle w:val="IASBNormalnpara"/>
      </w:pPr>
      <w:r>
        <w:t>B55</w:t>
      </w:r>
      <w:r>
        <w:tab/>
        <w:t>When a lease includes both land and buildings elements, a lessor shall assess the classification of each element as a finance lease or an operating lease separately applying paragraphs 62–66 and B53–B54. In determining whether the land element is an operating lease or a finance lease, an important consideration is that land normally has an indefinite economic life.</w:t>
      </w:r>
    </w:p>
    <w:p w14:paraId="718011F4" w14:textId="77777777" w:rsidR="00FD4BA8" w:rsidRDefault="009A1D2F">
      <w:pPr>
        <w:pStyle w:val="IASBNormalnpara"/>
      </w:pPr>
      <w:r>
        <w:t>B56</w:t>
      </w:r>
      <w:r>
        <w:tab/>
        <w:t>Whenever necessary in order to classify and account for a lease of land and buildings, a lessor shall allocate lease payments (including any lump-sum upfront payments) between the land and the buildings elements in proportion to the relative fair values of the leasehold interests in the land element and buildings element of the lease at the inception date. If the lease payments cannot be allocated reliably between these two elements, the entire lease is classified as a finance lease, unless it is clear that both elements are operating leases, in which case the entire lease is classified as an operating lease.</w:t>
      </w:r>
    </w:p>
    <w:p w14:paraId="593DA6FD" w14:textId="77777777" w:rsidR="00FD4BA8" w:rsidRDefault="009A1D2F">
      <w:pPr>
        <w:pStyle w:val="IASBNormalnpara"/>
      </w:pPr>
      <w:r>
        <w:t>B57</w:t>
      </w:r>
      <w:r>
        <w:tab/>
        <w:t>For a lease of land and buildings in which the amount for the land element is immaterial to the lease, a lessor may treat the land and buildings as a single unit for the purpose of lease classification and classify it as a finance lease or an operating lease applying paragraphs 62–66 and B53–B54. In such a case, a lessor shall regard the economic life of the buildings as the economic life of the entire underlying asset.</w:t>
      </w:r>
    </w:p>
    <w:p w14:paraId="2D3C20BC" w14:textId="77777777" w:rsidR="00FD4BA8" w:rsidRDefault="009A1D2F">
      <w:pPr>
        <w:pStyle w:val="IASBSectionTitle3Ind"/>
      </w:pPr>
      <w:r>
        <w:t>Sublease classification</w:t>
      </w:r>
    </w:p>
    <w:p w14:paraId="76C0AA8E" w14:textId="77777777" w:rsidR="00FD4BA8" w:rsidRDefault="009A1D2F">
      <w:pPr>
        <w:pStyle w:val="IASBNormalnpara"/>
      </w:pPr>
      <w:r>
        <w:t>B58</w:t>
      </w:r>
      <w:r>
        <w:tab/>
        <w:t>In classifying a sublease, an intermediate lessor shall classify the sublease as a finance lease or an operating lease as follows:</w:t>
      </w:r>
    </w:p>
    <w:p w14:paraId="585BF6C1" w14:textId="77777777" w:rsidR="00FD4BA8" w:rsidRDefault="009A1D2F">
      <w:pPr>
        <w:pStyle w:val="IASBNormalnparaL1"/>
      </w:pPr>
      <w:r>
        <w:t>(a)</w:t>
      </w:r>
      <w:r>
        <w:tab/>
        <w:t>if the head lease is a short-term lease that the entity, as a lessee, has accounted for applying paragraph 6, the sublease shall be classified as an operating lease.</w:t>
      </w:r>
    </w:p>
    <w:p w14:paraId="5B163CFA" w14:textId="77777777" w:rsidR="00FD4BA8" w:rsidRDefault="009A1D2F">
      <w:pPr>
        <w:pStyle w:val="IASBNormalnparaL1"/>
      </w:pPr>
      <w:r>
        <w:t>(b)</w:t>
      </w:r>
      <w:r>
        <w:tab/>
        <w:t>otherwise, the sublease shall be classified by reference to the right-of-use asset arising from the head lease, rather than by reference to the underlying asset (for example, the item of property, plant or equipment that is the subject of the lease).</w:t>
      </w:r>
    </w:p>
    <w:p w14:paraId="27C163A5" w14:textId="77777777" w:rsidR="00CE4E14" w:rsidRDefault="00CE4E14">
      <w:pPr>
        <w:pStyle w:val="IASBNormalnparaL1"/>
      </w:pPr>
    </w:p>
    <w:p w14:paraId="41187799" w14:textId="77777777" w:rsidR="00CE4E14" w:rsidRDefault="00CE4E14">
      <w:pPr>
        <w:pStyle w:val="IASBNormalnparaL1"/>
        <w:sectPr w:rsidR="00CE4E14" w:rsidSect="007C6D63">
          <w:footerReference w:type="default" r:id="rId14"/>
          <w:pgSz w:w="11907" w:h="16839"/>
          <w:pgMar w:top="1440" w:right="1440" w:bottom="1440" w:left="1440" w:header="720" w:footer="720" w:gutter="0"/>
          <w:cols w:space="708"/>
          <w:docGrid w:linePitch="360"/>
        </w:sectPr>
      </w:pPr>
    </w:p>
    <w:p w14:paraId="29AC12EF" w14:textId="77777777" w:rsidR="00FD4BA8" w:rsidRDefault="009A1D2F">
      <w:pPr>
        <w:pStyle w:val="IASBSectionTitle1NonInd"/>
        <w:pBdr>
          <w:bottom w:val="none" w:sz="0" w:space="0" w:color="auto"/>
        </w:pBdr>
      </w:pPr>
      <w:r>
        <w:lastRenderedPageBreak/>
        <w:t>Appendix C</w:t>
      </w:r>
      <w:r>
        <w:br/>
        <w:t>Effective date and transition</w:t>
      </w:r>
    </w:p>
    <w:p w14:paraId="495F332A" w14:textId="77777777" w:rsidR="00FD4BA8" w:rsidRDefault="009A1D2F">
      <w:pPr>
        <w:pStyle w:val="IASBNote"/>
      </w:pPr>
      <w:r>
        <w:t>This appendix is an integral part of the Standard and has the same authority as the other parts of the Standard.</w:t>
      </w:r>
    </w:p>
    <w:p w14:paraId="643AB204" w14:textId="77777777" w:rsidR="00FD4BA8" w:rsidRDefault="009A1D2F">
      <w:pPr>
        <w:pStyle w:val="IASBSectionTitle1NonInd"/>
      </w:pPr>
      <w:r>
        <w:t>Effective date</w:t>
      </w:r>
    </w:p>
    <w:p w14:paraId="3ACC228A" w14:textId="77777777" w:rsidR="00FD4BA8" w:rsidRDefault="009A1D2F">
      <w:pPr>
        <w:pStyle w:val="IASBNormalnpara"/>
      </w:pPr>
      <w:r>
        <w:t>C1</w:t>
      </w:r>
      <w:r>
        <w:tab/>
        <w:t>An entity shall apply this Standard for annual reporting periods beginning on or after 1 January 2019. Earlier application is permitted for entities that apply</w:t>
      </w:r>
      <w:r w:rsidR="00E27198">
        <w:t xml:space="preserve"> AASB 15</w:t>
      </w:r>
      <w:r>
        <w:t xml:space="preserve"> </w:t>
      </w:r>
      <w:r>
        <w:rPr>
          <w:i/>
        </w:rPr>
        <w:t>Revenue from Contracts with Customers</w:t>
      </w:r>
      <w:r>
        <w:t xml:space="preserve"> at or before the date of initial application of this Standard. If an entity applies this Standard earlier, it shall disclose that fact.</w:t>
      </w:r>
    </w:p>
    <w:p w14:paraId="465F37FC" w14:textId="39F4CDF8" w:rsidR="003B2BA0" w:rsidRDefault="003B2BA0" w:rsidP="003B2BA0">
      <w:pPr>
        <w:pStyle w:val="IASBNormalnpara"/>
      </w:pPr>
      <w:r w:rsidRPr="001F6AB8">
        <w:t>C1A</w:t>
      </w:r>
      <w:r w:rsidRPr="001F6AB8">
        <w:tab/>
      </w:r>
      <w:r>
        <w:t xml:space="preserve">AASB 2020-4 </w:t>
      </w:r>
      <w:r>
        <w:rPr>
          <w:i/>
        </w:rPr>
        <w:t>Amendm</w:t>
      </w:r>
      <w:r w:rsidRPr="00ED1A06">
        <w:rPr>
          <w:i/>
        </w:rPr>
        <w:t xml:space="preserve">ents to Australian Accounting Standards – </w:t>
      </w:r>
      <w:r w:rsidRPr="001F6AB8">
        <w:rPr>
          <w:i/>
        </w:rPr>
        <w:t>Covid-19-Related Rent Concessions</w:t>
      </w:r>
      <w:r w:rsidRPr="001F6AB8">
        <w:t xml:space="preserve">, issued in </w:t>
      </w:r>
      <w:r>
        <w:t>June</w:t>
      </w:r>
      <w:r w:rsidRPr="001F6AB8">
        <w:t xml:space="preserve"> 2020, added paragraphs 46A, 46B, 60A, C20A and C20B. A lessee shall apply that amendment for annual reporting periods beginning on or after 1 June 2020. Earlier application is permitted, including in financial statements not authorised for issue at the date AASB 2020-</w:t>
      </w:r>
      <w:r>
        <w:t>4</w:t>
      </w:r>
      <w:r w:rsidRPr="001F6AB8">
        <w:t xml:space="preserve"> was issued.</w:t>
      </w:r>
    </w:p>
    <w:p w14:paraId="17DD08F3" w14:textId="63B5FD8D" w:rsidR="00684D1E" w:rsidRDefault="00684D1E" w:rsidP="00684D1E">
      <w:pPr>
        <w:pStyle w:val="IASBNormalnpara"/>
      </w:pPr>
      <w:r w:rsidRPr="001E5C87">
        <w:t>C1B</w:t>
      </w:r>
      <w:r w:rsidRPr="001E5C87">
        <w:tab/>
        <w:t>AASB 2020-</w:t>
      </w:r>
      <w:r>
        <w:t>8</w:t>
      </w:r>
      <w:r w:rsidRPr="001E5C87">
        <w:t xml:space="preserve"> </w:t>
      </w:r>
      <w:r w:rsidRPr="001E5C87">
        <w:rPr>
          <w:i/>
          <w:iCs/>
        </w:rPr>
        <w:t xml:space="preserve">Amendments to Australian Accounting Standards – </w:t>
      </w:r>
      <w:r w:rsidRPr="001E5C87">
        <w:rPr>
          <w:i/>
        </w:rPr>
        <w:t>Interest Rate Benchmark Reform</w:t>
      </w:r>
      <w:r>
        <w:rPr>
          <w:i/>
        </w:rPr>
        <w:t xml:space="preserve"> – </w:t>
      </w:r>
      <w:r w:rsidRPr="001E5C87">
        <w:rPr>
          <w:i/>
        </w:rPr>
        <w:t>Phase</w:t>
      </w:r>
      <w:r>
        <w:rPr>
          <w:i/>
        </w:rPr>
        <w:t> </w:t>
      </w:r>
      <w:r w:rsidRPr="001E5C87">
        <w:rPr>
          <w:i/>
        </w:rPr>
        <w:t>2</w:t>
      </w:r>
      <w:r w:rsidRPr="001E5C87">
        <w:t>, which amended AASB 4, AASB 7, AASB 9, AASB 16 and AASB 139, issued in September 2020, added paragraphs 104–106 and C20C–C20D. An entity shall apply these amendments for annual reporting periods beginning on or after 1 January 2021. Earlier application is permitted. If an entity applies these amendments for an earlier period, it shall disclose that fact.</w:t>
      </w:r>
    </w:p>
    <w:p w14:paraId="57CCE9FB" w14:textId="09ED694F" w:rsidR="0091547E" w:rsidRPr="0091547E" w:rsidRDefault="0091547E" w:rsidP="00684D1E">
      <w:pPr>
        <w:pStyle w:val="IASBNormalnpara"/>
      </w:pPr>
      <w:r w:rsidRPr="0091547E">
        <w:t>C1C</w:t>
      </w:r>
      <w:r w:rsidRPr="0091547E">
        <w:tab/>
        <w:t xml:space="preserve">AASB 2021-3 </w:t>
      </w:r>
      <w:r w:rsidRPr="0091547E">
        <w:rPr>
          <w:i/>
          <w:iCs/>
        </w:rPr>
        <w:t xml:space="preserve">Amendments to Australian Accounting Standards – </w:t>
      </w:r>
      <w:r w:rsidRPr="0091547E">
        <w:rPr>
          <w:i/>
        </w:rPr>
        <w:t>Covid-19-Related Rent Concessions beyond 30 June 2021</w:t>
      </w:r>
      <w:r w:rsidRPr="0091547E">
        <w:rPr>
          <w:iCs/>
        </w:rPr>
        <w:t>, issued in April 2021, amended paragraph 46B and added paragraphs C20BA–C20BC. A lessee shall apply that amendment for annual reporting periods beginning on or after 1 April 2021. Earlier application is permitted, including in financial statements not authorised for issue at the date AASB</w:t>
      </w:r>
      <w:r w:rsidR="00714583">
        <w:rPr>
          <w:iCs/>
        </w:rPr>
        <w:t> </w:t>
      </w:r>
      <w:r w:rsidRPr="0091547E">
        <w:rPr>
          <w:iCs/>
        </w:rPr>
        <w:t>2021-3 was issued</w:t>
      </w:r>
      <w:r>
        <w:rPr>
          <w:iCs/>
        </w:rPr>
        <w:t>.</w:t>
      </w:r>
    </w:p>
    <w:p w14:paraId="4455CEDD" w14:textId="77777777" w:rsidR="00FD4BA8" w:rsidRDefault="009A1D2F">
      <w:pPr>
        <w:pStyle w:val="IASBSectionTitle1NonInd"/>
      </w:pPr>
      <w:r>
        <w:t>Transition</w:t>
      </w:r>
    </w:p>
    <w:p w14:paraId="2AEDE01C" w14:textId="77777777" w:rsidR="00FD4BA8" w:rsidRDefault="009A1D2F">
      <w:pPr>
        <w:pStyle w:val="IASBNormalnpara"/>
      </w:pPr>
      <w:r>
        <w:t>C2</w:t>
      </w:r>
      <w:r>
        <w:tab/>
        <w:t>For the purposes of the requirements in paragraphs C1–C19, the date of initial application is the beginning of the annual reporting period in which an entity first applies this Standard.</w:t>
      </w:r>
    </w:p>
    <w:p w14:paraId="02BB5443" w14:textId="77777777" w:rsidR="00FD4BA8" w:rsidRDefault="009A1D2F">
      <w:pPr>
        <w:pStyle w:val="IASBSectionTitle2Ind"/>
      </w:pPr>
      <w:r>
        <w:t>Definition of a lease</w:t>
      </w:r>
    </w:p>
    <w:p w14:paraId="679C49C2" w14:textId="77777777" w:rsidR="00FD4BA8" w:rsidRDefault="009A1D2F">
      <w:pPr>
        <w:pStyle w:val="IASBNormalnpara"/>
      </w:pPr>
      <w:r>
        <w:t>C3</w:t>
      </w:r>
      <w:r>
        <w:tab/>
        <w:t>As a practical expedient, an entity is not required to reassess whether a contract is, or contains, a lease at the date of initial application. Instead, the entity is permitted:</w:t>
      </w:r>
    </w:p>
    <w:p w14:paraId="71C672E4" w14:textId="77777777" w:rsidR="00FD4BA8" w:rsidRDefault="009A1D2F">
      <w:pPr>
        <w:pStyle w:val="IASBNormalnparaL1"/>
      </w:pPr>
      <w:r>
        <w:t>(a)</w:t>
      </w:r>
      <w:r>
        <w:tab/>
        <w:t>to apply this Standard to contracts that were previously identified as leases applying</w:t>
      </w:r>
      <w:r w:rsidR="00E27198">
        <w:t xml:space="preserve"> AASB 117</w:t>
      </w:r>
      <w:r>
        <w:t xml:space="preserve"> </w:t>
      </w:r>
      <w:r>
        <w:rPr>
          <w:i/>
        </w:rPr>
        <w:t>Leases</w:t>
      </w:r>
      <w:r>
        <w:t xml:space="preserve"> and</w:t>
      </w:r>
      <w:r w:rsidR="00E27198">
        <w:t xml:space="preserve"> Interpretation 4</w:t>
      </w:r>
      <w:r>
        <w:t xml:space="preserve"> </w:t>
      </w:r>
      <w:r>
        <w:rPr>
          <w:i/>
        </w:rPr>
        <w:t>Determining whether an Arrangement contains a Lease</w:t>
      </w:r>
      <w:r>
        <w:t>. The entity shall apply the transition requirements in paragraphs C5–C18 to those leases.</w:t>
      </w:r>
    </w:p>
    <w:p w14:paraId="65327662" w14:textId="77777777" w:rsidR="00FD4BA8" w:rsidRDefault="009A1D2F">
      <w:pPr>
        <w:pStyle w:val="IASBNormalnparaL1"/>
      </w:pPr>
      <w:r>
        <w:t>(b)</w:t>
      </w:r>
      <w:r>
        <w:tab/>
        <w:t>not to apply this Standard to contracts that were not previously identified as containing a lease applying</w:t>
      </w:r>
      <w:r w:rsidR="00E27198">
        <w:t xml:space="preserve"> AASB 117</w:t>
      </w:r>
      <w:r>
        <w:t xml:space="preserve"> and</w:t>
      </w:r>
      <w:r w:rsidR="00E27198">
        <w:t xml:space="preserve"> Interpretation 4</w:t>
      </w:r>
      <w:r>
        <w:t>.</w:t>
      </w:r>
    </w:p>
    <w:p w14:paraId="5BF47A9F" w14:textId="2B1C1279" w:rsidR="00FD4BA8" w:rsidRDefault="009A1D2F">
      <w:pPr>
        <w:pStyle w:val="IASBNormalnpara"/>
      </w:pPr>
      <w:r>
        <w:t>C4</w:t>
      </w:r>
      <w:r>
        <w:tab/>
        <w:t>If an entity chooses the practical expedient in paragraph C3, it shall disclose that fact and apply the practical expedient to all of its contracts. As a result, the entity shall apply the requirements in paragraphs 9–11 only to contracts entered into (or changed) on or after the date of initial application.</w:t>
      </w:r>
    </w:p>
    <w:p w14:paraId="6EFD8126" w14:textId="43404F97" w:rsidR="00D470A2" w:rsidRDefault="00D470A2" w:rsidP="00D470A2">
      <w:pPr>
        <w:pStyle w:val="AusPlain"/>
      </w:pPr>
      <w:r w:rsidRPr="00D470A2">
        <w:t>AusC4.1</w:t>
      </w:r>
      <w:r w:rsidRPr="00D470A2">
        <w:tab/>
        <w:t xml:space="preserve">Notwithstanding paragraphs C3 and C4, a public sector entity is not required to apply this Standard to assets that would be classified as service concession assets in accordance with AASB 1059 </w:t>
      </w:r>
      <w:r w:rsidRPr="00D470A2">
        <w:rPr>
          <w:i/>
        </w:rPr>
        <w:t>Service Concession Arrangements: Grantors</w:t>
      </w:r>
      <w:r w:rsidRPr="00D470A2">
        <w:t>. The entity shall continue to apply its existing accounting policy to these assets until AASB 1059 is applied.</w:t>
      </w:r>
    </w:p>
    <w:p w14:paraId="4D110A9D" w14:textId="77777777" w:rsidR="00FD4BA8" w:rsidRDefault="009A1D2F">
      <w:pPr>
        <w:pStyle w:val="IASBSectionTitle2Ind"/>
      </w:pPr>
      <w:r>
        <w:t>Lessees</w:t>
      </w:r>
    </w:p>
    <w:p w14:paraId="21D1159C" w14:textId="77777777" w:rsidR="00FD4BA8" w:rsidRDefault="009A1D2F">
      <w:pPr>
        <w:pStyle w:val="IASBNormalnpara"/>
      </w:pPr>
      <w:r>
        <w:t>C5</w:t>
      </w:r>
      <w:r>
        <w:tab/>
        <w:t>A lessee shall apply this Standard to its leases either:</w:t>
      </w:r>
    </w:p>
    <w:p w14:paraId="6D36BCB7" w14:textId="77777777" w:rsidR="00FD4BA8" w:rsidRDefault="009A1D2F">
      <w:pPr>
        <w:pStyle w:val="IASBNormalnparaL1"/>
      </w:pPr>
      <w:r>
        <w:t>(a)</w:t>
      </w:r>
      <w:r>
        <w:tab/>
        <w:t>retrospectively to each prior reporting period presented applying</w:t>
      </w:r>
      <w:r w:rsidR="00E27198">
        <w:t xml:space="preserve"> AASB 108</w:t>
      </w:r>
      <w:r>
        <w:t xml:space="preserve"> </w:t>
      </w:r>
      <w:r>
        <w:rPr>
          <w:i/>
        </w:rPr>
        <w:t>Accounting Policies, Changes in Accounting Estimates and Errors</w:t>
      </w:r>
      <w:r>
        <w:t>; or</w:t>
      </w:r>
    </w:p>
    <w:p w14:paraId="18120803" w14:textId="4AA2F0A3" w:rsidR="002848C0" w:rsidRDefault="009A1D2F" w:rsidP="002848C0">
      <w:pPr>
        <w:pStyle w:val="IASBNormalnparaL1"/>
      </w:pPr>
      <w:r>
        <w:lastRenderedPageBreak/>
        <w:t>(b)</w:t>
      </w:r>
      <w:r>
        <w:tab/>
        <w:t>retrospectively with the cumulative effect of initially applying the Standard recognised at the date of initial application in accordance with paragraphs C7–C13.</w:t>
      </w:r>
    </w:p>
    <w:p w14:paraId="096D8751" w14:textId="7B12CB0C" w:rsidR="002848C0" w:rsidRPr="0096244B" w:rsidRDefault="002848C0" w:rsidP="00F76BCD">
      <w:pPr>
        <w:pStyle w:val="AusPlain"/>
      </w:pPr>
      <w:r w:rsidRPr="0096244B">
        <w:t>AusC5.1</w:t>
      </w:r>
      <w:r w:rsidRPr="0096244B">
        <w:tab/>
        <w:t>Not-for-profit entities</w:t>
      </w:r>
      <w:r w:rsidR="0041375C">
        <w:t xml:space="preserve"> </w:t>
      </w:r>
      <w:r w:rsidR="0041375C" w:rsidRPr="0041375C">
        <w:t xml:space="preserve">electing to measure a class of right-of-use assets at initial recognition at fair value and </w:t>
      </w:r>
      <w:r w:rsidRPr="0096244B">
        <w:t>applying this Standard retrospectively in accordance with paragraph C5(a) to leases that at inception had significantly below-market terms and conditions principally to enable the entity to further its objectives shall:</w:t>
      </w:r>
    </w:p>
    <w:p w14:paraId="49ECD35D" w14:textId="312BF19F" w:rsidR="002848C0" w:rsidRPr="0096244B" w:rsidRDefault="0041375C" w:rsidP="00F76BCD">
      <w:pPr>
        <w:pStyle w:val="IASBNormalnparaL2"/>
      </w:pPr>
      <w:r>
        <w:t>(a)</w:t>
      </w:r>
      <w:r>
        <w:tab/>
        <w:t>measure each</w:t>
      </w:r>
      <w:r w:rsidR="002848C0" w:rsidRPr="0096244B">
        <w:t xml:space="preserve"> right-of-use asset </w:t>
      </w:r>
      <w:r>
        <w:t xml:space="preserve">in the class </w:t>
      </w:r>
      <w:r w:rsidR="002848C0" w:rsidRPr="0096244B">
        <w:t>at fair value;</w:t>
      </w:r>
    </w:p>
    <w:p w14:paraId="1D7585AE" w14:textId="77777777" w:rsidR="002848C0" w:rsidRPr="0096244B" w:rsidRDefault="002848C0" w:rsidP="00F76BCD">
      <w:pPr>
        <w:pStyle w:val="IASBNormalnparaL2"/>
      </w:pPr>
      <w:r w:rsidRPr="0096244B">
        <w:t>(b)</w:t>
      </w:r>
      <w:r w:rsidRPr="0096244B">
        <w:tab/>
        <w:t xml:space="preserve">measure the lease liability in accordance with this Standard; and </w:t>
      </w:r>
    </w:p>
    <w:p w14:paraId="59EEA6FB" w14:textId="3388E013" w:rsidR="00CD23D5" w:rsidRDefault="002848C0" w:rsidP="00CD23D5">
      <w:pPr>
        <w:pStyle w:val="IASBNormalnparaL2"/>
      </w:pPr>
      <w:r w:rsidRPr="0096244B">
        <w:t>(c)</w:t>
      </w:r>
      <w:r w:rsidRPr="0096244B">
        <w:tab/>
        <w:t>recognise any related items in accordance with paragraph </w:t>
      </w:r>
      <w:r w:rsidR="0041375C">
        <w:t xml:space="preserve">9 </w:t>
      </w:r>
      <w:r w:rsidRPr="0096244B">
        <w:t>of AASB </w:t>
      </w:r>
      <w:r>
        <w:t>1058</w:t>
      </w:r>
      <w:r w:rsidRPr="0096244B">
        <w:t xml:space="preserve"> </w:t>
      </w:r>
      <w:r w:rsidRPr="0096244B">
        <w:rPr>
          <w:i/>
        </w:rPr>
        <w:t>Income of Not-for-Profit Entities</w:t>
      </w:r>
      <w:r w:rsidRPr="0096244B">
        <w:t>.</w:t>
      </w:r>
    </w:p>
    <w:p w14:paraId="5DDA55C6" w14:textId="4766C633" w:rsidR="002848C0" w:rsidRPr="0096244B" w:rsidRDefault="002848C0" w:rsidP="007E0947">
      <w:pPr>
        <w:pStyle w:val="PlainNumHang1"/>
        <w:spacing w:before="100" w:after="0"/>
        <w:ind w:left="1565" w:firstLine="0"/>
      </w:pPr>
      <w:r w:rsidRPr="0096244B">
        <w:t>Any income arising shall be recognised as an adjustment to the opening balance of retained earnings (or other component of equity, as appropriate) at the beginning of the earliest prior period presented.</w:t>
      </w:r>
    </w:p>
    <w:p w14:paraId="1C1977B4" w14:textId="77777777" w:rsidR="002848C0" w:rsidRPr="0096244B" w:rsidRDefault="002848C0" w:rsidP="00F76BCD">
      <w:pPr>
        <w:pStyle w:val="AusPlain"/>
      </w:pPr>
      <w:r w:rsidRPr="0096244B">
        <w:t>AusC5.2</w:t>
      </w:r>
      <w:r w:rsidRPr="0096244B">
        <w:tab/>
        <w:t>Notwithstanding paragraph AusC5.1, not-for-profit entities that adopted AASB</w:t>
      </w:r>
      <w:r>
        <w:t xml:space="preserve"> 1058</w:t>
      </w:r>
      <w:r w:rsidRPr="0096244B">
        <w:t xml:space="preserve"> in an earlier reporting period are not required to remeasure the fair value of the right-of-use asset arising from leases that (1) at inception had significantly below-market terms and conditions principally to enable the entity to further its objectives and (2) were previously classified as finance leases applying AASB 117. Instead, the entity shall transition those leases in accordance with paragraph C11, regardless of which transition option in paragraph C5 is applied.</w:t>
      </w:r>
    </w:p>
    <w:p w14:paraId="60A79CBD" w14:textId="77777777" w:rsidR="00FD4BA8" w:rsidRDefault="009A1D2F">
      <w:pPr>
        <w:pStyle w:val="IASBNormalnpara"/>
      </w:pPr>
      <w:r>
        <w:t>C6</w:t>
      </w:r>
      <w:r>
        <w:tab/>
        <w:t>A lessee shall apply the election described in paragraph C5 consistently to all of its leases in which it is a lessee.</w:t>
      </w:r>
    </w:p>
    <w:p w14:paraId="1934F9B2" w14:textId="77777777" w:rsidR="00FD4BA8" w:rsidRDefault="009A1D2F">
      <w:pPr>
        <w:pStyle w:val="IASBNormalnpara"/>
      </w:pPr>
      <w:r>
        <w:t>C7</w:t>
      </w:r>
      <w:r>
        <w:tab/>
        <w:t>If a lessee elects to apply this Standard in accordance with paragraph C5(b), the lessee shall not restate comparative information. Instead, the lessee shall recognise the cumulative effect of initially applying this Standard as an adjustment to the opening balance of retained earnings (or other component of equity, as appropriate) at the date of initial application.</w:t>
      </w:r>
    </w:p>
    <w:p w14:paraId="205BDEE2" w14:textId="77777777" w:rsidR="00FD4BA8" w:rsidRDefault="009A1D2F">
      <w:pPr>
        <w:pStyle w:val="IASBSectionTitle3Ind"/>
      </w:pPr>
      <w:r>
        <w:t>Leases previously classified as operating leases</w:t>
      </w:r>
    </w:p>
    <w:p w14:paraId="7F8246EF" w14:textId="77777777" w:rsidR="00FD4BA8" w:rsidRDefault="009A1D2F">
      <w:pPr>
        <w:pStyle w:val="IASBNormalnpara"/>
      </w:pPr>
      <w:r>
        <w:t>C8</w:t>
      </w:r>
      <w:r>
        <w:tab/>
        <w:t>If a lessee elects to apply this Standard in accordance with paragraph C5(b), the lessee shall:</w:t>
      </w:r>
    </w:p>
    <w:p w14:paraId="43E83FED" w14:textId="77777777" w:rsidR="00FD4BA8" w:rsidRDefault="009A1D2F">
      <w:pPr>
        <w:pStyle w:val="IASBNormalnparaL1"/>
      </w:pPr>
      <w:r>
        <w:t>(a)</w:t>
      </w:r>
      <w:r>
        <w:tab/>
        <w:t>recognise a lease liability at the date of initial application for leases previously classified as an operating lease applying</w:t>
      </w:r>
      <w:r w:rsidR="00E27198">
        <w:t xml:space="preserve"> AASB 117</w:t>
      </w:r>
      <w:r>
        <w:t>. The lessee shall measure that lease liability at the present value of the remaining lease payments, discounted using the lessee’s incremental borrowing rate at the date of initial application.</w:t>
      </w:r>
    </w:p>
    <w:p w14:paraId="3FE93FBD" w14:textId="77777777" w:rsidR="00FD4BA8" w:rsidRDefault="009A1D2F">
      <w:pPr>
        <w:pStyle w:val="IASBNormalnparaL1"/>
      </w:pPr>
      <w:r>
        <w:t>(b)</w:t>
      </w:r>
      <w:r>
        <w:tab/>
        <w:t>recognise a right-of-use asset at the date of initial application for leases previously classified as an operating lease applying</w:t>
      </w:r>
      <w:r w:rsidR="00E27198">
        <w:t xml:space="preserve"> AASB 117</w:t>
      </w:r>
      <w:r>
        <w:t>. The lessee shall choose, on a lease-by-lease basis, to measure that right-of-use asset at either:</w:t>
      </w:r>
    </w:p>
    <w:p w14:paraId="723F0AED" w14:textId="77777777" w:rsidR="00FD4BA8" w:rsidRDefault="009A1D2F">
      <w:pPr>
        <w:pStyle w:val="IASBNormalnparaL2"/>
      </w:pPr>
      <w:r>
        <w:t>(i)</w:t>
      </w:r>
      <w:r>
        <w:tab/>
        <w:t>its carrying amount as if the Standard had been applied since the commencement date, but discounted using the lessee’s incremental borrowing rate at the date of initial application; or</w:t>
      </w:r>
    </w:p>
    <w:p w14:paraId="77931B0F" w14:textId="77777777" w:rsidR="00FD4BA8" w:rsidRDefault="009A1D2F">
      <w:pPr>
        <w:pStyle w:val="IASBNormalnparaL2"/>
      </w:pPr>
      <w:r>
        <w:t>(ii)</w:t>
      </w:r>
      <w:r>
        <w:tab/>
        <w:t>an amount equal to the lease liability, adjusted by the amount of any prepaid or accrued lease payments relating to that lease recognised in the statement of financial position immediately before the date of initial application.</w:t>
      </w:r>
    </w:p>
    <w:p w14:paraId="6181FD1E" w14:textId="77777777" w:rsidR="00FD4BA8" w:rsidRDefault="009A1D2F">
      <w:pPr>
        <w:pStyle w:val="IASBNormalnparaL1"/>
      </w:pPr>
      <w:r>
        <w:t>(c)</w:t>
      </w:r>
      <w:r>
        <w:tab/>
        <w:t>apply</w:t>
      </w:r>
      <w:r w:rsidR="00E27198">
        <w:t xml:space="preserve"> AASB 136</w:t>
      </w:r>
      <w:r>
        <w:t xml:space="preserve"> </w:t>
      </w:r>
      <w:r>
        <w:rPr>
          <w:i/>
        </w:rPr>
        <w:t>Impairment of Assets</w:t>
      </w:r>
      <w:r>
        <w:t xml:space="preserve"> to right-of-use assets at the date of initial application, unless the lessee applies the practical expedient in paragraph C10(b).</w:t>
      </w:r>
    </w:p>
    <w:p w14:paraId="05FF8630" w14:textId="465D1C67" w:rsidR="0026379B" w:rsidRPr="0096244B" w:rsidRDefault="0026379B" w:rsidP="00CD23D5">
      <w:pPr>
        <w:pStyle w:val="AusPlain"/>
      </w:pPr>
      <w:r w:rsidRPr="0096244B">
        <w:t>AusC8.1</w:t>
      </w:r>
      <w:r w:rsidRPr="0096244B">
        <w:tab/>
        <w:t>Not-for-profit entities</w:t>
      </w:r>
      <w:r w:rsidR="0041375C">
        <w:t xml:space="preserve"> </w:t>
      </w:r>
      <w:r w:rsidR="0041375C" w:rsidRPr="0041375C">
        <w:t>electing to measure a class of right-of-use assets at initial recognition at fair value and</w:t>
      </w:r>
      <w:r w:rsidRPr="0041375C">
        <w:t xml:space="preserve"> </w:t>
      </w:r>
      <w:r w:rsidRPr="0096244B">
        <w:t>applying this Standard retrospectively in accordance with paragraph C5(b) to leases that (1) at inception had significantly below-market terms and conditions principally to enable the entity to further its objectives and (2) were previously classified as operating leases applying AASB 117 shall:</w:t>
      </w:r>
    </w:p>
    <w:p w14:paraId="36CB9310" w14:textId="0AA17092" w:rsidR="0026379B" w:rsidRPr="0096244B" w:rsidRDefault="0026379B" w:rsidP="00CD23D5">
      <w:pPr>
        <w:pStyle w:val="IASBNormalnparaL2"/>
      </w:pPr>
      <w:r w:rsidRPr="0096244B">
        <w:t>(a)</w:t>
      </w:r>
      <w:r w:rsidRPr="0096244B">
        <w:tab/>
        <w:t>notwithstandi</w:t>
      </w:r>
      <w:r w:rsidR="0041375C">
        <w:t xml:space="preserve">ng paragraph C8(b), measure each </w:t>
      </w:r>
      <w:r w:rsidRPr="0096244B">
        <w:t xml:space="preserve">right-of-use asset </w:t>
      </w:r>
      <w:r w:rsidR="0041375C">
        <w:t xml:space="preserve">in the class </w:t>
      </w:r>
      <w:r w:rsidRPr="0096244B">
        <w:t>at fair value at the date of initial application of this Standard;</w:t>
      </w:r>
    </w:p>
    <w:p w14:paraId="3AD5AC6C" w14:textId="77777777" w:rsidR="0026379B" w:rsidRPr="0096244B" w:rsidRDefault="0026379B" w:rsidP="00CD23D5">
      <w:pPr>
        <w:pStyle w:val="IASBNormalnparaL2"/>
      </w:pPr>
      <w:r w:rsidRPr="0096244B">
        <w:t>(b)</w:t>
      </w:r>
      <w:r w:rsidRPr="0096244B">
        <w:tab/>
        <w:t>measure the lease liability in accordance with paragraph C8(a); and</w:t>
      </w:r>
    </w:p>
    <w:p w14:paraId="32447C62" w14:textId="41505D1F" w:rsidR="0026379B" w:rsidRDefault="0026379B" w:rsidP="00CD23D5">
      <w:pPr>
        <w:pStyle w:val="IASBNormalnparaL2"/>
      </w:pPr>
      <w:r w:rsidRPr="0096244B">
        <w:t>(c)</w:t>
      </w:r>
      <w:r w:rsidRPr="0096244B">
        <w:tab/>
        <w:t>recognise any related items in accordance with paragraph </w:t>
      </w:r>
      <w:r w:rsidR="0041375C">
        <w:t>9</w:t>
      </w:r>
      <w:r w:rsidRPr="0096244B">
        <w:t xml:space="preserve"> of AASB </w:t>
      </w:r>
      <w:r>
        <w:t>1058</w:t>
      </w:r>
      <w:r w:rsidRPr="0096244B">
        <w:t>.</w:t>
      </w:r>
    </w:p>
    <w:p w14:paraId="5A4511BB" w14:textId="15A88066" w:rsidR="0026379B" w:rsidRDefault="0026379B" w:rsidP="007E0947">
      <w:pPr>
        <w:pStyle w:val="PlainNumHang1"/>
        <w:spacing w:before="100" w:after="0"/>
        <w:ind w:left="1565" w:firstLine="0"/>
      </w:pPr>
      <w:r w:rsidRPr="0096244B">
        <w:t>Any income arising shall be recognised as an adjustment to the opening balance of retained earnings (or other component of equity, as appropriate) at the date of initia</w:t>
      </w:r>
      <w:r w:rsidR="00CD23D5">
        <w:t>l application of this Standard.</w:t>
      </w:r>
    </w:p>
    <w:p w14:paraId="52D84CAD" w14:textId="77777777" w:rsidR="00FD4BA8" w:rsidRDefault="009A1D2F">
      <w:pPr>
        <w:pStyle w:val="IASBNormalnpara"/>
      </w:pPr>
      <w:r>
        <w:lastRenderedPageBreak/>
        <w:t>C9</w:t>
      </w:r>
      <w:r>
        <w:tab/>
        <w:t>Notwithstanding the requirements in paragraph C8, for leases previously classified as operating leases applying</w:t>
      </w:r>
      <w:r w:rsidR="00E27198">
        <w:t xml:space="preserve"> AASB 117</w:t>
      </w:r>
      <w:r>
        <w:t>, a lessee:</w:t>
      </w:r>
    </w:p>
    <w:p w14:paraId="4F026E73" w14:textId="77777777" w:rsidR="00FD4BA8" w:rsidRDefault="009A1D2F">
      <w:pPr>
        <w:pStyle w:val="IASBNormalnparaL1"/>
      </w:pPr>
      <w:r>
        <w:t>(a)</w:t>
      </w:r>
      <w:r>
        <w:tab/>
        <w:t>is not required to make any adjustments on transition for leases for which the underlying asset is of low value (as described in paragraphs B3–B8) that will be accounted for applying paragraph 6. The lessee shall account for those leases applying this Standard from the date of initial application.</w:t>
      </w:r>
    </w:p>
    <w:p w14:paraId="2B54174F" w14:textId="77777777" w:rsidR="00FD4BA8" w:rsidRDefault="009A1D2F">
      <w:pPr>
        <w:pStyle w:val="IASBNormalnparaL1"/>
      </w:pPr>
      <w:r>
        <w:t>(b)</w:t>
      </w:r>
      <w:r>
        <w:tab/>
        <w:t>is not required to make any adjustments on transition for leases previously accounted for as investment property using the fair value model in</w:t>
      </w:r>
      <w:r w:rsidR="00E27198">
        <w:t xml:space="preserve"> AASB 140</w:t>
      </w:r>
      <w:r>
        <w:t xml:space="preserve"> </w:t>
      </w:r>
      <w:r>
        <w:rPr>
          <w:i/>
        </w:rPr>
        <w:t>Investment Property</w:t>
      </w:r>
      <w:r>
        <w:t>. The lessee shall account for the right-of-use asset and the lease liability arising from those leases applying</w:t>
      </w:r>
      <w:r w:rsidR="00E27198">
        <w:t xml:space="preserve"> AASB 140</w:t>
      </w:r>
      <w:r>
        <w:t xml:space="preserve"> and this Standard from the date of initial application.</w:t>
      </w:r>
    </w:p>
    <w:p w14:paraId="540EE9E5" w14:textId="77777777" w:rsidR="00FD4BA8" w:rsidRDefault="009A1D2F">
      <w:pPr>
        <w:pStyle w:val="IASBNormalnparaL1"/>
      </w:pPr>
      <w:r>
        <w:t>(c)</w:t>
      </w:r>
      <w:r>
        <w:tab/>
        <w:t>shall measure the right-of-use asset at fair value at the date of initial application for leases previously accounted for as operating leases applying</w:t>
      </w:r>
      <w:r w:rsidR="00E27198">
        <w:t xml:space="preserve"> AASB 117</w:t>
      </w:r>
      <w:r>
        <w:t xml:space="preserve"> and that will be accounted for as investment property using the fair value model in</w:t>
      </w:r>
      <w:r w:rsidR="00E27198">
        <w:t xml:space="preserve"> AASB 140</w:t>
      </w:r>
      <w:r>
        <w:t xml:space="preserve"> from the date of initial application. The lessee shall account for the right-of-use asset and the lease liability arising from those leases applying</w:t>
      </w:r>
      <w:r w:rsidR="00E27198">
        <w:t xml:space="preserve"> AASB 140</w:t>
      </w:r>
      <w:r>
        <w:t xml:space="preserve"> and this Standard from the date of initial application.</w:t>
      </w:r>
    </w:p>
    <w:p w14:paraId="5B2FD8DF" w14:textId="77777777" w:rsidR="00FD4BA8" w:rsidRDefault="009A1D2F">
      <w:pPr>
        <w:pStyle w:val="IASBNormalnpara"/>
      </w:pPr>
      <w:r>
        <w:t>C10</w:t>
      </w:r>
      <w:r>
        <w:tab/>
        <w:t>A lessee may use one or more of the following practical expedients when applying this Standard retrospectively in accordance with paragraph C5(b) to leases previously classified as operating leases applying</w:t>
      </w:r>
      <w:r w:rsidR="00E27198">
        <w:t xml:space="preserve"> AASB 117</w:t>
      </w:r>
      <w:r>
        <w:t>. A lessee is permitted to apply these practical expedients on a lease-by-lease basis:</w:t>
      </w:r>
    </w:p>
    <w:p w14:paraId="559FC551" w14:textId="77777777" w:rsidR="00FD4BA8" w:rsidRDefault="009A1D2F">
      <w:pPr>
        <w:pStyle w:val="IASBNormalnparaL1"/>
      </w:pPr>
      <w:r>
        <w:t>(a)</w:t>
      </w:r>
      <w:r>
        <w:tab/>
        <w:t>a lessee may apply a single discount rate to a portfolio of leases with reasonably similar characteristics (such as leases with a similar remaining lease term for a similar class of underlying asset in a similar economic environment).</w:t>
      </w:r>
    </w:p>
    <w:p w14:paraId="6D619A40" w14:textId="77777777" w:rsidR="00FD4BA8" w:rsidRDefault="009A1D2F">
      <w:pPr>
        <w:pStyle w:val="IASBNormalnparaL1"/>
      </w:pPr>
      <w:r>
        <w:t>(b)</w:t>
      </w:r>
      <w:r>
        <w:tab/>
        <w:t>a lessee may rely on its assessment of whether leases are onerous applying</w:t>
      </w:r>
      <w:r w:rsidR="00E27198">
        <w:t xml:space="preserve"> AASB 137</w:t>
      </w:r>
      <w:r>
        <w:t xml:space="preserve"> </w:t>
      </w:r>
      <w:r>
        <w:rPr>
          <w:i/>
        </w:rPr>
        <w:t>Provisions, Contingent Liabilities and Contingent Assets</w:t>
      </w:r>
      <w:r>
        <w:t xml:space="preserve"> immediately before the date of initial application as an alternative to performing an impairment review. If a lessee chooses this practical expedient, the lessee shall adjust the right-of-use asset at the date of initial application by the amount of any provision for onerous leases recognised in the statement of financial position immediately before the date of initial application.</w:t>
      </w:r>
    </w:p>
    <w:p w14:paraId="546783AF" w14:textId="77777777" w:rsidR="00FD4BA8" w:rsidRDefault="009A1D2F">
      <w:pPr>
        <w:pStyle w:val="IASBNormalnparaL1"/>
      </w:pPr>
      <w:r>
        <w:t>(c)</w:t>
      </w:r>
      <w:r>
        <w:tab/>
        <w:t>a lessee may elect not to apply the requirements in paragraph C8 to leases for which the lease term ends within 12 months of the date of initial application. In this case, a lessee shall:</w:t>
      </w:r>
    </w:p>
    <w:p w14:paraId="2233A2EC" w14:textId="77777777" w:rsidR="00FD4BA8" w:rsidRDefault="009A1D2F">
      <w:pPr>
        <w:pStyle w:val="IASBNormalnparaL2"/>
      </w:pPr>
      <w:r>
        <w:t>(i)</w:t>
      </w:r>
      <w:r>
        <w:tab/>
        <w:t>account for those leases in the same way as short-term leases as described in paragraph 6; and</w:t>
      </w:r>
    </w:p>
    <w:p w14:paraId="31FE031D" w14:textId="77777777" w:rsidR="00FD4BA8" w:rsidRDefault="009A1D2F">
      <w:pPr>
        <w:pStyle w:val="IASBNormalnparaL2"/>
      </w:pPr>
      <w:r>
        <w:t>(ii)</w:t>
      </w:r>
      <w:r>
        <w:tab/>
        <w:t>include the cost associated with those leases within the disclosure of short-term lease expense in the annual reporting period that includes the date of initial application.</w:t>
      </w:r>
    </w:p>
    <w:p w14:paraId="78CA3F08" w14:textId="77777777" w:rsidR="00FD4BA8" w:rsidRDefault="009A1D2F">
      <w:pPr>
        <w:pStyle w:val="IASBNormalnparaL1"/>
      </w:pPr>
      <w:r>
        <w:t>(d)</w:t>
      </w:r>
      <w:r>
        <w:tab/>
        <w:t>a lessee may exclude initial direct costs from the measurement of the right-of-use asset at the date of initial application.</w:t>
      </w:r>
    </w:p>
    <w:p w14:paraId="01E10B66" w14:textId="77777777" w:rsidR="00FD4BA8" w:rsidRDefault="009A1D2F">
      <w:pPr>
        <w:pStyle w:val="IASBNormalnparaL1"/>
      </w:pPr>
      <w:r>
        <w:t>(e)</w:t>
      </w:r>
      <w:r>
        <w:tab/>
        <w:t>a lessee may use hindsight, such as in determining the lease term if the contract contains options to extend or terminate the lease.</w:t>
      </w:r>
    </w:p>
    <w:p w14:paraId="317EF457" w14:textId="77777777" w:rsidR="00FD4BA8" w:rsidRDefault="009A1D2F">
      <w:pPr>
        <w:pStyle w:val="IASBSectionTitle3Ind"/>
      </w:pPr>
      <w:r>
        <w:t>Leases previously classified as finance leases</w:t>
      </w:r>
    </w:p>
    <w:p w14:paraId="6E706E7E" w14:textId="77777777" w:rsidR="00FD4BA8" w:rsidRDefault="009A1D2F">
      <w:pPr>
        <w:pStyle w:val="IASBNormalnpara"/>
      </w:pPr>
      <w:r>
        <w:t>C11</w:t>
      </w:r>
      <w:r>
        <w:tab/>
        <w:t>If a lessee elects to apply this Standard in accordance with paragraph C5(b), for leases that were classified as finance leases applying</w:t>
      </w:r>
      <w:r w:rsidR="00E27198">
        <w:t xml:space="preserve"> AASB 117</w:t>
      </w:r>
      <w:r>
        <w:t>, the carrying amount of the right-of-use asset and the lease liability at the date of initial application shall be the carrying amount of the lease asset and lease liability immediately before that date measured applying</w:t>
      </w:r>
      <w:r w:rsidR="00E27198">
        <w:t xml:space="preserve"> AASB 117</w:t>
      </w:r>
      <w:r>
        <w:t>. For those leases, a lessee shall account for the right-of-use asset and the lease liability applying this Standard from the date of initial application.</w:t>
      </w:r>
    </w:p>
    <w:p w14:paraId="22DAF037" w14:textId="5E9E8E9A" w:rsidR="0026379B" w:rsidRPr="0026379B" w:rsidRDefault="0026379B" w:rsidP="00CD23D5">
      <w:pPr>
        <w:pStyle w:val="AusPlain"/>
      </w:pPr>
      <w:r w:rsidRPr="0026379B">
        <w:t>AusC11.1</w:t>
      </w:r>
      <w:r w:rsidRPr="0026379B">
        <w:tab/>
        <w:t>Subject to paragraph AusC5.2 and notwithstanding paragra</w:t>
      </w:r>
      <w:r w:rsidR="0041375C">
        <w:t>ph C11, not-for-profit entities</w:t>
      </w:r>
      <w:r w:rsidR="0041375C" w:rsidRPr="0041375C">
        <w:t xml:space="preserve"> electing to measure a class of right-of-use assets at initial recognition at fair value and </w:t>
      </w:r>
      <w:r w:rsidRPr="0026379B">
        <w:t>applying this Standard retrospectively in accordance with paragraph C5(b) to leases that (1) at inception had significantly below-market terms and conditions principally to enable the entity to further its objectives and (2) were previously classified as finance leases applying AASB 117 shall:</w:t>
      </w:r>
    </w:p>
    <w:p w14:paraId="5905AC57" w14:textId="2FF6F085" w:rsidR="0026379B" w:rsidRPr="0026379B" w:rsidRDefault="0041375C" w:rsidP="00CD23D5">
      <w:pPr>
        <w:pStyle w:val="IASBNormalnparaL2"/>
      </w:pPr>
      <w:r>
        <w:t>(a)</w:t>
      </w:r>
      <w:r>
        <w:tab/>
        <w:t>measure each</w:t>
      </w:r>
      <w:r w:rsidR="0026379B" w:rsidRPr="0026379B">
        <w:t xml:space="preserve"> right-of-use asset </w:t>
      </w:r>
      <w:r>
        <w:t xml:space="preserve">in the class </w:t>
      </w:r>
      <w:r w:rsidR="0026379B" w:rsidRPr="0026379B">
        <w:t>at fair value at the date of initial application of this Standard;</w:t>
      </w:r>
    </w:p>
    <w:p w14:paraId="49B162D1" w14:textId="77777777" w:rsidR="0026379B" w:rsidRPr="0026379B" w:rsidRDefault="0026379B" w:rsidP="00CD23D5">
      <w:pPr>
        <w:pStyle w:val="IASBNormalnparaL2"/>
      </w:pPr>
      <w:r w:rsidRPr="0026379B">
        <w:t>(b)</w:t>
      </w:r>
      <w:r w:rsidRPr="0026379B">
        <w:tab/>
        <w:t>measure the lease liability in accordance with this Standard; and</w:t>
      </w:r>
    </w:p>
    <w:p w14:paraId="3528C444" w14:textId="45FB4CE8" w:rsidR="0026379B" w:rsidRDefault="0026379B" w:rsidP="00CD23D5">
      <w:pPr>
        <w:pStyle w:val="IASBNormalnparaL2"/>
      </w:pPr>
      <w:r w:rsidRPr="0026379B">
        <w:t>(c)</w:t>
      </w:r>
      <w:r w:rsidRPr="0026379B">
        <w:tab/>
        <w:t xml:space="preserve">recognise any related items in accordance with paragraph </w:t>
      </w:r>
      <w:r w:rsidR="00CD23D5">
        <w:t xml:space="preserve">9 </w:t>
      </w:r>
      <w:r w:rsidRPr="0026379B">
        <w:t>of AASB 1058.</w:t>
      </w:r>
    </w:p>
    <w:p w14:paraId="6539AD07" w14:textId="17260109" w:rsidR="0026379B" w:rsidRDefault="0026379B" w:rsidP="001A645E">
      <w:pPr>
        <w:pStyle w:val="PlainNumHang1"/>
        <w:spacing w:before="100" w:after="100"/>
        <w:ind w:left="1565" w:firstLine="0"/>
      </w:pPr>
      <w:r w:rsidRPr="0026379B">
        <w:t>Any income arising shall be recognised as an adjustment to the opening balance of retained earnings (or other component of equity, as appropriate) at the date of initial application of this Standard.</w:t>
      </w:r>
    </w:p>
    <w:p w14:paraId="6A4BD427" w14:textId="77777777" w:rsidR="00FD4BA8" w:rsidRDefault="009A1D2F">
      <w:pPr>
        <w:pStyle w:val="IASBSectionTitle3Ind"/>
      </w:pPr>
      <w:r>
        <w:lastRenderedPageBreak/>
        <w:t>Disclosure</w:t>
      </w:r>
    </w:p>
    <w:p w14:paraId="7A16CA16" w14:textId="77777777" w:rsidR="00FD4BA8" w:rsidRDefault="009A1D2F">
      <w:pPr>
        <w:pStyle w:val="IASBNormalnpara"/>
      </w:pPr>
      <w:r>
        <w:t>C12</w:t>
      </w:r>
      <w:r>
        <w:tab/>
        <w:t>If a lessee elects to apply this Standard in accordance with paragraph C5(b), the lessee shall disclose information about initial application required by paragraph 28 of</w:t>
      </w:r>
      <w:r w:rsidR="00E27198">
        <w:t xml:space="preserve"> AASB 108</w:t>
      </w:r>
      <w:r>
        <w:t>, except for the information specified in paragraph 28(f) of</w:t>
      </w:r>
      <w:r w:rsidR="00E27198">
        <w:t xml:space="preserve"> AASB 108</w:t>
      </w:r>
      <w:r>
        <w:t>. Instead of the information specified in paragraph 28(f) of</w:t>
      </w:r>
      <w:r w:rsidR="00E27198">
        <w:t xml:space="preserve"> AASB 108</w:t>
      </w:r>
      <w:r>
        <w:t>, the lessee shall disclose:</w:t>
      </w:r>
    </w:p>
    <w:p w14:paraId="575399BD" w14:textId="77777777" w:rsidR="00FD4BA8" w:rsidRDefault="009A1D2F">
      <w:pPr>
        <w:pStyle w:val="IASBNormalnparaL1"/>
      </w:pPr>
      <w:r>
        <w:t>(a)</w:t>
      </w:r>
      <w:r>
        <w:tab/>
        <w:t>the weighted average lessee’s incremental borrowing rate applied to lease liabilities recognised in the statement of financial position at the date of initial application; and</w:t>
      </w:r>
    </w:p>
    <w:p w14:paraId="3D3DC94B" w14:textId="77777777" w:rsidR="00FD4BA8" w:rsidRDefault="009A1D2F">
      <w:pPr>
        <w:pStyle w:val="IASBNormalnparaL1"/>
      </w:pPr>
      <w:r>
        <w:t>(b)</w:t>
      </w:r>
      <w:r>
        <w:tab/>
        <w:t>an explanation of any difference between:</w:t>
      </w:r>
    </w:p>
    <w:p w14:paraId="06600FBA" w14:textId="77777777" w:rsidR="00FD4BA8" w:rsidRDefault="009A1D2F">
      <w:pPr>
        <w:pStyle w:val="IASBNormalnparaL2"/>
      </w:pPr>
      <w:r>
        <w:t>(i)</w:t>
      </w:r>
      <w:r>
        <w:tab/>
        <w:t>operating lease commitments disclosed applying</w:t>
      </w:r>
      <w:r w:rsidR="00E27198">
        <w:t xml:space="preserve"> AASB 117</w:t>
      </w:r>
      <w:r>
        <w:t xml:space="preserve"> at the end of the annual reporting period immediately preceding the date of initial application, discounted using the incremental borrowing rate at the date of initial application as described in paragraph C8(a); and</w:t>
      </w:r>
    </w:p>
    <w:p w14:paraId="2E47FF01" w14:textId="77777777" w:rsidR="00FD4BA8" w:rsidRDefault="009A1D2F">
      <w:pPr>
        <w:pStyle w:val="IASBNormalnparaL2"/>
      </w:pPr>
      <w:r>
        <w:t>(ii)</w:t>
      </w:r>
      <w:r>
        <w:tab/>
        <w:t>lease liabilities recognised in the statement of financial position at the date of initial application.</w:t>
      </w:r>
    </w:p>
    <w:p w14:paraId="1B0E9831" w14:textId="77777777" w:rsidR="00FD4BA8" w:rsidRDefault="009A1D2F">
      <w:pPr>
        <w:pStyle w:val="IASBNormalnpara"/>
      </w:pPr>
      <w:r>
        <w:t>C13</w:t>
      </w:r>
      <w:r>
        <w:tab/>
        <w:t>If a lessee uses one or more of the specified practical expedients in paragraph C10, it shall disclose that fact.</w:t>
      </w:r>
    </w:p>
    <w:p w14:paraId="19F14693" w14:textId="77777777" w:rsidR="00FD4BA8" w:rsidRDefault="009A1D2F">
      <w:pPr>
        <w:pStyle w:val="IASBSectionTitle2Ind"/>
      </w:pPr>
      <w:r>
        <w:t>Lessors</w:t>
      </w:r>
    </w:p>
    <w:p w14:paraId="582D46C6" w14:textId="77777777" w:rsidR="00FD4BA8" w:rsidRDefault="009A1D2F">
      <w:pPr>
        <w:pStyle w:val="IASBNormalnpara"/>
      </w:pPr>
      <w:r>
        <w:t>C14</w:t>
      </w:r>
      <w:r>
        <w:tab/>
        <w:t>Except as described in paragraph C15, a lessor is not required to make any adjustments on transition for leases in which it is a lessor and shall account for those leases applying this Standard from the date of initial application.</w:t>
      </w:r>
    </w:p>
    <w:p w14:paraId="5C00FDCF" w14:textId="77777777" w:rsidR="00FD4BA8" w:rsidRDefault="009A1D2F">
      <w:pPr>
        <w:pStyle w:val="IASBNormalnpara"/>
      </w:pPr>
      <w:r>
        <w:t>C15</w:t>
      </w:r>
      <w:r>
        <w:tab/>
        <w:t>An intermediate lessor shall:</w:t>
      </w:r>
    </w:p>
    <w:p w14:paraId="2D15CCE9" w14:textId="77777777" w:rsidR="00FD4BA8" w:rsidRDefault="009A1D2F">
      <w:pPr>
        <w:pStyle w:val="IASBNormalnparaL1"/>
      </w:pPr>
      <w:r>
        <w:t>(a)</w:t>
      </w:r>
      <w:r>
        <w:tab/>
        <w:t>reassess subleases that were classified as operating leases applying</w:t>
      </w:r>
      <w:r w:rsidR="00E27198">
        <w:t xml:space="preserve"> AASB 117</w:t>
      </w:r>
      <w:r>
        <w:t xml:space="preserve"> and are ongoing at the date of initial application, to determine whether each sublease should be classified as an operating lease or a finance lease applying this Standard. The intermediate lessor shall perform this assessment at the date of initial application on the basis of the remaining contractual terms and conditions of the head lease and sublease at that date.</w:t>
      </w:r>
    </w:p>
    <w:p w14:paraId="3862D0E6" w14:textId="77777777" w:rsidR="00FD4BA8" w:rsidRDefault="009A1D2F">
      <w:pPr>
        <w:pStyle w:val="IASBNormalnparaL1"/>
      </w:pPr>
      <w:r>
        <w:t>(b)</w:t>
      </w:r>
      <w:r>
        <w:tab/>
        <w:t>for subleases that were classified as operating leases applying</w:t>
      </w:r>
      <w:r w:rsidR="00E27198">
        <w:t xml:space="preserve"> AASB 117</w:t>
      </w:r>
      <w:r>
        <w:t xml:space="preserve"> but finance leases applying this Standard, account for the sublease as a new finance lease entered into at the date of initial application.</w:t>
      </w:r>
    </w:p>
    <w:p w14:paraId="41F4E19E" w14:textId="77777777" w:rsidR="00FD4BA8" w:rsidRDefault="009A1D2F">
      <w:pPr>
        <w:pStyle w:val="IASBSectionTitle2Ind"/>
      </w:pPr>
      <w:r>
        <w:t>Sale and leaseback transactions before the date of initial application</w:t>
      </w:r>
    </w:p>
    <w:p w14:paraId="6A8050F9" w14:textId="77777777" w:rsidR="00FD4BA8" w:rsidRDefault="009A1D2F">
      <w:pPr>
        <w:pStyle w:val="IASBNormalnpara"/>
      </w:pPr>
      <w:r>
        <w:t>C16</w:t>
      </w:r>
      <w:r>
        <w:tab/>
        <w:t>An entity shall not reassess sale and leaseback transactions entered into before the date of initial application to determine whether the transfer of the underlying asset satisfies the requirements in</w:t>
      </w:r>
      <w:r w:rsidR="00E27198">
        <w:t xml:space="preserve"> AASB 15</w:t>
      </w:r>
      <w:r>
        <w:t xml:space="preserve"> to be accounted for as a sale.</w:t>
      </w:r>
    </w:p>
    <w:p w14:paraId="57AF53D8" w14:textId="77777777" w:rsidR="00FD4BA8" w:rsidRDefault="009A1D2F">
      <w:pPr>
        <w:pStyle w:val="IASBNormalnpara"/>
      </w:pPr>
      <w:r>
        <w:t>C17</w:t>
      </w:r>
      <w:r>
        <w:tab/>
        <w:t>If a sale and leaseback transaction was accounted for as a sale and a finance lease applying</w:t>
      </w:r>
      <w:r w:rsidR="00E27198">
        <w:t xml:space="preserve"> AASB 117</w:t>
      </w:r>
      <w:r>
        <w:t>, the seller-lessee shall:</w:t>
      </w:r>
    </w:p>
    <w:p w14:paraId="7C307B2E" w14:textId="77777777" w:rsidR="00FD4BA8" w:rsidRDefault="009A1D2F">
      <w:pPr>
        <w:pStyle w:val="IASBNormalnparaL1"/>
      </w:pPr>
      <w:r>
        <w:t>(a)</w:t>
      </w:r>
      <w:r>
        <w:tab/>
        <w:t>account for the leaseback in the same way as it accounts for any other finance lease that exists at the date of initial application; and</w:t>
      </w:r>
    </w:p>
    <w:p w14:paraId="6AF27B42" w14:textId="77777777" w:rsidR="00FD4BA8" w:rsidRDefault="009A1D2F">
      <w:pPr>
        <w:pStyle w:val="IASBNormalnparaL1"/>
      </w:pPr>
      <w:r>
        <w:t>(b)</w:t>
      </w:r>
      <w:r>
        <w:tab/>
        <w:t>continue to amortise any gain on sale over the lease term.</w:t>
      </w:r>
    </w:p>
    <w:p w14:paraId="736F9460" w14:textId="77777777" w:rsidR="00FD4BA8" w:rsidRDefault="009A1D2F">
      <w:pPr>
        <w:pStyle w:val="IASBNormalnpara"/>
      </w:pPr>
      <w:r>
        <w:t>C18</w:t>
      </w:r>
      <w:r>
        <w:tab/>
        <w:t>If a sale and leaseback transaction was accounted for as a sale and operating lease applying</w:t>
      </w:r>
      <w:r w:rsidR="00E27198">
        <w:t xml:space="preserve"> AASB 117</w:t>
      </w:r>
      <w:r>
        <w:t>, the seller-lessee shall:</w:t>
      </w:r>
    </w:p>
    <w:p w14:paraId="1A9C1B64" w14:textId="77777777" w:rsidR="00FD4BA8" w:rsidRDefault="009A1D2F">
      <w:pPr>
        <w:pStyle w:val="IASBNormalnparaL1"/>
      </w:pPr>
      <w:r>
        <w:t>(a)</w:t>
      </w:r>
      <w:r>
        <w:tab/>
        <w:t>account for the leaseback in the same way as it accounts for any other operating lease that exists at the date of initial application; and</w:t>
      </w:r>
    </w:p>
    <w:p w14:paraId="71D3902F" w14:textId="77777777" w:rsidR="00FD4BA8" w:rsidRDefault="009A1D2F">
      <w:pPr>
        <w:pStyle w:val="IASBNormalnparaL1"/>
      </w:pPr>
      <w:r>
        <w:t>(b)</w:t>
      </w:r>
      <w:r>
        <w:tab/>
        <w:t>adjust the leaseback right-of-use asset for any deferred gains or losses that relate to off-market terms recognised in the statement of financial position immediately before the date of initial application.</w:t>
      </w:r>
    </w:p>
    <w:p w14:paraId="5C4F5881" w14:textId="77777777" w:rsidR="00FD4BA8" w:rsidRDefault="009A1D2F">
      <w:pPr>
        <w:pStyle w:val="IASBSectionTitle2Ind"/>
      </w:pPr>
      <w:r>
        <w:lastRenderedPageBreak/>
        <w:t>Amounts previously recognised in respect of business combinations</w:t>
      </w:r>
    </w:p>
    <w:p w14:paraId="6B032966" w14:textId="77777777" w:rsidR="00FD4BA8" w:rsidRDefault="009A1D2F">
      <w:pPr>
        <w:pStyle w:val="IASBNormalnpara"/>
      </w:pPr>
      <w:r>
        <w:t>C19</w:t>
      </w:r>
      <w:r>
        <w:tab/>
        <w:t>If a lessee previously recognised an asset or a liability applying</w:t>
      </w:r>
      <w:r w:rsidR="00E27198">
        <w:t xml:space="preserve"> AASB 3</w:t>
      </w:r>
      <w:r>
        <w:t xml:space="preserve"> </w:t>
      </w:r>
      <w:r>
        <w:rPr>
          <w:i/>
        </w:rPr>
        <w:t>Business Combinations</w:t>
      </w:r>
      <w:r>
        <w:t xml:space="preserve"> relating to favourable or unfavourable terms of an operating lease acquired as part of a business combination, the lessee shall derecognise that asset or liability and adjust the carrying amount of the right-of-use asset by a corresponding amount at the date of initial application.</w:t>
      </w:r>
    </w:p>
    <w:p w14:paraId="73581467" w14:textId="77777777" w:rsidR="00FD4BA8" w:rsidRDefault="009A1D2F">
      <w:pPr>
        <w:pStyle w:val="IASBSectionTitle2Ind"/>
      </w:pPr>
      <w:r>
        <w:t>References to</w:t>
      </w:r>
      <w:r w:rsidR="00E27198">
        <w:t xml:space="preserve"> AASB 9</w:t>
      </w:r>
    </w:p>
    <w:p w14:paraId="1513B86B" w14:textId="77777777" w:rsidR="00FD4BA8" w:rsidRDefault="009A1D2F">
      <w:pPr>
        <w:pStyle w:val="IASBNormalnpara"/>
      </w:pPr>
      <w:r>
        <w:t>C20</w:t>
      </w:r>
      <w:r>
        <w:tab/>
        <w:t>If an entity applies this Standard but does not yet apply</w:t>
      </w:r>
      <w:r w:rsidR="00E27198">
        <w:t xml:space="preserve"> AASB 9</w:t>
      </w:r>
      <w:r>
        <w:t xml:space="preserve"> </w:t>
      </w:r>
      <w:r>
        <w:rPr>
          <w:i/>
        </w:rPr>
        <w:t>Financial Instruments</w:t>
      </w:r>
      <w:r>
        <w:t>, any reference in this Standard to</w:t>
      </w:r>
      <w:r w:rsidR="00E27198">
        <w:t xml:space="preserve"> AASB 9</w:t>
      </w:r>
      <w:r>
        <w:t xml:space="preserve"> shall be read as a reference to</w:t>
      </w:r>
      <w:r w:rsidR="00E27198">
        <w:t xml:space="preserve"> AASB 139</w:t>
      </w:r>
      <w:r>
        <w:t xml:space="preserve"> </w:t>
      </w:r>
      <w:r>
        <w:rPr>
          <w:i/>
        </w:rPr>
        <w:t>Financial Instruments: Recognition and Measurement</w:t>
      </w:r>
      <w:r>
        <w:t>.</w:t>
      </w:r>
    </w:p>
    <w:p w14:paraId="69E37882" w14:textId="77777777" w:rsidR="003B2BA0" w:rsidRPr="001F6AB8" w:rsidRDefault="003B2BA0" w:rsidP="003B2BA0">
      <w:pPr>
        <w:pStyle w:val="IASBSectionTitle2Ind"/>
      </w:pPr>
      <w:r w:rsidRPr="001F6AB8">
        <w:t>Covid-19-related rent concessions for lessees</w:t>
      </w:r>
    </w:p>
    <w:p w14:paraId="1E513B40" w14:textId="77777777" w:rsidR="003B2BA0" w:rsidRPr="001F6AB8" w:rsidRDefault="003B2BA0" w:rsidP="003B2BA0">
      <w:pPr>
        <w:pStyle w:val="IASBNormalnpara"/>
      </w:pPr>
      <w:r w:rsidRPr="001F6AB8">
        <w:t>C20A</w:t>
      </w:r>
      <w:r w:rsidRPr="001F6AB8">
        <w:tab/>
        <w:t>A lessee shall apply</w:t>
      </w:r>
      <w:r>
        <w:t xml:space="preserve"> AASB 2020-4 </w:t>
      </w:r>
      <w:r>
        <w:rPr>
          <w:i/>
        </w:rPr>
        <w:t>Amendm</w:t>
      </w:r>
      <w:r w:rsidRPr="00ED1A06">
        <w:rPr>
          <w:i/>
        </w:rPr>
        <w:t xml:space="preserve">ents to Australian Accounting Standards – </w:t>
      </w:r>
      <w:r w:rsidRPr="001F6AB8">
        <w:rPr>
          <w:i/>
        </w:rPr>
        <w:t>Covid-19-Related Rent Concessions</w:t>
      </w:r>
      <w:r w:rsidRPr="001F6AB8">
        <w:t xml:space="preserve"> (see paragraph C1A) retrospectively, recognising the cumulative effect of initially applying that amendment as an adjustment to the opening balance of retained earnings (or other component of equity, as appropriate) at the beginning of the annual reporting period in which the lessee first applies the amendment.</w:t>
      </w:r>
    </w:p>
    <w:p w14:paraId="2D5ACF9B" w14:textId="57B43E8D" w:rsidR="003B2BA0" w:rsidRDefault="003B2BA0" w:rsidP="003B2BA0">
      <w:pPr>
        <w:pStyle w:val="IASBNormalnpara"/>
      </w:pPr>
      <w:r w:rsidRPr="001F6AB8">
        <w:t>C20B</w:t>
      </w:r>
      <w:r w:rsidRPr="001F6AB8">
        <w:tab/>
        <w:t xml:space="preserve">In the reporting period in which a lessee first applies </w:t>
      </w:r>
      <w:r>
        <w:t xml:space="preserve">AASB 2020-4 </w:t>
      </w:r>
      <w:r>
        <w:rPr>
          <w:i/>
        </w:rPr>
        <w:t>Amendm</w:t>
      </w:r>
      <w:r w:rsidRPr="00ED1A06">
        <w:rPr>
          <w:i/>
        </w:rPr>
        <w:t xml:space="preserve">ents to Australian Accounting Standards – </w:t>
      </w:r>
      <w:r w:rsidRPr="001F6AB8">
        <w:rPr>
          <w:i/>
        </w:rPr>
        <w:t>Covid-19-Related Rent Concessions</w:t>
      </w:r>
      <w:r w:rsidRPr="001F6AB8">
        <w:t xml:space="preserve">, a lessee is not required to disclose the information required by paragraph 28(f) of </w:t>
      </w:r>
      <w:r>
        <w:t>AASB 108</w:t>
      </w:r>
      <w:r w:rsidRPr="001F6AB8">
        <w:t>.</w:t>
      </w:r>
    </w:p>
    <w:p w14:paraId="1C2FF0C6" w14:textId="77777777" w:rsidR="00714583" w:rsidRPr="00714583" w:rsidRDefault="00714583" w:rsidP="00714583">
      <w:pPr>
        <w:pStyle w:val="IASBNormalnpara"/>
      </w:pPr>
      <w:r w:rsidRPr="00714583">
        <w:t>C20BA</w:t>
      </w:r>
      <w:r w:rsidRPr="00714583">
        <w:tab/>
        <w:t xml:space="preserve">A lessee shall apply AASB 2021-3 </w:t>
      </w:r>
      <w:r w:rsidRPr="00714583">
        <w:rPr>
          <w:i/>
          <w:iCs/>
        </w:rPr>
        <w:t xml:space="preserve">Amendments to Australian Accounting Standards – Covid-19-Related Rent Concessions beyond 30 June 2021 </w:t>
      </w:r>
      <w:r w:rsidRPr="00714583">
        <w:t>(see paragraph C1C) retrospectively, recognising the cumulative effect of initially applying that amendment as an adjustment to the opening balance of retained earnings (or other component of equity, as appropriate) at the beginning of the annual reporting period in which the lessee first applies the amendment.</w:t>
      </w:r>
    </w:p>
    <w:p w14:paraId="763498EB" w14:textId="77777777" w:rsidR="00714583" w:rsidRPr="00714583" w:rsidRDefault="00714583" w:rsidP="00714583">
      <w:pPr>
        <w:pStyle w:val="IASBNormalnpara"/>
      </w:pPr>
      <w:r w:rsidRPr="00714583">
        <w:t>C20BB</w:t>
      </w:r>
      <w:r w:rsidRPr="00714583">
        <w:tab/>
        <w:t xml:space="preserve">In the reporting period in which a lessee first applies AASB 2021-3 </w:t>
      </w:r>
      <w:r w:rsidRPr="00714583">
        <w:rPr>
          <w:i/>
          <w:iCs/>
        </w:rPr>
        <w:t>Amendments to Australian Accounting Standards – Covid-19-Related Rent Concessions beyond 30 June 2021</w:t>
      </w:r>
      <w:r w:rsidRPr="00714583">
        <w:t>, a lessee is not required to disclose the information required by paragraph 28(f) of AASB 108.</w:t>
      </w:r>
    </w:p>
    <w:p w14:paraId="5ADB6A07" w14:textId="77777777" w:rsidR="00714583" w:rsidRPr="00714583" w:rsidRDefault="00714583" w:rsidP="00714583">
      <w:pPr>
        <w:pStyle w:val="IASBNormalnpara"/>
      </w:pPr>
      <w:r w:rsidRPr="00714583">
        <w:t>C20BC</w:t>
      </w:r>
      <w:r w:rsidRPr="00714583">
        <w:tab/>
        <w:t>Applying paragraph 2 of this Standard, a lessee shall apply the practical expedient in paragraph 46A consistently to eligible contracts with similar characteristics and in similar circumstances, irrespective of whether the contract became eligible for the practical expedient as a result of the lessee applying AASB 2020</w:t>
      </w:r>
      <w:r w:rsidRPr="00714583">
        <w:noBreakHyphen/>
        <w:t xml:space="preserve">4 </w:t>
      </w:r>
      <w:r w:rsidRPr="00714583">
        <w:rPr>
          <w:i/>
          <w:iCs/>
        </w:rPr>
        <w:t>Amendments to Australian Accounting Standards – Covid-19-Related Rent Concessions</w:t>
      </w:r>
      <w:r w:rsidRPr="00714583">
        <w:t xml:space="preserve"> (see paragraph C1A) or AASB 2021-3 </w:t>
      </w:r>
      <w:r w:rsidRPr="00714583">
        <w:rPr>
          <w:i/>
          <w:iCs/>
        </w:rPr>
        <w:t xml:space="preserve">Amendments to Australian Accounting Standards – Covid-19-Related Rent Concessions beyond 30 June 2021 </w:t>
      </w:r>
      <w:r w:rsidRPr="00714583">
        <w:t>(see paragraph C1C).</w:t>
      </w:r>
    </w:p>
    <w:p w14:paraId="7C9896A6" w14:textId="77777777" w:rsidR="00684D1E" w:rsidRPr="00B35B83" w:rsidRDefault="00684D1E" w:rsidP="00684D1E">
      <w:pPr>
        <w:pStyle w:val="IASBSectionTitle2Ind"/>
        <w:rPr>
          <w:i/>
        </w:rPr>
      </w:pPr>
      <w:r w:rsidRPr="00B35B83">
        <w:rPr>
          <w:i/>
        </w:rPr>
        <w:t>Interest Rate Benchmark Reform – Phase 2</w:t>
      </w:r>
    </w:p>
    <w:p w14:paraId="04D8681A" w14:textId="77777777" w:rsidR="00684D1E" w:rsidRPr="001E5C87" w:rsidRDefault="00684D1E" w:rsidP="00684D1E">
      <w:pPr>
        <w:pStyle w:val="IASBNormalnpara"/>
      </w:pPr>
      <w:r w:rsidRPr="001E5C87">
        <w:t>C20C</w:t>
      </w:r>
      <w:r w:rsidRPr="001E5C87">
        <w:tab/>
        <w:t>An entity shall apply these amendments retrospectively in accordance with AASB 108, except as specified in paragraph C20D.</w:t>
      </w:r>
    </w:p>
    <w:p w14:paraId="38D080D6" w14:textId="37FD8402" w:rsidR="00684D1E" w:rsidRPr="001F6AB8" w:rsidRDefault="00684D1E" w:rsidP="00684D1E">
      <w:pPr>
        <w:pStyle w:val="IASBNormalnpara"/>
      </w:pPr>
      <w:r w:rsidRPr="001E5C87">
        <w:t>C20D</w:t>
      </w:r>
      <w:r w:rsidRPr="001E5C87">
        <w:tab/>
        <w:t>An entity is not required to restate prior periods to reflect the application of these amendments. The entity may restate prior periods if, and only if, it is possible without the use of hindsight. If an entity does not restate prior periods, the entity shall recognise any difference between the previous carrying amount and the carrying amount at the beginning of the annual reporting period that includes the date of initial application of these amendments in the opening retained earnings (or other component of equity, as appropriate) of the annual reporting period that includes the date of initial application of these amendments.</w:t>
      </w:r>
    </w:p>
    <w:p w14:paraId="3096A43C" w14:textId="77777777" w:rsidR="00FD4BA8" w:rsidRDefault="009A1D2F">
      <w:pPr>
        <w:pStyle w:val="IASBSectionTitle1NonInd"/>
      </w:pPr>
      <w:r>
        <w:t>Withdrawal of other Standards</w:t>
      </w:r>
    </w:p>
    <w:p w14:paraId="1E275097" w14:textId="77777777" w:rsidR="00FD4BA8" w:rsidRDefault="009A1D2F" w:rsidP="00ED51CE">
      <w:pPr>
        <w:pStyle w:val="IASBNormalnpara"/>
      </w:pPr>
      <w:r>
        <w:t>C21</w:t>
      </w:r>
      <w:r>
        <w:tab/>
      </w:r>
      <w:r w:rsidR="009537A1">
        <w:t>[Deleted by the AASB]</w:t>
      </w:r>
    </w:p>
    <w:p w14:paraId="654B6C92" w14:textId="77777777" w:rsidR="009537A1" w:rsidRDefault="009537A1" w:rsidP="009537A1">
      <w:pPr>
        <w:pStyle w:val="IASBSectionTitle1NonInd"/>
      </w:pPr>
      <w:r>
        <w:t>Withdrawal of AASB pronouncements</w:t>
      </w:r>
    </w:p>
    <w:p w14:paraId="19911454" w14:textId="77777777" w:rsidR="009537A1" w:rsidRDefault="009537A1" w:rsidP="0082708A">
      <w:pPr>
        <w:pStyle w:val="AusPlain"/>
      </w:pPr>
      <w:r>
        <w:t>AusC21.1</w:t>
      </w:r>
      <w:r>
        <w:tab/>
        <w:t xml:space="preserve">This Standard repeals AASB 117 </w:t>
      </w:r>
      <w:r w:rsidRPr="00E27198">
        <w:rPr>
          <w:i/>
        </w:rPr>
        <w:t>Leases</w:t>
      </w:r>
      <w:r>
        <w:t xml:space="preserve"> issued in August 2015.  Despite the repeal, after the time this Standard starts to apply under section 334 of the Corporations Act (either generally or in </w:t>
      </w:r>
      <w:r>
        <w:lastRenderedPageBreak/>
        <w:t>relation to an individual entity), the repealed Standard continues to apply in relation to any period ending before that time as if the repeal had not occurred.</w:t>
      </w:r>
    </w:p>
    <w:p w14:paraId="6DC59495" w14:textId="77777777" w:rsidR="009537A1" w:rsidRDefault="009537A1" w:rsidP="00ED51CE">
      <w:pPr>
        <w:pStyle w:val="AusPlain"/>
      </w:pPr>
      <w:r>
        <w:tab/>
        <w:t>[Note: When this Standard applies under section 334 of the Corporations Act (either generally or in relation to an individual entity), it supersedes the application of the repealed Standard.]</w:t>
      </w:r>
    </w:p>
    <w:p w14:paraId="4FE20F90" w14:textId="77777777" w:rsidR="00FD4BA8" w:rsidRDefault="009537A1" w:rsidP="00ED51CE">
      <w:pPr>
        <w:pStyle w:val="AusPlain"/>
        <w:rPr>
          <w:lang w:eastAsia="en-GB"/>
        </w:rPr>
      </w:pPr>
      <w:r>
        <w:rPr>
          <w:lang w:eastAsia="en-GB"/>
        </w:rPr>
        <w:t>AusC21.2</w:t>
      </w:r>
      <w:r>
        <w:rPr>
          <w:lang w:eastAsia="en-GB"/>
        </w:rPr>
        <w:tab/>
        <w:t>When applied or operative, this Standard supersedes:</w:t>
      </w:r>
    </w:p>
    <w:p w14:paraId="2E7BF5D5" w14:textId="77777777" w:rsidR="009537A1" w:rsidRDefault="009537A1" w:rsidP="00ED51CE">
      <w:pPr>
        <w:pStyle w:val="IASBNormalnparaL2"/>
      </w:pPr>
      <w:r>
        <w:rPr>
          <w:lang w:eastAsia="en-GB"/>
        </w:rPr>
        <w:t>(a)</w:t>
      </w:r>
      <w:r>
        <w:rPr>
          <w:lang w:eastAsia="en-GB"/>
        </w:rPr>
        <w:tab/>
        <w:t xml:space="preserve">Interpretation 4 </w:t>
      </w:r>
      <w:r w:rsidRPr="00ED51CE">
        <w:rPr>
          <w:i/>
          <w:lang w:eastAsia="en-GB"/>
        </w:rPr>
        <w:t xml:space="preserve">Determining </w:t>
      </w:r>
      <w:r w:rsidRPr="00ED51CE">
        <w:rPr>
          <w:i/>
        </w:rPr>
        <w:t>whether an Arrangement contains a Lease</w:t>
      </w:r>
      <w:r>
        <w:t>;</w:t>
      </w:r>
    </w:p>
    <w:p w14:paraId="6492C325" w14:textId="77777777" w:rsidR="009537A1" w:rsidRDefault="009537A1" w:rsidP="00ED51CE">
      <w:pPr>
        <w:pStyle w:val="IASBNormalnparaL2"/>
      </w:pPr>
      <w:r>
        <w:t>(b)</w:t>
      </w:r>
      <w:r>
        <w:tab/>
        <w:t>Interpretation 115</w:t>
      </w:r>
      <w:r w:rsidR="00356836">
        <w:t xml:space="preserve"> </w:t>
      </w:r>
      <w:r w:rsidRPr="00ED51CE">
        <w:rPr>
          <w:i/>
        </w:rPr>
        <w:t>Operating Leases—Incentives</w:t>
      </w:r>
      <w:r>
        <w:t>; and</w:t>
      </w:r>
    </w:p>
    <w:p w14:paraId="6D554951" w14:textId="77777777" w:rsidR="009537A1" w:rsidRDefault="009537A1" w:rsidP="00ED51CE">
      <w:pPr>
        <w:pStyle w:val="IASBNormalnparaL2"/>
      </w:pPr>
      <w:r>
        <w:t>(c)</w:t>
      </w:r>
      <w:r>
        <w:tab/>
        <w:t xml:space="preserve">Interpretation 127 </w:t>
      </w:r>
      <w:r w:rsidRPr="00ED51CE">
        <w:rPr>
          <w:i/>
        </w:rPr>
        <w:t>Evaluating the Substance of Transactions Involving the Legal Form of a Lease</w:t>
      </w:r>
      <w:r>
        <w:t>.</w:t>
      </w:r>
    </w:p>
    <w:p w14:paraId="5F9E07D8" w14:textId="77777777" w:rsidR="00A53B06" w:rsidRDefault="00A53B06" w:rsidP="00ED51CE">
      <w:pPr>
        <w:pStyle w:val="IASBNormalnparaL2"/>
      </w:pPr>
    </w:p>
    <w:p w14:paraId="763EB91F" w14:textId="77777777" w:rsidR="00CE4E14" w:rsidRDefault="00CE4E14" w:rsidP="00ED51CE">
      <w:pPr>
        <w:pStyle w:val="IASBNormalnparaL2"/>
        <w:sectPr w:rsidR="00CE4E14" w:rsidSect="00CE4E14">
          <w:footerReference w:type="default" r:id="rId15"/>
          <w:pgSz w:w="11907" w:h="16839"/>
          <w:pgMar w:top="1440" w:right="1440" w:bottom="1440" w:left="1440" w:header="720" w:footer="720" w:gutter="0"/>
          <w:cols w:space="708"/>
          <w:docGrid w:linePitch="360"/>
        </w:sectPr>
      </w:pPr>
    </w:p>
    <w:p w14:paraId="5D262C5C" w14:textId="77777777" w:rsidR="00FD4BA8" w:rsidRDefault="009A1D2F">
      <w:pPr>
        <w:pStyle w:val="IASBSectionTitle1NonInd"/>
        <w:pBdr>
          <w:bottom w:val="none" w:sz="0" w:space="0" w:color="auto"/>
        </w:pBdr>
      </w:pPr>
      <w:r>
        <w:lastRenderedPageBreak/>
        <w:t>Appendix D</w:t>
      </w:r>
      <w:r>
        <w:br/>
        <w:t>Amendments to other Standards</w:t>
      </w:r>
    </w:p>
    <w:p w14:paraId="1C80BFA2" w14:textId="77777777" w:rsidR="00FD4BA8" w:rsidRDefault="009A1D2F">
      <w:pPr>
        <w:pStyle w:val="IASBNormal"/>
      </w:pPr>
      <w:r>
        <w:rPr>
          <w:i/>
        </w:rPr>
        <w:t xml:space="preserve">This appendix sets out the amendments to other Standards that are a consequence of the </w:t>
      </w:r>
      <w:r w:rsidR="00E27198">
        <w:rPr>
          <w:i/>
        </w:rPr>
        <w:t>AASB</w:t>
      </w:r>
      <w:r>
        <w:rPr>
          <w:i/>
        </w:rPr>
        <w:t xml:space="preserve"> issuing this Standard. An entity shall apply the amendments for annual periods beginning on or after 1 January 2019. If an entity applies this Standard for an earlier period, it shall also apply these amendments for that earlier period.</w:t>
      </w:r>
    </w:p>
    <w:p w14:paraId="12446725" w14:textId="77777777" w:rsidR="00FD4BA8" w:rsidRDefault="009A1D2F">
      <w:pPr>
        <w:pStyle w:val="IASBNormal"/>
      </w:pPr>
      <w:r>
        <w:rPr>
          <w:i/>
        </w:rPr>
        <w:t>An entity is not permitted to apply</w:t>
      </w:r>
      <w:r w:rsidR="00E27198">
        <w:rPr>
          <w:i/>
        </w:rPr>
        <w:t xml:space="preserve"> AASB 16</w:t>
      </w:r>
      <w:r>
        <w:rPr>
          <w:i/>
        </w:rPr>
        <w:t xml:space="preserve"> before applying</w:t>
      </w:r>
      <w:r w:rsidR="00E27198">
        <w:rPr>
          <w:i/>
        </w:rPr>
        <w:t xml:space="preserve"> AASB 15</w:t>
      </w:r>
      <w:r>
        <w:t xml:space="preserve"> Revenue from Contracts with Customers </w:t>
      </w:r>
      <w:r>
        <w:rPr>
          <w:i/>
        </w:rPr>
        <w:t>(see paragraph C1).</w:t>
      </w:r>
    </w:p>
    <w:p w14:paraId="6535C03E" w14:textId="77777777" w:rsidR="008C3420" w:rsidRDefault="008C3420" w:rsidP="00ED51CE">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1"/>
        <w:tblDescription w:val="Amendments to other Standards"/>
      </w:tblPr>
      <w:tblGrid>
        <w:gridCol w:w="9017"/>
      </w:tblGrid>
      <w:tr w:rsidR="006E5379" w14:paraId="4A9C4884" w14:textId="77777777" w:rsidTr="00AE22E6">
        <w:trPr>
          <w:tblHeader/>
        </w:trPr>
        <w:tc>
          <w:tcPr>
            <w:tcW w:w="9017" w:type="dxa"/>
          </w:tcPr>
          <w:p w14:paraId="5A1D0781" w14:textId="77777777" w:rsidR="006E5379" w:rsidRDefault="006E5379" w:rsidP="00ED51CE">
            <w:pPr>
              <w:pStyle w:val="IASBTableArial"/>
            </w:pPr>
            <w:r>
              <w:t>Amendments are made to the latest principal version of a Standard</w:t>
            </w:r>
            <w:r w:rsidR="00D91EED">
              <w:t xml:space="preserve"> (or an Interpretation)</w:t>
            </w:r>
            <w:r>
              <w:t>, unless otherwise indicated.</w:t>
            </w:r>
          </w:p>
          <w:p w14:paraId="26B5B8CE" w14:textId="77777777" w:rsidR="00AB3E94" w:rsidRDefault="00AB3E94" w:rsidP="00D91EED">
            <w:pPr>
              <w:pStyle w:val="IASBTableArial"/>
            </w:pPr>
            <w:r>
              <w:t>The amendments set out in this appendix also apply, as far as possible, to earlier principal versions</w:t>
            </w:r>
            <w:r w:rsidR="00186F22">
              <w:t xml:space="preserve"> of the amended Standards</w:t>
            </w:r>
            <w:r w:rsidR="00792EE2">
              <w:t xml:space="preserve"> and Interpretations</w:t>
            </w:r>
            <w:r>
              <w:t xml:space="preserve"> when this Standard is applied for earlier periods, as necessary.</w:t>
            </w:r>
          </w:p>
          <w:p w14:paraId="247F819E" w14:textId="77777777" w:rsidR="006E5379" w:rsidRDefault="006E5379" w:rsidP="00D91EED">
            <w:pPr>
              <w:pStyle w:val="IASBTableArial"/>
            </w:pPr>
            <w:r w:rsidRPr="008C3420">
              <w:t>This Standard uses underlining, striking out and other typographical material to identify some of the amendments to a Standard</w:t>
            </w:r>
            <w:r w:rsidR="00D91EED">
              <w:t xml:space="preserve"> or an Interpretation</w:t>
            </w:r>
            <w:r w:rsidRPr="008C3420">
              <w:t xml:space="preserve">, in order to make the amendments more understandable. However, the amendments made by this Standard do not include that underlining, striking out or other typographical material. </w:t>
            </w:r>
            <w:r>
              <w:t>Amended paragraphs are shown with deleted text struck through and new text is underlined.</w:t>
            </w:r>
            <w:r w:rsidR="00D91EED">
              <w:t xml:space="preserve"> Ellipses (…) are used to help provide the context within which amendments are made and also to indicate text that is not amended.</w:t>
            </w:r>
          </w:p>
        </w:tc>
      </w:tr>
    </w:tbl>
    <w:p w14:paraId="6896B9AE" w14:textId="77777777" w:rsidR="00FD4BA8" w:rsidRPr="00315D64" w:rsidRDefault="00E27198">
      <w:pPr>
        <w:pStyle w:val="IASBSectionTitle1NonInd"/>
        <w:pBdr>
          <w:bottom w:val="none" w:sz="0" w:space="0" w:color="auto"/>
        </w:pBdr>
      </w:pPr>
      <w:r>
        <w:t>AASB 1</w:t>
      </w:r>
      <w:r w:rsidR="009A1D2F">
        <w:t xml:space="preserve"> </w:t>
      </w:r>
      <w:r w:rsidR="009A1D2F">
        <w:rPr>
          <w:i/>
        </w:rPr>
        <w:t>First-time Adoption of</w:t>
      </w:r>
      <w:r>
        <w:rPr>
          <w:i/>
        </w:rPr>
        <w:t xml:space="preserve"> Australian Accounting Standards</w:t>
      </w:r>
      <w:r w:rsidR="00315D64">
        <w:t xml:space="preserve"> (</w:t>
      </w:r>
      <w:r w:rsidR="009342ED">
        <w:t>July 2015)</w:t>
      </w:r>
    </w:p>
    <w:p w14:paraId="795E3E38"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
        <w:tblDescription w:val="Amendments to AASB 1"/>
      </w:tblPr>
      <w:tblGrid>
        <w:gridCol w:w="9208"/>
      </w:tblGrid>
      <w:tr w:rsidR="00FD4BA8" w14:paraId="3FFF691F" w14:textId="77777777" w:rsidTr="003420A3">
        <w:trPr>
          <w:cantSplit/>
        </w:trPr>
        <w:tc>
          <w:tcPr>
            <w:tcW w:w="9208" w:type="dxa"/>
            <w:tcBorders>
              <w:top w:val="single" w:sz="4" w:space="0" w:color="auto"/>
              <w:left w:val="single" w:sz="4" w:space="0" w:color="auto"/>
              <w:bottom w:val="single" w:sz="4" w:space="0" w:color="auto"/>
              <w:right w:val="single" w:sz="4" w:space="0" w:color="auto"/>
            </w:tcBorders>
          </w:tcPr>
          <w:p w14:paraId="2F85EDC5" w14:textId="77777777" w:rsidR="00FD4BA8" w:rsidRDefault="009A1D2F" w:rsidP="003420A3">
            <w:pPr>
              <w:pStyle w:val="IASBTableArial"/>
            </w:pPr>
            <w:r>
              <w:t>Paragraph 30 is amended and paragraph 39AB is added.</w:t>
            </w:r>
          </w:p>
        </w:tc>
      </w:tr>
    </w:tbl>
    <w:p w14:paraId="2ECA7CD6" w14:textId="77777777" w:rsidR="00FD4BA8" w:rsidRDefault="009A1D2F">
      <w:pPr>
        <w:pStyle w:val="IASBSectionTitle3Ind"/>
      </w:pPr>
      <w:r>
        <w:t>Use of fair value as deemed cost</w:t>
      </w:r>
    </w:p>
    <w:p w14:paraId="2923EC45" w14:textId="77777777" w:rsidR="00FD4BA8" w:rsidRDefault="009A1D2F">
      <w:pPr>
        <w:pStyle w:val="IASBNormalnpara"/>
      </w:pPr>
      <w:r>
        <w:t>30</w:t>
      </w:r>
      <w:r>
        <w:tab/>
        <w:t>If an entity uses fair value in its opening</w:t>
      </w:r>
      <w:r w:rsidR="00E27198">
        <w:t xml:space="preserve"> A</w:t>
      </w:r>
      <w:r w:rsidR="00186F22">
        <w:t>ustralian-Accounting-</w:t>
      </w:r>
      <w:r w:rsidR="00E27198">
        <w:t>Standard</w:t>
      </w:r>
      <w:r w:rsidR="00186F22">
        <w:t>s</w:t>
      </w:r>
      <w:r>
        <w:t xml:space="preserve"> statement of financial position as </w:t>
      </w:r>
      <w:r>
        <w:rPr>
          <w:i/>
        </w:rPr>
        <w:t>deemed cost</w:t>
      </w:r>
      <w:r>
        <w:t xml:space="preserve"> for an item of property, plant and equipment, an investment property</w:t>
      </w:r>
      <w:r>
        <w:rPr>
          <w:u w:val="single"/>
        </w:rPr>
        <w:t>,</w:t>
      </w:r>
      <w:r>
        <w:t xml:space="preserve"> </w:t>
      </w:r>
      <w:r>
        <w:rPr>
          <w:strike/>
        </w:rPr>
        <w:t>or</w:t>
      </w:r>
      <w:r>
        <w:t xml:space="preserve"> an intangible asset </w:t>
      </w:r>
      <w:r>
        <w:rPr>
          <w:u w:val="single"/>
        </w:rPr>
        <w:t>or a right-of-use asset</w:t>
      </w:r>
      <w:r>
        <w:t xml:space="preserve"> (see paragraphs D5 and D7), the entity’s first</w:t>
      </w:r>
      <w:r w:rsidR="00E27198">
        <w:t xml:space="preserve"> Australian</w:t>
      </w:r>
      <w:r w:rsidR="00186F22">
        <w:t>-</w:t>
      </w:r>
      <w:r w:rsidR="00E27198">
        <w:t>Accounting</w:t>
      </w:r>
      <w:r w:rsidR="00186F22">
        <w:t>-</w:t>
      </w:r>
      <w:r w:rsidR="00E27198">
        <w:t>Standard</w:t>
      </w:r>
      <w:r w:rsidR="00186F22">
        <w:t>s</w:t>
      </w:r>
      <w:r>
        <w:t xml:space="preserve"> financial statements shall disclose, for each line item in the opening</w:t>
      </w:r>
      <w:r w:rsidR="00E27198">
        <w:t xml:space="preserve"> Australian</w:t>
      </w:r>
      <w:r w:rsidR="00186F22">
        <w:t>-</w:t>
      </w:r>
      <w:r w:rsidR="00E27198">
        <w:t>Accounting</w:t>
      </w:r>
      <w:r w:rsidR="00186F22">
        <w:t>-</w:t>
      </w:r>
      <w:r w:rsidR="00E27198">
        <w:t>Standard</w:t>
      </w:r>
      <w:r w:rsidR="00186F22">
        <w:t>s</w:t>
      </w:r>
      <w:r>
        <w:t xml:space="preserve"> statement of financial position:</w:t>
      </w:r>
    </w:p>
    <w:p w14:paraId="622BD454" w14:textId="77777777" w:rsidR="00FD4BA8" w:rsidRDefault="009A1D2F">
      <w:pPr>
        <w:pStyle w:val="IASBNormalnparaL1"/>
      </w:pPr>
      <w:r>
        <w:t>(a)</w:t>
      </w:r>
      <w:r>
        <w:tab/>
        <w:t>...</w:t>
      </w:r>
    </w:p>
    <w:p w14:paraId="467D7C5F" w14:textId="77777777" w:rsidR="00FD4BA8" w:rsidRDefault="009A1D2F">
      <w:pPr>
        <w:pStyle w:val="IASBSectionTitle1NonInd"/>
      </w:pPr>
      <w:r>
        <w:t>Effective date</w:t>
      </w:r>
    </w:p>
    <w:p w14:paraId="57192AE4" w14:textId="77777777" w:rsidR="00FD4BA8" w:rsidRDefault="009A1D2F">
      <w:pPr>
        <w:pStyle w:val="IASBNormalnpara"/>
      </w:pPr>
      <w:r>
        <w:tab/>
        <w:t>...</w:t>
      </w:r>
    </w:p>
    <w:p w14:paraId="7B8F599F" w14:textId="77777777" w:rsidR="00FD4BA8" w:rsidRDefault="009A1D2F">
      <w:pPr>
        <w:pStyle w:val="IASBNormalnpara"/>
      </w:pPr>
      <w:r>
        <w:rPr>
          <w:u w:val="single"/>
        </w:rPr>
        <w:t>39AB</w:t>
      </w:r>
      <w:r w:rsidRPr="00367067">
        <w:tab/>
      </w:r>
      <w:r w:rsidR="00E27198">
        <w:rPr>
          <w:u w:val="single"/>
        </w:rPr>
        <w:t>AASB 16</w:t>
      </w:r>
      <w:r>
        <w:rPr>
          <w:u w:val="single"/>
        </w:rPr>
        <w:t xml:space="preserve"> </w:t>
      </w:r>
      <w:r>
        <w:rPr>
          <w:i/>
          <w:u w:val="single"/>
        </w:rPr>
        <w:t>Leases</w:t>
      </w:r>
      <w:r>
        <w:rPr>
          <w:u w:val="single"/>
        </w:rPr>
        <w:t xml:space="preserve">, issued in </w:t>
      </w:r>
      <w:r w:rsidR="00757948">
        <w:rPr>
          <w:u w:val="single"/>
        </w:rPr>
        <w:t xml:space="preserve">February </w:t>
      </w:r>
      <w:r>
        <w:rPr>
          <w:u w:val="single"/>
        </w:rPr>
        <w:t>2016, amended paragraphs 30, C4, D1, D7, D8B and D9, deleted paragraph D9A and added paragraphs D9B–D9E. An entity shall apply those amendments when it applies</w:t>
      </w:r>
      <w:r w:rsidR="00E27198">
        <w:rPr>
          <w:u w:val="single"/>
        </w:rPr>
        <w:t xml:space="preserve"> AASB 16</w:t>
      </w:r>
      <w:r>
        <w:rPr>
          <w:u w:val="single"/>
        </w:rPr>
        <w:t>.</w:t>
      </w:r>
    </w:p>
    <w:p w14:paraId="456E1F13"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
        <w:tblDescription w:val="Amendments to AASB 1"/>
      </w:tblPr>
      <w:tblGrid>
        <w:gridCol w:w="9208"/>
      </w:tblGrid>
      <w:tr w:rsidR="00FD4BA8" w14:paraId="348E581D" w14:textId="77777777" w:rsidTr="003420A3">
        <w:trPr>
          <w:cantSplit/>
        </w:trPr>
        <w:tc>
          <w:tcPr>
            <w:tcW w:w="9208" w:type="dxa"/>
            <w:tcBorders>
              <w:top w:val="single" w:sz="4" w:space="0" w:color="auto"/>
              <w:left w:val="single" w:sz="4" w:space="0" w:color="auto"/>
              <w:bottom w:val="single" w:sz="4" w:space="0" w:color="auto"/>
              <w:right w:val="single" w:sz="4" w:space="0" w:color="auto"/>
            </w:tcBorders>
          </w:tcPr>
          <w:p w14:paraId="2CAAEE8D" w14:textId="77777777" w:rsidR="00FD4BA8" w:rsidRDefault="009A1D2F" w:rsidP="003420A3">
            <w:pPr>
              <w:pStyle w:val="IASBTableArial"/>
            </w:pPr>
            <w:r>
              <w:t>Paragraph C4 is amended.</w:t>
            </w:r>
          </w:p>
        </w:tc>
      </w:tr>
    </w:tbl>
    <w:p w14:paraId="7C7C64D8" w14:textId="77777777" w:rsidR="00FD4BA8" w:rsidRDefault="009A1D2F">
      <w:pPr>
        <w:pStyle w:val="IASBSectionTitle2Ind"/>
      </w:pPr>
      <w:r>
        <w:t>Exemptions for business combinations</w:t>
      </w:r>
    </w:p>
    <w:p w14:paraId="4B359D64" w14:textId="77777777" w:rsidR="00FD4BA8" w:rsidRDefault="009A1D2F">
      <w:pPr>
        <w:pStyle w:val="IASBNormalnpara"/>
      </w:pPr>
      <w:r>
        <w:tab/>
        <w:t>...</w:t>
      </w:r>
    </w:p>
    <w:p w14:paraId="62E3E6F5" w14:textId="77777777" w:rsidR="00FD4BA8" w:rsidRDefault="009A1D2F">
      <w:pPr>
        <w:pStyle w:val="IASBNormalnpara"/>
      </w:pPr>
      <w:r>
        <w:t>C4</w:t>
      </w:r>
      <w:r>
        <w:tab/>
        <w:t>If a first-time adopter does not apply</w:t>
      </w:r>
      <w:r w:rsidR="00E27198">
        <w:t xml:space="preserve"> AASB 3</w:t>
      </w:r>
      <w:r>
        <w:t xml:space="preserve"> retrospectively to a past business combination, this has the following consequences for that business combination:</w:t>
      </w:r>
    </w:p>
    <w:p w14:paraId="5C2038D7" w14:textId="77777777" w:rsidR="00FD4BA8" w:rsidRDefault="009A1D2F">
      <w:pPr>
        <w:pStyle w:val="IASBNormalnparaL1"/>
      </w:pPr>
      <w:r>
        <w:t>(a)</w:t>
      </w:r>
      <w:r>
        <w:tab/>
        <w:t>…</w:t>
      </w:r>
    </w:p>
    <w:p w14:paraId="5B318943" w14:textId="77777777" w:rsidR="00FD4BA8" w:rsidRDefault="009A1D2F">
      <w:pPr>
        <w:pStyle w:val="IASBNormalnparaL1"/>
      </w:pPr>
      <w:r>
        <w:lastRenderedPageBreak/>
        <w:t>(f)</w:t>
      </w:r>
      <w:r>
        <w:tab/>
        <w:t>If an asset acquired, or liability assumed, in a past business combination was not recognised in accordance with previous GAAP, it does not have a deemed cost of zero in the opening</w:t>
      </w:r>
      <w:r w:rsidR="00E27198">
        <w:t xml:space="preserve"> Australian</w:t>
      </w:r>
      <w:r w:rsidR="00EA6201">
        <w:t>-</w:t>
      </w:r>
      <w:r w:rsidR="00E27198">
        <w:t>Accounting</w:t>
      </w:r>
      <w:r w:rsidR="00EA6201">
        <w:t>-</w:t>
      </w:r>
      <w:r w:rsidR="00E27198">
        <w:t>Standard</w:t>
      </w:r>
      <w:r w:rsidR="00EA6201">
        <w:t>s</w:t>
      </w:r>
      <w:r>
        <w:t xml:space="preserve"> statement of financial position. Instead, the acquirer shall recognise and measure it in its consolidated statement of financial position on the basis that</w:t>
      </w:r>
      <w:r w:rsidR="00E27198">
        <w:t xml:space="preserve"> Australian Accounting Standards</w:t>
      </w:r>
      <w:r>
        <w:t xml:space="preserve"> would require in the statement of financial position of the acquiree. To illustrate: if the acquirer had not, in accordance with its previous GAAP, capitalised </w:t>
      </w:r>
      <w:r>
        <w:rPr>
          <w:strike/>
        </w:rPr>
        <w:t>finance</w:t>
      </w:r>
      <w:r>
        <w:t xml:space="preserve"> leases acquired in a past business combination </w:t>
      </w:r>
      <w:r>
        <w:rPr>
          <w:u w:val="single"/>
        </w:rPr>
        <w:t>in which the acquiree was a lessee</w:t>
      </w:r>
      <w:r>
        <w:t>, it shall capitalise those leases in its consolidated financial statements, as</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xml:space="preserve"> would require the acquiree to do in its</w:t>
      </w:r>
      <w:r w:rsidR="00EA6201">
        <w:t xml:space="preserve"> Australian-Accounting-</w:t>
      </w:r>
      <w:r w:rsidR="00E27198">
        <w:t>Standard</w:t>
      </w:r>
      <w:r w:rsidR="00EA6201">
        <w:t>s</w:t>
      </w:r>
      <w:r>
        <w:t xml:space="preserve"> statement of financial position. Similarly, if the acquirer had not, in accordance with its previous GAAP, recognised a contingent liability that still exists at the date of transition to</w:t>
      </w:r>
      <w:r w:rsidR="00E27198">
        <w:t xml:space="preserve"> Australian Accounting Standards</w:t>
      </w:r>
      <w:r>
        <w:t>, the acquirer shall recognise that contingent liability at that date unless</w:t>
      </w:r>
      <w:r w:rsidR="00E27198">
        <w:t xml:space="preserve"> AASB 137</w:t>
      </w:r>
      <w:r>
        <w:t xml:space="preserve"> </w:t>
      </w:r>
      <w:r>
        <w:rPr>
          <w:i/>
        </w:rPr>
        <w:t>Provisions, Contingent Liabilities and Contingent Assets</w:t>
      </w:r>
      <w:r>
        <w:t xml:space="preserve"> would prohibit its recognition in the financial statements of the acquiree. Conversely, if an asset or liability was subsumed in goodwill in accordance with previous GAAP but would have been recognised separately under</w:t>
      </w:r>
      <w:r w:rsidR="00E27198">
        <w:t xml:space="preserve"> AASB 3</w:t>
      </w:r>
      <w:r>
        <w:t>, that asset or liability remains in goodwill unless</w:t>
      </w:r>
      <w:r w:rsidR="00E27198">
        <w:t xml:space="preserve"> Australian Accounting Standards</w:t>
      </w:r>
      <w:r>
        <w:t xml:space="preserve"> would require its recognition in the financial statements of the acquiree.</w:t>
      </w:r>
    </w:p>
    <w:p w14:paraId="166BC488" w14:textId="77777777" w:rsidR="00FD4BA8" w:rsidRDefault="009A1D2F">
      <w:pPr>
        <w:pStyle w:val="IASBNormalnparaL1"/>
      </w:pPr>
      <w:r>
        <w:t>(g)</w:t>
      </w:r>
      <w:r>
        <w:tab/>
        <w:t>...</w:t>
      </w:r>
    </w:p>
    <w:p w14:paraId="3F5F4C2E"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5"/>
        <w:tblDescription w:val="Amendments to AASB 1"/>
      </w:tblPr>
      <w:tblGrid>
        <w:gridCol w:w="9208"/>
      </w:tblGrid>
      <w:tr w:rsidR="00FD4BA8" w14:paraId="2F2BD382" w14:textId="77777777" w:rsidTr="00D22B74">
        <w:trPr>
          <w:cantSplit/>
        </w:trPr>
        <w:tc>
          <w:tcPr>
            <w:tcW w:w="9208" w:type="dxa"/>
            <w:tcBorders>
              <w:top w:val="single" w:sz="4" w:space="0" w:color="auto"/>
              <w:left w:val="single" w:sz="4" w:space="0" w:color="auto"/>
              <w:bottom w:val="single" w:sz="4" w:space="0" w:color="auto"/>
              <w:right w:val="single" w:sz="4" w:space="0" w:color="auto"/>
            </w:tcBorders>
          </w:tcPr>
          <w:p w14:paraId="45FA5215" w14:textId="77777777" w:rsidR="00FD4BA8" w:rsidRDefault="009A1D2F" w:rsidP="00D22B74">
            <w:pPr>
              <w:pStyle w:val="IASBTableArial"/>
            </w:pPr>
            <w:r>
              <w:t>In Appendix D, paragraphs D1, D7, D8B and D9 are amended. Paragraph D9A is deleted. Paragraphs D9B-D9E are added.</w:t>
            </w:r>
          </w:p>
        </w:tc>
      </w:tr>
    </w:tbl>
    <w:p w14:paraId="1456C172" w14:textId="77777777" w:rsidR="00FD4BA8" w:rsidRDefault="009A1D2F">
      <w:pPr>
        <w:pStyle w:val="IASBSectionTitle2Ind"/>
      </w:pPr>
      <w:r>
        <w:t>Exemptions from</w:t>
      </w:r>
      <w:r w:rsidR="00E27198">
        <w:t xml:space="preserve"> other </w:t>
      </w:r>
      <w:r w:rsidR="006B4005">
        <w:t>Australian Accounting Standards</w:t>
      </w:r>
    </w:p>
    <w:p w14:paraId="5F47E61D" w14:textId="77777777" w:rsidR="00FD4BA8" w:rsidRDefault="009A1D2F">
      <w:pPr>
        <w:pStyle w:val="IASBNormalnpara"/>
      </w:pPr>
      <w:r>
        <w:tab/>
        <w:t>...</w:t>
      </w:r>
    </w:p>
    <w:p w14:paraId="6453CD1C" w14:textId="77777777" w:rsidR="00FD4BA8" w:rsidRDefault="009A1D2F">
      <w:pPr>
        <w:pStyle w:val="IASBNormalnpara"/>
      </w:pPr>
      <w:r>
        <w:t>D1</w:t>
      </w:r>
      <w:r>
        <w:tab/>
        <w:t>An entity may elect to use one or more of the following exemptions:</w:t>
      </w:r>
    </w:p>
    <w:p w14:paraId="7DF09E8F" w14:textId="77777777" w:rsidR="00FD4BA8" w:rsidRDefault="009A1D2F">
      <w:pPr>
        <w:pStyle w:val="IASBNormalnparaL1"/>
      </w:pPr>
      <w:r>
        <w:t>(a)</w:t>
      </w:r>
      <w:r>
        <w:tab/>
        <w:t>...</w:t>
      </w:r>
    </w:p>
    <w:p w14:paraId="12FFC9AA" w14:textId="77777777" w:rsidR="00FD4BA8" w:rsidRDefault="009A1D2F">
      <w:pPr>
        <w:pStyle w:val="IASBNormalnparaL1"/>
      </w:pPr>
      <w:r>
        <w:t>(d)</w:t>
      </w:r>
      <w:r>
        <w:tab/>
        <w:t xml:space="preserve">leases (paragraphs D9 and </w:t>
      </w:r>
      <w:r>
        <w:rPr>
          <w:strike/>
        </w:rPr>
        <w:t xml:space="preserve">D9A </w:t>
      </w:r>
      <w:r>
        <w:rPr>
          <w:u w:val="single"/>
        </w:rPr>
        <w:t>D9B–D9E</w:t>
      </w:r>
      <w:r>
        <w:t>);</w:t>
      </w:r>
    </w:p>
    <w:p w14:paraId="79E84004" w14:textId="77777777" w:rsidR="00FD4BA8" w:rsidRDefault="009A1D2F">
      <w:pPr>
        <w:pStyle w:val="IASBNormalnparaP"/>
      </w:pPr>
      <w:r>
        <w:t>...</w:t>
      </w:r>
    </w:p>
    <w:p w14:paraId="5DECE1AC" w14:textId="77777777" w:rsidR="00FD4BA8" w:rsidRDefault="009A1D2F">
      <w:pPr>
        <w:pStyle w:val="IASBSectionTitle3Ind"/>
      </w:pPr>
      <w:r>
        <w:t>Deemed cost</w:t>
      </w:r>
    </w:p>
    <w:p w14:paraId="639A6603" w14:textId="77777777" w:rsidR="00FD4BA8" w:rsidRDefault="009A1D2F">
      <w:pPr>
        <w:pStyle w:val="IASBNormalnpara"/>
      </w:pPr>
      <w:r>
        <w:tab/>
        <w:t>...</w:t>
      </w:r>
    </w:p>
    <w:p w14:paraId="35487BD3" w14:textId="77777777" w:rsidR="00FD4BA8" w:rsidRDefault="009A1D2F">
      <w:pPr>
        <w:pStyle w:val="IASBNormalnpara"/>
      </w:pPr>
      <w:r>
        <w:t>D7</w:t>
      </w:r>
      <w:r>
        <w:tab/>
        <w:t>The elections in paragraphs D5 and D6 are also available for:</w:t>
      </w:r>
    </w:p>
    <w:p w14:paraId="38C3155C" w14:textId="77777777" w:rsidR="00FD4BA8" w:rsidRDefault="009A1D2F">
      <w:pPr>
        <w:pStyle w:val="IASBNormalnparaL1"/>
      </w:pPr>
      <w:r>
        <w:t>(a)</w:t>
      </w:r>
      <w:r>
        <w:tab/>
        <w:t>investment property, if an entity elects to use the cost model in</w:t>
      </w:r>
      <w:r w:rsidR="00E27198">
        <w:t xml:space="preserve"> AASB 140</w:t>
      </w:r>
      <w:r>
        <w:t xml:space="preserve"> </w:t>
      </w:r>
      <w:r>
        <w:rPr>
          <w:i/>
        </w:rPr>
        <w:t>Investment Property</w:t>
      </w:r>
      <w:r>
        <w:t xml:space="preserve">; </w:t>
      </w:r>
      <w:r>
        <w:rPr>
          <w:strike/>
        </w:rPr>
        <w:t>and</w:t>
      </w:r>
    </w:p>
    <w:p w14:paraId="2F173DBE" w14:textId="77777777" w:rsidR="00FD4BA8" w:rsidRDefault="009A1D2F">
      <w:pPr>
        <w:pStyle w:val="IASBNormalnparaL1"/>
      </w:pPr>
      <w:r w:rsidRPr="00F34046">
        <w:rPr>
          <w:u w:val="single"/>
        </w:rPr>
        <w:t>(aa)</w:t>
      </w:r>
      <w:r>
        <w:tab/>
      </w:r>
      <w:r>
        <w:rPr>
          <w:u w:val="single"/>
        </w:rPr>
        <w:t>right-of-use assets (</w:t>
      </w:r>
      <w:r w:rsidR="00E27198">
        <w:rPr>
          <w:u w:val="single"/>
        </w:rPr>
        <w:t>AASB 16</w:t>
      </w:r>
      <w:r>
        <w:rPr>
          <w:u w:val="single"/>
        </w:rPr>
        <w:t xml:space="preserve"> </w:t>
      </w:r>
      <w:r>
        <w:rPr>
          <w:i/>
          <w:u w:val="single"/>
        </w:rPr>
        <w:t>Leases</w:t>
      </w:r>
      <w:r>
        <w:rPr>
          <w:u w:val="single"/>
        </w:rPr>
        <w:t>); and</w:t>
      </w:r>
    </w:p>
    <w:p w14:paraId="29A87B44" w14:textId="77777777" w:rsidR="00FD4BA8" w:rsidRDefault="009A1D2F">
      <w:pPr>
        <w:pStyle w:val="IASBNormalnparaL1"/>
      </w:pPr>
      <w:r>
        <w:t>(b)</w:t>
      </w:r>
      <w:r>
        <w:tab/>
        <w:t>...</w:t>
      </w:r>
    </w:p>
    <w:p w14:paraId="3F8D9FFE" w14:textId="77777777" w:rsidR="00FD4BA8" w:rsidRDefault="009A1D2F">
      <w:pPr>
        <w:pStyle w:val="IASBNormalnparaP"/>
      </w:pPr>
      <w:r>
        <w:t>...</w:t>
      </w:r>
    </w:p>
    <w:p w14:paraId="373FA745" w14:textId="77777777" w:rsidR="00FD4BA8" w:rsidRDefault="009A1D2F">
      <w:pPr>
        <w:pStyle w:val="IASBNormalnpara"/>
      </w:pPr>
      <w:r>
        <w:t>D8B</w:t>
      </w:r>
      <w:r>
        <w:tab/>
        <w:t>Some entities hold items of property, plant and equipment</w:t>
      </w:r>
      <w:r>
        <w:rPr>
          <w:u w:val="single"/>
        </w:rPr>
        <w:t>, right-of-use assets</w:t>
      </w:r>
      <w:r>
        <w:t xml:space="preserve"> or intangible assets that are used, or were previously used, in operations subject to rate regulation. The carrying amount of such items might include amounts that were determined under previous GAAP but do not qualify for capitalisation in accordance with</w:t>
      </w:r>
      <w:r w:rsidR="00E27198">
        <w:t xml:space="preserve"> Australian Accounting Standards</w:t>
      </w:r>
      <w:r>
        <w:t>. If this is the case, a first-time adopter may elect to use the previous GAAP carrying amount of such an item at the date of transition to</w:t>
      </w:r>
      <w:r w:rsidR="00E27198">
        <w:t xml:space="preserve"> Australian Accounting Standards</w:t>
      </w:r>
      <w:r>
        <w:t xml:space="preserve"> as deemed cost. If an entity applies this exemption to an item, it need not apply it to all items. At the date of transition to</w:t>
      </w:r>
      <w:r w:rsidR="00E27198">
        <w:t xml:space="preserve"> Australian Accounting Standards</w:t>
      </w:r>
      <w:r>
        <w:t>, an entity shall test for impairment in accordance with</w:t>
      </w:r>
      <w:r w:rsidR="00E27198">
        <w:t xml:space="preserve"> AASB 136</w:t>
      </w:r>
      <w:r>
        <w:t xml:space="preserve"> each item for which this exemption is used. For the purposes of this paragraph, operations are subject to rate regulation if they are governed by a framework for establishing the prices that can be charged to customers for goods or services and that framework is subject to oversight and/or approval by a rate regulator (as defined in</w:t>
      </w:r>
      <w:r w:rsidR="00E27198">
        <w:t xml:space="preserve"> AASB 14</w:t>
      </w:r>
      <w:r>
        <w:t xml:space="preserve"> </w:t>
      </w:r>
      <w:r>
        <w:rPr>
          <w:i/>
        </w:rPr>
        <w:t>Regulatory Deferral Accounts</w:t>
      </w:r>
      <w:r>
        <w:t>).</w:t>
      </w:r>
    </w:p>
    <w:p w14:paraId="2000CD4C" w14:textId="77777777" w:rsidR="00FD4BA8" w:rsidRDefault="009A1D2F">
      <w:pPr>
        <w:pStyle w:val="IASBSectionTitle2Ind"/>
      </w:pPr>
      <w:r>
        <w:t>Leases</w:t>
      </w:r>
    </w:p>
    <w:p w14:paraId="59D09E2C" w14:textId="77777777" w:rsidR="00FD4BA8" w:rsidRDefault="009A1D2F">
      <w:pPr>
        <w:pStyle w:val="IASBNormalnpara"/>
      </w:pPr>
      <w:r>
        <w:t>D9</w:t>
      </w:r>
      <w:r>
        <w:tab/>
      </w:r>
      <w:r>
        <w:rPr>
          <w:strike/>
        </w:rPr>
        <w:t>A first-time adopter may apply the transitional provisions in</w:t>
      </w:r>
      <w:r w:rsidR="00E27198">
        <w:rPr>
          <w:strike/>
        </w:rPr>
        <w:t xml:space="preserve"> Interpretation 4</w:t>
      </w:r>
      <w:r>
        <w:rPr>
          <w:strike/>
        </w:rPr>
        <w:t xml:space="preserve"> </w:t>
      </w:r>
      <w:r>
        <w:rPr>
          <w:i/>
          <w:strike/>
        </w:rPr>
        <w:t>Determining whether an Arrangement contains a Lease</w:t>
      </w:r>
      <w:r w:rsidR="00093F0F">
        <w:rPr>
          <w:strike/>
        </w:rPr>
        <w:t xml:space="preserve"> as identified in AASB 1048</w:t>
      </w:r>
      <w:r>
        <w:rPr>
          <w:strike/>
        </w:rPr>
        <w:t>. Therefore, a first-time adopter may determine whether an arrangement existing at the date of transition to</w:t>
      </w:r>
      <w:r w:rsidR="00E27198">
        <w:rPr>
          <w:strike/>
        </w:rPr>
        <w:t xml:space="preserve"> Australian Accounting Standards</w:t>
      </w:r>
      <w:r>
        <w:rPr>
          <w:strike/>
        </w:rPr>
        <w:t xml:space="preserve"> contains a lease </w:t>
      </w:r>
      <w:r>
        <w:rPr>
          <w:strike/>
        </w:rPr>
        <w:lastRenderedPageBreak/>
        <w:t>on the basis of facts and circumstances existing at that date.</w:t>
      </w:r>
      <w:r>
        <w:t xml:space="preserve"> </w:t>
      </w:r>
      <w:r>
        <w:rPr>
          <w:u w:val="single"/>
        </w:rPr>
        <w:t>A first-time adopter may assess whether a contract existing at the date of transition to</w:t>
      </w:r>
      <w:r w:rsidR="00E27198">
        <w:rPr>
          <w:u w:val="single"/>
        </w:rPr>
        <w:t xml:space="preserve"> Australian Accounting Standards</w:t>
      </w:r>
      <w:r>
        <w:rPr>
          <w:u w:val="single"/>
        </w:rPr>
        <w:t xml:space="preserve"> contains a lease by applying paragraphs 9–11 of</w:t>
      </w:r>
      <w:r w:rsidR="00E27198">
        <w:rPr>
          <w:u w:val="single"/>
        </w:rPr>
        <w:t xml:space="preserve"> AASB 16</w:t>
      </w:r>
      <w:r>
        <w:rPr>
          <w:u w:val="single"/>
        </w:rPr>
        <w:t xml:space="preserve"> to those contracts on the basis of facts and circumstances existing at that date.</w:t>
      </w:r>
    </w:p>
    <w:p w14:paraId="3350D55A" w14:textId="77777777" w:rsidR="00FD4BA8" w:rsidRDefault="009A1D2F">
      <w:pPr>
        <w:pStyle w:val="IASBNormalnpara"/>
      </w:pPr>
      <w:r>
        <w:t>D9A</w:t>
      </w:r>
      <w:r>
        <w:tab/>
      </w:r>
      <w:r>
        <w:rPr>
          <w:u w:val="single"/>
        </w:rPr>
        <w:t>[Deleted]</w:t>
      </w:r>
      <w:r>
        <w:t xml:space="preserve"> </w:t>
      </w:r>
      <w:r>
        <w:rPr>
          <w:strike/>
        </w:rPr>
        <w:t>If a first-time adopter made the same determination of whether an arrangement contained a lease in accordance with previous GAAP as that required by</w:t>
      </w:r>
      <w:r w:rsidR="00E27198">
        <w:rPr>
          <w:strike/>
        </w:rPr>
        <w:t xml:space="preserve"> Interpretation 4</w:t>
      </w:r>
      <w:r w:rsidR="00093F0F">
        <w:rPr>
          <w:strike/>
        </w:rPr>
        <w:t xml:space="preserve"> (as identified in AASB 1048)</w:t>
      </w:r>
      <w:r>
        <w:rPr>
          <w:strike/>
        </w:rPr>
        <w:t xml:space="preserve"> but at a date other than that required by</w:t>
      </w:r>
      <w:r w:rsidR="00E27198">
        <w:rPr>
          <w:strike/>
        </w:rPr>
        <w:t xml:space="preserve"> Interpretation 4</w:t>
      </w:r>
      <w:r>
        <w:rPr>
          <w:strike/>
        </w:rPr>
        <w:t>, the first-time adopter need not reassess that determination when it adopts</w:t>
      </w:r>
      <w:r w:rsidR="00E27198">
        <w:rPr>
          <w:strike/>
        </w:rPr>
        <w:t xml:space="preserve"> Australian Accounting Standards</w:t>
      </w:r>
      <w:r>
        <w:rPr>
          <w:strike/>
        </w:rPr>
        <w:t>. For an entity to have made the same determination of whether the arrangement contained a lease in accordance with previous GAAP, that determination would have to have given the same outcome as that resulting from applying</w:t>
      </w:r>
      <w:r w:rsidR="00E27198">
        <w:rPr>
          <w:strike/>
        </w:rPr>
        <w:t xml:space="preserve"> AASB 117</w:t>
      </w:r>
      <w:r>
        <w:rPr>
          <w:strike/>
        </w:rPr>
        <w:t xml:space="preserve"> </w:t>
      </w:r>
      <w:r>
        <w:rPr>
          <w:i/>
          <w:strike/>
        </w:rPr>
        <w:t>Leases</w:t>
      </w:r>
      <w:r>
        <w:rPr>
          <w:strike/>
        </w:rPr>
        <w:t xml:space="preserve"> and</w:t>
      </w:r>
      <w:r w:rsidR="00E27198">
        <w:rPr>
          <w:strike/>
        </w:rPr>
        <w:t xml:space="preserve"> Interpretation 4</w:t>
      </w:r>
      <w:r>
        <w:rPr>
          <w:strike/>
        </w:rPr>
        <w:t>.</w:t>
      </w:r>
    </w:p>
    <w:p w14:paraId="3F15AF98" w14:textId="77777777" w:rsidR="00FD4BA8" w:rsidRDefault="009A1D2F">
      <w:pPr>
        <w:pStyle w:val="IASBNormalnpara"/>
      </w:pPr>
      <w:r>
        <w:rPr>
          <w:u w:val="single"/>
        </w:rPr>
        <w:t>D9B</w:t>
      </w:r>
      <w:r w:rsidRPr="00D61A78">
        <w:tab/>
      </w:r>
      <w:r>
        <w:rPr>
          <w:u w:val="single"/>
        </w:rPr>
        <w:t>When a first-time adopter that is a lessee recognises lease liabilities and right-of-use assets, it may apply the following approach to all of its leases (subject to the practical expedients described in paragraph D9D):</w:t>
      </w:r>
    </w:p>
    <w:p w14:paraId="3DFE2226" w14:textId="77777777" w:rsidR="00FD4BA8" w:rsidRDefault="009A1D2F">
      <w:pPr>
        <w:pStyle w:val="IASBNormalnparaL1"/>
      </w:pPr>
      <w:r w:rsidRPr="00F34046">
        <w:rPr>
          <w:u w:val="single"/>
        </w:rPr>
        <w:t>(a)</w:t>
      </w:r>
      <w:r>
        <w:tab/>
      </w:r>
      <w:r>
        <w:rPr>
          <w:u w:val="single"/>
        </w:rPr>
        <w:t>measure a lease liability at the date of transition to</w:t>
      </w:r>
      <w:r w:rsidR="00E27198">
        <w:rPr>
          <w:u w:val="single"/>
        </w:rPr>
        <w:t xml:space="preserve"> Australian Accounting Standards</w:t>
      </w:r>
      <w:r>
        <w:rPr>
          <w:u w:val="single"/>
        </w:rPr>
        <w:t>. A lessee following this approach shall measure that lease liability at the present value of the remaining lease payments (see paragraph</w:t>
      </w:r>
      <w:r w:rsidR="0023224A">
        <w:rPr>
          <w:u w:val="single"/>
        </w:rPr>
        <w:t> </w:t>
      </w:r>
      <w:r>
        <w:rPr>
          <w:u w:val="single"/>
        </w:rPr>
        <w:t>D9E), discounted using the lessee’s incremental borrowing rate (see paragraph D9E) at the date of transition to</w:t>
      </w:r>
      <w:r w:rsidR="00E27198">
        <w:rPr>
          <w:u w:val="single"/>
        </w:rPr>
        <w:t xml:space="preserve"> Australian Accounting Standards</w:t>
      </w:r>
      <w:r>
        <w:rPr>
          <w:u w:val="single"/>
        </w:rPr>
        <w:t>.</w:t>
      </w:r>
    </w:p>
    <w:p w14:paraId="5970F407" w14:textId="77777777" w:rsidR="00FD4BA8" w:rsidRDefault="009A1D2F">
      <w:pPr>
        <w:pStyle w:val="IASBNormalnparaL1"/>
      </w:pPr>
      <w:r w:rsidRPr="00F34046">
        <w:rPr>
          <w:u w:val="single"/>
        </w:rPr>
        <w:t>(b)</w:t>
      </w:r>
      <w:r>
        <w:tab/>
      </w:r>
      <w:r>
        <w:rPr>
          <w:u w:val="single"/>
        </w:rPr>
        <w:t>measure a right-of-use asset at the date of transition to</w:t>
      </w:r>
      <w:r w:rsidR="00E27198">
        <w:rPr>
          <w:u w:val="single"/>
        </w:rPr>
        <w:t xml:space="preserve"> Australian Accounting Standards</w:t>
      </w:r>
      <w:r>
        <w:rPr>
          <w:u w:val="single"/>
        </w:rPr>
        <w:t>. The lessee shall choose, on a lease-by-lease basis, to measure that right-of-use asset at either:</w:t>
      </w:r>
    </w:p>
    <w:p w14:paraId="5D4EA3C8" w14:textId="77777777" w:rsidR="00FD4BA8" w:rsidRDefault="009A1D2F">
      <w:pPr>
        <w:pStyle w:val="IASBNormalnparaL2"/>
      </w:pPr>
      <w:r w:rsidRPr="00F34046">
        <w:rPr>
          <w:u w:val="single"/>
        </w:rPr>
        <w:t>(i)</w:t>
      </w:r>
      <w:r>
        <w:tab/>
      </w:r>
      <w:r>
        <w:rPr>
          <w:u w:val="single"/>
        </w:rPr>
        <w:t>its carrying amount as if</w:t>
      </w:r>
      <w:r w:rsidR="00E27198">
        <w:rPr>
          <w:u w:val="single"/>
        </w:rPr>
        <w:t xml:space="preserve"> AASB 16</w:t>
      </w:r>
      <w:r>
        <w:rPr>
          <w:u w:val="single"/>
        </w:rPr>
        <w:t xml:space="preserve"> had been applied since the commencement date of the lease (see paragraph D9E), but discounted using the lessee’s incremental borrowing rate at the date of transition to</w:t>
      </w:r>
      <w:r w:rsidR="00E27198">
        <w:rPr>
          <w:u w:val="single"/>
        </w:rPr>
        <w:t xml:space="preserve"> Australian Accounting Standards</w:t>
      </w:r>
      <w:r>
        <w:rPr>
          <w:u w:val="single"/>
        </w:rPr>
        <w:t>; or</w:t>
      </w:r>
    </w:p>
    <w:p w14:paraId="2CEE176F" w14:textId="77777777" w:rsidR="00FD4BA8" w:rsidRDefault="009A1D2F">
      <w:pPr>
        <w:pStyle w:val="IASBNormalnparaL2"/>
      </w:pPr>
      <w:r w:rsidRPr="00F34046">
        <w:rPr>
          <w:u w:val="single"/>
        </w:rPr>
        <w:t>(ii)</w:t>
      </w:r>
      <w:r>
        <w:tab/>
      </w:r>
      <w:r>
        <w:rPr>
          <w:u w:val="single"/>
        </w:rPr>
        <w:t>an amount equal to the lease liability, adjusted by the amount of any prepaid or accrued lease payments relating to that lease recognised in the statement of financial position immediately before the date of transition to</w:t>
      </w:r>
      <w:r w:rsidR="00E27198">
        <w:rPr>
          <w:u w:val="single"/>
        </w:rPr>
        <w:t xml:space="preserve"> Australian Accounting Standards</w:t>
      </w:r>
      <w:r>
        <w:rPr>
          <w:u w:val="single"/>
        </w:rPr>
        <w:t xml:space="preserve">. </w:t>
      </w:r>
    </w:p>
    <w:p w14:paraId="4505C6C1" w14:textId="77777777" w:rsidR="00FD4BA8" w:rsidRDefault="009A1D2F">
      <w:pPr>
        <w:pStyle w:val="IASBNormalnparaL1"/>
      </w:pPr>
      <w:r w:rsidRPr="00F34046">
        <w:rPr>
          <w:u w:val="single"/>
        </w:rPr>
        <w:t>(c)</w:t>
      </w:r>
      <w:r>
        <w:tab/>
      </w:r>
      <w:r>
        <w:rPr>
          <w:u w:val="single"/>
        </w:rPr>
        <w:t>apply</w:t>
      </w:r>
      <w:r w:rsidR="00E27198">
        <w:rPr>
          <w:u w:val="single"/>
        </w:rPr>
        <w:t xml:space="preserve"> AASB 136</w:t>
      </w:r>
      <w:r>
        <w:rPr>
          <w:u w:val="single"/>
        </w:rPr>
        <w:t xml:space="preserve"> to right-of-use assets at the date of transition to</w:t>
      </w:r>
      <w:r w:rsidR="00E27198">
        <w:rPr>
          <w:u w:val="single"/>
        </w:rPr>
        <w:t xml:space="preserve"> Australian Accounting Standards</w:t>
      </w:r>
      <w:r>
        <w:rPr>
          <w:u w:val="single"/>
        </w:rPr>
        <w:t>.</w:t>
      </w:r>
    </w:p>
    <w:p w14:paraId="09A6B441" w14:textId="77777777" w:rsidR="00FD4BA8" w:rsidRDefault="009A1D2F">
      <w:pPr>
        <w:pStyle w:val="IASBNormalnpara"/>
      </w:pPr>
      <w:r>
        <w:rPr>
          <w:u w:val="single"/>
        </w:rPr>
        <w:t>D9C</w:t>
      </w:r>
      <w:r w:rsidRPr="00F34046">
        <w:tab/>
      </w:r>
      <w:r>
        <w:rPr>
          <w:u w:val="single"/>
        </w:rPr>
        <w:t>Notwithstanding the requirements in paragraph D9B, a first-time adopter that is a lessee shall measure the right-of-use asset at fair value at the date of transition to</w:t>
      </w:r>
      <w:r w:rsidR="00E27198">
        <w:rPr>
          <w:u w:val="single"/>
        </w:rPr>
        <w:t xml:space="preserve"> Australian Accounting Standards</w:t>
      </w:r>
      <w:r>
        <w:rPr>
          <w:u w:val="single"/>
        </w:rPr>
        <w:t xml:space="preserve"> for leases that meet the definition of investment property in</w:t>
      </w:r>
      <w:r w:rsidR="00E27198">
        <w:rPr>
          <w:u w:val="single"/>
        </w:rPr>
        <w:t xml:space="preserve"> AASB 140</w:t>
      </w:r>
      <w:r>
        <w:rPr>
          <w:u w:val="single"/>
        </w:rPr>
        <w:t xml:space="preserve"> and are measured using the fair value model in</w:t>
      </w:r>
      <w:r w:rsidR="00E27198">
        <w:rPr>
          <w:u w:val="single"/>
        </w:rPr>
        <w:t xml:space="preserve"> AASB 140</w:t>
      </w:r>
      <w:r>
        <w:rPr>
          <w:u w:val="single"/>
        </w:rPr>
        <w:t xml:space="preserve"> from the date of transition to</w:t>
      </w:r>
      <w:r w:rsidR="00E27198">
        <w:rPr>
          <w:u w:val="single"/>
        </w:rPr>
        <w:t xml:space="preserve"> Australian Accounting Standards</w:t>
      </w:r>
      <w:r>
        <w:rPr>
          <w:u w:val="single"/>
        </w:rPr>
        <w:t>.</w:t>
      </w:r>
    </w:p>
    <w:p w14:paraId="5B5DE8CB" w14:textId="77777777" w:rsidR="00FD4BA8" w:rsidRDefault="009A1D2F">
      <w:pPr>
        <w:pStyle w:val="IASBNormalnpara"/>
      </w:pPr>
      <w:r>
        <w:rPr>
          <w:u w:val="single"/>
        </w:rPr>
        <w:t>D9D</w:t>
      </w:r>
      <w:r w:rsidRPr="00F34046">
        <w:tab/>
      </w:r>
      <w:r>
        <w:rPr>
          <w:u w:val="single"/>
        </w:rPr>
        <w:t>A first-time adopter that is a lessee may do one or more of the following at the date of transition to</w:t>
      </w:r>
      <w:r w:rsidR="00E27198">
        <w:rPr>
          <w:u w:val="single"/>
        </w:rPr>
        <w:t xml:space="preserve"> Australian Accounting Standards</w:t>
      </w:r>
      <w:r>
        <w:rPr>
          <w:u w:val="single"/>
        </w:rPr>
        <w:t>, applied on a lease-by-lease basis:</w:t>
      </w:r>
    </w:p>
    <w:p w14:paraId="3CB8A304" w14:textId="77777777" w:rsidR="00FD4BA8" w:rsidRDefault="009A1D2F">
      <w:pPr>
        <w:pStyle w:val="IASBNormalnparaL1"/>
      </w:pPr>
      <w:r w:rsidRPr="00DD3629">
        <w:rPr>
          <w:u w:val="single"/>
        </w:rPr>
        <w:t>(a)</w:t>
      </w:r>
      <w:r>
        <w:tab/>
      </w:r>
      <w:r>
        <w:rPr>
          <w:u w:val="single"/>
        </w:rPr>
        <w:t>apply a single discount rate to a portfolio of leases with reasonably similar characteristics (for example, a similar remaining lease term for a similar class of underlying asset in a similar economic environment).</w:t>
      </w:r>
    </w:p>
    <w:p w14:paraId="1252A02E" w14:textId="77777777" w:rsidR="00FD4BA8" w:rsidRDefault="009A1D2F">
      <w:pPr>
        <w:pStyle w:val="IASBNormalnparaL1"/>
      </w:pPr>
      <w:r w:rsidRPr="00DD3629">
        <w:rPr>
          <w:u w:val="single"/>
        </w:rPr>
        <w:t>(b)</w:t>
      </w:r>
      <w:r>
        <w:tab/>
      </w:r>
      <w:r>
        <w:rPr>
          <w:u w:val="single"/>
        </w:rPr>
        <w:t>elect not to apply the requirements in paragraph D9B to leases for which the lease term (see paragraph D9E) ends within 12 months of the date of transition to</w:t>
      </w:r>
      <w:r w:rsidR="00E27198">
        <w:rPr>
          <w:u w:val="single"/>
        </w:rPr>
        <w:t xml:space="preserve"> Australian Accounting Standards</w:t>
      </w:r>
      <w:r>
        <w:rPr>
          <w:u w:val="single"/>
        </w:rPr>
        <w:t>. Instead, the entity shall account for (including disclosure of information about) these leases as if they were short-term leases accounted for in accordance with paragraph 6 of</w:t>
      </w:r>
      <w:r w:rsidR="00E27198">
        <w:rPr>
          <w:u w:val="single"/>
        </w:rPr>
        <w:t xml:space="preserve"> AASB 16</w:t>
      </w:r>
      <w:r>
        <w:rPr>
          <w:u w:val="single"/>
        </w:rPr>
        <w:t>.</w:t>
      </w:r>
    </w:p>
    <w:p w14:paraId="06D7C261" w14:textId="77777777" w:rsidR="00FD4BA8" w:rsidRDefault="009A1D2F">
      <w:pPr>
        <w:pStyle w:val="IASBNormalnparaL1"/>
      </w:pPr>
      <w:r w:rsidRPr="00DD3629">
        <w:rPr>
          <w:u w:val="single"/>
        </w:rPr>
        <w:t>(c)</w:t>
      </w:r>
      <w:r>
        <w:tab/>
      </w:r>
      <w:r>
        <w:rPr>
          <w:u w:val="single"/>
        </w:rPr>
        <w:t>elect not to apply the requirements in paragraph D9B to leases for which the underlying asset is of low value (as described in paragraphs B3-B8 of</w:t>
      </w:r>
      <w:r w:rsidR="00E27198">
        <w:rPr>
          <w:u w:val="single"/>
        </w:rPr>
        <w:t xml:space="preserve"> AASB 16</w:t>
      </w:r>
      <w:r>
        <w:rPr>
          <w:u w:val="single"/>
        </w:rPr>
        <w:t>). Instead, the entity shall account for (including disclosure of information about) these leases in accordance with paragraph 6 of</w:t>
      </w:r>
      <w:r w:rsidR="00E27198">
        <w:rPr>
          <w:u w:val="single"/>
        </w:rPr>
        <w:t xml:space="preserve"> AASB 16</w:t>
      </w:r>
      <w:r>
        <w:rPr>
          <w:u w:val="single"/>
        </w:rPr>
        <w:t>.</w:t>
      </w:r>
    </w:p>
    <w:p w14:paraId="1E48C986" w14:textId="77777777" w:rsidR="00FD4BA8" w:rsidRDefault="009A1D2F">
      <w:pPr>
        <w:pStyle w:val="IASBNormalnparaL1"/>
      </w:pPr>
      <w:r w:rsidRPr="00DD3629">
        <w:rPr>
          <w:u w:val="single"/>
        </w:rPr>
        <w:t>(d)</w:t>
      </w:r>
      <w:r>
        <w:tab/>
      </w:r>
      <w:r>
        <w:rPr>
          <w:u w:val="single"/>
        </w:rPr>
        <w:t>exclude initial direct costs (see paragraph D9E) from the measurement of the right-of-use asset at the date of transition to</w:t>
      </w:r>
      <w:r w:rsidR="00E27198">
        <w:rPr>
          <w:u w:val="single"/>
        </w:rPr>
        <w:t xml:space="preserve"> Australian Accounting Standards</w:t>
      </w:r>
      <w:r>
        <w:rPr>
          <w:u w:val="single"/>
        </w:rPr>
        <w:t>.</w:t>
      </w:r>
    </w:p>
    <w:p w14:paraId="6967DBB0" w14:textId="77777777" w:rsidR="00FD4BA8" w:rsidRDefault="009A1D2F">
      <w:pPr>
        <w:pStyle w:val="IASBNormalnparaL1"/>
      </w:pPr>
      <w:r w:rsidRPr="00DD3629">
        <w:rPr>
          <w:u w:val="single"/>
        </w:rPr>
        <w:t>(e)</w:t>
      </w:r>
      <w:r>
        <w:tab/>
      </w:r>
      <w:r>
        <w:rPr>
          <w:u w:val="single"/>
        </w:rPr>
        <w:t>use hindsight, such as in determining the lease term if the contract contains options to extend or terminate the lease.</w:t>
      </w:r>
    </w:p>
    <w:p w14:paraId="5063F01D" w14:textId="77777777" w:rsidR="00FD4BA8" w:rsidRDefault="009A1D2F">
      <w:pPr>
        <w:pStyle w:val="IASBNormalnpara"/>
      </w:pPr>
      <w:r>
        <w:rPr>
          <w:u w:val="single"/>
        </w:rPr>
        <w:t>D9E</w:t>
      </w:r>
      <w:r w:rsidRPr="005512A5">
        <w:tab/>
      </w:r>
      <w:r>
        <w:rPr>
          <w:u w:val="single"/>
        </w:rPr>
        <w:t>Lease payments, lessee, lessee’s incremental borrowing rate, commencement date of the lease, initial direct costs and lease term are defined terms in</w:t>
      </w:r>
      <w:r w:rsidR="00E27198">
        <w:rPr>
          <w:u w:val="single"/>
        </w:rPr>
        <w:t xml:space="preserve"> AASB 16</w:t>
      </w:r>
      <w:r>
        <w:rPr>
          <w:u w:val="single"/>
        </w:rPr>
        <w:t xml:space="preserve"> and are used in this Standard with the same meaning.</w:t>
      </w:r>
    </w:p>
    <w:p w14:paraId="754844B7" w14:textId="77777777" w:rsidR="00FD4BA8" w:rsidRPr="009342ED" w:rsidRDefault="00E27198">
      <w:pPr>
        <w:pStyle w:val="IASBSectionTitle1NonInd"/>
        <w:pBdr>
          <w:bottom w:val="none" w:sz="0" w:space="0" w:color="auto"/>
        </w:pBdr>
      </w:pPr>
      <w:r>
        <w:t>AASB 3</w:t>
      </w:r>
      <w:r w:rsidR="009A1D2F">
        <w:t xml:space="preserve"> </w:t>
      </w:r>
      <w:r w:rsidR="009A1D2F">
        <w:rPr>
          <w:i/>
        </w:rPr>
        <w:t>Business Combinations</w:t>
      </w:r>
      <w:r w:rsidR="009342ED">
        <w:t xml:space="preserve"> (August 2015)</w:t>
      </w:r>
    </w:p>
    <w:p w14:paraId="708119F0"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6"/>
        <w:tblDescription w:val="Amendments to AASB 3"/>
      </w:tblPr>
      <w:tblGrid>
        <w:gridCol w:w="9208"/>
      </w:tblGrid>
      <w:tr w:rsidR="00FD4BA8" w14:paraId="092B0F11" w14:textId="77777777" w:rsidTr="00C77057">
        <w:trPr>
          <w:cantSplit/>
        </w:trPr>
        <w:tc>
          <w:tcPr>
            <w:tcW w:w="9208" w:type="dxa"/>
            <w:tcBorders>
              <w:top w:val="single" w:sz="4" w:space="0" w:color="auto"/>
              <w:left w:val="single" w:sz="4" w:space="0" w:color="auto"/>
              <w:bottom w:val="single" w:sz="4" w:space="0" w:color="auto"/>
              <w:right w:val="single" w:sz="4" w:space="0" w:color="auto"/>
            </w:tcBorders>
          </w:tcPr>
          <w:p w14:paraId="23CCF6F6" w14:textId="77777777" w:rsidR="00FD4BA8" w:rsidRDefault="009A1D2F" w:rsidP="00555EB0">
            <w:pPr>
              <w:pStyle w:val="IASBTableArial"/>
            </w:pPr>
            <w:r>
              <w:t>Paragraphs 14 and 17 are amended and paragraphs 28A and 28B and their related heading, and paragraph</w:t>
            </w:r>
            <w:r w:rsidR="00555EB0">
              <w:t> </w:t>
            </w:r>
            <w:r>
              <w:t>64M, are added.</w:t>
            </w:r>
          </w:p>
        </w:tc>
      </w:tr>
    </w:tbl>
    <w:p w14:paraId="604D6973" w14:textId="77777777" w:rsidR="00FD4BA8" w:rsidRDefault="009A1D2F">
      <w:pPr>
        <w:pStyle w:val="IASBSectionTitle4Ind"/>
      </w:pPr>
      <w:r>
        <w:lastRenderedPageBreak/>
        <w:t>Recognition conditions</w:t>
      </w:r>
    </w:p>
    <w:p w14:paraId="14D35D03" w14:textId="77777777" w:rsidR="00FD4BA8" w:rsidRDefault="009A1D2F">
      <w:pPr>
        <w:pStyle w:val="IASBNormalnpara"/>
      </w:pPr>
      <w:r>
        <w:tab/>
        <w:t>...</w:t>
      </w:r>
    </w:p>
    <w:p w14:paraId="0BA3F5B7" w14:textId="77777777" w:rsidR="00FD4BA8" w:rsidRDefault="009A1D2F">
      <w:pPr>
        <w:pStyle w:val="IASBNormalnpara"/>
      </w:pPr>
      <w:r>
        <w:t>14</w:t>
      </w:r>
      <w:r>
        <w:tab/>
        <w:t xml:space="preserve">Paragraphs </w:t>
      </w:r>
      <w:r>
        <w:rPr>
          <w:strike/>
        </w:rPr>
        <w:t>B28–B40</w:t>
      </w:r>
      <w:r>
        <w:t xml:space="preserve"> </w:t>
      </w:r>
      <w:r>
        <w:rPr>
          <w:u w:val="single"/>
        </w:rPr>
        <w:t>B31–B40</w:t>
      </w:r>
      <w:r>
        <w:t xml:space="preserve"> provide guidance on recognising </w:t>
      </w:r>
      <w:r>
        <w:rPr>
          <w:strike/>
        </w:rPr>
        <w:t>operating leases and</w:t>
      </w:r>
      <w:r>
        <w:t xml:space="preserve"> intangible assets. Paragraphs 22–28</w:t>
      </w:r>
      <w:r>
        <w:rPr>
          <w:u w:val="single"/>
        </w:rPr>
        <w:t>B</w:t>
      </w:r>
      <w:r>
        <w:t xml:space="preserve"> specify the types of identifiable assets and liabilities that include items for which </w:t>
      </w:r>
      <w:r w:rsidR="00E27198">
        <w:t>this Standard</w:t>
      </w:r>
      <w:r>
        <w:t xml:space="preserve"> provides limited exceptions to the recognition principle and conditions.</w:t>
      </w:r>
    </w:p>
    <w:p w14:paraId="2C1614BF" w14:textId="77777777" w:rsidR="00FD4BA8" w:rsidRDefault="009A1D2F">
      <w:pPr>
        <w:pStyle w:val="IASBSectionTitle4Ind"/>
      </w:pPr>
      <w:r>
        <w:t>Classifying or designating identifiable assets acquired and liabilities assumed in a business combination</w:t>
      </w:r>
    </w:p>
    <w:p w14:paraId="66269DC1" w14:textId="77777777" w:rsidR="00FD4BA8" w:rsidRDefault="009A1D2F">
      <w:pPr>
        <w:pStyle w:val="IASBNormalnpara"/>
      </w:pPr>
      <w:r>
        <w:tab/>
        <w:t>...</w:t>
      </w:r>
    </w:p>
    <w:p w14:paraId="727EE20E" w14:textId="77777777" w:rsidR="00FD4BA8" w:rsidRDefault="009A1D2F">
      <w:pPr>
        <w:pStyle w:val="IASBNormalnpara"/>
      </w:pPr>
      <w:r>
        <w:t>17</w:t>
      </w:r>
      <w:r>
        <w:tab/>
      </w:r>
      <w:r w:rsidR="00E27198">
        <w:t xml:space="preserve">This Standard </w:t>
      </w:r>
      <w:r>
        <w:t>provides two exceptions to the principle in paragraph 15:</w:t>
      </w:r>
    </w:p>
    <w:p w14:paraId="08B33757" w14:textId="77777777" w:rsidR="00FD4BA8" w:rsidRDefault="009A1D2F">
      <w:pPr>
        <w:pStyle w:val="IASBNormalnparaL1"/>
      </w:pPr>
      <w:r>
        <w:t>(a)</w:t>
      </w:r>
      <w:r>
        <w:tab/>
        <w:t xml:space="preserve">classification of a lease contract </w:t>
      </w:r>
      <w:r>
        <w:rPr>
          <w:u w:val="single"/>
        </w:rPr>
        <w:t>in which the acquiree is the lessor</w:t>
      </w:r>
      <w:r>
        <w:t xml:space="preserve"> as either an operating lease or a finance lease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and</w:t>
      </w:r>
    </w:p>
    <w:p w14:paraId="5E5EA8A5" w14:textId="77777777" w:rsidR="00FD4BA8" w:rsidRDefault="009A1D2F">
      <w:pPr>
        <w:pStyle w:val="IASBNormalnparaL1"/>
      </w:pPr>
      <w:r>
        <w:t>(b)</w:t>
      </w:r>
      <w:r>
        <w:tab/>
        <w:t>...</w:t>
      </w:r>
    </w:p>
    <w:p w14:paraId="7078A9F0" w14:textId="77777777" w:rsidR="00FD4BA8" w:rsidRDefault="009A1D2F">
      <w:pPr>
        <w:pStyle w:val="IASBSectionTitle5Ind"/>
      </w:pPr>
      <w:r>
        <w:rPr>
          <w:u w:val="single"/>
        </w:rPr>
        <w:t>Leases in which the acquiree is the lessee</w:t>
      </w:r>
    </w:p>
    <w:p w14:paraId="601C60E2" w14:textId="77777777" w:rsidR="00FD4BA8" w:rsidRDefault="009A1D2F">
      <w:pPr>
        <w:pStyle w:val="IASBNormalnpara"/>
      </w:pPr>
      <w:r>
        <w:rPr>
          <w:u w:val="single"/>
        </w:rPr>
        <w:t>28A</w:t>
      </w:r>
      <w:r w:rsidRPr="00555EB0">
        <w:tab/>
      </w:r>
      <w:r>
        <w:rPr>
          <w:u w:val="single"/>
        </w:rPr>
        <w:t>The acquirer shall recognise right-of-use assets and lease liabilities for leases identified in accordance with</w:t>
      </w:r>
      <w:r w:rsidR="00E27198">
        <w:rPr>
          <w:u w:val="single"/>
        </w:rPr>
        <w:t xml:space="preserve"> AASB 16</w:t>
      </w:r>
      <w:r>
        <w:rPr>
          <w:u w:val="single"/>
        </w:rPr>
        <w:t xml:space="preserve"> in which the acquiree is the lessee. The acquirer is not required to recognise right-of-use assets and lease liabilities for:</w:t>
      </w:r>
    </w:p>
    <w:p w14:paraId="3BBDB251" w14:textId="77777777" w:rsidR="00FD4BA8" w:rsidRDefault="009A1D2F">
      <w:pPr>
        <w:pStyle w:val="IASBNormalnparaL1"/>
      </w:pPr>
      <w:r w:rsidRPr="00555EB0">
        <w:rPr>
          <w:u w:val="single"/>
        </w:rPr>
        <w:t>(a)</w:t>
      </w:r>
      <w:r>
        <w:tab/>
      </w:r>
      <w:r>
        <w:rPr>
          <w:u w:val="single"/>
        </w:rPr>
        <w:t>leases for which the lease term (as defined in</w:t>
      </w:r>
      <w:r w:rsidR="00E27198">
        <w:rPr>
          <w:u w:val="single"/>
        </w:rPr>
        <w:t xml:space="preserve"> AASB 16</w:t>
      </w:r>
      <w:r>
        <w:rPr>
          <w:u w:val="single"/>
        </w:rPr>
        <w:t>) ends within 12 months of the acquisition date; or</w:t>
      </w:r>
    </w:p>
    <w:p w14:paraId="776E9CB2" w14:textId="77777777" w:rsidR="00FD4BA8" w:rsidRDefault="009A1D2F">
      <w:pPr>
        <w:pStyle w:val="IASBNormalnparaL1"/>
      </w:pPr>
      <w:r w:rsidRPr="00555EB0">
        <w:rPr>
          <w:u w:val="single"/>
        </w:rPr>
        <w:t>(b)</w:t>
      </w:r>
      <w:r>
        <w:tab/>
      </w:r>
      <w:r>
        <w:rPr>
          <w:u w:val="single"/>
        </w:rPr>
        <w:t>leases for which the underlying asset is of low value (as described in paragraphs B3–B8 of</w:t>
      </w:r>
      <w:r w:rsidR="00E27198">
        <w:rPr>
          <w:u w:val="single"/>
        </w:rPr>
        <w:t xml:space="preserve"> AASB 16</w:t>
      </w:r>
      <w:r>
        <w:rPr>
          <w:u w:val="single"/>
        </w:rPr>
        <w:t>).</w:t>
      </w:r>
    </w:p>
    <w:p w14:paraId="697E5F9C" w14:textId="77777777" w:rsidR="00FD4BA8" w:rsidRDefault="009A1D2F">
      <w:pPr>
        <w:pStyle w:val="IASBNormalnpara"/>
      </w:pPr>
      <w:r>
        <w:rPr>
          <w:u w:val="single"/>
        </w:rPr>
        <w:t>28B</w:t>
      </w:r>
      <w:r w:rsidRPr="00555EB0">
        <w:tab/>
      </w:r>
      <w:r>
        <w:rPr>
          <w:u w:val="single"/>
        </w:rPr>
        <w:t>The acquirer shall measure the lease liability at the present value of the remaining lease payments (as defined in</w:t>
      </w:r>
      <w:r w:rsidR="00E27198">
        <w:rPr>
          <w:u w:val="single"/>
        </w:rPr>
        <w:t xml:space="preserve"> AASB 16</w:t>
      </w:r>
      <w:r>
        <w:rPr>
          <w:u w:val="single"/>
        </w:rPr>
        <w:t>) as if the acquired lease were a new lease at the acquisition date. The acquirer shall measure the right-of-use asset at the same amount as the lease liability, adjusted to reflect favourable or unfavourable terms of the lease when compared with market terms.</w:t>
      </w:r>
    </w:p>
    <w:p w14:paraId="3026C2C2" w14:textId="77777777" w:rsidR="00FD4BA8" w:rsidRDefault="009A1D2F">
      <w:pPr>
        <w:pStyle w:val="IASBSectionTitle2Ind"/>
      </w:pPr>
      <w:r>
        <w:t>Effective date</w:t>
      </w:r>
    </w:p>
    <w:p w14:paraId="5A0A5335" w14:textId="77777777" w:rsidR="00FD4BA8" w:rsidRDefault="009A1D2F">
      <w:pPr>
        <w:pStyle w:val="IASBNormalnpara"/>
      </w:pPr>
      <w:r>
        <w:tab/>
        <w:t>...</w:t>
      </w:r>
    </w:p>
    <w:p w14:paraId="59270413" w14:textId="77777777" w:rsidR="00FD4BA8" w:rsidRDefault="009A1D2F">
      <w:pPr>
        <w:pStyle w:val="IASBNormalnpara"/>
      </w:pPr>
      <w:r>
        <w:rPr>
          <w:u w:val="single"/>
        </w:rPr>
        <w:t>64M</w:t>
      </w:r>
      <w:r w:rsidRPr="00555EB0">
        <w:tab/>
      </w:r>
      <w:r w:rsidR="00E27198">
        <w:rPr>
          <w:u w:val="single"/>
        </w:rPr>
        <w:t>AASB 16</w:t>
      </w:r>
      <w:r>
        <w:rPr>
          <w:u w:val="single"/>
        </w:rPr>
        <w:t xml:space="preserve">, issued in </w:t>
      </w:r>
      <w:r w:rsidR="00757948">
        <w:rPr>
          <w:u w:val="single"/>
        </w:rPr>
        <w:t>February 2016</w:t>
      </w:r>
      <w:r>
        <w:rPr>
          <w:u w:val="single"/>
        </w:rPr>
        <w:t>, amended paragraphs 14, 17, B32 and B42, deleted paragraphs B28–B30 and their related heading and added paragraphs 28A–28B and their related heading. An entity shall apply those amendments when it applies</w:t>
      </w:r>
      <w:r w:rsidR="00E27198">
        <w:rPr>
          <w:u w:val="single"/>
        </w:rPr>
        <w:t xml:space="preserve"> AASB 16</w:t>
      </w:r>
      <w:r>
        <w:rPr>
          <w:u w:val="single"/>
        </w:rPr>
        <w:t>.</w:t>
      </w:r>
    </w:p>
    <w:p w14:paraId="48D4355A"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7"/>
        <w:tblDescription w:val="Amendments to AASB 3"/>
      </w:tblPr>
      <w:tblGrid>
        <w:gridCol w:w="9208"/>
      </w:tblGrid>
      <w:tr w:rsidR="00FD4BA8" w14:paraId="4265E6BC" w14:textId="77777777" w:rsidTr="00F463F5">
        <w:trPr>
          <w:cantSplit/>
        </w:trPr>
        <w:tc>
          <w:tcPr>
            <w:tcW w:w="9208" w:type="dxa"/>
            <w:tcBorders>
              <w:top w:val="single" w:sz="4" w:space="0" w:color="auto"/>
              <w:left w:val="single" w:sz="4" w:space="0" w:color="auto"/>
              <w:bottom w:val="single" w:sz="4" w:space="0" w:color="auto"/>
              <w:right w:val="single" w:sz="4" w:space="0" w:color="auto"/>
            </w:tcBorders>
          </w:tcPr>
          <w:p w14:paraId="100F9F7B" w14:textId="77777777" w:rsidR="00FD4BA8" w:rsidRDefault="009A1D2F" w:rsidP="00F463F5">
            <w:pPr>
              <w:pStyle w:val="IASBTableArial"/>
            </w:pPr>
            <w:r>
              <w:t>In Appendix B, paragraphs B28–B30 and their related heading are deleted and paragraphs B32 and B42 are amended.</w:t>
            </w:r>
          </w:p>
        </w:tc>
      </w:tr>
    </w:tbl>
    <w:p w14:paraId="04626EC6" w14:textId="77777777" w:rsidR="00FD4BA8" w:rsidRDefault="009A1D2F">
      <w:pPr>
        <w:pStyle w:val="IASBSectionTitle2Ind"/>
      </w:pPr>
      <w:r>
        <w:rPr>
          <w:strike/>
        </w:rPr>
        <w:t>Operating leases</w:t>
      </w:r>
    </w:p>
    <w:p w14:paraId="4F4051A9" w14:textId="77777777" w:rsidR="00FD4BA8" w:rsidRDefault="009A1D2F">
      <w:pPr>
        <w:pStyle w:val="IASBNormalnpara"/>
      </w:pPr>
      <w:r>
        <w:t>B28</w:t>
      </w:r>
      <w:r>
        <w:tab/>
      </w:r>
      <w:r>
        <w:rPr>
          <w:u w:val="single"/>
        </w:rPr>
        <w:t>[Deleted]</w:t>
      </w:r>
      <w:r>
        <w:t xml:space="preserve"> </w:t>
      </w:r>
      <w:r>
        <w:rPr>
          <w:strike/>
        </w:rPr>
        <w:t>The acquirer shall recognise no assets or liabilities related to an operating lease in which the acquiree is the lessee except as required by paragraphs B29 and B30.</w:t>
      </w:r>
    </w:p>
    <w:p w14:paraId="71898EEB" w14:textId="77777777" w:rsidR="00FD4BA8" w:rsidRDefault="009A1D2F">
      <w:pPr>
        <w:pStyle w:val="IASBNormalnpara"/>
      </w:pPr>
      <w:r>
        <w:t>B29</w:t>
      </w:r>
      <w:r>
        <w:tab/>
      </w:r>
      <w:r>
        <w:rPr>
          <w:u w:val="single"/>
        </w:rPr>
        <w:t>[Deleted]</w:t>
      </w:r>
      <w:r>
        <w:t xml:space="preserve"> </w:t>
      </w:r>
      <w:r>
        <w:rPr>
          <w:strike/>
        </w:rPr>
        <w:t>The acquirer shall determine whether the terms of each operating lease in which the acquiree is the lessee are favourable or unfavourable. The acquirer shall recognise an intangible asset if the terms of an operating lease are favourable relative to market terms and a liability if the terms are unfavourable relative to market terms. Paragraph B42 provides guidance on measuring the acquisition-date fair value of assets subject to operating leases in which the acquiree is the lessor.</w:t>
      </w:r>
    </w:p>
    <w:p w14:paraId="453CB4FF" w14:textId="77777777" w:rsidR="00FD4BA8" w:rsidRDefault="009A1D2F">
      <w:pPr>
        <w:pStyle w:val="IASBNormalnpara"/>
      </w:pPr>
      <w:r>
        <w:t>B30</w:t>
      </w:r>
      <w:r>
        <w:tab/>
      </w:r>
      <w:r>
        <w:rPr>
          <w:u w:val="single"/>
        </w:rPr>
        <w:t>[Deleted]</w:t>
      </w:r>
      <w:r>
        <w:t xml:space="preserve"> </w:t>
      </w:r>
      <w:r>
        <w:rPr>
          <w:strike/>
        </w:rPr>
        <w:t>An identifiable intangible asset may be associated with an operating lease, which may be evidenced by market participants’ willingness to pay a price for the lease even if it is at market terms. For example, a lease of gates at an airport or of retail space in a prime shopping area might provide entry into a market or other future economic benefits that qualify as identifiable intangible assets, for example, as a customer relationship. In that situation, the acquirer shall recognise the associated identifiable intangible asset(s) in accordance with paragraph B31.</w:t>
      </w:r>
    </w:p>
    <w:p w14:paraId="44F87C91" w14:textId="77777777" w:rsidR="00FD4BA8" w:rsidRDefault="009A1D2F">
      <w:pPr>
        <w:pStyle w:val="IASBSectionTitle2Ind"/>
      </w:pPr>
      <w:r>
        <w:lastRenderedPageBreak/>
        <w:t>Intangible assets</w:t>
      </w:r>
    </w:p>
    <w:p w14:paraId="0BCFB007" w14:textId="77777777" w:rsidR="00FD4BA8" w:rsidRDefault="009A1D2F">
      <w:pPr>
        <w:pStyle w:val="IASBNormalnpara"/>
      </w:pPr>
      <w:r>
        <w:tab/>
        <w:t>…</w:t>
      </w:r>
    </w:p>
    <w:p w14:paraId="39A0BEDB" w14:textId="77777777" w:rsidR="00FD4BA8" w:rsidRDefault="009A1D2F">
      <w:pPr>
        <w:pStyle w:val="IASBNormalnpara"/>
      </w:pPr>
      <w:r>
        <w:t>B32</w:t>
      </w:r>
      <w:r>
        <w:tab/>
        <w:t>An intangible asset that meets the contractual-legal criterion is identifiable even if the asset is not transferable or separable from the acquiree or from other rights and obligations. For example:</w:t>
      </w:r>
    </w:p>
    <w:p w14:paraId="66C6A7E1" w14:textId="77777777" w:rsidR="00FD4BA8" w:rsidRDefault="009A1D2F">
      <w:pPr>
        <w:pStyle w:val="IASBNormalnparaL1"/>
      </w:pPr>
      <w:r>
        <w:t>(a)</w:t>
      </w:r>
      <w:r>
        <w:tab/>
      </w:r>
      <w:r>
        <w:rPr>
          <w:u w:val="single"/>
        </w:rPr>
        <w:t>[deleted]</w:t>
      </w:r>
      <w:r>
        <w:t xml:space="preserve"> </w:t>
      </w:r>
      <w:r>
        <w:rPr>
          <w:strike/>
        </w:rPr>
        <w:t>an acquiree leases a manufacturing facility under an operating lease that has terms that are favourable relative to market terms. The lease terms explicitly prohibit transfer of the lease (through either sale or sublease). The amount by which the lease terms are favourable compared with the terms of current market transactions for the same or similar items is an intangible asset that meets the contractual-legal criterion for recognition separately from goodwill, even though the acquirer cannot sell or otherwise transfer the lease contract.</w:t>
      </w:r>
    </w:p>
    <w:p w14:paraId="6E235826" w14:textId="77777777" w:rsidR="00FD4BA8" w:rsidRDefault="009A1D2F">
      <w:pPr>
        <w:pStyle w:val="IASBNormalnparaL1"/>
      </w:pPr>
      <w:r>
        <w:t>(b)</w:t>
      </w:r>
      <w:r>
        <w:tab/>
        <w:t>...</w:t>
      </w:r>
    </w:p>
    <w:p w14:paraId="5CF99BD8" w14:textId="77777777" w:rsidR="00FD4BA8" w:rsidRDefault="009A1D2F">
      <w:pPr>
        <w:pStyle w:val="IASBSectionTitle2Ind"/>
      </w:pPr>
      <w:r>
        <w:t>Assets subject to operating leases in which the acquiree is the lessor</w:t>
      </w:r>
    </w:p>
    <w:p w14:paraId="6EDC98FD" w14:textId="77777777" w:rsidR="00FD4BA8" w:rsidRDefault="009A1D2F">
      <w:pPr>
        <w:pStyle w:val="IASBNormalnpara"/>
      </w:pPr>
      <w:r>
        <w:t>B42</w:t>
      </w:r>
      <w:r>
        <w:tab/>
        <w:t xml:space="preserve">In measuring the acquisition-date fair value of an asset such as a building or a patent that is subject to an operating lease in which the acquiree is the lessor, the acquirer shall take into account the terms of the lease. </w:t>
      </w:r>
      <w:r>
        <w:rPr>
          <w:strike/>
        </w:rPr>
        <w:t>In other words, t</w:t>
      </w:r>
      <w:r>
        <w:rPr>
          <w:u w:val="single"/>
        </w:rPr>
        <w:t>T</w:t>
      </w:r>
      <w:r>
        <w:t xml:space="preserve">he acquirer does not recognise a separate asset or liability if the terms of an operating lease are either favourable or unfavourable when compared with market terms </w:t>
      </w:r>
      <w:r>
        <w:rPr>
          <w:strike/>
        </w:rPr>
        <w:t>as paragraph B29 requires for leases in which the acquiree is the lessee</w:t>
      </w:r>
      <w:r>
        <w:t>.</w:t>
      </w:r>
    </w:p>
    <w:p w14:paraId="1FE614DA" w14:textId="77777777" w:rsidR="00FD4BA8" w:rsidRPr="00F20AA3" w:rsidRDefault="00E27198">
      <w:pPr>
        <w:pStyle w:val="IASBSectionTitle1NonInd"/>
        <w:pBdr>
          <w:bottom w:val="none" w:sz="0" w:space="0" w:color="auto"/>
        </w:pBdr>
      </w:pPr>
      <w:r>
        <w:t>AASB 4</w:t>
      </w:r>
      <w:r w:rsidR="009A1D2F">
        <w:t xml:space="preserve"> </w:t>
      </w:r>
      <w:r w:rsidR="009A1D2F">
        <w:rPr>
          <w:i/>
        </w:rPr>
        <w:t>Insurance Contracts</w:t>
      </w:r>
      <w:r w:rsidR="00F20AA3">
        <w:t xml:space="preserve"> (August 2015)</w:t>
      </w:r>
    </w:p>
    <w:p w14:paraId="58BABB3F"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8"/>
        <w:tblDescription w:val="Amendments to AASB 4"/>
      </w:tblPr>
      <w:tblGrid>
        <w:gridCol w:w="9208"/>
      </w:tblGrid>
      <w:tr w:rsidR="00FD4BA8" w14:paraId="4F02EE0F" w14:textId="77777777" w:rsidTr="00F463F5">
        <w:trPr>
          <w:cantSplit/>
        </w:trPr>
        <w:tc>
          <w:tcPr>
            <w:tcW w:w="9208" w:type="dxa"/>
            <w:tcBorders>
              <w:top w:val="single" w:sz="4" w:space="0" w:color="auto"/>
              <w:left w:val="single" w:sz="4" w:space="0" w:color="auto"/>
              <w:bottom w:val="single" w:sz="4" w:space="0" w:color="auto"/>
              <w:right w:val="single" w:sz="4" w:space="0" w:color="auto"/>
            </w:tcBorders>
          </w:tcPr>
          <w:p w14:paraId="0EAE47BE" w14:textId="77777777" w:rsidR="00FD4BA8" w:rsidRDefault="009A1D2F" w:rsidP="00CD550C">
            <w:pPr>
              <w:pStyle w:val="IASBTableArial"/>
            </w:pPr>
            <w:r>
              <w:t>Paragraph 4 is amended and paragraph 41I is added.</w:t>
            </w:r>
          </w:p>
        </w:tc>
      </w:tr>
    </w:tbl>
    <w:p w14:paraId="71BA4226" w14:textId="77777777" w:rsidR="00FD4BA8" w:rsidRDefault="009A1D2F">
      <w:pPr>
        <w:pStyle w:val="IASBSectionTitle1NonInd"/>
      </w:pPr>
      <w:r>
        <w:t>Scope</w:t>
      </w:r>
    </w:p>
    <w:p w14:paraId="1188978E" w14:textId="77777777" w:rsidR="00FD4BA8" w:rsidRDefault="009A1D2F">
      <w:pPr>
        <w:pStyle w:val="IASBNormalnpara"/>
      </w:pPr>
      <w:r>
        <w:tab/>
        <w:t>...</w:t>
      </w:r>
    </w:p>
    <w:p w14:paraId="402ADDDB" w14:textId="77777777" w:rsidR="00FD4BA8" w:rsidRDefault="009A1D2F">
      <w:pPr>
        <w:pStyle w:val="IASBNormalnpara"/>
      </w:pPr>
      <w:r>
        <w:t>4</w:t>
      </w:r>
      <w:r>
        <w:tab/>
        <w:t xml:space="preserve">An entity shall not apply </w:t>
      </w:r>
      <w:r w:rsidR="00E27198">
        <w:t>this Standard</w:t>
      </w:r>
      <w:r>
        <w:t xml:space="preserve"> to:</w:t>
      </w:r>
    </w:p>
    <w:p w14:paraId="478DE809" w14:textId="77777777" w:rsidR="00FD4BA8" w:rsidRDefault="009A1D2F">
      <w:pPr>
        <w:pStyle w:val="IASBNormalnparaL1"/>
      </w:pPr>
      <w:r>
        <w:t>(a)</w:t>
      </w:r>
      <w:r>
        <w:tab/>
        <w:t>...</w:t>
      </w:r>
    </w:p>
    <w:p w14:paraId="2A0B7411" w14:textId="77777777" w:rsidR="00FD4BA8" w:rsidRDefault="009A1D2F">
      <w:pPr>
        <w:pStyle w:val="IASBNormalnparaL1"/>
      </w:pPr>
      <w:r>
        <w:t>(c)</w:t>
      </w:r>
      <w:r>
        <w:tab/>
        <w:t xml:space="preserve">contractual rights or contractual obligations that are contingent on the future use of, or right to use, a non-financial item (for example, some licence fees, royalties, </w:t>
      </w:r>
      <w:r>
        <w:rPr>
          <w:strike/>
        </w:rPr>
        <w:t>contingent</w:t>
      </w:r>
      <w:r>
        <w:t xml:space="preserve"> </w:t>
      </w:r>
      <w:r>
        <w:rPr>
          <w:u w:val="single"/>
        </w:rPr>
        <w:t>variable</w:t>
      </w:r>
      <w:r>
        <w:t xml:space="preserve"> lease payments and similar items), as well as a lessee’s residual value guarantee embedded in a </w:t>
      </w:r>
      <w:r>
        <w:rPr>
          <w:strike/>
        </w:rPr>
        <w:t>finance</w:t>
      </w:r>
      <w:r>
        <w:t xml:space="preserve"> lease (see</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w:t>
      </w:r>
      <w:r w:rsidR="00E27198">
        <w:t xml:space="preserve"> AASB 15</w:t>
      </w:r>
      <w:r>
        <w:t xml:space="preserve"> </w:t>
      </w:r>
      <w:r>
        <w:rPr>
          <w:i/>
        </w:rPr>
        <w:t>Revenue from Contracts with Customers</w:t>
      </w:r>
      <w:r>
        <w:t xml:space="preserve"> and</w:t>
      </w:r>
      <w:r w:rsidR="00E27198">
        <w:t xml:space="preserve"> AASB 138</w:t>
      </w:r>
      <w:r>
        <w:t xml:space="preserve"> </w:t>
      </w:r>
      <w:r>
        <w:rPr>
          <w:i/>
        </w:rPr>
        <w:t>Intangible Assets</w:t>
      </w:r>
      <w:r>
        <w:t>).</w:t>
      </w:r>
    </w:p>
    <w:p w14:paraId="14707F01" w14:textId="77777777" w:rsidR="00FD4BA8" w:rsidRDefault="009A1D2F">
      <w:pPr>
        <w:pStyle w:val="IASBNormalnparaL1"/>
      </w:pPr>
      <w:r>
        <w:t>(d)</w:t>
      </w:r>
      <w:r>
        <w:tab/>
        <w:t>...</w:t>
      </w:r>
    </w:p>
    <w:p w14:paraId="32A31017" w14:textId="77777777" w:rsidR="00FD4BA8" w:rsidRDefault="009A1D2F">
      <w:pPr>
        <w:pStyle w:val="IASBSectionTitle1NonInd"/>
      </w:pPr>
      <w:r>
        <w:t>Effective date and transition</w:t>
      </w:r>
    </w:p>
    <w:p w14:paraId="34ACFFDF" w14:textId="77777777" w:rsidR="00FD4BA8" w:rsidRDefault="009A1D2F">
      <w:pPr>
        <w:pStyle w:val="IASBNormalnpara"/>
      </w:pPr>
      <w:r>
        <w:tab/>
        <w:t>...</w:t>
      </w:r>
    </w:p>
    <w:p w14:paraId="6BE0ECB8" w14:textId="77777777" w:rsidR="00FD4BA8" w:rsidRDefault="009A1D2F">
      <w:pPr>
        <w:pStyle w:val="IASBNormalnpara"/>
      </w:pPr>
      <w:r>
        <w:rPr>
          <w:u w:val="single"/>
        </w:rPr>
        <w:t>41I</w:t>
      </w:r>
      <w:r w:rsidRPr="00F463F5">
        <w:tab/>
      </w:r>
      <w:r w:rsidR="00E27198">
        <w:rPr>
          <w:u w:val="single"/>
        </w:rPr>
        <w:t>AASB 16</w:t>
      </w:r>
      <w:r>
        <w:rPr>
          <w:u w:val="single"/>
        </w:rPr>
        <w:t xml:space="preserve">, issued in </w:t>
      </w:r>
      <w:r w:rsidR="00757948">
        <w:rPr>
          <w:u w:val="single"/>
        </w:rPr>
        <w:t>February 2016</w:t>
      </w:r>
      <w:r>
        <w:rPr>
          <w:u w:val="single"/>
        </w:rPr>
        <w:t>, amended paragraph 4. An entity shall apply that amendment when it applies</w:t>
      </w:r>
      <w:r w:rsidR="00E27198">
        <w:rPr>
          <w:u w:val="single"/>
        </w:rPr>
        <w:t xml:space="preserve"> AASB 16</w:t>
      </w:r>
      <w:r>
        <w:rPr>
          <w:u w:val="single"/>
        </w:rPr>
        <w:t>.</w:t>
      </w:r>
    </w:p>
    <w:p w14:paraId="2EE63F76" w14:textId="77777777" w:rsidR="00FD4BA8" w:rsidRPr="00F20AA3" w:rsidRDefault="00E27198">
      <w:pPr>
        <w:pStyle w:val="IASBSectionTitle1NonInd"/>
        <w:pBdr>
          <w:bottom w:val="none" w:sz="0" w:space="0" w:color="auto"/>
        </w:pBdr>
      </w:pPr>
      <w:r>
        <w:t>AASB 7</w:t>
      </w:r>
      <w:r w:rsidR="009A1D2F">
        <w:t xml:space="preserve"> </w:t>
      </w:r>
      <w:r w:rsidR="009A1D2F">
        <w:rPr>
          <w:i/>
        </w:rPr>
        <w:t>Financial Instruments: Disclosures</w:t>
      </w:r>
      <w:r w:rsidR="00F20AA3">
        <w:t xml:space="preserve"> (August 2015)</w:t>
      </w:r>
    </w:p>
    <w:p w14:paraId="521D6C01"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9"/>
        <w:tblDescription w:val="Amendments to AASB 4"/>
      </w:tblPr>
      <w:tblGrid>
        <w:gridCol w:w="9208"/>
      </w:tblGrid>
      <w:tr w:rsidR="00FD4BA8" w14:paraId="2597668D" w14:textId="77777777" w:rsidTr="00E91D8E">
        <w:trPr>
          <w:cantSplit/>
        </w:trPr>
        <w:tc>
          <w:tcPr>
            <w:tcW w:w="9208" w:type="dxa"/>
            <w:tcBorders>
              <w:top w:val="single" w:sz="4" w:space="0" w:color="auto"/>
              <w:left w:val="single" w:sz="4" w:space="0" w:color="auto"/>
              <w:bottom w:val="single" w:sz="4" w:space="0" w:color="auto"/>
              <w:right w:val="single" w:sz="4" w:space="0" w:color="auto"/>
            </w:tcBorders>
          </w:tcPr>
          <w:p w14:paraId="4DC54FE8" w14:textId="77777777" w:rsidR="00FD4BA8" w:rsidRDefault="009A1D2F" w:rsidP="00E91D8E">
            <w:pPr>
              <w:pStyle w:val="IASBTableArial"/>
            </w:pPr>
            <w:r>
              <w:t>Paragraph 29 is amended and paragraph 44CC is added.</w:t>
            </w:r>
          </w:p>
        </w:tc>
      </w:tr>
    </w:tbl>
    <w:p w14:paraId="64526DF1" w14:textId="77777777" w:rsidR="00FD4BA8" w:rsidRDefault="009A1D2F">
      <w:pPr>
        <w:pStyle w:val="IASBSectionTitle2Ind"/>
      </w:pPr>
      <w:r>
        <w:lastRenderedPageBreak/>
        <w:t>Fair value</w:t>
      </w:r>
    </w:p>
    <w:p w14:paraId="4950A332" w14:textId="77777777" w:rsidR="00FD4BA8" w:rsidRDefault="009A1D2F">
      <w:pPr>
        <w:pStyle w:val="IASBNormalnpara"/>
      </w:pPr>
      <w:r>
        <w:tab/>
        <w:t>...</w:t>
      </w:r>
    </w:p>
    <w:p w14:paraId="35919D8A" w14:textId="77777777" w:rsidR="00FD4BA8" w:rsidRDefault="009A1D2F">
      <w:pPr>
        <w:pStyle w:val="IASBNormalnpara"/>
      </w:pPr>
      <w:r>
        <w:t>29</w:t>
      </w:r>
      <w:r>
        <w:tab/>
        <w:t>Disclosures of fair value are not required:</w:t>
      </w:r>
    </w:p>
    <w:p w14:paraId="2E5591F3" w14:textId="77777777" w:rsidR="00FD4BA8" w:rsidRDefault="009A1D2F">
      <w:pPr>
        <w:pStyle w:val="IASBNormalnparaL1"/>
      </w:pPr>
      <w:r>
        <w:t>(a)</w:t>
      </w:r>
      <w:r>
        <w:tab/>
        <w:t>...</w:t>
      </w:r>
    </w:p>
    <w:p w14:paraId="23CCD073" w14:textId="77777777" w:rsidR="00FD4BA8" w:rsidRDefault="009A1D2F">
      <w:pPr>
        <w:pStyle w:val="IASBNormalnparaL1"/>
      </w:pPr>
      <w:r>
        <w:t>(b)</w:t>
      </w:r>
      <w:r>
        <w:tab/>
        <w:t>for an investment in equity instruments that do not have a quoted price in an active market for an identical instrument (ie a Level 1 input), or derivatives linked to such equity instruments, that is measured at cost in accordance with</w:t>
      </w:r>
      <w:r w:rsidR="00E27198">
        <w:t xml:space="preserve"> AASB 139</w:t>
      </w:r>
      <w:r>
        <w:t xml:space="preserve"> because its fair value cannot otherwise be measured reliably; </w:t>
      </w:r>
      <w:r>
        <w:rPr>
          <w:strike/>
        </w:rPr>
        <w:t>or</w:t>
      </w:r>
    </w:p>
    <w:p w14:paraId="036595F6" w14:textId="77777777" w:rsidR="00FD4BA8" w:rsidRDefault="009A1D2F">
      <w:pPr>
        <w:pStyle w:val="IASBNormalnparaL1"/>
      </w:pPr>
      <w:r>
        <w:t>(c)</w:t>
      </w:r>
      <w:r>
        <w:tab/>
        <w:t>for a contract containing a discretionary participation feature (as described in</w:t>
      </w:r>
      <w:r w:rsidR="00E27198">
        <w:t xml:space="preserve"> AASB 4</w:t>
      </w:r>
      <w:r>
        <w:t>) if the fair value of that feature cannot be measured reliably</w:t>
      </w:r>
      <w:r>
        <w:rPr>
          <w:u w:val="single"/>
        </w:rPr>
        <w:t>; or</w:t>
      </w:r>
    </w:p>
    <w:p w14:paraId="6B36AB19" w14:textId="77777777" w:rsidR="00FD4BA8" w:rsidRDefault="009A1D2F">
      <w:pPr>
        <w:pStyle w:val="IASBNormalnparaL1"/>
      </w:pPr>
      <w:r w:rsidRPr="00E91D8E">
        <w:rPr>
          <w:u w:val="single"/>
        </w:rPr>
        <w:t>(d)</w:t>
      </w:r>
      <w:r>
        <w:tab/>
      </w:r>
      <w:r>
        <w:rPr>
          <w:u w:val="single"/>
        </w:rPr>
        <w:t>for lease liabilities</w:t>
      </w:r>
      <w:r>
        <w:t>.</w:t>
      </w:r>
    </w:p>
    <w:p w14:paraId="2B4EC8C8" w14:textId="77777777" w:rsidR="00FD4BA8" w:rsidRDefault="009A1D2F">
      <w:pPr>
        <w:pStyle w:val="IASBSectionTitle1NonInd"/>
      </w:pPr>
      <w:r>
        <w:t>Effective date and transition</w:t>
      </w:r>
    </w:p>
    <w:p w14:paraId="08796D50" w14:textId="77777777" w:rsidR="00FD4BA8" w:rsidRDefault="009A1D2F">
      <w:pPr>
        <w:pStyle w:val="IASBNormalnpara"/>
      </w:pPr>
      <w:r>
        <w:tab/>
        <w:t>…</w:t>
      </w:r>
    </w:p>
    <w:p w14:paraId="35634292" w14:textId="77777777" w:rsidR="00FD4BA8" w:rsidRDefault="009A1D2F">
      <w:pPr>
        <w:pStyle w:val="IASBNormalnpara"/>
      </w:pPr>
      <w:r>
        <w:rPr>
          <w:u w:val="single"/>
        </w:rPr>
        <w:t>44CC</w:t>
      </w:r>
      <w:r w:rsidRPr="00E91D8E">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29 and B11D. An entity shall apply those amendments when it applies</w:t>
      </w:r>
      <w:r w:rsidR="00E27198">
        <w:rPr>
          <w:u w:val="single"/>
        </w:rPr>
        <w:t xml:space="preserve"> AASB 16</w:t>
      </w:r>
      <w:r>
        <w:rPr>
          <w:u w:val="single"/>
        </w:rPr>
        <w:t>.</w:t>
      </w:r>
    </w:p>
    <w:p w14:paraId="3BFDB0D5"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0"/>
        <w:tblDescription w:val="Amendments to AASB 4"/>
      </w:tblPr>
      <w:tblGrid>
        <w:gridCol w:w="9208"/>
      </w:tblGrid>
      <w:tr w:rsidR="00FD4BA8" w14:paraId="54965870" w14:textId="77777777" w:rsidTr="00127791">
        <w:trPr>
          <w:cantSplit/>
        </w:trPr>
        <w:tc>
          <w:tcPr>
            <w:tcW w:w="9208" w:type="dxa"/>
            <w:tcBorders>
              <w:top w:val="single" w:sz="4" w:space="0" w:color="auto"/>
              <w:left w:val="single" w:sz="4" w:space="0" w:color="auto"/>
              <w:bottom w:val="single" w:sz="4" w:space="0" w:color="auto"/>
              <w:right w:val="single" w:sz="4" w:space="0" w:color="auto"/>
            </w:tcBorders>
          </w:tcPr>
          <w:p w14:paraId="0E75B466" w14:textId="77777777" w:rsidR="00FD4BA8" w:rsidRDefault="009A1D2F" w:rsidP="00127791">
            <w:pPr>
              <w:pStyle w:val="IASBTableArial"/>
            </w:pPr>
            <w:r>
              <w:t>In Appendix B, paragraph B11D is amended.</w:t>
            </w:r>
          </w:p>
        </w:tc>
      </w:tr>
    </w:tbl>
    <w:p w14:paraId="6CEE1376" w14:textId="77777777" w:rsidR="00FD4BA8" w:rsidRDefault="009A1D2F">
      <w:pPr>
        <w:pStyle w:val="IASBSectionTitle2Ind"/>
      </w:pPr>
      <w:r>
        <w:t>Quantitative liquidity risk disclosures (paragraphs 34(a) and 39(a) and (b))</w:t>
      </w:r>
    </w:p>
    <w:p w14:paraId="046D885D" w14:textId="77777777" w:rsidR="00FD4BA8" w:rsidRDefault="009A1D2F">
      <w:pPr>
        <w:pStyle w:val="IASBNormalnpara"/>
      </w:pPr>
      <w:r>
        <w:tab/>
        <w:t>…</w:t>
      </w:r>
    </w:p>
    <w:p w14:paraId="7914F9E0" w14:textId="77777777" w:rsidR="00FD4BA8" w:rsidRDefault="009A1D2F">
      <w:pPr>
        <w:pStyle w:val="IASBNormalnpara"/>
      </w:pPr>
      <w:r>
        <w:t>B11D</w:t>
      </w:r>
      <w:r>
        <w:tab/>
        <w:t>The contractual amounts disclosed in the maturity analyses as required by paragraph 39(a) and (b) are the contractual undiscounted cash flows, for example:</w:t>
      </w:r>
    </w:p>
    <w:p w14:paraId="34C2F904" w14:textId="77777777" w:rsidR="00FD4BA8" w:rsidRDefault="009A1D2F">
      <w:pPr>
        <w:pStyle w:val="IASBNormalnparaL1"/>
      </w:pPr>
      <w:r>
        <w:t>(a)</w:t>
      </w:r>
      <w:r>
        <w:tab/>
        <w:t xml:space="preserve">gross </w:t>
      </w:r>
      <w:r>
        <w:rPr>
          <w:strike/>
        </w:rPr>
        <w:t>finance</w:t>
      </w:r>
      <w:r>
        <w:t xml:space="preserve"> lease </w:t>
      </w:r>
      <w:r>
        <w:rPr>
          <w:strike/>
        </w:rPr>
        <w:t>obligations</w:t>
      </w:r>
      <w:r>
        <w:t xml:space="preserve"> </w:t>
      </w:r>
      <w:r>
        <w:rPr>
          <w:u w:val="single"/>
        </w:rPr>
        <w:t>liabilities</w:t>
      </w:r>
      <w:r>
        <w:t xml:space="preserve"> (before deducting finance charges);</w:t>
      </w:r>
    </w:p>
    <w:p w14:paraId="36D7E4FF" w14:textId="77777777" w:rsidR="00FD4BA8" w:rsidRDefault="009A1D2F">
      <w:pPr>
        <w:pStyle w:val="IASBNormalnparaL1"/>
      </w:pPr>
      <w:r>
        <w:t>(b)</w:t>
      </w:r>
      <w:r>
        <w:tab/>
        <w:t>...</w:t>
      </w:r>
    </w:p>
    <w:p w14:paraId="1EB41B93" w14:textId="77777777" w:rsidR="00FD4BA8" w:rsidRPr="00B95EF6" w:rsidRDefault="00E27198">
      <w:pPr>
        <w:pStyle w:val="IASBSectionTitle1NonInd"/>
        <w:pBdr>
          <w:bottom w:val="none" w:sz="0" w:space="0" w:color="auto"/>
        </w:pBdr>
      </w:pPr>
      <w:r>
        <w:t>AASB 9</w:t>
      </w:r>
      <w:r w:rsidR="009A1D2F">
        <w:t xml:space="preserve"> </w:t>
      </w:r>
      <w:r w:rsidR="009A1D2F">
        <w:rPr>
          <w:i/>
        </w:rPr>
        <w:t>Financial Instruments</w:t>
      </w:r>
      <w:r w:rsidR="00B95EF6">
        <w:t xml:space="preserve"> (December 2014)</w:t>
      </w:r>
    </w:p>
    <w:p w14:paraId="7E929424"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1"/>
        <w:tblDescription w:val="Amendments to AASB 9"/>
      </w:tblPr>
      <w:tblGrid>
        <w:gridCol w:w="9208"/>
      </w:tblGrid>
      <w:tr w:rsidR="00FD4BA8" w14:paraId="2E3B96A2" w14:textId="77777777" w:rsidTr="00127791">
        <w:trPr>
          <w:cantSplit/>
        </w:trPr>
        <w:tc>
          <w:tcPr>
            <w:tcW w:w="9208" w:type="dxa"/>
            <w:tcBorders>
              <w:top w:val="single" w:sz="4" w:space="0" w:color="auto"/>
              <w:left w:val="single" w:sz="4" w:space="0" w:color="auto"/>
              <w:bottom w:val="single" w:sz="4" w:space="0" w:color="auto"/>
              <w:right w:val="single" w:sz="4" w:space="0" w:color="auto"/>
            </w:tcBorders>
          </w:tcPr>
          <w:p w14:paraId="584A1CB1" w14:textId="77777777" w:rsidR="00FD4BA8" w:rsidRDefault="009A1D2F" w:rsidP="00127791">
            <w:pPr>
              <w:pStyle w:val="IASBTableArial"/>
            </w:pPr>
            <w:r>
              <w:t>Paragraph 2.1 and paragraph 5.5.15 are amended and paragraph 7.1.5 is added.</w:t>
            </w:r>
          </w:p>
        </w:tc>
      </w:tr>
    </w:tbl>
    <w:p w14:paraId="2A6A11D5" w14:textId="77777777" w:rsidR="00FD4BA8" w:rsidRDefault="009A1D2F">
      <w:pPr>
        <w:pStyle w:val="IASBSectionTitle2Ind"/>
      </w:pPr>
      <w:r>
        <w:t>Chapter 2 Scope</w:t>
      </w:r>
    </w:p>
    <w:p w14:paraId="423AF4B1" w14:textId="77777777" w:rsidR="00FD4BA8" w:rsidRDefault="009A1D2F">
      <w:pPr>
        <w:pStyle w:val="IASBNormalnpara"/>
        <w:rPr>
          <w:b/>
        </w:rPr>
      </w:pPr>
      <w:r>
        <w:rPr>
          <w:b/>
        </w:rPr>
        <w:t>2.1</w:t>
      </w:r>
      <w:r>
        <w:rPr>
          <w:b/>
        </w:rPr>
        <w:tab/>
        <w:t>This Standard shall be applied by all entities to all types of financial instruments except:</w:t>
      </w:r>
    </w:p>
    <w:p w14:paraId="6AC9FBBF" w14:textId="77777777" w:rsidR="00FD4BA8" w:rsidRDefault="009A1D2F">
      <w:pPr>
        <w:pStyle w:val="IASBNormalnparaL1"/>
        <w:rPr>
          <w:b/>
        </w:rPr>
      </w:pPr>
      <w:r>
        <w:rPr>
          <w:b/>
        </w:rPr>
        <w:t>(a)</w:t>
      </w:r>
      <w:r>
        <w:rPr>
          <w:b/>
        </w:rPr>
        <w:tab/>
        <w:t>...</w:t>
      </w:r>
    </w:p>
    <w:p w14:paraId="61CBB93C" w14:textId="77777777" w:rsidR="00FD4BA8" w:rsidRDefault="009A1D2F">
      <w:pPr>
        <w:pStyle w:val="IASBNormalnparaL1"/>
        <w:rPr>
          <w:b/>
        </w:rPr>
      </w:pPr>
      <w:r>
        <w:rPr>
          <w:b/>
        </w:rPr>
        <w:t>(b)</w:t>
      </w:r>
      <w:r>
        <w:rPr>
          <w:b/>
        </w:rPr>
        <w:tab/>
        <w:t>rights and obligations under leases to which</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xml:space="preserve"> </w:t>
      </w:r>
      <w:r>
        <w:rPr>
          <w:b/>
          <w:i/>
        </w:rPr>
        <w:t>Leases</w:t>
      </w:r>
      <w:r>
        <w:rPr>
          <w:b/>
        </w:rPr>
        <w:t xml:space="preserve"> applies. However:</w:t>
      </w:r>
    </w:p>
    <w:p w14:paraId="5F8E0D89" w14:textId="77777777" w:rsidR="00FD4BA8" w:rsidRDefault="009A1D2F">
      <w:pPr>
        <w:pStyle w:val="IASBNormalnparaL2"/>
        <w:rPr>
          <w:b/>
        </w:rPr>
      </w:pPr>
      <w:r>
        <w:rPr>
          <w:b/>
        </w:rPr>
        <w:t>(i)</w:t>
      </w:r>
      <w:r>
        <w:rPr>
          <w:b/>
        </w:rPr>
        <w:tab/>
      </w:r>
      <w:r>
        <w:rPr>
          <w:b/>
          <w:u w:val="single"/>
        </w:rPr>
        <w:t>finance</w:t>
      </w:r>
      <w:r>
        <w:rPr>
          <w:b/>
        </w:rPr>
        <w:t xml:space="preserve"> lease receivables </w:t>
      </w:r>
      <w:r>
        <w:rPr>
          <w:b/>
          <w:u w:val="single"/>
        </w:rPr>
        <w:t>(ie net investments in finance leases) and operating lease receivables</w:t>
      </w:r>
      <w:r>
        <w:rPr>
          <w:b/>
        </w:rPr>
        <w:t xml:space="preserve"> recognised by a lessor are subject to the derecognition and impairment requirements of this Standard;</w:t>
      </w:r>
    </w:p>
    <w:p w14:paraId="67AA1955" w14:textId="77777777" w:rsidR="00FD4BA8" w:rsidRDefault="009A1D2F">
      <w:pPr>
        <w:pStyle w:val="IASBNormalnparaL2"/>
        <w:rPr>
          <w:b/>
        </w:rPr>
      </w:pPr>
      <w:r>
        <w:rPr>
          <w:b/>
        </w:rPr>
        <w:t>(ii)</w:t>
      </w:r>
      <w:r>
        <w:rPr>
          <w:b/>
        </w:rPr>
        <w:tab/>
      </w:r>
      <w:r>
        <w:rPr>
          <w:b/>
          <w:strike/>
        </w:rPr>
        <w:t>finance</w:t>
      </w:r>
      <w:r>
        <w:rPr>
          <w:b/>
        </w:rPr>
        <w:t xml:space="preserve"> lease </w:t>
      </w:r>
      <w:r>
        <w:rPr>
          <w:b/>
          <w:strike/>
        </w:rPr>
        <w:t>payables</w:t>
      </w:r>
      <w:r>
        <w:rPr>
          <w:b/>
        </w:rPr>
        <w:t xml:space="preserve"> </w:t>
      </w:r>
      <w:r>
        <w:rPr>
          <w:b/>
          <w:u w:val="single"/>
        </w:rPr>
        <w:t>liabilities</w:t>
      </w:r>
      <w:r>
        <w:rPr>
          <w:b/>
        </w:rPr>
        <w:t xml:space="preserve"> recognised by a lessee are subject to the derecognition requirements </w:t>
      </w:r>
      <w:r>
        <w:rPr>
          <w:b/>
          <w:u w:val="single"/>
        </w:rPr>
        <w:t>in paragraph 3.3.1</w:t>
      </w:r>
      <w:r>
        <w:rPr>
          <w:b/>
        </w:rPr>
        <w:t xml:space="preserve"> of this Standard; and</w:t>
      </w:r>
    </w:p>
    <w:p w14:paraId="039AC68C" w14:textId="77777777" w:rsidR="00FD4BA8" w:rsidRDefault="009A1D2F">
      <w:pPr>
        <w:pStyle w:val="IASBNormalnparaL2"/>
        <w:rPr>
          <w:b/>
        </w:rPr>
      </w:pPr>
      <w:r>
        <w:rPr>
          <w:b/>
        </w:rPr>
        <w:t>(iii)</w:t>
      </w:r>
      <w:r>
        <w:rPr>
          <w:b/>
        </w:rPr>
        <w:tab/>
        <w:t>derivatives that are embedded in leases are subject to the embedded derivatives requirements of this Standard.</w:t>
      </w:r>
    </w:p>
    <w:p w14:paraId="63BF9537" w14:textId="77777777" w:rsidR="00FD4BA8" w:rsidRDefault="009A1D2F">
      <w:pPr>
        <w:pStyle w:val="IASBNormalnparaL1"/>
        <w:rPr>
          <w:b/>
        </w:rPr>
      </w:pPr>
      <w:r>
        <w:rPr>
          <w:b/>
        </w:rPr>
        <w:t>(c)</w:t>
      </w:r>
      <w:r>
        <w:rPr>
          <w:b/>
        </w:rPr>
        <w:tab/>
        <w:t>...</w:t>
      </w:r>
    </w:p>
    <w:p w14:paraId="47CC4D33" w14:textId="77777777" w:rsidR="00FD4BA8" w:rsidRDefault="009A1D2F">
      <w:pPr>
        <w:pStyle w:val="IASBSectionTitle2Ind"/>
      </w:pPr>
      <w:r>
        <w:lastRenderedPageBreak/>
        <w:t>Simplified approach for trade receivables, contract assets and lease receivables</w:t>
      </w:r>
    </w:p>
    <w:p w14:paraId="03BA7ECA" w14:textId="77777777" w:rsidR="00FD4BA8" w:rsidRDefault="009A1D2F">
      <w:pPr>
        <w:pStyle w:val="IASBNormalnpara"/>
        <w:rPr>
          <w:b/>
        </w:rPr>
      </w:pPr>
      <w:r>
        <w:rPr>
          <w:b/>
        </w:rPr>
        <w:t>5.5.15</w:t>
      </w:r>
      <w:r>
        <w:rPr>
          <w:b/>
        </w:rPr>
        <w:tab/>
        <w:t>Despite paragraphs 5.5.3 and 5.5.5, an entity shall always measure the loss allowance at an amount equal to lifetime expected credit losses for:</w:t>
      </w:r>
    </w:p>
    <w:p w14:paraId="249EB605" w14:textId="77777777" w:rsidR="00FD4BA8" w:rsidRDefault="009A1D2F">
      <w:pPr>
        <w:pStyle w:val="IASBNormalnparaL1"/>
        <w:rPr>
          <w:b/>
        </w:rPr>
      </w:pPr>
      <w:r>
        <w:rPr>
          <w:b/>
        </w:rPr>
        <w:t>(a)</w:t>
      </w:r>
      <w:r>
        <w:rPr>
          <w:b/>
        </w:rPr>
        <w:tab/>
        <w:t>…</w:t>
      </w:r>
    </w:p>
    <w:p w14:paraId="77B99EDA" w14:textId="77777777" w:rsidR="00FD4BA8" w:rsidRDefault="009A1D2F">
      <w:pPr>
        <w:pStyle w:val="IASBNormalnparaL1"/>
        <w:rPr>
          <w:b/>
        </w:rPr>
      </w:pPr>
      <w:r>
        <w:rPr>
          <w:b/>
        </w:rPr>
        <w:t>(b)</w:t>
      </w:r>
      <w:r>
        <w:rPr>
          <w:b/>
        </w:rPr>
        <w:tab/>
        <w:t>lease receivables that result from transactions that are within the scope of</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if the entity chooses as its accounting policy to measure the loss allowance at an amount equal to lifetime expected credit losses. That accounting policy shall be applied to all lease receivables but may be applied separately to finance and operating lease receivables.</w:t>
      </w:r>
    </w:p>
    <w:p w14:paraId="27100483" w14:textId="77777777" w:rsidR="00FD4BA8" w:rsidRDefault="009A1D2F">
      <w:pPr>
        <w:pStyle w:val="IASBNormalnparaP"/>
      </w:pPr>
      <w:r>
        <w:t>...</w:t>
      </w:r>
    </w:p>
    <w:p w14:paraId="2C89DE0C" w14:textId="77777777" w:rsidR="00FD4BA8" w:rsidRDefault="009A1D2F">
      <w:pPr>
        <w:pStyle w:val="IASBSectionTitle1NonInd"/>
      </w:pPr>
      <w:r>
        <w:t>7.1 Effective date</w:t>
      </w:r>
    </w:p>
    <w:p w14:paraId="40183EA3" w14:textId="77777777" w:rsidR="00FD4BA8" w:rsidRDefault="009A1D2F">
      <w:pPr>
        <w:pStyle w:val="IASBNormalnpara"/>
      </w:pPr>
      <w:r>
        <w:tab/>
        <w:t>...</w:t>
      </w:r>
    </w:p>
    <w:p w14:paraId="7D27C99B" w14:textId="77777777" w:rsidR="00FD4BA8" w:rsidRDefault="009A1D2F">
      <w:pPr>
        <w:pStyle w:val="IASBNormalnpara"/>
      </w:pPr>
      <w:r>
        <w:rPr>
          <w:u w:val="single"/>
        </w:rPr>
        <w:t>7.1.5</w:t>
      </w:r>
      <w:r w:rsidRPr="00CE69A7">
        <w:tab/>
      </w:r>
      <w:r w:rsidR="00E27198">
        <w:rPr>
          <w:u w:val="single"/>
        </w:rPr>
        <w:t>AASB 16</w:t>
      </w:r>
      <w:r>
        <w:rPr>
          <w:u w:val="single"/>
        </w:rPr>
        <w:t xml:space="preserve">, issued in </w:t>
      </w:r>
      <w:r w:rsidR="00757948">
        <w:rPr>
          <w:u w:val="single"/>
        </w:rPr>
        <w:t>February 2016</w:t>
      </w:r>
      <w:r>
        <w:rPr>
          <w:u w:val="single"/>
        </w:rPr>
        <w:t>, amended paragraphs 2.1, 5.5.15, B4.3.8, B5.5.34 and B5.5.46. An entity shall apply those amendments when it applies</w:t>
      </w:r>
      <w:r w:rsidR="00E27198">
        <w:rPr>
          <w:u w:val="single"/>
        </w:rPr>
        <w:t xml:space="preserve"> AASB 16</w:t>
      </w:r>
      <w:r>
        <w:rPr>
          <w:u w:val="single"/>
        </w:rPr>
        <w:t>.</w:t>
      </w:r>
    </w:p>
    <w:p w14:paraId="7A6E29B4"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2"/>
        <w:tblDescription w:val="Amendments to AASB 9"/>
      </w:tblPr>
      <w:tblGrid>
        <w:gridCol w:w="9208"/>
      </w:tblGrid>
      <w:tr w:rsidR="00FD4BA8" w14:paraId="72FAC39E" w14:textId="77777777" w:rsidTr="00CE69A7">
        <w:trPr>
          <w:cantSplit/>
        </w:trPr>
        <w:tc>
          <w:tcPr>
            <w:tcW w:w="9208" w:type="dxa"/>
            <w:tcBorders>
              <w:top w:val="single" w:sz="4" w:space="0" w:color="auto"/>
              <w:left w:val="single" w:sz="4" w:space="0" w:color="auto"/>
              <w:bottom w:val="single" w:sz="4" w:space="0" w:color="auto"/>
              <w:right w:val="single" w:sz="4" w:space="0" w:color="auto"/>
            </w:tcBorders>
          </w:tcPr>
          <w:p w14:paraId="6F42DBE5" w14:textId="77777777" w:rsidR="00FD4BA8" w:rsidRDefault="009A1D2F" w:rsidP="00CE69A7">
            <w:pPr>
              <w:pStyle w:val="IASBTableArial"/>
            </w:pPr>
            <w:r>
              <w:t>In Appendix B, paragraphs B4.3.8, B5.5.34 and B5.5.46 are amended.</w:t>
            </w:r>
          </w:p>
        </w:tc>
      </w:tr>
    </w:tbl>
    <w:p w14:paraId="4F38571B" w14:textId="77777777" w:rsidR="00FD4BA8" w:rsidRDefault="009A1D2F">
      <w:pPr>
        <w:pStyle w:val="IASBSectionTitle2Ind"/>
      </w:pPr>
      <w:r>
        <w:t>Embedded derivatives (Section 4.3)</w:t>
      </w:r>
    </w:p>
    <w:p w14:paraId="3F728179" w14:textId="77777777" w:rsidR="00FD4BA8" w:rsidRDefault="009A1D2F">
      <w:pPr>
        <w:pStyle w:val="IASBNormalnpara"/>
      </w:pPr>
      <w:r>
        <w:tab/>
        <w:t>...</w:t>
      </w:r>
    </w:p>
    <w:p w14:paraId="26DDD08E" w14:textId="77777777" w:rsidR="00FD4BA8" w:rsidRDefault="009A1D2F">
      <w:pPr>
        <w:pStyle w:val="IASBNormalnpara"/>
      </w:pPr>
      <w:r>
        <w:t>B4.3.8</w:t>
      </w:r>
      <w:r>
        <w:tab/>
        <w:t>The economic characteristics and risks of an embedded derivative are closely related to the economic characteristics and risks of the host contract in the following examples. In these examples, an entity does not account for the embedded derivative separately from the host contract.</w:t>
      </w:r>
    </w:p>
    <w:p w14:paraId="2696AA02" w14:textId="77777777" w:rsidR="00FD4BA8" w:rsidRDefault="009A1D2F">
      <w:pPr>
        <w:pStyle w:val="IASBNormalnparaL1"/>
      </w:pPr>
      <w:r>
        <w:t>(a)</w:t>
      </w:r>
      <w:r>
        <w:tab/>
        <w:t>...</w:t>
      </w:r>
    </w:p>
    <w:p w14:paraId="7D04E112" w14:textId="77777777" w:rsidR="00FD4BA8" w:rsidRDefault="009A1D2F">
      <w:pPr>
        <w:pStyle w:val="IASBNormalnparaL1"/>
      </w:pPr>
      <w:r>
        <w:t>(f)</w:t>
      </w:r>
      <w:r>
        <w:tab/>
        <w:t xml:space="preserve">An embedded derivative in a host lease contract is closely related to the host contract if the embedded derivative is (i) an inflation-related index such as an index of lease payments to a consumer price index (provided that the lease is not leveraged and the index relates to inflation in the entity’s own economic environment), (ii) </w:t>
      </w:r>
      <w:r>
        <w:rPr>
          <w:strike/>
        </w:rPr>
        <w:t>contingent rentals</w:t>
      </w:r>
      <w:r>
        <w:t xml:space="preserve"> </w:t>
      </w:r>
      <w:r>
        <w:rPr>
          <w:u w:val="single"/>
        </w:rPr>
        <w:t>variable lease payments</w:t>
      </w:r>
      <w:r>
        <w:t xml:space="preserve"> based on related sales or (iii) </w:t>
      </w:r>
      <w:r>
        <w:rPr>
          <w:strike/>
        </w:rPr>
        <w:t>contingent rentals</w:t>
      </w:r>
      <w:r>
        <w:t xml:space="preserve"> </w:t>
      </w:r>
      <w:r>
        <w:rPr>
          <w:u w:val="single"/>
        </w:rPr>
        <w:t>variable lease payments</w:t>
      </w:r>
      <w:r>
        <w:t xml:space="preserve"> based on variable interest rates.</w:t>
      </w:r>
    </w:p>
    <w:p w14:paraId="3F3B6148" w14:textId="77777777" w:rsidR="00FD4BA8" w:rsidRDefault="009A1D2F">
      <w:pPr>
        <w:pStyle w:val="IASBNormalnparaL1"/>
      </w:pPr>
      <w:r>
        <w:t>(g)</w:t>
      </w:r>
      <w:r>
        <w:tab/>
        <w:t>...</w:t>
      </w:r>
    </w:p>
    <w:p w14:paraId="640FD6CE" w14:textId="77777777" w:rsidR="00FD4BA8" w:rsidRDefault="009A1D2F">
      <w:pPr>
        <w:pStyle w:val="IASBSectionTitle2Ind"/>
      </w:pPr>
      <w:r>
        <w:t>Expected credit losses</w:t>
      </w:r>
    </w:p>
    <w:p w14:paraId="4EB079E5" w14:textId="77777777" w:rsidR="00FD4BA8" w:rsidRDefault="009A1D2F">
      <w:pPr>
        <w:pStyle w:val="IASBNormalnpara"/>
      </w:pPr>
      <w:r>
        <w:tab/>
        <w:t>…</w:t>
      </w:r>
    </w:p>
    <w:p w14:paraId="634136F5" w14:textId="77777777" w:rsidR="00FD4BA8" w:rsidRDefault="009A1D2F">
      <w:pPr>
        <w:pStyle w:val="IASBNormalnpara"/>
      </w:pPr>
      <w:r>
        <w:t>B5.5.34</w:t>
      </w:r>
      <w:r>
        <w:tab/>
        <w:t>When measuring a loss allowance for a lease receivable, the cash flows used for determining the expected credit losses should be consistent with the cash flows used in measuring the lease receivable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w:t>
      </w:r>
    </w:p>
    <w:p w14:paraId="57E63D01" w14:textId="77777777" w:rsidR="00FD4BA8" w:rsidRDefault="009A1D2F">
      <w:pPr>
        <w:pStyle w:val="IASBNormalnpara"/>
      </w:pPr>
      <w:r>
        <w:tab/>
        <w:t>...</w:t>
      </w:r>
    </w:p>
    <w:p w14:paraId="36BF2DB3" w14:textId="77777777" w:rsidR="00FD4BA8" w:rsidRDefault="009A1D2F">
      <w:pPr>
        <w:pStyle w:val="IASBSectionTitle2NonInd"/>
      </w:pPr>
      <w:r>
        <w:t>Time value of money</w:t>
      </w:r>
    </w:p>
    <w:p w14:paraId="5F48F9CD" w14:textId="77777777" w:rsidR="00FD4BA8" w:rsidRDefault="009A1D2F">
      <w:pPr>
        <w:pStyle w:val="IASBNormalnpara"/>
      </w:pPr>
      <w:r>
        <w:tab/>
        <w:t>...</w:t>
      </w:r>
    </w:p>
    <w:p w14:paraId="0DA41C25" w14:textId="77777777" w:rsidR="00FD4BA8" w:rsidRDefault="009A1D2F">
      <w:pPr>
        <w:pStyle w:val="IASBNormalnpara"/>
      </w:pPr>
      <w:r>
        <w:t>B5.5.46</w:t>
      </w:r>
      <w:r>
        <w:tab/>
        <w:t>Expected credit losses on lease receivables shall be discounted using the same discount rate used in the measurement of the lease receivable in accordance with</w:t>
      </w:r>
      <w:r w:rsidR="00E27198">
        <w:t xml:space="preserve"> </w:t>
      </w:r>
      <w:r w:rsidR="00E27198" w:rsidRPr="00ED51CE">
        <w:rPr>
          <w:strike/>
        </w:rPr>
        <w:t>AASB 117</w:t>
      </w:r>
      <w:r w:rsidR="00E27198">
        <w:t xml:space="preserve"> </w:t>
      </w:r>
      <w:r w:rsidR="00E27198" w:rsidRPr="00ED51CE">
        <w:rPr>
          <w:u w:val="single"/>
        </w:rPr>
        <w:t>AASB 16</w:t>
      </w:r>
      <w:r>
        <w:t>.</w:t>
      </w:r>
    </w:p>
    <w:p w14:paraId="6BD875C8" w14:textId="77777777" w:rsidR="00FD4BA8" w:rsidRDefault="009A1D2F">
      <w:pPr>
        <w:pStyle w:val="IASBNormalnpara"/>
      </w:pPr>
      <w:r>
        <w:tab/>
        <w:t>...</w:t>
      </w:r>
    </w:p>
    <w:p w14:paraId="6A2B584A" w14:textId="77777777" w:rsidR="00FD4BA8" w:rsidRPr="00B95EF6" w:rsidRDefault="00E27198">
      <w:pPr>
        <w:pStyle w:val="IASBSectionTitle1NonInd"/>
        <w:pBdr>
          <w:bottom w:val="none" w:sz="0" w:space="0" w:color="auto"/>
        </w:pBdr>
      </w:pPr>
      <w:r>
        <w:lastRenderedPageBreak/>
        <w:t>AASB 13</w:t>
      </w:r>
      <w:r w:rsidR="009A1D2F">
        <w:t xml:space="preserve"> </w:t>
      </w:r>
      <w:r w:rsidR="009A1D2F">
        <w:rPr>
          <w:i/>
        </w:rPr>
        <w:t>Fair Value Measurement</w:t>
      </w:r>
      <w:r w:rsidR="00B95EF6">
        <w:t xml:space="preserve"> (August 2015)</w:t>
      </w:r>
    </w:p>
    <w:p w14:paraId="1BE6F89C" w14:textId="77777777" w:rsidR="00FD4BA8" w:rsidRDefault="00FD4BA8" w:rsidP="006B4B75">
      <w:pPr>
        <w:pStyle w:val="IASBNormalnpara"/>
        <w:keepNext/>
      </w:pPr>
    </w:p>
    <w:tbl>
      <w:tblPr>
        <w:tblW w:w="0" w:type="auto"/>
        <w:tblLayout w:type="fixed"/>
        <w:tblCellMar>
          <w:bottom w:w="85" w:type="dxa"/>
        </w:tblCellMar>
        <w:tblLook w:val="0000" w:firstRow="0" w:lastRow="0" w:firstColumn="0" w:lastColumn="0" w:noHBand="0" w:noVBand="0"/>
        <w:tblCaption w:val="AASB 16 Table 13"/>
        <w:tblDescription w:val="Amendments to AASB 13"/>
      </w:tblPr>
      <w:tblGrid>
        <w:gridCol w:w="9208"/>
      </w:tblGrid>
      <w:tr w:rsidR="00FD4BA8" w14:paraId="49488BF3" w14:textId="77777777" w:rsidTr="007951BD">
        <w:trPr>
          <w:cantSplit/>
        </w:trPr>
        <w:tc>
          <w:tcPr>
            <w:tcW w:w="9208" w:type="dxa"/>
            <w:tcBorders>
              <w:top w:val="single" w:sz="4" w:space="0" w:color="auto"/>
              <w:left w:val="single" w:sz="4" w:space="0" w:color="auto"/>
              <w:bottom w:val="single" w:sz="4" w:space="0" w:color="auto"/>
              <w:right w:val="single" w:sz="4" w:space="0" w:color="auto"/>
            </w:tcBorders>
          </w:tcPr>
          <w:p w14:paraId="06DC3777" w14:textId="77777777" w:rsidR="00FD4BA8" w:rsidRDefault="009A1D2F" w:rsidP="007951BD">
            <w:pPr>
              <w:pStyle w:val="IASBTableArial"/>
            </w:pPr>
            <w:r>
              <w:t>Paragraph 6 is amended.</w:t>
            </w:r>
          </w:p>
        </w:tc>
      </w:tr>
    </w:tbl>
    <w:p w14:paraId="184D16F6" w14:textId="77777777" w:rsidR="00FD4BA8" w:rsidRDefault="009A1D2F">
      <w:pPr>
        <w:pStyle w:val="IASBSectionTitle1NonInd"/>
      </w:pPr>
      <w:r>
        <w:t>Scope</w:t>
      </w:r>
    </w:p>
    <w:p w14:paraId="6076AC83" w14:textId="77777777" w:rsidR="00FD4BA8" w:rsidRDefault="009A1D2F">
      <w:pPr>
        <w:pStyle w:val="IASBNormalnpara"/>
      </w:pPr>
      <w:r>
        <w:tab/>
        <w:t>...</w:t>
      </w:r>
    </w:p>
    <w:p w14:paraId="43C512ED" w14:textId="77777777" w:rsidR="00FD4BA8" w:rsidRDefault="009A1D2F">
      <w:pPr>
        <w:pStyle w:val="IASBNormalnpara"/>
      </w:pPr>
      <w:r>
        <w:t>6</w:t>
      </w:r>
      <w:r>
        <w:tab/>
        <w:t xml:space="preserve">The measurement and disclosure requirements of </w:t>
      </w:r>
      <w:r w:rsidR="00E27198">
        <w:t>this Standard</w:t>
      </w:r>
      <w:r>
        <w:t xml:space="preserve"> do not apply to the following:</w:t>
      </w:r>
    </w:p>
    <w:p w14:paraId="7A73F92B" w14:textId="77777777" w:rsidR="00FD4BA8" w:rsidRDefault="009A1D2F">
      <w:pPr>
        <w:pStyle w:val="IASBNormalnparaL1"/>
      </w:pPr>
      <w:r>
        <w:t>(a)</w:t>
      </w:r>
      <w:r>
        <w:tab/>
        <w:t>...</w:t>
      </w:r>
    </w:p>
    <w:p w14:paraId="4E2AD61D" w14:textId="77777777" w:rsidR="00FD4BA8" w:rsidRDefault="009A1D2F">
      <w:pPr>
        <w:pStyle w:val="IASBNormalnparaL1"/>
      </w:pPr>
      <w:r>
        <w:t>(b)</w:t>
      </w:r>
      <w:r>
        <w:tab/>
        <w:t xml:space="preserve">leasing transactions </w:t>
      </w:r>
      <w:r>
        <w:rPr>
          <w:strike/>
        </w:rPr>
        <w:t>within the scope of</w:t>
      </w:r>
      <w:r w:rsidR="00E27198">
        <w:rPr>
          <w:strike/>
        </w:rPr>
        <w:t xml:space="preserve"> AASB 117</w:t>
      </w:r>
      <w:r>
        <w:t xml:space="preserve"> </w:t>
      </w:r>
      <w:r>
        <w:rPr>
          <w:u w:val="single"/>
        </w:rPr>
        <w:t>accounted for in accordance with</w:t>
      </w:r>
      <w:r w:rsidR="00E27198">
        <w:rPr>
          <w:u w:val="single"/>
        </w:rPr>
        <w:t xml:space="preserve"> AASB 16</w:t>
      </w:r>
      <w:r>
        <w:t xml:space="preserve"> </w:t>
      </w:r>
      <w:r>
        <w:rPr>
          <w:i/>
        </w:rPr>
        <w:t>Leases</w:t>
      </w:r>
      <w:r>
        <w:t>; and</w:t>
      </w:r>
    </w:p>
    <w:p w14:paraId="5C64FB2A" w14:textId="77777777" w:rsidR="00FD4BA8" w:rsidRDefault="009A1D2F">
      <w:pPr>
        <w:pStyle w:val="IASBNormalnparaL1"/>
      </w:pPr>
      <w:r>
        <w:t>(c)</w:t>
      </w:r>
      <w:r>
        <w:tab/>
        <w:t>...</w:t>
      </w:r>
    </w:p>
    <w:p w14:paraId="290451ED"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4"/>
        <w:tblDescription w:val="Amendments to AASB 13"/>
      </w:tblPr>
      <w:tblGrid>
        <w:gridCol w:w="9208"/>
      </w:tblGrid>
      <w:tr w:rsidR="00FD4BA8" w14:paraId="79FE0AAC" w14:textId="77777777" w:rsidTr="007951BD">
        <w:trPr>
          <w:cantSplit/>
        </w:trPr>
        <w:tc>
          <w:tcPr>
            <w:tcW w:w="9208" w:type="dxa"/>
            <w:tcBorders>
              <w:top w:val="single" w:sz="4" w:space="0" w:color="auto"/>
              <w:left w:val="single" w:sz="4" w:space="0" w:color="auto"/>
              <w:bottom w:val="single" w:sz="4" w:space="0" w:color="auto"/>
              <w:right w:val="single" w:sz="4" w:space="0" w:color="auto"/>
            </w:tcBorders>
          </w:tcPr>
          <w:p w14:paraId="25C7B882" w14:textId="77777777" w:rsidR="00FD4BA8" w:rsidRDefault="009A1D2F" w:rsidP="007951BD">
            <w:pPr>
              <w:pStyle w:val="IASBTableArial"/>
            </w:pPr>
            <w:r>
              <w:t>In Appendix C, paragraph C6 is added.</w:t>
            </w:r>
          </w:p>
        </w:tc>
      </w:tr>
    </w:tbl>
    <w:p w14:paraId="021AA07C" w14:textId="77777777" w:rsidR="00FD4BA8" w:rsidRDefault="009A1D2F">
      <w:pPr>
        <w:pStyle w:val="IASBSectionTitle2Ind"/>
      </w:pPr>
      <w:r>
        <w:t>Effective date and transition</w:t>
      </w:r>
    </w:p>
    <w:p w14:paraId="528B77BB" w14:textId="77777777" w:rsidR="00FD4BA8" w:rsidRDefault="009A1D2F">
      <w:pPr>
        <w:pStyle w:val="IASBNormalnpara"/>
      </w:pPr>
      <w:r>
        <w:tab/>
        <w:t>...</w:t>
      </w:r>
    </w:p>
    <w:p w14:paraId="4B7D341A" w14:textId="77777777" w:rsidR="00FD4BA8" w:rsidRDefault="009A1D2F">
      <w:pPr>
        <w:pStyle w:val="IASBNormalnpara"/>
      </w:pPr>
      <w:r>
        <w:rPr>
          <w:u w:val="single"/>
        </w:rPr>
        <w:t>C6</w:t>
      </w:r>
      <w:r w:rsidRPr="00BB3A19">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6. An entity shall apply that amendment when it applies</w:t>
      </w:r>
      <w:r w:rsidR="00E27198">
        <w:rPr>
          <w:u w:val="single"/>
        </w:rPr>
        <w:t xml:space="preserve"> AASB 16</w:t>
      </w:r>
      <w:r>
        <w:rPr>
          <w:u w:val="single"/>
        </w:rPr>
        <w:t>.</w:t>
      </w:r>
    </w:p>
    <w:p w14:paraId="6BF707AC" w14:textId="77777777" w:rsidR="00FD4BA8" w:rsidRPr="00926C27" w:rsidRDefault="00E27198">
      <w:pPr>
        <w:pStyle w:val="IASBSectionTitle1NonInd"/>
        <w:pBdr>
          <w:bottom w:val="none" w:sz="0" w:space="0" w:color="auto"/>
        </w:pBdr>
      </w:pPr>
      <w:r>
        <w:t>AASB 15</w:t>
      </w:r>
      <w:r w:rsidR="009A1D2F">
        <w:t xml:space="preserve"> </w:t>
      </w:r>
      <w:r w:rsidR="009A1D2F">
        <w:rPr>
          <w:i/>
        </w:rPr>
        <w:t>Revenue from Contracts with Customers</w:t>
      </w:r>
      <w:r w:rsidR="00926C27">
        <w:t xml:space="preserve"> (</w:t>
      </w:r>
      <w:r w:rsidR="006025F3">
        <w:t>December 2014</w:t>
      </w:r>
      <w:r w:rsidR="00926C27">
        <w:t>)</w:t>
      </w:r>
    </w:p>
    <w:p w14:paraId="7EEE526F"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5"/>
        <w:tblDescription w:val="Amendments to AASB 15"/>
      </w:tblPr>
      <w:tblGrid>
        <w:gridCol w:w="9208"/>
      </w:tblGrid>
      <w:tr w:rsidR="00FD4BA8" w14:paraId="2254A2EA" w14:textId="77777777" w:rsidTr="005B4FC6">
        <w:trPr>
          <w:cantSplit/>
        </w:trPr>
        <w:tc>
          <w:tcPr>
            <w:tcW w:w="9208" w:type="dxa"/>
            <w:tcBorders>
              <w:top w:val="single" w:sz="4" w:space="0" w:color="auto"/>
              <w:left w:val="single" w:sz="4" w:space="0" w:color="auto"/>
              <w:bottom w:val="single" w:sz="4" w:space="0" w:color="auto"/>
              <w:right w:val="single" w:sz="4" w:space="0" w:color="auto"/>
            </w:tcBorders>
          </w:tcPr>
          <w:p w14:paraId="17DD5D65" w14:textId="77777777" w:rsidR="00FD4BA8" w:rsidRDefault="009A1D2F" w:rsidP="005B4FC6">
            <w:pPr>
              <w:pStyle w:val="IASBTableArial"/>
            </w:pPr>
            <w:r>
              <w:t>Paragraphs 5 and 97 are amended.</w:t>
            </w:r>
          </w:p>
        </w:tc>
      </w:tr>
    </w:tbl>
    <w:p w14:paraId="659DF32B" w14:textId="77777777" w:rsidR="00FD4BA8" w:rsidRDefault="009A1D2F">
      <w:pPr>
        <w:pStyle w:val="IASBSectionTitle1NonInd"/>
      </w:pPr>
      <w:r>
        <w:t>Scope</w:t>
      </w:r>
    </w:p>
    <w:p w14:paraId="77869993" w14:textId="77777777" w:rsidR="00FD4BA8" w:rsidRDefault="009A1D2F">
      <w:pPr>
        <w:pStyle w:val="IASBNormalnpara"/>
      </w:pPr>
      <w:r>
        <w:t>5</w:t>
      </w:r>
      <w:r>
        <w:tab/>
        <w:t>An entity shall apply this Standard to all contracts with customers, except the following:</w:t>
      </w:r>
    </w:p>
    <w:p w14:paraId="01BE9E42" w14:textId="77777777" w:rsidR="00FD4BA8" w:rsidRDefault="009A1D2F">
      <w:pPr>
        <w:pStyle w:val="IASBNormalnparaL1"/>
      </w:pPr>
      <w:r>
        <w:t>(a)</w:t>
      </w:r>
      <w:r>
        <w:tab/>
        <w:t>lease contracts within the scope of</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w:t>
      </w:r>
    </w:p>
    <w:p w14:paraId="08C9F537" w14:textId="77777777" w:rsidR="00FD4BA8" w:rsidRDefault="009A1D2F">
      <w:pPr>
        <w:pStyle w:val="IASBNormalnparaL1"/>
      </w:pPr>
      <w:r>
        <w:t>(b)</w:t>
      </w:r>
      <w:r>
        <w:tab/>
        <w:t>...</w:t>
      </w:r>
    </w:p>
    <w:p w14:paraId="46D0EB0A" w14:textId="77777777" w:rsidR="00FD4BA8" w:rsidRDefault="009A1D2F">
      <w:pPr>
        <w:pStyle w:val="IASBSectionTitle2Ind"/>
      </w:pPr>
      <w:r>
        <w:t>Costs to fulfil a contract</w:t>
      </w:r>
    </w:p>
    <w:p w14:paraId="57D5C7F9" w14:textId="77777777" w:rsidR="00FD4BA8" w:rsidRDefault="009A1D2F">
      <w:pPr>
        <w:pStyle w:val="IASBNormalnpara"/>
      </w:pPr>
      <w:r>
        <w:tab/>
        <w:t>...</w:t>
      </w:r>
    </w:p>
    <w:p w14:paraId="3F6574D9" w14:textId="77777777" w:rsidR="00FD4BA8" w:rsidRDefault="009A1D2F">
      <w:pPr>
        <w:pStyle w:val="IASBNormalnpara"/>
      </w:pPr>
      <w:r>
        <w:t>97</w:t>
      </w:r>
      <w:r>
        <w:tab/>
        <w:t>Costs that relate directly to a contract (or a specific anticipated contract) include any of the following:</w:t>
      </w:r>
    </w:p>
    <w:p w14:paraId="3240770F" w14:textId="77777777" w:rsidR="00FD4BA8" w:rsidRDefault="009A1D2F">
      <w:pPr>
        <w:pStyle w:val="IASBNormalnparaL1"/>
      </w:pPr>
      <w:r>
        <w:t>(a)</w:t>
      </w:r>
      <w:r>
        <w:tab/>
        <w:t>...</w:t>
      </w:r>
    </w:p>
    <w:p w14:paraId="6E244633" w14:textId="77777777" w:rsidR="00FD4BA8" w:rsidRDefault="009A1D2F">
      <w:pPr>
        <w:pStyle w:val="IASBNormalnparaL1"/>
      </w:pPr>
      <w:r>
        <w:t>(c)</w:t>
      </w:r>
      <w:r>
        <w:tab/>
        <w:t>allocations of costs that relate directly to the contract or to contract activities (for example, costs of contract management and supervision, insurance and depreciation of tools</w:t>
      </w:r>
      <w:r>
        <w:rPr>
          <w:u w:val="single"/>
        </w:rPr>
        <w:t>,</w:t>
      </w:r>
      <w:r>
        <w:t xml:space="preserve"> </w:t>
      </w:r>
      <w:r>
        <w:rPr>
          <w:strike/>
        </w:rPr>
        <w:t>and</w:t>
      </w:r>
      <w:r>
        <w:t xml:space="preserve"> equipment </w:t>
      </w:r>
      <w:r>
        <w:rPr>
          <w:u w:val="single"/>
        </w:rPr>
        <w:t>and right-of-use assets</w:t>
      </w:r>
      <w:r>
        <w:t xml:space="preserve"> used in fulfilling the contract);</w:t>
      </w:r>
    </w:p>
    <w:p w14:paraId="00A604DF" w14:textId="77777777" w:rsidR="00FD4BA8" w:rsidRDefault="009A1D2F">
      <w:pPr>
        <w:pStyle w:val="IASBNormalnparaL1"/>
      </w:pPr>
      <w:r>
        <w:t>(d)</w:t>
      </w:r>
      <w:r>
        <w:tab/>
        <w:t>...</w:t>
      </w:r>
    </w:p>
    <w:p w14:paraId="7C1599AD"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6"/>
        <w:tblDescription w:val="Amendments to AASB 15"/>
      </w:tblPr>
      <w:tblGrid>
        <w:gridCol w:w="9208"/>
      </w:tblGrid>
      <w:tr w:rsidR="00FD4BA8" w14:paraId="46959B10" w14:textId="77777777" w:rsidTr="002078BC">
        <w:trPr>
          <w:cantSplit/>
        </w:trPr>
        <w:tc>
          <w:tcPr>
            <w:tcW w:w="9208" w:type="dxa"/>
            <w:tcBorders>
              <w:top w:val="single" w:sz="4" w:space="0" w:color="auto"/>
              <w:left w:val="single" w:sz="4" w:space="0" w:color="auto"/>
              <w:bottom w:val="single" w:sz="4" w:space="0" w:color="auto"/>
              <w:right w:val="single" w:sz="4" w:space="0" w:color="auto"/>
            </w:tcBorders>
          </w:tcPr>
          <w:p w14:paraId="63B58AAB" w14:textId="77777777" w:rsidR="00FD4BA8" w:rsidRDefault="009A1D2F" w:rsidP="002078BC">
            <w:pPr>
              <w:pStyle w:val="IASBTableArial"/>
            </w:pPr>
            <w:r>
              <w:t>In Appendix B, paragraphs B66 and B70 are amended.</w:t>
            </w:r>
          </w:p>
        </w:tc>
      </w:tr>
    </w:tbl>
    <w:p w14:paraId="34ADA856" w14:textId="77777777" w:rsidR="00FD4BA8" w:rsidRDefault="009A1D2F">
      <w:pPr>
        <w:pStyle w:val="IASBSectionTitle2Ind"/>
      </w:pPr>
      <w:r>
        <w:t>A forward or a call option</w:t>
      </w:r>
    </w:p>
    <w:p w14:paraId="051FB50D" w14:textId="77777777" w:rsidR="00FD4BA8" w:rsidRDefault="009A1D2F">
      <w:pPr>
        <w:pStyle w:val="IASBNormalnpara"/>
      </w:pPr>
      <w:r>
        <w:t>B66</w:t>
      </w:r>
      <w:r>
        <w:tab/>
        <w:t xml:space="preserve">If an entity has an obligation or a right to repurchase the asset (a forward or a call option), a customer does not obtain control of the asset because the customer is limited in its ability to direct the use of, and obtain </w:t>
      </w:r>
      <w:r>
        <w:lastRenderedPageBreak/>
        <w:t>substantially all of the remaining benefits from, the asset even though the customer may have physical possession of the asset. Consequently, the entity shall account for the contract as either of the following:</w:t>
      </w:r>
    </w:p>
    <w:p w14:paraId="2C7163FA" w14:textId="77777777" w:rsidR="00FD4BA8" w:rsidRDefault="009A1D2F">
      <w:pPr>
        <w:pStyle w:val="IASBNormalnparaL1"/>
      </w:pPr>
      <w:r>
        <w:t>(a)</w:t>
      </w:r>
      <w:r>
        <w:tab/>
        <w:t>a lease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xml:space="preserve"> if the entity can or must repurchase the asset for an amount that is less than the original selling price of the asset</w:t>
      </w:r>
      <w:r>
        <w:rPr>
          <w:u w:val="single"/>
        </w:rPr>
        <w:t>, unless the contract is part of a sale and leaseback transaction. If the contract is part of a sale and leaseback transaction, the entity shall continue to recognise the asset and shall recognise a financial liability for any consideration received from the customer. The entity shall account for the financial liability in accordance with</w:t>
      </w:r>
      <w:r w:rsidR="00E27198">
        <w:rPr>
          <w:u w:val="single"/>
        </w:rPr>
        <w:t xml:space="preserve"> AASB 9</w:t>
      </w:r>
      <w:r>
        <w:t>; or</w:t>
      </w:r>
    </w:p>
    <w:p w14:paraId="151546C3" w14:textId="77777777" w:rsidR="00FD4BA8" w:rsidRDefault="009A1D2F">
      <w:pPr>
        <w:pStyle w:val="IASBNormalnparaL1"/>
      </w:pPr>
      <w:r>
        <w:t>(b)</w:t>
      </w:r>
      <w:r>
        <w:tab/>
        <w:t>...</w:t>
      </w:r>
    </w:p>
    <w:p w14:paraId="6C48719E" w14:textId="77777777" w:rsidR="00FD4BA8" w:rsidRDefault="009A1D2F">
      <w:pPr>
        <w:pStyle w:val="IASBSectionTitle2Ind"/>
      </w:pPr>
      <w:r>
        <w:t>A put option</w:t>
      </w:r>
    </w:p>
    <w:p w14:paraId="323B9EE1" w14:textId="77777777" w:rsidR="00FD4BA8" w:rsidRDefault="009A1D2F">
      <w:pPr>
        <w:pStyle w:val="IASBNormalnpara"/>
      </w:pPr>
      <w:r>
        <w:t>B70</w:t>
      </w:r>
      <w:r>
        <w:tab/>
        <w:t>If an entity has an obligation to repurchase the asset at the customer’s request (a put option) at a price that is lower than the original selling price of the asset, the entity shall consider at contract inception whether the customer has a significant economic incentive to exercise that right. The customer’s exercising of that right results in the customer effectively paying the entity consideration for the right to use a specified asset for a period of time. Therefore, if the customer has a significant economic incentive to exercise that right, the entity shall account for the agreement as a lease in accordance with</w:t>
      </w:r>
      <w:r w:rsidR="00E27198">
        <w:t xml:space="preserve"> </w:t>
      </w:r>
      <w:r w:rsidR="00E27198" w:rsidRPr="00ED51CE">
        <w:rPr>
          <w:strike/>
        </w:rPr>
        <w:t>AASB 117</w:t>
      </w:r>
      <w:r w:rsidR="00E27198">
        <w:t xml:space="preserve"> </w:t>
      </w:r>
      <w:r w:rsidR="00E27198" w:rsidRPr="00ED51CE">
        <w:rPr>
          <w:u w:val="single"/>
        </w:rPr>
        <w:t>AASB 16</w:t>
      </w:r>
      <w:r>
        <w:rPr>
          <w:u w:val="single"/>
        </w:rPr>
        <w:t>, unless the contract is part of a sale and leaseback transaction. If the contract is part of a sale and leaseback transaction, the entity shall continue to recognise the asset and shall recognise a financial liability for any consideration received from the customer. The entity shall account for the financial liability in accordance with</w:t>
      </w:r>
      <w:r w:rsidR="00E27198">
        <w:rPr>
          <w:u w:val="single"/>
        </w:rPr>
        <w:t xml:space="preserve"> AASB 9</w:t>
      </w:r>
      <w:r>
        <w:t>.</w:t>
      </w:r>
    </w:p>
    <w:p w14:paraId="344AE78B" w14:textId="77777777" w:rsidR="00FD4BA8" w:rsidRDefault="009A1D2F">
      <w:pPr>
        <w:pStyle w:val="IASBNormalnpara"/>
      </w:pPr>
      <w:r>
        <w:tab/>
        <w:t>...</w:t>
      </w:r>
    </w:p>
    <w:p w14:paraId="38A1961D"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7"/>
        <w:tblDescription w:val="Amendments to AASB 15"/>
      </w:tblPr>
      <w:tblGrid>
        <w:gridCol w:w="9208"/>
      </w:tblGrid>
      <w:tr w:rsidR="00FD4BA8" w14:paraId="2A40A61A" w14:textId="77777777" w:rsidTr="002078BC">
        <w:trPr>
          <w:cantSplit/>
        </w:trPr>
        <w:tc>
          <w:tcPr>
            <w:tcW w:w="9208" w:type="dxa"/>
            <w:tcBorders>
              <w:top w:val="single" w:sz="4" w:space="0" w:color="auto"/>
              <w:left w:val="single" w:sz="4" w:space="0" w:color="auto"/>
              <w:bottom w:val="single" w:sz="4" w:space="0" w:color="auto"/>
              <w:right w:val="single" w:sz="4" w:space="0" w:color="auto"/>
            </w:tcBorders>
          </w:tcPr>
          <w:p w14:paraId="2A08AF7A" w14:textId="77777777" w:rsidR="00FD4BA8" w:rsidRDefault="009A1D2F" w:rsidP="002078BC">
            <w:pPr>
              <w:pStyle w:val="IASBTableArial"/>
            </w:pPr>
            <w:r>
              <w:t>In Appendix C, paragraph C1A is added.</w:t>
            </w:r>
          </w:p>
        </w:tc>
      </w:tr>
    </w:tbl>
    <w:p w14:paraId="29AFEB0B" w14:textId="77777777" w:rsidR="00FD4BA8" w:rsidRDefault="009A1D2F">
      <w:pPr>
        <w:pStyle w:val="IASBSectionTitle1NonInd"/>
      </w:pPr>
      <w:r>
        <w:t>Effective date</w:t>
      </w:r>
    </w:p>
    <w:p w14:paraId="5CD8D4A5" w14:textId="77777777" w:rsidR="00FD4BA8" w:rsidRDefault="009A1D2F">
      <w:pPr>
        <w:pStyle w:val="IASBNormalnpara"/>
      </w:pPr>
      <w:r>
        <w:tab/>
        <w:t>…</w:t>
      </w:r>
    </w:p>
    <w:p w14:paraId="05629B02" w14:textId="77777777" w:rsidR="00FD4BA8" w:rsidRDefault="009A1D2F">
      <w:pPr>
        <w:pStyle w:val="IASBNormalnpara"/>
      </w:pPr>
      <w:r>
        <w:rPr>
          <w:u w:val="single"/>
        </w:rPr>
        <w:t>C1A</w:t>
      </w:r>
      <w:r w:rsidRPr="002078BC">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5, 97, B66 and B70. An entity shall apply those amendments when it applies</w:t>
      </w:r>
      <w:r w:rsidR="00E27198">
        <w:rPr>
          <w:u w:val="single"/>
        </w:rPr>
        <w:t xml:space="preserve"> AASB 16</w:t>
      </w:r>
      <w:r>
        <w:rPr>
          <w:u w:val="single"/>
        </w:rPr>
        <w:t>.</w:t>
      </w:r>
    </w:p>
    <w:p w14:paraId="32E13FC5" w14:textId="77777777" w:rsidR="00FD4BA8" w:rsidRPr="005407C8" w:rsidRDefault="00E27198">
      <w:pPr>
        <w:pStyle w:val="IASBSectionTitle1NonInd"/>
        <w:pBdr>
          <w:bottom w:val="none" w:sz="0" w:space="0" w:color="auto"/>
        </w:pBdr>
      </w:pPr>
      <w:r>
        <w:t>AASB 101</w:t>
      </w:r>
      <w:r w:rsidR="009A1D2F">
        <w:t xml:space="preserve"> </w:t>
      </w:r>
      <w:r w:rsidR="009A1D2F">
        <w:rPr>
          <w:i/>
        </w:rPr>
        <w:t>Presentation of Financial Statements</w:t>
      </w:r>
      <w:r w:rsidR="005407C8">
        <w:t xml:space="preserve"> (July 2015)</w:t>
      </w:r>
    </w:p>
    <w:p w14:paraId="06582A35"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8"/>
        <w:tblDescription w:val="Amendments to AASB 101"/>
      </w:tblPr>
      <w:tblGrid>
        <w:gridCol w:w="9208"/>
      </w:tblGrid>
      <w:tr w:rsidR="00FD4BA8" w14:paraId="6AE7DDD8" w14:textId="77777777" w:rsidTr="00A723D0">
        <w:trPr>
          <w:cantSplit/>
        </w:trPr>
        <w:tc>
          <w:tcPr>
            <w:tcW w:w="9208" w:type="dxa"/>
            <w:tcBorders>
              <w:top w:val="single" w:sz="4" w:space="0" w:color="auto"/>
              <w:left w:val="single" w:sz="4" w:space="0" w:color="auto"/>
              <w:bottom w:val="single" w:sz="4" w:space="0" w:color="auto"/>
              <w:right w:val="single" w:sz="4" w:space="0" w:color="auto"/>
            </w:tcBorders>
          </w:tcPr>
          <w:p w14:paraId="7F57EB39" w14:textId="77777777" w:rsidR="00FD4BA8" w:rsidRDefault="009A1D2F" w:rsidP="00A723D0">
            <w:pPr>
              <w:pStyle w:val="IASBTableArial"/>
            </w:pPr>
            <w:r>
              <w:t>Paragraph 123 is amended and paragraph 139Q is added.</w:t>
            </w:r>
          </w:p>
        </w:tc>
      </w:tr>
    </w:tbl>
    <w:p w14:paraId="3530613C" w14:textId="77777777" w:rsidR="00FD4BA8" w:rsidRDefault="009A1D2F">
      <w:pPr>
        <w:pStyle w:val="IASBSectionTitle2Ind"/>
      </w:pPr>
      <w:r>
        <w:t>Disclosure of accounting policies</w:t>
      </w:r>
    </w:p>
    <w:p w14:paraId="1C0F1829" w14:textId="77777777" w:rsidR="00FD4BA8" w:rsidRDefault="009A1D2F">
      <w:pPr>
        <w:pStyle w:val="IASBNormalnpara"/>
      </w:pPr>
      <w:r>
        <w:tab/>
        <w:t>…</w:t>
      </w:r>
    </w:p>
    <w:p w14:paraId="0A1E9CD0" w14:textId="77777777" w:rsidR="00FD4BA8" w:rsidRDefault="009A1D2F">
      <w:pPr>
        <w:pStyle w:val="IASBNormalnpara"/>
      </w:pPr>
      <w:r>
        <w:t>123</w:t>
      </w:r>
      <w:r>
        <w:tab/>
        <w:t>In the process of applying the entity’s accounting policies, management makes various judgements, apart from those involving estimations, that can significantly affect the amounts it recognises in the financial statements. For example, management makes judgements in determining:</w:t>
      </w:r>
    </w:p>
    <w:p w14:paraId="537288B7" w14:textId="77777777" w:rsidR="00FD4BA8" w:rsidRDefault="009A1D2F">
      <w:pPr>
        <w:pStyle w:val="IASBNormalnparaL1"/>
      </w:pPr>
      <w:r>
        <w:t>(a)</w:t>
      </w:r>
      <w:r>
        <w:tab/>
        <w:t>...</w:t>
      </w:r>
    </w:p>
    <w:p w14:paraId="6BF3B450" w14:textId="77777777" w:rsidR="00FD4BA8" w:rsidRDefault="009A1D2F">
      <w:pPr>
        <w:pStyle w:val="IASBNormalnparaL1"/>
      </w:pPr>
      <w:r>
        <w:t>(b)</w:t>
      </w:r>
      <w:r>
        <w:tab/>
        <w:t>when substantially all the significant risks and rewards of ownership of financial assets and</w:t>
      </w:r>
      <w:r>
        <w:rPr>
          <w:u w:val="single"/>
        </w:rPr>
        <w:t>, for lessors,</w:t>
      </w:r>
      <w:r>
        <w:t xml:space="preserve"> </w:t>
      </w:r>
      <w:r>
        <w:rPr>
          <w:strike/>
        </w:rPr>
        <w:t>lease</w:t>
      </w:r>
      <w:r>
        <w:t xml:space="preserve"> assets </w:t>
      </w:r>
      <w:r>
        <w:rPr>
          <w:u w:val="single"/>
        </w:rPr>
        <w:t>subject to leases</w:t>
      </w:r>
      <w:r>
        <w:t xml:space="preserve"> are transferred to other entities; and</w:t>
      </w:r>
    </w:p>
    <w:p w14:paraId="7F59471C" w14:textId="77777777" w:rsidR="00FD4BA8" w:rsidRDefault="009A1D2F">
      <w:pPr>
        <w:pStyle w:val="IASBNormalnparaL1"/>
      </w:pPr>
      <w:r>
        <w:t>(c)</w:t>
      </w:r>
      <w:r>
        <w:tab/>
        <w:t>...</w:t>
      </w:r>
    </w:p>
    <w:p w14:paraId="1F0A0CA9" w14:textId="77777777" w:rsidR="00FD4BA8" w:rsidRDefault="009A1D2F">
      <w:pPr>
        <w:pStyle w:val="IASBSectionTitle1NonInd"/>
      </w:pPr>
      <w:r>
        <w:t>Transition and effective date</w:t>
      </w:r>
    </w:p>
    <w:p w14:paraId="5F94833D" w14:textId="77777777" w:rsidR="00FD4BA8" w:rsidRDefault="009A1D2F">
      <w:pPr>
        <w:pStyle w:val="IASBNormalnpara"/>
      </w:pPr>
      <w:r>
        <w:tab/>
        <w:t>...</w:t>
      </w:r>
    </w:p>
    <w:p w14:paraId="5F7B9ED0" w14:textId="77777777" w:rsidR="00FD4BA8" w:rsidRDefault="009A1D2F">
      <w:pPr>
        <w:pStyle w:val="IASBNormalnpara"/>
      </w:pPr>
      <w:r>
        <w:rPr>
          <w:u w:val="single"/>
        </w:rPr>
        <w:t>139Q</w:t>
      </w:r>
      <w:r w:rsidRPr="00A723D0">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123. An entity shall apply that amendment when it applies</w:t>
      </w:r>
      <w:r w:rsidR="00E27198">
        <w:rPr>
          <w:u w:val="single"/>
        </w:rPr>
        <w:t xml:space="preserve"> AASB 16</w:t>
      </w:r>
      <w:r>
        <w:rPr>
          <w:u w:val="single"/>
        </w:rPr>
        <w:t>.</w:t>
      </w:r>
    </w:p>
    <w:p w14:paraId="248881BB" w14:textId="77777777" w:rsidR="00FD4BA8" w:rsidRPr="005407C8" w:rsidRDefault="00E27198">
      <w:pPr>
        <w:pStyle w:val="IASBSectionTitle1NonInd"/>
        <w:pBdr>
          <w:bottom w:val="none" w:sz="0" w:space="0" w:color="auto"/>
        </w:pBdr>
      </w:pPr>
      <w:r>
        <w:lastRenderedPageBreak/>
        <w:t>AASB 102</w:t>
      </w:r>
      <w:r w:rsidR="009A1D2F">
        <w:t xml:space="preserve"> </w:t>
      </w:r>
      <w:r w:rsidR="009A1D2F">
        <w:rPr>
          <w:i/>
        </w:rPr>
        <w:t>Inventories</w:t>
      </w:r>
      <w:r w:rsidR="005407C8">
        <w:t xml:space="preserve"> (July 2015)</w:t>
      </w:r>
    </w:p>
    <w:p w14:paraId="23E5B98E"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19"/>
        <w:tblDescription w:val="Amendments to AASB 102"/>
      </w:tblPr>
      <w:tblGrid>
        <w:gridCol w:w="9208"/>
      </w:tblGrid>
      <w:tr w:rsidR="00FD4BA8" w14:paraId="517A2909" w14:textId="77777777" w:rsidTr="00953315">
        <w:trPr>
          <w:cantSplit/>
        </w:trPr>
        <w:tc>
          <w:tcPr>
            <w:tcW w:w="9208" w:type="dxa"/>
            <w:tcBorders>
              <w:top w:val="single" w:sz="4" w:space="0" w:color="auto"/>
              <w:left w:val="single" w:sz="4" w:space="0" w:color="auto"/>
              <w:bottom w:val="single" w:sz="4" w:space="0" w:color="auto"/>
              <w:right w:val="single" w:sz="4" w:space="0" w:color="auto"/>
            </w:tcBorders>
          </w:tcPr>
          <w:p w14:paraId="3F0C2F2A" w14:textId="77777777" w:rsidR="00FD4BA8" w:rsidRDefault="009A1D2F" w:rsidP="00953315">
            <w:pPr>
              <w:pStyle w:val="IASBTableArial"/>
            </w:pPr>
            <w:r>
              <w:t>Paragraph 12 is amended and paragraph 40G is added.</w:t>
            </w:r>
          </w:p>
        </w:tc>
      </w:tr>
    </w:tbl>
    <w:p w14:paraId="4C92E97B" w14:textId="77777777" w:rsidR="00FD4BA8" w:rsidRDefault="009A1D2F">
      <w:pPr>
        <w:pStyle w:val="IASBSectionTitle2Ind"/>
      </w:pPr>
      <w:r>
        <w:t>Costs of conversion</w:t>
      </w:r>
    </w:p>
    <w:p w14:paraId="3B13E355" w14:textId="77777777" w:rsidR="00FD4BA8" w:rsidRDefault="009A1D2F">
      <w:pPr>
        <w:pStyle w:val="IASBNormalnpara"/>
      </w:pPr>
      <w:r>
        <w:t>12</w:t>
      </w:r>
      <w:r>
        <w:tab/>
        <w:t>The costs of conversion of inventories include costs directly related to the units of production, such as direct labour. They also include a systematic allocation of fixed and variable production overheads that are incurred in converting materials into finished goods. Fixed production overheads are those indirect costs of production that remain relatively constant regardless of the volume of production, such as depreciation and maintenance of factory buildings</w:t>
      </w:r>
      <w:r>
        <w:rPr>
          <w:u w:val="single"/>
        </w:rPr>
        <w:t>,</w:t>
      </w:r>
      <w:r>
        <w:t xml:space="preserve"> </w:t>
      </w:r>
      <w:r>
        <w:rPr>
          <w:strike/>
        </w:rPr>
        <w:t>and</w:t>
      </w:r>
      <w:r>
        <w:t xml:space="preserve"> equipment </w:t>
      </w:r>
      <w:r>
        <w:rPr>
          <w:u w:val="single"/>
        </w:rPr>
        <w:t>and right-of-use assets used in the production process</w:t>
      </w:r>
      <w:r>
        <w:t>, and the cost of factory management and administration. Variable production overheads are those indirect costs of production that vary directly, or nearly directly, with the volume of production, such as indirect materials and indirect labour.</w:t>
      </w:r>
    </w:p>
    <w:p w14:paraId="050510F2" w14:textId="77777777" w:rsidR="00FD4BA8" w:rsidRDefault="009A1D2F">
      <w:pPr>
        <w:pStyle w:val="IASBNormalnpara"/>
      </w:pPr>
      <w:r>
        <w:tab/>
        <w:t>...</w:t>
      </w:r>
    </w:p>
    <w:p w14:paraId="2E67B7F5" w14:textId="77777777" w:rsidR="00FD4BA8" w:rsidRDefault="009A1D2F">
      <w:pPr>
        <w:pStyle w:val="IASBSectionTitle1NonInd"/>
      </w:pPr>
      <w:r>
        <w:t>Effective date</w:t>
      </w:r>
    </w:p>
    <w:p w14:paraId="5C08F3A4" w14:textId="77777777" w:rsidR="00FD4BA8" w:rsidRDefault="009A1D2F">
      <w:pPr>
        <w:pStyle w:val="IASBNormalnpara"/>
      </w:pPr>
      <w:r>
        <w:tab/>
        <w:t>…</w:t>
      </w:r>
    </w:p>
    <w:p w14:paraId="5E77B8E9" w14:textId="77777777" w:rsidR="00FD4BA8" w:rsidRDefault="009A1D2F">
      <w:pPr>
        <w:pStyle w:val="IASBNormalnpara"/>
      </w:pPr>
      <w:r>
        <w:rPr>
          <w:u w:val="single"/>
        </w:rPr>
        <w:t>40G</w:t>
      </w:r>
      <w:r w:rsidRPr="00E76FC8">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12. An entity shall apply that amendment when it applies</w:t>
      </w:r>
      <w:r w:rsidR="00E27198">
        <w:rPr>
          <w:u w:val="single"/>
        </w:rPr>
        <w:t xml:space="preserve"> AASB 16</w:t>
      </w:r>
      <w:r>
        <w:rPr>
          <w:u w:val="single"/>
        </w:rPr>
        <w:t>.</w:t>
      </w:r>
    </w:p>
    <w:p w14:paraId="31FDB6C9" w14:textId="77777777" w:rsidR="00FD4BA8" w:rsidRPr="005407C8" w:rsidRDefault="00E27198">
      <w:pPr>
        <w:pStyle w:val="IASBSectionTitle1NonInd"/>
        <w:pBdr>
          <w:bottom w:val="none" w:sz="0" w:space="0" w:color="auto"/>
        </w:pBdr>
      </w:pPr>
      <w:r>
        <w:t>AASB 107</w:t>
      </w:r>
      <w:r w:rsidR="009A1D2F">
        <w:t xml:space="preserve"> </w:t>
      </w:r>
      <w:r w:rsidR="009A1D2F">
        <w:rPr>
          <w:i/>
        </w:rPr>
        <w:t>Statement of Cash Flows</w:t>
      </w:r>
      <w:r w:rsidR="005407C8">
        <w:t xml:space="preserve"> (August 2015)</w:t>
      </w:r>
    </w:p>
    <w:p w14:paraId="6D5A0553"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0"/>
        <w:tblDescription w:val="Amendments to AASB 107"/>
      </w:tblPr>
      <w:tblGrid>
        <w:gridCol w:w="9208"/>
      </w:tblGrid>
      <w:tr w:rsidR="00FD4BA8" w14:paraId="7E5E3E72" w14:textId="77777777" w:rsidTr="00726D1E">
        <w:trPr>
          <w:cantSplit/>
        </w:trPr>
        <w:tc>
          <w:tcPr>
            <w:tcW w:w="9208" w:type="dxa"/>
            <w:tcBorders>
              <w:top w:val="single" w:sz="4" w:space="0" w:color="auto"/>
              <w:left w:val="single" w:sz="4" w:space="0" w:color="auto"/>
              <w:bottom w:val="single" w:sz="4" w:space="0" w:color="auto"/>
              <w:right w:val="single" w:sz="4" w:space="0" w:color="auto"/>
            </w:tcBorders>
          </w:tcPr>
          <w:p w14:paraId="318B25DB" w14:textId="77777777" w:rsidR="00941A03" w:rsidRDefault="00E1054A" w:rsidP="00726D1E">
            <w:pPr>
              <w:pStyle w:val="IASBTableArial"/>
            </w:pPr>
            <w:r>
              <w:t xml:space="preserve">Paragraphs Aus58.1 and Aus58.2 are renumbered to Aus52.1 and Aus52.2 respectively and with their related headings </w:t>
            </w:r>
            <w:r w:rsidR="00630BD1">
              <w:t>“</w:t>
            </w:r>
            <w:r w:rsidR="00941A03">
              <w:t>Commencement of the legislative instrument</w:t>
            </w:r>
            <w:r w:rsidR="00630BD1">
              <w:t>”</w:t>
            </w:r>
            <w:r w:rsidR="00941A03">
              <w:t xml:space="preserve"> and </w:t>
            </w:r>
            <w:r w:rsidR="00630BD1">
              <w:t>“</w:t>
            </w:r>
            <w:r w:rsidR="00941A03">
              <w:t>Withdrawal of AASB pronouncements</w:t>
            </w:r>
            <w:r>
              <w:t xml:space="preserve">” </w:t>
            </w:r>
            <w:r w:rsidR="00941A03">
              <w:t>are relocated to follow paragraph 52</w:t>
            </w:r>
            <w:r w:rsidR="00630BD1">
              <w:t>.</w:t>
            </w:r>
          </w:p>
          <w:p w14:paraId="42382131" w14:textId="77777777" w:rsidR="00FD4BA8" w:rsidRDefault="009A1D2F" w:rsidP="00726D1E">
            <w:pPr>
              <w:pStyle w:val="IASBTableArial"/>
            </w:pPr>
            <w:r>
              <w:t>Paragraphs 17 and 44 are amended and paragraph 59 is added.</w:t>
            </w:r>
          </w:p>
        </w:tc>
      </w:tr>
    </w:tbl>
    <w:p w14:paraId="7A9B86A4" w14:textId="77777777" w:rsidR="00FD4BA8" w:rsidRDefault="009A1D2F">
      <w:pPr>
        <w:pStyle w:val="IASBSectionTitle2Ind"/>
      </w:pPr>
      <w:r>
        <w:t>Financing activities</w:t>
      </w:r>
    </w:p>
    <w:p w14:paraId="3B893F76" w14:textId="77777777" w:rsidR="00FD4BA8" w:rsidRDefault="009A1D2F">
      <w:pPr>
        <w:pStyle w:val="IASBNormalnpara"/>
      </w:pPr>
      <w:r>
        <w:t>17</w:t>
      </w:r>
      <w:r>
        <w:tab/>
        <w:t>The separate disclosure of cash flows arising from financing activities is important because it is useful in predicting claims on future cash flows by providers of capital to the entity. Examples of cash flows arising from financing activities are:</w:t>
      </w:r>
    </w:p>
    <w:p w14:paraId="1B5456E1" w14:textId="77777777" w:rsidR="00FD4BA8" w:rsidRDefault="009A1D2F">
      <w:pPr>
        <w:pStyle w:val="IASBNormalnparaL1"/>
      </w:pPr>
      <w:r>
        <w:t>(a)</w:t>
      </w:r>
      <w:r>
        <w:tab/>
        <w:t>...</w:t>
      </w:r>
    </w:p>
    <w:p w14:paraId="0D95B462" w14:textId="77777777" w:rsidR="00FD4BA8" w:rsidRDefault="009A1D2F">
      <w:pPr>
        <w:pStyle w:val="IASBNormalnparaL1"/>
      </w:pPr>
      <w:r>
        <w:t>(e)</w:t>
      </w:r>
      <w:r>
        <w:tab/>
        <w:t xml:space="preserve">cash payments by a lessee for the reduction of the outstanding liability relating to a </w:t>
      </w:r>
      <w:r>
        <w:rPr>
          <w:strike/>
        </w:rPr>
        <w:t>finance</w:t>
      </w:r>
      <w:r>
        <w:t xml:space="preserve"> lease.</w:t>
      </w:r>
    </w:p>
    <w:p w14:paraId="4335C162" w14:textId="77777777" w:rsidR="00FD4BA8" w:rsidRDefault="009A1D2F">
      <w:pPr>
        <w:pStyle w:val="IASBSectionTitle1NonInd"/>
      </w:pPr>
      <w:r>
        <w:t>Non-cash transactions</w:t>
      </w:r>
    </w:p>
    <w:p w14:paraId="0048A5C5" w14:textId="77777777" w:rsidR="00FD4BA8" w:rsidRDefault="009A1D2F">
      <w:pPr>
        <w:pStyle w:val="IASBNormalnpara"/>
      </w:pPr>
      <w:r>
        <w:tab/>
        <w:t>...</w:t>
      </w:r>
    </w:p>
    <w:p w14:paraId="7E0C2FE2" w14:textId="77777777" w:rsidR="00FD4BA8" w:rsidRDefault="009A1D2F">
      <w:pPr>
        <w:pStyle w:val="IASBNormalnpara"/>
      </w:pPr>
      <w:r>
        <w:t>44</w:t>
      </w:r>
      <w:r>
        <w:tab/>
        <w:t>Many investing and financing activities do not have a direct impact on current cash flows although they do affect the capital and asset structure of an entity. The exclusion of non-cash transactions from the statement of cash flows is consistent with the objective of a statement of cash flows as these items do not involve cash flows in the current period. Examples of non-cash transactions are:</w:t>
      </w:r>
    </w:p>
    <w:p w14:paraId="3495EF95" w14:textId="77777777" w:rsidR="00FD4BA8" w:rsidRDefault="009A1D2F">
      <w:pPr>
        <w:pStyle w:val="IASBNormalnparaL1"/>
      </w:pPr>
      <w:r>
        <w:t>(a)</w:t>
      </w:r>
      <w:r>
        <w:tab/>
        <w:t xml:space="preserve">the acquisition of assets either by assuming directly related liabilities or by means of a </w:t>
      </w:r>
      <w:r>
        <w:rPr>
          <w:strike/>
        </w:rPr>
        <w:t>finance</w:t>
      </w:r>
      <w:r>
        <w:t xml:space="preserve"> lease;</w:t>
      </w:r>
    </w:p>
    <w:p w14:paraId="7715005E" w14:textId="77777777" w:rsidR="00FD4BA8" w:rsidRDefault="009A1D2F">
      <w:pPr>
        <w:pStyle w:val="IASBNormalnparaL1"/>
      </w:pPr>
      <w:r>
        <w:t>(b)</w:t>
      </w:r>
      <w:r>
        <w:tab/>
        <w:t>...</w:t>
      </w:r>
    </w:p>
    <w:p w14:paraId="7BBBFCCC" w14:textId="77777777" w:rsidR="00FD4BA8" w:rsidRDefault="009A1D2F">
      <w:pPr>
        <w:pStyle w:val="IASBSectionTitle1NonInd"/>
      </w:pPr>
      <w:r>
        <w:lastRenderedPageBreak/>
        <w:t>Effective date</w:t>
      </w:r>
    </w:p>
    <w:p w14:paraId="75DE189D" w14:textId="77777777" w:rsidR="00FD4BA8" w:rsidRDefault="009A1D2F">
      <w:pPr>
        <w:pStyle w:val="IASBNormalnpara"/>
      </w:pPr>
      <w:r>
        <w:tab/>
        <w:t>...</w:t>
      </w:r>
    </w:p>
    <w:p w14:paraId="64633EA3" w14:textId="77777777" w:rsidR="00FD4BA8" w:rsidRDefault="009A1D2F">
      <w:pPr>
        <w:pStyle w:val="IASBNormalnpara"/>
        <w:rPr>
          <w:u w:val="single"/>
        </w:rPr>
      </w:pPr>
      <w:r>
        <w:rPr>
          <w:u w:val="single"/>
        </w:rPr>
        <w:t>59</w:t>
      </w:r>
      <w:r w:rsidRPr="008153D6">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17 and 44. An entity shall apply those amendments when it applies</w:t>
      </w:r>
      <w:r w:rsidR="00E27198">
        <w:rPr>
          <w:u w:val="single"/>
        </w:rPr>
        <w:t xml:space="preserve"> AASB 16</w:t>
      </w:r>
      <w:r>
        <w:rPr>
          <w:u w:val="single"/>
        </w:rPr>
        <w:t>.</w:t>
      </w:r>
    </w:p>
    <w:p w14:paraId="4E66D9F1" w14:textId="77777777" w:rsidR="00F84865" w:rsidRDefault="00F84865" w:rsidP="00F84865">
      <w:pPr>
        <w:pStyle w:val="IASBNormalnpara"/>
      </w:pPr>
    </w:p>
    <w:tbl>
      <w:tblPr>
        <w:tblW w:w="0" w:type="auto"/>
        <w:tblLayout w:type="fixed"/>
        <w:tblCellMar>
          <w:bottom w:w="85" w:type="dxa"/>
        </w:tblCellMar>
        <w:tblLook w:val="0000" w:firstRow="0" w:lastRow="0" w:firstColumn="0" w:lastColumn="0" w:noHBand="0" w:noVBand="0"/>
        <w:tblCaption w:val="AASB 16 Table 20"/>
        <w:tblDescription w:val="Amendments to AASB 107"/>
      </w:tblPr>
      <w:tblGrid>
        <w:gridCol w:w="9208"/>
      </w:tblGrid>
      <w:tr w:rsidR="00F84865" w14:paraId="24B00810" w14:textId="77777777" w:rsidTr="001052B8">
        <w:trPr>
          <w:cantSplit/>
        </w:trPr>
        <w:tc>
          <w:tcPr>
            <w:tcW w:w="9208" w:type="dxa"/>
            <w:tcBorders>
              <w:top w:val="single" w:sz="4" w:space="0" w:color="auto"/>
              <w:left w:val="single" w:sz="4" w:space="0" w:color="auto"/>
              <w:bottom w:val="single" w:sz="4" w:space="0" w:color="auto"/>
              <w:right w:val="single" w:sz="4" w:space="0" w:color="auto"/>
            </w:tcBorders>
          </w:tcPr>
          <w:p w14:paraId="5AC3CD83" w14:textId="77777777" w:rsidR="00F84865" w:rsidRDefault="00F84865" w:rsidP="00CD550C">
            <w:pPr>
              <w:pStyle w:val="IASBTableArial"/>
            </w:pPr>
            <w:r>
              <w:t xml:space="preserve">In the Illustrative </w:t>
            </w:r>
            <w:r w:rsidR="00CD550C">
              <w:t>e</w:t>
            </w:r>
            <w:r>
              <w:t>xamples accompanying AASB 107, Example A is amended</w:t>
            </w:r>
            <w:r w:rsidR="006025F3">
              <w:t>.</w:t>
            </w:r>
          </w:p>
        </w:tc>
      </w:tr>
    </w:tbl>
    <w:p w14:paraId="6B930C98" w14:textId="08C46BF9" w:rsidR="00F84865" w:rsidRDefault="00F84865" w:rsidP="00F84865">
      <w:pPr>
        <w:pStyle w:val="IASBSectionTitle2NonInd"/>
      </w:pPr>
      <w:r>
        <w:t xml:space="preserve">A </w:t>
      </w:r>
      <w:r w:rsidR="00CE72F9">
        <w:t xml:space="preserve"> </w:t>
      </w:r>
      <w:r>
        <w:t>Statement of cash flows for an entity other than a financial institution</w:t>
      </w:r>
    </w:p>
    <w:p w14:paraId="035706E1" w14:textId="77777777" w:rsidR="00F84865" w:rsidRDefault="00F84865" w:rsidP="00F84865">
      <w:pPr>
        <w:pStyle w:val="IASBNormalnpara"/>
      </w:pPr>
      <w:r>
        <w:tab/>
        <w:t>...</w:t>
      </w:r>
    </w:p>
    <w:p w14:paraId="3CAF8954" w14:textId="77777777" w:rsidR="00F84865" w:rsidRDefault="00F84865" w:rsidP="00F84865">
      <w:pPr>
        <w:pStyle w:val="IASBNormalnpara"/>
      </w:pPr>
      <w:r>
        <w:t>3</w:t>
      </w:r>
      <w:r>
        <w:tab/>
        <w:t>The following additional information is also relevant for the preparation of the statements of cash flows:</w:t>
      </w:r>
    </w:p>
    <w:p w14:paraId="35344012" w14:textId="77777777" w:rsidR="00F84865" w:rsidRDefault="00F84865" w:rsidP="00F84865">
      <w:pPr>
        <w:pStyle w:val="IASBNormalnparaL1"/>
      </w:pPr>
      <w:r>
        <w:t>•</w:t>
      </w:r>
      <w:r>
        <w:tab/>
        <w:t>...</w:t>
      </w:r>
    </w:p>
    <w:p w14:paraId="308AC33D" w14:textId="77777777" w:rsidR="00F84865" w:rsidRDefault="00F84865" w:rsidP="00F84865">
      <w:pPr>
        <w:pStyle w:val="IASBNormalnparaL1"/>
      </w:pPr>
      <w:r>
        <w:t>•</w:t>
      </w:r>
      <w:r>
        <w:tab/>
        <w:t xml:space="preserve">during the period, the group acquired property, plant and equipment </w:t>
      </w:r>
      <w:r>
        <w:rPr>
          <w:u w:val="single"/>
        </w:rPr>
        <w:t>and right-of-use assets relating to property, plant and equipment</w:t>
      </w:r>
      <w:r>
        <w:t xml:space="preserve"> with an aggregate cost of 1,250</w:t>
      </w:r>
      <w:r>
        <w:rPr>
          <w:u w:val="single"/>
        </w:rPr>
        <w:t>,</w:t>
      </w:r>
      <w:r>
        <w:t xml:space="preserve"> of which 900 </w:t>
      </w:r>
      <w:r>
        <w:rPr>
          <w:strike/>
        </w:rPr>
        <w:t>was acquired by means of finance leases</w:t>
      </w:r>
      <w:r>
        <w:t xml:space="preserve"> </w:t>
      </w:r>
      <w:r>
        <w:rPr>
          <w:u w:val="single"/>
        </w:rPr>
        <w:t>related to right-of-use assets</w:t>
      </w:r>
      <w:r>
        <w:t>. Cash payments of 350 were made to purchase property, plant and equipment.</w:t>
      </w:r>
    </w:p>
    <w:p w14:paraId="5670C6B0" w14:textId="77777777" w:rsidR="00F84865" w:rsidRDefault="00F84865" w:rsidP="00F84865">
      <w:pPr>
        <w:pStyle w:val="IASBNormalnparaL1"/>
      </w:pPr>
      <w:r>
        <w:t>•</w:t>
      </w:r>
      <w:r>
        <w:tab/>
        <w:t>...</w:t>
      </w:r>
    </w:p>
    <w:p w14:paraId="3F832B60" w14:textId="77777777" w:rsidR="00F84865" w:rsidRDefault="00F84865" w:rsidP="00F84865">
      <w:pPr>
        <w:pStyle w:val="IASBNormalnpara"/>
      </w:pPr>
    </w:p>
    <w:tbl>
      <w:tblPr>
        <w:tblW w:w="0" w:type="auto"/>
        <w:tblInd w:w="964" w:type="dxa"/>
        <w:tblLayout w:type="fixed"/>
        <w:tblCellMar>
          <w:bottom w:w="85" w:type="dxa"/>
        </w:tblCellMar>
        <w:tblLook w:val="04A0" w:firstRow="1" w:lastRow="0" w:firstColumn="1" w:lastColumn="0" w:noHBand="0" w:noVBand="1"/>
        <w:tblCaption w:val="AASB 16 Table 7"/>
        <w:tblDescription w:val="Example"/>
      </w:tblPr>
      <w:tblGrid>
        <w:gridCol w:w="5241"/>
        <w:gridCol w:w="1365"/>
        <w:gridCol w:w="273"/>
        <w:gridCol w:w="1365"/>
      </w:tblGrid>
      <w:tr w:rsidR="00F84865" w14:paraId="45D98DDF" w14:textId="77777777" w:rsidTr="00F84865">
        <w:trPr>
          <w:cantSplit/>
          <w:tblHeader/>
        </w:trPr>
        <w:tc>
          <w:tcPr>
            <w:tcW w:w="8244" w:type="dxa"/>
            <w:gridSpan w:val="4"/>
            <w:tcBorders>
              <w:top w:val="nil"/>
              <w:left w:val="nil"/>
              <w:bottom w:val="single" w:sz="4" w:space="0" w:color="auto"/>
              <w:right w:val="nil"/>
            </w:tcBorders>
            <w:vAlign w:val="bottom"/>
            <w:hideMark/>
          </w:tcPr>
          <w:p w14:paraId="2623C8C2" w14:textId="77777777" w:rsidR="00F84865" w:rsidRDefault="00F84865">
            <w:pPr>
              <w:pStyle w:val="IASBTableHeaderArial"/>
              <w:spacing w:after="0"/>
              <w:rPr>
                <w:lang w:val="en-GB"/>
              </w:rPr>
            </w:pPr>
            <w:r>
              <w:rPr>
                <w:b/>
              </w:rPr>
              <w:t>Direct method statement of cash flows (paragraph 18(a))</w:t>
            </w:r>
          </w:p>
        </w:tc>
      </w:tr>
      <w:tr w:rsidR="00F84865" w14:paraId="5E695D0A" w14:textId="77777777" w:rsidTr="00F84865">
        <w:trPr>
          <w:cantSplit/>
          <w:tblHeader/>
        </w:trPr>
        <w:tc>
          <w:tcPr>
            <w:tcW w:w="5241" w:type="dxa"/>
            <w:vAlign w:val="bottom"/>
          </w:tcPr>
          <w:p w14:paraId="46248438" w14:textId="77777777" w:rsidR="00F84865" w:rsidRDefault="00F84865">
            <w:pPr>
              <w:pStyle w:val="IASBTableHeaderArial"/>
              <w:spacing w:after="0"/>
              <w:rPr>
                <w:lang w:val="en-GB"/>
              </w:rPr>
            </w:pPr>
          </w:p>
        </w:tc>
        <w:tc>
          <w:tcPr>
            <w:tcW w:w="1365" w:type="dxa"/>
            <w:vAlign w:val="bottom"/>
          </w:tcPr>
          <w:p w14:paraId="01F13AE1" w14:textId="77777777" w:rsidR="00F84865" w:rsidRDefault="00F84865">
            <w:pPr>
              <w:pStyle w:val="IASBTableHeaderArial"/>
              <w:spacing w:after="0"/>
              <w:rPr>
                <w:lang w:val="en-GB"/>
              </w:rPr>
            </w:pPr>
          </w:p>
        </w:tc>
        <w:tc>
          <w:tcPr>
            <w:tcW w:w="273" w:type="dxa"/>
            <w:vAlign w:val="bottom"/>
          </w:tcPr>
          <w:p w14:paraId="1E6C77BF" w14:textId="77777777" w:rsidR="00F84865" w:rsidRDefault="00F84865">
            <w:pPr>
              <w:pStyle w:val="IASBTableHeaderArial"/>
              <w:spacing w:after="0"/>
              <w:rPr>
                <w:lang w:val="en-GB"/>
              </w:rPr>
            </w:pPr>
          </w:p>
        </w:tc>
        <w:tc>
          <w:tcPr>
            <w:tcW w:w="1365" w:type="dxa"/>
            <w:vAlign w:val="bottom"/>
            <w:hideMark/>
          </w:tcPr>
          <w:p w14:paraId="423AA218" w14:textId="77777777" w:rsidR="00F84865" w:rsidRDefault="00F84865">
            <w:pPr>
              <w:pStyle w:val="IASBTableHeaderArial"/>
              <w:spacing w:after="0"/>
              <w:jc w:val="right"/>
              <w:rPr>
                <w:lang w:val="en-GB"/>
              </w:rPr>
            </w:pPr>
            <w:r>
              <w:rPr>
                <w:b/>
              </w:rPr>
              <w:t>20X2</w:t>
            </w:r>
          </w:p>
        </w:tc>
      </w:tr>
      <w:tr w:rsidR="00F84865" w14:paraId="292458CF" w14:textId="77777777" w:rsidTr="00F84865">
        <w:trPr>
          <w:cantSplit/>
        </w:trPr>
        <w:tc>
          <w:tcPr>
            <w:tcW w:w="5241" w:type="dxa"/>
            <w:vAlign w:val="bottom"/>
            <w:hideMark/>
          </w:tcPr>
          <w:p w14:paraId="0B233F2C" w14:textId="77777777" w:rsidR="00F84865" w:rsidRDefault="00F84865">
            <w:pPr>
              <w:pStyle w:val="IASBTableArial"/>
              <w:spacing w:line="276" w:lineRule="auto"/>
              <w:rPr>
                <w:lang w:val="en-GB"/>
              </w:rPr>
            </w:pPr>
            <w:r>
              <w:t>...</w:t>
            </w:r>
          </w:p>
        </w:tc>
        <w:tc>
          <w:tcPr>
            <w:tcW w:w="1365" w:type="dxa"/>
            <w:vAlign w:val="bottom"/>
          </w:tcPr>
          <w:p w14:paraId="623B3C18" w14:textId="77777777" w:rsidR="00F84865" w:rsidRDefault="00F84865">
            <w:pPr>
              <w:pStyle w:val="IASBTableArial"/>
              <w:spacing w:line="276" w:lineRule="auto"/>
              <w:rPr>
                <w:lang w:val="en-GB"/>
              </w:rPr>
            </w:pPr>
          </w:p>
        </w:tc>
        <w:tc>
          <w:tcPr>
            <w:tcW w:w="273" w:type="dxa"/>
            <w:vAlign w:val="bottom"/>
          </w:tcPr>
          <w:p w14:paraId="157D5F01" w14:textId="77777777" w:rsidR="00F84865" w:rsidRDefault="00F84865">
            <w:pPr>
              <w:pStyle w:val="IASBTableArial"/>
              <w:spacing w:line="276" w:lineRule="auto"/>
              <w:rPr>
                <w:lang w:val="en-GB"/>
              </w:rPr>
            </w:pPr>
          </w:p>
        </w:tc>
        <w:tc>
          <w:tcPr>
            <w:tcW w:w="1365" w:type="dxa"/>
            <w:vAlign w:val="bottom"/>
          </w:tcPr>
          <w:p w14:paraId="05B26DA0" w14:textId="77777777" w:rsidR="00F84865" w:rsidRDefault="00F84865">
            <w:pPr>
              <w:pStyle w:val="IASBTableArial"/>
              <w:spacing w:line="276" w:lineRule="auto"/>
              <w:rPr>
                <w:lang w:val="en-GB"/>
              </w:rPr>
            </w:pPr>
          </w:p>
        </w:tc>
      </w:tr>
      <w:tr w:rsidR="00F84865" w14:paraId="6787EBD7" w14:textId="77777777" w:rsidTr="00F84865">
        <w:trPr>
          <w:cantSplit/>
        </w:trPr>
        <w:tc>
          <w:tcPr>
            <w:tcW w:w="5241" w:type="dxa"/>
            <w:vAlign w:val="bottom"/>
            <w:hideMark/>
          </w:tcPr>
          <w:p w14:paraId="726FD430" w14:textId="77777777" w:rsidR="00F84865" w:rsidRDefault="00F84865">
            <w:pPr>
              <w:pStyle w:val="IASBTableArial"/>
              <w:spacing w:line="276" w:lineRule="auto"/>
              <w:rPr>
                <w:lang w:val="en-GB"/>
              </w:rPr>
            </w:pPr>
            <w:r>
              <w:rPr>
                <w:b/>
              </w:rPr>
              <w:t>Cash flows from financing activities</w:t>
            </w:r>
          </w:p>
        </w:tc>
        <w:tc>
          <w:tcPr>
            <w:tcW w:w="1365" w:type="dxa"/>
            <w:vAlign w:val="bottom"/>
          </w:tcPr>
          <w:p w14:paraId="472C3138" w14:textId="77777777" w:rsidR="00F84865" w:rsidRDefault="00F84865">
            <w:pPr>
              <w:pStyle w:val="IASBTableArial"/>
              <w:spacing w:line="276" w:lineRule="auto"/>
              <w:rPr>
                <w:lang w:val="en-GB"/>
              </w:rPr>
            </w:pPr>
          </w:p>
        </w:tc>
        <w:tc>
          <w:tcPr>
            <w:tcW w:w="273" w:type="dxa"/>
            <w:vAlign w:val="bottom"/>
          </w:tcPr>
          <w:p w14:paraId="05690DE2" w14:textId="77777777" w:rsidR="00F84865" w:rsidRDefault="00F84865">
            <w:pPr>
              <w:pStyle w:val="IASBTableArial"/>
              <w:spacing w:line="276" w:lineRule="auto"/>
              <w:rPr>
                <w:lang w:val="en-GB"/>
              </w:rPr>
            </w:pPr>
          </w:p>
        </w:tc>
        <w:tc>
          <w:tcPr>
            <w:tcW w:w="1365" w:type="dxa"/>
            <w:vAlign w:val="bottom"/>
          </w:tcPr>
          <w:p w14:paraId="2A465718" w14:textId="77777777" w:rsidR="00F84865" w:rsidRDefault="00F84865">
            <w:pPr>
              <w:pStyle w:val="IASBTableArial"/>
              <w:spacing w:line="276" w:lineRule="auto"/>
              <w:rPr>
                <w:lang w:val="en-GB"/>
              </w:rPr>
            </w:pPr>
          </w:p>
        </w:tc>
      </w:tr>
      <w:tr w:rsidR="00F84865" w14:paraId="62B5EA7E" w14:textId="77777777" w:rsidTr="00F84865">
        <w:trPr>
          <w:cantSplit/>
        </w:trPr>
        <w:tc>
          <w:tcPr>
            <w:tcW w:w="5241" w:type="dxa"/>
            <w:vAlign w:val="bottom"/>
            <w:hideMark/>
          </w:tcPr>
          <w:p w14:paraId="646F72D1" w14:textId="77777777" w:rsidR="00F84865" w:rsidRDefault="00F84865">
            <w:pPr>
              <w:pStyle w:val="IASBTableArial"/>
              <w:spacing w:line="276" w:lineRule="auto"/>
              <w:rPr>
                <w:lang w:val="en-GB"/>
              </w:rPr>
            </w:pPr>
            <w:r>
              <w:t>...</w:t>
            </w:r>
          </w:p>
        </w:tc>
        <w:tc>
          <w:tcPr>
            <w:tcW w:w="1365" w:type="dxa"/>
            <w:vAlign w:val="bottom"/>
          </w:tcPr>
          <w:p w14:paraId="2294A25B" w14:textId="77777777" w:rsidR="00F84865" w:rsidRDefault="00F84865">
            <w:pPr>
              <w:pStyle w:val="IASBTableArial"/>
              <w:spacing w:line="276" w:lineRule="auto"/>
              <w:rPr>
                <w:lang w:val="en-GB"/>
              </w:rPr>
            </w:pPr>
          </w:p>
        </w:tc>
        <w:tc>
          <w:tcPr>
            <w:tcW w:w="273" w:type="dxa"/>
            <w:vAlign w:val="bottom"/>
          </w:tcPr>
          <w:p w14:paraId="3B253C26" w14:textId="77777777" w:rsidR="00F84865" w:rsidRDefault="00F84865">
            <w:pPr>
              <w:pStyle w:val="IASBTableArial"/>
              <w:spacing w:line="276" w:lineRule="auto"/>
              <w:rPr>
                <w:lang w:val="en-GB"/>
              </w:rPr>
            </w:pPr>
          </w:p>
        </w:tc>
        <w:tc>
          <w:tcPr>
            <w:tcW w:w="1365" w:type="dxa"/>
            <w:vAlign w:val="bottom"/>
          </w:tcPr>
          <w:p w14:paraId="1E815566" w14:textId="77777777" w:rsidR="00F84865" w:rsidRDefault="00F84865">
            <w:pPr>
              <w:pStyle w:val="IASBTableArial"/>
              <w:spacing w:line="276" w:lineRule="auto"/>
              <w:rPr>
                <w:lang w:val="en-GB"/>
              </w:rPr>
            </w:pPr>
          </w:p>
        </w:tc>
      </w:tr>
      <w:tr w:rsidR="00F84865" w14:paraId="3281F682" w14:textId="77777777" w:rsidTr="00F84865">
        <w:trPr>
          <w:cantSplit/>
        </w:trPr>
        <w:tc>
          <w:tcPr>
            <w:tcW w:w="5241" w:type="dxa"/>
            <w:vAlign w:val="bottom"/>
            <w:hideMark/>
          </w:tcPr>
          <w:p w14:paraId="77F1C5B4" w14:textId="77777777" w:rsidR="00F84865" w:rsidRDefault="00F84865">
            <w:pPr>
              <w:pStyle w:val="IASBTableArial"/>
              <w:spacing w:line="276" w:lineRule="auto"/>
              <w:rPr>
                <w:lang w:val="en-GB"/>
              </w:rPr>
            </w:pPr>
            <w:r>
              <w:t xml:space="preserve">Payment of </w:t>
            </w:r>
            <w:r>
              <w:rPr>
                <w:strike/>
              </w:rPr>
              <w:t>finance</w:t>
            </w:r>
            <w:r>
              <w:t xml:space="preserve"> lease liabilities</w:t>
            </w:r>
          </w:p>
        </w:tc>
        <w:tc>
          <w:tcPr>
            <w:tcW w:w="1365" w:type="dxa"/>
            <w:vAlign w:val="bottom"/>
            <w:hideMark/>
          </w:tcPr>
          <w:p w14:paraId="113A73BE" w14:textId="77777777" w:rsidR="00F84865" w:rsidRDefault="00F84865">
            <w:pPr>
              <w:pStyle w:val="IASBTableArial"/>
              <w:spacing w:line="276" w:lineRule="auto"/>
              <w:jc w:val="right"/>
              <w:rPr>
                <w:lang w:val="en-GB"/>
              </w:rPr>
            </w:pPr>
            <w:r>
              <w:t>(90)</w:t>
            </w:r>
          </w:p>
        </w:tc>
        <w:tc>
          <w:tcPr>
            <w:tcW w:w="273" w:type="dxa"/>
            <w:vAlign w:val="bottom"/>
          </w:tcPr>
          <w:p w14:paraId="0A77027D" w14:textId="77777777" w:rsidR="00F84865" w:rsidRDefault="00F84865">
            <w:pPr>
              <w:pStyle w:val="IASBTableArial"/>
              <w:spacing w:line="276" w:lineRule="auto"/>
              <w:rPr>
                <w:lang w:val="en-GB"/>
              </w:rPr>
            </w:pPr>
          </w:p>
        </w:tc>
        <w:tc>
          <w:tcPr>
            <w:tcW w:w="1365" w:type="dxa"/>
            <w:vAlign w:val="bottom"/>
          </w:tcPr>
          <w:p w14:paraId="12A72D4F" w14:textId="77777777" w:rsidR="00F84865" w:rsidRDefault="00F84865">
            <w:pPr>
              <w:pStyle w:val="IASBTableArial"/>
              <w:spacing w:line="276" w:lineRule="auto"/>
              <w:rPr>
                <w:lang w:val="en-GB"/>
              </w:rPr>
            </w:pPr>
          </w:p>
        </w:tc>
      </w:tr>
      <w:tr w:rsidR="00F84865" w14:paraId="4F15BF9A" w14:textId="77777777" w:rsidTr="00F84865">
        <w:trPr>
          <w:cantSplit/>
        </w:trPr>
        <w:tc>
          <w:tcPr>
            <w:tcW w:w="5241" w:type="dxa"/>
            <w:vAlign w:val="bottom"/>
            <w:hideMark/>
          </w:tcPr>
          <w:p w14:paraId="3EDAA5A7" w14:textId="77777777" w:rsidR="00F84865" w:rsidRDefault="00F84865">
            <w:pPr>
              <w:pStyle w:val="IASBTableArial"/>
              <w:spacing w:line="276" w:lineRule="auto"/>
              <w:rPr>
                <w:lang w:val="en-GB"/>
              </w:rPr>
            </w:pPr>
            <w:r>
              <w:t>...</w:t>
            </w:r>
          </w:p>
        </w:tc>
        <w:tc>
          <w:tcPr>
            <w:tcW w:w="1365" w:type="dxa"/>
            <w:vAlign w:val="bottom"/>
          </w:tcPr>
          <w:p w14:paraId="6511DBFF" w14:textId="77777777" w:rsidR="00F84865" w:rsidRDefault="00F84865">
            <w:pPr>
              <w:pStyle w:val="IASBTableArial"/>
              <w:spacing w:line="276" w:lineRule="auto"/>
              <w:jc w:val="right"/>
              <w:rPr>
                <w:lang w:val="en-GB"/>
              </w:rPr>
            </w:pPr>
          </w:p>
        </w:tc>
        <w:tc>
          <w:tcPr>
            <w:tcW w:w="273" w:type="dxa"/>
            <w:vAlign w:val="bottom"/>
          </w:tcPr>
          <w:p w14:paraId="7931A7CA" w14:textId="77777777" w:rsidR="00F84865" w:rsidRDefault="00F84865">
            <w:pPr>
              <w:pStyle w:val="IASBTableArial"/>
              <w:spacing w:line="276" w:lineRule="auto"/>
              <w:rPr>
                <w:lang w:val="en-GB"/>
              </w:rPr>
            </w:pPr>
          </w:p>
        </w:tc>
        <w:tc>
          <w:tcPr>
            <w:tcW w:w="1365" w:type="dxa"/>
            <w:vAlign w:val="bottom"/>
          </w:tcPr>
          <w:p w14:paraId="00FEEEA4" w14:textId="77777777" w:rsidR="00F84865" w:rsidRDefault="00F84865">
            <w:pPr>
              <w:pStyle w:val="IASBTableArial"/>
              <w:spacing w:line="276" w:lineRule="auto"/>
              <w:rPr>
                <w:lang w:val="en-GB"/>
              </w:rPr>
            </w:pPr>
          </w:p>
        </w:tc>
      </w:tr>
    </w:tbl>
    <w:p w14:paraId="10644F5D" w14:textId="77777777" w:rsidR="00F84865" w:rsidRDefault="00F84865" w:rsidP="00F84865">
      <w:pPr>
        <w:pStyle w:val="IASBNormalnpara"/>
        <w:rPr>
          <w:lang w:val="en-US"/>
        </w:rPr>
      </w:pPr>
    </w:p>
    <w:tbl>
      <w:tblPr>
        <w:tblW w:w="0" w:type="auto"/>
        <w:tblInd w:w="964" w:type="dxa"/>
        <w:tblLayout w:type="fixed"/>
        <w:tblCellMar>
          <w:bottom w:w="85" w:type="dxa"/>
        </w:tblCellMar>
        <w:tblLook w:val="04A0" w:firstRow="1" w:lastRow="0" w:firstColumn="1" w:lastColumn="0" w:noHBand="0" w:noVBand="1"/>
        <w:tblCaption w:val="AASB 16 Table 8"/>
        <w:tblDescription w:val="Example Amended"/>
      </w:tblPr>
      <w:tblGrid>
        <w:gridCol w:w="5241"/>
        <w:gridCol w:w="1365"/>
        <w:gridCol w:w="273"/>
        <w:gridCol w:w="1365"/>
      </w:tblGrid>
      <w:tr w:rsidR="00F84865" w14:paraId="49B14FFB" w14:textId="77777777" w:rsidTr="00F84865">
        <w:trPr>
          <w:cantSplit/>
          <w:tblHeader/>
        </w:trPr>
        <w:tc>
          <w:tcPr>
            <w:tcW w:w="8244" w:type="dxa"/>
            <w:gridSpan w:val="4"/>
            <w:tcBorders>
              <w:top w:val="nil"/>
              <w:left w:val="nil"/>
              <w:bottom w:val="single" w:sz="4" w:space="0" w:color="auto"/>
              <w:right w:val="nil"/>
            </w:tcBorders>
            <w:vAlign w:val="bottom"/>
            <w:hideMark/>
          </w:tcPr>
          <w:p w14:paraId="73456E9C" w14:textId="77777777" w:rsidR="00F84865" w:rsidRDefault="00F84865">
            <w:pPr>
              <w:pStyle w:val="IASBTableHeaderArial"/>
              <w:spacing w:after="0"/>
              <w:rPr>
                <w:lang w:val="en-GB"/>
              </w:rPr>
            </w:pPr>
            <w:r>
              <w:rPr>
                <w:b/>
              </w:rPr>
              <w:t>Indirect method statement of cash flows (paragraph 18(b))</w:t>
            </w:r>
          </w:p>
        </w:tc>
      </w:tr>
      <w:tr w:rsidR="00F84865" w14:paraId="4076AE5B" w14:textId="77777777" w:rsidTr="00F84865">
        <w:trPr>
          <w:cantSplit/>
          <w:tblHeader/>
        </w:trPr>
        <w:tc>
          <w:tcPr>
            <w:tcW w:w="5241" w:type="dxa"/>
            <w:vAlign w:val="bottom"/>
          </w:tcPr>
          <w:p w14:paraId="32562D05" w14:textId="77777777" w:rsidR="00F84865" w:rsidRDefault="00F84865">
            <w:pPr>
              <w:pStyle w:val="IASBTableHeaderArial"/>
              <w:spacing w:after="0"/>
              <w:rPr>
                <w:lang w:val="en-GB"/>
              </w:rPr>
            </w:pPr>
          </w:p>
        </w:tc>
        <w:tc>
          <w:tcPr>
            <w:tcW w:w="1365" w:type="dxa"/>
            <w:vAlign w:val="bottom"/>
          </w:tcPr>
          <w:p w14:paraId="2F09F4AE" w14:textId="77777777" w:rsidR="00F84865" w:rsidRDefault="00F84865">
            <w:pPr>
              <w:pStyle w:val="IASBTableHeaderArial"/>
              <w:spacing w:after="0"/>
              <w:rPr>
                <w:lang w:val="en-GB"/>
              </w:rPr>
            </w:pPr>
          </w:p>
        </w:tc>
        <w:tc>
          <w:tcPr>
            <w:tcW w:w="273" w:type="dxa"/>
            <w:vAlign w:val="bottom"/>
          </w:tcPr>
          <w:p w14:paraId="2BFC8536" w14:textId="77777777" w:rsidR="00F84865" w:rsidRDefault="00F84865">
            <w:pPr>
              <w:pStyle w:val="IASBTableHeaderArial"/>
              <w:spacing w:after="0"/>
              <w:rPr>
                <w:lang w:val="en-GB"/>
              </w:rPr>
            </w:pPr>
          </w:p>
        </w:tc>
        <w:tc>
          <w:tcPr>
            <w:tcW w:w="1365" w:type="dxa"/>
            <w:vAlign w:val="bottom"/>
            <w:hideMark/>
          </w:tcPr>
          <w:p w14:paraId="118F45D5" w14:textId="77777777" w:rsidR="00F84865" w:rsidRDefault="00F84865">
            <w:pPr>
              <w:pStyle w:val="IASBTableHeaderArial"/>
              <w:spacing w:after="0"/>
              <w:jc w:val="right"/>
              <w:rPr>
                <w:lang w:val="en-GB"/>
              </w:rPr>
            </w:pPr>
            <w:r>
              <w:rPr>
                <w:b/>
              </w:rPr>
              <w:t>20X2</w:t>
            </w:r>
          </w:p>
        </w:tc>
      </w:tr>
      <w:tr w:rsidR="00F84865" w14:paraId="2E3E5CA0" w14:textId="77777777" w:rsidTr="00F84865">
        <w:trPr>
          <w:cantSplit/>
        </w:trPr>
        <w:tc>
          <w:tcPr>
            <w:tcW w:w="5241" w:type="dxa"/>
            <w:vAlign w:val="bottom"/>
            <w:hideMark/>
          </w:tcPr>
          <w:p w14:paraId="240BB8D2" w14:textId="77777777" w:rsidR="00F84865" w:rsidRDefault="00F84865">
            <w:pPr>
              <w:pStyle w:val="IASBTableArial"/>
              <w:spacing w:line="276" w:lineRule="auto"/>
              <w:rPr>
                <w:lang w:val="en-GB"/>
              </w:rPr>
            </w:pPr>
            <w:r>
              <w:t>...</w:t>
            </w:r>
          </w:p>
        </w:tc>
        <w:tc>
          <w:tcPr>
            <w:tcW w:w="1365" w:type="dxa"/>
            <w:vAlign w:val="bottom"/>
          </w:tcPr>
          <w:p w14:paraId="70BE0902" w14:textId="77777777" w:rsidR="00F84865" w:rsidRDefault="00F84865">
            <w:pPr>
              <w:pStyle w:val="IASBTableArial"/>
              <w:spacing w:line="276" w:lineRule="auto"/>
              <w:rPr>
                <w:lang w:val="en-GB"/>
              </w:rPr>
            </w:pPr>
          </w:p>
        </w:tc>
        <w:tc>
          <w:tcPr>
            <w:tcW w:w="273" w:type="dxa"/>
            <w:vAlign w:val="bottom"/>
          </w:tcPr>
          <w:p w14:paraId="456C7ED2" w14:textId="77777777" w:rsidR="00F84865" w:rsidRDefault="00F84865">
            <w:pPr>
              <w:pStyle w:val="IASBTableArial"/>
              <w:spacing w:line="276" w:lineRule="auto"/>
              <w:rPr>
                <w:lang w:val="en-GB"/>
              </w:rPr>
            </w:pPr>
          </w:p>
        </w:tc>
        <w:tc>
          <w:tcPr>
            <w:tcW w:w="1365" w:type="dxa"/>
            <w:vAlign w:val="bottom"/>
          </w:tcPr>
          <w:p w14:paraId="6E4A2A1C" w14:textId="77777777" w:rsidR="00F84865" w:rsidRDefault="00F84865">
            <w:pPr>
              <w:pStyle w:val="IASBTableArial"/>
              <w:spacing w:line="276" w:lineRule="auto"/>
              <w:rPr>
                <w:lang w:val="en-GB"/>
              </w:rPr>
            </w:pPr>
          </w:p>
        </w:tc>
      </w:tr>
      <w:tr w:rsidR="00F84865" w14:paraId="6A850746" w14:textId="77777777" w:rsidTr="00F84865">
        <w:trPr>
          <w:cantSplit/>
        </w:trPr>
        <w:tc>
          <w:tcPr>
            <w:tcW w:w="5241" w:type="dxa"/>
            <w:vAlign w:val="bottom"/>
            <w:hideMark/>
          </w:tcPr>
          <w:p w14:paraId="297421B2" w14:textId="77777777" w:rsidR="00F84865" w:rsidRDefault="00F84865">
            <w:pPr>
              <w:pStyle w:val="IASBTableArial"/>
              <w:spacing w:line="276" w:lineRule="auto"/>
              <w:rPr>
                <w:lang w:val="en-GB"/>
              </w:rPr>
            </w:pPr>
            <w:r>
              <w:rPr>
                <w:b/>
              </w:rPr>
              <w:t>Cash flows from financing activities</w:t>
            </w:r>
          </w:p>
        </w:tc>
        <w:tc>
          <w:tcPr>
            <w:tcW w:w="1365" w:type="dxa"/>
            <w:vAlign w:val="bottom"/>
          </w:tcPr>
          <w:p w14:paraId="673D6CA6" w14:textId="77777777" w:rsidR="00F84865" w:rsidRDefault="00F84865">
            <w:pPr>
              <w:pStyle w:val="IASBTableArial"/>
              <w:spacing w:line="276" w:lineRule="auto"/>
              <w:rPr>
                <w:lang w:val="en-GB"/>
              </w:rPr>
            </w:pPr>
          </w:p>
        </w:tc>
        <w:tc>
          <w:tcPr>
            <w:tcW w:w="273" w:type="dxa"/>
            <w:vAlign w:val="bottom"/>
          </w:tcPr>
          <w:p w14:paraId="3A7E04FB" w14:textId="77777777" w:rsidR="00F84865" w:rsidRDefault="00F84865">
            <w:pPr>
              <w:pStyle w:val="IASBTableArial"/>
              <w:spacing w:line="276" w:lineRule="auto"/>
              <w:rPr>
                <w:lang w:val="en-GB"/>
              </w:rPr>
            </w:pPr>
          </w:p>
        </w:tc>
        <w:tc>
          <w:tcPr>
            <w:tcW w:w="1365" w:type="dxa"/>
            <w:vAlign w:val="bottom"/>
          </w:tcPr>
          <w:p w14:paraId="0F91E183" w14:textId="77777777" w:rsidR="00F84865" w:rsidRDefault="00F84865">
            <w:pPr>
              <w:pStyle w:val="IASBTableArial"/>
              <w:spacing w:line="276" w:lineRule="auto"/>
              <w:rPr>
                <w:lang w:val="en-GB"/>
              </w:rPr>
            </w:pPr>
          </w:p>
        </w:tc>
      </w:tr>
      <w:tr w:rsidR="00F84865" w14:paraId="12DA8838" w14:textId="77777777" w:rsidTr="00F84865">
        <w:trPr>
          <w:cantSplit/>
        </w:trPr>
        <w:tc>
          <w:tcPr>
            <w:tcW w:w="5241" w:type="dxa"/>
            <w:vAlign w:val="bottom"/>
            <w:hideMark/>
          </w:tcPr>
          <w:p w14:paraId="0C74FA79" w14:textId="77777777" w:rsidR="00F84865" w:rsidRDefault="00F84865">
            <w:pPr>
              <w:pStyle w:val="IASBTableArial"/>
              <w:spacing w:line="276" w:lineRule="auto"/>
              <w:rPr>
                <w:lang w:val="en-GB"/>
              </w:rPr>
            </w:pPr>
            <w:r>
              <w:t>...</w:t>
            </w:r>
          </w:p>
        </w:tc>
        <w:tc>
          <w:tcPr>
            <w:tcW w:w="1365" w:type="dxa"/>
            <w:vAlign w:val="bottom"/>
          </w:tcPr>
          <w:p w14:paraId="7EB9B8F6" w14:textId="77777777" w:rsidR="00F84865" w:rsidRDefault="00F84865">
            <w:pPr>
              <w:pStyle w:val="IASBTableArial"/>
              <w:spacing w:line="276" w:lineRule="auto"/>
              <w:rPr>
                <w:lang w:val="en-GB"/>
              </w:rPr>
            </w:pPr>
          </w:p>
        </w:tc>
        <w:tc>
          <w:tcPr>
            <w:tcW w:w="273" w:type="dxa"/>
            <w:vAlign w:val="bottom"/>
          </w:tcPr>
          <w:p w14:paraId="35F9C0BC" w14:textId="77777777" w:rsidR="00F84865" w:rsidRDefault="00F84865">
            <w:pPr>
              <w:pStyle w:val="IASBTableArial"/>
              <w:spacing w:line="276" w:lineRule="auto"/>
              <w:rPr>
                <w:lang w:val="en-GB"/>
              </w:rPr>
            </w:pPr>
          </w:p>
        </w:tc>
        <w:tc>
          <w:tcPr>
            <w:tcW w:w="1365" w:type="dxa"/>
            <w:vAlign w:val="bottom"/>
          </w:tcPr>
          <w:p w14:paraId="4963C071" w14:textId="77777777" w:rsidR="00F84865" w:rsidRDefault="00F84865">
            <w:pPr>
              <w:pStyle w:val="IASBTableArial"/>
              <w:spacing w:line="276" w:lineRule="auto"/>
              <w:rPr>
                <w:lang w:val="en-GB"/>
              </w:rPr>
            </w:pPr>
          </w:p>
        </w:tc>
      </w:tr>
      <w:tr w:rsidR="00F84865" w14:paraId="3193C5ED" w14:textId="77777777" w:rsidTr="00F84865">
        <w:trPr>
          <w:cantSplit/>
        </w:trPr>
        <w:tc>
          <w:tcPr>
            <w:tcW w:w="5241" w:type="dxa"/>
            <w:vAlign w:val="bottom"/>
            <w:hideMark/>
          </w:tcPr>
          <w:p w14:paraId="64A885A9" w14:textId="77777777" w:rsidR="00F84865" w:rsidRDefault="00F84865">
            <w:pPr>
              <w:pStyle w:val="IASBTableArial"/>
              <w:spacing w:line="276" w:lineRule="auto"/>
              <w:rPr>
                <w:lang w:val="en-GB"/>
              </w:rPr>
            </w:pPr>
            <w:r>
              <w:t xml:space="preserve">Payment of </w:t>
            </w:r>
            <w:r>
              <w:rPr>
                <w:strike/>
              </w:rPr>
              <w:t>finance</w:t>
            </w:r>
            <w:r>
              <w:t xml:space="preserve"> lease liabilities</w:t>
            </w:r>
          </w:p>
        </w:tc>
        <w:tc>
          <w:tcPr>
            <w:tcW w:w="1365" w:type="dxa"/>
            <w:vAlign w:val="bottom"/>
            <w:hideMark/>
          </w:tcPr>
          <w:p w14:paraId="301CA2E0" w14:textId="77777777" w:rsidR="00F84865" w:rsidRDefault="00F84865">
            <w:pPr>
              <w:pStyle w:val="IASBTableArial"/>
              <w:spacing w:line="276" w:lineRule="auto"/>
              <w:jc w:val="right"/>
              <w:rPr>
                <w:lang w:val="en-GB"/>
              </w:rPr>
            </w:pPr>
            <w:r>
              <w:t>(90)</w:t>
            </w:r>
          </w:p>
        </w:tc>
        <w:tc>
          <w:tcPr>
            <w:tcW w:w="273" w:type="dxa"/>
            <w:vAlign w:val="bottom"/>
          </w:tcPr>
          <w:p w14:paraId="55A1363A" w14:textId="77777777" w:rsidR="00F84865" w:rsidRDefault="00F84865">
            <w:pPr>
              <w:pStyle w:val="IASBTableArial"/>
              <w:spacing w:line="276" w:lineRule="auto"/>
              <w:rPr>
                <w:lang w:val="en-GB"/>
              </w:rPr>
            </w:pPr>
          </w:p>
        </w:tc>
        <w:tc>
          <w:tcPr>
            <w:tcW w:w="1365" w:type="dxa"/>
            <w:vAlign w:val="bottom"/>
          </w:tcPr>
          <w:p w14:paraId="24AA3A85" w14:textId="77777777" w:rsidR="00F84865" w:rsidRDefault="00F84865">
            <w:pPr>
              <w:pStyle w:val="IASBTableArial"/>
              <w:spacing w:line="276" w:lineRule="auto"/>
              <w:rPr>
                <w:lang w:val="en-GB"/>
              </w:rPr>
            </w:pPr>
          </w:p>
        </w:tc>
      </w:tr>
      <w:tr w:rsidR="00F84865" w14:paraId="6AC7BB4B" w14:textId="77777777" w:rsidTr="00F84865">
        <w:trPr>
          <w:cantSplit/>
        </w:trPr>
        <w:tc>
          <w:tcPr>
            <w:tcW w:w="5241" w:type="dxa"/>
            <w:vAlign w:val="bottom"/>
            <w:hideMark/>
          </w:tcPr>
          <w:p w14:paraId="0D1CE520" w14:textId="77777777" w:rsidR="00F84865" w:rsidRDefault="00F84865">
            <w:pPr>
              <w:pStyle w:val="IASBTableArial"/>
              <w:spacing w:line="276" w:lineRule="auto"/>
              <w:rPr>
                <w:lang w:val="en-GB"/>
              </w:rPr>
            </w:pPr>
            <w:r>
              <w:t>...</w:t>
            </w:r>
          </w:p>
        </w:tc>
        <w:tc>
          <w:tcPr>
            <w:tcW w:w="1365" w:type="dxa"/>
            <w:vAlign w:val="bottom"/>
          </w:tcPr>
          <w:p w14:paraId="288EAFCE" w14:textId="77777777" w:rsidR="00F84865" w:rsidRDefault="00F84865">
            <w:pPr>
              <w:pStyle w:val="IASBTableArial"/>
              <w:spacing w:line="276" w:lineRule="auto"/>
              <w:jc w:val="right"/>
              <w:rPr>
                <w:lang w:val="en-GB"/>
              </w:rPr>
            </w:pPr>
          </w:p>
        </w:tc>
        <w:tc>
          <w:tcPr>
            <w:tcW w:w="273" w:type="dxa"/>
            <w:vAlign w:val="bottom"/>
          </w:tcPr>
          <w:p w14:paraId="04FB27A3" w14:textId="77777777" w:rsidR="00F84865" w:rsidRDefault="00F84865">
            <w:pPr>
              <w:pStyle w:val="IASBTableArial"/>
              <w:spacing w:line="276" w:lineRule="auto"/>
              <w:rPr>
                <w:lang w:val="en-GB"/>
              </w:rPr>
            </w:pPr>
          </w:p>
        </w:tc>
        <w:tc>
          <w:tcPr>
            <w:tcW w:w="1365" w:type="dxa"/>
            <w:vAlign w:val="bottom"/>
          </w:tcPr>
          <w:p w14:paraId="322C5BBA" w14:textId="77777777" w:rsidR="00F84865" w:rsidRDefault="00F84865">
            <w:pPr>
              <w:pStyle w:val="IASBTableArial"/>
              <w:spacing w:line="276" w:lineRule="auto"/>
              <w:rPr>
                <w:lang w:val="en-GB"/>
              </w:rPr>
            </w:pPr>
          </w:p>
        </w:tc>
      </w:tr>
    </w:tbl>
    <w:p w14:paraId="0B692C74" w14:textId="77777777" w:rsidR="00F84865" w:rsidRDefault="00F84865" w:rsidP="00F84865">
      <w:pPr>
        <w:pStyle w:val="IASBNormalnpara"/>
        <w:rPr>
          <w:lang w:val="en-US"/>
        </w:rPr>
      </w:pPr>
    </w:p>
    <w:p w14:paraId="5CDB0986" w14:textId="77777777" w:rsidR="00F84865" w:rsidRDefault="00F84865" w:rsidP="00F84865">
      <w:pPr>
        <w:pStyle w:val="IASBSectionTitle1NonInd"/>
      </w:pPr>
      <w:r>
        <w:t>Notes to the statement of cash flows (direct method and indirect method)</w:t>
      </w:r>
    </w:p>
    <w:p w14:paraId="5A093A09" w14:textId="77777777" w:rsidR="00F84865" w:rsidRDefault="00F84865" w:rsidP="00F84865">
      <w:pPr>
        <w:pStyle w:val="IASBNormal"/>
      </w:pPr>
      <w:r>
        <w:t>...</w:t>
      </w:r>
    </w:p>
    <w:p w14:paraId="2F045BBD" w14:textId="77777777" w:rsidR="00F84865" w:rsidRDefault="00F84865" w:rsidP="00F84865">
      <w:pPr>
        <w:pStyle w:val="IASBSectionTitle2NonInd"/>
      </w:pPr>
      <w:r>
        <w:lastRenderedPageBreak/>
        <w:t>B. Property, plant and equipment</w:t>
      </w:r>
    </w:p>
    <w:p w14:paraId="55402DC9" w14:textId="77777777" w:rsidR="00F84865" w:rsidRDefault="00F84865" w:rsidP="00F84865">
      <w:pPr>
        <w:pStyle w:val="IASBNormal"/>
      </w:pPr>
      <w:r>
        <w:t xml:space="preserve">During the period, the Group acquired property, plant and equipment </w:t>
      </w:r>
      <w:r>
        <w:rPr>
          <w:u w:val="single"/>
        </w:rPr>
        <w:t>and right-of-use assets relating to property, plant and equipment</w:t>
      </w:r>
      <w:r>
        <w:t xml:space="preserve"> with an aggregate cost of 1,250</w:t>
      </w:r>
      <w:r>
        <w:rPr>
          <w:u w:val="single"/>
        </w:rPr>
        <w:t>,</w:t>
      </w:r>
      <w:r>
        <w:t xml:space="preserve"> of which 900 </w:t>
      </w:r>
      <w:r>
        <w:rPr>
          <w:strike/>
        </w:rPr>
        <w:t>was acquired by means of finance leases</w:t>
      </w:r>
      <w:r>
        <w:t xml:space="preserve"> </w:t>
      </w:r>
      <w:r>
        <w:rPr>
          <w:u w:val="single"/>
        </w:rPr>
        <w:t>related to right-of-use assets</w:t>
      </w:r>
      <w:r>
        <w:t>. Cash payments of 350 were made to purchase property, plant and equipment.</w:t>
      </w:r>
    </w:p>
    <w:p w14:paraId="5DDD0FFE" w14:textId="77777777" w:rsidR="00FD4BA8" w:rsidRPr="000167A7" w:rsidRDefault="00E27198">
      <w:pPr>
        <w:pStyle w:val="IASBSectionTitle1NonInd"/>
        <w:pBdr>
          <w:bottom w:val="none" w:sz="0" w:space="0" w:color="auto"/>
        </w:pBdr>
      </w:pPr>
      <w:r>
        <w:t>AASB 112</w:t>
      </w:r>
      <w:r w:rsidR="009A1D2F">
        <w:t xml:space="preserve"> </w:t>
      </w:r>
      <w:r w:rsidR="009A1D2F">
        <w:rPr>
          <w:i/>
        </w:rPr>
        <w:t>Income Taxes</w:t>
      </w:r>
      <w:r w:rsidR="000167A7">
        <w:t xml:space="preserve"> (July 2004)</w:t>
      </w:r>
    </w:p>
    <w:p w14:paraId="04BB6DAD"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1"/>
        <w:tblDescription w:val="Amendments to AASB 112"/>
      </w:tblPr>
      <w:tblGrid>
        <w:gridCol w:w="9208"/>
      </w:tblGrid>
      <w:tr w:rsidR="00FD4BA8" w14:paraId="425CF1FA" w14:textId="77777777" w:rsidTr="004152D3">
        <w:trPr>
          <w:cantSplit/>
        </w:trPr>
        <w:tc>
          <w:tcPr>
            <w:tcW w:w="9208" w:type="dxa"/>
            <w:tcBorders>
              <w:top w:val="single" w:sz="4" w:space="0" w:color="auto"/>
              <w:left w:val="single" w:sz="4" w:space="0" w:color="auto"/>
              <w:bottom w:val="single" w:sz="4" w:space="0" w:color="auto"/>
              <w:right w:val="single" w:sz="4" w:space="0" w:color="auto"/>
            </w:tcBorders>
          </w:tcPr>
          <w:p w14:paraId="256B36A1" w14:textId="77777777" w:rsidR="008C5B03" w:rsidRDefault="008C5B03" w:rsidP="004152D3">
            <w:pPr>
              <w:pStyle w:val="IASBTableArial"/>
            </w:pPr>
            <w:r>
              <w:t>The following amendments apply only when AASB 16 is applied early in conjunction with the July 2004 version of AASB 112.</w:t>
            </w:r>
          </w:p>
          <w:p w14:paraId="1D1B7B7B" w14:textId="77777777" w:rsidR="00FD4BA8" w:rsidRPr="000F428E" w:rsidRDefault="009A1D2F" w:rsidP="008C5B03">
            <w:pPr>
              <w:pStyle w:val="IASBTableArial"/>
            </w:pPr>
            <w:r>
              <w:t xml:space="preserve">Paragraph 20 is amended </w:t>
            </w:r>
            <w:r w:rsidR="008C5B03">
              <w:t>to read as follows for an entity that has not adopted</w:t>
            </w:r>
            <w:r w:rsidR="00A95FD8">
              <w:t xml:space="preserve"> AASB 9 </w:t>
            </w:r>
            <w:r w:rsidR="00A95FD8">
              <w:rPr>
                <w:i/>
              </w:rPr>
              <w:t>Financial Instruments</w:t>
            </w:r>
            <w:r w:rsidR="00A95FD8">
              <w:t>.</w:t>
            </w:r>
          </w:p>
        </w:tc>
      </w:tr>
    </w:tbl>
    <w:p w14:paraId="7E30372C" w14:textId="77777777" w:rsidR="00FD4BA8" w:rsidRDefault="009A1D2F">
      <w:pPr>
        <w:pStyle w:val="IASBSectionTitle2Ind"/>
      </w:pPr>
      <w:r>
        <w:t>Assets carried at fair value</w:t>
      </w:r>
    </w:p>
    <w:p w14:paraId="1AC19238" w14:textId="77777777" w:rsidR="00B6414F" w:rsidRDefault="009A1D2F" w:rsidP="00ED51CE">
      <w:pPr>
        <w:pStyle w:val="IASBNormalnpara"/>
      </w:pPr>
      <w:r>
        <w:t>20</w:t>
      </w:r>
      <w:r>
        <w:tab/>
      </w:r>
      <w:r w:rsidR="00E27198">
        <w:t xml:space="preserve">Australian Accounting Standards </w:t>
      </w:r>
      <w:r>
        <w:t>permit or require certain assets to be carried at fair value or to be revalued (see, for example,</w:t>
      </w:r>
      <w:r w:rsidR="00E27198">
        <w:t xml:space="preserve"> AASB 116</w:t>
      </w:r>
      <w:r>
        <w:t xml:space="preserve"> </w:t>
      </w:r>
      <w:r>
        <w:rPr>
          <w:i/>
        </w:rPr>
        <w:t>Property, Plant and Equipment</w:t>
      </w:r>
      <w:r>
        <w:t>,</w:t>
      </w:r>
      <w:r w:rsidR="00E27198">
        <w:t xml:space="preserve"> AASB 138</w:t>
      </w:r>
      <w:r>
        <w:t xml:space="preserve"> </w:t>
      </w:r>
      <w:r>
        <w:rPr>
          <w:i/>
        </w:rPr>
        <w:t>Intangible Assets</w:t>
      </w:r>
      <w:r>
        <w:t>,</w:t>
      </w:r>
      <w:r w:rsidR="00E27198">
        <w:t xml:space="preserve"> AASB 139</w:t>
      </w:r>
      <w:r>
        <w:t xml:space="preserve"> </w:t>
      </w:r>
      <w:r>
        <w:rPr>
          <w:i/>
        </w:rPr>
        <w:t>Financial Instruments: Recognition and Measurement</w:t>
      </w:r>
      <w:r w:rsidR="00941A03">
        <w:t>,</w:t>
      </w:r>
      <w:r w:rsidR="00E27198">
        <w:t xml:space="preserve"> AASB 140</w:t>
      </w:r>
      <w:r>
        <w:t xml:space="preserve"> </w:t>
      </w:r>
      <w:r>
        <w:rPr>
          <w:i/>
        </w:rPr>
        <w:t>Investment Property</w:t>
      </w:r>
      <w:r>
        <w:t xml:space="preserve"> </w:t>
      </w:r>
      <w:r w:rsidRPr="00ED51CE">
        <w:t>and</w:t>
      </w:r>
      <w:r w:rsidR="00E27198" w:rsidRPr="00ED51CE">
        <w:t xml:space="preserve"> AASB 16</w:t>
      </w:r>
      <w:r w:rsidRPr="00ED51CE">
        <w:t xml:space="preserve"> </w:t>
      </w:r>
      <w:r w:rsidRPr="00ED51CE">
        <w:rPr>
          <w:i/>
        </w:rPr>
        <w:t>Leases</w:t>
      </w:r>
      <w:r w:rsidRPr="00941A03">
        <w:t>)</w:t>
      </w:r>
      <w:r>
        <w:t>.</w:t>
      </w:r>
      <w:r w:rsidR="008C5B03">
        <w:t xml:space="preserve"> In some jurisdictions,</w:t>
      </w:r>
      <w:r w:rsidR="006025F3">
        <w:t xml:space="preserve"> </w:t>
      </w:r>
      <w:r w:rsidR="00B6414F">
        <w:t>…</w:t>
      </w:r>
    </w:p>
    <w:p w14:paraId="0F1322DF" w14:textId="77777777" w:rsidR="00B6414F" w:rsidRDefault="00B6414F" w:rsidP="00ED51CE">
      <w:pPr>
        <w:pStyle w:val="IASBNormalnpara"/>
      </w:pPr>
    </w:p>
    <w:tbl>
      <w:tblPr>
        <w:tblW w:w="0" w:type="auto"/>
        <w:tblLayout w:type="fixed"/>
        <w:tblCellMar>
          <w:bottom w:w="85" w:type="dxa"/>
        </w:tblCellMar>
        <w:tblLook w:val="0000" w:firstRow="0" w:lastRow="0" w:firstColumn="0" w:lastColumn="0" w:noHBand="0" w:noVBand="0"/>
        <w:tblCaption w:val="AASB 16 Table 21"/>
        <w:tblDescription w:val="Amendments to AASB 112"/>
      </w:tblPr>
      <w:tblGrid>
        <w:gridCol w:w="9208"/>
      </w:tblGrid>
      <w:tr w:rsidR="00B6414F" w14:paraId="2959EF3A" w14:textId="77777777" w:rsidTr="00F51BE6">
        <w:trPr>
          <w:cantSplit/>
        </w:trPr>
        <w:tc>
          <w:tcPr>
            <w:tcW w:w="9208" w:type="dxa"/>
            <w:tcBorders>
              <w:top w:val="single" w:sz="4" w:space="0" w:color="auto"/>
              <w:left w:val="single" w:sz="4" w:space="0" w:color="auto"/>
              <w:bottom w:val="single" w:sz="4" w:space="0" w:color="auto"/>
              <w:right w:val="single" w:sz="4" w:space="0" w:color="auto"/>
            </w:tcBorders>
          </w:tcPr>
          <w:p w14:paraId="6C2D8526" w14:textId="77777777" w:rsidR="00B6414F" w:rsidRPr="008C5B03" w:rsidRDefault="008C5B03">
            <w:pPr>
              <w:pStyle w:val="IASBTableArial"/>
            </w:pPr>
            <w:r>
              <w:t>Paragraph 20 is amended to</w:t>
            </w:r>
            <w:r w:rsidR="00941A03">
              <w:t xml:space="preserve"> read as follows for an entity t</w:t>
            </w:r>
            <w:r>
              <w:t xml:space="preserve">hat has adopted AASB 9 </w:t>
            </w:r>
            <w:r>
              <w:rPr>
                <w:i/>
              </w:rPr>
              <w:t>Financial Instruments</w:t>
            </w:r>
            <w:r>
              <w:t>.</w:t>
            </w:r>
          </w:p>
        </w:tc>
      </w:tr>
    </w:tbl>
    <w:p w14:paraId="519D102E" w14:textId="77777777" w:rsidR="00B6414F" w:rsidRDefault="00B6414F" w:rsidP="00B6414F">
      <w:pPr>
        <w:pStyle w:val="IASBSectionTitle2Ind"/>
      </w:pPr>
      <w:r>
        <w:t>Assets carried at fair value</w:t>
      </w:r>
    </w:p>
    <w:p w14:paraId="11828F27" w14:textId="77777777" w:rsidR="000167A7" w:rsidRDefault="00B6414F" w:rsidP="00ED51CE">
      <w:pPr>
        <w:pStyle w:val="IASBNormalnpara"/>
      </w:pPr>
      <w:r>
        <w:t>20</w:t>
      </w:r>
      <w:r>
        <w:tab/>
        <w:t xml:space="preserve">Australian Accounting Standards permit or require certain assets to be carried at fair value or to be revalued (see, for example, AASB 116 </w:t>
      </w:r>
      <w:r>
        <w:rPr>
          <w:i/>
        </w:rPr>
        <w:t>Property, Plant and Equipment</w:t>
      </w:r>
      <w:r>
        <w:t xml:space="preserve">, AASB 138 </w:t>
      </w:r>
      <w:r>
        <w:rPr>
          <w:i/>
        </w:rPr>
        <w:t>Intangible Assets</w:t>
      </w:r>
      <w:r>
        <w:t xml:space="preserve">, AASB 140 </w:t>
      </w:r>
      <w:r>
        <w:rPr>
          <w:i/>
        </w:rPr>
        <w:t xml:space="preserve">Investment </w:t>
      </w:r>
      <w:r w:rsidRPr="00941A03">
        <w:rPr>
          <w:i/>
        </w:rPr>
        <w:t>Property</w:t>
      </w:r>
      <w:r w:rsidR="00941A03">
        <w:t>,</w:t>
      </w:r>
      <w:r>
        <w:t xml:space="preserve"> AASB 9 </w:t>
      </w:r>
      <w:r>
        <w:rPr>
          <w:i/>
        </w:rPr>
        <w:t>Financial Instruments</w:t>
      </w:r>
      <w:r>
        <w:t xml:space="preserve"> </w:t>
      </w:r>
      <w:r w:rsidRPr="00ED51CE">
        <w:t xml:space="preserve">and AASB 16 </w:t>
      </w:r>
      <w:r w:rsidRPr="00ED51CE">
        <w:rPr>
          <w:i/>
        </w:rPr>
        <w:t>Leases</w:t>
      </w:r>
      <w:r>
        <w:t>)</w:t>
      </w:r>
      <w:r w:rsidR="008C5B03">
        <w:t>.</w:t>
      </w:r>
      <w:r w:rsidR="009A1D2F">
        <w:t xml:space="preserve"> In some jurisdictions,</w:t>
      </w:r>
      <w:r w:rsidR="006025F3">
        <w:t xml:space="preserve"> </w:t>
      </w:r>
      <w:r w:rsidR="008C5B03">
        <w:t>…</w:t>
      </w:r>
    </w:p>
    <w:p w14:paraId="58BA87DC" w14:textId="77777777" w:rsidR="008C5B03" w:rsidRDefault="008C5B03" w:rsidP="00ED51CE">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Table 2"/>
        <w:tblDescription w:val="Amendments to AASB 112"/>
      </w:tblPr>
      <w:tblGrid>
        <w:gridCol w:w="9017"/>
      </w:tblGrid>
      <w:tr w:rsidR="008C5B03" w14:paraId="61B1ADF9" w14:textId="77777777" w:rsidTr="00AE22E6">
        <w:trPr>
          <w:tblHeader/>
        </w:trPr>
        <w:tc>
          <w:tcPr>
            <w:tcW w:w="9017" w:type="dxa"/>
          </w:tcPr>
          <w:p w14:paraId="06FAE1B6" w14:textId="77777777" w:rsidR="008C5B03" w:rsidRDefault="008C5B03" w:rsidP="00ED51CE">
            <w:pPr>
              <w:pStyle w:val="IASBTableArial"/>
            </w:pPr>
            <w:r>
              <w:t>Paragraph 98G is added.</w:t>
            </w:r>
          </w:p>
        </w:tc>
      </w:tr>
    </w:tbl>
    <w:p w14:paraId="67F190CA" w14:textId="77777777" w:rsidR="000167A7" w:rsidRDefault="000167A7" w:rsidP="000167A7">
      <w:pPr>
        <w:pStyle w:val="IASBSectionTitle1NonInd"/>
      </w:pPr>
      <w:r>
        <w:t>Effective date</w:t>
      </w:r>
    </w:p>
    <w:p w14:paraId="394C8567" w14:textId="77777777" w:rsidR="000167A7" w:rsidRDefault="000167A7" w:rsidP="000167A7">
      <w:pPr>
        <w:pStyle w:val="IASBNormalnpara"/>
      </w:pPr>
      <w:r>
        <w:tab/>
        <w:t>…</w:t>
      </w:r>
    </w:p>
    <w:p w14:paraId="47A68919" w14:textId="77777777" w:rsidR="00941A03" w:rsidRDefault="000167A7" w:rsidP="00ED51CE">
      <w:pPr>
        <w:pStyle w:val="IASBNormalnpara"/>
        <w:rPr>
          <w:u w:val="single"/>
        </w:rPr>
      </w:pPr>
      <w:r>
        <w:rPr>
          <w:u w:val="single"/>
        </w:rPr>
        <w:t>98G</w:t>
      </w:r>
      <w:r w:rsidRPr="004152D3">
        <w:tab/>
      </w:r>
      <w:r>
        <w:rPr>
          <w:u w:val="single"/>
        </w:rPr>
        <w:t xml:space="preserve">AASB 16, issued in </w:t>
      </w:r>
      <w:r w:rsidR="00757948">
        <w:rPr>
          <w:u w:val="single"/>
        </w:rPr>
        <w:t>February 2016</w:t>
      </w:r>
      <w:r>
        <w:rPr>
          <w:u w:val="single"/>
        </w:rPr>
        <w:t>, amended paragraph 20. An entity shall apply that amendment when it applies AASB 16.</w:t>
      </w:r>
    </w:p>
    <w:p w14:paraId="5AE66543" w14:textId="77777777" w:rsidR="00941A03" w:rsidRDefault="00941A03" w:rsidP="00941A03">
      <w:pPr>
        <w:pStyle w:val="IASBSectionTitle1NonInd"/>
        <w:pBdr>
          <w:bottom w:val="none" w:sz="0" w:space="0" w:color="auto"/>
        </w:pBdr>
      </w:pPr>
      <w:r>
        <w:t xml:space="preserve">AASB 112 </w:t>
      </w:r>
      <w:r>
        <w:rPr>
          <w:i/>
        </w:rPr>
        <w:t>Income Taxes</w:t>
      </w:r>
      <w:r>
        <w:t xml:space="preserve"> (August 2015)</w:t>
      </w:r>
    </w:p>
    <w:p w14:paraId="53C7ABBB" w14:textId="77777777" w:rsidR="00941A03" w:rsidRPr="000167A7" w:rsidRDefault="00941A03" w:rsidP="00ED51CE">
      <w:pPr>
        <w:pStyle w:val="IASBNormalnpara"/>
      </w:pPr>
    </w:p>
    <w:tbl>
      <w:tblPr>
        <w:tblW w:w="0" w:type="auto"/>
        <w:tblLayout w:type="fixed"/>
        <w:tblCellMar>
          <w:bottom w:w="85" w:type="dxa"/>
        </w:tblCellMar>
        <w:tblLook w:val="0000" w:firstRow="0" w:lastRow="0" w:firstColumn="0" w:lastColumn="0" w:noHBand="0" w:noVBand="0"/>
        <w:tblCaption w:val="AASB 16 Table 21"/>
        <w:tblDescription w:val="Amendments to AASB 112"/>
      </w:tblPr>
      <w:tblGrid>
        <w:gridCol w:w="9208"/>
      </w:tblGrid>
      <w:tr w:rsidR="00941A03" w14:paraId="52C82514" w14:textId="77777777" w:rsidTr="00B52423">
        <w:trPr>
          <w:cantSplit/>
        </w:trPr>
        <w:tc>
          <w:tcPr>
            <w:tcW w:w="9208" w:type="dxa"/>
            <w:tcBorders>
              <w:top w:val="single" w:sz="4" w:space="0" w:color="auto"/>
              <w:left w:val="single" w:sz="4" w:space="0" w:color="auto"/>
              <w:bottom w:val="single" w:sz="4" w:space="0" w:color="auto"/>
              <w:right w:val="single" w:sz="4" w:space="0" w:color="auto"/>
            </w:tcBorders>
          </w:tcPr>
          <w:p w14:paraId="2E141075" w14:textId="77777777" w:rsidR="00941A03" w:rsidRPr="008C5B03" w:rsidRDefault="00941A03">
            <w:pPr>
              <w:pStyle w:val="IASBTableArial"/>
            </w:pPr>
            <w:r>
              <w:t>Paragraph 20 is amended and paragraph 98G is added.</w:t>
            </w:r>
          </w:p>
        </w:tc>
      </w:tr>
    </w:tbl>
    <w:p w14:paraId="2B27D552" w14:textId="77777777" w:rsidR="00941A03" w:rsidRDefault="00941A03" w:rsidP="00941A03">
      <w:pPr>
        <w:pStyle w:val="IASBSectionTitle2Ind"/>
      </w:pPr>
      <w:r>
        <w:t>Assets carried at fair value</w:t>
      </w:r>
    </w:p>
    <w:p w14:paraId="322F836E" w14:textId="77777777" w:rsidR="00941A03" w:rsidRDefault="00941A03" w:rsidP="00941A03">
      <w:pPr>
        <w:pStyle w:val="IASBNormalnpara"/>
      </w:pPr>
      <w:r>
        <w:t>20</w:t>
      </w:r>
      <w:r>
        <w:tab/>
        <w:t xml:space="preserve">Australian Accounting Standards permit or require certain assets to be carried at fair value or to be revalued (see, for example, AASB 116 </w:t>
      </w:r>
      <w:r>
        <w:rPr>
          <w:i/>
        </w:rPr>
        <w:t>Property, Plant and Equipment</w:t>
      </w:r>
      <w:r>
        <w:t xml:space="preserve">, AASB 138 </w:t>
      </w:r>
      <w:r>
        <w:rPr>
          <w:i/>
        </w:rPr>
        <w:t>Intangible Assets</w:t>
      </w:r>
      <w:r>
        <w:t xml:space="preserve">, AASB 140 </w:t>
      </w:r>
      <w:r>
        <w:rPr>
          <w:i/>
        </w:rPr>
        <w:t xml:space="preserve">Investment </w:t>
      </w:r>
      <w:r w:rsidRPr="00941A03">
        <w:rPr>
          <w:i/>
        </w:rPr>
        <w:t>Property</w:t>
      </w:r>
      <w:r w:rsidRPr="00ED51CE">
        <w:rPr>
          <w:u w:val="single"/>
        </w:rPr>
        <w:t>,</w:t>
      </w:r>
      <w:r w:rsidRPr="00941A03">
        <w:t xml:space="preserve"> </w:t>
      </w:r>
      <w:r w:rsidRPr="00ED51CE">
        <w:rPr>
          <w:strike/>
        </w:rPr>
        <w:t>and</w:t>
      </w:r>
      <w:r>
        <w:t xml:space="preserve"> AASB 9 </w:t>
      </w:r>
      <w:r>
        <w:rPr>
          <w:i/>
        </w:rPr>
        <w:t>Financial Instruments</w:t>
      </w:r>
      <w:r>
        <w:t xml:space="preserve"> </w:t>
      </w:r>
      <w:r w:rsidRPr="00ED51CE">
        <w:rPr>
          <w:u w:val="single"/>
        </w:rPr>
        <w:t xml:space="preserve">and AASB 16 </w:t>
      </w:r>
      <w:r w:rsidRPr="00ED51CE">
        <w:rPr>
          <w:i/>
          <w:u w:val="single"/>
        </w:rPr>
        <w:t>Leases</w:t>
      </w:r>
      <w:r>
        <w:t>). In some jurisdictions,</w:t>
      </w:r>
      <w:r w:rsidR="006025F3">
        <w:t xml:space="preserve"> </w:t>
      </w:r>
      <w:r>
        <w:t>…</w:t>
      </w:r>
    </w:p>
    <w:p w14:paraId="06C6EE0A" w14:textId="77777777" w:rsidR="00941A03" w:rsidRDefault="00941A03" w:rsidP="00941A03">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3"/>
        <w:tblDescription w:val="Amendments to AASB 112"/>
      </w:tblPr>
      <w:tblGrid>
        <w:gridCol w:w="9017"/>
      </w:tblGrid>
      <w:tr w:rsidR="00941A03" w14:paraId="4A0EE73C" w14:textId="77777777" w:rsidTr="00AE22E6">
        <w:trPr>
          <w:tblHeader/>
        </w:trPr>
        <w:tc>
          <w:tcPr>
            <w:tcW w:w="9017" w:type="dxa"/>
          </w:tcPr>
          <w:p w14:paraId="18A69781" w14:textId="77777777" w:rsidR="00941A03" w:rsidRDefault="00941A03" w:rsidP="00B52423">
            <w:pPr>
              <w:pStyle w:val="IASBTableArial"/>
            </w:pPr>
            <w:r>
              <w:t>Paragraph 98G is added.</w:t>
            </w:r>
          </w:p>
        </w:tc>
      </w:tr>
    </w:tbl>
    <w:p w14:paraId="3092C980" w14:textId="77777777" w:rsidR="00941A03" w:rsidRDefault="00941A03" w:rsidP="00941A03">
      <w:pPr>
        <w:pStyle w:val="IASBSectionTitle1NonInd"/>
      </w:pPr>
      <w:r>
        <w:lastRenderedPageBreak/>
        <w:t>Effective date</w:t>
      </w:r>
    </w:p>
    <w:p w14:paraId="0A48EED9" w14:textId="77777777" w:rsidR="00941A03" w:rsidRDefault="00941A03" w:rsidP="00941A03">
      <w:pPr>
        <w:pStyle w:val="IASBNormalnpara"/>
      </w:pPr>
      <w:r>
        <w:tab/>
        <w:t>…</w:t>
      </w:r>
    </w:p>
    <w:p w14:paraId="2AFFA8EA" w14:textId="77777777" w:rsidR="00941A03" w:rsidRDefault="00941A03" w:rsidP="00941A03">
      <w:pPr>
        <w:pStyle w:val="IASBNormalnpara"/>
      </w:pPr>
      <w:r>
        <w:rPr>
          <w:u w:val="single"/>
        </w:rPr>
        <w:t>98G</w:t>
      </w:r>
      <w:r w:rsidRPr="004152D3">
        <w:tab/>
      </w:r>
      <w:r>
        <w:rPr>
          <w:u w:val="single"/>
        </w:rPr>
        <w:t>AASB 16, issued in February 2016, amended paragraph 20. An entity shall apply that amendment when it applies AASB 16.</w:t>
      </w:r>
    </w:p>
    <w:p w14:paraId="7067F3C5" w14:textId="77777777" w:rsidR="00FD4BA8" w:rsidRPr="009F30C1" w:rsidRDefault="00E27198">
      <w:pPr>
        <w:pStyle w:val="IASBSectionTitle1NonInd"/>
        <w:pBdr>
          <w:bottom w:val="none" w:sz="0" w:space="0" w:color="auto"/>
        </w:pBdr>
      </w:pPr>
      <w:r>
        <w:t>AASB 116</w:t>
      </w:r>
      <w:r w:rsidR="009A1D2F">
        <w:t xml:space="preserve"> </w:t>
      </w:r>
      <w:r w:rsidR="009A1D2F">
        <w:rPr>
          <w:i/>
        </w:rPr>
        <w:t>Property, Plant and Equipment</w:t>
      </w:r>
      <w:r w:rsidR="009F30C1">
        <w:t xml:space="preserve"> (August 2015)</w:t>
      </w:r>
    </w:p>
    <w:p w14:paraId="5EFFCC8B" w14:textId="77777777" w:rsidR="00FD4BA8" w:rsidRDefault="00FD4BA8" w:rsidP="00ED51CE">
      <w:pPr>
        <w:pStyle w:val="IASBNormalnpara"/>
        <w:keepNext/>
      </w:pPr>
    </w:p>
    <w:tbl>
      <w:tblPr>
        <w:tblW w:w="0" w:type="auto"/>
        <w:tblLayout w:type="fixed"/>
        <w:tblCellMar>
          <w:bottom w:w="85" w:type="dxa"/>
        </w:tblCellMar>
        <w:tblLook w:val="0000" w:firstRow="0" w:lastRow="0" w:firstColumn="0" w:lastColumn="0" w:noHBand="0" w:noVBand="0"/>
        <w:tblCaption w:val="AASB 16 Table 24"/>
        <w:tblDescription w:val="Amendments to AASB 116"/>
      </w:tblPr>
      <w:tblGrid>
        <w:gridCol w:w="9208"/>
      </w:tblGrid>
      <w:tr w:rsidR="00FD4BA8" w14:paraId="1C0186E1" w14:textId="77777777" w:rsidTr="006A7D07">
        <w:trPr>
          <w:cantSplit/>
        </w:trPr>
        <w:tc>
          <w:tcPr>
            <w:tcW w:w="9208" w:type="dxa"/>
            <w:tcBorders>
              <w:top w:val="single" w:sz="4" w:space="0" w:color="auto"/>
              <w:left w:val="single" w:sz="4" w:space="0" w:color="auto"/>
              <w:bottom w:val="single" w:sz="4" w:space="0" w:color="auto"/>
              <w:right w:val="single" w:sz="4" w:space="0" w:color="auto"/>
            </w:tcBorders>
          </w:tcPr>
          <w:p w14:paraId="1656D3A1" w14:textId="77777777" w:rsidR="00FD4BA8" w:rsidRDefault="009A1D2F" w:rsidP="00CD550C">
            <w:pPr>
              <w:pStyle w:val="IASBTableArial"/>
            </w:pPr>
            <w:r>
              <w:t>Paragraphs 4 and 27 are deleted, paragraphs 5, 10, 44</w:t>
            </w:r>
            <w:r w:rsidR="00A407EE">
              <w:t xml:space="preserve">, </w:t>
            </w:r>
            <w:r>
              <w:t>68</w:t>
            </w:r>
            <w:r w:rsidR="00A407EE">
              <w:t xml:space="preserve"> and 69</w:t>
            </w:r>
            <w:r>
              <w:t xml:space="preserve"> are amended</w:t>
            </w:r>
            <w:r w:rsidR="00A407EE">
              <w:t xml:space="preserve"> </w:t>
            </w:r>
            <w:r>
              <w:t>and paragraph 81L is added.</w:t>
            </w:r>
          </w:p>
        </w:tc>
      </w:tr>
    </w:tbl>
    <w:p w14:paraId="79CB386B" w14:textId="77777777" w:rsidR="00FD4BA8" w:rsidRDefault="009A1D2F">
      <w:pPr>
        <w:pStyle w:val="IASBSectionTitle1NonInd"/>
      </w:pPr>
      <w:r>
        <w:t>Scope</w:t>
      </w:r>
    </w:p>
    <w:p w14:paraId="04406AAB" w14:textId="77777777" w:rsidR="00FD4BA8" w:rsidRDefault="009A1D2F">
      <w:pPr>
        <w:pStyle w:val="IASBNormalnpara"/>
      </w:pPr>
      <w:r>
        <w:tab/>
        <w:t>...</w:t>
      </w:r>
    </w:p>
    <w:p w14:paraId="3648E2A3" w14:textId="77777777" w:rsidR="00FD4BA8" w:rsidRDefault="009A1D2F">
      <w:pPr>
        <w:pStyle w:val="IASBNormalnpara"/>
      </w:pPr>
      <w:r>
        <w:t>4</w:t>
      </w:r>
      <w:r>
        <w:tab/>
      </w:r>
      <w:r>
        <w:rPr>
          <w:u w:val="single"/>
        </w:rPr>
        <w:t>[Deleted]</w:t>
      </w:r>
      <w:r>
        <w:t xml:space="preserve"> </w:t>
      </w:r>
      <w:r>
        <w:rPr>
          <w:strike/>
        </w:rPr>
        <w:t>Other Standards may require recognition of an item of property, plant and equipment based on an approach different from that in this Standard. For example,</w:t>
      </w:r>
      <w:r w:rsidR="00E27198">
        <w:rPr>
          <w:strike/>
        </w:rPr>
        <w:t xml:space="preserve"> AASB 117</w:t>
      </w:r>
      <w:r>
        <w:rPr>
          <w:strike/>
        </w:rPr>
        <w:t xml:space="preserve"> </w:t>
      </w:r>
      <w:r>
        <w:rPr>
          <w:i/>
          <w:strike/>
        </w:rPr>
        <w:t>Leases</w:t>
      </w:r>
      <w:r>
        <w:rPr>
          <w:strike/>
        </w:rPr>
        <w:t xml:space="preserve"> requires an entity to evaluate its recognition of an item of leased property, plant and equipment on the basis of the transfer of risks and rewards. However, in such cases other aspects of the accounting treatment for these assets, including depreciation, are prescribed by this Standard.</w:t>
      </w:r>
    </w:p>
    <w:p w14:paraId="252B49C1" w14:textId="77777777" w:rsidR="00FD4BA8" w:rsidRDefault="009A1D2F">
      <w:pPr>
        <w:pStyle w:val="IASBNormalnpara"/>
      </w:pPr>
      <w:r>
        <w:t>5</w:t>
      </w:r>
      <w:r>
        <w:tab/>
        <w:t>An entity using the cost model for investment property in accordance with</w:t>
      </w:r>
      <w:r w:rsidR="00E27198">
        <w:t xml:space="preserve"> AASB 140</w:t>
      </w:r>
      <w:r>
        <w:t xml:space="preserve"> </w:t>
      </w:r>
      <w:r>
        <w:rPr>
          <w:i/>
        </w:rPr>
        <w:t>Investment Property</w:t>
      </w:r>
      <w:r>
        <w:t xml:space="preserve"> shall use the cost model in this Standard </w:t>
      </w:r>
      <w:r>
        <w:rPr>
          <w:u w:val="single"/>
        </w:rPr>
        <w:t>for owned investment property</w:t>
      </w:r>
      <w:r>
        <w:t>.</w:t>
      </w:r>
    </w:p>
    <w:p w14:paraId="08B92FFB" w14:textId="77777777" w:rsidR="00FD4BA8" w:rsidRDefault="009A1D2F">
      <w:pPr>
        <w:pStyle w:val="IASBSectionTitle1NonInd"/>
      </w:pPr>
      <w:r>
        <w:t>Recognition</w:t>
      </w:r>
    </w:p>
    <w:p w14:paraId="437272DF" w14:textId="77777777" w:rsidR="00FD4BA8" w:rsidRDefault="009A1D2F">
      <w:pPr>
        <w:pStyle w:val="IASBNormalnpara"/>
      </w:pPr>
      <w:r>
        <w:tab/>
        <w:t>...</w:t>
      </w:r>
    </w:p>
    <w:p w14:paraId="18ADA1D1" w14:textId="77777777" w:rsidR="00FD4BA8" w:rsidRDefault="009A1D2F">
      <w:pPr>
        <w:pStyle w:val="IASBNormalnpara"/>
      </w:pPr>
      <w:r>
        <w:t>10</w:t>
      </w:r>
      <w:r>
        <w:tab/>
        <w:t xml:space="preserve">An entity evaluates under this recognition principle all its property, plant and equipment costs at the time they are incurred. These costs include costs incurred initially to acquire or construct an item of property, plant and equipment and costs incurred subsequently to add to, replace part of, or service it. </w:t>
      </w:r>
      <w:r>
        <w:rPr>
          <w:u w:val="single"/>
        </w:rPr>
        <w:t>The cost of an item of property, plant and equipment may include costs incurred relating to leases of assets that are used to construct, add to, replace part of or service an item of property, plant and equipment, such as depreciation of right-of-use assets.</w:t>
      </w:r>
    </w:p>
    <w:p w14:paraId="5825895E" w14:textId="77777777" w:rsidR="00FD4BA8" w:rsidRDefault="009A1D2F">
      <w:pPr>
        <w:pStyle w:val="IASBSectionTitle2Ind"/>
      </w:pPr>
      <w:r>
        <w:t>Measurement of cost</w:t>
      </w:r>
    </w:p>
    <w:p w14:paraId="3313CF10" w14:textId="77777777" w:rsidR="00FD4BA8" w:rsidRDefault="009A1D2F">
      <w:pPr>
        <w:pStyle w:val="IASBNormalnpara"/>
      </w:pPr>
      <w:r>
        <w:tab/>
        <w:t>...</w:t>
      </w:r>
    </w:p>
    <w:p w14:paraId="19FB7294" w14:textId="77777777" w:rsidR="00FD4BA8" w:rsidRDefault="009A1D2F">
      <w:pPr>
        <w:pStyle w:val="IASBNormalnpara"/>
      </w:pPr>
      <w:r>
        <w:t>27</w:t>
      </w:r>
      <w:r>
        <w:tab/>
      </w:r>
      <w:r>
        <w:rPr>
          <w:u w:val="single"/>
        </w:rPr>
        <w:t>[Deleted]</w:t>
      </w:r>
      <w:r>
        <w:t xml:space="preserve"> </w:t>
      </w:r>
      <w:r>
        <w:rPr>
          <w:strike/>
        </w:rPr>
        <w:t>The cost of an item of property, plant and equipment held by a lessee under a finance lease is determined in accordance with</w:t>
      </w:r>
      <w:r w:rsidR="00E27198">
        <w:rPr>
          <w:strike/>
        </w:rPr>
        <w:t xml:space="preserve"> AASB 117</w:t>
      </w:r>
      <w:r>
        <w:rPr>
          <w:strike/>
        </w:rPr>
        <w:t>.</w:t>
      </w:r>
    </w:p>
    <w:p w14:paraId="5E676278" w14:textId="77777777" w:rsidR="00FD4BA8" w:rsidRDefault="009A1D2F">
      <w:pPr>
        <w:pStyle w:val="IASBNormalnpara"/>
      </w:pPr>
      <w:r>
        <w:tab/>
        <w:t>...</w:t>
      </w:r>
    </w:p>
    <w:p w14:paraId="3F39731B" w14:textId="77777777" w:rsidR="00FD4BA8" w:rsidRDefault="009A1D2F">
      <w:pPr>
        <w:pStyle w:val="IASBSectionTitle2Ind"/>
      </w:pPr>
      <w:r>
        <w:t>Depreciation</w:t>
      </w:r>
    </w:p>
    <w:p w14:paraId="1A01A0A9" w14:textId="77777777" w:rsidR="00FD4BA8" w:rsidRDefault="009A1D2F">
      <w:pPr>
        <w:pStyle w:val="IASBNormalnpara"/>
      </w:pPr>
      <w:r>
        <w:tab/>
        <w:t>...</w:t>
      </w:r>
    </w:p>
    <w:p w14:paraId="4B7D42AB" w14:textId="77777777" w:rsidR="00FD4BA8" w:rsidRDefault="009A1D2F">
      <w:pPr>
        <w:pStyle w:val="IASBNormalnpara"/>
      </w:pPr>
      <w:r>
        <w:t>44</w:t>
      </w:r>
      <w:r>
        <w:tab/>
        <w:t>An entity allocates the amount initially recognised in respect of an item of property, plant and equipment to its significant parts and depreciates separately each such part. For example, it may be appropriate to depreciate separately the airframe and engines of an aircraft</w:t>
      </w:r>
      <w:r>
        <w:rPr>
          <w:strike/>
        </w:rPr>
        <w:t>, whether owned or subject to a finance lease</w:t>
      </w:r>
      <w:r>
        <w:t>. Similarly, if an entity acquires property, plant and equipment subject to an operating lease in which it is the lessor, it may be appropriate to depreciate separately amounts reflected in the cost of that item that are attributable to favourable or unfavourable lease terms relative to market terms.</w:t>
      </w:r>
    </w:p>
    <w:p w14:paraId="1F737AB5" w14:textId="77777777" w:rsidR="00FD4BA8" w:rsidRDefault="009A1D2F">
      <w:pPr>
        <w:pStyle w:val="IASBNormalnpara"/>
      </w:pPr>
      <w:r>
        <w:tab/>
        <w:t>...</w:t>
      </w:r>
    </w:p>
    <w:p w14:paraId="2C372A67" w14:textId="77777777" w:rsidR="00FD4BA8" w:rsidRDefault="009A1D2F">
      <w:pPr>
        <w:pStyle w:val="IASBSectionTitle1NonInd"/>
      </w:pPr>
      <w:r>
        <w:t>Derecognition</w:t>
      </w:r>
    </w:p>
    <w:p w14:paraId="5B62712E" w14:textId="77777777" w:rsidR="00FD4BA8" w:rsidRDefault="009A1D2F">
      <w:pPr>
        <w:pStyle w:val="IASBNormalnpara"/>
      </w:pPr>
      <w:r>
        <w:tab/>
        <w:t>...</w:t>
      </w:r>
    </w:p>
    <w:p w14:paraId="6A9CE1A7" w14:textId="77777777" w:rsidR="00FD4BA8" w:rsidRDefault="009A1D2F">
      <w:pPr>
        <w:pStyle w:val="IASBNormalnpara"/>
        <w:rPr>
          <w:b/>
        </w:rPr>
      </w:pPr>
      <w:r>
        <w:rPr>
          <w:b/>
        </w:rPr>
        <w:lastRenderedPageBreak/>
        <w:t>68</w:t>
      </w:r>
      <w:r>
        <w:rPr>
          <w:b/>
        </w:rPr>
        <w:tab/>
        <w:t>The gain or loss arising from the derecognition of an item of property, plant and equipment shall be included in profit or loss when the item is derecognised (unless</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u w:val="single"/>
        </w:rPr>
        <w:t xml:space="preserve"> </w:t>
      </w:r>
      <w:r>
        <w:rPr>
          <w:b/>
          <w:i/>
          <w:u w:val="single"/>
        </w:rPr>
        <w:t>Leases</w:t>
      </w:r>
      <w:r>
        <w:rPr>
          <w:b/>
        </w:rPr>
        <w:t xml:space="preserve"> requires otherwise on a sale and leaseback). Gains shall not be classified as revenue.</w:t>
      </w:r>
    </w:p>
    <w:p w14:paraId="1F89ABBF" w14:textId="77777777" w:rsidR="00FD4BA8" w:rsidRDefault="009A1D2F">
      <w:pPr>
        <w:pStyle w:val="IASBNormalnpara"/>
      </w:pPr>
      <w:r>
        <w:tab/>
        <w:t>...</w:t>
      </w:r>
    </w:p>
    <w:p w14:paraId="7F8E7D53" w14:textId="77777777" w:rsidR="00FD4BA8" w:rsidRDefault="009A1D2F">
      <w:pPr>
        <w:pStyle w:val="IASBNormalnpara"/>
      </w:pPr>
      <w:r>
        <w:t>69</w:t>
      </w:r>
      <w:r>
        <w:tab/>
        <w:t>The disposal of an item of property, plant and equipment may occur in a variety of ways (eg by sale, by entering into a finance lease or by donation). The date of disposal of an item of property, plant and equipment is the date the recipient obtains control of that item in accordance with the requirements for determining when a performance obligation is satisfied in</w:t>
      </w:r>
      <w:r w:rsidR="00E27198">
        <w:t xml:space="preserve"> AASB 15</w:t>
      </w:r>
      <w:r>
        <w:t>.</w:t>
      </w:r>
      <w:r w:rsidR="00E27198">
        <w:t xml:space="preserve"> </w:t>
      </w:r>
      <w:r w:rsidR="00E27198" w:rsidRPr="00ED51CE">
        <w:rPr>
          <w:strike/>
        </w:rPr>
        <w:t>AASB 117</w:t>
      </w:r>
      <w:r w:rsidR="00E27198">
        <w:t xml:space="preserve"> </w:t>
      </w:r>
      <w:r w:rsidR="00E27198" w:rsidRPr="00ED51CE">
        <w:rPr>
          <w:u w:val="single"/>
        </w:rPr>
        <w:t>AASB 16</w:t>
      </w:r>
      <w:r>
        <w:t xml:space="preserve"> applies to disposal by a sale and leaseback.</w:t>
      </w:r>
    </w:p>
    <w:p w14:paraId="186AC92C" w14:textId="77777777" w:rsidR="00FD4BA8" w:rsidRDefault="009A1D2F">
      <w:pPr>
        <w:pStyle w:val="IASBNormalnpara"/>
      </w:pPr>
      <w:r>
        <w:tab/>
        <w:t>...</w:t>
      </w:r>
    </w:p>
    <w:p w14:paraId="53B465BD" w14:textId="77777777" w:rsidR="00FD4BA8" w:rsidRDefault="009A1D2F">
      <w:pPr>
        <w:pStyle w:val="IASBSectionTitle1NonInd"/>
      </w:pPr>
      <w:r>
        <w:t>Effective date</w:t>
      </w:r>
    </w:p>
    <w:p w14:paraId="4AAFEBCF" w14:textId="77777777" w:rsidR="00FD4BA8" w:rsidRDefault="009A1D2F">
      <w:pPr>
        <w:pStyle w:val="IASBNormalnpara"/>
      </w:pPr>
      <w:r>
        <w:tab/>
        <w:t>...</w:t>
      </w:r>
    </w:p>
    <w:p w14:paraId="59F65078" w14:textId="77777777" w:rsidR="00FD4BA8" w:rsidRDefault="009A1D2F">
      <w:pPr>
        <w:pStyle w:val="IASBNormalnpara"/>
      </w:pPr>
      <w:r>
        <w:rPr>
          <w:u w:val="single"/>
        </w:rPr>
        <w:t>81L</w:t>
      </w:r>
      <w:r w:rsidRPr="00461192">
        <w:tab/>
      </w:r>
      <w:r w:rsidR="00E27198">
        <w:rPr>
          <w:u w:val="single"/>
        </w:rPr>
        <w:t>AASB 16</w:t>
      </w:r>
      <w:r>
        <w:rPr>
          <w:u w:val="single"/>
        </w:rPr>
        <w:t xml:space="preserve">, issued in </w:t>
      </w:r>
      <w:r w:rsidR="00757948">
        <w:rPr>
          <w:u w:val="single"/>
        </w:rPr>
        <w:t>February 2016</w:t>
      </w:r>
      <w:r>
        <w:rPr>
          <w:u w:val="single"/>
        </w:rPr>
        <w:t>, deleted paragraphs 4 and 27 and amended paragraphs 5, 10, 44 and 68–69. An entity shall apply those amendments when it applies</w:t>
      </w:r>
      <w:r w:rsidR="00E27198">
        <w:rPr>
          <w:u w:val="single"/>
        </w:rPr>
        <w:t xml:space="preserve"> AASB 16</w:t>
      </w:r>
      <w:r>
        <w:rPr>
          <w:u w:val="single"/>
        </w:rPr>
        <w:t>.</w:t>
      </w:r>
    </w:p>
    <w:p w14:paraId="5979F77D" w14:textId="77777777" w:rsidR="00FD4BA8" w:rsidRPr="002E4B51" w:rsidRDefault="00E27198">
      <w:pPr>
        <w:pStyle w:val="IASBSectionTitle1NonInd"/>
        <w:pBdr>
          <w:bottom w:val="none" w:sz="0" w:space="0" w:color="auto"/>
        </w:pBdr>
      </w:pPr>
      <w:r>
        <w:t>AASB 121</w:t>
      </w:r>
      <w:r w:rsidR="009A1D2F">
        <w:t xml:space="preserve"> </w:t>
      </w:r>
      <w:r w:rsidR="009A1D2F">
        <w:rPr>
          <w:i/>
        </w:rPr>
        <w:t>The Effects of Changes in Foreign Exchange Rates</w:t>
      </w:r>
      <w:r w:rsidR="002E4B51">
        <w:t xml:space="preserve"> (August 2015)</w:t>
      </w:r>
    </w:p>
    <w:p w14:paraId="371865D4"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5"/>
        <w:tblDescription w:val="Amendments to AASB 121"/>
      </w:tblPr>
      <w:tblGrid>
        <w:gridCol w:w="9208"/>
      </w:tblGrid>
      <w:tr w:rsidR="00FD4BA8" w14:paraId="3A21EFA3"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E0753AD" w14:textId="77777777" w:rsidR="00FD4BA8" w:rsidRDefault="009A1D2F">
            <w:pPr>
              <w:pStyle w:val="IASBTableArial"/>
            </w:pPr>
            <w:r>
              <w:t>Paragraph 16 is amended and paragraph 60K is added.</w:t>
            </w:r>
          </w:p>
        </w:tc>
      </w:tr>
    </w:tbl>
    <w:p w14:paraId="0069DD39" w14:textId="77777777" w:rsidR="00FD4BA8" w:rsidRDefault="009A1D2F">
      <w:pPr>
        <w:pStyle w:val="IASBSectionTitle2Ind"/>
      </w:pPr>
      <w:r>
        <w:t>Monetary items</w:t>
      </w:r>
    </w:p>
    <w:p w14:paraId="7858854E" w14:textId="77777777" w:rsidR="00FD4BA8" w:rsidRDefault="009A1D2F">
      <w:pPr>
        <w:pStyle w:val="IASBNormalnpara"/>
      </w:pPr>
      <w:r>
        <w:t>16</w:t>
      </w:r>
      <w:r>
        <w:tab/>
        <w:t xml:space="preserve">The essential feature of a monetary item is a right to receive (or an obligation to deliver) a fixed or determinable number of units of currency. Examples include: pensions and other employee benefits to be paid in cash; provisions that are to be settled in cash; </w:t>
      </w:r>
      <w:r>
        <w:rPr>
          <w:u w:val="single"/>
        </w:rPr>
        <w:t>lease liabilities;</w:t>
      </w:r>
      <w:r>
        <w:t xml:space="preserve"> and cash dividends that are recognised as a liability. Similarly, a contract to receive (or deliver) a variable number of the entity’s own equity instruments or a variable amount of assets in which the fair value to be received (or delivered) equals a fixed or determinable number of units of currency is a monetary item. Conversely, the essential feature of a non-monetary item is the absence of a right to receive (or an obligation to deliver) a fixed or determinable number of units of currency. Examples include: amounts prepaid for goods and services </w:t>
      </w:r>
      <w:r>
        <w:rPr>
          <w:strike/>
        </w:rPr>
        <w:t>(eg prepaid rent)</w:t>
      </w:r>
      <w:r>
        <w:t>; goodwill; intangible assets; inventories; property, plant and equipment</w:t>
      </w:r>
      <w:r>
        <w:rPr>
          <w:u w:val="single"/>
        </w:rPr>
        <w:t>; right-of-use assets</w:t>
      </w:r>
      <w:r>
        <w:t>; and provisions that are to be settled by the delivery of a non-monetary asset.</w:t>
      </w:r>
    </w:p>
    <w:p w14:paraId="76FF0AFA" w14:textId="77777777" w:rsidR="00FD4BA8" w:rsidRDefault="009A1D2F">
      <w:pPr>
        <w:pStyle w:val="IASBSectionTitle1NonInd"/>
      </w:pPr>
      <w:r>
        <w:t>Effective date and transition</w:t>
      </w:r>
    </w:p>
    <w:p w14:paraId="31551AF9" w14:textId="77777777" w:rsidR="00FD4BA8" w:rsidRDefault="009A1D2F">
      <w:pPr>
        <w:pStyle w:val="IASBNormalnpara"/>
      </w:pPr>
      <w:r>
        <w:tab/>
        <w:t>…</w:t>
      </w:r>
    </w:p>
    <w:p w14:paraId="28F88991" w14:textId="77777777" w:rsidR="00FD4BA8" w:rsidRDefault="009A1D2F">
      <w:pPr>
        <w:pStyle w:val="IASBNormalnpara"/>
      </w:pPr>
      <w:r>
        <w:rPr>
          <w:u w:val="single"/>
        </w:rPr>
        <w:t>60K</w:t>
      </w:r>
      <w:r w:rsidRPr="00461192">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 16. An entity shall apply that amendment when it applies</w:t>
      </w:r>
      <w:r w:rsidR="00E27198">
        <w:rPr>
          <w:u w:val="single"/>
        </w:rPr>
        <w:t xml:space="preserve"> AASB 16</w:t>
      </w:r>
      <w:r>
        <w:rPr>
          <w:u w:val="single"/>
        </w:rPr>
        <w:t>.</w:t>
      </w:r>
    </w:p>
    <w:p w14:paraId="61C2419C" w14:textId="77777777" w:rsidR="00FD4BA8" w:rsidRPr="002E4B51" w:rsidRDefault="00E27198">
      <w:pPr>
        <w:pStyle w:val="IASBSectionTitle1NonInd"/>
        <w:pBdr>
          <w:bottom w:val="none" w:sz="0" w:space="0" w:color="auto"/>
        </w:pBdr>
      </w:pPr>
      <w:r>
        <w:t>AASB 123</w:t>
      </w:r>
      <w:r w:rsidR="009A1D2F">
        <w:t xml:space="preserve"> </w:t>
      </w:r>
      <w:r w:rsidR="009A1D2F">
        <w:rPr>
          <w:i/>
        </w:rPr>
        <w:t>Borrowing Costs</w:t>
      </w:r>
      <w:r w:rsidR="002E4B51">
        <w:t xml:space="preserve"> (August 2015)</w:t>
      </w:r>
    </w:p>
    <w:p w14:paraId="745BF7E1"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6"/>
        <w:tblDescription w:val="Amendments to AASB 123"/>
      </w:tblPr>
      <w:tblGrid>
        <w:gridCol w:w="9208"/>
      </w:tblGrid>
      <w:tr w:rsidR="00FD4BA8" w14:paraId="709C2AA5"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7415666" w14:textId="77777777" w:rsidR="00FD4BA8" w:rsidRDefault="009A1D2F">
            <w:pPr>
              <w:pStyle w:val="IASBTableArial"/>
            </w:pPr>
            <w:r>
              <w:t>Paragraph 6 is amended and paragraph 29C is added.</w:t>
            </w:r>
          </w:p>
        </w:tc>
      </w:tr>
    </w:tbl>
    <w:p w14:paraId="18DD38FD" w14:textId="77777777" w:rsidR="00FD4BA8" w:rsidRDefault="009A1D2F">
      <w:pPr>
        <w:pStyle w:val="IASBSectionTitle1NonInd"/>
      </w:pPr>
      <w:r>
        <w:t>Definitions</w:t>
      </w:r>
    </w:p>
    <w:p w14:paraId="79DFF502" w14:textId="77777777" w:rsidR="00FD4BA8" w:rsidRDefault="009A1D2F">
      <w:pPr>
        <w:pStyle w:val="IASBNormalnpara"/>
      </w:pPr>
      <w:r>
        <w:tab/>
        <w:t>...</w:t>
      </w:r>
    </w:p>
    <w:p w14:paraId="1FC74949" w14:textId="77777777" w:rsidR="00FD4BA8" w:rsidRDefault="009A1D2F">
      <w:pPr>
        <w:pStyle w:val="IASBNormalnpara"/>
      </w:pPr>
      <w:r>
        <w:t>6</w:t>
      </w:r>
      <w:r>
        <w:tab/>
        <w:t>Borrowing costs may include:</w:t>
      </w:r>
    </w:p>
    <w:p w14:paraId="3B533D3A" w14:textId="77777777" w:rsidR="00FD4BA8" w:rsidRDefault="009A1D2F">
      <w:pPr>
        <w:pStyle w:val="IASBNormalnparaL1"/>
      </w:pPr>
      <w:r>
        <w:t>(a)</w:t>
      </w:r>
      <w:r>
        <w:tab/>
        <w:t>...</w:t>
      </w:r>
    </w:p>
    <w:p w14:paraId="0360AD65" w14:textId="77777777" w:rsidR="00FD4BA8" w:rsidRDefault="009A1D2F">
      <w:pPr>
        <w:pStyle w:val="IASBNormalnparaL1"/>
      </w:pPr>
      <w:r>
        <w:lastRenderedPageBreak/>
        <w:t>(d)</w:t>
      </w:r>
      <w:r>
        <w:tab/>
      </w:r>
      <w:r>
        <w:rPr>
          <w:strike/>
        </w:rPr>
        <w:t>finance charges</w:t>
      </w:r>
      <w:r>
        <w:t xml:space="preserve"> </w:t>
      </w:r>
      <w:r>
        <w:rPr>
          <w:u w:val="single"/>
        </w:rPr>
        <w:t>interest</w:t>
      </w:r>
      <w:r>
        <w:t xml:space="preserve"> in respect of </w:t>
      </w:r>
      <w:r>
        <w:rPr>
          <w:strike/>
        </w:rPr>
        <w:t>finance</w:t>
      </w:r>
      <w:r>
        <w:t xml:space="preserve"> lease</w:t>
      </w:r>
      <w:r>
        <w:rPr>
          <w:strike/>
        </w:rPr>
        <w:t>s</w:t>
      </w:r>
      <w:r>
        <w:t xml:space="preserve"> </w:t>
      </w:r>
      <w:r>
        <w:rPr>
          <w:u w:val="single"/>
        </w:rPr>
        <w:t>liabilities</w:t>
      </w:r>
      <w:r>
        <w:t xml:space="preserve"> recognised in accordance with</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and</w:t>
      </w:r>
    </w:p>
    <w:p w14:paraId="2EE8AE92" w14:textId="77777777" w:rsidR="00FD4BA8" w:rsidRDefault="009A1D2F">
      <w:pPr>
        <w:pStyle w:val="IASBNormalnparaL1"/>
      </w:pPr>
      <w:r>
        <w:t>(e)</w:t>
      </w:r>
      <w:r>
        <w:tab/>
        <w:t>...</w:t>
      </w:r>
    </w:p>
    <w:p w14:paraId="2F7DD754" w14:textId="77777777" w:rsidR="00FD4BA8" w:rsidRDefault="009A1D2F">
      <w:pPr>
        <w:pStyle w:val="IASBSectionTitle1NonInd"/>
      </w:pPr>
      <w:r>
        <w:t>Effective date</w:t>
      </w:r>
    </w:p>
    <w:p w14:paraId="09BA8584" w14:textId="77777777" w:rsidR="00FD4BA8" w:rsidRDefault="009A1D2F">
      <w:pPr>
        <w:pStyle w:val="IASBNormalnpara"/>
      </w:pPr>
      <w:r>
        <w:tab/>
        <w:t>...</w:t>
      </w:r>
    </w:p>
    <w:p w14:paraId="53A0BDD1" w14:textId="77777777" w:rsidR="00FD4BA8" w:rsidRDefault="009A1D2F">
      <w:pPr>
        <w:pStyle w:val="IASBNormalnpara"/>
      </w:pPr>
      <w:r>
        <w:rPr>
          <w:u w:val="single"/>
        </w:rPr>
        <w:t>29C</w:t>
      </w:r>
      <w:r w:rsidRPr="00461192">
        <w:tab/>
      </w:r>
      <w:r w:rsidR="00E27198">
        <w:rPr>
          <w:u w:val="single"/>
        </w:rPr>
        <w:t>AASB 16</w:t>
      </w:r>
      <w:r>
        <w:rPr>
          <w:u w:val="single"/>
        </w:rPr>
        <w:t xml:space="preserve">, issued in </w:t>
      </w:r>
      <w:r w:rsidR="00757948">
        <w:rPr>
          <w:u w:val="single"/>
        </w:rPr>
        <w:t>February 2016</w:t>
      </w:r>
      <w:r>
        <w:rPr>
          <w:u w:val="single"/>
        </w:rPr>
        <w:t>, amended paragraph 6. An entity shall apply that amendment when it applies</w:t>
      </w:r>
      <w:r w:rsidR="00E27198">
        <w:rPr>
          <w:u w:val="single"/>
        </w:rPr>
        <w:t xml:space="preserve"> AASB 16</w:t>
      </w:r>
      <w:r>
        <w:rPr>
          <w:u w:val="single"/>
        </w:rPr>
        <w:t>.</w:t>
      </w:r>
    </w:p>
    <w:p w14:paraId="589EE2DA" w14:textId="77777777" w:rsidR="00FD4BA8" w:rsidRPr="002E4B51" w:rsidRDefault="00E27198">
      <w:pPr>
        <w:pStyle w:val="IASBSectionTitle1NonInd"/>
        <w:pBdr>
          <w:bottom w:val="none" w:sz="0" w:space="0" w:color="auto"/>
        </w:pBdr>
      </w:pPr>
      <w:r>
        <w:t>AASB 132</w:t>
      </w:r>
      <w:r w:rsidR="009A1D2F">
        <w:t xml:space="preserve"> </w:t>
      </w:r>
      <w:r w:rsidR="009A1D2F">
        <w:rPr>
          <w:i/>
        </w:rPr>
        <w:t>Financial Instruments: Presentation</w:t>
      </w:r>
      <w:r w:rsidR="002E4B51">
        <w:t xml:space="preserve"> (August 2015)</w:t>
      </w:r>
    </w:p>
    <w:p w14:paraId="62719C8F"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7"/>
        <w:tblDescription w:val="Amendments to AASB 132"/>
      </w:tblPr>
      <w:tblGrid>
        <w:gridCol w:w="9208"/>
      </w:tblGrid>
      <w:tr w:rsidR="00FD4BA8" w14:paraId="2117698D"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B901236" w14:textId="77777777" w:rsidR="00FD4BA8" w:rsidRDefault="009A1D2F" w:rsidP="00CE4B6D">
            <w:pPr>
              <w:pStyle w:val="IASBTableArial"/>
            </w:pPr>
            <w:r>
              <w:t>Paragraph</w:t>
            </w:r>
            <w:r w:rsidR="00CE4B6D">
              <w:t xml:space="preserve"> </w:t>
            </w:r>
            <w:r>
              <w:t>97S is added</w:t>
            </w:r>
            <w:r w:rsidR="00CE4B6D">
              <w:t xml:space="preserve"> and paragraphs AG9 and AG10 in the Application Guidance are amended</w:t>
            </w:r>
            <w:r>
              <w:t>.</w:t>
            </w:r>
          </w:p>
        </w:tc>
      </w:tr>
    </w:tbl>
    <w:p w14:paraId="18F800DF" w14:textId="77777777" w:rsidR="00FD4BA8" w:rsidRDefault="009A1D2F">
      <w:pPr>
        <w:pStyle w:val="IASBSectionTitle1NonInd"/>
      </w:pPr>
      <w:r>
        <w:t>Effective date and transition</w:t>
      </w:r>
    </w:p>
    <w:p w14:paraId="7D462C6C" w14:textId="77777777" w:rsidR="00FD4BA8" w:rsidRDefault="009A1D2F">
      <w:pPr>
        <w:pStyle w:val="IASBNormalnpara"/>
      </w:pPr>
      <w:r>
        <w:tab/>
        <w:t>...</w:t>
      </w:r>
    </w:p>
    <w:p w14:paraId="08231B08" w14:textId="77777777" w:rsidR="00FD4BA8" w:rsidRDefault="009A1D2F">
      <w:pPr>
        <w:pStyle w:val="IASBNormalnpara"/>
        <w:rPr>
          <w:u w:val="single"/>
        </w:rPr>
      </w:pPr>
      <w:r>
        <w:rPr>
          <w:u w:val="single"/>
        </w:rPr>
        <w:t>97S</w:t>
      </w:r>
      <w:r w:rsidRPr="00B22C54">
        <w:tab/>
      </w:r>
      <w:r w:rsidR="00E27198">
        <w:rPr>
          <w:u w:val="single"/>
        </w:rPr>
        <w:t>AASB 16</w:t>
      </w:r>
      <w:r>
        <w:rPr>
          <w:u w:val="single"/>
        </w:rPr>
        <w:t xml:space="preserve"> </w:t>
      </w:r>
      <w:r>
        <w:rPr>
          <w:i/>
          <w:u w:val="single"/>
        </w:rPr>
        <w:t>Leases</w:t>
      </w:r>
      <w:r>
        <w:rPr>
          <w:u w:val="single"/>
        </w:rPr>
        <w:t xml:space="preserve">, issued in </w:t>
      </w:r>
      <w:r w:rsidR="00757948">
        <w:rPr>
          <w:u w:val="single"/>
        </w:rPr>
        <w:t>February 2016</w:t>
      </w:r>
      <w:r>
        <w:rPr>
          <w:u w:val="single"/>
        </w:rPr>
        <w:t>, amended paragraphs AG9 and AG10. An entity shall apply those amendments when it applies</w:t>
      </w:r>
      <w:r w:rsidR="00E27198">
        <w:rPr>
          <w:u w:val="single"/>
        </w:rPr>
        <w:t xml:space="preserve"> AASB 16</w:t>
      </w:r>
      <w:r>
        <w:rPr>
          <w:u w:val="single"/>
        </w:rPr>
        <w:t>.</w:t>
      </w:r>
    </w:p>
    <w:p w14:paraId="72D6C1C1" w14:textId="77777777" w:rsidR="00E242F4" w:rsidRDefault="00E242F4" w:rsidP="00ED51CE">
      <w:pPr>
        <w:pStyle w:val="IASBSectionTitle1NonInd"/>
        <w:pBdr>
          <w:bottom w:val="none" w:sz="0" w:space="0" w:color="auto"/>
        </w:pBdr>
      </w:pPr>
      <w:r>
        <w:t>Appendix</w:t>
      </w:r>
    </w:p>
    <w:p w14:paraId="33D3F862" w14:textId="77777777" w:rsidR="00CE4B6D" w:rsidRPr="00CD550C" w:rsidRDefault="00CE4B6D" w:rsidP="00ED51CE">
      <w:pPr>
        <w:pStyle w:val="IASBSectionTitle1NonInd"/>
      </w:pPr>
      <w:r>
        <w:t>Definitions (paragraphs 11-14)</w:t>
      </w:r>
    </w:p>
    <w:p w14:paraId="65EC9766" w14:textId="77777777" w:rsidR="00CE4B6D" w:rsidRPr="00CE4B6D" w:rsidRDefault="006025F3" w:rsidP="00ED51CE">
      <w:pPr>
        <w:pStyle w:val="IASBSectionTitle2Ind"/>
      </w:pPr>
      <w:r>
        <w:t>Financial assets and f</w:t>
      </w:r>
      <w:r w:rsidR="00CE4B6D">
        <w:t>inancial</w:t>
      </w:r>
      <w:r>
        <w:t xml:space="preserve"> l</w:t>
      </w:r>
      <w:r w:rsidR="00CE4B6D">
        <w:t>iabilities</w:t>
      </w:r>
    </w:p>
    <w:p w14:paraId="40790F0D" w14:textId="77777777" w:rsidR="00E01695" w:rsidRDefault="00E01695" w:rsidP="00E01695">
      <w:pPr>
        <w:pStyle w:val="IASBNormalnpara"/>
      </w:pPr>
      <w:r>
        <w:tab/>
        <w:t>…</w:t>
      </w:r>
    </w:p>
    <w:p w14:paraId="7F434E3E" w14:textId="77777777" w:rsidR="00E01695" w:rsidRDefault="00E01695" w:rsidP="00E01695">
      <w:pPr>
        <w:pStyle w:val="IASBNormalnpara"/>
      </w:pPr>
      <w:r>
        <w:t>AG9</w:t>
      </w:r>
      <w:r>
        <w:tab/>
      </w:r>
      <w:r>
        <w:rPr>
          <w:strike/>
        </w:rPr>
        <w:t xml:space="preserve">Under </w:t>
      </w:r>
      <w:r w:rsidR="005E28B7">
        <w:rPr>
          <w:strike/>
        </w:rPr>
        <w:t>AASB 1</w:t>
      </w:r>
      <w:r>
        <w:rPr>
          <w:strike/>
        </w:rPr>
        <w:t xml:space="preserve">17 </w:t>
      </w:r>
      <w:r>
        <w:rPr>
          <w:i/>
          <w:strike/>
        </w:rPr>
        <w:t>Leases</w:t>
      </w:r>
      <w:r>
        <w:rPr>
          <w:strike/>
        </w:rPr>
        <w:t xml:space="preserve"> a finance lease is regarded as primarily</w:t>
      </w:r>
      <w:r>
        <w:t xml:space="preserve"> </w:t>
      </w:r>
      <w:r>
        <w:rPr>
          <w:u w:val="single"/>
        </w:rPr>
        <w:t>A lease typically creates</w:t>
      </w:r>
      <w:r>
        <w:t xml:space="preserve"> an entitlement of the lessor to receive, and an obligation of the lessee to pay, a stream of payments that are substantially the same as blended payments of principal and interest under a loan agreement. The lessor accounts for its investment in the amount receivable under </w:t>
      </w:r>
      <w:r>
        <w:rPr>
          <w:u w:val="single"/>
        </w:rPr>
        <w:t>a finance</w:t>
      </w:r>
      <w:r>
        <w:t xml:space="preserve"> </w:t>
      </w:r>
      <w:r>
        <w:rPr>
          <w:strike/>
        </w:rPr>
        <w:t>the</w:t>
      </w:r>
      <w:r>
        <w:t xml:space="preserve"> lease </w:t>
      </w:r>
      <w:r>
        <w:rPr>
          <w:strike/>
        </w:rPr>
        <w:t>contract</w:t>
      </w:r>
      <w:r>
        <w:t xml:space="preserve"> rather than the </w:t>
      </w:r>
      <w:r>
        <w:rPr>
          <w:strike/>
        </w:rPr>
        <w:t>leased</w:t>
      </w:r>
      <w:r>
        <w:t xml:space="preserve"> </w:t>
      </w:r>
      <w:r>
        <w:rPr>
          <w:u w:val="single"/>
        </w:rPr>
        <w:t>underlying</w:t>
      </w:r>
      <w:r>
        <w:t xml:space="preserve"> asset itself </w:t>
      </w:r>
      <w:r>
        <w:rPr>
          <w:u w:val="single"/>
        </w:rPr>
        <w:t>that is subject to the finance lease</w:t>
      </w:r>
      <w:r>
        <w:t xml:space="preserve">. </w:t>
      </w:r>
      <w:r>
        <w:rPr>
          <w:u w:val="single"/>
        </w:rPr>
        <w:t>Accordingly, a lessor regards a finance lease as a financial instrument.</w:t>
      </w:r>
      <w:r>
        <w:t xml:space="preserve"> </w:t>
      </w:r>
      <w:r>
        <w:rPr>
          <w:strike/>
        </w:rPr>
        <w:t>An operating lease, on the other hand, is regarded as primarily an uncompleted contract committing the lessor to provide the use of an asset in future periods in exchange for consideration similar to a fee for a service.</w:t>
      </w:r>
      <w:r>
        <w:t xml:space="preserve"> </w:t>
      </w:r>
      <w:r>
        <w:rPr>
          <w:u w:val="single"/>
        </w:rPr>
        <w:t xml:space="preserve">Under </w:t>
      </w:r>
      <w:r w:rsidR="005E28B7">
        <w:rPr>
          <w:u w:val="single"/>
        </w:rPr>
        <w:t>AASB </w:t>
      </w:r>
      <w:r>
        <w:rPr>
          <w:u w:val="single"/>
        </w:rPr>
        <w:t>16, a lessor does not recognise its entitlement to receive lease payments under an operating lease.</w:t>
      </w:r>
      <w:r>
        <w:t xml:space="preserve"> The lessor continues to account for the </w:t>
      </w:r>
      <w:r>
        <w:rPr>
          <w:strike/>
        </w:rPr>
        <w:t>leased</w:t>
      </w:r>
      <w:r>
        <w:t xml:space="preserve"> </w:t>
      </w:r>
      <w:r>
        <w:rPr>
          <w:u w:val="single"/>
        </w:rPr>
        <w:t>underlying</w:t>
      </w:r>
      <w:r>
        <w:t xml:space="preserve"> asset itself rather than any amount receivable in the future under the contract. Accordingly, </w:t>
      </w:r>
      <w:r>
        <w:rPr>
          <w:strike/>
        </w:rPr>
        <w:t>a finance lease is regarded as a financial instrument and an operating lease is not regarded as a financial instrument (except as regards individual payments currently due and payable)</w:t>
      </w:r>
      <w:r>
        <w:t xml:space="preserve"> </w:t>
      </w:r>
      <w:r>
        <w:rPr>
          <w:u w:val="single"/>
        </w:rPr>
        <w:t>a lessor does not regard an operating lease as a financial instrument, except as regards individual payments currently due and payable by the lessee</w:t>
      </w:r>
      <w:r>
        <w:t>.</w:t>
      </w:r>
    </w:p>
    <w:p w14:paraId="541DAFA3" w14:textId="77777777" w:rsidR="00E01695" w:rsidRDefault="00E01695" w:rsidP="00E01695">
      <w:pPr>
        <w:pStyle w:val="IASBNormalnpara"/>
      </w:pPr>
      <w:r>
        <w:t>AG10</w:t>
      </w:r>
      <w:r>
        <w:tab/>
        <w:t xml:space="preserve">Physical assets (such as inventories, property, plant and equipment), </w:t>
      </w:r>
      <w:r>
        <w:rPr>
          <w:strike/>
        </w:rPr>
        <w:t>leased</w:t>
      </w:r>
      <w:r>
        <w:t xml:space="preserve"> </w:t>
      </w:r>
      <w:r>
        <w:rPr>
          <w:u w:val="single"/>
        </w:rPr>
        <w:t>right-of-use</w:t>
      </w:r>
      <w:r>
        <w:t xml:space="preserve"> assets and intangible assets (such as patents and trademarks) are not financial assets. Control of such physical </w:t>
      </w:r>
      <w:r>
        <w:rPr>
          <w:u w:val="single"/>
        </w:rPr>
        <w:t>assets, right-of-use assets</w:t>
      </w:r>
      <w:r>
        <w:t xml:space="preserve"> and intangible assets creates an opportunity to generate an inflow of cash or another financial asset, but it does not give rise to a present right to receive cash or another financial asset.</w:t>
      </w:r>
    </w:p>
    <w:p w14:paraId="11E7D7A9" w14:textId="77777777" w:rsidR="00E01695" w:rsidRDefault="00E01695" w:rsidP="00E01695">
      <w:pPr>
        <w:pStyle w:val="IASBNormalnpara"/>
      </w:pPr>
      <w:r>
        <w:tab/>
        <w:t>…</w:t>
      </w:r>
    </w:p>
    <w:p w14:paraId="064920E6" w14:textId="77777777" w:rsidR="00F84865" w:rsidRDefault="00F84865">
      <w:pPr>
        <w:pStyle w:val="IASBSectionTitle1NonInd"/>
        <w:pBdr>
          <w:bottom w:val="none" w:sz="0" w:space="0" w:color="auto"/>
        </w:pBdr>
      </w:pPr>
      <w:r>
        <w:t xml:space="preserve">AASB 134 </w:t>
      </w:r>
      <w:r>
        <w:rPr>
          <w:i/>
        </w:rPr>
        <w:t>Interim Financial Reporting</w:t>
      </w:r>
      <w:r>
        <w:t xml:space="preserve"> (August 2015)</w:t>
      </w:r>
    </w:p>
    <w:p w14:paraId="3E7FDB5D" w14:textId="77777777" w:rsidR="00F84865" w:rsidRDefault="00F84865" w:rsidP="00F84865">
      <w:pPr>
        <w:pStyle w:val="IASBNormalnpara"/>
      </w:pPr>
    </w:p>
    <w:tbl>
      <w:tblPr>
        <w:tblW w:w="0" w:type="auto"/>
        <w:tblLayout w:type="fixed"/>
        <w:tblCellMar>
          <w:bottom w:w="85" w:type="dxa"/>
        </w:tblCellMar>
        <w:tblLook w:val="04A0" w:firstRow="1" w:lastRow="0" w:firstColumn="1" w:lastColumn="0" w:noHBand="0" w:noVBand="1"/>
        <w:tblCaption w:val="AASB 16 Table 10"/>
        <w:tblDescription w:val="Amendments to AASB 134"/>
      </w:tblPr>
      <w:tblGrid>
        <w:gridCol w:w="9208"/>
      </w:tblGrid>
      <w:tr w:rsidR="00F84865" w14:paraId="4BFE0A52" w14:textId="77777777" w:rsidTr="00F84865">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4A0F6762" w14:textId="77777777" w:rsidR="00F84865" w:rsidRDefault="00CD550C">
            <w:pPr>
              <w:pStyle w:val="IASBTableArial"/>
              <w:spacing w:line="276" w:lineRule="auto"/>
              <w:rPr>
                <w:lang w:val="en-GB"/>
              </w:rPr>
            </w:pPr>
            <w:r>
              <w:t>In the Illustrative e</w:t>
            </w:r>
            <w:r w:rsidR="00F84865">
              <w:t>xamples accompanying AASB 134, paragraphs B7 and C7 are amended.</w:t>
            </w:r>
          </w:p>
        </w:tc>
      </w:tr>
    </w:tbl>
    <w:p w14:paraId="5B50AEAB" w14:textId="77777777" w:rsidR="00F84865" w:rsidRDefault="00F84865" w:rsidP="00F84865">
      <w:pPr>
        <w:pStyle w:val="IASBSectionTitle2Ind"/>
      </w:pPr>
      <w:r>
        <w:rPr>
          <w:strike/>
        </w:rPr>
        <w:lastRenderedPageBreak/>
        <w:t>Contingent</w:t>
      </w:r>
      <w:r>
        <w:t xml:space="preserve"> </w:t>
      </w:r>
      <w:r>
        <w:rPr>
          <w:u w:val="single"/>
        </w:rPr>
        <w:t>Variable</w:t>
      </w:r>
      <w:r>
        <w:t xml:space="preserve"> lease payments</w:t>
      </w:r>
    </w:p>
    <w:p w14:paraId="4149C517" w14:textId="77777777" w:rsidR="00F84865" w:rsidRDefault="00F84865" w:rsidP="00F84865">
      <w:pPr>
        <w:pStyle w:val="IASBNormalnpara"/>
      </w:pPr>
      <w:r>
        <w:t>B7</w:t>
      </w:r>
      <w:r>
        <w:tab/>
      </w:r>
      <w:r>
        <w:rPr>
          <w:strike/>
        </w:rPr>
        <w:t>Contingent</w:t>
      </w:r>
      <w:r>
        <w:t xml:space="preserve"> </w:t>
      </w:r>
      <w:r>
        <w:rPr>
          <w:u w:val="single"/>
        </w:rPr>
        <w:t>Variable</w:t>
      </w:r>
      <w:r>
        <w:t xml:space="preserve"> lease payments </w:t>
      </w:r>
      <w:r>
        <w:rPr>
          <w:u w:val="single"/>
        </w:rPr>
        <w:t>based on sales</w:t>
      </w:r>
      <w:r>
        <w:t xml:space="preserve"> can be an example of a legal or constructive obligation that is recognised as a liability. If a lease provides for </w:t>
      </w:r>
      <w:r>
        <w:rPr>
          <w:strike/>
        </w:rPr>
        <w:t>contingent</w:t>
      </w:r>
      <w:r>
        <w:t xml:space="preserve"> </w:t>
      </w:r>
      <w:r>
        <w:rPr>
          <w:u w:val="single"/>
        </w:rPr>
        <w:t>variable</w:t>
      </w:r>
      <w:r>
        <w:t xml:space="preserve"> payments based on the lessee achieving a certain level of annual sales, an obligation can arise in the interim periods of the financial year before the required annual level of sales has been achieved, if that required level of sales is expected to be achieved and the entity, therefore, has no realistic alternative but to make the future lease payment.</w:t>
      </w:r>
    </w:p>
    <w:p w14:paraId="461ADD92" w14:textId="77777777" w:rsidR="00F84865" w:rsidRDefault="00F84865" w:rsidP="00F84865">
      <w:pPr>
        <w:pStyle w:val="IASBSectionTitle1NonInd"/>
      </w:pPr>
      <w:r>
        <w:t>C Examples of the use of estimates</w:t>
      </w:r>
    </w:p>
    <w:p w14:paraId="0FB2F831" w14:textId="77777777" w:rsidR="00F84865" w:rsidRDefault="00F84865" w:rsidP="00F84865">
      <w:pPr>
        <w:pStyle w:val="IASBNormalnpara"/>
      </w:pPr>
      <w:r>
        <w:tab/>
        <w:t>... </w:t>
      </w:r>
    </w:p>
    <w:p w14:paraId="5FE83495" w14:textId="77777777" w:rsidR="00F84865" w:rsidRDefault="00F84865" w:rsidP="00F84865">
      <w:pPr>
        <w:pStyle w:val="IASBNormalnpara"/>
      </w:pPr>
      <w:r>
        <w:t>C7</w:t>
      </w:r>
      <w:r>
        <w:tab/>
      </w:r>
      <w:r>
        <w:rPr>
          <w:b/>
        </w:rPr>
        <w:t>Revaluations and fair value accounting:</w:t>
      </w:r>
      <w:r>
        <w:t xml:space="preserve"> AASB 116 </w:t>
      </w:r>
      <w:r>
        <w:rPr>
          <w:i/>
        </w:rPr>
        <w:t>Property, Plant and Equipment</w:t>
      </w:r>
      <w:r>
        <w:t xml:space="preserve"> allows an entity to choose as its accounting policy the revaluation model whereby items of property, plant and equipment are revalued to fair value. </w:t>
      </w:r>
      <w:r>
        <w:rPr>
          <w:u w:val="single"/>
        </w:rPr>
        <w:t xml:space="preserve">AASB 16 </w:t>
      </w:r>
      <w:r>
        <w:rPr>
          <w:i/>
          <w:u w:val="single"/>
        </w:rPr>
        <w:t>Leases</w:t>
      </w:r>
      <w:r>
        <w:rPr>
          <w:u w:val="single"/>
        </w:rPr>
        <w:t xml:space="preserve"> allows a lessee to measure right-of-use assets applying the revaluation model in AASB 116 if those right-of-use assets relate to a class of property, plant and equipment to which the lessee applies the revaluation model in </w:t>
      </w:r>
      <w:r w:rsidR="001D73A4">
        <w:rPr>
          <w:u w:val="single"/>
        </w:rPr>
        <w:t>AASB 1</w:t>
      </w:r>
      <w:r>
        <w:rPr>
          <w:u w:val="single"/>
        </w:rPr>
        <w:t>16.</w:t>
      </w:r>
      <w:r>
        <w:t xml:space="preserve"> Similarly, </w:t>
      </w:r>
      <w:r w:rsidR="001D73A4">
        <w:t>AASB 1</w:t>
      </w:r>
      <w:r>
        <w:t xml:space="preserve">40 </w:t>
      </w:r>
      <w:r>
        <w:rPr>
          <w:i/>
        </w:rPr>
        <w:t>Investment Property</w:t>
      </w:r>
      <w:r>
        <w:t xml:space="preserve"> requires an entity to measure the fair value of investment property. For those measurements, an entity may rely on professionally qualified valuers at annual reporting dates though not at interim reporting dates.</w:t>
      </w:r>
    </w:p>
    <w:p w14:paraId="6A362E97" w14:textId="77777777" w:rsidR="00F84865" w:rsidRDefault="00F84865" w:rsidP="00F84865">
      <w:pPr>
        <w:pStyle w:val="IASBNormalnparaP"/>
      </w:pPr>
      <w:r>
        <w:t>... </w:t>
      </w:r>
    </w:p>
    <w:p w14:paraId="3BA6375D" w14:textId="77777777" w:rsidR="00FD4BA8" w:rsidRPr="002E4B51" w:rsidRDefault="00E27198">
      <w:pPr>
        <w:pStyle w:val="IASBSectionTitle1NonInd"/>
        <w:pBdr>
          <w:bottom w:val="none" w:sz="0" w:space="0" w:color="auto"/>
        </w:pBdr>
      </w:pPr>
      <w:r>
        <w:t>AASB 137</w:t>
      </w:r>
      <w:r w:rsidR="009A1D2F">
        <w:t xml:space="preserve"> </w:t>
      </w:r>
      <w:r w:rsidR="009A1D2F">
        <w:rPr>
          <w:i/>
        </w:rPr>
        <w:t>Provisions, Contingent Liabilities and Contingent Assets</w:t>
      </w:r>
      <w:r w:rsidR="002E4B51">
        <w:t xml:space="preserve"> (August 2015)</w:t>
      </w:r>
    </w:p>
    <w:p w14:paraId="72A6C2D3"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8"/>
        <w:tblDescription w:val="Amendments to AASB 137"/>
      </w:tblPr>
      <w:tblGrid>
        <w:gridCol w:w="9208"/>
      </w:tblGrid>
      <w:tr w:rsidR="00FD4BA8" w14:paraId="76B52145"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28D02E8" w14:textId="77777777" w:rsidR="00FD4BA8" w:rsidRDefault="009A1D2F">
            <w:pPr>
              <w:pStyle w:val="IASBTableArial"/>
            </w:pPr>
            <w:r>
              <w:t>Paragraph 5 is amended and paragraph 102 is added.</w:t>
            </w:r>
          </w:p>
        </w:tc>
      </w:tr>
    </w:tbl>
    <w:p w14:paraId="750FEF53" w14:textId="77777777" w:rsidR="00FD4BA8" w:rsidRDefault="009A1D2F">
      <w:pPr>
        <w:pStyle w:val="IASBSectionTitle1NonInd"/>
      </w:pPr>
      <w:r>
        <w:t>Scope</w:t>
      </w:r>
    </w:p>
    <w:p w14:paraId="7F5D2FF2" w14:textId="77777777" w:rsidR="00FD4BA8" w:rsidRDefault="009A1D2F">
      <w:pPr>
        <w:pStyle w:val="IASBNormalnpara"/>
      </w:pPr>
      <w:r>
        <w:tab/>
        <w:t>...</w:t>
      </w:r>
    </w:p>
    <w:p w14:paraId="35054D3A" w14:textId="77777777" w:rsidR="00FD4BA8" w:rsidRDefault="009A1D2F">
      <w:pPr>
        <w:pStyle w:val="IASBNormalnpara"/>
      </w:pPr>
      <w:r>
        <w:t>5</w:t>
      </w:r>
      <w:r>
        <w:tab/>
        <w:t>When another Standard deals with a specific type of provision, contingent liability or contingent asset, an entity applies that Standard instead of this Standard. For example, some types of provisions are addressed in Standards on:</w:t>
      </w:r>
    </w:p>
    <w:p w14:paraId="27707CB8" w14:textId="77777777" w:rsidR="00FD4BA8" w:rsidRDefault="009A1D2F">
      <w:pPr>
        <w:pStyle w:val="IASBNormalnparaL1"/>
      </w:pPr>
      <w:r>
        <w:t>(a)</w:t>
      </w:r>
      <w:r>
        <w:tab/>
        <w:t>...</w:t>
      </w:r>
    </w:p>
    <w:p w14:paraId="216D5FBC" w14:textId="77777777" w:rsidR="00FD4BA8" w:rsidRDefault="009A1D2F">
      <w:pPr>
        <w:pStyle w:val="IASBNormalnparaL1"/>
      </w:pPr>
      <w:r>
        <w:t>(c)</w:t>
      </w:r>
      <w:r>
        <w:tab/>
        <w:t>leases (see</w:t>
      </w:r>
      <w:r w:rsidR="00E27198">
        <w:t xml:space="preserve"> </w:t>
      </w:r>
      <w:r w:rsidR="00E27198" w:rsidRPr="00ED51CE">
        <w:rPr>
          <w:strike/>
        </w:rPr>
        <w:t>AASB 117</w:t>
      </w:r>
      <w:r w:rsidR="00E27198">
        <w:t xml:space="preserve"> </w:t>
      </w:r>
      <w:r w:rsidR="00E27198" w:rsidRPr="00ED51CE">
        <w:rPr>
          <w:u w:val="single"/>
        </w:rPr>
        <w:t>AASB 16</w:t>
      </w:r>
      <w:r>
        <w:t xml:space="preserve"> </w:t>
      </w:r>
      <w:r>
        <w:rPr>
          <w:i/>
        </w:rPr>
        <w:t>Leases</w:t>
      </w:r>
      <w:r>
        <w:t xml:space="preserve">). However, </w:t>
      </w:r>
      <w:r>
        <w:rPr>
          <w:strike/>
        </w:rPr>
        <w:t>as</w:t>
      </w:r>
      <w:r w:rsidR="00E27198">
        <w:rPr>
          <w:strike/>
        </w:rPr>
        <w:t xml:space="preserve"> AASB 117</w:t>
      </w:r>
      <w:r>
        <w:rPr>
          <w:strike/>
        </w:rPr>
        <w:t xml:space="preserve"> contains no specific requirements to deal with operating leases that have become onerous, this Standard applies to such cases</w:t>
      </w:r>
      <w:r>
        <w:t xml:space="preserve"> </w:t>
      </w:r>
      <w:r>
        <w:rPr>
          <w:u w:val="single"/>
        </w:rPr>
        <w:t>this Standard applies to any lease that becomes onerous before the commencement date of the lease as defined in</w:t>
      </w:r>
      <w:r w:rsidR="00E27198">
        <w:rPr>
          <w:u w:val="single"/>
        </w:rPr>
        <w:t xml:space="preserve"> AASB 16</w:t>
      </w:r>
      <w:r>
        <w:rPr>
          <w:u w:val="single"/>
        </w:rPr>
        <w:t>. This Standard also applies to short-term leases and leases for which the underlying asset is of low value accounted for in accordance with paragraph 6 of</w:t>
      </w:r>
      <w:r w:rsidR="00E27198">
        <w:rPr>
          <w:u w:val="single"/>
        </w:rPr>
        <w:t xml:space="preserve"> AASB 16</w:t>
      </w:r>
      <w:r>
        <w:rPr>
          <w:u w:val="single"/>
        </w:rPr>
        <w:t xml:space="preserve"> and that have become onerous</w:t>
      </w:r>
      <w:r>
        <w:t>;</w:t>
      </w:r>
    </w:p>
    <w:p w14:paraId="7BFE6E4F" w14:textId="77777777" w:rsidR="00FD4BA8" w:rsidRDefault="009A1D2F">
      <w:pPr>
        <w:pStyle w:val="IASBNormalnparaL1"/>
      </w:pPr>
      <w:r>
        <w:t>(d)</w:t>
      </w:r>
      <w:r>
        <w:tab/>
        <w:t>...</w:t>
      </w:r>
    </w:p>
    <w:p w14:paraId="6ADAC3AF" w14:textId="77777777" w:rsidR="00FD4BA8" w:rsidRDefault="009A1D2F">
      <w:pPr>
        <w:pStyle w:val="IASBSectionTitle1NonInd"/>
      </w:pPr>
      <w:r>
        <w:t>Effective date</w:t>
      </w:r>
    </w:p>
    <w:p w14:paraId="6591FB7F" w14:textId="77777777" w:rsidR="00FD4BA8" w:rsidRDefault="009A1D2F">
      <w:pPr>
        <w:pStyle w:val="IASBNormalnpara"/>
      </w:pPr>
      <w:r>
        <w:tab/>
        <w:t>...</w:t>
      </w:r>
    </w:p>
    <w:p w14:paraId="2C6A18C5" w14:textId="77777777" w:rsidR="00FD4BA8" w:rsidRDefault="009A1D2F">
      <w:pPr>
        <w:pStyle w:val="IASBNormalnpara"/>
        <w:rPr>
          <w:u w:val="single"/>
        </w:rPr>
      </w:pPr>
      <w:r>
        <w:rPr>
          <w:u w:val="single"/>
        </w:rPr>
        <w:t>102</w:t>
      </w:r>
      <w:r w:rsidRPr="00B22C54">
        <w:tab/>
      </w:r>
      <w:r w:rsidR="00E27198">
        <w:rPr>
          <w:u w:val="single"/>
        </w:rPr>
        <w:t>AASB 16</w:t>
      </w:r>
      <w:r>
        <w:rPr>
          <w:u w:val="single"/>
        </w:rPr>
        <w:t xml:space="preserve">, issued in </w:t>
      </w:r>
      <w:r w:rsidR="00757948">
        <w:rPr>
          <w:u w:val="single"/>
        </w:rPr>
        <w:t>February 2016</w:t>
      </w:r>
      <w:r>
        <w:rPr>
          <w:u w:val="single"/>
        </w:rPr>
        <w:t>, amended paragraph 5. An entity shall apply that amendment when it applies</w:t>
      </w:r>
      <w:r w:rsidR="00E27198">
        <w:rPr>
          <w:u w:val="single"/>
        </w:rPr>
        <w:t xml:space="preserve"> AASB 16</w:t>
      </w:r>
      <w:r>
        <w:rPr>
          <w:u w:val="single"/>
        </w:rPr>
        <w:t>.</w:t>
      </w:r>
    </w:p>
    <w:p w14:paraId="7D450B0A" w14:textId="77777777" w:rsidR="001D73A4" w:rsidRDefault="001D73A4" w:rsidP="001D73A4">
      <w:pPr>
        <w:pStyle w:val="IASBNormalnpara"/>
      </w:pPr>
    </w:p>
    <w:tbl>
      <w:tblPr>
        <w:tblW w:w="0" w:type="auto"/>
        <w:tblLayout w:type="fixed"/>
        <w:tblCellMar>
          <w:bottom w:w="85" w:type="dxa"/>
        </w:tblCellMar>
        <w:tblLook w:val="04A0" w:firstRow="1" w:lastRow="0" w:firstColumn="1" w:lastColumn="0" w:noHBand="0" w:noVBand="1"/>
        <w:tblCaption w:val="AASB 16 Table 9"/>
        <w:tblDescription w:val="Amendments to AASB 112"/>
      </w:tblPr>
      <w:tblGrid>
        <w:gridCol w:w="9208"/>
      </w:tblGrid>
      <w:tr w:rsidR="001D73A4" w14:paraId="1E9175A6" w14:textId="77777777" w:rsidTr="001D73A4">
        <w:trPr>
          <w:cantSplit/>
        </w:trPr>
        <w:tc>
          <w:tcPr>
            <w:tcW w:w="9208" w:type="dxa"/>
            <w:tcBorders>
              <w:top w:val="single" w:sz="4" w:space="0" w:color="auto"/>
              <w:left w:val="single" w:sz="4" w:space="0" w:color="auto"/>
              <w:bottom w:val="single" w:sz="4" w:space="0" w:color="auto"/>
              <w:right w:val="single" w:sz="4" w:space="0" w:color="auto"/>
            </w:tcBorders>
            <w:vAlign w:val="bottom"/>
            <w:hideMark/>
          </w:tcPr>
          <w:p w14:paraId="5CC577CA" w14:textId="77777777" w:rsidR="001D73A4" w:rsidRDefault="001D73A4" w:rsidP="006025F3">
            <w:pPr>
              <w:pStyle w:val="IASBTableArial"/>
              <w:spacing w:line="276" w:lineRule="auto"/>
              <w:rPr>
                <w:lang w:val="en-GB"/>
              </w:rPr>
            </w:pPr>
            <w:r>
              <w:t>In the Guidance on implementing AASB 13</w:t>
            </w:r>
            <w:r w:rsidR="006025F3">
              <w:t>7</w:t>
            </w:r>
            <w:r>
              <w:t>, in Section C, Example 8 is deleted.</w:t>
            </w:r>
          </w:p>
        </w:tc>
      </w:tr>
    </w:tbl>
    <w:p w14:paraId="4D5B1F0C" w14:textId="3AF4E9D7" w:rsidR="006025F3" w:rsidRDefault="006025F3" w:rsidP="006025F3">
      <w:pPr>
        <w:pStyle w:val="IASBSectionTitle2NonInd"/>
      </w:pPr>
      <w:r>
        <w:t xml:space="preserve">Example 8 </w:t>
      </w:r>
      <w:r w:rsidR="00CE72F9">
        <w:t xml:space="preserve"> </w:t>
      </w:r>
      <w:r>
        <w:t>An onerous contract</w:t>
      </w:r>
    </w:p>
    <w:p w14:paraId="3BC2DC9C" w14:textId="77777777" w:rsidR="006025F3" w:rsidRPr="00286FEF" w:rsidRDefault="006025F3" w:rsidP="006025F3">
      <w:pPr>
        <w:pStyle w:val="IASBNormal"/>
        <w:rPr>
          <w:strike/>
        </w:rPr>
      </w:pPr>
      <w:r w:rsidRPr="00286FEF">
        <w:rPr>
          <w:u w:val="single"/>
        </w:rPr>
        <w:t>[Deleted]</w:t>
      </w:r>
      <w:r>
        <w:t xml:space="preserve"> </w:t>
      </w:r>
      <w:r w:rsidRPr="00286FEF">
        <w:rPr>
          <w:strike/>
        </w:rPr>
        <w:t>An entity operates profitably from a factory</w:t>
      </w:r>
      <w:r w:rsidR="00E45D8C">
        <w:rPr>
          <w:strike/>
        </w:rPr>
        <w:t xml:space="preserve"> that it has leased under an operating lease.</w:t>
      </w:r>
      <w:r w:rsidRPr="00E45D8C">
        <w:rPr>
          <w:strike/>
        </w:rPr>
        <w:t xml:space="preserve"> …</w:t>
      </w:r>
    </w:p>
    <w:p w14:paraId="3D9630ED" w14:textId="77777777" w:rsidR="006025F3" w:rsidRPr="00286FEF" w:rsidRDefault="006025F3" w:rsidP="006025F3">
      <w:pPr>
        <w:pStyle w:val="IASBNormal"/>
        <w:rPr>
          <w:strike/>
        </w:rPr>
      </w:pPr>
      <w:r w:rsidRPr="00286FEF">
        <w:rPr>
          <w:b/>
          <w:strike/>
        </w:rPr>
        <w:lastRenderedPageBreak/>
        <w:t xml:space="preserve">Conclusion – </w:t>
      </w:r>
      <w:r w:rsidRPr="00286FEF">
        <w:rPr>
          <w:strike/>
        </w:rPr>
        <w:t>A provision is recognised for the best estimate of the unavoidable lease payments (see paragraphs 5(c), 14 and 66).</w:t>
      </w:r>
    </w:p>
    <w:p w14:paraId="45DFCF49" w14:textId="77777777" w:rsidR="00FD4BA8" w:rsidRPr="002E4B51" w:rsidRDefault="00E27198">
      <w:pPr>
        <w:pStyle w:val="IASBSectionTitle1NonInd"/>
        <w:pBdr>
          <w:bottom w:val="none" w:sz="0" w:space="0" w:color="auto"/>
        </w:pBdr>
      </w:pPr>
      <w:r>
        <w:t>AASB 138</w:t>
      </w:r>
      <w:r w:rsidR="009A1D2F">
        <w:t xml:space="preserve"> </w:t>
      </w:r>
      <w:r w:rsidR="009A1D2F">
        <w:rPr>
          <w:i/>
        </w:rPr>
        <w:t>Intangible Assets</w:t>
      </w:r>
      <w:r w:rsidR="002E4B51">
        <w:t xml:space="preserve"> (August 2015)</w:t>
      </w:r>
    </w:p>
    <w:p w14:paraId="361FFF88"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29"/>
        <w:tblDescription w:val="Amendments to AASB 138"/>
      </w:tblPr>
      <w:tblGrid>
        <w:gridCol w:w="9208"/>
      </w:tblGrid>
      <w:tr w:rsidR="00FD4BA8" w14:paraId="449D64F0"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49AE059" w14:textId="77777777" w:rsidR="00FD4BA8" w:rsidRDefault="009A1D2F" w:rsidP="00CD550C">
            <w:pPr>
              <w:pStyle w:val="IASBTableArial"/>
            </w:pPr>
            <w:r>
              <w:t>Paragraphs 3, 6</w:t>
            </w:r>
            <w:r w:rsidR="00A407EE">
              <w:t xml:space="preserve">, </w:t>
            </w:r>
            <w:r>
              <w:t>113</w:t>
            </w:r>
            <w:r w:rsidR="00A407EE">
              <w:t xml:space="preserve"> and 114</w:t>
            </w:r>
            <w:r>
              <w:t xml:space="preserve"> are amended</w:t>
            </w:r>
            <w:r w:rsidR="00A407EE">
              <w:t xml:space="preserve"> </w:t>
            </w:r>
            <w:r>
              <w:t>and paragraph</w:t>
            </w:r>
            <w:r w:rsidR="004866F1">
              <w:t> </w:t>
            </w:r>
            <w:r>
              <w:t>130L is added.</w:t>
            </w:r>
          </w:p>
        </w:tc>
      </w:tr>
    </w:tbl>
    <w:p w14:paraId="691A9082" w14:textId="77777777" w:rsidR="00FD4BA8" w:rsidRDefault="009A1D2F">
      <w:pPr>
        <w:pStyle w:val="IASBSectionTitle1NonInd"/>
      </w:pPr>
      <w:r>
        <w:t>Scope</w:t>
      </w:r>
    </w:p>
    <w:p w14:paraId="3B26A777" w14:textId="77777777" w:rsidR="00FD4BA8" w:rsidRDefault="009A1D2F">
      <w:pPr>
        <w:pStyle w:val="IASBNormalnpara"/>
      </w:pPr>
      <w:r>
        <w:tab/>
        <w:t>…</w:t>
      </w:r>
    </w:p>
    <w:p w14:paraId="54F34AB5" w14:textId="77777777" w:rsidR="00FD4BA8" w:rsidRDefault="009A1D2F">
      <w:pPr>
        <w:pStyle w:val="IASBNormalnpara"/>
      </w:pPr>
      <w:r>
        <w:t>3</w:t>
      </w:r>
      <w:r>
        <w:tab/>
        <w:t>If another Standard prescribes the accounting for a specific type of intangible asset, an entity applies that Standard instead of this Standard. For example, this Standard does not apply to:</w:t>
      </w:r>
    </w:p>
    <w:p w14:paraId="1485F0BA" w14:textId="77777777" w:rsidR="00FD4BA8" w:rsidRDefault="009A1D2F">
      <w:pPr>
        <w:pStyle w:val="IASBNormalnparaL1"/>
      </w:pPr>
      <w:r>
        <w:t>(a)</w:t>
      </w:r>
      <w:r>
        <w:tab/>
        <w:t>...</w:t>
      </w:r>
    </w:p>
    <w:p w14:paraId="7170C36B" w14:textId="77777777" w:rsidR="00FD4BA8" w:rsidRDefault="009A1D2F">
      <w:pPr>
        <w:pStyle w:val="IASBNormalnparaL1"/>
      </w:pPr>
      <w:r>
        <w:t>(c)</w:t>
      </w:r>
      <w:r>
        <w:tab/>
        <w:t xml:space="preserve">leases </w:t>
      </w:r>
      <w:r>
        <w:rPr>
          <w:strike/>
        </w:rPr>
        <w:t>that are within the scope of</w:t>
      </w:r>
      <w:r w:rsidR="00E27198">
        <w:rPr>
          <w:strike/>
        </w:rPr>
        <w:t xml:space="preserve"> AASB 117</w:t>
      </w:r>
      <w:r>
        <w:t xml:space="preserve"> </w:t>
      </w:r>
      <w:r>
        <w:rPr>
          <w:u w:val="single"/>
        </w:rPr>
        <w:t>of intangible assets accounted for in accordance with</w:t>
      </w:r>
      <w:r w:rsidR="00E27198">
        <w:rPr>
          <w:u w:val="single"/>
        </w:rPr>
        <w:t xml:space="preserve"> AASB 16</w:t>
      </w:r>
      <w:r>
        <w:t xml:space="preserve"> </w:t>
      </w:r>
      <w:r>
        <w:rPr>
          <w:i/>
        </w:rPr>
        <w:t>Leases</w:t>
      </w:r>
      <w:r>
        <w:t>.</w:t>
      </w:r>
    </w:p>
    <w:p w14:paraId="0E05D463" w14:textId="77777777" w:rsidR="00FD4BA8" w:rsidRDefault="009A1D2F">
      <w:pPr>
        <w:pStyle w:val="IASBNormalnparaL1"/>
      </w:pPr>
      <w:r>
        <w:t>(d)</w:t>
      </w:r>
      <w:r>
        <w:tab/>
        <w:t>...</w:t>
      </w:r>
    </w:p>
    <w:p w14:paraId="10B19ED4" w14:textId="77777777" w:rsidR="00FD4BA8" w:rsidRDefault="009A1D2F">
      <w:pPr>
        <w:pStyle w:val="IASBNormalnpara"/>
      </w:pPr>
      <w:r>
        <w:t>6</w:t>
      </w:r>
      <w:r>
        <w:tab/>
      </w:r>
      <w:r>
        <w:rPr>
          <w:strike/>
        </w:rPr>
        <w:t>In the case of a finance lease, the underlying asset may be either tangible or intangible. After initial recognition, a lessee accounts for an intangible asset held under a finance lease in accordance with this Standard.</w:t>
      </w:r>
      <w:r>
        <w:t xml:space="preserve"> Rights </w:t>
      </w:r>
      <w:r>
        <w:rPr>
          <w:u w:val="single"/>
        </w:rPr>
        <w:t>held by a lessee</w:t>
      </w:r>
      <w:r>
        <w:t xml:space="preserve"> under licensing agreements for items such as motion picture films, video recordings, plays, manuscripts, patents and copyrights </w:t>
      </w:r>
      <w:r>
        <w:rPr>
          <w:strike/>
        </w:rPr>
        <w:t>are excluded from the scope of</w:t>
      </w:r>
      <w:r w:rsidR="00E27198">
        <w:rPr>
          <w:strike/>
        </w:rPr>
        <w:t xml:space="preserve"> AASB 117</w:t>
      </w:r>
      <w:r>
        <w:rPr>
          <w:strike/>
        </w:rPr>
        <w:t xml:space="preserve"> and</w:t>
      </w:r>
      <w:r>
        <w:t xml:space="preserve"> are within the scope of this Standard </w:t>
      </w:r>
      <w:r>
        <w:rPr>
          <w:u w:val="single"/>
        </w:rPr>
        <w:t>and are excluded from the scope of</w:t>
      </w:r>
      <w:r w:rsidR="00E27198">
        <w:rPr>
          <w:u w:val="single"/>
        </w:rPr>
        <w:t xml:space="preserve"> AASB 16</w:t>
      </w:r>
      <w:r>
        <w:t>.</w:t>
      </w:r>
    </w:p>
    <w:p w14:paraId="0926DBB9" w14:textId="77777777" w:rsidR="00FD4BA8" w:rsidRDefault="009A1D2F">
      <w:pPr>
        <w:pStyle w:val="IASBNormalnparaP"/>
      </w:pPr>
      <w:r>
        <w:t>...</w:t>
      </w:r>
    </w:p>
    <w:p w14:paraId="32C7FE3B" w14:textId="77777777" w:rsidR="00FD4BA8" w:rsidRDefault="009A1D2F">
      <w:pPr>
        <w:pStyle w:val="IASBSectionTitle1NonInd"/>
      </w:pPr>
      <w:r>
        <w:t>Retirements and disposals</w:t>
      </w:r>
    </w:p>
    <w:p w14:paraId="3D70F5D9" w14:textId="77777777" w:rsidR="00FD4BA8" w:rsidRDefault="009A1D2F">
      <w:pPr>
        <w:pStyle w:val="IASBNormalnpara"/>
      </w:pPr>
      <w:r>
        <w:tab/>
        <w:t>...</w:t>
      </w:r>
    </w:p>
    <w:p w14:paraId="31946C8F" w14:textId="77777777" w:rsidR="00FD4BA8" w:rsidRDefault="009A1D2F">
      <w:pPr>
        <w:pStyle w:val="IASBNormalnpara"/>
        <w:rPr>
          <w:b/>
        </w:rPr>
      </w:pPr>
      <w:r>
        <w:rPr>
          <w:b/>
        </w:rPr>
        <w:t>113</w:t>
      </w:r>
      <w:r>
        <w:rPr>
          <w:b/>
        </w:rPr>
        <w:tab/>
        <w:t>The gain or loss arising from the derecognition of an intangible asset shall be determined as the difference between the net disposal proceeds, if any, and the carrying amount of the asset. It shall be recognised in profit or loss when the asset is derecognised (unless</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xml:space="preserve"> requires otherwise on a sale and leaseback.) Gains shall not be classified as revenue.</w:t>
      </w:r>
    </w:p>
    <w:p w14:paraId="261584EA" w14:textId="77777777" w:rsidR="00FD4BA8" w:rsidRDefault="009A1D2F">
      <w:pPr>
        <w:pStyle w:val="IASBNormalnpara"/>
      </w:pPr>
      <w:r>
        <w:t>114</w:t>
      </w:r>
      <w:r>
        <w:tab/>
        <w:t>The disposal of an intangible asset may occur in a variety of ways (eg by sale, by entering into a finance lease, or by donation). The date of disposal of an intangible asset is the date that the recipient obtains control of that asset in accordance with the requirements for determining when a performance obligation is satisfied in</w:t>
      </w:r>
      <w:r w:rsidR="00E27198">
        <w:t xml:space="preserve"> AASB 15</w:t>
      </w:r>
      <w:r>
        <w:t xml:space="preserve"> </w:t>
      </w:r>
      <w:r>
        <w:rPr>
          <w:i/>
        </w:rPr>
        <w:t>Revenue from Contracts with Customers</w:t>
      </w:r>
      <w:r>
        <w:t>.</w:t>
      </w:r>
      <w:r w:rsidR="00E27198">
        <w:t xml:space="preserve"> </w:t>
      </w:r>
      <w:r w:rsidR="00E27198" w:rsidRPr="00ED51CE">
        <w:rPr>
          <w:strike/>
        </w:rPr>
        <w:t>AASB 117</w:t>
      </w:r>
      <w:r w:rsidR="00E27198">
        <w:t xml:space="preserve"> </w:t>
      </w:r>
      <w:r w:rsidR="00E27198" w:rsidRPr="00ED51CE">
        <w:rPr>
          <w:u w:val="single"/>
        </w:rPr>
        <w:t>AASB 16</w:t>
      </w:r>
      <w:r>
        <w:t xml:space="preserve"> applies to disposal by a sale and leaseback.</w:t>
      </w:r>
    </w:p>
    <w:p w14:paraId="2298CC1E" w14:textId="77777777" w:rsidR="00FD4BA8" w:rsidRDefault="009A1D2F">
      <w:pPr>
        <w:pStyle w:val="IASBSectionTitle1NonInd"/>
      </w:pPr>
      <w:r>
        <w:t>Transitional provisions and effective date</w:t>
      </w:r>
    </w:p>
    <w:p w14:paraId="5ADB5CD6" w14:textId="77777777" w:rsidR="00FD4BA8" w:rsidRDefault="009A1D2F">
      <w:pPr>
        <w:pStyle w:val="IASBNormalnpara"/>
      </w:pPr>
      <w:r>
        <w:tab/>
        <w:t>...</w:t>
      </w:r>
    </w:p>
    <w:p w14:paraId="2C855197" w14:textId="77777777" w:rsidR="00FD4BA8" w:rsidRDefault="009A1D2F">
      <w:pPr>
        <w:pStyle w:val="IASBNormalnpara"/>
      </w:pPr>
      <w:r>
        <w:rPr>
          <w:u w:val="single"/>
        </w:rPr>
        <w:t>130L</w:t>
      </w:r>
      <w:r w:rsidRPr="004866F1">
        <w:tab/>
      </w:r>
      <w:r w:rsidR="00E27198">
        <w:rPr>
          <w:u w:val="single"/>
        </w:rPr>
        <w:t>AASB 16</w:t>
      </w:r>
      <w:r>
        <w:rPr>
          <w:u w:val="single"/>
        </w:rPr>
        <w:t xml:space="preserve">, issued in </w:t>
      </w:r>
      <w:r w:rsidR="00757948">
        <w:rPr>
          <w:u w:val="single"/>
        </w:rPr>
        <w:t>February 2016</w:t>
      </w:r>
      <w:r>
        <w:rPr>
          <w:u w:val="single"/>
        </w:rPr>
        <w:t>, amended paragraphs 3, 6, 113 and 114. An entity shall apply those amendments when it applies</w:t>
      </w:r>
      <w:r w:rsidR="00E27198">
        <w:rPr>
          <w:u w:val="single"/>
        </w:rPr>
        <w:t xml:space="preserve"> AASB 16</w:t>
      </w:r>
      <w:r>
        <w:rPr>
          <w:u w:val="single"/>
        </w:rPr>
        <w:t>.</w:t>
      </w:r>
    </w:p>
    <w:p w14:paraId="1197CB26" w14:textId="77777777" w:rsidR="00FD4BA8" w:rsidRPr="00A51DA3" w:rsidRDefault="00E27198">
      <w:pPr>
        <w:pStyle w:val="IASBSectionTitle1NonInd"/>
        <w:pBdr>
          <w:bottom w:val="none" w:sz="0" w:space="0" w:color="auto"/>
        </w:pBdr>
      </w:pPr>
      <w:r>
        <w:t>AASB 139</w:t>
      </w:r>
      <w:r w:rsidR="009A1D2F">
        <w:t xml:space="preserve"> </w:t>
      </w:r>
      <w:r w:rsidR="009A1D2F">
        <w:rPr>
          <w:i/>
        </w:rPr>
        <w:t>Financial Instruments: Recognition and Measurement</w:t>
      </w:r>
      <w:r w:rsidR="000167A7">
        <w:t xml:space="preserve"> (July 2004)</w:t>
      </w:r>
    </w:p>
    <w:p w14:paraId="07593A9D"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0"/>
        <w:tblDescription w:val="Amendments to AASB 139"/>
      </w:tblPr>
      <w:tblGrid>
        <w:gridCol w:w="9208"/>
      </w:tblGrid>
      <w:tr w:rsidR="00FD4BA8" w14:paraId="3D708D6E"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52A494B" w14:textId="77777777" w:rsidR="004B153E" w:rsidRDefault="004B153E" w:rsidP="004B153E">
            <w:pPr>
              <w:pStyle w:val="IASBTableArial"/>
            </w:pPr>
            <w:r>
              <w:t>The following amendments apply only when AASB 16 is applied early in conjunction with the July 2004 version of AASB 139.</w:t>
            </w:r>
          </w:p>
          <w:p w14:paraId="424A74D3" w14:textId="77777777" w:rsidR="00FD4BA8" w:rsidRDefault="004B153E" w:rsidP="00A51DA3">
            <w:pPr>
              <w:pStyle w:val="IASBTableArial"/>
            </w:pPr>
            <w:r>
              <w:t>Paragraph 2 is amended, paragraph 103V is added and in the Application Guidance paragraph AG33 is amended.</w:t>
            </w:r>
          </w:p>
        </w:tc>
      </w:tr>
    </w:tbl>
    <w:p w14:paraId="59814DC7" w14:textId="77777777" w:rsidR="00FD4BA8" w:rsidRDefault="009A1D2F">
      <w:pPr>
        <w:pStyle w:val="IASBSectionTitle1NonInd"/>
      </w:pPr>
      <w:r>
        <w:lastRenderedPageBreak/>
        <w:t>Scope</w:t>
      </w:r>
    </w:p>
    <w:p w14:paraId="5091C14E" w14:textId="77777777" w:rsidR="00FD4BA8" w:rsidRDefault="009A1D2F">
      <w:pPr>
        <w:pStyle w:val="IASBNormalnpara"/>
        <w:rPr>
          <w:b/>
        </w:rPr>
      </w:pPr>
      <w:r>
        <w:rPr>
          <w:b/>
        </w:rPr>
        <w:t>2</w:t>
      </w:r>
      <w:r>
        <w:rPr>
          <w:b/>
        </w:rPr>
        <w:tab/>
        <w:t>This Standard shall be applied by all entities to all types of financial instruments except:</w:t>
      </w:r>
    </w:p>
    <w:p w14:paraId="02B1AA67" w14:textId="77777777" w:rsidR="00FD4BA8" w:rsidRDefault="009A1D2F">
      <w:pPr>
        <w:pStyle w:val="IASBNormalnparaL1"/>
        <w:rPr>
          <w:b/>
        </w:rPr>
      </w:pPr>
      <w:r>
        <w:rPr>
          <w:b/>
        </w:rPr>
        <w:t>(a)</w:t>
      </w:r>
      <w:r>
        <w:rPr>
          <w:b/>
        </w:rPr>
        <w:tab/>
        <w:t>...</w:t>
      </w:r>
    </w:p>
    <w:p w14:paraId="74E2D575" w14:textId="77777777" w:rsidR="00FD4BA8" w:rsidRDefault="009A1D2F">
      <w:pPr>
        <w:pStyle w:val="IASBNormalnparaL1"/>
        <w:rPr>
          <w:b/>
        </w:rPr>
      </w:pPr>
      <w:r>
        <w:rPr>
          <w:b/>
        </w:rPr>
        <w:t>(b)</w:t>
      </w:r>
      <w:r>
        <w:rPr>
          <w:b/>
        </w:rPr>
        <w:tab/>
        <w:t>rights and obligations under leases to which</w:t>
      </w:r>
      <w:r w:rsidR="00E27198">
        <w:rPr>
          <w:b/>
        </w:rPr>
        <w:t xml:space="preserve"> </w:t>
      </w:r>
      <w:r w:rsidR="00E27198" w:rsidRPr="00ED51CE">
        <w:rPr>
          <w:b/>
          <w:strike/>
        </w:rPr>
        <w:t>AASB 117</w:t>
      </w:r>
      <w:r w:rsidR="00E27198">
        <w:rPr>
          <w:b/>
        </w:rPr>
        <w:t xml:space="preserve"> </w:t>
      </w:r>
      <w:r w:rsidR="00E27198" w:rsidRPr="00ED51CE">
        <w:rPr>
          <w:b/>
          <w:u w:val="single"/>
        </w:rPr>
        <w:t>AASB 16</w:t>
      </w:r>
      <w:r>
        <w:rPr>
          <w:b/>
        </w:rPr>
        <w:t xml:space="preserve"> </w:t>
      </w:r>
      <w:r>
        <w:rPr>
          <w:b/>
          <w:i/>
        </w:rPr>
        <w:t>Leases</w:t>
      </w:r>
      <w:r>
        <w:rPr>
          <w:b/>
        </w:rPr>
        <w:t xml:space="preserve"> applies. However:</w:t>
      </w:r>
    </w:p>
    <w:p w14:paraId="3D23D182" w14:textId="77777777" w:rsidR="00FD4BA8" w:rsidRDefault="009A1D2F">
      <w:pPr>
        <w:pStyle w:val="IASBNormalnparaL2"/>
        <w:rPr>
          <w:b/>
        </w:rPr>
      </w:pPr>
      <w:r>
        <w:rPr>
          <w:b/>
        </w:rPr>
        <w:t>(i)</w:t>
      </w:r>
      <w:r>
        <w:rPr>
          <w:b/>
        </w:rPr>
        <w:tab/>
      </w:r>
      <w:r>
        <w:rPr>
          <w:b/>
          <w:u w:val="single"/>
        </w:rPr>
        <w:t>finance</w:t>
      </w:r>
      <w:r>
        <w:rPr>
          <w:b/>
        </w:rPr>
        <w:t xml:space="preserve"> lease receivables </w:t>
      </w:r>
      <w:r>
        <w:rPr>
          <w:b/>
          <w:u w:val="single"/>
        </w:rPr>
        <w:t>(ie net investments in finance leases) and operating lease receivables</w:t>
      </w:r>
      <w:r>
        <w:rPr>
          <w:b/>
        </w:rPr>
        <w:t xml:space="preserve"> recognised by a lessor are subject to the </w:t>
      </w:r>
      <w:r w:rsidRPr="00ED51CE">
        <w:rPr>
          <w:b/>
          <w:i/>
        </w:rPr>
        <w:t>derecognition</w:t>
      </w:r>
      <w:r>
        <w:rPr>
          <w:b/>
        </w:rPr>
        <w:t xml:space="preserve"> and impairment provisions of this Standard (see paragraphs 15–37</w:t>
      </w:r>
      <w:r w:rsidR="004B153E">
        <w:rPr>
          <w:b/>
        </w:rPr>
        <w:t xml:space="preserve"> and</w:t>
      </w:r>
      <w:r>
        <w:rPr>
          <w:b/>
        </w:rPr>
        <w:t xml:space="preserve"> 58, 59, 63–65 and Appendix A paragraphs AG36–AG52 and AG84–AG93);</w:t>
      </w:r>
    </w:p>
    <w:p w14:paraId="22293747" w14:textId="77777777" w:rsidR="00FD4BA8" w:rsidRDefault="009A1D2F">
      <w:pPr>
        <w:pStyle w:val="IASBNormalnparaL2"/>
        <w:rPr>
          <w:b/>
        </w:rPr>
      </w:pPr>
      <w:r>
        <w:rPr>
          <w:b/>
        </w:rPr>
        <w:t>(ii)</w:t>
      </w:r>
      <w:r>
        <w:rPr>
          <w:b/>
        </w:rPr>
        <w:tab/>
      </w:r>
      <w:r>
        <w:rPr>
          <w:b/>
          <w:strike/>
        </w:rPr>
        <w:t>finance</w:t>
      </w:r>
      <w:r>
        <w:rPr>
          <w:b/>
        </w:rPr>
        <w:t xml:space="preserve"> lease </w:t>
      </w:r>
      <w:r>
        <w:rPr>
          <w:b/>
          <w:strike/>
        </w:rPr>
        <w:t>payables</w:t>
      </w:r>
      <w:r>
        <w:rPr>
          <w:b/>
        </w:rPr>
        <w:t xml:space="preserve"> </w:t>
      </w:r>
      <w:r>
        <w:rPr>
          <w:b/>
          <w:u w:val="single"/>
        </w:rPr>
        <w:t>liabilities</w:t>
      </w:r>
      <w:r>
        <w:rPr>
          <w:b/>
        </w:rPr>
        <w:t xml:space="preserve"> recognised by a lessee are subject to the derecognition provisions </w:t>
      </w:r>
      <w:r>
        <w:rPr>
          <w:b/>
          <w:u w:val="single"/>
        </w:rPr>
        <w:t>in paragraph 39</w:t>
      </w:r>
      <w:r>
        <w:rPr>
          <w:b/>
        </w:rPr>
        <w:t xml:space="preserve"> of this Standard </w:t>
      </w:r>
      <w:r>
        <w:rPr>
          <w:b/>
          <w:strike/>
        </w:rPr>
        <w:t>(see paragraphs 39–42 and Appendix A paragraphs AG57–AG63)</w:t>
      </w:r>
      <w:r>
        <w:rPr>
          <w:b/>
        </w:rPr>
        <w:t>; and</w:t>
      </w:r>
    </w:p>
    <w:p w14:paraId="223A6A79" w14:textId="77777777" w:rsidR="00FD4BA8" w:rsidRDefault="009A1D2F">
      <w:pPr>
        <w:pStyle w:val="IASBNormalnparaL2"/>
        <w:rPr>
          <w:b/>
        </w:rPr>
      </w:pPr>
      <w:r>
        <w:rPr>
          <w:b/>
        </w:rPr>
        <w:t>(iii)</w:t>
      </w:r>
      <w:r>
        <w:rPr>
          <w:b/>
        </w:rPr>
        <w:tab/>
        <w:t>...</w:t>
      </w:r>
    </w:p>
    <w:p w14:paraId="361368F8" w14:textId="77777777" w:rsidR="00FD4BA8" w:rsidRDefault="009A1D2F">
      <w:pPr>
        <w:pStyle w:val="IASBSectionTitle1NonInd"/>
      </w:pPr>
      <w:r>
        <w:t>Effective date and transition</w:t>
      </w:r>
    </w:p>
    <w:p w14:paraId="21AEB0BC" w14:textId="77777777" w:rsidR="00FD4BA8" w:rsidRDefault="009A1D2F">
      <w:pPr>
        <w:pStyle w:val="IASBNormalnpara"/>
      </w:pPr>
      <w:r>
        <w:tab/>
        <w:t>...</w:t>
      </w:r>
    </w:p>
    <w:p w14:paraId="45BEF071" w14:textId="77777777" w:rsidR="00FD4BA8" w:rsidRDefault="009A1D2F">
      <w:pPr>
        <w:pStyle w:val="IASBNormalnpara"/>
        <w:rPr>
          <w:u w:val="single"/>
        </w:rPr>
      </w:pPr>
      <w:r>
        <w:rPr>
          <w:u w:val="single"/>
        </w:rPr>
        <w:t>103V</w:t>
      </w:r>
      <w:r w:rsidRPr="001D6BEA">
        <w:tab/>
      </w:r>
      <w:r w:rsidR="00E27198">
        <w:rPr>
          <w:u w:val="single"/>
        </w:rPr>
        <w:t>AASB 16</w:t>
      </w:r>
      <w:r>
        <w:rPr>
          <w:u w:val="single"/>
        </w:rPr>
        <w:t xml:space="preserve">, issued in </w:t>
      </w:r>
      <w:r w:rsidR="00757948">
        <w:rPr>
          <w:u w:val="single"/>
        </w:rPr>
        <w:t>February 2016</w:t>
      </w:r>
      <w:r>
        <w:rPr>
          <w:u w:val="single"/>
        </w:rPr>
        <w:t>, amended paragraphs 2 and AG33. An entity shall apply those amendments when it applies</w:t>
      </w:r>
      <w:r w:rsidR="00E27198">
        <w:rPr>
          <w:u w:val="single"/>
        </w:rPr>
        <w:t xml:space="preserve"> AASB 16</w:t>
      </w:r>
      <w:r>
        <w:rPr>
          <w:u w:val="single"/>
        </w:rPr>
        <w:t>.</w:t>
      </w:r>
    </w:p>
    <w:p w14:paraId="2AB135AA" w14:textId="77777777" w:rsidR="0053061A" w:rsidRDefault="0053061A" w:rsidP="00C0258D">
      <w:pPr>
        <w:pStyle w:val="IASBSectionTitle1NonInd"/>
      </w:pPr>
      <w:r>
        <w:t>Appendix A</w:t>
      </w:r>
    </w:p>
    <w:p w14:paraId="6B6492DF" w14:textId="77777777" w:rsidR="00E01695" w:rsidRDefault="00E01695" w:rsidP="00C0258D">
      <w:pPr>
        <w:pStyle w:val="IASBSectionTitle1NonInd"/>
      </w:pPr>
      <w:r>
        <w:t>Embedded derivatives (paragraphs 10–13)</w:t>
      </w:r>
    </w:p>
    <w:p w14:paraId="0C63663B" w14:textId="77777777" w:rsidR="00E01695" w:rsidRDefault="00C0258D" w:rsidP="00C0258D">
      <w:pPr>
        <w:pStyle w:val="IASBNormalnpara"/>
      </w:pPr>
      <w:r>
        <w:tab/>
        <w:t>…</w:t>
      </w:r>
    </w:p>
    <w:p w14:paraId="5C55AA97" w14:textId="77777777" w:rsidR="00C0258D" w:rsidRDefault="00C0258D" w:rsidP="00C0258D">
      <w:pPr>
        <w:pStyle w:val="IASBNormalnpara"/>
      </w:pPr>
      <w:r>
        <w:t>AG33</w:t>
      </w:r>
      <w:r>
        <w:tab/>
        <w:t>The economic characteristics and risks of an embedded derivative are closely related to the economic characteristics and risks of the host contract in the following examples. In these examples, an entity does not account for the embedded derivative separately from the host contract.</w:t>
      </w:r>
    </w:p>
    <w:p w14:paraId="5D7E55CB" w14:textId="77777777" w:rsidR="00C0258D" w:rsidRDefault="00C0258D" w:rsidP="00C0258D">
      <w:pPr>
        <w:pStyle w:val="IASBNormalnparaL1"/>
      </w:pPr>
      <w:r>
        <w:t>(a)</w:t>
      </w:r>
      <w:r>
        <w:tab/>
        <w:t>…</w:t>
      </w:r>
    </w:p>
    <w:p w14:paraId="52AE3F03" w14:textId="77777777" w:rsidR="00C0258D" w:rsidRDefault="00C0258D" w:rsidP="00C0258D">
      <w:pPr>
        <w:pStyle w:val="IASBNormalnparaL1"/>
      </w:pPr>
      <w:r>
        <w:t>(f)</w:t>
      </w:r>
      <w:r>
        <w:tab/>
        <w:t xml:space="preserve">An embedded derivative in a host lease contract is closely related to the host contract if the embedded derivative is (i) an inflation-related index such as an index of lease payments to a consumer price index (provided that the lease is not leveraged and the index relates to inflation in the entity’s own economic environment), (ii) </w:t>
      </w:r>
      <w:r>
        <w:rPr>
          <w:strike/>
        </w:rPr>
        <w:t>contingent rentals</w:t>
      </w:r>
      <w:r>
        <w:t xml:space="preserve"> </w:t>
      </w:r>
      <w:r>
        <w:rPr>
          <w:u w:val="single"/>
        </w:rPr>
        <w:t>variable lease payments</w:t>
      </w:r>
      <w:r>
        <w:t xml:space="preserve"> based on related sales or (iii) </w:t>
      </w:r>
      <w:r>
        <w:rPr>
          <w:strike/>
        </w:rPr>
        <w:t>contingent rentals</w:t>
      </w:r>
      <w:r>
        <w:t xml:space="preserve"> </w:t>
      </w:r>
      <w:r>
        <w:rPr>
          <w:u w:val="single"/>
        </w:rPr>
        <w:t>variable lease payments</w:t>
      </w:r>
      <w:r>
        <w:t xml:space="preserve"> based on variable interest rates.</w:t>
      </w:r>
    </w:p>
    <w:p w14:paraId="01B43002" w14:textId="77777777" w:rsidR="00C0258D" w:rsidRDefault="00C0258D" w:rsidP="00C0258D">
      <w:pPr>
        <w:pStyle w:val="IASBNormalnparaL1"/>
      </w:pPr>
      <w:r>
        <w:t>(g)</w:t>
      </w:r>
      <w:r>
        <w:tab/>
        <w:t>…</w:t>
      </w:r>
    </w:p>
    <w:p w14:paraId="78A26F00" w14:textId="77777777" w:rsidR="00FD4BA8" w:rsidRPr="002E4B51" w:rsidRDefault="00E27198">
      <w:pPr>
        <w:pStyle w:val="IASBSectionTitle1NonInd"/>
        <w:pBdr>
          <w:bottom w:val="none" w:sz="0" w:space="0" w:color="auto"/>
        </w:pBdr>
      </w:pPr>
      <w:r>
        <w:t>AASB 140</w:t>
      </w:r>
      <w:r w:rsidR="009A1D2F">
        <w:t xml:space="preserve"> </w:t>
      </w:r>
      <w:r w:rsidR="009A1D2F">
        <w:rPr>
          <w:i/>
        </w:rPr>
        <w:t>Investment Property</w:t>
      </w:r>
      <w:r w:rsidR="002E4B51">
        <w:t xml:space="preserve"> (August 2015)</w:t>
      </w:r>
    </w:p>
    <w:p w14:paraId="0A894EA3" w14:textId="77777777" w:rsidR="000D15FB" w:rsidRDefault="000D15FB" w:rsidP="000D15FB">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Table 4"/>
        <w:tblDescription w:val="Amendments to AASB 140"/>
      </w:tblPr>
      <w:tblGrid>
        <w:gridCol w:w="9017"/>
      </w:tblGrid>
      <w:tr w:rsidR="000D15FB" w14:paraId="528E618A" w14:textId="77777777" w:rsidTr="00AE22E6">
        <w:trPr>
          <w:tblHeader/>
        </w:trPr>
        <w:tc>
          <w:tcPr>
            <w:tcW w:w="9017" w:type="dxa"/>
          </w:tcPr>
          <w:p w14:paraId="509A8287" w14:textId="77777777" w:rsidR="000D15FB" w:rsidRPr="004C2ECD" w:rsidRDefault="000D15FB" w:rsidP="00CD550C">
            <w:pPr>
              <w:pStyle w:val="IASBTableArial"/>
              <w:rPr>
                <w:b/>
              </w:rPr>
            </w:pPr>
            <w:r>
              <w:t>Paragraphs 3, 6, 25</w:t>
            </w:r>
            <w:r w:rsidR="004B153E">
              <w:t xml:space="preserve">, </w:t>
            </w:r>
            <w:r w:rsidR="00A407EE">
              <w:t>26 and</w:t>
            </w:r>
            <w:r>
              <w:t xml:space="preserve"> 34 are deleted, </w:t>
            </w:r>
            <w:r w:rsidR="004B153E">
              <w:t xml:space="preserve">paragraphs </w:t>
            </w:r>
            <w:r>
              <w:t>5, 7-9, 16, 20, 30, 41, 50, 53, 53</w:t>
            </w:r>
            <w:r w:rsidR="004B153E">
              <w:t>A, 54, 56, 60-62, 67, 69, 74</w:t>
            </w:r>
            <w:r w:rsidR="00A407EE">
              <w:t>, 75</w:t>
            </w:r>
            <w:r w:rsidR="004B153E">
              <w:t>,</w:t>
            </w:r>
            <w:r>
              <w:t xml:space="preserve"> 77</w:t>
            </w:r>
            <w:r w:rsidR="004B153E">
              <w:t xml:space="preserve"> and </w:t>
            </w:r>
            <w:r>
              <w:t>78 are amended and paragraphs 19A, 29A, 40A, 84B and 85F are added.</w:t>
            </w:r>
          </w:p>
        </w:tc>
      </w:tr>
    </w:tbl>
    <w:p w14:paraId="3EE85518" w14:textId="77777777" w:rsidR="000D15FB" w:rsidRDefault="000D15FB" w:rsidP="000D15FB">
      <w:pPr>
        <w:pStyle w:val="IASBSectionTitle1NonInd"/>
      </w:pPr>
      <w:r>
        <w:t>Scope</w:t>
      </w:r>
    </w:p>
    <w:p w14:paraId="72155880" w14:textId="77777777" w:rsidR="000D15FB" w:rsidRDefault="000D15FB" w:rsidP="00ED51CE">
      <w:pPr>
        <w:pStyle w:val="IASBNormalnparaL1"/>
      </w:pPr>
      <w:r>
        <w:t>…</w:t>
      </w:r>
    </w:p>
    <w:p w14:paraId="37F11E16" w14:textId="77777777" w:rsidR="000D15FB" w:rsidRDefault="000D15FB" w:rsidP="000D15FB">
      <w:pPr>
        <w:pStyle w:val="IASBNormalnpara"/>
      </w:pPr>
      <w:r>
        <w:t>3</w:t>
      </w:r>
      <w:r>
        <w:tab/>
        <w:t xml:space="preserve">[Deleted] </w:t>
      </w:r>
      <w:r>
        <w:rPr>
          <w:strike/>
        </w:rPr>
        <w:t xml:space="preserve">Among other things, this Standard applies to the measurement in a lessee’s financial statements of investment property interests held under a lease accounted for as a finance lease and to the measurement in a lessor’s financial statements of investment property provided to a lessee under an operating lease. This Standard does not deal with matters covered in AASB 117 </w:t>
      </w:r>
      <w:r>
        <w:rPr>
          <w:i/>
          <w:strike/>
        </w:rPr>
        <w:t>Leases</w:t>
      </w:r>
      <w:r>
        <w:rPr>
          <w:strike/>
        </w:rPr>
        <w:t>, including:</w:t>
      </w:r>
    </w:p>
    <w:p w14:paraId="381C07F0" w14:textId="77777777" w:rsidR="000D15FB" w:rsidRDefault="000D15FB" w:rsidP="000D15FB">
      <w:pPr>
        <w:pStyle w:val="IASBNormalnparaL1"/>
      </w:pPr>
      <w:r w:rsidRPr="00FD7782">
        <w:rPr>
          <w:strike/>
        </w:rPr>
        <w:t>(a)</w:t>
      </w:r>
      <w:r>
        <w:tab/>
      </w:r>
      <w:r>
        <w:rPr>
          <w:strike/>
        </w:rPr>
        <w:t>classification of leases as finance leases or operating leases;</w:t>
      </w:r>
    </w:p>
    <w:p w14:paraId="266942C7" w14:textId="77777777" w:rsidR="000D15FB" w:rsidRDefault="000D15FB" w:rsidP="000D15FB">
      <w:pPr>
        <w:pStyle w:val="IASBNormalnparaL1"/>
      </w:pPr>
      <w:r w:rsidRPr="00FD7782">
        <w:rPr>
          <w:strike/>
        </w:rPr>
        <w:lastRenderedPageBreak/>
        <w:t>(b)</w:t>
      </w:r>
      <w:r>
        <w:tab/>
      </w:r>
      <w:r>
        <w:rPr>
          <w:strike/>
        </w:rPr>
        <w:t xml:space="preserve">recognition of lease income from investment property (see also AASB 15 </w:t>
      </w:r>
      <w:r>
        <w:rPr>
          <w:i/>
          <w:strike/>
        </w:rPr>
        <w:t>Revenue from Contracts with Customers</w:t>
      </w:r>
      <w:r>
        <w:rPr>
          <w:strike/>
        </w:rPr>
        <w:t>);</w:t>
      </w:r>
    </w:p>
    <w:p w14:paraId="2F3395CD" w14:textId="77777777" w:rsidR="000D15FB" w:rsidRDefault="000D15FB" w:rsidP="000D15FB">
      <w:pPr>
        <w:pStyle w:val="IASBNormalnparaL1"/>
      </w:pPr>
      <w:r w:rsidRPr="00FD7782">
        <w:rPr>
          <w:strike/>
        </w:rPr>
        <w:t>(c)</w:t>
      </w:r>
      <w:r>
        <w:tab/>
      </w:r>
      <w:r>
        <w:rPr>
          <w:strike/>
        </w:rPr>
        <w:t>measurement in a lessee’s financial statements of property interests held under a lease accounted for as an operating lease;</w:t>
      </w:r>
    </w:p>
    <w:p w14:paraId="69069437" w14:textId="77777777" w:rsidR="000D15FB" w:rsidRDefault="000D15FB" w:rsidP="000D15FB">
      <w:pPr>
        <w:pStyle w:val="IASBNormalnparaL1"/>
      </w:pPr>
      <w:r w:rsidRPr="00FD7782">
        <w:rPr>
          <w:strike/>
        </w:rPr>
        <w:t>(d)</w:t>
      </w:r>
      <w:r>
        <w:tab/>
      </w:r>
      <w:r>
        <w:rPr>
          <w:strike/>
        </w:rPr>
        <w:t>measurement in a lessor’s financial statements of its net investment in a finance lease;</w:t>
      </w:r>
    </w:p>
    <w:p w14:paraId="3C70EB68" w14:textId="77777777" w:rsidR="000D15FB" w:rsidRDefault="000D15FB" w:rsidP="000D15FB">
      <w:pPr>
        <w:pStyle w:val="IASBNormalnparaL1"/>
      </w:pPr>
      <w:r w:rsidRPr="00FD7782">
        <w:rPr>
          <w:strike/>
        </w:rPr>
        <w:t>(e)</w:t>
      </w:r>
      <w:r>
        <w:tab/>
      </w:r>
      <w:r>
        <w:rPr>
          <w:strike/>
        </w:rPr>
        <w:t>accounting for sale and leaseback transactions; and</w:t>
      </w:r>
    </w:p>
    <w:p w14:paraId="5303BE0F" w14:textId="77777777" w:rsidR="000D15FB" w:rsidRDefault="000D15FB" w:rsidP="000D15FB">
      <w:pPr>
        <w:pStyle w:val="IASBNormalnparaL1"/>
      </w:pPr>
      <w:r w:rsidRPr="00FD7782">
        <w:rPr>
          <w:strike/>
        </w:rPr>
        <w:t>(f)</w:t>
      </w:r>
      <w:r>
        <w:tab/>
      </w:r>
      <w:r>
        <w:rPr>
          <w:strike/>
        </w:rPr>
        <w:t>disclosure about finance leases and operating leases.</w:t>
      </w:r>
    </w:p>
    <w:p w14:paraId="519F3804" w14:textId="77777777" w:rsidR="000D15FB" w:rsidRDefault="000D15FB" w:rsidP="00ED51CE">
      <w:pPr>
        <w:pStyle w:val="IASBNormalnparaL1"/>
      </w:pPr>
      <w:r>
        <w:t>…</w:t>
      </w:r>
    </w:p>
    <w:p w14:paraId="6434C0E0" w14:textId="77777777" w:rsidR="000D15FB" w:rsidRDefault="000D15FB" w:rsidP="000D15FB">
      <w:pPr>
        <w:pStyle w:val="IASBSectionTitle1NonInd"/>
      </w:pPr>
      <w:r>
        <w:t>Definitions</w:t>
      </w:r>
    </w:p>
    <w:p w14:paraId="56D83FE5" w14:textId="77777777" w:rsidR="004B153E" w:rsidRDefault="000D15FB" w:rsidP="000D15FB">
      <w:pPr>
        <w:pStyle w:val="IASBNormalnpara"/>
        <w:rPr>
          <w:b/>
        </w:rPr>
      </w:pPr>
      <w:r>
        <w:rPr>
          <w:b/>
        </w:rPr>
        <w:t>5</w:t>
      </w:r>
      <w:r>
        <w:rPr>
          <w:b/>
        </w:rPr>
        <w:tab/>
      </w:r>
      <w:r w:rsidR="004B153E">
        <w:rPr>
          <w:b/>
        </w:rPr>
        <w:t>The following terms are used in this Standard with the meanings specified:</w:t>
      </w:r>
    </w:p>
    <w:p w14:paraId="41180AF5" w14:textId="77777777" w:rsidR="000D15FB" w:rsidRDefault="000D15FB" w:rsidP="00ED51CE">
      <w:pPr>
        <w:pStyle w:val="IASBNormalnparaL1"/>
      </w:pPr>
      <w:r>
        <w:t>…</w:t>
      </w:r>
    </w:p>
    <w:p w14:paraId="52693FE1" w14:textId="77777777" w:rsidR="000D15FB" w:rsidRDefault="000D15FB" w:rsidP="000D15FB">
      <w:pPr>
        <w:pStyle w:val="IASBNormalnparaP"/>
        <w:rPr>
          <w:b/>
        </w:rPr>
      </w:pPr>
      <w:r>
        <w:rPr>
          <w:b/>
          <w:i/>
        </w:rPr>
        <w:t>Investment property</w:t>
      </w:r>
      <w:r>
        <w:rPr>
          <w:b/>
        </w:rPr>
        <w:t xml:space="preserve"> is property (land or a building—or part of a building—or both) held (by the owner or by the lessee </w:t>
      </w:r>
      <w:r>
        <w:rPr>
          <w:b/>
          <w:u w:val="single"/>
        </w:rPr>
        <w:t>as a right-of-use asset</w:t>
      </w:r>
      <w:r>
        <w:rPr>
          <w:b/>
        </w:rPr>
        <w:t xml:space="preserve"> </w:t>
      </w:r>
      <w:r>
        <w:rPr>
          <w:b/>
          <w:strike/>
        </w:rPr>
        <w:t>under a finance lease</w:t>
      </w:r>
      <w:r>
        <w:rPr>
          <w:b/>
        </w:rPr>
        <w:t>) to earn rentals or for capital appreciation or both, rather than for:</w:t>
      </w:r>
    </w:p>
    <w:p w14:paraId="2AC483A4" w14:textId="77777777" w:rsidR="000D15FB" w:rsidRDefault="000D15FB" w:rsidP="000D15FB">
      <w:pPr>
        <w:pStyle w:val="IASBNormalnparaL1"/>
        <w:rPr>
          <w:b/>
        </w:rPr>
      </w:pPr>
      <w:r>
        <w:rPr>
          <w:b/>
        </w:rPr>
        <w:t>(a)</w:t>
      </w:r>
      <w:r>
        <w:rPr>
          <w:b/>
        </w:rPr>
        <w:tab/>
        <w:t>use in the production or supply of goods or services or for administrative purposes; or</w:t>
      </w:r>
    </w:p>
    <w:p w14:paraId="4FFAE971" w14:textId="77777777" w:rsidR="000D15FB" w:rsidRDefault="000D15FB" w:rsidP="000D15FB">
      <w:pPr>
        <w:pStyle w:val="IASBNormalnparaL1"/>
        <w:rPr>
          <w:b/>
        </w:rPr>
      </w:pPr>
      <w:r>
        <w:rPr>
          <w:b/>
        </w:rPr>
        <w:t>(b)</w:t>
      </w:r>
      <w:r>
        <w:rPr>
          <w:b/>
        </w:rPr>
        <w:tab/>
        <w:t>sale in the ordinary course of business.</w:t>
      </w:r>
    </w:p>
    <w:p w14:paraId="67DA7D19" w14:textId="77777777" w:rsidR="000D15FB" w:rsidRDefault="000D15FB" w:rsidP="000D15FB">
      <w:pPr>
        <w:pStyle w:val="IASBNormalnparaP"/>
        <w:rPr>
          <w:b/>
        </w:rPr>
      </w:pPr>
      <w:r>
        <w:rPr>
          <w:b/>
          <w:i/>
        </w:rPr>
        <w:t>Owner-occupied property</w:t>
      </w:r>
      <w:r>
        <w:rPr>
          <w:b/>
        </w:rPr>
        <w:t xml:space="preserve"> is property held (by the owner or by the lessee </w:t>
      </w:r>
      <w:r>
        <w:rPr>
          <w:b/>
          <w:u w:val="single"/>
        </w:rPr>
        <w:t>as a right-of-use asset</w:t>
      </w:r>
      <w:r>
        <w:rPr>
          <w:b/>
        </w:rPr>
        <w:t xml:space="preserve"> </w:t>
      </w:r>
      <w:r>
        <w:rPr>
          <w:b/>
          <w:strike/>
        </w:rPr>
        <w:t>under a finance lease</w:t>
      </w:r>
      <w:r>
        <w:rPr>
          <w:b/>
        </w:rPr>
        <w:t>) for use in the production or supply of goods or services or for administrative purposes.</w:t>
      </w:r>
    </w:p>
    <w:p w14:paraId="43FE1B3F" w14:textId="77777777" w:rsidR="000D15FB" w:rsidRDefault="000D15FB" w:rsidP="000D15FB">
      <w:pPr>
        <w:pStyle w:val="IASBSectionTitle1NonInd"/>
      </w:pPr>
      <w:r>
        <w:t>Classification of property as investment property or owner-occupied property</w:t>
      </w:r>
    </w:p>
    <w:p w14:paraId="066820B3" w14:textId="77777777" w:rsidR="000D15FB" w:rsidRDefault="000D15FB" w:rsidP="000D15FB">
      <w:pPr>
        <w:pStyle w:val="IASBNormalnpara"/>
        <w:rPr>
          <w:b/>
        </w:rPr>
      </w:pPr>
      <w:r>
        <w:rPr>
          <w:b/>
        </w:rPr>
        <w:t>6</w:t>
      </w:r>
      <w:r>
        <w:rPr>
          <w:b/>
        </w:rPr>
        <w:tab/>
      </w:r>
      <w:r>
        <w:rPr>
          <w:u w:val="single"/>
        </w:rPr>
        <w:t>[Deleted]</w:t>
      </w:r>
      <w:r>
        <w:rPr>
          <w:b/>
        </w:rPr>
        <w:t xml:space="preserve"> </w:t>
      </w:r>
      <w:r>
        <w:rPr>
          <w:b/>
          <w:strike/>
        </w:rPr>
        <w:t xml:space="preserve">A </w:t>
      </w:r>
      <w:r>
        <w:rPr>
          <w:b/>
          <w:i/>
          <w:strike/>
        </w:rPr>
        <w:t>property interest</w:t>
      </w:r>
      <w:r>
        <w:rPr>
          <w:b/>
          <w:strike/>
        </w:rPr>
        <w:t xml:space="preserve"> that is held by a lessee under an operating lease may be classified and accounted for as investment property if, and only if, the property would otherwise meet the definition of an investment property and the lessee uses the fair value model set out in paragraphs 33–55 for the asset recognised. This classification alternative is available on a property-by-property basis. However, once this classification alternative is selected for one such property interest held under an operating lease, all property classified as investment property shall be accounted for using the fair value model. When this classification alternative is selected, any interest so classified is included in the disclosures required by paragraphs 74–78.</w:t>
      </w:r>
    </w:p>
    <w:p w14:paraId="63BB1A37" w14:textId="77777777" w:rsidR="000D15FB" w:rsidRDefault="000D15FB" w:rsidP="000D15FB">
      <w:pPr>
        <w:pStyle w:val="IASBNormalnpara"/>
      </w:pPr>
      <w:r>
        <w:t>7</w:t>
      </w:r>
      <w:r>
        <w:tab/>
        <w:t xml:space="preserve">Investment property is held to earn rentals or for capital appreciation or both. Therefore, an investment property generates cash flows largely independently of the other assets held by an entity. This distinguishes investment property from owner-occupied property. The production or supply of goods or services (or the use of property for administrative purposes) generates cash flows that are attributable not only to property, but also to other assets used in the production or supply process. AASB 116 applies to </w:t>
      </w:r>
      <w:r>
        <w:rPr>
          <w:u w:val="single"/>
        </w:rPr>
        <w:t>owned</w:t>
      </w:r>
      <w:r>
        <w:t xml:space="preserve"> owner-occupied property </w:t>
      </w:r>
      <w:r>
        <w:rPr>
          <w:u w:val="single"/>
        </w:rPr>
        <w:t>and AASB 16 applies to owner-occupied property held by a lessee as a right-of-use asset</w:t>
      </w:r>
      <w:r>
        <w:t>.</w:t>
      </w:r>
    </w:p>
    <w:p w14:paraId="1BE989BF" w14:textId="77777777" w:rsidR="000D15FB" w:rsidRDefault="000D15FB" w:rsidP="000D15FB">
      <w:pPr>
        <w:pStyle w:val="IASBNormalnpara"/>
      </w:pPr>
      <w:r>
        <w:t>8</w:t>
      </w:r>
      <w:r>
        <w:tab/>
        <w:t>The following are examples of investment property:</w:t>
      </w:r>
    </w:p>
    <w:p w14:paraId="69562F17" w14:textId="77777777" w:rsidR="000D15FB" w:rsidRDefault="000D15FB" w:rsidP="000D15FB">
      <w:pPr>
        <w:pStyle w:val="IASBNormalnparaL1"/>
      </w:pPr>
      <w:r>
        <w:t>(a)</w:t>
      </w:r>
      <w:r>
        <w:tab/>
        <w:t>…</w:t>
      </w:r>
    </w:p>
    <w:p w14:paraId="2A5962DE" w14:textId="77777777" w:rsidR="000D15FB" w:rsidRDefault="000D15FB" w:rsidP="000D15FB">
      <w:pPr>
        <w:pStyle w:val="IASBNormalnparaL1"/>
      </w:pPr>
      <w:r>
        <w:t>(c)</w:t>
      </w:r>
      <w:r>
        <w:tab/>
        <w:t xml:space="preserve">a building owned by the entity (or </w:t>
      </w:r>
      <w:r>
        <w:rPr>
          <w:u w:val="single"/>
        </w:rPr>
        <w:t>a right-of-use asset relating to a building</w:t>
      </w:r>
      <w:r>
        <w:t xml:space="preserve"> held by the entity </w:t>
      </w:r>
      <w:r>
        <w:rPr>
          <w:strike/>
        </w:rPr>
        <w:t>under a finance lease</w:t>
      </w:r>
      <w:r>
        <w:t>) and leased out under one or more operating leases.</w:t>
      </w:r>
    </w:p>
    <w:p w14:paraId="4232AC80" w14:textId="77777777" w:rsidR="000D15FB" w:rsidRDefault="004B153E" w:rsidP="00ED51CE">
      <w:pPr>
        <w:pStyle w:val="IASBNormalnparaL1"/>
      </w:pPr>
      <w:r>
        <w:t>(d)</w:t>
      </w:r>
      <w:r>
        <w:tab/>
      </w:r>
      <w:r w:rsidR="000D15FB">
        <w:t>…</w:t>
      </w:r>
    </w:p>
    <w:p w14:paraId="2D1079C7" w14:textId="77777777" w:rsidR="000D15FB" w:rsidRDefault="000D15FB" w:rsidP="000D15FB">
      <w:pPr>
        <w:pStyle w:val="IASBNormalnpara"/>
      </w:pPr>
      <w:r>
        <w:t>9</w:t>
      </w:r>
      <w:r>
        <w:tab/>
        <w:t>The following are examples of items that are not investment property and are therefore outside the scope of this Standard:</w:t>
      </w:r>
    </w:p>
    <w:p w14:paraId="6C1C8183" w14:textId="77777777" w:rsidR="000D15FB" w:rsidRDefault="000D15FB" w:rsidP="000D15FB">
      <w:pPr>
        <w:pStyle w:val="IASBNormalnparaL1"/>
      </w:pPr>
      <w:r>
        <w:t>(a)</w:t>
      </w:r>
      <w:r>
        <w:tab/>
        <w:t>…</w:t>
      </w:r>
    </w:p>
    <w:p w14:paraId="1CA15D9A" w14:textId="77777777" w:rsidR="000D15FB" w:rsidRDefault="000D15FB" w:rsidP="000D15FB">
      <w:pPr>
        <w:pStyle w:val="IASBNormalnparaL1"/>
      </w:pPr>
      <w:r>
        <w:t>(c)</w:t>
      </w:r>
      <w:r>
        <w:tab/>
        <w:t xml:space="preserve">owner-occupied property (see AASB 116 </w:t>
      </w:r>
      <w:r>
        <w:rPr>
          <w:u w:val="single"/>
        </w:rPr>
        <w:t>and AASB 16</w:t>
      </w:r>
      <w:r>
        <w:t>), including (among other things) property held for future use as owner-occupied property, property held for future development and subsequent use as owner-occupied property, property occupied by employees (whether or not the employees pay rent at market rates) and owner-occupied property awaiting disposal.</w:t>
      </w:r>
    </w:p>
    <w:p w14:paraId="75909CB5" w14:textId="77777777" w:rsidR="000D15FB" w:rsidRDefault="00184221" w:rsidP="00ED51CE">
      <w:pPr>
        <w:pStyle w:val="IASBNormalnparaL1"/>
      </w:pPr>
      <w:r>
        <w:t>(d)</w:t>
      </w:r>
      <w:r>
        <w:tab/>
      </w:r>
      <w:r w:rsidR="000D15FB">
        <w:t>…</w:t>
      </w:r>
    </w:p>
    <w:p w14:paraId="47D8BBB2" w14:textId="77777777" w:rsidR="000D15FB" w:rsidRDefault="000D15FB" w:rsidP="000D15FB">
      <w:pPr>
        <w:pStyle w:val="IASBSectionTitle1NonInd"/>
      </w:pPr>
      <w:r>
        <w:lastRenderedPageBreak/>
        <w:t>Recognition</w:t>
      </w:r>
    </w:p>
    <w:p w14:paraId="60A583E3" w14:textId="77777777" w:rsidR="000D15FB" w:rsidRDefault="000D15FB" w:rsidP="000D15FB">
      <w:pPr>
        <w:pStyle w:val="IASBNormalnpara"/>
        <w:rPr>
          <w:b/>
        </w:rPr>
      </w:pPr>
      <w:r>
        <w:rPr>
          <w:b/>
        </w:rPr>
        <w:t>16</w:t>
      </w:r>
      <w:r>
        <w:rPr>
          <w:b/>
        </w:rPr>
        <w:tab/>
      </w:r>
      <w:r>
        <w:rPr>
          <w:b/>
          <w:u w:val="single"/>
        </w:rPr>
        <w:t>An owned</w:t>
      </w:r>
      <w:r>
        <w:rPr>
          <w:b/>
        </w:rPr>
        <w:t xml:space="preserve"> </w:t>
      </w:r>
      <w:r>
        <w:rPr>
          <w:b/>
          <w:strike/>
        </w:rPr>
        <w:t>I</w:t>
      </w:r>
      <w:r>
        <w:rPr>
          <w:b/>
          <w:u w:val="single"/>
        </w:rPr>
        <w:t>i</w:t>
      </w:r>
      <w:r>
        <w:rPr>
          <w:b/>
        </w:rPr>
        <w:t>nvestment property shall be recognised as an asset when, and only when:</w:t>
      </w:r>
    </w:p>
    <w:p w14:paraId="48C18EB4" w14:textId="77777777" w:rsidR="000D15FB" w:rsidRDefault="000D15FB" w:rsidP="000D15FB">
      <w:pPr>
        <w:pStyle w:val="IASBNormalnparaL1"/>
        <w:rPr>
          <w:b/>
        </w:rPr>
      </w:pPr>
      <w:r>
        <w:rPr>
          <w:b/>
        </w:rPr>
        <w:t>(a)</w:t>
      </w:r>
      <w:r>
        <w:rPr>
          <w:b/>
        </w:rPr>
        <w:tab/>
        <w:t>it is probable that the future economic benefits that are associated with the investment property will flow to the entity; and</w:t>
      </w:r>
    </w:p>
    <w:p w14:paraId="448C772B" w14:textId="77777777" w:rsidR="000D15FB" w:rsidRDefault="000D15FB" w:rsidP="000D15FB">
      <w:pPr>
        <w:pStyle w:val="IASBNormalnparaL1"/>
        <w:rPr>
          <w:b/>
        </w:rPr>
      </w:pPr>
      <w:r>
        <w:rPr>
          <w:b/>
        </w:rPr>
        <w:t>(b)</w:t>
      </w:r>
      <w:r>
        <w:rPr>
          <w:b/>
        </w:rPr>
        <w:tab/>
        <w:t>the cost of the investment property can be measured reliably.</w:t>
      </w:r>
    </w:p>
    <w:p w14:paraId="5BC4760D" w14:textId="77777777" w:rsidR="000D15FB" w:rsidRDefault="000D15FB" w:rsidP="00ED51CE">
      <w:pPr>
        <w:pStyle w:val="IASBNormalnparaL1"/>
      </w:pPr>
      <w:r>
        <w:t>…</w:t>
      </w:r>
    </w:p>
    <w:p w14:paraId="1AF1AADD" w14:textId="77777777" w:rsidR="000D15FB" w:rsidRDefault="000D15FB" w:rsidP="000D15FB">
      <w:pPr>
        <w:pStyle w:val="IASBNormalnpara"/>
      </w:pPr>
      <w:r>
        <w:rPr>
          <w:u w:val="single"/>
        </w:rPr>
        <w:t>19A</w:t>
      </w:r>
      <w:r w:rsidRPr="00C03377">
        <w:tab/>
      </w:r>
      <w:r>
        <w:rPr>
          <w:u w:val="single"/>
        </w:rPr>
        <w:t>An investment property held by a lessee as a right-of-use asset shall be recognised in accordance with AASB 16.</w:t>
      </w:r>
    </w:p>
    <w:p w14:paraId="4434A778" w14:textId="77777777" w:rsidR="000D15FB" w:rsidRDefault="000D15FB" w:rsidP="000D15FB">
      <w:pPr>
        <w:pStyle w:val="IASBSectionTitle1NonInd"/>
      </w:pPr>
      <w:r>
        <w:t>Measurement at recognition</w:t>
      </w:r>
    </w:p>
    <w:p w14:paraId="33096F80" w14:textId="77777777" w:rsidR="000D15FB" w:rsidRDefault="000D15FB" w:rsidP="000D15FB">
      <w:pPr>
        <w:pStyle w:val="IASBNormalnpara"/>
        <w:rPr>
          <w:b/>
        </w:rPr>
      </w:pPr>
      <w:r>
        <w:rPr>
          <w:b/>
        </w:rPr>
        <w:t>20</w:t>
      </w:r>
      <w:r>
        <w:rPr>
          <w:b/>
        </w:rPr>
        <w:tab/>
        <w:t xml:space="preserve">An </w:t>
      </w:r>
      <w:r>
        <w:rPr>
          <w:b/>
          <w:u w:val="single"/>
        </w:rPr>
        <w:t>owned</w:t>
      </w:r>
      <w:r>
        <w:rPr>
          <w:b/>
        </w:rPr>
        <w:t xml:space="preserve"> investment property shall be measured initially at its cost. Transaction costs shall be included in the initial measurement.</w:t>
      </w:r>
    </w:p>
    <w:p w14:paraId="0C07513A" w14:textId="77777777" w:rsidR="000D15FB" w:rsidRDefault="000D15FB" w:rsidP="00ED51CE">
      <w:pPr>
        <w:pStyle w:val="IASBNormalnparaL1"/>
      </w:pPr>
      <w:r>
        <w:t>…</w:t>
      </w:r>
    </w:p>
    <w:p w14:paraId="0FC3DBBD" w14:textId="77777777" w:rsidR="000D15FB" w:rsidRDefault="000D15FB" w:rsidP="000D15FB">
      <w:pPr>
        <w:pStyle w:val="IASBNormalnpara"/>
      </w:pPr>
      <w:r>
        <w:t>25</w:t>
      </w:r>
      <w:r>
        <w:tab/>
      </w:r>
      <w:r>
        <w:rPr>
          <w:u w:val="single"/>
        </w:rPr>
        <w:t>[Deleted]</w:t>
      </w:r>
      <w:r>
        <w:t xml:space="preserve"> </w:t>
      </w:r>
      <w:r>
        <w:rPr>
          <w:b/>
          <w:strike/>
        </w:rPr>
        <w:t>The initial cost of a property interest held under a lease and classified as an investment property shall be as prescribed for a finance lease by paragraph 20 of AASB 117, ie the asset shall be recognised at the lower of the fair value of the property and the present value of the minimum lease payments. An equivalent amount shall be recognised as a liability in accordance with that same paragraph.</w:t>
      </w:r>
    </w:p>
    <w:p w14:paraId="67D1A7F1" w14:textId="77777777" w:rsidR="000D15FB" w:rsidRDefault="000D15FB" w:rsidP="000D15FB">
      <w:pPr>
        <w:pStyle w:val="IASBNormalnpara"/>
      </w:pPr>
      <w:r>
        <w:t>26</w:t>
      </w:r>
      <w:r>
        <w:tab/>
      </w:r>
      <w:r>
        <w:rPr>
          <w:u w:val="single"/>
        </w:rPr>
        <w:t>[Deleted]</w:t>
      </w:r>
      <w:r>
        <w:t xml:space="preserve"> </w:t>
      </w:r>
      <w:r>
        <w:rPr>
          <w:strike/>
        </w:rPr>
        <w:t>Any premium paid for a lease is treated as part of the minimum lease payments for this purpose, and is therefore included in the cost of the asset, but is excluded from the liability. If a property interest held under a lease is classified as investment property, the item accounted for at fair value is that interest and not the underlying property. Guidance on measuring the fair value of a property interest is set out for the fair value model in paragraphs 33–35, 40, 41, 48, 50 and 52 and in AASB 13. That guidance is also relevant to the measurement of fair value when that value is used as cost for initial recognition purposes.</w:t>
      </w:r>
    </w:p>
    <w:p w14:paraId="7124B0EC" w14:textId="77777777" w:rsidR="000D15FB" w:rsidRDefault="000D15FB" w:rsidP="00ED51CE">
      <w:pPr>
        <w:pStyle w:val="IASBNormalnparaL1"/>
      </w:pPr>
      <w:r>
        <w:t>…</w:t>
      </w:r>
    </w:p>
    <w:p w14:paraId="27A44EEA" w14:textId="77777777" w:rsidR="000D15FB" w:rsidRDefault="000D15FB" w:rsidP="000D15FB">
      <w:pPr>
        <w:pStyle w:val="IASBNormalnpara"/>
      </w:pPr>
      <w:r>
        <w:rPr>
          <w:u w:val="single"/>
        </w:rPr>
        <w:t>29A</w:t>
      </w:r>
      <w:r w:rsidRPr="003D4E5A">
        <w:tab/>
      </w:r>
      <w:r>
        <w:rPr>
          <w:u w:val="single"/>
        </w:rPr>
        <w:t>An investment property held by a lessee as a right-of-use asset shall be measured initially at its cost in accordance with AASB 16.</w:t>
      </w:r>
    </w:p>
    <w:p w14:paraId="6574202D" w14:textId="77777777" w:rsidR="000D15FB" w:rsidRDefault="000D15FB" w:rsidP="000D15FB">
      <w:pPr>
        <w:pStyle w:val="IASBSectionTitle1NonInd"/>
      </w:pPr>
      <w:r>
        <w:t>Measurement after recognition</w:t>
      </w:r>
    </w:p>
    <w:p w14:paraId="33034EE4" w14:textId="77777777" w:rsidR="000D15FB" w:rsidRDefault="000D15FB" w:rsidP="000D15FB">
      <w:pPr>
        <w:pStyle w:val="IASBSectionTitle2Ind"/>
      </w:pPr>
      <w:r>
        <w:t>Accounting policy</w:t>
      </w:r>
    </w:p>
    <w:p w14:paraId="20F653ED" w14:textId="77777777" w:rsidR="000D15FB" w:rsidRDefault="000D15FB" w:rsidP="000D15FB">
      <w:pPr>
        <w:pStyle w:val="IASBNormalnpara"/>
        <w:rPr>
          <w:b/>
        </w:rPr>
      </w:pPr>
      <w:r>
        <w:rPr>
          <w:b/>
        </w:rPr>
        <w:t>30</w:t>
      </w:r>
      <w:r>
        <w:rPr>
          <w:b/>
        </w:rPr>
        <w:tab/>
        <w:t>With the exception</w:t>
      </w:r>
      <w:r>
        <w:rPr>
          <w:b/>
          <w:strike/>
        </w:rPr>
        <w:t>s</w:t>
      </w:r>
      <w:r>
        <w:rPr>
          <w:b/>
        </w:rPr>
        <w:t xml:space="preserve"> noted in paragraph</w:t>
      </w:r>
      <w:r>
        <w:rPr>
          <w:b/>
          <w:strike/>
        </w:rPr>
        <w:t>s</w:t>
      </w:r>
      <w:r>
        <w:rPr>
          <w:b/>
        </w:rPr>
        <w:t xml:space="preserve"> 32A </w:t>
      </w:r>
      <w:r>
        <w:rPr>
          <w:b/>
          <w:strike/>
        </w:rPr>
        <w:t>and 34</w:t>
      </w:r>
      <w:r>
        <w:rPr>
          <w:b/>
        </w:rPr>
        <w:t>, an entity shall choose as its accounting policy either the fair value model in paragraphs 33–55 or the cost model in paragraph 56 and shall apply that policy to all of its investment property.</w:t>
      </w:r>
    </w:p>
    <w:p w14:paraId="24FE6F6F" w14:textId="77777777" w:rsidR="000D15FB" w:rsidRDefault="000D15FB" w:rsidP="00ED51CE">
      <w:pPr>
        <w:pStyle w:val="IASBNormalnparaL1"/>
      </w:pPr>
      <w:r>
        <w:t>…</w:t>
      </w:r>
    </w:p>
    <w:p w14:paraId="5005C1FA" w14:textId="77777777" w:rsidR="000D15FB" w:rsidRDefault="000D15FB" w:rsidP="000D15FB">
      <w:pPr>
        <w:pStyle w:val="IASBSectionTitle2Ind"/>
      </w:pPr>
      <w:r>
        <w:t>Fair value model</w:t>
      </w:r>
    </w:p>
    <w:p w14:paraId="07EF66B2" w14:textId="77777777" w:rsidR="000D15FB" w:rsidRPr="004C2ECD" w:rsidRDefault="000D15FB" w:rsidP="00ED51CE">
      <w:pPr>
        <w:pStyle w:val="IASBNormalnparaL1"/>
      </w:pPr>
      <w:r w:rsidRPr="004C2ECD">
        <w:t>…</w:t>
      </w:r>
    </w:p>
    <w:p w14:paraId="06436A19" w14:textId="77777777" w:rsidR="000D15FB" w:rsidRDefault="000D15FB" w:rsidP="000D15FB">
      <w:pPr>
        <w:pStyle w:val="IASBNormalnpara"/>
        <w:rPr>
          <w:b/>
        </w:rPr>
      </w:pPr>
      <w:r>
        <w:rPr>
          <w:b/>
        </w:rPr>
        <w:t>34</w:t>
      </w:r>
      <w:r>
        <w:rPr>
          <w:b/>
        </w:rPr>
        <w:tab/>
      </w:r>
      <w:r>
        <w:rPr>
          <w:u w:val="single"/>
        </w:rPr>
        <w:t>[Deleted]</w:t>
      </w:r>
      <w:r>
        <w:rPr>
          <w:b/>
        </w:rPr>
        <w:t xml:space="preserve"> </w:t>
      </w:r>
      <w:r>
        <w:rPr>
          <w:b/>
          <w:strike/>
        </w:rPr>
        <w:t>When a property interest held by a lessee under an operating lease is classified as an investment property under paragraph 6, paragraph 30 is not elective; the fair value model shall be applied.</w:t>
      </w:r>
    </w:p>
    <w:p w14:paraId="6349F3BB" w14:textId="77777777" w:rsidR="000D15FB" w:rsidRPr="004C2ECD" w:rsidRDefault="000D15FB" w:rsidP="00ED51CE">
      <w:pPr>
        <w:pStyle w:val="IASBNormalnparaL1"/>
      </w:pPr>
      <w:r w:rsidRPr="004C2ECD">
        <w:t>…</w:t>
      </w:r>
    </w:p>
    <w:p w14:paraId="2718450C" w14:textId="77777777" w:rsidR="000D15FB" w:rsidRDefault="000D15FB" w:rsidP="000D15FB">
      <w:pPr>
        <w:pStyle w:val="IASBNormalnpara"/>
      </w:pPr>
      <w:r>
        <w:rPr>
          <w:u w:val="single"/>
        </w:rPr>
        <w:t>40A</w:t>
      </w:r>
      <w:r w:rsidRPr="004430D2">
        <w:tab/>
      </w:r>
      <w:r>
        <w:rPr>
          <w:u w:val="single"/>
        </w:rPr>
        <w:t>When a lessee uses the fair value model to measure an investment property that is held as a right-of-use asset, it shall measure the right-of-use asset, and not the underlying property, at fair value.</w:t>
      </w:r>
    </w:p>
    <w:p w14:paraId="691D975A" w14:textId="77777777" w:rsidR="000D15FB" w:rsidRDefault="000D15FB" w:rsidP="000D15FB">
      <w:pPr>
        <w:pStyle w:val="IASBNormalnpara"/>
      </w:pPr>
      <w:r>
        <w:t>41</w:t>
      </w:r>
      <w:r>
        <w:tab/>
      </w:r>
      <w:r>
        <w:rPr>
          <w:strike/>
        </w:rPr>
        <w:t>Paragraph 25</w:t>
      </w:r>
      <w:r>
        <w:t xml:space="preserve"> </w:t>
      </w:r>
      <w:r w:rsidRPr="00ED51CE">
        <w:rPr>
          <w:u w:val="single"/>
        </w:rPr>
        <w:t>AASB 16</w:t>
      </w:r>
      <w:r>
        <w:t xml:space="preserve"> specifies the basis for initial recognition of the cost of </w:t>
      </w:r>
      <w:r>
        <w:rPr>
          <w:strike/>
        </w:rPr>
        <w:t>an interest in a leased property</w:t>
      </w:r>
      <w:r>
        <w:t xml:space="preserve"> </w:t>
      </w:r>
      <w:r>
        <w:rPr>
          <w:u w:val="single"/>
        </w:rPr>
        <w:t>an investment property held by a lessee as a right-of-use asset</w:t>
      </w:r>
      <w:r>
        <w:t xml:space="preserve">. Paragraph 33 requires the </w:t>
      </w:r>
      <w:r>
        <w:rPr>
          <w:strike/>
        </w:rPr>
        <w:t>interest in the leased property</w:t>
      </w:r>
      <w:r>
        <w:t xml:space="preserve"> </w:t>
      </w:r>
      <w:r>
        <w:rPr>
          <w:u w:val="single"/>
        </w:rPr>
        <w:t>investment property held by a lessee as a right-of-use asset</w:t>
      </w:r>
      <w:r>
        <w:t xml:space="preserve"> to be remeasured, if necessary, to fair value </w:t>
      </w:r>
      <w:r>
        <w:rPr>
          <w:u w:val="single"/>
        </w:rPr>
        <w:t>if the entity chooses the fair value model</w:t>
      </w:r>
      <w:r>
        <w:t xml:space="preserve">. </w:t>
      </w:r>
      <w:r>
        <w:rPr>
          <w:strike/>
        </w:rPr>
        <w:t>In a lease negotiated</w:t>
      </w:r>
      <w:r>
        <w:t xml:space="preserve"> </w:t>
      </w:r>
      <w:r>
        <w:rPr>
          <w:u w:val="single"/>
        </w:rPr>
        <w:t>When lease payments are</w:t>
      </w:r>
      <w:r>
        <w:t xml:space="preserve"> at market rates, the fair value of </w:t>
      </w:r>
      <w:r>
        <w:rPr>
          <w:strike/>
        </w:rPr>
        <w:t>an interest in a leased property</w:t>
      </w:r>
      <w:r>
        <w:t xml:space="preserve"> </w:t>
      </w:r>
      <w:r>
        <w:rPr>
          <w:u w:val="single"/>
        </w:rPr>
        <w:t>an investment property held by a lessee as a right-of-</w:t>
      </w:r>
      <w:r>
        <w:rPr>
          <w:u w:val="single"/>
        </w:rPr>
        <w:lastRenderedPageBreak/>
        <w:t>use asset</w:t>
      </w:r>
      <w:r>
        <w:t xml:space="preserve"> at acquisition, net of all expected lease payments (including those relating to recognised </w:t>
      </w:r>
      <w:r>
        <w:rPr>
          <w:u w:val="single"/>
        </w:rPr>
        <w:t>lease</w:t>
      </w:r>
      <w:r>
        <w:t xml:space="preserve"> liabilities), should be zero. </w:t>
      </w:r>
      <w:r>
        <w:rPr>
          <w:strike/>
        </w:rPr>
        <w:t>This fair value does not change regardless of whether, for accounting purposes, a leased asset and liability are recognised at fair value or at the present value of minimum lease payments, in accordance with paragraph 20 of AASB 117.</w:t>
      </w:r>
      <w:r>
        <w:t xml:space="preserve"> Thus, remeasuring a </w:t>
      </w:r>
      <w:r>
        <w:rPr>
          <w:strike/>
        </w:rPr>
        <w:t>leased</w:t>
      </w:r>
      <w:r>
        <w:t xml:space="preserve"> </w:t>
      </w:r>
      <w:r>
        <w:rPr>
          <w:u w:val="single"/>
        </w:rPr>
        <w:t>right-of-use</w:t>
      </w:r>
      <w:r>
        <w:t xml:space="preserve"> asset from cost in accordance with </w:t>
      </w:r>
      <w:r>
        <w:rPr>
          <w:strike/>
        </w:rPr>
        <w:t>paragraph 25</w:t>
      </w:r>
      <w:r>
        <w:t xml:space="preserve"> </w:t>
      </w:r>
      <w:r w:rsidRPr="00ED51CE">
        <w:rPr>
          <w:u w:val="single"/>
        </w:rPr>
        <w:t>AASB 16</w:t>
      </w:r>
      <w:r>
        <w:t xml:space="preserve"> to fair value in accordance with paragraph 33 </w:t>
      </w:r>
      <w:r>
        <w:rPr>
          <w:u w:val="single"/>
        </w:rPr>
        <w:t>(taking into account the requirements in paragraph 50)</w:t>
      </w:r>
      <w:r>
        <w:t xml:space="preserve"> should not give rise to any initial gain or loss, unless fair value is measured at different times. This could occur when an election to apply the fair value model is made after initial recognition.</w:t>
      </w:r>
    </w:p>
    <w:p w14:paraId="2F44482A" w14:textId="77777777" w:rsidR="000D15FB" w:rsidRDefault="000D15FB" w:rsidP="00ED51CE">
      <w:pPr>
        <w:pStyle w:val="IASBNormalnparaL1"/>
      </w:pPr>
      <w:r>
        <w:t>…</w:t>
      </w:r>
    </w:p>
    <w:p w14:paraId="69913F62" w14:textId="77777777" w:rsidR="000D15FB" w:rsidRDefault="000D15FB" w:rsidP="000D15FB">
      <w:pPr>
        <w:pStyle w:val="IASBNormalnpara"/>
      </w:pPr>
      <w:r>
        <w:t>50</w:t>
      </w:r>
      <w:r>
        <w:tab/>
        <w:t>In determining the carrying amount of investment property under the fair value model, an entity does not double-count assets or liabilities that are recognised as separate assets or liabilities. For example:</w:t>
      </w:r>
    </w:p>
    <w:p w14:paraId="0439816D" w14:textId="77777777" w:rsidR="000D15FB" w:rsidRDefault="000D15FB" w:rsidP="000D15FB">
      <w:pPr>
        <w:pStyle w:val="IASBNormalnparaL1"/>
      </w:pPr>
      <w:r>
        <w:t>(a)</w:t>
      </w:r>
      <w:r>
        <w:tab/>
        <w:t>…</w:t>
      </w:r>
    </w:p>
    <w:p w14:paraId="2D26D883" w14:textId="77777777" w:rsidR="000D15FB" w:rsidRDefault="000D15FB" w:rsidP="000D15FB">
      <w:pPr>
        <w:pStyle w:val="IASBNormalnparaL1"/>
      </w:pPr>
      <w:r>
        <w:t>(d)</w:t>
      </w:r>
      <w:r>
        <w:tab/>
        <w:t xml:space="preserve">the fair value of investment property held </w:t>
      </w:r>
      <w:r>
        <w:rPr>
          <w:u w:val="single"/>
        </w:rPr>
        <w:t>by a lessee as a right-of-use asset</w:t>
      </w:r>
      <w:r>
        <w:t xml:space="preserve"> </w:t>
      </w:r>
      <w:r>
        <w:rPr>
          <w:strike/>
        </w:rPr>
        <w:t>under a lease</w:t>
      </w:r>
      <w:r>
        <w:t xml:space="preserve"> reflects expected cash flows (including </w:t>
      </w:r>
      <w:r>
        <w:rPr>
          <w:strike/>
        </w:rPr>
        <w:t>contingent rent that is</w:t>
      </w:r>
      <w:r>
        <w:t xml:space="preserve"> </w:t>
      </w:r>
      <w:r>
        <w:rPr>
          <w:u w:val="single"/>
        </w:rPr>
        <w:t>variable lease payments that are</w:t>
      </w:r>
      <w:r>
        <w:t xml:space="preserve"> expected to become payable). Accordingly, if a valuation obtained for a property is net of all payments expected to be made, it will be necessary to add back any recognised lease liability, to arrive at the carrying amount of the investment property using the fair value model.</w:t>
      </w:r>
    </w:p>
    <w:p w14:paraId="464CEFFB" w14:textId="77777777" w:rsidR="000D15FB" w:rsidRDefault="000D15FB" w:rsidP="00ED51CE">
      <w:pPr>
        <w:pStyle w:val="IASBNormalnparaL1"/>
      </w:pPr>
      <w:r>
        <w:t>…</w:t>
      </w:r>
    </w:p>
    <w:p w14:paraId="109F5A96" w14:textId="77777777" w:rsidR="000D15FB" w:rsidRDefault="000D15FB" w:rsidP="000D15FB">
      <w:pPr>
        <w:pStyle w:val="IASBSectionTitle2Ind"/>
      </w:pPr>
      <w:r>
        <w:t>Inability to measure fair value reliably</w:t>
      </w:r>
    </w:p>
    <w:p w14:paraId="4C62DD45" w14:textId="77777777" w:rsidR="000D15FB" w:rsidRDefault="000D15FB" w:rsidP="000D15FB">
      <w:pPr>
        <w:pStyle w:val="IASBNormalnpara"/>
        <w:rPr>
          <w:b/>
        </w:rPr>
      </w:pPr>
      <w:r>
        <w:rPr>
          <w:b/>
        </w:rPr>
        <w:t>53</w:t>
      </w:r>
      <w:r>
        <w:rPr>
          <w:b/>
        </w:rPr>
        <w:tab/>
        <w:t xml:space="preserve">There is a rebuttable presumption that an entity can reliably measure the fair value of an investment property on a continuing basis. However, in exceptional cases, there is clear evidence when an entity first acquires an investment property (or when an existing property first becomes investment property after a change in use) that the fair value of the investment property is not reliably measurable on a continuing basis. This arises when, and only when, the market for comparable properties is inactive (eg there are few recent transactions, price quotations are not current or observed transaction prices indicate that the seller was forced to sell) and alternative reliable measurements of fair value (for example, based on discounted cash flow projections) are not available. If an entity determines that the fair value of an investment property under construction is not reliably measurable but expects the fair value of the property to be reliably measurable when construction is complete, it shall measure that investment property under construction at cost until either its fair value becomes reliably measurable or construction is completed (whichever is earlier). If an entity determines that the fair value of an investment property (other than an investment property under construction) is not reliably measurable on a continuing basis, the entity shall measure that investment property using the cost model in AASB 116 </w:t>
      </w:r>
      <w:r>
        <w:rPr>
          <w:b/>
          <w:u w:val="single"/>
        </w:rPr>
        <w:t>for owned investment property or in accordance with AASB 16 for investment property held by a lessee as a right-of-use asset</w:t>
      </w:r>
      <w:r>
        <w:rPr>
          <w:b/>
        </w:rPr>
        <w:t xml:space="preserve">. The residual value of the investment property shall be assumed to be zero. The entity shall </w:t>
      </w:r>
      <w:r>
        <w:rPr>
          <w:b/>
          <w:u w:val="single"/>
        </w:rPr>
        <w:t>continue to</w:t>
      </w:r>
      <w:r>
        <w:rPr>
          <w:b/>
        </w:rPr>
        <w:t xml:space="preserve"> apply AASB 116 </w:t>
      </w:r>
      <w:r>
        <w:rPr>
          <w:b/>
          <w:u w:val="single"/>
        </w:rPr>
        <w:t>or AASB 16</w:t>
      </w:r>
      <w:r>
        <w:rPr>
          <w:b/>
        </w:rPr>
        <w:t xml:space="preserve"> until disposal of the investment property.</w:t>
      </w:r>
    </w:p>
    <w:p w14:paraId="07CF836D" w14:textId="77777777" w:rsidR="000D15FB" w:rsidRDefault="000D15FB" w:rsidP="000D15FB">
      <w:pPr>
        <w:pStyle w:val="IASBNormalnpara"/>
      </w:pPr>
      <w:r>
        <w:t>53A</w:t>
      </w:r>
      <w:r>
        <w:tab/>
        <w:t xml:space="preserve">Once an entity becomes able to measure reliably the fair value of an investment property under construction that has previously been measured at cost, it shall measure that property at its fair value. Once construction of that property is complete, it is presumed that fair value can be measured reliably. If this is not the case, in accordance with paragraph 53, the property shall be accounted for using the cost model in accordance with AASB 116 </w:t>
      </w:r>
      <w:r>
        <w:rPr>
          <w:u w:val="single"/>
        </w:rPr>
        <w:t>for owned assets or AASB 16 for investment property held by a lessee as a right-of-use asset</w:t>
      </w:r>
      <w:r>
        <w:t>.</w:t>
      </w:r>
    </w:p>
    <w:p w14:paraId="3EF19A87" w14:textId="77777777" w:rsidR="000D15FB" w:rsidRDefault="000D15FB" w:rsidP="00ED51CE">
      <w:pPr>
        <w:pStyle w:val="IASBNormalnparaL1"/>
      </w:pPr>
      <w:r>
        <w:t>…</w:t>
      </w:r>
    </w:p>
    <w:p w14:paraId="55C21425" w14:textId="77777777" w:rsidR="000D15FB" w:rsidRDefault="000D15FB" w:rsidP="000D15FB">
      <w:pPr>
        <w:pStyle w:val="IASBNormalnpara"/>
      </w:pPr>
      <w:r>
        <w:t>54</w:t>
      </w:r>
      <w:r>
        <w:tab/>
        <w:t xml:space="preserve">In the exceptional cases when an entity is compelled, for the reason given in paragraph 53, to measure an investment property using the cost model in accordance with AASB 116 </w:t>
      </w:r>
      <w:r>
        <w:rPr>
          <w:u w:val="single"/>
        </w:rPr>
        <w:t>or AASB 16</w:t>
      </w:r>
      <w:r>
        <w:t>, it measures at fair value all its other investment property, including investment property under construction. In these cases, although an entity may use the cost model for one investment property, the entity shall continue to account for each of the remaining properties using the fair value model.</w:t>
      </w:r>
    </w:p>
    <w:p w14:paraId="118BA6E3" w14:textId="77777777" w:rsidR="000D15FB" w:rsidRPr="004C2ECD" w:rsidRDefault="000D15FB" w:rsidP="00ED51CE">
      <w:pPr>
        <w:pStyle w:val="IASBNormalnparaL1"/>
      </w:pPr>
      <w:r w:rsidRPr="004C2ECD">
        <w:t>…</w:t>
      </w:r>
    </w:p>
    <w:p w14:paraId="358E04F8" w14:textId="77777777" w:rsidR="000D15FB" w:rsidRDefault="000D15FB" w:rsidP="000D15FB">
      <w:pPr>
        <w:pStyle w:val="IASBSectionTitle2Ind"/>
      </w:pPr>
      <w:r>
        <w:t>Cost model</w:t>
      </w:r>
    </w:p>
    <w:p w14:paraId="246161E8" w14:textId="77777777" w:rsidR="000D15FB" w:rsidRDefault="000D15FB" w:rsidP="000D15FB">
      <w:pPr>
        <w:pStyle w:val="IASBNormalnpara"/>
        <w:rPr>
          <w:b/>
        </w:rPr>
      </w:pPr>
      <w:r>
        <w:rPr>
          <w:b/>
        </w:rPr>
        <w:t>56</w:t>
      </w:r>
      <w:r>
        <w:rPr>
          <w:b/>
        </w:rPr>
        <w:tab/>
      </w:r>
      <w:r>
        <w:rPr>
          <w:b/>
          <w:strike/>
        </w:rPr>
        <w:t xml:space="preserve">After initial recognition, an entity that chooses the cost model shall measure all of its investment properties in accordance with AASB 116’s requirements for that model, other than those that meet the criteria to be classified as held for sale (or are included in a disposal group that is classified as held for sale) in accordance with AASB 5 </w:t>
      </w:r>
      <w:r>
        <w:rPr>
          <w:b/>
          <w:i/>
          <w:strike/>
        </w:rPr>
        <w:t>Non-current Assets Held for Sale and Discontinued Operations</w:t>
      </w:r>
      <w:r>
        <w:rPr>
          <w:b/>
          <w:strike/>
        </w:rPr>
        <w:t xml:space="preserve">. </w:t>
      </w:r>
      <w:r>
        <w:rPr>
          <w:b/>
          <w:strike/>
        </w:rPr>
        <w:lastRenderedPageBreak/>
        <w:t>Investment properties that meet the criteria to be classified as held for sale (or are included in a disposal group that is classified as held for sale) shall be measured in accordance with AASB 5.</w:t>
      </w:r>
    </w:p>
    <w:p w14:paraId="46F5C385" w14:textId="77777777" w:rsidR="000D15FB" w:rsidRDefault="000D15FB" w:rsidP="000D15FB">
      <w:pPr>
        <w:pStyle w:val="IASBNormalnparaP"/>
        <w:rPr>
          <w:b/>
        </w:rPr>
      </w:pPr>
      <w:r>
        <w:rPr>
          <w:b/>
          <w:u w:val="single"/>
        </w:rPr>
        <w:t>After initial recognition, an entity that chooses the cost model shall measure investment property:</w:t>
      </w:r>
    </w:p>
    <w:p w14:paraId="5D5A8EAB" w14:textId="77777777" w:rsidR="000D15FB" w:rsidRDefault="000D15FB" w:rsidP="000D15FB">
      <w:pPr>
        <w:pStyle w:val="IASBNormalnparaL1"/>
        <w:rPr>
          <w:b/>
        </w:rPr>
      </w:pPr>
      <w:r w:rsidRPr="00494A6D">
        <w:rPr>
          <w:b/>
          <w:u w:val="single"/>
        </w:rPr>
        <w:t>(a)</w:t>
      </w:r>
      <w:r>
        <w:rPr>
          <w:b/>
        </w:rPr>
        <w:tab/>
      </w:r>
      <w:r>
        <w:rPr>
          <w:b/>
          <w:u w:val="single"/>
        </w:rPr>
        <w:t xml:space="preserve">in accordance with AASB 5 </w:t>
      </w:r>
      <w:r>
        <w:rPr>
          <w:b/>
          <w:i/>
          <w:u w:val="single"/>
        </w:rPr>
        <w:t>Non-current Assets Held for Sale and Discontinued Operations</w:t>
      </w:r>
      <w:r>
        <w:rPr>
          <w:b/>
          <w:u w:val="single"/>
        </w:rPr>
        <w:t xml:space="preserve"> if it meets the criteria to be classified as held for sale (or is included in a disposal group that is classified as held for sale);</w:t>
      </w:r>
    </w:p>
    <w:p w14:paraId="76202FA7" w14:textId="77777777" w:rsidR="000D15FB" w:rsidRDefault="000D15FB" w:rsidP="000D15FB">
      <w:pPr>
        <w:pStyle w:val="IASBNormalnparaL1"/>
        <w:rPr>
          <w:b/>
        </w:rPr>
      </w:pPr>
      <w:r w:rsidRPr="00494A6D">
        <w:rPr>
          <w:b/>
          <w:u w:val="single"/>
        </w:rPr>
        <w:t>(b)</w:t>
      </w:r>
      <w:r>
        <w:rPr>
          <w:b/>
        </w:rPr>
        <w:tab/>
      </w:r>
      <w:r>
        <w:rPr>
          <w:b/>
          <w:u w:val="single"/>
        </w:rPr>
        <w:t>in accordance with AASB 16 if it is held by a lessee as a right-of-use asset and is not held for sale in accordance with AASB 5; and</w:t>
      </w:r>
    </w:p>
    <w:p w14:paraId="4BD10B55" w14:textId="77777777" w:rsidR="000D15FB" w:rsidRDefault="000D15FB" w:rsidP="000D15FB">
      <w:pPr>
        <w:pStyle w:val="IASBNormalnparaL1"/>
        <w:rPr>
          <w:b/>
        </w:rPr>
      </w:pPr>
      <w:r w:rsidRPr="00494A6D">
        <w:rPr>
          <w:b/>
          <w:u w:val="single"/>
        </w:rPr>
        <w:t>(c)</w:t>
      </w:r>
      <w:r>
        <w:rPr>
          <w:b/>
        </w:rPr>
        <w:tab/>
      </w:r>
      <w:r>
        <w:rPr>
          <w:b/>
          <w:u w:val="single"/>
        </w:rPr>
        <w:t>in accordance with the requirements in AASB 116 for the cost model in all other cases.</w:t>
      </w:r>
    </w:p>
    <w:p w14:paraId="2DACAAD9" w14:textId="77777777" w:rsidR="000D15FB" w:rsidRDefault="000D15FB" w:rsidP="000D15FB">
      <w:pPr>
        <w:pStyle w:val="IASBSectionTitle1Ind"/>
      </w:pPr>
      <w:r>
        <w:t>Transfers</w:t>
      </w:r>
    </w:p>
    <w:p w14:paraId="5423210B" w14:textId="77777777" w:rsidR="000D15FB" w:rsidRPr="004C2ECD" w:rsidRDefault="000D15FB" w:rsidP="00ED51CE">
      <w:pPr>
        <w:pStyle w:val="IASBNormalnparaL1"/>
      </w:pPr>
      <w:r w:rsidRPr="004C2ECD">
        <w:t>…</w:t>
      </w:r>
    </w:p>
    <w:p w14:paraId="62B79782" w14:textId="77777777" w:rsidR="000D15FB" w:rsidRDefault="000D15FB" w:rsidP="000D15FB">
      <w:pPr>
        <w:pStyle w:val="IASBNormalnpara"/>
        <w:rPr>
          <w:b/>
        </w:rPr>
      </w:pPr>
      <w:r>
        <w:rPr>
          <w:b/>
        </w:rPr>
        <w:t>60</w:t>
      </w:r>
      <w:r>
        <w:rPr>
          <w:b/>
        </w:rPr>
        <w:tab/>
        <w:t>For a transfer from investment property carried at fair value to owner-occupied property or inventories, the property’s deemed cost for subsequent accounting in accordance with AASB 116</w:t>
      </w:r>
      <w:r>
        <w:rPr>
          <w:b/>
          <w:u w:val="single"/>
        </w:rPr>
        <w:t>, AASB 16</w:t>
      </w:r>
      <w:r>
        <w:rPr>
          <w:b/>
        </w:rPr>
        <w:t xml:space="preserve"> or AASB 102 shall be its fair value at the date of change in use.</w:t>
      </w:r>
    </w:p>
    <w:p w14:paraId="383C4160" w14:textId="77777777" w:rsidR="000D15FB" w:rsidRDefault="000D15FB" w:rsidP="000D15FB">
      <w:pPr>
        <w:pStyle w:val="IASBNormalnpara"/>
        <w:rPr>
          <w:b/>
        </w:rPr>
      </w:pPr>
      <w:r>
        <w:rPr>
          <w:b/>
        </w:rPr>
        <w:t>61</w:t>
      </w:r>
      <w:r>
        <w:rPr>
          <w:b/>
        </w:rPr>
        <w:tab/>
        <w:t xml:space="preserve">If an owner-occupied property becomes an investment property that will be carried at fair value, an entity shall apply AASB 116 </w:t>
      </w:r>
      <w:r>
        <w:rPr>
          <w:b/>
          <w:u w:val="single"/>
        </w:rPr>
        <w:t>for owned property and AASB 16 for property held by a lessee as a right-of-use asset</w:t>
      </w:r>
      <w:r>
        <w:rPr>
          <w:b/>
        </w:rPr>
        <w:t xml:space="preserve"> up to the date of change in use. The entity shall treat any difference at that date between the carrying amount of the property in accordance with AASB 116 </w:t>
      </w:r>
      <w:r>
        <w:rPr>
          <w:b/>
          <w:u w:val="single"/>
        </w:rPr>
        <w:t>or AASB 16</w:t>
      </w:r>
      <w:r>
        <w:rPr>
          <w:b/>
        </w:rPr>
        <w:t xml:space="preserve"> and its fair value in the same way as a revaluation in accordance with AASB 116.</w:t>
      </w:r>
    </w:p>
    <w:p w14:paraId="7AA4CFF8" w14:textId="77777777" w:rsidR="000D15FB" w:rsidRDefault="000D15FB" w:rsidP="000D15FB">
      <w:pPr>
        <w:pStyle w:val="IASBNormalnpara"/>
      </w:pPr>
      <w:r>
        <w:t>62</w:t>
      </w:r>
      <w:r>
        <w:tab/>
        <w:t xml:space="preserve">Up to the date when an owner-occupied property becomes an investment property carried at fair value, an entity depreciates the property </w:t>
      </w:r>
      <w:r>
        <w:rPr>
          <w:u w:val="single"/>
        </w:rPr>
        <w:t>(or the right-of-use asset)</w:t>
      </w:r>
      <w:r>
        <w:t xml:space="preserve"> and recognises any impairment losses that have occurred. The entity treats any difference at that date between the carrying amount of the property in accordance with AASB 116 </w:t>
      </w:r>
      <w:r>
        <w:rPr>
          <w:u w:val="single"/>
        </w:rPr>
        <w:t>or AASB 16</w:t>
      </w:r>
      <w:r>
        <w:t xml:space="preserve"> and its fair value in the same way as a revaluation in accordance with AASB 116. In other words:</w:t>
      </w:r>
    </w:p>
    <w:p w14:paraId="1FCB63F8" w14:textId="77777777" w:rsidR="000D15FB" w:rsidRDefault="00EE618A" w:rsidP="000D15FB">
      <w:pPr>
        <w:pStyle w:val="IASBNormalnparaL1"/>
      </w:pPr>
      <w:r>
        <w:t>(a)</w:t>
      </w:r>
      <w:r>
        <w:tab/>
      </w:r>
      <w:r w:rsidR="000D15FB">
        <w:t>…</w:t>
      </w:r>
    </w:p>
    <w:p w14:paraId="58C6D2C5" w14:textId="77777777" w:rsidR="000D15FB" w:rsidRDefault="000D15FB" w:rsidP="000D15FB">
      <w:pPr>
        <w:pStyle w:val="IASBSectionTitle1NonInd"/>
      </w:pPr>
      <w:r>
        <w:t>Disposals</w:t>
      </w:r>
    </w:p>
    <w:p w14:paraId="5E90B9D0" w14:textId="77777777" w:rsidR="000D15FB" w:rsidRPr="004C2ECD" w:rsidRDefault="000D15FB" w:rsidP="00ED51CE">
      <w:pPr>
        <w:pStyle w:val="IASBNormalnparaL1"/>
      </w:pPr>
      <w:r w:rsidRPr="004C2ECD">
        <w:t>…</w:t>
      </w:r>
    </w:p>
    <w:p w14:paraId="71355021" w14:textId="77777777" w:rsidR="000D15FB" w:rsidRDefault="000D15FB" w:rsidP="000D15FB">
      <w:pPr>
        <w:pStyle w:val="IASBNormalnpara"/>
      </w:pPr>
      <w:r>
        <w:t>67</w:t>
      </w:r>
      <w:r>
        <w:tab/>
        <w:t xml:space="preserve">The disposal of an investment property may be achieved by sale or by entering into a finance lease. The date of disposal for investment property </w:t>
      </w:r>
      <w:r>
        <w:rPr>
          <w:u w:val="single"/>
        </w:rPr>
        <w:t>that is sold</w:t>
      </w:r>
      <w:r>
        <w:t xml:space="preserve"> is the date the recipient obtains control of the investment property in accordance with the requirements for determining when a performance obligation is satisfied in AASB 15. </w:t>
      </w:r>
      <w:r w:rsidRPr="00ED51CE">
        <w:rPr>
          <w:strike/>
        </w:rPr>
        <w:t>AASB 117</w:t>
      </w:r>
      <w:r>
        <w:t xml:space="preserve"> </w:t>
      </w:r>
      <w:r w:rsidRPr="00ED51CE">
        <w:rPr>
          <w:u w:val="single"/>
        </w:rPr>
        <w:t>AASB 16</w:t>
      </w:r>
      <w:r>
        <w:t xml:space="preserve"> applies to a disposal effected by entering into a finance lease and to a sale and leaseback.</w:t>
      </w:r>
    </w:p>
    <w:p w14:paraId="254FED96" w14:textId="77777777" w:rsidR="000D15FB" w:rsidRDefault="000D15FB" w:rsidP="00ED51CE">
      <w:pPr>
        <w:pStyle w:val="IASBNormalnparaL1"/>
      </w:pPr>
      <w:r>
        <w:t>…</w:t>
      </w:r>
    </w:p>
    <w:p w14:paraId="065A670B" w14:textId="77777777" w:rsidR="00383A44" w:rsidRDefault="00383A44" w:rsidP="00383A44">
      <w:pPr>
        <w:pStyle w:val="IASBNormalnpara"/>
        <w:rPr>
          <w:b/>
        </w:rPr>
      </w:pPr>
      <w:r>
        <w:rPr>
          <w:b/>
        </w:rPr>
        <w:t>69</w:t>
      </w:r>
      <w:r>
        <w:rPr>
          <w:b/>
        </w:rPr>
        <w:tab/>
        <w:t xml:space="preserve">Gains or losses arising from the retirement or disposal of investment property shall be determined as the difference between the net disposal proceeds and the carrying amount of the asset and shall be recognised in profit or loss (unless </w:t>
      </w:r>
      <w:r>
        <w:rPr>
          <w:b/>
          <w:strike/>
        </w:rPr>
        <w:t>AASB 117</w:t>
      </w:r>
      <w:r>
        <w:rPr>
          <w:b/>
        </w:rPr>
        <w:t xml:space="preserve"> </w:t>
      </w:r>
      <w:r>
        <w:rPr>
          <w:b/>
          <w:u w:val="single"/>
        </w:rPr>
        <w:t>AASB 16</w:t>
      </w:r>
      <w:r>
        <w:rPr>
          <w:b/>
        </w:rPr>
        <w:t xml:space="preserve"> requires otherwise on a sale and leaseback) in the period of the retirement or disposal.</w:t>
      </w:r>
    </w:p>
    <w:p w14:paraId="552FB26A" w14:textId="77777777" w:rsidR="00383A44" w:rsidRPr="00ED51CE" w:rsidRDefault="00383A44" w:rsidP="00ED51CE">
      <w:pPr>
        <w:pStyle w:val="IASBNormalnparaL1"/>
      </w:pPr>
      <w:r>
        <w:t>…</w:t>
      </w:r>
    </w:p>
    <w:p w14:paraId="21DC66CC" w14:textId="77777777" w:rsidR="000D15FB" w:rsidRDefault="000D15FB" w:rsidP="000D15FB">
      <w:pPr>
        <w:pStyle w:val="IASBSectionTitle1NonInd"/>
      </w:pPr>
      <w:r>
        <w:t>Disclosure</w:t>
      </w:r>
    </w:p>
    <w:p w14:paraId="1F60753B" w14:textId="77777777" w:rsidR="000D15FB" w:rsidRDefault="000D15FB" w:rsidP="000D15FB">
      <w:pPr>
        <w:pStyle w:val="IASBSectionTitle2Ind"/>
      </w:pPr>
      <w:r>
        <w:t>Fair value model and cost model</w:t>
      </w:r>
    </w:p>
    <w:p w14:paraId="527E1919" w14:textId="77777777" w:rsidR="000D15FB" w:rsidRDefault="000D15FB" w:rsidP="000D15FB">
      <w:pPr>
        <w:pStyle w:val="IASBNormalnpara"/>
      </w:pPr>
      <w:r>
        <w:t>74</w:t>
      </w:r>
      <w:r>
        <w:tab/>
        <w:t xml:space="preserve">The disclosures below apply in addition to those in </w:t>
      </w:r>
      <w:r w:rsidRPr="00ED51CE">
        <w:rPr>
          <w:strike/>
        </w:rPr>
        <w:t>AASB 117</w:t>
      </w:r>
      <w:r>
        <w:t xml:space="preserve"> </w:t>
      </w:r>
      <w:r w:rsidRPr="00ED51CE">
        <w:rPr>
          <w:u w:val="single"/>
        </w:rPr>
        <w:t>AASB 16</w:t>
      </w:r>
      <w:r>
        <w:t xml:space="preserve">. In accordance with </w:t>
      </w:r>
      <w:r w:rsidRPr="00ED51CE">
        <w:rPr>
          <w:strike/>
        </w:rPr>
        <w:t>AASB 117</w:t>
      </w:r>
      <w:r>
        <w:t xml:space="preserve"> </w:t>
      </w:r>
      <w:r w:rsidRPr="00ED51CE">
        <w:rPr>
          <w:u w:val="single"/>
        </w:rPr>
        <w:t>AASB 16</w:t>
      </w:r>
      <w:r>
        <w:t xml:space="preserve">, the owner of an investment property provides lessors’ disclosures about leases into which it has entered. </w:t>
      </w:r>
      <w:r>
        <w:rPr>
          <w:strike/>
        </w:rPr>
        <w:t>An entity</w:t>
      </w:r>
      <w:r>
        <w:t xml:space="preserve"> </w:t>
      </w:r>
      <w:r>
        <w:rPr>
          <w:u w:val="single"/>
        </w:rPr>
        <w:t>A lessee</w:t>
      </w:r>
      <w:r>
        <w:t xml:space="preserve"> that holds an investment property </w:t>
      </w:r>
      <w:r>
        <w:rPr>
          <w:u w:val="single"/>
        </w:rPr>
        <w:t>as a right-of-use asset</w:t>
      </w:r>
      <w:r>
        <w:t xml:space="preserve"> </w:t>
      </w:r>
      <w:r>
        <w:rPr>
          <w:strike/>
        </w:rPr>
        <w:t>under a finance or operating lease</w:t>
      </w:r>
      <w:r>
        <w:t xml:space="preserve"> provides lessees’ disclosures </w:t>
      </w:r>
      <w:r>
        <w:rPr>
          <w:u w:val="single"/>
        </w:rPr>
        <w:t>as required by AASB 16</w:t>
      </w:r>
      <w:r>
        <w:t xml:space="preserve"> </w:t>
      </w:r>
      <w:r>
        <w:rPr>
          <w:strike/>
        </w:rPr>
        <w:t>for finance leases</w:t>
      </w:r>
      <w:r>
        <w:t xml:space="preserve"> and lessors’ disclosures </w:t>
      </w:r>
      <w:r>
        <w:rPr>
          <w:u w:val="single"/>
        </w:rPr>
        <w:t>as required by AASB 16</w:t>
      </w:r>
      <w:r>
        <w:t xml:space="preserve"> for any operating leases into which it has entered.</w:t>
      </w:r>
    </w:p>
    <w:p w14:paraId="4A95A48E" w14:textId="77777777" w:rsidR="000D15FB" w:rsidRDefault="000D15FB" w:rsidP="00CE72F9">
      <w:pPr>
        <w:pStyle w:val="IASBNormalnpara"/>
        <w:keepNext/>
        <w:rPr>
          <w:b/>
        </w:rPr>
      </w:pPr>
      <w:r>
        <w:rPr>
          <w:b/>
        </w:rPr>
        <w:lastRenderedPageBreak/>
        <w:t>75</w:t>
      </w:r>
      <w:r>
        <w:rPr>
          <w:b/>
        </w:rPr>
        <w:tab/>
        <w:t>An entity shall disclose:</w:t>
      </w:r>
    </w:p>
    <w:p w14:paraId="69D6B892" w14:textId="77777777" w:rsidR="000D15FB" w:rsidRDefault="000D15FB" w:rsidP="000D15FB">
      <w:pPr>
        <w:pStyle w:val="IASBNormalnparaL1"/>
        <w:rPr>
          <w:b/>
        </w:rPr>
      </w:pPr>
      <w:r>
        <w:rPr>
          <w:b/>
        </w:rPr>
        <w:t>(a)</w:t>
      </w:r>
      <w:r>
        <w:rPr>
          <w:b/>
        </w:rPr>
        <w:tab/>
        <w:t>…</w:t>
      </w:r>
    </w:p>
    <w:p w14:paraId="6D73A2D6" w14:textId="77777777" w:rsidR="000D15FB" w:rsidRDefault="000D15FB" w:rsidP="000D15FB">
      <w:pPr>
        <w:pStyle w:val="IASBNormalnparaL1"/>
      </w:pPr>
      <w:r>
        <w:rPr>
          <w:b/>
        </w:rPr>
        <w:t>(b)</w:t>
      </w:r>
      <w:r>
        <w:tab/>
      </w:r>
      <w:r>
        <w:rPr>
          <w:u w:val="single"/>
        </w:rPr>
        <w:t>[deleted]</w:t>
      </w:r>
      <w:r>
        <w:t xml:space="preserve"> </w:t>
      </w:r>
      <w:r>
        <w:rPr>
          <w:b/>
          <w:strike/>
        </w:rPr>
        <w:t>if it applies the fair value model, whether, and in what circumstances, property interests held under operating leases are classified and accounted for as investment property.</w:t>
      </w:r>
    </w:p>
    <w:p w14:paraId="083AD7DE" w14:textId="77777777" w:rsidR="000D15FB" w:rsidRPr="00CD550C" w:rsidRDefault="00AC565B" w:rsidP="00CD550C">
      <w:pPr>
        <w:pStyle w:val="IASBNormalnparaL1"/>
        <w:rPr>
          <w:b/>
        </w:rPr>
      </w:pPr>
      <w:r w:rsidRPr="00ED51CE">
        <w:rPr>
          <w:b/>
        </w:rPr>
        <w:t>(c)</w:t>
      </w:r>
      <w:r w:rsidRPr="00ED51CE">
        <w:rPr>
          <w:b/>
        </w:rPr>
        <w:tab/>
      </w:r>
      <w:r w:rsidR="000D15FB" w:rsidRPr="00CD550C">
        <w:rPr>
          <w:b/>
        </w:rPr>
        <w:t>…</w:t>
      </w:r>
    </w:p>
    <w:p w14:paraId="54781752" w14:textId="77777777" w:rsidR="000D15FB" w:rsidRDefault="000D15FB" w:rsidP="000D15FB">
      <w:pPr>
        <w:pStyle w:val="IASBSectionTitle2Ind"/>
      </w:pPr>
      <w:r>
        <w:t>Fair value model</w:t>
      </w:r>
    </w:p>
    <w:p w14:paraId="1E237D0F" w14:textId="77777777" w:rsidR="000D15FB" w:rsidRDefault="000D15FB" w:rsidP="00ED51CE">
      <w:pPr>
        <w:pStyle w:val="IASBNormalL1P"/>
      </w:pPr>
      <w:r>
        <w:t>…</w:t>
      </w:r>
    </w:p>
    <w:p w14:paraId="52815AE0" w14:textId="77777777" w:rsidR="000D15FB" w:rsidRDefault="000D15FB" w:rsidP="000D15FB">
      <w:pPr>
        <w:pStyle w:val="IASBNormalnpara"/>
        <w:rPr>
          <w:b/>
        </w:rPr>
      </w:pPr>
      <w:r>
        <w:rPr>
          <w:b/>
        </w:rPr>
        <w:t>77</w:t>
      </w:r>
      <w:r>
        <w:rPr>
          <w:b/>
        </w:rPr>
        <w:tab/>
        <w:t xml:space="preserve">When a valuation obtained for investment property is adjusted significantly for the purpose of the financial statements, for example to avoid double-counting of assets or liabilities that are recognised as separate assets and liabilities as described in paragraph 50, the entity shall disclose a reconciliation between the valuation obtained and the adjusted valuation included in the financial statements, showing separately the aggregate amount of any recognised lease </w:t>
      </w:r>
      <w:r>
        <w:rPr>
          <w:b/>
          <w:strike/>
        </w:rPr>
        <w:t>obligations</w:t>
      </w:r>
      <w:r>
        <w:rPr>
          <w:b/>
        </w:rPr>
        <w:t xml:space="preserve"> </w:t>
      </w:r>
      <w:r>
        <w:rPr>
          <w:b/>
          <w:u w:val="single"/>
        </w:rPr>
        <w:t>liabilities</w:t>
      </w:r>
      <w:r>
        <w:rPr>
          <w:b/>
        </w:rPr>
        <w:t xml:space="preserve"> that have been added back, and any other significant adjustments.</w:t>
      </w:r>
    </w:p>
    <w:p w14:paraId="47882694" w14:textId="77777777" w:rsidR="000D15FB" w:rsidRDefault="000D15FB" w:rsidP="000D15FB">
      <w:pPr>
        <w:pStyle w:val="IASBNormalnpara"/>
        <w:rPr>
          <w:b/>
        </w:rPr>
      </w:pPr>
      <w:r>
        <w:rPr>
          <w:b/>
        </w:rPr>
        <w:t>78</w:t>
      </w:r>
      <w:r>
        <w:rPr>
          <w:b/>
        </w:rPr>
        <w:tab/>
        <w:t xml:space="preserve">In the exceptional cases referred to in paragraph 53, when an entity measures investment property using the cost model in AASB 116 </w:t>
      </w:r>
      <w:r>
        <w:rPr>
          <w:b/>
          <w:u w:val="single"/>
        </w:rPr>
        <w:t>or in accordance with AASB 16</w:t>
      </w:r>
      <w:r>
        <w:rPr>
          <w:b/>
        </w:rPr>
        <w:t>, the reconciliation required by paragraph 76 shall disclose amounts relating to that investment property separately from amounts relating to other investment property. In addition, an entity shall disclose:</w:t>
      </w:r>
    </w:p>
    <w:p w14:paraId="4D3CE87C" w14:textId="77777777" w:rsidR="000D15FB" w:rsidRDefault="000D15FB" w:rsidP="000D15FB">
      <w:pPr>
        <w:pStyle w:val="IASBNormalnparaL1"/>
        <w:rPr>
          <w:b/>
        </w:rPr>
      </w:pPr>
      <w:r>
        <w:rPr>
          <w:b/>
        </w:rPr>
        <w:t>(a)</w:t>
      </w:r>
      <w:r>
        <w:rPr>
          <w:b/>
        </w:rPr>
        <w:tab/>
        <w:t>…</w:t>
      </w:r>
    </w:p>
    <w:p w14:paraId="34AFCC64" w14:textId="77777777" w:rsidR="000D15FB" w:rsidRDefault="000D15FB" w:rsidP="000D15FB">
      <w:pPr>
        <w:pStyle w:val="IASBSectionTitle2Ind"/>
      </w:pPr>
      <w:r>
        <w:rPr>
          <w:u w:val="single"/>
        </w:rPr>
        <w:t>AASB 16</w:t>
      </w:r>
    </w:p>
    <w:p w14:paraId="5740EF05" w14:textId="77777777" w:rsidR="000D15FB" w:rsidRDefault="000D15FB" w:rsidP="000D15FB">
      <w:pPr>
        <w:pStyle w:val="IASBNormalnpara"/>
        <w:rPr>
          <w:b/>
        </w:rPr>
      </w:pPr>
      <w:r>
        <w:rPr>
          <w:b/>
          <w:u w:val="single"/>
        </w:rPr>
        <w:t>84B</w:t>
      </w:r>
      <w:r w:rsidRPr="00372F63">
        <w:rPr>
          <w:b/>
        </w:rPr>
        <w:tab/>
      </w:r>
      <w:r>
        <w:rPr>
          <w:b/>
          <w:u w:val="single"/>
        </w:rPr>
        <w:t>An entity applying AASB 16, and its related amendments to this Standard, for the first time shall apply the transition requirements in Appendix C of AASB 16 to its investment property held as a right-of-use asset.</w:t>
      </w:r>
    </w:p>
    <w:p w14:paraId="711E72B9" w14:textId="77777777" w:rsidR="000D15FB" w:rsidRDefault="000D15FB" w:rsidP="000D15FB">
      <w:pPr>
        <w:pStyle w:val="IASBSectionTitle1NonInd"/>
      </w:pPr>
      <w:r>
        <w:t>Effective date</w:t>
      </w:r>
    </w:p>
    <w:p w14:paraId="3824103A" w14:textId="77777777" w:rsidR="000D15FB" w:rsidRDefault="000D15FB" w:rsidP="00ED51CE">
      <w:pPr>
        <w:pStyle w:val="IASBNormalnparaL1"/>
      </w:pPr>
      <w:r>
        <w:t>…</w:t>
      </w:r>
    </w:p>
    <w:p w14:paraId="5A8F65FF" w14:textId="77777777" w:rsidR="000D15FB" w:rsidRDefault="000D15FB" w:rsidP="000D15FB">
      <w:pPr>
        <w:pStyle w:val="IASBNormalnpara"/>
      </w:pPr>
      <w:r>
        <w:rPr>
          <w:u w:val="single"/>
        </w:rPr>
        <w:t>85F</w:t>
      </w:r>
      <w:r w:rsidRPr="00372F63">
        <w:tab/>
      </w:r>
      <w:r>
        <w:rPr>
          <w:u w:val="single"/>
        </w:rPr>
        <w:t xml:space="preserve">AASB 16, issued in </w:t>
      </w:r>
      <w:r w:rsidR="00757948">
        <w:rPr>
          <w:u w:val="single"/>
        </w:rPr>
        <w:t>February 2016</w:t>
      </w:r>
      <w:r>
        <w:rPr>
          <w:u w:val="single"/>
        </w:rPr>
        <w:t>, amended the scope of AASB 140 by defining investment property to include both owned investment property and property held by a lessee as a right-of-use asset. AASB 16 amended paragraphs 5, 7, 8, 9, 16, 20, 30, 41, 50, 53, 53A, 54, 56, 60, 61, 62, 67, 69, 74, 75, 77 and 78, added paragraphs 19A, 29A, 40A and 84B and its related heading and deleted paragraphs 3, 6, 25, 26 and 34. An entity shall apply those amendments when it applies AASB 16.</w:t>
      </w:r>
    </w:p>
    <w:p w14:paraId="680D2AA2" w14:textId="77777777" w:rsidR="00FD4BA8" w:rsidRPr="002E4B51" w:rsidRDefault="00E27198">
      <w:pPr>
        <w:pStyle w:val="IASBSectionTitle1NonInd"/>
        <w:pBdr>
          <w:bottom w:val="none" w:sz="0" w:space="0" w:color="auto"/>
        </w:pBdr>
      </w:pPr>
      <w:r>
        <w:t>AASB 141</w:t>
      </w:r>
      <w:r w:rsidR="009A1D2F">
        <w:t xml:space="preserve"> </w:t>
      </w:r>
      <w:r w:rsidR="009A1D2F">
        <w:rPr>
          <w:i/>
        </w:rPr>
        <w:t>Agriculture</w:t>
      </w:r>
      <w:r w:rsidR="002E4B51">
        <w:t xml:space="preserve"> (August 2015)</w:t>
      </w:r>
    </w:p>
    <w:p w14:paraId="5C296829"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2"/>
        <w:tblDescription w:val="Amendments to AASB 141"/>
      </w:tblPr>
      <w:tblGrid>
        <w:gridCol w:w="9208"/>
      </w:tblGrid>
      <w:tr w:rsidR="00FD4BA8" w14:paraId="4952E8DD"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B8DC888" w14:textId="77777777" w:rsidR="00FD4BA8" w:rsidRDefault="009A1D2F">
            <w:pPr>
              <w:pStyle w:val="IASBTableArial"/>
            </w:pPr>
            <w:r>
              <w:t>Paragraph 2 is amended and paragraph 64 is added.</w:t>
            </w:r>
          </w:p>
        </w:tc>
      </w:tr>
    </w:tbl>
    <w:p w14:paraId="2F508224" w14:textId="77777777" w:rsidR="00FD4BA8" w:rsidRDefault="009A1D2F">
      <w:pPr>
        <w:pStyle w:val="IASBSectionTitle1NonInd"/>
      </w:pPr>
      <w:r>
        <w:t>Scope</w:t>
      </w:r>
    </w:p>
    <w:p w14:paraId="3E9D630A" w14:textId="77777777" w:rsidR="00FD4BA8" w:rsidRDefault="009A1D2F">
      <w:pPr>
        <w:pStyle w:val="IASBNormalnpara"/>
      </w:pPr>
      <w:r>
        <w:tab/>
        <w:t>...</w:t>
      </w:r>
    </w:p>
    <w:p w14:paraId="36ED46CF" w14:textId="77777777" w:rsidR="00FD4BA8" w:rsidRDefault="009A1D2F">
      <w:pPr>
        <w:pStyle w:val="IASBNormalnpara"/>
      </w:pPr>
      <w:r>
        <w:t>2</w:t>
      </w:r>
      <w:r>
        <w:tab/>
        <w:t>This Standard does not apply to:</w:t>
      </w:r>
    </w:p>
    <w:p w14:paraId="47C23450" w14:textId="77777777" w:rsidR="00FD4BA8" w:rsidRDefault="009A1D2F">
      <w:pPr>
        <w:pStyle w:val="IASBNormalnparaL1"/>
      </w:pPr>
      <w:r>
        <w:t>(a)</w:t>
      </w:r>
      <w:r>
        <w:tab/>
        <w:t>...</w:t>
      </w:r>
    </w:p>
    <w:p w14:paraId="005DB4FD" w14:textId="77777777" w:rsidR="00FD4BA8" w:rsidRDefault="009A1D2F">
      <w:pPr>
        <w:pStyle w:val="IASBNormalnparaL1"/>
      </w:pPr>
      <w:r w:rsidRPr="00FF2113">
        <w:rPr>
          <w:u w:val="single"/>
        </w:rPr>
        <w:t>(e)</w:t>
      </w:r>
      <w:r>
        <w:tab/>
      </w:r>
      <w:r>
        <w:rPr>
          <w:u w:val="single"/>
        </w:rPr>
        <w:t>right-of-use assets arising from a lease of land related to agricultural activity (see</w:t>
      </w:r>
      <w:r w:rsidR="00E27198">
        <w:rPr>
          <w:u w:val="single"/>
        </w:rPr>
        <w:t xml:space="preserve"> AASB 16</w:t>
      </w:r>
      <w:r>
        <w:rPr>
          <w:u w:val="single"/>
        </w:rPr>
        <w:t xml:space="preserve"> </w:t>
      </w:r>
      <w:r>
        <w:rPr>
          <w:i/>
          <w:u w:val="single"/>
        </w:rPr>
        <w:t>Leases</w:t>
      </w:r>
      <w:r>
        <w:rPr>
          <w:u w:val="single"/>
        </w:rPr>
        <w:t>).</w:t>
      </w:r>
    </w:p>
    <w:p w14:paraId="25F4EBCF" w14:textId="77777777" w:rsidR="00FD4BA8" w:rsidRDefault="009A1D2F">
      <w:pPr>
        <w:pStyle w:val="IASBNormalnparaP"/>
      </w:pPr>
      <w:r>
        <w:t>...</w:t>
      </w:r>
    </w:p>
    <w:p w14:paraId="400729E2" w14:textId="77777777" w:rsidR="00FD4BA8" w:rsidRDefault="009A1D2F">
      <w:pPr>
        <w:pStyle w:val="IASBSectionTitle1NonInd"/>
      </w:pPr>
      <w:r>
        <w:lastRenderedPageBreak/>
        <w:t>Effective date and transition</w:t>
      </w:r>
    </w:p>
    <w:p w14:paraId="6DDEA87A" w14:textId="77777777" w:rsidR="00FD4BA8" w:rsidRDefault="009A1D2F">
      <w:pPr>
        <w:pStyle w:val="IASBNormalnpara"/>
      </w:pPr>
      <w:r>
        <w:tab/>
        <w:t>...</w:t>
      </w:r>
    </w:p>
    <w:p w14:paraId="11F2474F" w14:textId="77777777" w:rsidR="00FD4BA8" w:rsidRDefault="009A1D2F">
      <w:pPr>
        <w:pStyle w:val="IASBNormalnpara"/>
      </w:pPr>
      <w:r>
        <w:rPr>
          <w:u w:val="single"/>
        </w:rPr>
        <w:t>64</w:t>
      </w:r>
      <w:r w:rsidRPr="00C16802">
        <w:tab/>
      </w:r>
      <w:r w:rsidR="00E27198">
        <w:rPr>
          <w:u w:val="single"/>
        </w:rPr>
        <w:t>AASB 16</w:t>
      </w:r>
      <w:r>
        <w:rPr>
          <w:u w:val="single"/>
        </w:rPr>
        <w:t xml:space="preserve">, issued in </w:t>
      </w:r>
      <w:r w:rsidR="00757948">
        <w:rPr>
          <w:u w:val="single"/>
        </w:rPr>
        <w:t>February 2016</w:t>
      </w:r>
      <w:r>
        <w:rPr>
          <w:u w:val="single"/>
        </w:rPr>
        <w:t>, amended paragraph 2. An entity shall apply that amendment when it applies</w:t>
      </w:r>
      <w:r w:rsidR="00E27198">
        <w:rPr>
          <w:u w:val="single"/>
        </w:rPr>
        <w:t xml:space="preserve"> AASB 16</w:t>
      </w:r>
      <w:r>
        <w:rPr>
          <w:u w:val="single"/>
        </w:rPr>
        <w:t>.</w:t>
      </w:r>
    </w:p>
    <w:p w14:paraId="16A66643" w14:textId="77777777" w:rsidR="00CA198A" w:rsidRPr="00ED51CE" w:rsidRDefault="00CA198A">
      <w:pPr>
        <w:pStyle w:val="IASBSectionTitle1NonInd"/>
        <w:pBdr>
          <w:bottom w:val="none" w:sz="0" w:space="0" w:color="auto"/>
        </w:pBdr>
      </w:pPr>
      <w:r>
        <w:t xml:space="preserve">AASB 1023 </w:t>
      </w:r>
      <w:r>
        <w:rPr>
          <w:i/>
        </w:rPr>
        <w:t>General Insurance Contracts</w:t>
      </w:r>
      <w:r w:rsidR="002E4B51">
        <w:t xml:space="preserve"> (July 2004)</w:t>
      </w:r>
    </w:p>
    <w:p w14:paraId="08ADD389" w14:textId="77777777" w:rsidR="000B1AF6" w:rsidRDefault="000B1AF6" w:rsidP="00ED51CE">
      <w:pPr>
        <w:pStyle w:val="IASBNormalnpara"/>
      </w:pPr>
    </w:p>
    <w:tbl>
      <w:tblPr>
        <w:tblStyle w:val="TableGrid"/>
        <w:tblW w:w="0" w:type="auto"/>
        <w:tblBorders>
          <w:top w:val="single" w:sz="4" w:space="0" w:color="auto"/>
          <w:left w:val="single" w:sz="4" w:space="0" w:color="auto"/>
          <w:bottom w:val="single" w:sz="4" w:space="0" w:color="auto"/>
          <w:right w:val="single" w:sz="4" w:space="0" w:color="auto"/>
        </w:tblBorders>
        <w:tblCellMar>
          <w:bottom w:w="85" w:type="dxa"/>
        </w:tblCellMar>
        <w:tblLook w:val="04A0" w:firstRow="1" w:lastRow="0" w:firstColumn="1" w:lastColumn="0" w:noHBand="0" w:noVBand="1"/>
        <w:tblCaption w:val="AASB 16 Aus Table 3"/>
        <w:tblDescription w:val="Amendments to AASB 1023"/>
      </w:tblPr>
      <w:tblGrid>
        <w:gridCol w:w="9017"/>
      </w:tblGrid>
      <w:tr w:rsidR="00CA198A" w14:paraId="7A067BB5" w14:textId="77777777" w:rsidTr="00AE22E6">
        <w:trPr>
          <w:tblHeader/>
        </w:trPr>
        <w:tc>
          <w:tcPr>
            <w:tcW w:w="9017" w:type="dxa"/>
          </w:tcPr>
          <w:p w14:paraId="0F98F548" w14:textId="77777777" w:rsidR="00CA198A" w:rsidRPr="00A12F71" w:rsidRDefault="00A407EE" w:rsidP="00ED51CE">
            <w:pPr>
              <w:pStyle w:val="IASBTableArial"/>
            </w:pPr>
            <w:r>
              <w:t>Paragraph 2.2(e)</w:t>
            </w:r>
            <w:r w:rsidR="006F3741">
              <w:t xml:space="preserve"> is amended.</w:t>
            </w:r>
          </w:p>
        </w:tc>
      </w:tr>
    </w:tbl>
    <w:p w14:paraId="488F7268" w14:textId="7D8F21EF" w:rsidR="00CA198A" w:rsidRDefault="00CE72F9" w:rsidP="00F405ED">
      <w:pPr>
        <w:pStyle w:val="IASBSectionTitle1NonInd"/>
        <w:tabs>
          <w:tab w:val="left" w:pos="782"/>
        </w:tabs>
      </w:pPr>
      <w:r>
        <w:t>2</w:t>
      </w:r>
      <w:r w:rsidR="00CA198A">
        <w:tab/>
        <w:t>Scope</w:t>
      </w:r>
    </w:p>
    <w:p w14:paraId="4224ECBA" w14:textId="77777777" w:rsidR="00CA198A" w:rsidRDefault="00CA198A" w:rsidP="00F405ED">
      <w:pPr>
        <w:pStyle w:val="IASBSectionTitle2Ind"/>
      </w:pPr>
      <w:r>
        <w:t>Transactions Outside the Scope of this Standard</w:t>
      </w:r>
    </w:p>
    <w:p w14:paraId="1D9A7975" w14:textId="77777777" w:rsidR="00CA198A" w:rsidRDefault="006F3741" w:rsidP="00F405ED">
      <w:pPr>
        <w:pStyle w:val="IASBNormalnpara"/>
        <w:rPr>
          <w:b/>
        </w:rPr>
      </w:pPr>
      <w:r>
        <w:rPr>
          <w:b/>
        </w:rPr>
        <w:t>2.2</w:t>
      </w:r>
      <w:r>
        <w:rPr>
          <w:b/>
        </w:rPr>
        <w:tab/>
        <w:t>This Standard does not apply to:</w:t>
      </w:r>
    </w:p>
    <w:p w14:paraId="4A3247D5" w14:textId="77777777" w:rsidR="006F3741" w:rsidRDefault="006F3741" w:rsidP="00F405ED">
      <w:pPr>
        <w:pStyle w:val="IASBNormalnparaL1"/>
        <w:rPr>
          <w:b/>
        </w:rPr>
      </w:pPr>
      <w:r>
        <w:rPr>
          <w:b/>
        </w:rPr>
        <w:t>(a)</w:t>
      </w:r>
      <w:r>
        <w:rPr>
          <w:b/>
        </w:rPr>
        <w:tab/>
        <w:t>…</w:t>
      </w:r>
    </w:p>
    <w:p w14:paraId="05FA976A" w14:textId="77777777" w:rsidR="006F3741" w:rsidRDefault="00AC565B" w:rsidP="00F405ED">
      <w:pPr>
        <w:pStyle w:val="IASBNormalnparaL1"/>
        <w:rPr>
          <w:b/>
        </w:rPr>
      </w:pPr>
      <w:r>
        <w:rPr>
          <w:b/>
        </w:rPr>
        <w:t>(e</w:t>
      </w:r>
      <w:r w:rsidR="006F3741">
        <w:rPr>
          <w:b/>
        </w:rPr>
        <w:t>)</w:t>
      </w:r>
      <w:r w:rsidR="006F3741">
        <w:rPr>
          <w:b/>
        </w:rPr>
        <w:tab/>
        <w:t xml:space="preserve">contractual rights or contractual obligations that are contingent on the future use of, or right to use, a non-financial item (for example, some license fees, royalties, </w:t>
      </w:r>
      <w:r w:rsidR="006F3741" w:rsidRPr="00F405ED">
        <w:rPr>
          <w:b/>
          <w:strike/>
        </w:rPr>
        <w:t>contingent</w:t>
      </w:r>
      <w:r w:rsidR="006F3741">
        <w:rPr>
          <w:b/>
        </w:rPr>
        <w:t xml:space="preserve"> </w:t>
      </w:r>
      <w:r w:rsidR="006F3741">
        <w:rPr>
          <w:b/>
          <w:u w:val="single"/>
        </w:rPr>
        <w:t>variable</w:t>
      </w:r>
      <w:r w:rsidR="006F3741">
        <w:rPr>
          <w:b/>
        </w:rPr>
        <w:t xml:space="preserve"> lease payments and similar items), as well as a lessee’s residual value guarantee embedded in a </w:t>
      </w:r>
      <w:r w:rsidR="006F3741" w:rsidRPr="00F405ED">
        <w:rPr>
          <w:b/>
          <w:strike/>
        </w:rPr>
        <w:t>finance</w:t>
      </w:r>
      <w:r w:rsidR="006F3741">
        <w:rPr>
          <w:b/>
        </w:rPr>
        <w:t xml:space="preserve"> lease (see AASB 15, </w:t>
      </w:r>
      <w:r w:rsidR="006F3741" w:rsidRPr="00F405ED">
        <w:rPr>
          <w:b/>
          <w:strike/>
        </w:rPr>
        <w:t>AASB 117</w:t>
      </w:r>
      <w:r w:rsidR="006F3741">
        <w:rPr>
          <w:b/>
        </w:rPr>
        <w:t xml:space="preserve"> </w:t>
      </w:r>
      <w:r w:rsidR="006F3741" w:rsidRPr="00F405ED">
        <w:rPr>
          <w:b/>
          <w:u w:val="single"/>
        </w:rPr>
        <w:t>AASB 16</w:t>
      </w:r>
      <w:r w:rsidR="006F3741">
        <w:rPr>
          <w:b/>
        </w:rPr>
        <w:t xml:space="preserve"> </w:t>
      </w:r>
      <w:r w:rsidR="006F3741">
        <w:rPr>
          <w:b/>
          <w:i/>
        </w:rPr>
        <w:t>Leases</w:t>
      </w:r>
      <w:r w:rsidR="006F3741">
        <w:rPr>
          <w:b/>
        </w:rPr>
        <w:t xml:space="preserve"> and AASB 138 </w:t>
      </w:r>
      <w:r w:rsidR="006F3741">
        <w:rPr>
          <w:b/>
          <w:i/>
        </w:rPr>
        <w:t>Intangible Assets</w:t>
      </w:r>
      <w:r w:rsidR="006F3741">
        <w:rPr>
          <w:b/>
        </w:rPr>
        <w:t>);</w:t>
      </w:r>
    </w:p>
    <w:p w14:paraId="798F7999" w14:textId="77777777" w:rsidR="006F3741" w:rsidRPr="00F405ED" w:rsidRDefault="00AC565B" w:rsidP="00F405ED">
      <w:pPr>
        <w:pStyle w:val="IASBNormalnparaL1"/>
        <w:rPr>
          <w:b/>
        </w:rPr>
      </w:pPr>
      <w:r>
        <w:rPr>
          <w:b/>
        </w:rPr>
        <w:t>(f</w:t>
      </w:r>
      <w:r w:rsidR="006F3741">
        <w:rPr>
          <w:b/>
        </w:rPr>
        <w:t>)</w:t>
      </w:r>
      <w:r w:rsidR="006F3741">
        <w:rPr>
          <w:b/>
        </w:rPr>
        <w:tab/>
        <w:t>…</w:t>
      </w:r>
    </w:p>
    <w:p w14:paraId="1038D659" w14:textId="77777777" w:rsidR="00FD4BA8" w:rsidRDefault="00E27198">
      <w:pPr>
        <w:pStyle w:val="IASBSectionTitle1NonInd"/>
        <w:pBdr>
          <w:bottom w:val="none" w:sz="0" w:space="0" w:color="auto"/>
        </w:pBdr>
      </w:pPr>
      <w:r>
        <w:t>Interpretation 1</w:t>
      </w:r>
      <w:r w:rsidR="009A1D2F">
        <w:t xml:space="preserve"> </w:t>
      </w:r>
      <w:r w:rsidR="009A1D2F">
        <w:rPr>
          <w:i/>
        </w:rPr>
        <w:t>Changes in Existing Decommissioning, Restoration and Similar Liabilities</w:t>
      </w:r>
    </w:p>
    <w:p w14:paraId="6F83E03B"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3"/>
        <w:tblDescription w:val="Interpretation 1 Changes in Existing Decommissioning, Restoration and Similar Liabilities"/>
      </w:tblPr>
      <w:tblGrid>
        <w:gridCol w:w="9208"/>
      </w:tblGrid>
      <w:tr w:rsidR="00FD4BA8" w14:paraId="3AEC19C2"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13E37B6" w14:textId="77777777" w:rsidR="00FD4BA8" w:rsidRDefault="009A1D2F">
            <w:pPr>
              <w:pStyle w:val="IASBTableArial"/>
            </w:pPr>
            <w:r>
              <w:t>The References paragraph is amended.</w:t>
            </w:r>
          </w:p>
        </w:tc>
      </w:tr>
    </w:tbl>
    <w:p w14:paraId="6A80F9FC" w14:textId="77777777" w:rsidR="00FD4BA8" w:rsidRDefault="009A1D2F">
      <w:pPr>
        <w:pStyle w:val="IASBSectionTitle1NonInd"/>
      </w:pPr>
      <w:r>
        <w:t>References</w:t>
      </w:r>
    </w:p>
    <w:p w14:paraId="71032723" w14:textId="77777777" w:rsidR="00FD4BA8" w:rsidRDefault="009A1D2F">
      <w:pPr>
        <w:pStyle w:val="IASBNormalL1"/>
      </w:pPr>
      <w:r>
        <w:t>•</w:t>
      </w:r>
      <w:r>
        <w:tab/>
      </w:r>
      <w:r w:rsidR="00E27198">
        <w:rPr>
          <w:u w:val="single"/>
        </w:rPr>
        <w:t>AASB 16</w:t>
      </w:r>
      <w:r>
        <w:rPr>
          <w:u w:val="single"/>
        </w:rPr>
        <w:t xml:space="preserve"> </w:t>
      </w:r>
      <w:r>
        <w:rPr>
          <w:i/>
          <w:u w:val="single"/>
        </w:rPr>
        <w:t>Leases</w:t>
      </w:r>
    </w:p>
    <w:p w14:paraId="21016DD1" w14:textId="77777777" w:rsidR="00FD4BA8" w:rsidRDefault="009A1D2F">
      <w:pPr>
        <w:pStyle w:val="IASBNormalL1"/>
      </w:pPr>
      <w:r>
        <w:t>•</w:t>
      </w:r>
      <w:r>
        <w:tab/>
      </w:r>
      <w:r w:rsidR="00E27198">
        <w:t>AASB 101</w:t>
      </w:r>
      <w:r>
        <w:t xml:space="preserve"> </w:t>
      </w:r>
      <w:r>
        <w:rPr>
          <w:i/>
        </w:rPr>
        <w:t>Presentation of Financial Statements</w:t>
      </w:r>
    </w:p>
    <w:p w14:paraId="4EDEA764" w14:textId="77777777" w:rsidR="00FD4BA8" w:rsidRDefault="009A1D2F">
      <w:pPr>
        <w:pStyle w:val="IASBNormalL1"/>
      </w:pPr>
      <w:r>
        <w:t>•</w:t>
      </w:r>
      <w:r>
        <w:tab/>
        <w:t>...</w:t>
      </w:r>
    </w:p>
    <w:p w14:paraId="4EC89792"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4"/>
        <w:tblDescription w:val="Interpretation 1 Changes in Existing Decommissioning, Restoration and Similar Liabilities"/>
      </w:tblPr>
      <w:tblGrid>
        <w:gridCol w:w="9208"/>
      </w:tblGrid>
      <w:tr w:rsidR="00FD4BA8" w14:paraId="3AF163F2"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06B99A1" w14:textId="77777777" w:rsidR="00FD4BA8" w:rsidRDefault="009A1D2F">
            <w:pPr>
              <w:pStyle w:val="IASBTableArial"/>
            </w:pPr>
            <w:r>
              <w:t>Paragraph 2 is amended and paragraph 9B is added.</w:t>
            </w:r>
          </w:p>
        </w:tc>
      </w:tr>
    </w:tbl>
    <w:p w14:paraId="1EB9A699" w14:textId="77777777" w:rsidR="00FD4BA8" w:rsidRDefault="009A1D2F">
      <w:pPr>
        <w:pStyle w:val="IASBSectionTitle1NonInd"/>
      </w:pPr>
      <w:r>
        <w:t>Scope</w:t>
      </w:r>
    </w:p>
    <w:p w14:paraId="53390F0D" w14:textId="77777777" w:rsidR="00FD4BA8" w:rsidRDefault="009A1D2F">
      <w:pPr>
        <w:pStyle w:val="IASBNormalnpara"/>
      </w:pPr>
      <w:r>
        <w:t>2</w:t>
      </w:r>
      <w:r>
        <w:tab/>
        <w:t>This Interpretation applies to changes in the measurement of any existing decommissioning, restoration or similar liability that is both:</w:t>
      </w:r>
    </w:p>
    <w:p w14:paraId="4F034CE6" w14:textId="77777777" w:rsidR="00FD4BA8" w:rsidRDefault="009A1D2F">
      <w:pPr>
        <w:pStyle w:val="IASBNormalnparaL1"/>
      </w:pPr>
      <w:r>
        <w:t>(a)</w:t>
      </w:r>
      <w:r>
        <w:tab/>
        <w:t>recognised as part of the cost of an item of property, plant and equipment in accordance with</w:t>
      </w:r>
      <w:r w:rsidR="00E27198">
        <w:t xml:space="preserve"> AASB 116</w:t>
      </w:r>
      <w:r>
        <w:t xml:space="preserve"> </w:t>
      </w:r>
      <w:r>
        <w:rPr>
          <w:u w:val="single"/>
        </w:rPr>
        <w:t>or as part of the cost of a right-of-use asset in accordance with</w:t>
      </w:r>
      <w:r w:rsidR="00E27198">
        <w:rPr>
          <w:u w:val="single"/>
        </w:rPr>
        <w:t xml:space="preserve"> AASB 16</w:t>
      </w:r>
      <w:r>
        <w:rPr>
          <w:u w:val="single"/>
        </w:rPr>
        <w:t>;</w:t>
      </w:r>
      <w:r>
        <w:t xml:space="preserve"> and</w:t>
      </w:r>
    </w:p>
    <w:p w14:paraId="4CA9F1F7" w14:textId="77777777" w:rsidR="00FD4BA8" w:rsidRDefault="009A1D2F">
      <w:pPr>
        <w:pStyle w:val="IASBNormalnparaL1"/>
      </w:pPr>
      <w:r>
        <w:t>(b)</w:t>
      </w:r>
      <w:r>
        <w:tab/>
        <w:t>...</w:t>
      </w:r>
    </w:p>
    <w:p w14:paraId="2EB4657A" w14:textId="77777777" w:rsidR="00FD4BA8" w:rsidRDefault="009A1D2F">
      <w:pPr>
        <w:pStyle w:val="IASBSectionTitle1NonInd"/>
      </w:pPr>
      <w:r>
        <w:t>Effective date</w:t>
      </w:r>
    </w:p>
    <w:p w14:paraId="59A5BD81" w14:textId="77777777" w:rsidR="00FD4BA8" w:rsidRDefault="009A1D2F">
      <w:pPr>
        <w:pStyle w:val="IASBNormalnpara"/>
      </w:pPr>
      <w:r>
        <w:tab/>
        <w:t>…</w:t>
      </w:r>
    </w:p>
    <w:p w14:paraId="4663E2F1" w14:textId="77777777" w:rsidR="00FD4BA8" w:rsidRDefault="009A1D2F">
      <w:pPr>
        <w:pStyle w:val="IASBNormalnpara"/>
      </w:pPr>
      <w:r>
        <w:rPr>
          <w:u w:val="single"/>
        </w:rPr>
        <w:lastRenderedPageBreak/>
        <w:t>9B</w:t>
      </w:r>
      <w:r w:rsidRPr="00A96F87">
        <w:tab/>
      </w:r>
      <w:r w:rsidR="00E27198">
        <w:rPr>
          <w:u w:val="single"/>
        </w:rPr>
        <w:t>AASB 16</w:t>
      </w:r>
      <w:r>
        <w:rPr>
          <w:u w:val="single"/>
        </w:rPr>
        <w:t xml:space="preserve">, issued in </w:t>
      </w:r>
      <w:r w:rsidR="00757948">
        <w:rPr>
          <w:u w:val="single"/>
        </w:rPr>
        <w:t>February 2016</w:t>
      </w:r>
      <w:r>
        <w:rPr>
          <w:u w:val="single"/>
        </w:rPr>
        <w:t>, amended paragraph 2. An entity shall apply that amendment when it applies</w:t>
      </w:r>
      <w:r w:rsidR="00E27198">
        <w:rPr>
          <w:u w:val="single"/>
        </w:rPr>
        <w:t xml:space="preserve"> AASB 16</w:t>
      </w:r>
      <w:r>
        <w:rPr>
          <w:u w:val="single"/>
        </w:rPr>
        <w:t>.</w:t>
      </w:r>
    </w:p>
    <w:p w14:paraId="010612AB" w14:textId="77777777" w:rsidR="00FD4BA8" w:rsidRDefault="00E27198">
      <w:pPr>
        <w:pStyle w:val="IASBSectionTitle1NonInd"/>
        <w:pBdr>
          <w:bottom w:val="none" w:sz="0" w:space="0" w:color="auto"/>
        </w:pBdr>
      </w:pPr>
      <w:r>
        <w:t>Interpretation 12</w:t>
      </w:r>
      <w:r w:rsidR="009A1D2F">
        <w:t xml:space="preserve"> </w:t>
      </w:r>
      <w:r w:rsidR="009A1D2F">
        <w:rPr>
          <w:i/>
        </w:rPr>
        <w:t>Service Concession Arrangements</w:t>
      </w:r>
    </w:p>
    <w:p w14:paraId="6106D8CD"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5"/>
        <w:tblDescription w:val="Interpretation 12 Service Concession Arrangements"/>
      </w:tblPr>
      <w:tblGrid>
        <w:gridCol w:w="9208"/>
      </w:tblGrid>
      <w:tr w:rsidR="00FD4BA8" w14:paraId="565F1177"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EB81088" w14:textId="77777777" w:rsidR="00FD4BA8" w:rsidRDefault="009A1D2F">
            <w:pPr>
              <w:pStyle w:val="IASBTableArial"/>
            </w:pPr>
            <w:r>
              <w:t>The References paragraph is amended.</w:t>
            </w:r>
          </w:p>
        </w:tc>
      </w:tr>
    </w:tbl>
    <w:p w14:paraId="31973944" w14:textId="77777777" w:rsidR="00FD4BA8" w:rsidRDefault="009A1D2F">
      <w:pPr>
        <w:pStyle w:val="IASBSectionTitle1NonInd"/>
      </w:pPr>
      <w:r>
        <w:t>References</w:t>
      </w:r>
    </w:p>
    <w:p w14:paraId="117CACAA" w14:textId="77777777" w:rsidR="00FD4BA8" w:rsidRDefault="009A1D2F">
      <w:pPr>
        <w:pStyle w:val="IASBNormalL1"/>
      </w:pPr>
      <w:r>
        <w:t>•</w:t>
      </w:r>
      <w:r>
        <w:tab/>
        <w:t>...</w:t>
      </w:r>
    </w:p>
    <w:p w14:paraId="76F8A9C1" w14:textId="77777777" w:rsidR="00FD4BA8" w:rsidRDefault="009A1D2F">
      <w:pPr>
        <w:pStyle w:val="IASBNormalL1"/>
      </w:pPr>
      <w:r>
        <w:t>•</w:t>
      </w:r>
      <w:r>
        <w:tab/>
      </w:r>
      <w:r w:rsidR="00E27198">
        <w:t>AASB 15</w:t>
      </w:r>
      <w:r>
        <w:t xml:space="preserve"> </w:t>
      </w:r>
      <w:r>
        <w:rPr>
          <w:i/>
        </w:rPr>
        <w:t>Revenue from Contracts with Customers</w:t>
      </w:r>
    </w:p>
    <w:p w14:paraId="3C955390" w14:textId="77777777" w:rsidR="00FD4BA8" w:rsidRDefault="009A1D2F">
      <w:pPr>
        <w:pStyle w:val="IASBNormalL1"/>
      </w:pPr>
      <w:r>
        <w:t>•</w:t>
      </w:r>
      <w:r>
        <w:tab/>
      </w:r>
      <w:r w:rsidR="00E27198">
        <w:rPr>
          <w:u w:val="single"/>
        </w:rPr>
        <w:t>AASB 16</w:t>
      </w:r>
      <w:r>
        <w:rPr>
          <w:u w:val="single"/>
        </w:rPr>
        <w:t xml:space="preserve"> </w:t>
      </w:r>
      <w:r>
        <w:rPr>
          <w:i/>
          <w:u w:val="single"/>
        </w:rPr>
        <w:t>Leases</w:t>
      </w:r>
    </w:p>
    <w:p w14:paraId="47B39E4B" w14:textId="77777777" w:rsidR="00FD4BA8" w:rsidRDefault="009A1D2F">
      <w:pPr>
        <w:pStyle w:val="IASBNormalL1"/>
      </w:pPr>
      <w:r>
        <w:t>•</w:t>
      </w:r>
      <w:r>
        <w:tab/>
        <w:t>...</w:t>
      </w:r>
    </w:p>
    <w:p w14:paraId="50CC7B10" w14:textId="77777777" w:rsidR="00FD4BA8" w:rsidRDefault="009A1D2F">
      <w:pPr>
        <w:pStyle w:val="IASBNormalL1"/>
      </w:pPr>
      <w:r>
        <w:t>•</w:t>
      </w:r>
      <w:r>
        <w:tab/>
      </w:r>
      <w:r w:rsidR="00E27198">
        <w:rPr>
          <w:strike/>
        </w:rPr>
        <w:t>AASB 117</w:t>
      </w:r>
      <w:r>
        <w:rPr>
          <w:strike/>
        </w:rPr>
        <w:t xml:space="preserve"> </w:t>
      </w:r>
      <w:r>
        <w:rPr>
          <w:i/>
          <w:strike/>
        </w:rPr>
        <w:t>Leases</w:t>
      </w:r>
    </w:p>
    <w:p w14:paraId="4F99EA28" w14:textId="77777777" w:rsidR="00FD4BA8" w:rsidRDefault="009A1D2F">
      <w:pPr>
        <w:pStyle w:val="IASBNormalL1"/>
      </w:pPr>
      <w:r>
        <w:t>•</w:t>
      </w:r>
      <w:r>
        <w:tab/>
        <w:t>...</w:t>
      </w:r>
    </w:p>
    <w:p w14:paraId="5EB8D619" w14:textId="77777777" w:rsidR="00FD4BA8" w:rsidRDefault="009A1D2F">
      <w:pPr>
        <w:pStyle w:val="IASBNormalL1"/>
      </w:pPr>
      <w:r>
        <w:t>•</w:t>
      </w:r>
      <w:r>
        <w:tab/>
      </w:r>
      <w:r w:rsidR="002D1C2A" w:rsidRPr="00ED51CE">
        <w:rPr>
          <w:strike/>
        </w:rPr>
        <w:t xml:space="preserve">AASB </w:t>
      </w:r>
      <w:r w:rsidR="00E27198">
        <w:rPr>
          <w:strike/>
        </w:rPr>
        <w:t>Interpretation 4</w:t>
      </w:r>
      <w:r>
        <w:rPr>
          <w:strike/>
        </w:rPr>
        <w:t xml:space="preserve"> </w:t>
      </w:r>
      <w:r>
        <w:rPr>
          <w:i/>
          <w:strike/>
        </w:rPr>
        <w:t>Determining whether an Arrangement contains a Lease</w:t>
      </w:r>
    </w:p>
    <w:p w14:paraId="73FA678D" w14:textId="77777777" w:rsidR="00FD4BA8" w:rsidRDefault="009A1D2F">
      <w:pPr>
        <w:pStyle w:val="IASBNormalL1"/>
      </w:pPr>
      <w:r>
        <w:t>•</w:t>
      </w:r>
      <w:r>
        <w:tab/>
        <w:t>...</w:t>
      </w:r>
    </w:p>
    <w:p w14:paraId="686390B2"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6"/>
        <w:tblDescription w:val="Interpretation 12 Service Concession Arrangements"/>
      </w:tblPr>
      <w:tblGrid>
        <w:gridCol w:w="9208"/>
      </w:tblGrid>
      <w:tr w:rsidR="00FD4BA8" w14:paraId="3EAADB39"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EB2DBE6" w14:textId="77777777" w:rsidR="00FD4BA8" w:rsidRDefault="009A1D2F">
            <w:pPr>
              <w:pStyle w:val="IASBTableArial"/>
            </w:pPr>
            <w:r>
              <w:t>Paragraph 28F is added.</w:t>
            </w:r>
          </w:p>
        </w:tc>
      </w:tr>
    </w:tbl>
    <w:p w14:paraId="5D09C2B8" w14:textId="77777777" w:rsidR="00FD4BA8" w:rsidRDefault="009A1D2F">
      <w:pPr>
        <w:pStyle w:val="IASBSectionTitle1NonInd"/>
      </w:pPr>
      <w:r>
        <w:t>Effective date</w:t>
      </w:r>
    </w:p>
    <w:p w14:paraId="5A7FE795" w14:textId="77777777" w:rsidR="00FD4BA8" w:rsidRDefault="009A1D2F">
      <w:pPr>
        <w:pStyle w:val="IASBNormalnpara"/>
      </w:pPr>
      <w:r>
        <w:tab/>
        <w:t>...</w:t>
      </w:r>
    </w:p>
    <w:p w14:paraId="77E417B1" w14:textId="77777777" w:rsidR="00FD4BA8" w:rsidRDefault="009A1D2F">
      <w:pPr>
        <w:pStyle w:val="IASBNormalnpara"/>
      </w:pPr>
      <w:r>
        <w:rPr>
          <w:u w:val="single"/>
        </w:rPr>
        <w:t>28F</w:t>
      </w:r>
      <w:r w:rsidRPr="00A96F87">
        <w:tab/>
      </w:r>
      <w:r w:rsidR="00E27198">
        <w:rPr>
          <w:u w:val="single"/>
        </w:rPr>
        <w:t>AASB 16</w:t>
      </w:r>
      <w:r>
        <w:rPr>
          <w:u w:val="single"/>
        </w:rPr>
        <w:t xml:space="preserve">, issued in </w:t>
      </w:r>
      <w:r w:rsidR="00757948">
        <w:rPr>
          <w:u w:val="single"/>
        </w:rPr>
        <w:t>February 2016</w:t>
      </w:r>
      <w:r>
        <w:rPr>
          <w:u w:val="single"/>
        </w:rPr>
        <w:t>, amended paragraph AG8. An entity shall apply those amendments when it applies</w:t>
      </w:r>
      <w:r w:rsidR="00E27198">
        <w:rPr>
          <w:u w:val="single"/>
        </w:rPr>
        <w:t xml:space="preserve"> AASB 16</w:t>
      </w:r>
      <w:r>
        <w:rPr>
          <w:u w:val="single"/>
        </w:rPr>
        <w:t>.</w:t>
      </w:r>
    </w:p>
    <w:p w14:paraId="046DD5F8"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7"/>
        <w:tblDescription w:val="Appendix A Amended"/>
      </w:tblPr>
      <w:tblGrid>
        <w:gridCol w:w="9208"/>
      </w:tblGrid>
      <w:tr w:rsidR="00FD4BA8" w14:paraId="5D7D04DE"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4B63788" w14:textId="77777777" w:rsidR="00FD4BA8" w:rsidRDefault="009A1D2F" w:rsidP="0096545E">
            <w:pPr>
              <w:pStyle w:val="IASBTableArial"/>
            </w:pPr>
            <w:r>
              <w:t>In Appendix A, paragraph AG8</w:t>
            </w:r>
            <w:r w:rsidR="0096545E">
              <w:t xml:space="preserve"> is</w:t>
            </w:r>
            <w:r>
              <w:t xml:space="preserve"> amended.</w:t>
            </w:r>
          </w:p>
        </w:tc>
      </w:tr>
    </w:tbl>
    <w:p w14:paraId="02EF1165" w14:textId="77777777" w:rsidR="00FD4BA8" w:rsidRDefault="009A1D2F">
      <w:pPr>
        <w:pStyle w:val="IASBSectionTitle1NonInd"/>
        <w:pBdr>
          <w:bottom w:val="none" w:sz="0" w:space="0" w:color="auto"/>
        </w:pBdr>
      </w:pPr>
      <w:r>
        <w:t>Appendix A</w:t>
      </w:r>
    </w:p>
    <w:p w14:paraId="287B0D36" w14:textId="77777777" w:rsidR="00FD4BA8" w:rsidRDefault="009A1D2F">
      <w:pPr>
        <w:pStyle w:val="IASBSectionTitle1NonInd"/>
      </w:pPr>
      <w:r>
        <w:t>Scope (paragraph 5)</w:t>
      </w:r>
    </w:p>
    <w:p w14:paraId="13B688F8" w14:textId="77777777" w:rsidR="00FD4BA8" w:rsidRDefault="009A1D2F">
      <w:pPr>
        <w:pStyle w:val="IASBNormalnpara"/>
      </w:pPr>
      <w:r>
        <w:tab/>
        <w:t>…</w:t>
      </w:r>
    </w:p>
    <w:p w14:paraId="5CB14CFC" w14:textId="77777777" w:rsidR="00FD4BA8" w:rsidRDefault="009A1D2F">
      <w:pPr>
        <w:pStyle w:val="IASBNormalnpara"/>
      </w:pPr>
      <w:r>
        <w:t>AG8</w:t>
      </w:r>
      <w:r>
        <w:tab/>
        <w:t>The operator may have a right to use the separable infrastructure described in paragraph AG7(a), or the facilities used to provide ancillary unregulated services described in paragraph AG7(b). In either case, there may in substance be a lease from the grantor to the operator; if so, it shall be accounted for in accordance with</w:t>
      </w:r>
      <w:r w:rsidR="00E27198">
        <w:t xml:space="preserve"> </w:t>
      </w:r>
      <w:r w:rsidR="00E27198" w:rsidRPr="00ED51CE">
        <w:rPr>
          <w:strike/>
        </w:rPr>
        <w:t>AASB 117</w:t>
      </w:r>
      <w:r w:rsidR="00E27198">
        <w:t xml:space="preserve"> </w:t>
      </w:r>
      <w:r w:rsidR="00E27198" w:rsidRPr="00ED51CE">
        <w:rPr>
          <w:u w:val="single"/>
        </w:rPr>
        <w:t>AASB 16</w:t>
      </w:r>
      <w:r>
        <w:t>.</w:t>
      </w:r>
    </w:p>
    <w:p w14:paraId="18E356E9" w14:textId="77777777" w:rsidR="001D73A4" w:rsidRDefault="001D73A4" w:rsidP="001D73A4">
      <w:pPr>
        <w:pStyle w:val="IASBNormalnpara"/>
      </w:pPr>
    </w:p>
    <w:tbl>
      <w:tblPr>
        <w:tblW w:w="0" w:type="auto"/>
        <w:tblLayout w:type="fixed"/>
        <w:tblCellMar>
          <w:bottom w:w="85" w:type="dxa"/>
        </w:tblCellMar>
        <w:tblLook w:val="0000" w:firstRow="0" w:lastRow="0" w:firstColumn="0" w:lastColumn="0" w:noHBand="0" w:noVBand="0"/>
        <w:tblCaption w:val="AASB 16 Table 37"/>
        <w:tblDescription w:val="Information note 1 and Information note 2 accompanying Interpretation 12 are amended."/>
      </w:tblPr>
      <w:tblGrid>
        <w:gridCol w:w="9208"/>
      </w:tblGrid>
      <w:tr w:rsidR="001D73A4" w14:paraId="19D6AB87" w14:textId="77777777" w:rsidTr="001052B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489E9AE" w14:textId="77777777" w:rsidR="001D73A4" w:rsidRDefault="001D73A4" w:rsidP="001052B8">
            <w:pPr>
              <w:pStyle w:val="IASBTableArial"/>
            </w:pPr>
            <w:r>
              <w:t>Information note 1 and Information note 2 accompanying Interpretation 12 are amended.</w:t>
            </w:r>
          </w:p>
        </w:tc>
      </w:tr>
    </w:tbl>
    <w:p w14:paraId="375874E8" w14:textId="77777777" w:rsidR="001D73A4" w:rsidRDefault="001D73A4" w:rsidP="001D73A4">
      <w:pPr>
        <w:pStyle w:val="IASBSectionTitle1NonInd"/>
      </w:pPr>
      <w:r>
        <w:t>Information note 1</w:t>
      </w:r>
    </w:p>
    <w:p w14:paraId="5789C2CB" w14:textId="77777777" w:rsidR="001D73A4" w:rsidRDefault="001D73A4" w:rsidP="001D73A4">
      <w:pPr>
        <w:pStyle w:val="IASBSectionTitle2NonInd"/>
      </w:pPr>
      <w:r>
        <w:t>Accounting framework for public-to-private service arrangements</w:t>
      </w:r>
    </w:p>
    <w:p w14:paraId="5B02CFC5" w14:textId="77777777" w:rsidR="001D73A4" w:rsidRDefault="001D73A4" w:rsidP="001D73A4">
      <w:pPr>
        <w:pStyle w:val="IASBNormal"/>
      </w:pPr>
      <w:r>
        <w:t>...</w:t>
      </w:r>
    </w:p>
    <w:p w14:paraId="15E9933C" w14:textId="77777777" w:rsidR="001D73A4" w:rsidRDefault="001D73A4" w:rsidP="001D73A4">
      <w:pPr>
        <w:pStyle w:val="IASBNormal"/>
      </w:pPr>
      <w:r>
        <w:lastRenderedPageBreak/>
        <w:t>The diagram below summarises the accounting for service arrangements established by Interpretation 12.</w:t>
      </w:r>
    </w:p>
    <w:p w14:paraId="3CC21008" w14:textId="77777777" w:rsidR="001D73A4" w:rsidRDefault="001D73A4" w:rsidP="001D73A4">
      <w:pPr>
        <w:pStyle w:val="IASBNormal"/>
      </w:pPr>
      <w:r>
        <w:rPr>
          <w:noProof/>
          <w:lang w:eastAsia="en-AU"/>
        </w:rPr>
        <mc:AlternateContent>
          <mc:Choice Requires="wpg">
            <w:drawing>
              <wp:inline distT="0" distB="0" distL="0" distR="0" wp14:anchorId="59DFC0C3" wp14:editId="77F2CD48">
                <wp:extent cx="5105400" cy="5227320"/>
                <wp:effectExtent l="0" t="0" r="0" b="0"/>
                <wp:docPr id="8" name="Group 8" descr="Decision tree for the application of Interpretation 12" title="Decision tree for the application of Interpretation 12"/>
                <wp:cNvGraphicFramePr/>
                <a:graphic xmlns:a="http://schemas.openxmlformats.org/drawingml/2006/main">
                  <a:graphicData uri="http://schemas.microsoft.com/office/word/2010/wordprocessingGroup">
                    <wpg:wgp>
                      <wpg:cNvGrpSpPr/>
                      <wpg:grpSpPr>
                        <a:xfrm>
                          <a:off x="0" y="0"/>
                          <a:ext cx="5105400" cy="5227320"/>
                          <a:chOff x="0" y="0"/>
                          <a:chExt cx="5105400" cy="5227320"/>
                        </a:xfrm>
                      </wpg:grpSpPr>
                      <wps:wsp>
                        <wps:cNvPr id="40" name="Rectangle 40"/>
                        <wps:cNvSpPr/>
                        <wps:spPr>
                          <a:xfrm>
                            <a:off x="0" y="0"/>
                            <a:ext cx="5105400" cy="5227320"/>
                          </a:xfrm>
                          <a:prstGeom prst="rect">
                            <a:avLst/>
                          </a:prstGeom>
                          <a:noFill/>
                          <a:ln>
                            <a:noFill/>
                          </a:ln>
                        </wps:spPr>
                        <wps:bodyPr/>
                      </wps:wsp>
                      <wps:wsp>
                        <wps:cNvPr id="42" name="Text Box 4"/>
                        <wps:cNvSpPr txBox="1">
                          <a:spLocks noChangeArrowheads="1"/>
                        </wps:cNvSpPr>
                        <wps:spPr bwMode="auto">
                          <a:xfrm>
                            <a:off x="114300" y="310515"/>
                            <a:ext cx="1714500" cy="375285"/>
                          </a:xfrm>
                          <a:prstGeom prst="rect">
                            <a:avLst/>
                          </a:prstGeom>
                          <a:solidFill>
                            <a:srgbClr val="FFFFFF"/>
                          </a:solidFill>
                          <a:ln w="9525">
                            <a:solidFill>
                              <a:srgbClr val="000000"/>
                            </a:solidFill>
                            <a:miter lim="800000"/>
                            <a:headEnd/>
                            <a:tailEnd/>
                          </a:ln>
                        </wps:spPr>
                        <wps:txbx>
                          <w:txbxContent>
                            <w:p w14:paraId="671EC15C" w14:textId="77777777" w:rsidR="00D21034" w:rsidRDefault="00D21034" w:rsidP="001D73A4">
                              <w:pPr>
                                <w:tabs>
                                  <w:tab w:val="left" w:pos="360"/>
                                </w:tabs>
                                <w:jc w:val="center"/>
                                <w:rPr>
                                  <w:sz w:val="12"/>
                                  <w:szCs w:val="16"/>
                                </w:rPr>
                              </w:pPr>
                              <w:r>
                                <w:rPr>
                                  <w:sz w:val="12"/>
                                  <w:szCs w:val="16"/>
                                </w:rPr>
                                <w:t>Does the grantor control or regulate what services the operator must provide with the infrastructure, to whom it must provide them, and at what price?</w:t>
                              </w:r>
                            </w:p>
                          </w:txbxContent>
                        </wps:txbx>
                        <wps:bodyPr rot="0" vert="horz" wrap="square" lIns="68580" tIns="34290" rIns="68580" bIns="34290" anchor="t" anchorCtr="0" upright="1">
                          <a:noAutofit/>
                        </wps:bodyPr>
                      </wps:wsp>
                      <wps:wsp>
                        <wps:cNvPr id="51" name="Line 5"/>
                        <wps:cNvCnPr/>
                        <wps:spPr bwMode="auto">
                          <a:xfrm>
                            <a:off x="1828800" y="599440"/>
                            <a:ext cx="5721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6"/>
                        <wps:cNvSpPr txBox="1">
                          <a:spLocks noChangeArrowheads="1"/>
                        </wps:cNvSpPr>
                        <wps:spPr bwMode="auto">
                          <a:xfrm>
                            <a:off x="2400935" y="342900"/>
                            <a:ext cx="1485265" cy="857250"/>
                          </a:xfrm>
                          <a:prstGeom prst="rect">
                            <a:avLst/>
                          </a:prstGeom>
                          <a:solidFill>
                            <a:sysClr val="window" lastClr="FFFFFF">
                              <a:lumMod val="50000"/>
                            </a:sysClr>
                          </a:solidFill>
                          <a:ln w="9525">
                            <a:solidFill>
                              <a:srgbClr val="000000"/>
                            </a:solidFill>
                            <a:miter lim="800000"/>
                            <a:headEnd/>
                            <a:tailEnd/>
                          </a:ln>
                        </wps:spPr>
                        <wps:txbx>
                          <w:txbxContent>
                            <w:p w14:paraId="174D05D4" w14:textId="77777777" w:rsidR="00D21034" w:rsidRDefault="00D21034"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r>
                                <w:rPr>
                                  <w:b/>
                                  <w:i/>
                                  <w:sz w:val="14"/>
                                  <w:szCs w:val="18"/>
                                </w:rPr>
                                <w:t>SEE INFORMATION NOTE 2</w:t>
                              </w:r>
                            </w:p>
                          </w:txbxContent>
                        </wps:txbx>
                        <wps:bodyPr rot="0" vert="horz" wrap="square" lIns="68580" tIns="34290" rIns="68580" bIns="34290" anchor="ctr" anchorCtr="0" upright="1">
                          <a:noAutofit/>
                        </wps:bodyPr>
                      </wps:wsp>
                      <wps:wsp>
                        <wps:cNvPr id="57" name="Text Box 7"/>
                        <wps:cNvSpPr txBox="1">
                          <a:spLocks noChangeArrowheads="1"/>
                        </wps:cNvSpPr>
                        <wps:spPr bwMode="auto">
                          <a:xfrm>
                            <a:off x="171450" y="942975"/>
                            <a:ext cx="1714500" cy="600075"/>
                          </a:xfrm>
                          <a:prstGeom prst="rect">
                            <a:avLst/>
                          </a:prstGeom>
                          <a:solidFill>
                            <a:srgbClr val="FFFFFF"/>
                          </a:solidFill>
                          <a:ln w="9525">
                            <a:solidFill>
                              <a:srgbClr val="000000"/>
                            </a:solidFill>
                            <a:miter lim="800000"/>
                            <a:headEnd/>
                            <a:tailEnd/>
                          </a:ln>
                        </wps:spPr>
                        <wps:txbx>
                          <w:txbxContent>
                            <w:p w14:paraId="772199DD" w14:textId="77777777" w:rsidR="00D21034" w:rsidRDefault="00D21034" w:rsidP="001D73A4">
                              <w:pPr>
                                <w:jc w:val="center"/>
                                <w:rPr>
                                  <w:sz w:val="12"/>
                                  <w:szCs w:val="16"/>
                                </w:rPr>
                              </w:pPr>
                              <w:r>
                                <w:rPr>
                                  <w:sz w:val="12"/>
                                  <w:szCs w:val="16"/>
                                </w:rPr>
                                <w:t>Does the grantor control, through ownership, beneficial entitlement or otherwise, any significant residual interest in the infrastructure at the end of the service arrangement?</w:t>
                              </w:r>
                            </w:p>
                            <w:p w14:paraId="5F18BA01" w14:textId="77777777" w:rsidR="00D21034" w:rsidRDefault="00D21034" w:rsidP="001D73A4">
                              <w:pPr>
                                <w:jc w:val="center"/>
                                <w:rPr>
                                  <w:sz w:val="12"/>
                                  <w:szCs w:val="16"/>
                                </w:rPr>
                              </w:pPr>
                              <w:r>
                                <w:rPr>
                                  <w:sz w:val="12"/>
                                  <w:szCs w:val="16"/>
                                </w:rPr>
                                <w:t>Or is the infrastructure used in the arrangement for its entire useful life?</w:t>
                              </w:r>
                            </w:p>
                          </w:txbxContent>
                        </wps:txbx>
                        <wps:bodyPr rot="0" vert="horz" wrap="square" lIns="68580" tIns="34290" rIns="68580" bIns="34290" anchor="t" anchorCtr="0" upright="1">
                          <a:noAutofit/>
                        </wps:bodyPr>
                      </wps:wsp>
                      <wps:wsp>
                        <wps:cNvPr id="60" name="Text Box 8"/>
                        <wps:cNvSpPr txBox="1">
                          <a:spLocks noChangeArrowheads="1"/>
                        </wps:cNvSpPr>
                        <wps:spPr bwMode="auto">
                          <a:xfrm>
                            <a:off x="171450" y="1800225"/>
                            <a:ext cx="1314450" cy="514350"/>
                          </a:xfrm>
                          <a:prstGeom prst="rect">
                            <a:avLst/>
                          </a:prstGeom>
                          <a:solidFill>
                            <a:srgbClr val="FFFFFF"/>
                          </a:solidFill>
                          <a:ln w="9525">
                            <a:solidFill>
                              <a:srgbClr val="000000"/>
                            </a:solidFill>
                            <a:miter lim="800000"/>
                            <a:headEnd/>
                            <a:tailEnd/>
                          </a:ln>
                        </wps:spPr>
                        <wps:txbx>
                          <w:txbxContent>
                            <w:p w14:paraId="13A86B98" w14:textId="77777777" w:rsidR="00D21034" w:rsidRDefault="00D21034" w:rsidP="001D73A4">
                              <w:pPr>
                                <w:jc w:val="center"/>
                                <w:rPr>
                                  <w:sz w:val="12"/>
                                  <w:szCs w:val="16"/>
                                </w:rPr>
                              </w:pPr>
                              <w:r>
                                <w:rPr>
                                  <w:sz w:val="12"/>
                                  <w:szCs w:val="16"/>
                                </w:rPr>
                                <w:t>Is the infrastructure constructed or acquired by the operator from a third party for the purpose of the service arrangement?</w:t>
                              </w:r>
                            </w:p>
                          </w:txbxContent>
                        </wps:txbx>
                        <wps:bodyPr rot="0" vert="horz" wrap="square" lIns="68580" tIns="34290" rIns="68580" bIns="34290" anchor="t" anchorCtr="0" upright="1">
                          <a:noAutofit/>
                        </wps:bodyPr>
                      </wps:wsp>
                      <wps:wsp>
                        <wps:cNvPr id="61" name="Line 9"/>
                        <wps:cNvCnPr/>
                        <wps:spPr bwMode="auto">
                          <a:xfrm>
                            <a:off x="1885950" y="1114425"/>
                            <a:ext cx="5149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0"/>
                        <wps:cNvCnPr/>
                        <wps:spPr bwMode="auto">
                          <a:xfrm>
                            <a:off x="942340" y="685800"/>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1"/>
                        <wps:cNvCnPr/>
                        <wps:spPr bwMode="auto">
                          <a:xfrm>
                            <a:off x="942975" y="1543050"/>
                            <a:ext cx="63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12"/>
                        <wps:cNvSpPr txBox="1">
                          <a:spLocks noChangeArrowheads="1"/>
                        </wps:cNvSpPr>
                        <wps:spPr bwMode="auto">
                          <a:xfrm>
                            <a:off x="1885950" y="428625"/>
                            <a:ext cx="257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9314" w14:textId="77777777" w:rsidR="00D21034" w:rsidRDefault="00D21034"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65" name="Text Box 13"/>
                        <wps:cNvSpPr txBox="1">
                          <a:spLocks noChangeArrowheads="1"/>
                        </wps:cNvSpPr>
                        <wps:spPr bwMode="auto">
                          <a:xfrm>
                            <a:off x="1971675" y="942975"/>
                            <a:ext cx="2857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AC7B" w14:textId="77777777" w:rsidR="00D21034" w:rsidRDefault="00D21034"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66" name="Text Box 14"/>
                        <wps:cNvSpPr txBox="1">
                          <a:spLocks noChangeArrowheads="1"/>
                        </wps:cNvSpPr>
                        <wps:spPr bwMode="auto">
                          <a:xfrm>
                            <a:off x="914400" y="685800"/>
                            <a:ext cx="285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A3C9C" w14:textId="77777777" w:rsidR="00D21034" w:rsidRDefault="00D21034"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67" name="Text Box 15"/>
                        <wps:cNvSpPr txBox="1">
                          <a:spLocks noChangeArrowheads="1"/>
                        </wps:cNvSpPr>
                        <wps:spPr bwMode="auto">
                          <a:xfrm>
                            <a:off x="1857375" y="1800225"/>
                            <a:ext cx="1315085" cy="514350"/>
                          </a:xfrm>
                          <a:prstGeom prst="rect">
                            <a:avLst/>
                          </a:prstGeom>
                          <a:solidFill>
                            <a:srgbClr val="FFFFFF"/>
                          </a:solidFill>
                          <a:ln w="9525">
                            <a:solidFill>
                              <a:srgbClr val="000000"/>
                            </a:solidFill>
                            <a:miter lim="800000"/>
                            <a:headEnd/>
                            <a:tailEnd/>
                          </a:ln>
                        </wps:spPr>
                        <wps:txbx>
                          <w:txbxContent>
                            <w:p w14:paraId="2208D0DB" w14:textId="77777777" w:rsidR="00D21034" w:rsidRDefault="00D21034" w:rsidP="001D73A4">
                              <w:pPr>
                                <w:jc w:val="center"/>
                                <w:rPr>
                                  <w:sz w:val="12"/>
                                  <w:szCs w:val="16"/>
                                </w:rPr>
                              </w:pPr>
                              <w:r>
                                <w:rPr>
                                  <w:sz w:val="12"/>
                                  <w:szCs w:val="16"/>
                                </w:rPr>
                                <w:t>Is the infrastructure existing infrastructure of the grantor to which the operator is given access for the purpose of the service arrangement?</w:t>
                              </w:r>
                            </w:p>
                          </w:txbxContent>
                        </wps:txbx>
                        <wps:bodyPr rot="0" vert="horz" wrap="square" lIns="68580" tIns="34290" rIns="68580" bIns="34290" anchor="t" anchorCtr="0" upright="1">
                          <a:noAutofit/>
                        </wps:bodyPr>
                      </wps:wsp>
                      <wps:wsp>
                        <wps:cNvPr id="68" name="Line 16"/>
                        <wps:cNvCnPr/>
                        <wps:spPr bwMode="auto">
                          <a:xfrm flipV="1">
                            <a:off x="1497330" y="2058670"/>
                            <a:ext cx="35052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Text Box 17"/>
                        <wps:cNvSpPr txBox="1">
                          <a:spLocks noChangeArrowheads="1"/>
                        </wps:cNvSpPr>
                        <wps:spPr bwMode="auto">
                          <a:xfrm>
                            <a:off x="1543050" y="1885950"/>
                            <a:ext cx="285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D698B" w14:textId="77777777" w:rsidR="00D21034" w:rsidRDefault="00D21034"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70" name="Text Box 18"/>
                        <wps:cNvSpPr txBox="1">
                          <a:spLocks noChangeArrowheads="1"/>
                        </wps:cNvSpPr>
                        <wps:spPr bwMode="auto">
                          <a:xfrm>
                            <a:off x="2829560" y="1628775"/>
                            <a:ext cx="28575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802B6" w14:textId="77777777" w:rsidR="00D21034" w:rsidRDefault="00D21034" w:rsidP="001D73A4">
                              <w:pPr>
                                <w:rPr>
                                  <w:sz w:val="12"/>
                                  <w:szCs w:val="16"/>
                                </w:rPr>
                              </w:pPr>
                              <w:r>
                                <w:rPr>
                                  <w:sz w:val="12"/>
                                  <w:szCs w:val="16"/>
                                </w:rPr>
                                <w:t>No</w:t>
                              </w:r>
                            </w:p>
                          </w:txbxContent>
                        </wps:txbx>
                        <wps:bodyPr rot="0" vert="horz" wrap="square" lIns="68580" tIns="34290" rIns="68580" bIns="34290" anchor="t" anchorCtr="0" upright="1">
                          <a:noAutofit/>
                        </wps:bodyPr>
                      </wps:wsp>
                      <wps:wsp>
                        <wps:cNvPr id="71" name="Line 19"/>
                        <wps:cNvCnPr/>
                        <wps:spPr bwMode="auto">
                          <a:xfrm flipV="1">
                            <a:off x="2829560" y="1200150"/>
                            <a:ext cx="0"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20"/>
                        <wps:cNvSpPr txBox="1">
                          <a:spLocks noChangeArrowheads="1"/>
                        </wps:cNvSpPr>
                        <wps:spPr bwMode="auto">
                          <a:xfrm>
                            <a:off x="2572385" y="2400300"/>
                            <a:ext cx="25717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8F73" w14:textId="77777777" w:rsidR="00D21034" w:rsidRDefault="00D21034"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73" name="Line 21"/>
                        <wps:cNvCnPr/>
                        <wps:spPr bwMode="auto">
                          <a:xfrm>
                            <a:off x="2572385" y="2314575"/>
                            <a:ext cx="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22"/>
                        <wps:cNvSpPr txBox="1">
                          <a:spLocks noChangeArrowheads="1"/>
                        </wps:cNvSpPr>
                        <wps:spPr bwMode="auto">
                          <a:xfrm>
                            <a:off x="942975" y="1543050"/>
                            <a:ext cx="2857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E5BC4" w14:textId="77777777" w:rsidR="00D21034" w:rsidRDefault="00D21034"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75" name="Line 23"/>
                        <wps:cNvCnPr/>
                        <wps:spPr bwMode="auto">
                          <a:xfrm>
                            <a:off x="942340" y="2314575"/>
                            <a:ext cx="635"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24"/>
                        <wps:cNvSpPr txBox="1">
                          <a:spLocks noChangeArrowheads="1"/>
                        </wps:cNvSpPr>
                        <wps:spPr bwMode="auto">
                          <a:xfrm>
                            <a:off x="942975" y="2314575"/>
                            <a:ext cx="2571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B24A" w14:textId="77777777" w:rsidR="00D21034" w:rsidRDefault="00D21034"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77" name="Text Box 25"/>
                        <wps:cNvSpPr txBox="1">
                          <a:spLocks noChangeArrowheads="1"/>
                        </wps:cNvSpPr>
                        <wps:spPr bwMode="auto">
                          <a:xfrm>
                            <a:off x="85725" y="2658110"/>
                            <a:ext cx="4429760" cy="342900"/>
                          </a:xfrm>
                          <a:prstGeom prst="rect">
                            <a:avLst/>
                          </a:prstGeom>
                          <a:solidFill>
                            <a:srgbClr val="5F6062"/>
                          </a:solidFill>
                          <a:ln w="9525">
                            <a:solidFill>
                              <a:srgbClr val="000000"/>
                            </a:solidFill>
                            <a:miter lim="800000"/>
                            <a:headEnd/>
                            <a:tailEnd/>
                          </a:ln>
                        </wps:spPr>
                        <wps:txbx>
                          <w:txbxContent>
                            <w:p w14:paraId="4D8A1EB1" w14:textId="77777777" w:rsidR="00D21034" w:rsidRDefault="00D21034" w:rsidP="001D73A4">
                              <w:pPr>
                                <w:shd w:val="clear" w:color="auto" w:fill="BFBFBF" w:themeFill="background1" w:themeFillShade="BF"/>
                                <w:jc w:val="center"/>
                                <w:rPr>
                                  <w:b/>
                                  <w:sz w:val="14"/>
                                  <w:szCs w:val="18"/>
                                </w:rPr>
                              </w:pPr>
                              <w:r>
                                <w:rPr>
                                  <w:b/>
                                  <w:sz w:val="14"/>
                                  <w:szCs w:val="18"/>
                                </w:rPr>
                                <w:t>WITHIN THE SCOPE OF THE INTERPRETATION</w:t>
                              </w:r>
                              <w:r>
                                <w:rPr>
                                  <w:b/>
                                  <w:sz w:val="14"/>
                                  <w:szCs w:val="18"/>
                                </w:rPr>
                                <w:br/>
                                <w:t xml:space="preserve">Operator does not recognise infrastructure as property, plant and equipment or as a </w:t>
                              </w:r>
                              <w:r>
                                <w:rPr>
                                  <w:b/>
                                  <w:strike/>
                                  <w:sz w:val="14"/>
                                  <w:szCs w:val="18"/>
                                </w:rPr>
                                <w:t>leased</w:t>
                              </w:r>
                              <w:r>
                                <w:rPr>
                                  <w:b/>
                                  <w:sz w:val="14"/>
                                  <w:szCs w:val="18"/>
                                </w:rPr>
                                <w:t xml:space="preserve"> </w:t>
                              </w:r>
                              <w:r>
                                <w:rPr>
                                  <w:b/>
                                  <w:sz w:val="14"/>
                                  <w:szCs w:val="18"/>
                                  <w:u w:val="single"/>
                                </w:rPr>
                                <w:t>right-of-use</w:t>
                              </w:r>
                              <w:r>
                                <w:rPr>
                                  <w:b/>
                                  <w:sz w:val="14"/>
                                  <w:szCs w:val="18"/>
                                </w:rPr>
                                <w:t xml:space="preserve"> asset.</w:t>
                              </w:r>
                            </w:p>
                          </w:txbxContent>
                        </wps:txbx>
                        <wps:bodyPr rot="0" vert="horz" wrap="square" lIns="68580" tIns="34290" rIns="68580" bIns="34290" anchor="t" anchorCtr="0" upright="1">
                          <a:noAutofit/>
                        </wps:bodyPr>
                      </wps:wsp>
                      <wps:wsp>
                        <wps:cNvPr id="78" name="Line 26"/>
                        <wps:cNvCnPr/>
                        <wps:spPr bwMode="auto">
                          <a:xfrm>
                            <a:off x="1457325" y="3001010"/>
                            <a:ext cx="635"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
                        <wps:cNvCnPr/>
                        <wps:spPr bwMode="auto">
                          <a:xfrm>
                            <a:off x="857250" y="317246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8"/>
                        <wps:cNvCnPr/>
                        <wps:spPr bwMode="auto">
                          <a:xfrm>
                            <a:off x="857250" y="3172460"/>
                            <a:ext cx="635"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29"/>
                        <wps:cNvCnPr/>
                        <wps:spPr bwMode="auto">
                          <a:xfrm>
                            <a:off x="2143125" y="3172460"/>
                            <a:ext cx="635" cy="232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30"/>
                        <wps:cNvSpPr txBox="1">
                          <a:spLocks noChangeArrowheads="1"/>
                        </wps:cNvSpPr>
                        <wps:spPr bwMode="auto">
                          <a:xfrm>
                            <a:off x="257175" y="3429635"/>
                            <a:ext cx="1143000" cy="607695"/>
                          </a:xfrm>
                          <a:prstGeom prst="rect">
                            <a:avLst/>
                          </a:prstGeom>
                          <a:solidFill>
                            <a:srgbClr val="FFFFFF"/>
                          </a:solidFill>
                          <a:ln w="9525">
                            <a:solidFill>
                              <a:srgbClr val="000000"/>
                            </a:solidFill>
                            <a:miter lim="800000"/>
                            <a:headEnd/>
                            <a:tailEnd/>
                          </a:ln>
                        </wps:spPr>
                        <wps:txbx>
                          <w:txbxContent>
                            <w:p w14:paraId="0C6B626D" w14:textId="77777777" w:rsidR="00D21034" w:rsidRDefault="00D21034" w:rsidP="001D73A4">
                              <w:pPr>
                                <w:jc w:val="center"/>
                                <w:rPr>
                                  <w:sz w:val="12"/>
                                  <w:szCs w:val="16"/>
                                </w:rPr>
                              </w:pPr>
                              <w:r>
                                <w:rPr>
                                  <w:sz w:val="12"/>
                                  <w:szCs w:val="16"/>
                                </w:rPr>
                                <w:t>Does the operator have a contractual right to receive cash or other financial asset from or at the direction of the grantor as described in paragraph 16?</w:t>
                              </w:r>
                            </w:p>
                          </w:txbxContent>
                        </wps:txbx>
                        <wps:bodyPr rot="0" vert="horz" wrap="square" lIns="68580" tIns="34290" rIns="68580" bIns="34290" anchor="t" anchorCtr="0" upright="1">
                          <a:noAutofit/>
                        </wps:bodyPr>
                      </wps:wsp>
                      <wps:wsp>
                        <wps:cNvPr id="83" name="Text Box 31"/>
                        <wps:cNvSpPr txBox="1">
                          <a:spLocks noChangeArrowheads="1"/>
                        </wps:cNvSpPr>
                        <wps:spPr bwMode="auto">
                          <a:xfrm>
                            <a:off x="1628775" y="3429635"/>
                            <a:ext cx="1029335" cy="607695"/>
                          </a:xfrm>
                          <a:prstGeom prst="rect">
                            <a:avLst/>
                          </a:prstGeom>
                          <a:solidFill>
                            <a:srgbClr val="FFFFFF"/>
                          </a:solidFill>
                          <a:ln w="9525">
                            <a:solidFill>
                              <a:srgbClr val="000000"/>
                            </a:solidFill>
                            <a:miter lim="800000"/>
                            <a:headEnd/>
                            <a:tailEnd/>
                          </a:ln>
                        </wps:spPr>
                        <wps:txbx>
                          <w:txbxContent>
                            <w:p w14:paraId="69EC5DF3" w14:textId="77777777" w:rsidR="00D21034" w:rsidRDefault="00D21034" w:rsidP="001D73A4">
                              <w:pPr>
                                <w:jc w:val="center"/>
                                <w:rPr>
                                  <w:sz w:val="12"/>
                                  <w:szCs w:val="16"/>
                                </w:rPr>
                              </w:pPr>
                              <w:r>
                                <w:rPr>
                                  <w:sz w:val="12"/>
                                  <w:szCs w:val="16"/>
                                </w:rPr>
                                <w:t xml:space="preserve">Does the operator have a contractual right to charge users of the public services as described in </w:t>
                              </w:r>
                              <w:r>
                                <w:rPr>
                                  <w:sz w:val="12"/>
                                  <w:szCs w:val="16"/>
                                </w:rPr>
                                <w:br/>
                                <w:t>paragraph 17?</w:t>
                              </w:r>
                            </w:p>
                          </w:txbxContent>
                        </wps:txbx>
                        <wps:bodyPr rot="0" vert="horz" wrap="square" lIns="68580" tIns="34290" rIns="68580" bIns="34290" anchor="t" anchorCtr="0" upright="1">
                          <a:noAutofit/>
                        </wps:bodyPr>
                      </wps:wsp>
                      <wps:wsp>
                        <wps:cNvPr id="84" name="Text Box 32"/>
                        <wps:cNvSpPr txBox="1">
                          <a:spLocks noChangeArrowheads="1"/>
                        </wps:cNvSpPr>
                        <wps:spPr bwMode="auto">
                          <a:xfrm>
                            <a:off x="3086735" y="3368675"/>
                            <a:ext cx="1428750" cy="796290"/>
                          </a:xfrm>
                          <a:prstGeom prst="rect">
                            <a:avLst/>
                          </a:prstGeom>
                          <a:solidFill>
                            <a:srgbClr val="5F6062"/>
                          </a:solidFill>
                          <a:ln w="9525">
                            <a:solidFill>
                              <a:srgbClr val="000000"/>
                            </a:solidFill>
                            <a:miter lim="800000"/>
                            <a:headEnd/>
                            <a:tailEnd/>
                          </a:ln>
                        </wps:spPr>
                        <wps:txbx>
                          <w:txbxContent>
                            <w:p w14:paraId="5FF008A6" w14:textId="77777777" w:rsidR="00D21034" w:rsidRDefault="00D21034"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r>
                                <w:rPr>
                                  <w:b/>
                                  <w:i/>
                                  <w:sz w:val="14"/>
                                  <w:szCs w:val="18"/>
                                </w:rPr>
                                <w:t>SEE PARAGRAPH 27</w:t>
                              </w:r>
                            </w:p>
                          </w:txbxContent>
                        </wps:txbx>
                        <wps:bodyPr rot="0" vert="horz" wrap="square" lIns="68580" tIns="34290" rIns="68580" bIns="34290" anchor="ctr" anchorCtr="0" upright="1">
                          <a:noAutofit/>
                        </wps:bodyPr>
                      </wps:wsp>
                      <wps:wsp>
                        <wps:cNvPr id="85" name="Text Box 33"/>
                        <wps:cNvSpPr txBox="1">
                          <a:spLocks noChangeArrowheads="1"/>
                        </wps:cNvSpPr>
                        <wps:spPr bwMode="auto">
                          <a:xfrm>
                            <a:off x="2286000" y="4037330"/>
                            <a:ext cx="286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D32FA" w14:textId="77777777" w:rsidR="00D21034" w:rsidRDefault="00D21034"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86" name="Line 34"/>
                        <wps:cNvCnPr/>
                        <wps:spPr bwMode="auto">
                          <a:xfrm>
                            <a:off x="2256155" y="4055110"/>
                            <a:ext cx="127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5"/>
                        <wps:cNvCnPr/>
                        <wps:spPr bwMode="auto">
                          <a:xfrm>
                            <a:off x="857250" y="4055110"/>
                            <a:ext cx="635"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36"/>
                        <wps:cNvSpPr txBox="1">
                          <a:spLocks noChangeArrowheads="1"/>
                        </wps:cNvSpPr>
                        <wps:spPr bwMode="auto">
                          <a:xfrm>
                            <a:off x="914400" y="4055110"/>
                            <a:ext cx="285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54D0" w14:textId="77777777" w:rsidR="00D21034" w:rsidRDefault="00D21034" w:rsidP="001D73A4">
                              <w:pPr>
                                <w:rPr>
                                  <w:sz w:val="12"/>
                                  <w:szCs w:val="16"/>
                                </w:rPr>
                              </w:pPr>
                              <w:r>
                                <w:rPr>
                                  <w:sz w:val="12"/>
                                  <w:szCs w:val="16"/>
                                </w:rPr>
                                <w:t>Yes</w:t>
                              </w:r>
                            </w:p>
                          </w:txbxContent>
                        </wps:txbx>
                        <wps:bodyPr rot="0" vert="horz" wrap="square" lIns="68580" tIns="34290" rIns="68580" bIns="34290" anchor="t" anchorCtr="0" upright="1">
                          <a:noAutofit/>
                        </wps:bodyPr>
                      </wps:wsp>
                      <wps:wsp>
                        <wps:cNvPr id="89" name="Text Box 37"/>
                        <wps:cNvSpPr txBox="1">
                          <a:spLocks noChangeArrowheads="1"/>
                        </wps:cNvSpPr>
                        <wps:spPr bwMode="auto">
                          <a:xfrm>
                            <a:off x="228600" y="4291330"/>
                            <a:ext cx="1314450" cy="595630"/>
                          </a:xfrm>
                          <a:prstGeom prst="rect">
                            <a:avLst/>
                          </a:prstGeom>
                          <a:solidFill>
                            <a:srgbClr val="5F6062"/>
                          </a:solidFill>
                          <a:ln w="9525">
                            <a:solidFill>
                              <a:srgbClr val="000000"/>
                            </a:solidFill>
                            <a:miter lim="800000"/>
                            <a:headEnd/>
                            <a:tailEnd/>
                          </a:ln>
                        </wps:spPr>
                        <wps:txbx>
                          <w:txbxContent>
                            <w:p w14:paraId="37DB9A44" w14:textId="77777777" w:rsidR="00D21034" w:rsidRDefault="00D21034" w:rsidP="001D73A4">
                              <w:pPr>
                                <w:shd w:val="clear" w:color="auto" w:fill="BFBFBF" w:themeFill="background1" w:themeFillShade="BF"/>
                                <w:jc w:val="center"/>
                                <w:rPr>
                                  <w:sz w:val="12"/>
                                  <w:szCs w:val="16"/>
                                </w:rPr>
                              </w:pPr>
                              <w:r>
                                <w:rPr>
                                  <w:sz w:val="12"/>
                                  <w:szCs w:val="16"/>
                                </w:rPr>
                                <w:t>Operator recognises a financial asset to the extent that it has a contractual right to receive cash or another financial asset as described in paragraph 16</w:t>
                              </w:r>
                            </w:p>
                          </w:txbxContent>
                        </wps:txbx>
                        <wps:bodyPr rot="0" vert="horz" wrap="square" lIns="68580" tIns="34290" rIns="68580" bIns="34290" anchor="t" anchorCtr="0" upright="1">
                          <a:noAutofit/>
                        </wps:bodyPr>
                      </wps:wsp>
                      <wps:wsp>
                        <wps:cNvPr id="90" name="Text Box 38"/>
                        <wps:cNvSpPr txBox="1">
                          <a:spLocks noChangeArrowheads="1"/>
                        </wps:cNvSpPr>
                        <wps:spPr bwMode="auto">
                          <a:xfrm>
                            <a:off x="1800225" y="4291330"/>
                            <a:ext cx="1029335" cy="595630"/>
                          </a:xfrm>
                          <a:prstGeom prst="rect">
                            <a:avLst/>
                          </a:prstGeom>
                          <a:solidFill>
                            <a:srgbClr val="5F6062"/>
                          </a:solidFill>
                          <a:ln w="9525">
                            <a:solidFill>
                              <a:srgbClr val="000000"/>
                            </a:solidFill>
                            <a:miter lim="800000"/>
                            <a:headEnd/>
                            <a:tailEnd/>
                          </a:ln>
                        </wps:spPr>
                        <wps:txbx>
                          <w:txbxContent>
                            <w:p w14:paraId="3EA482FB" w14:textId="77777777" w:rsidR="00D21034" w:rsidRDefault="00D21034" w:rsidP="001D73A4">
                              <w:pPr>
                                <w:shd w:val="clear" w:color="auto" w:fill="BFBFBF" w:themeFill="background1" w:themeFillShade="BF"/>
                                <w:jc w:val="center"/>
                                <w:rPr>
                                  <w:sz w:val="12"/>
                                  <w:szCs w:val="16"/>
                                </w:rPr>
                              </w:pPr>
                              <w:r>
                                <w:rPr>
                                  <w:sz w:val="12"/>
                                  <w:szCs w:val="16"/>
                                </w:rPr>
                                <w:t>Operator recognises an intangible asset to the extent that it has a contractual right to receive an intangible asset as described in paragraph 17</w:t>
                              </w:r>
                            </w:p>
                          </w:txbxContent>
                        </wps:txbx>
                        <wps:bodyPr rot="0" vert="horz" wrap="square" lIns="68580" tIns="34290" rIns="68580" bIns="34290" anchor="t" anchorCtr="0" upright="1">
                          <a:noAutofit/>
                        </wps:bodyPr>
                      </wps:wsp>
                      <wps:wsp>
                        <wps:cNvPr id="91" name="Line 39"/>
                        <wps:cNvCnPr/>
                        <wps:spPr bwMode="auto">
                          <a:xfrm flipV="1">
                            <a:off x="2658110" y="3728720"/>
                            <a:ext cx="428625" cy="19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33"/>
                        <wps:cNvSpPr txBox="1">
                          <a:spLocks noChangeArrowheads="1"/>
                        </wps:cNvSpPr>
                        <wps:spPr bwMode="auto">
                          <a:xfrm>
                            <a:off x="2717460" y="3517560"/>
                            <a:ext cx="286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07F5" w14:textId="77777777" w:rsidR="00D21034" w:rsidRDefault="00D21034" w:rsidP="001D73A4">
                              <w:pPr>
                                <w:pStyle w:val="NormalWeb"/>
                                <w:spacing w:before="0" w:beforeAutospacing="0" w:after="0" w:afterAutospacing="0"/>
                              </w:pPr>
                              <w:r>
                                <w:rPr>
                                  <w:sz w:val="12"/>
                                  <w:szCs w:val="12"/>
                                  <w:lang w:val="en-US"/>
                                </w:rPr>
                                <w:t>No</w:t>
                              </w:r>
                            </w:p>
                          </w:txbxContent>
                        </wps:txbx>
                        <wps:bodyPr rot="0" vert="horz" wrap="square" lIns="68580" tIns="34290" rIns="68580" bIns="34290" anchor="t" anchorCtr="0" upright="1">
                          <a:noAutofit/>
                        </wps:bodyPr>
                      </wps:wsp>
                      <wps:wsp>
                        <wps:cNvPr id="93" name="Line 39"/>
                        <wps:cNvCnPr/>
                        <wps:spPr bwMode="auto">
                          <a:xfrm>
                            <a:off x="1416050" y="3765550"/>
                            <a:ext cx="214925" cy="41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33"/>
                        <wps:cNvSpPr txBox="1">
                          <a:spLocks noChangeArrowheads="1"/>
                        </wps:cNvSpPr>
                        <wps:spPr bwMode="auto">
                          <a:xfrm>
                            <a:off x="1369355" y="3558200"/>
                            <a:ext cx="286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CDBD9" w14:textId="77777777" w:rsidR="00D21034" w:rsidRDefault="00D21034" w:rsidP="001D73A4">
                              <w:pPr>
                                <w:pStyle w:val="NormalWeb"/>
                                <w:spacing w:before="0" w:beforeAutospacing="0" w:after="0" w:afterAutospacing="0"/>
                              </w:pPr>
                              <w:r>
                                <w:rPr>
                                  <w:sz w:val="12"/>
                                  <w:szCs w:val="12"/>
                                  <w:lang w:val="en-US"/>
                                </w:rPr>
                                <w:t>No</w:t>
                              </w:r>
                            </w:p>
                          </w:txbxContent>
                        </wps:txbx>
                        <wps:bodyPr rot="0" vert="horz" wrap="square" lIns="68580" tIns="34290" rIns="68580" bIns="34290" anchor="t" anchorCtr="0" upright="1">
                          <a:noAutofit/>
                        </wps:bodyPr>
                      </wps:wsp>
                    </wpg:wgp>
                  </a:graphicData>
                </a:graphic>
              </wp:inline>
            </w:drawing>
          </mc:Choice>
          <mc:Fallback>
            <w:pict>
              <v:group w14:anchorId="59DFC0C3" id="Group 8" o:spid="_x0000_s1059" alt="Title: Decision tree for the application of Interpretation 12 - Description: Decision tree for the application of Interpretation 12" style="width:402pt;height:411.6pt;mso-position-horizontal-relative:char;mso-position-vertical-relative:line" coordsize="51054,5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">
                <v:rect id="Rectangle 40" o:spid="_x0000_s1060" style="position:absolute;width:51054;height:5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shape id="Text Box 4" o:spid="_x0000_s1061" type="#_x0000_t202" style="position:absolute;left:1143;top:3105;width:1714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">
                  <v:textbox inset="5.4pt,2.7pt,5.4pt,2.7pt">
                    <w:txbxContent>
                      <w:p w14:paraId="671EC15C" w14:textId="77777777" w:rsidR="00D21034" w:rsidRDefault="00D21034" w:rsidP="001D73A4">
                        <w:pPr>
                          <w:tabs>
                            <w:tab w:val="left" w:pos="360"/>
                          </w:tabs>
                          <w:jc w:val="center"/>
                          <w:rPr>
                            <w:sz w:val="12"/>
                            <w:szCs w:val="16"/>
                          </w:rPr>
                        </w:pPr>
                        <w:r>
                          <w:rPr>
                            <w:sz w:val="12"/>
                            <w:szCs w:val="16"/>
                          </w:rPr>
                          <w:t>Does the grantor control or regulate what services the operator must provide with the infrastructure, to whom it must provide them, and at what price?</w:t>
                        </w:r>
                      </w:p>
                    </w:txbxContent>
                  </v:textbox>
                </v:shape>
                <v:line id="Line 5" o:spid="_x0000_s1062" style="position:absolute;visibility:visible;mso-wrap-style:square" from="18288,5994" to="24009,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6" o:spid="_x0000_s1063" type="#_x0000_t202" style="position:absolute;left:24009;top:3429;width:14853;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" fillcolor="#7f7f7f">
                  <v:textbox inset="5.4pt,2.7pt,5.4pt,2.7pt">
                    <w:txbxContent>
                      <w:p w14:paraId="174D05D4" w14:textId="77777777" w:rsidR="00D21034" w:rsidRDefault="00D21034"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r>
                          <w:rPr>
                            <w:b/>
                            <w:i/>
                            <w:sz w:val="14"/>
                            <w:szCs w:val="18"/>
                          </w:rPr>
                          <w:t>SEE INFORMATION NOTE 2</w:t>
                        </w:r>
                      </w:p>
                    </w:txbxContent>
                  </v:textbox>
                </v:shape>
                <v:shape id="Text Box 7" o:spid="_x0000_s1064" type="#_x0000_t202" style="position:absolute;left:1714;top:9429;width:1714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">
                  <v:textbox inset="5.4pt,2.7pt,5.4pt,2.7pt">
                    <w:txbxContent>
                      <w:p w14:paraId="772199DD" w14:textId="77777777" w:rsidR="00D21034" w:rsidRDefault="00D21034" w:rsidP="001D73A4">
                        <w:pPr>
                          <w:jc w:val="center"/>
                          <w:rPr>
                            <w:sz w:val="12"/>
                            <w:szCs w:val="16"/>
                          </w:rPr>
                        </w:pPr>
                        <w:r>
                          <w:rPr>
                            <w:sz w:val="12"/>
                            <w:szCs w:val="16"/>
                          </w:rPr>
                          <w:t>Does the grantor control, through ownership, beneficial entitlement or otherwise, any significant residual interest in the infrastructure at the end of the service arrangement?</w:t>
                        </w:r>
                      </w:p>
                      <w:p w14:paraId="5F18BA01" w14:textId="77777777" w:rsidR="00D21034" w:rsidRDefault="00D21034" w:rsidP="001D73A4">
                        <w:pPr>
                          <w:jc w:val="center"/>
                          <w:rPr>
                            <w:sz w:val="12"/>
                            <w:szCs w:val="16"/>
                          </w:rPr>
                        </w:pPr>
                        <w:r>
                          <w:rPr>
                            <w:sz w:val="12"/>
                            <w:szCs w:val="16"/>
                          </w:rPr>
                          <w:t>Or is the infrastructure used in the arrangement for its entire useful life?</w:t>
                        </w:r>
                      </w:p>
                    </w:txbxContent>
                  </v:textbox>
                </v:shape>
                <v:shape id="Text Box 8" o:spid="_x0000_s1065" type="#_x0000_t202" style="position:absolute;left:1714;top:18002;width:1314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">
                  <v:textbox inset="5.4pt,2.7pt,5.4pt,2.7pt">
                    <w:txbxContent>
                      <w:p w14:paraId="13A86B98" w14:textId="77777777" w:rsidR="00D21034" w:rsidRDefault="00D21034" w:rsidP="001D73A4">
                        <w:pPr>
                          <w:jc w:val="center"/>
                          <w:rPr>
                            <w:sz w:val="12"/>
                            <w:szCs w:val="16"/>
                          </w:rPr>
                        </w:pPr>
                        <w:r>
                          <w:rPr>
                            <w:sz w:val="12"/>
                            <w:szCs w:val="16"/>
                          </w:rPr>
                          <w:t>Is the infrastructure constructed or acquired by the operator from a third party for the purpose of the service arrangement?</w:t>
                        </w:r>
                      </w:p>
                    </w:txbxContent>
                  </v:textbox>
                </v:shape>
                <v:line id="Line 9" o:spid="_x0000_s1066" style="position:absolute;visibility:visible;mso-wrap-style:square" from="18859,11144" to="24009,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10" o:spid="_x0000_s1067" style="position:absolute;visibility:visible;mso-wrap-style:square" from="9423,6858" to="9429,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11" o:spid="_x0000_s1068" style="position:absolute;visibility:visible;mso-wrap-style:square" from="9429,15430" to="9436,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Text Box 12" o:spid="_x0000_s1069" type="#_x0000_t202" style="position:absolute;left:18859;top:4286;width:2572;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" filled="f" stroked="f">
                  <v:textbox inset="5.4pt,2.7pt,5.4pt,2.7pt">
                    <w:txbxContent>
                      <w:p w14:paraId="56679314" w14:textId="77777777" w:rsidR="00D21034" w:rsidRDefault="00D21034" w:rsidP="001D73A4">
                        <w:pPr>
                          <w:rPr>
                            <w:sz w:val="12"/>
                            <w:szCs w:val="16"/>
                          </w:rPr>
                        </w:pPr>
                        <w:r>
                          <w:rPr>
                            <w:sz w:val="12"/>
                            <w:szCs w:val="16"/>
                          </w:rPr>
                          <w:t>No</w:t>
                        </w:r>
                      </w:p>
                    </w:txbxContent>
                  </v:textbox>
                </v:shape>
                <v:shape id="Text Box 13" o:spid="_x0000_s1070" type="#_x0000_t202" style="position:absolute;left:19716;top:9429;width:2858;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" filled="f" stroked="f">
                  <v:textbox inset="5.4pt,2.7pt,5.4pt,2.7pt">
                    <w:txbxContent>
                      <w:p w14:paraId="4494AC7B" w14:textId="77777777" w:rsidR="00D21034" w:rsidRDefault="00D21034" w:rsidP="001D73A4">
                        <w:pPr>
                          <w:rPr>
                            <w:sz w:val="12"/>
                            <w:szCs w:val="16"/>
                          </w:rPr>
                        </w:pPr>
                        <w:r>
                          <w:rPr>
                            <w:sz w:val="12"/>
                            <w:szCs w:val="16"/>
                          </w:rPr>
                          <w:t>No</w:t>
                        </w:r>
                      </w:p>
                    </w:txbxContent>
                  </v:textbox>
                </v:shape>
                <v:shape id="Text Box 14" o:spid="_x0000_s1071" type="#_x0000_t202" style="position:absolute;left:9144;top:6858;width:285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" filled="f" stroked="f">
                  <v:textbox inset="5.4pt,2.7pt,5.4pt,2.7pt">
                    <w:txbxContent>
                      <w:p w14:paraId="0C7A3C9C" w14:textId="77777777" w:rsidR="00D21034" w:rsidRDefault="00D21034" w:rsidP="001D73A4">
                        <w:pPr>
                          <w:rPr>
                            <w:sz w:val="12"/>
                            <w:szCs w:val="16"/>
                          </w:rPr>
                        </w:pPr>
                        <w:r>
                          <w:rPr>
                            <w:sz w:val="12"/>
                            <w:szCs w:val="16"/>
                          </w:rPr>
                          <w:t>Yes</w:t>
                        </w:r>
                      </w:p>
                    </w:txbxContent>
                  </v:textbox>
                </v:shape>
                <v:shape id="Text Box 15" o:spid="_x0000_s1072" type="#_x0000_t202" style="position:absolute;left:18573;top:18002;width:13151;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">
                  <v:textbox inset="5.4pt,2.7pt,5.4pt,2.7pt">
                    <w:txbxContent>
                      <w:p w14:paraId="2208D0DB" w14:textId="77777777" w:rsidR="00D21034" w:rsidRDefault="00D21034" w:rsidP="001D73A4">
                        <w:pPr>
                          <w:jc w:val="center"/>
                          <w:rPr>
                            <w:sz w:val="12"/>
                            <w:szCs w:val="16"/>
                          </w:rPr>
                        </w:pPr>
                        <w:r>
                          <w:rPr>
                            <w:sz w:val="12"/>
                            <w:szCs w:val="16"/>
                          </w:rPr>
                          <w:t>Is the infrastructure existing infrastructure of the grantor to which the operator is given access for the purpose of the service arrangement?</w:t>
                        </w:r>
                      </w:p>
                    </w:txbxContent>
                  </v:textbox>
                </v:shape>
                <v:line id="Line 16" o:spid="_x0000_s1073" style="position:absolute;flip:y;visibility:visible;mso-wrap-style:square" from="14973,20586" to="18478,20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shape id="Text Box 17" o:spid="_x0000_s1074" type="#_x0000_t202" style="position:absolute;left:15430;top:18859;width:285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" filled="f" stroked="f">
                  <v:textbox inset="5.4pt,2.7pt,5.4pt,2.7pt">
                    <w:txbxContent>
                      <w:p w14:paraId="29CD698B" w14:textId="77777777" w:rsidR="00D21034" w:rsidRDefault="00D21034" w:rsidP="001D73A4">
                        <w:pPr>
                          <w:rPr>
                            <w:sz w:val="12"/>
                            <w:szCs w:val="16"/>
                          </w:rPr>
                        </w:pPr>
                        <w:r>
                          <w:rPr>
                            <w:sz w:val="12"/>
                            <w:szCs w:val="16"/>
                          </w:rPr>
                          <w:t>No</w:t>
                        </w:r>
                      </w:p>
                    </w:txbxContent>
                  </v:textbox>
                </v:shape>
                <v:shape id="Text Box 18" o:spid="_x0000_s1075" type="#_x0000_t202" style="position:absolute;left:28295;top:16287;width:2858;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" filled="f" stroked="f">
                  <v:textbox inset="5.4pt,2.7pt,5.4pt,2.7pt">
                    <w:txbxContent>
                      <w:p w14:paraId="429802B6" w14:textId="77777777" w:rsidR="00D21034" w:rsidRDefault="00D21034" w:rsidP="001D73A4">
                        <w:pPr>
                          <w:rPr>
                            <w:sz w:val="12"/>
                            <w:szCs w:val="16"/>
                          </w:rPr>
                        </w:pPr>
                        <w:r>
                          <w:rPr>
                            <w:sz w:val="12"/>
                            <w:szCs w:val="16"/>
                          </w:rPr>
                          <w:t>No</w:t>
                        </w:r>
                      </w:p>
                    </w:txbxContent>
                  </v:textbox>
                </v:shape>
                <v:line id="Line 19" o:spid="_x0000_s1076" style="position:absolute;flip:y;visibility:visible;mso-wrap-style:square" from="28295,12001" to="28295,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">
                  <v:stroke endarrow="block"/>
                </v:line>
                <v:shape id="Text Box 20" o:spid="_x0000_s1077" type="#_x0000_t202" style="position:absolute;left:25723;top:24003;width:257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" filled="f" stroked="f">
                  <v:textbox inset="5.4pt,2.7pt,5.4pt,2.7pt">
                    <w:txbxContent>
                      <w:p w14:paraId="6F6E8F73" w14:textId="77777777" w:rsidR="00D21034" w:rsidRDefault="00D21034" w:rsidP="001D73A4">
                        <w:pPr>
                          <w:rPr>
                            <w:sz w:val="12"/>
                            <w:szCs w:val="16"/>
                          </w:rPr>
                        </w:pPr>
                        <w:r>
                          <w:rPr>
                            <w:sz w:val="12"/>
                            <w:szCs w:val="16"/>
                          </w:rPr>
                          <w:t>Yes</w:t>
                        </w:r>
                      </w:p>
                    </w:txbxContent>
                  </v:textbox>
                </v:shape>
                <v:line id="Line 21" o:spid="_x0000_s1078" style="position:absolute;visibility:visible;mso-wrap-style:square" from="25723,23145" to="25723,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shape id="Text Box 22" o:spid="_x0000_s1079" type="#_x0000_t202" style="position:absolute;left:9429;top:15430;width:2858;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" filled="f" stroked="f">
                  <v:textbox inset="5.4pt,2.7pt,5.4pt,2.7pt">
                    <w:txbxContent>
                      <w:p w14:paraId="3B8E5BC4" w14:textId="77777777" w:rsidR="00D21034" w:rsidRDefault="00D21034" w:rsidP="001D73A4">
                        <w:pPr>
                          <w:rPr>
                            <w:sz w:val="12"/>
                            <w:szCs w:val="16"/>
                          </w:rPr>
                        </w:pPr>
                        <w:r>
                          <w:rPr>
                            <w:sz w:val="12"/>
                            <w:szCs w:val="16"/>
                          </w:rPr>
                          <w:t>Yes</w:t>
                        </w:r>
                      </w:p>
                    </w:txbxContent>
                  </v:textbox>
                </v:shape>
                <v:line id="Line 23" o:spid="_x0000_s1080" style="position:absolute;visibility:visible;mso-wrap-style:square" from="9423,23145" to="9429,2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shape id="Text Box 24" o:spid="_x0000_s1081" type="#_x0000_t202" style="position:absolute;left:9429;top:23145;width:257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" filled="f" stroked="f">
                  <v:textbox inset="5.4pt,2.7pt,5.4pt,2.7pt">
                    <w:txbxContent>
                      <w:p w14:paraId="7D31B24A" w14:textId="77777777" w:rsidR="00D21034" w:rsidRDefault="00D21034" w:rsidP="001D73A4">
                        <w:pPr>
                          <w:rPr>
                            <w:sz w:val="12"/>
                            <w:szCs w:val="16"/>
                          </w:rPr>
                        </w:pPr>
                        <w:r>
                          <w:rPr>
                            <w:sz w:val="12"/>
                            <w:szCs w:val="16"/>
                          </w:rPr>
                          <w:t>Yes</w:t>
                        </w:r>
                      </w:p>
                    </w:txbxContent>
                  </v:textbox>
                </v:shape>
                <v:shape id="Text Box 25" o:spid="_x0000_s1082" type="#_x0000_t202" style="position:absolute;left:857;top:26581;width:442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" fillcolor="#5f6062">
                  <v:textbox inset="5.4pt,2.7pt,5.4pt,2.7pt">
                    <w:txbxContent>
                      <w:p w14:paraId="4D8A1EB1" w14:textId="77777777" w:rsidR="00D21034" w:rsidRDefault="00D21034" w:rsidP="001D73A4">
                        <w:pPr>
                          <w:shd w:val="clear" w:color="auto" w:fill="BFBFBF" w:themeFill="background1" w:themeFillShade="BF"/>
                          <w:jc w:val="center"/>
                          <w:rPr>
                            <w:b/>
                            <w:sz w:val="14"/>
                            <w:szCs w:val="18"/>
                          </w:rPr>
                        </w:pPr>
                        <w:r>
                          <w:rPr>
                            <w:b/>
                            <w:sz w:val="14"/>
                            <w:szCs w:val="18"/>
                          </w:rPr>
                          <w:t>WITHIN THE SCOPE OF THE INTERPRETATION</w:t>
                        </w:r>
                        <w:r>
                          <w:rPr>
                            <w:b/>
                            <w:sz w:val="14"/>
                            <w:szCs w:val="18"/>
                          </w:rPr>
                          <w:br/>
                          <w:t xml:space="preserve">Operator does not recognise infrastructure as property, plant and equipment or as a </w:t>
                        </w:r>
                        <w:r>
                          <w:rPr>
                            <w:b/>
                            <w:strike/>
                            <w:sz w:val="14"/>
                            <w:szCs w:val="18"/>
                          </w:rPr>
                          <w:t>leased</w:t>
                        </w:r>
                        <w:r>
                          <w:rPr>
                            <w:b/>
                            <w:sz w:val="14"/>
                            <w:szCs w:val="18"/>
                          </w:rPr>
                          <w:t xml:space="preserve"> </w:t>
                        </w:r>
                        <w:r>
                          <w:rPr>
                            <w:b/>
                            <w:sz w:val="14"/>
                            <w:szCs w:val="18"/>
                            <w:u w:val="single"/>
                          </w:rPr>
                          <w:t>right-of-use</w:t>
                        </w:r>
                        <w:r>
                          <w:rPr>
                            <w:b/>
                            <w:sz w:val="14"/>
                            <w:szCs w:val="18"/>
                          </w:rPr>
                          <w:t xml:space="preserve"> asset.</w:t>
                        </w:r>
                      </w:p>
                    </w:txbxContent>
                  </v:textbox>
                </v:shape>
                <v:line id="Line 26" o:spid="_x0000_s1083" style="position:absolute;visibility:visible;mso-wrap-style:square" from="14573,30010" to="14579,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27" o:spid="_x0000_s1084" style="position:absolute;visibility:visible;mso-wrap-style:square" from="8572,31724" to="21431,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28" o:spid="_x0000_s1085" style="position:absolute;visibility:visible;mso-wrap-style:square" from="8572,31724" to="8578,3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29" o:spid="_x0000_s1086" style="position:absolute;visibility:visible;mso-wrap-style:square" from="21431,31724" to="21437,3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shape id="Text Box 30" o:spid="_x0000_s1087" type="#_x0000_t202" style="position:absolute;left:2571;top:34296;width:11430;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">
                  <v:textbox inset="5.4pt,2.7pt,5.4pt,2.7pt">
                    <w:txbxContent>
                      <w:p w14:paraId="0C6B626D" w14:textId="77777777" w:rsidR="00D21034" w:rsidRDefault="00D21034" w:rsidP="001D73A4">
                        <w:pPr>
                          <w:jc w:val="center"/>
                          <w:rPr>
                            <w:sz w:val="12"/>
                            <w:szCs w:val="16"/>
                          </w:rPr>
                        </w:pPr>
                        <w:r>
                          <w:rPr>
                            <w:sz w:val="12"/>
                            <w:szCs w:val="16"/>
                          </w:rPr>
                          <w:t>Does the operator have a contractual right to receive cash or other financial asset from or at the direction of the grantor as described in paragraph 16?</w:t>
                        </w:r>
                      </w:p>
                    </w:txbxContent>
                  </v:textbox>
                </v:shape>
                <v:shape id="Text Box 31" o:spid="_x0000_s1088" type="#_x0000_t202" style="position:absolute;left:16287;top:34296;width:1029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">
                  <v:textbox inset="5.4pt,2.7pt,5.4pt,2.7pt">
                    <w:txbxContent>
                      <w:p w14:paraId="69EC5DF3" w14:textId="77777777" w:rsidR="00D21034" w:rsidRDefault="00D21034" w:rsidP="001D73A4">
                        <w:pPr>
                          <w:jc w:val="center"/>
                          <w:rPr>
                            <w:sz w:val="12"/>
                            <w:szCs w:val="16"/>
                          </w:rPr>
                        </w:pPr>
                        <w:r>
                          <w:rPr>
                            <w:sz w:val="12"/>
                            <w:szCs w:val="16"/>
                          </w:rPr>
                          <w:t xml:space="preserve">Does the operator have a contractual right to charge users of the public services as described in </w:t>
                        </w:r>
                        <w:r>
                          <w:rPr>
                            <w:sz w:val="12"/>
                            <w:szCs w:val="16"/>
                          </w:rPr>
                          <w:br/>
                          <w:t>paragraph 17?</w:t>
                        </w:r>
                      </w:p>
                    </w:txbxContent>
                  </v:textbox>
                </v:shape>
                <v:shape id="Text Box 32" o:spid="_x0000_s1089" type="#_x0000_t202" style="position:absolute;left:30867;top:33686;width:14287;height:7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" fillcolor="#5f6062">
                  <v:textbox inset="5.4pt,2.7pt,5.4pt,2.7pt">
                    <w:txbxContent>
                      <w:p w14:paraId="5FF008A6" w14:textId="77777777" w:rsidR="00D21034" w:rsidRDefault="00D21034" w:rsidP="001D73A4">
                        <w:pPr>
                          <w:shd w:val="clear" w:color="auto" w:fill="BFBFBF" w:themeFill="background1" w:themeFillShade="BF"/>
                          <w:tabs>
                            <w:tab w:val="left" w:pos="0"/>
                          </w:tabs>
                          <w:jc w:val="center"/>
                          <w:rPr>
                            <w:b/>
                            <w:i/>
                            <w:sz w:val="14"/>
                            <w:szCs w:val="18"/>
                          </w:rPr>
                        </w:pPr>
                        <w:r>
                          <w:rPr>
                            <w:b/>
                            <w:sz w:val="14"/>
                            <w:szCs w:val="18"/>
                          </w:rPr>
                          <w:t>OUTSIDE</w:t>
                        </w:r>
                        <w:r>
                          <w:rPr>
                            <w:b/>
                            <w:sz w:val="14"/>
                            <w:szCs w:val="18"/>
                          </w:rPr>
                          <w:br/>
                          <w:t xml:space="preserve"> THE SCOPE OF</w:t>
                        </w:r>
                        <w:r>
                          <w:rPr>
                            <w:b/>
                            <w:sz w:val="14"/>
                            <w:szCs w:val="18"/>
                          </w:rPr>
                          <w:br/>
                          <w:t xml:space="preserve"> THE INTERPRETATION</w:t>
                        </w:r>
                        <w:r>
                          <w:rPr>
                            <w:b/>
                            <w:sz w:val="14"/>
                            <w:szCs w:val="18"/>
                          </w:rPr>
                          <w:br/>
                        </w:r>
                        <w:r>
                          <w:rPr>
                            <w:b/>
                            <w:i/>
                            <w:sz w:val="14"/>
                            <w:szCs w:val="18"/>
                          </w:rPr>
                          <w:t>SEE PARAGRAPH 27</w:t>
                        </w:r>
                      </w:p>
                    </w:txbxContent>
                  </v:textbox>
                </v:shape>
                <v:shape id="Text Box 33" o:spid="_x0000_s1090" type="#_x0000_t202" style="position:absolute;left:22860;top:40373;width:286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" filled="f" stroked="f">
                  <v:textbox inset="5.4pt,2.7pt,5.4pt,2.7pt">
                    <w:txbxContent>
                      <w:p w14:paraId="131D32FA" w14:textId="77777777" w:rsidR="00D21034" w:rsidRDefault="00D21034" w:rsidP="001D73A4">
                        <w:pPr>
                          <w:rPr>
                            <w:sz w:val="12"/>
                            <w:szCs w:val="16"/>
                          </w:rPr>
                        </w:pPr>
                        <w:r>
                          <w:rPr>
                            <w:sz w:val="12"/>
                            <w:szCs w:val="16"/>
                          </w:rPr>
                          <w:t>Yes</w:t>
                        </w:r>
                      </w:p>
                    </w:txbxContent>
                  </v:textbox>
                </v:shape>
                <v:line id="Line 34" o:spid="_x0000_s1091" style="position:absolute;visibility:visible;mso-wrap-style:square" from="22561,40551" to="22574,4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35" o:spid="_x0000_s1092" style="position:absolute;visibility:visible;mso-wrap-style:square" from="8572,40551" to="8578,4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shape id="Text Box 36" o:spid="_x0000_s1093" type="#_x0000_t202" style="position:absolute;left:9144;top:40551;width:285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" filled="f" stroked="f">
                  <v:textbox inset="5.4pt,2.7pt,5.4pt,2.7pt">
                    <w:txbxContent>
                      <w:p w14:paraId="4F8E54D0" w14:textId="77777777" w:rsidR="00D21034" w:rsidRDefault="00D21034" w:rsidP="001D73A4">
                        <w:pPr>
                          <w:rPr>
                            <w:sz w:val="12"/>
                            <w:szCs w:val="16"/>
                          </w:rPr>
                        </w:pPr>
                        <w:r>
                          <w:rPr>
                            <w:sz w:val="12"/>
                            <w:szCs w:val="16"/>
                          </w:rPr>
                          <w:t>Yes</w:t>
                        </w:r>
                      </w:p>
                    </w:txbxContent>
                  </v:textbox>
                </v:shape>
                <v:shape id="Text Box 37" o:spid="_x0000_s1094" type="#_x0000_t202" style="position:absolute;left:2286;top:42913;width:13144;height:5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" fillcolor="#5f6062">
                  <v:textbox inset="5.4pt,2.7pt,5.4pt,2.7pt">
                    <w:txbxContent>
                      <w:p w14:paraId="37DB9A44" w14:textId="77777777" w:rsidR="00D21034" w:rsidRDefault="00D21034" w:rsidP="001D73A4">
                        <w:pPr>
                          <w:shd w:val="clear" w:color="auto" w:fill="BFBFBF" w:themeFill="background1" w:themeFillShade="BF"/>
                          <w:jc w:val="center"/>
                          <w:rPr>
                            <w:sz w:val="12"/>
                            <w:szCs w:val="16"/>
                          </w:rPr>
                        </w:pPr>
                        <w:r>
                          <w:rPr>
                            <w:sz w:val="12"/>
                            <w:szCs w:val="16"/>
                          </w:rPr>
                          <w:t>Operator recognises a financial asset to the extent that it has a contractual right to receive cash or another financial asset as described in paragraph 16</w:t>
                        </w:r>
                      </w:p>
                    </w:txbxContent>
                  </v:textbox>
                </v:shape>
                <v:shape id="Text Box 38" o:spid="_x0000_s1095" type="#_x0000_t202" style="position:absolute;left:18002;top:42913;width:10293;height:5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" fillcolor="#5f6062">
                  <v:textbox inset="5.4pt,2.7pt,5.4pt,2.7pt">
                    <w:txbxContent>
                      <w:p w14:paraId="3EA482FB" w14:textId="77777777" w:rsidR="00D21034" w:rsidRDefault="00D21034" w:rsidP="001D73A4">
                        <w:pPr>
                          <w:shd w:val="clear" w:color="auto" w:fill="BFBFBF" w:themeFill="background1" w:themeFillShade="BF"/>
                          <w:jc w:val="center"/>
                          <w:rPr>
                            <w:sz w:val="12"/>
                            <w:szCs w:val="16"/>
                          </w:rPr>
                        </w:pPr>
                        <w:r>
                          <w:rPr>
                            <w:sz w:val="12"/>
                            <w:szCs w:val="16"/>
                          </w:rPr>
                          <w:t>Operator recognises an intangible asset to the extent that it has a contractual right to receive an intangible asset as described in paragraph 17</w:t>
                        </w:r>
                      </w:p>
                    </w:txbxContent>
                  </v:textbox>
                </v:shape>
                <v:line id="Line 39" o:spid="_x0000_s1096" style="position:absolute;flip:y;visibility:visible;mso-wrap-style:square" from="26581,37287" to="30867,37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v:line>
                <v:shape id="Text Box 33" o:spid="_x0000_s1097" type="#_x0000_t202" style="position:absolute;left:27174;top:35175;width:2864;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" filled="f" stroked="f">
                  <v:textbox inset="5.4pt,2.7pt,5.4pt,2.7pt">
                    <w:txbxContent>
                      <w:p w14:paraId="1AEC07F5" w14:textId="77777777" w:rsidR="00D21034" w:rsidRDefault="00D21034" w:rsidP="001D73A4">
                        <w:pPr>
                          <w:pStyle w:val="NormalWeb"/>
                          <w:spacing w:before="0" w:beforeAutospacing="0" w:after="0" w:afterAutospacing="0"/>
                        </w:pPr>
                        <w:r>
                          <w:rPr>
                            <w:sz w:val="12"/>
                            <w:szCs w:val="12"/>
                            <w:lang w:val="en-US"/>
                          </w:rPr>
                          <w:t>No</w:t>
                        </w:r>
                      </w:p>
                    </w:txbxContent>
                  </v:textbox>
                </v:shape>
                <v:line id="Line 39" o:spid="_x0000_s1098" style="position:absolute;visibility:visible;mso-wrap-style:square" from="14160,37655" to="16309,3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shape id="Text Box 33" o:spid="_x0000_s1099" type="#_x0000_t202" style="position:absolute;left:13693;top:35582;width:286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" filled="f" stroked="f">
                  <v:textbox inset="5.4pt,2.7pt,5.4pt,2.7pt">
                    <w:txbxContent>
                      <w:p w14:paraId="728CDBD9" w14:textId="77777777" w:rsidR="00D21034" w:rsidRDefault="00D21034" w:rsidP="001D73A4">
                        <w:pPr>
                          <w:pStyle w:val="NormalWeb"/>
                          <w:spacing w:before="0" w:beforeAutospacing="0" w:after="0" w:afterAutospacing="0"/>
                        </w:pPr>
                        <w:r>
                          <w:rPr>
                            <w:sz w:val="12"/>
                            <w:szCs w:val="12"/>
                            <w:lang w:val="en-US"/>
                          </w:rPr>
                          <w:t>No</w:t>
                        </w:r>
                      </w:p>
                    </w:txbxContent>
                  </v:textbox>
                </v:shape>
                <w10:anchorlock/>
              </v:group>
            </w:pict>
          </mc:Fallback>
        </mc:AlternateContent>
      </w:r>
    </w:p>
    <w:p w14:paraId="7BEDD553" w14:textId="77777777" w:rsidR="001D73A4" w:rsidRDefault="001D73A4" w:rsidP="001D73A4">
      <w:pPr>
        <w:pStyle w:val="IASBSectionTitle1NonInd"/>
      </w:pPr>
      <w:r>
        <w:t>Information note 2</w:t>
      </w:r>
    </w:p>
    <w:p w14:paraId="6E1DC9DC" w14:textId="77777777" w:rsidR="001D73A4" w:rsidRDefault="001D73A4" w:rsidP="001D73A4">
      <w:pPr>
        <w:pStyle w:val="IASBSectionTitle1NonInd"/>
        <w:pBdr>
          <w:bottom w:val="none" w:sz="0" w:space="0" w:color="auto"/>
        </w:pBdr>
      </w:pPr>
      <w:r>
        <w:t>References to AASB pronouncements that apply to typical types of public-to-private arrangements</w:t>
      </w:r>
    </w:p>
    <w:p w14:paraId="07D5EEBE" w14:textId="77777777" w:rsidR="001D73A4" w:rsidRDefault="001D73A4" w:rsidP="001D73A4">
      <w:pPr>
        <w:pStyle w:val="IASBNormal"/>
      </w:pPr>
      <w:r>
        <w:t>...</w:t>
      </w:r>
    </w:p>
    <w:p w14:paraId="35349F34" w14:textId="77777777" w:rsidR="001D73A4" w:rsidRDefault="001D73A4" w:rsidP="001D73A4">
      <w:pPr>
        <w:pStyle w:val="IASBNormal"/>
      </w:pPr>
      <w:r>
        <w:t xml:space="preserve">The table sets out the typical types of arrangements for private sector participation in the provision of public sector services and provides references to </w:t>
      </w:r>
      <w:r w:rsidR="00924F25">
        <w:t>Australian Accounting Standards</w:t>
      </w:r>
      <w:r>
        <w:t xml:space="preserve"> that apply to those arrangements. The list of arrangements types is not exhaustive. The purpose of the table is to highlight the continuum of arrangements. It is not the IFRIC’s intention to convey the impression that bright lines exist between the accounting requirements for public-to-private arrangements.</w:t>
      </w:r>
    </w:p>
    <w:tbl>
      <w:tblPr>
        <w:tblOverlap w:val="never"/>
        <w:tblW w:w="71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 w:type="dxa"/>
          <w:left w:w="50" w:type="dxa"/>
          <w:bottom w:w="28" w:type="dxa"/>
          <w:right w:w="50" w:type="dxa"/>
        </w:tblCellMar>
        <w:tblLook w:val="04A0" w:firstRow="1" w:lastRow="0" w:firstColumn="1" w:lastColumn="0" w:noHBand="0" w:noVBand="1"/>
        <w:tblCaption w:val="AASB 16 Table 12"/>
        <w:tblDescription w:val="Information note 2- Amendments to AASB 1023"/>
      </w:tblPr>
      <w:tblGrid>
        <w:gridCol w:w="1216"/>
        <w:gridCol w:w="846"/>
        <w:gridCol w:w="1183"/>
        <w:gridCol w:w="1161"/>
        <w:gridCol w:w="802"/>
        <w:gridCol w:w="739"/>
        <w:gridCol w:w="1177"/>
      </w:tblGrid>
      <w:tr w:rsidR="001D73A4" w14:paraId="47D8E59F"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hideMark/>
          </w:tcPr>
          <w:p w14:paraId="3ECC5FDD" w14:textId="77777777" w:rsidR="001D73A4" w:rsidRDefault="001D73A4">
            <w:pPr>
              <w:spacing w:before="200" w:line="480" w:lineRule="auto"/>
              <w:rPr>
                <w:rFonts w:ascii="Arial" w:hAnsi="Arial" w:cs="Arial"/>
                <w:sz w:val="16"/>
                <w:szCs w:val="16"/>
                <w:lang w:val="en-GB" w:eastAsia="en-GB"/>
              </w:rPr>
            </w:pPr>
            <w:r>
              <w:rPr>
                <w:rFonts w:ascii="Arial" w:hAnsi="Arial" w:cs="Arial"/>
                <w:b/>
                <w:sz w:val="16"/>
                <w:szCs w:val="16"/>
                <w:lang w:eastAsia="en-GB"/>
              </w:rPr>
              <w:t>Category</w:t>
            </w:r>
          </w:p>
        </w:tc>
        <w:tc>
          <w:tcPr>
            <w:tcW w:w="463" w:type="pct"/>
            <w:tcBorders>
              <w:top w:val="single" w:sz="8" w:space="0" w:color="auto"/>
              <w:left w:val="single" w:sz="8" w:space="0" w:color="auto"/>
              <w:bottom w:val="single" w:sz="8" w:space="0" w:color="auto"/>
              <w:right w:val="single" w:sz="8" w:space="0" w:color="auto"/>
            </w:tcBorders>
            <w:hideMark/>
          </w:tcPr>
          <w:p w14:paraId="4186702F" w14:textId="77777777" w:rsidR="001D73A4" w:rsidRDefault="001D73A4">
            <w:pPr>
              <w:spacing w:before="200" w:line="480" w:lineRule="auto"/>
              <w:jc w:val="center"/>
              <w:rPr>
                <w:rFonts w:ascii="Arial" w:hAnsi="Arial" w:cs="Arial"/>
                <w:sz w:val="16"/>
                <w:szCs w:val="16"/>
                <w:lang w:val="en-GB" w:eastAsia="en-GB"/>
              </w:rPr>
            </w:pPr>
            <w:r>
              <w:rPr>
                <w:rFonts w:ascii="Arial" w:hAnsi="Arial" w:cs="Arial"/>
                <w:b/>
                <w:sz w:val="16"/>
                <w:szCs w:val="16"/>
                <w:lang w:eastAsia="en-GB"/>
              </w:rPr>
              <w:t>Lessee</w:t>
            </w:r>
          </w:p>
        </w:tc>
        <w:tc>
          <w:tcPr>
            <w:tcW w:w="1723" w:type="pct"/>
            <w:gridSpan w:val="3"/>
            <w:tcBorders>
              <w:top w:val="single" w:sz="8" w:space="0" w:color="auto"/>
              <w:left w:val="single" w:sz="8" w:space="0" w:color="auto"/>
              <w:bottom w:val="single" w:sz="8" w:space="0" w:color="auto"/>
              <w:right w:val="single" w:sz="8" w:space="0" w:color="auto"/>
            </w:tcBorders>
            <w:hideMark/>
          </w:tcPr>
          <w:p w14:paraId="5D8A9F2D" w14:textId="77777777" w:rsidR="001D73A4" w:rsidRDefault="001D73A4">
            <w:pPr>
              <w:spacing w:before="200" w:line="480" w:lineRule="auto"/>
              <w:jc w:val="center"/>
              <w:rPr>
                <w:rFonts w:ascii="Arial" w:hAnsi="Arial" w:cs="Arial"/>
                <w:sz w:val="16"/>
                <w:szCs w:val="16"/>
                <w:lang w:val="en-GB" w:eastAsia="en-GB"/>
              </w:rPr>
            </w:pPr>
            <w:r>
              <w:rPr>
                <w:rFonts w:ascii="Arial" w:hAnsi="Arial" w:cs="Arial"/>
                <w:b/>
                <w:sz w:val="16"/>
                <w:szCs w:val="16"/>
                <w:lang w:eastAsia="en-GB"/>
              </w:rPr>
              <w:t>Service provider</w:t>
            </w:r>
          </w:p>
        </w:tc>
        <w:tc>
          <w:tcPr>
            <w:tcW w:w="1049" w:type="pct"/>
            <w:gridSpan w:val="2"/>
            <w:tcBorders>
              <w:top w:val="single" w:sz="8" w:space="0" w:color="auto"/>
              <w:left w:val="single" w:sz="8" w:space="0" w:color="auto"/>
              <w:bottom w:val="single" w:sz="8" w:space="0" w:color="auto"/>
              <w:right w:val="single" w:sz="8" w:space="0" w:color="auto"/>
            </w:tcBorders>
            <w:hideMark/>
          </w:tcPr>
          <w:p w14:paraId="2A0974F7" w14:textId="77777777" w:rsidR="001D73A4" w:rsidRDefault="001D73A4">
            <w:pPr>
              <w:spacing w:before="200" w:line="480" w:lineRule="auto"/>
              <w:jc w:val="center"/>
              <w:rPr>
                <w:rFonts w:ascii="Arial" w:hAnsi="Arial" w:cs="Arial"/>
                <w:sz w:val="16"/>
                <w:szCs w:val="16"/>
                <w:lang w:val="en-GB" w:eastAsia="en-GB"/>
              </w:rPr>
            </w:pPr>
            <w:r>
              <w:rPr>
                <w:rFonts w:ascii="Arial" w:hAnsi="Arial" w:cs="Arial"/>
                <w:b/>
                <w:sz w:val="16"/>
                <w:szCs w:val="16"/>
                <w:lang w:eastAsia="en-GB"/>
              </w:rPr>
              <w:t>Owner</w:t>
            </w:r>
          </w:p>
        </w:tc>
      </w:tr>
      <w:tr w:rsidR="001D73A4" w14:paraId="713F1EA7"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hideMark/>
          </w:tcPr>
          <w:p w14:paraId="66EDDFF3" w14:textId="77777777" w:rsidR="001D73A4" w:rsidRDefault="001D73A4">
            <w:pPr>
              <w:spacing w:before="200" w:after="100" w:line="276" w:lineRule="auto"/>
              <w:rPr>
                <w:rFonts w:ascii="Arial" w:hAnsi="Arial" w:cs="Arial"/>
                <w:sz w:val="16"/>
                <w:szCs w:val="16"/>
                <w:lang w:val="en-GB" w:eastAsia="en-GB"/>
              </w:rPr>
            </w:pPr>
            <w:r>
              <w:rPr>
                <w:rFonts w:ascii="Arial" w:hAnsi="Arial" w:cs="Arial"/>
                <w:sz w:val="16"/>
                <w:szCs w:val="16"/>
                <w:lang w:eastAsia="en-GB"/>
              </w:rPr>
              <w:t>Typical arrangement types</w:t>
            </w:r>
          </w:p>
        </w:tc>
        <w:tc>
          <w:tcPr>
            <w:tcW w:w="463" w:type="pct"/>
            <w:tcBorders>
              <w:top w:val="single" w:sz="8" w:space="0" w:color="auto"/>
              <w:left w:val="single" w:sz="8" w:space="0" w:color="auto"/>
              <w:bottom w:val="single" w:sz="8" w:space="0" w:color="auto"/>
              <w:right w:val="single" w:sz="8" w:space="0" w:color="auto"/>
            </w:tcBorders>
            <w:hideMark/>
          </w:tcPr>
          <w:p w14:paraId="4EB5494A"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 xml:space="preserve">Lease (eg Operator leases asset </w:t>
            </w:r>
            <w:r>
              <w:rPr>
                <w:rFonts w:ascii="Arial" w:hAnsi="Arial" w:cs="Arial"/>
                <w:sz w:val="16"/>
                <w:szCs w:val="16"/>
                <w:lang w:eastAsia="en-GB"/>
              </w:rPr>
              <w:lastRenderedPageBreak/>
              <w:t>from grantor)</w:t>
            </w:r>
          </w:p>
        </w:tc>
        <w:tc>
          <w:tcPr>
            <w:tcW w:w="648" w:type="pct"/>
            <w:tcBorders>
              <w:top w:val="single" w:sz="8" w:space="0" w:color="auto"/>
              <w:left w:val="single" w:sz="8" w:space="0" w:color="auto"/>
              <w:bottom w:val="single" w:sz="8" w:space="0" w:color="auto"/>
              <w:right w:val="single" w:sz="8" w:space="0" w:color="auto"/>
            </w:tcBorders>
            <w:hideMark/>
          </w:tcPr>
          <w:p w14:paraId="1BC977D3"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lastRenderedPageBreak/>
              <w:t xml:space="preserve">Service and/or maintenance contract (specific tasks </w:t>
            </w:r>
            <w:r>
              <w:rPr>
                <w:rFonts w:ascii="Arial" w:hAnsi="Arial" w:cs="Arial"/>
                <w:sz w:val="16"/>
                <w:szCs w:val="16"/>
                <w:lang w:eastAsia="en-GB"/>
              </w:rPr>
              <w:lastRenderedPageBreak/>
              <w:t>eg debt collection)</w:t>
            </w:r>
          </w:p>
        </w:tc>
        <w:tc>
          <w:tcPr>
            <w:tcW w:w="636"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1B068843"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lastRenderedPageBreak/>
              <w:t>Rehabilitate-operate-transfer</w:t>
            </w:r>
          </w:p>
        </w:tc>
        <w:tc>
          <w:tcPr>
            <w:tcW w:w="439" w:type="pct"/>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64A62510"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Build-</w:t>
            </w:r>
            <w:r>
              <w:rPr>
                <w:rFonts w:ascii="Arial" w:hAnsi="Arial" w:cs="Arial"/>
                <w:sz w:val="16"/>
                <w:szCs w:val="16"/>
                <w:lang w:eastAsia="en-GB"/>
              </w:rPr>
              <w:br/>
              <w:t>operate-transfer</w:t>
            </w:r>
          </w:p>
        </w:tc>
        <w:tc>
          <w:tcPr>
            <w:tcW w:w="405" w:type="pct"/>
            <w:tcBorders>
              <w:top w:val="single" w:sz="8" w:space="0" w:color="auto"/>
              <w:left w:val="single" w:sz="8" w:space="0" w:color="auto"/>
              <w:bottom w:val="single" w:sz="8" w:space="0" w:color="auto"/>
              <w:right w:val="single" w:sz="8" w:space="0" w:color="auto"/>
            </w:tcBorders>
            <w:hideMark/>
          </w:tcPr>
          <w:p w14:paraId="54E8D5E4"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Build-own-operate</w:t>
            </w:r>
          </w:p>
        </w:tc>
        <w:tc>
          <w:tcPr>
            <w:tcW w:w="645" w:type="pct"/>
            <w:tcBorders>
              <w:top w:val="single" w:sz="8" w:space="0" w:color="auto"/>
              <w:left w:val="single" w:sz="8" w:space="0" w:color="auto"/>
              <w:bottom w:val="single" w:sz="8" w:space="0" w:color="auto"/>
              <w:right w:val="single" w:sz="8" w:space="0" w:color="auto"/>
            </w:tcBorders>
            <w:hideMark/>
          </w:tcPr>
          <w:p w14:paraId="03626812"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100% Divestment/ Privatisation/ Corporation</w:t>
            </w:r>
          </w:p>
        </w:tc>
      </w:tr>
      <w:tr w:rsidR="00DF4D4C" w14:paraId="6EC548F3"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tcPr>
          <w:p w14:paraId="1D87DBA4" w14:textId="77777777" w:rsidR="00DF4D4C" w:rsidRDefault="00DF4D4C">
            <w:pPr>
              <w:spacing w:before="200" w:after="100" w:line="276" w:lineRule="auto"/>
              <w:rPr>
                <w:rFonts w:ascii="Arial" w:hAnsi="Arial" w:cs="Arial"/>
                <w:sz w:val="16"/>
                <w:szCs w:val="16"/>
                <w:lang w:eastAsia="en-GB"/>
              </w:rPr>
            </w:pPr>
            <w:r>
              <w:rPr>
                <w:rFonts w:ascii="Arial" w:hAnsi="Arial" w:cs="Arial"/>
                <w:sz w:val="16"/>
                <w:szCs w:val="16"/>
                <w:lang w:eastAsia="en-GB"/>
              </w:rPr>
              <w:t>Asset ownership</w:t>
            </w:r>
          </w:p>
        </w:tc>
        <w:tc>
          <w:tcPr>
            <w:tcW w:w="1111" w:type="pct"/>
            <w:gridSpan w:val="2"/>
            <w:tcBorders>
              <w:top w:val="single" w:sz="8" w:space="0" w:color="auto"/>
              <w:left w:val="single" w:sz="8" w:space="0" w:color="auto"/>
              <w:bottom w:val="single" w:sz="8" w:space="0" w:color="auto"/>
              <w:right w:val="nil"/>
            </w:tcBorders>
          </w:tcPr>
          <w:p w14:paraId="0001D682" w14:textId="77777777" w:rsidR="00DF4D4C" w:rsidRDefault="00DF4D4C" w:rsidP="00193555">
            <w:pPr>
              <w:spacing w:before="200" w:after="100" w:line="276" w:lineRule="auto"/>
              <w:jc w:val="right"/>
              <w:rPr>
                <w:rFonts w:ascii="Arial" w:hAnsi="Arial" w:cs="Arial"/>
                <w:sz w:val="16"/>
                <w:szCs w:val="16"/>
                <w:lang w:eastAsia="en-GB"/>
              </w:rPr>
            </w:pPr>
            <w:r>
              <w:rPr>
                <w:rFonts w:ascii="Arial" w:hAnsi="Arial" w:cs="Arial"/>
                <w:sz w:val="16"/>
                <w:szCs w:val="16"/>
                <w:lang w:eastAsia="en-GB"/>
              </w:rPr>
              <w:t>Grantor</w:t>
            </w:r>
          </w:p>
        </w:tc>
        <w:tc>
          <w:tcPr>
            <w:tcW w:w="1075" w:type="pct"/>
            <w:gridSpan w:val="2"/>
            <w:tcBorders>
              <w:top w:val="single" w:sz="8" w:space="0" w:color="auto"/>
              <w:left w:val="nil"/>
              <w:bottom w:val="single" w:sz="8" w:space="0" w:color="auto"/>
              <w:right w:val="single" w:sz="8" w:space="0" w:color="auto"/>
            </w:tcBorders>
            <w:shd w:val="clear" w:color="auto" w:fill="D9D9D9" w:themeFill="background1" w:themeFillShade="D9"/>
          </w:tcPr>
          <w:p w14:paraId="618EE7FB" w14:textId="77777777" w:rsidR="00DF4D4C" w:rsidRDefault="00DF4D4C">
            <w:pPr>
              <w:spacing w:before="200" w:after="100" w:line="276" w:lineRule="auto"/>
              <w:jc w:val="center"/>
              <w:rPr>
                <w:rFonts w:ascii="Arial" w:hAnsi="Arial" w:cs="Arial"/>
                <w:sz w:val="16"/>
                <w:szCs w:val="16"/>
                <w:lang w:eastAsia="en-GB"/>
              </w:rPr>
            </w:pPr>
          </w:p>
        </w:tc>
        <w:tc>
          <w:tcPr>
            <w:tcW w:w="1049" w:type="pct"/>
            <w:gridSpan w:val="2"/>
            <w:tcBorders>
              <w:top w:val="single" w:sz="8" w:space="0" w:color="auto"/>
              <w:left w:val="single" w:sz="8" w:space="0" w:color="auto"/>
              <w:bottom w:val="single" w:sz="8" w:space="0" w:color="auto"/>
              <w:right w:val="single" w:sz="8" w:space="0" w:color="auto"/>
            </w:tcBorders>
          </w:tcPr>
          <w:p w14:paraId="42666F36" w14:textId="77777777" w:rsidR="00DF4D4C" w:rsidRDefault="00DF4D4C">
            <w:pPr>
              <w:spacing w:before="200" w:after="100" w:line="276" w:lineRule="auto"/>
              <w:jc w:val="center"/>
              <w:rPr>
                <w:rFonts w:ascii="Arial" w:hAnsi="Arial" w:cs="Arial"/>
                <w:sz w:val="16"/>
                <w:szCs w:val="16"/>
                <w:lang w:eastAsia="en-GB"/>
              </w:rPr>
            </w:pPr>
            <w:r>
              <w:rPr>
                <w:rFonts w:ascii="Arial" w:hAnsi="Arial" w:cs="Arial"/>
                <w:sz w:val="16"/>
                <w:szCs w:val="16"/>
                <w:lang w:eastAsia="en-GB"/>
              </w:rPr>
              <w:t>Operator</w:t>
            </w:r>
          </w:p>
        </w:tc>
      </w:tr>
      <w:tr w:rsidR="00DF4D4C" w14:paraId="0358901E"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tcPr>
          <w:p w14:paraId="218C866B" w14:textId="77777777" w:rsidR="00DF4D4C" w:rsidRDefault="00DF4D4C">
            <w:pPr>
              <w:spacing w:before="200" w:after="100" w:line="276" w:lineRule="auto"/>
              <w:rPr>
                <w:rFonts w:ascii="Arial" w:hAnsi="Arial" w:cs="Arial"/>
                <w:sz w:val="16"/>
                <w:szCs w:val="16"/>
                <w:lang w:eastAsia="en-GB"/>
              </w:rPr>
            </w:pPr>
            <w:r>
              <w:rPr>
                <w:rFonts w:ascii="Arial" w:hAnsi="Arial" w:cs="Arial"/>
                <w:sz w:val="16"/>
                <w:szCs w:val="16"/>
                <w:lang w:eastAsia="en-GB"/>
              </w:rPr>
              <w:t>Capital investment</w:t>
            </w:r>
          </w:p>
        </w:tc>
        <w:tc>
          <w:tcPr>
            <w:tcW w:w="1111" w:type="pct"/>
            <w:gridSpan w:val="2"/>
            <w:tcBorders>
              <w:top w:val="single" w:sz="8" w:space="0" w:color="auto"/>
              <w:left w:val="single" w:sz="8" w:space="0" w:color="auto"/>
              <w:bottom w:val="single" w:sz="8" w:space="0" w:color="auto"/>
              <w:right w:val="single" w:sz="8" w:space="0" w:color="auto"/>
            </w:tcBorders>
          </w:tcPr>
          <w:p w14:paraId="270D7F54" w14:textId="77777777" w:rsidR="00DF4D4C" w:rsidRDefault="00DF4D4C">
            <w:pPr>
              <w:spacing w:before="200" w:after="100" w:line="276" w:lineRule="auto"/>
              <w:jc w:val="center"/>
              <w:rPr>
                <w:rFonts w:ascii="Arial" w:hAnsi="Arial" w:cs="Arial"/>
                <w:sz w:val="16"/>
                <w:szCs w:val="16"/>
                <w:lang w:eastAsia="en-GB"/>
              </w:rPr>
            </w:pPr>
            <w:r>
              <w:rPr>
                <w:rFonts w:ascii="Arial" w:hAnsi="Arial" w:cs="Arial"/>
                <w:sz w:val="16"/>
                <w:szCs w:val="16"/>
                <w:lang w:eastAsia="en-GB"/>
              </w:rPr>
              <w:t>Grantor</w:t>
            </w:r>
          </w:p>
        </w:tc>
        <w:tc>
          <w:tcPr>
            <w:tcW w:w="1075" w:type="pct"/>
            <w:gridSpan w:val="2"/>
            <w:tcBorders>
              <w:top w:val="single" w:sz="8" w:space="0" w:color="auto"/>
              <w:left w:val="single" w:sz="8" w:space="0" w:color="auto"/>
              <w:bottom w:val="single" w:sz="8" w:space="0" w:color="auto"/>
              <w:right w:val="nil"/>
            </w:tcBorders>
            <w:shd w:val="clear" w:color="auto" w:fill="D9D9D9" w:themeFill="background1" w:themeFillShade="D9"/>
          </w:tcPr>
          <w:p w14:paraId="4BDA85CB" w14:textId="77777777" w:rsidR="00DF4D4C" w:rsidRDefault="00DF4D4C" w:rsidP="00193555">
            <w:pPr>
              <w:spacing w:before="200" w:after="100" w:line="276" w:lineRule="auto"/>
              <w:jc w:val="right"/>
              <w:rPr>
                <w:rFonts w:ascii="Arial" w:hAnsi="Arial" w:cs="Arial"/>
                <w:sz w:val="16"/>
                <w:szCs w:val="16"/>
                <w:lang w:eastAsia="en-GB"/>
              </w:rPr>
            </w:pPr>
            <w:r>
              <w:rPr>
                <w:rFonts w:ascii="Arial" w:hAnsi="Arial" w:cs="Arial"/>
                <w:sz w:val="16"/>
                <w:szCs w:val="16"/>
                <w:lang w:eastAsia="en-GB"/>
              </w:rPr>
              <w:t>Operator</w:t>
            </w:r>
          </w:p>
        </w:tc>
        <w:tc>
          <w:tcPr>
            <w:tcW w:w="1049" w:type="pct"/>
            <w:gridSpan w:val="2"/>
            <w:tcBorders>
              <w:top w:val="single" w:sz="8" w:space="0" w:color="auto"/>
              <w:left w:val="nil"/>
              <w:bottom w:val="single" w:sz="8" w:space="0" w:color="auto"/>
              <w:right w:val="single" w:sz="8" w:space="0" w:color="auto"/>
            </w:tcBorders>
          </w:tcPr>
          <w:p w14:paraId="194B9324" w14:textId="77777777" w:rsidR="00DF4D4C" w:rsidRDefault="00DF4D4C">
            <w:pPr>
              <w:spacing w:before="200" w:after="100" w:line="276" w:lineRule="auto"/>
              <w:jc w:val="center"/>
              <w:rPr>
                <w:rFonts w:ascii="Arial" w:hAnsi="Arial" w:cs="Arial"/>
                <w:sz w:val="16"/>
                <w:szCs w:val="16"/>
                <w:lang w:eastAsia="en-GB"/>
              </w:rPr>
            </w:pPr>
          </w:p>
        </w:tc>
      </w:tr>
      <w:tr w:rsidR="001D73A4" w14:paraId="09A9C98C"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hideMark/>
          </w:tcPr>
          <w:p w14:paraId="779D7FAC" w14:textId="77777777" w:rsidR="001D73A4" w:rsidRDefault="001D73A4">
            <w:pPr>
              <w:spacing w:before="200" w:after="100" w:line="276" w:lineRule="auto"/>
              <w:rPr>
                <w:rFonts w:ascii="Arial" w:hAnsi="Arial" w:cs="Arial"/>
                <w:sz w:val="16"/>
                <w:szCs w:val="16"/>
                <w:lang w:val="en-GB" w:eastAsia="en-GB"/>
              </w:rPr>
            </w:pPr>
            <w:r>
              <w:rPr>
                <w:rFonts w:ascii="Arial" w:hAnsi="Arial" w:cs="Arial"/>
                <w:sz w:val="16"/>
                <w:szCs w:val="16"/>
                <w:lang w:eastAsia="en-GB"/>
              </w:rPr>
              <w:t>Demand risk</w:t>
            </w:r>
          </w:p>
        </w:tc>
        <w:tc>
          <w:tcPr>
            <w:tcW w:w="463" w:type="pct"/>
            <w:tcBorders>
              <w:top w:val="single" w:sz="8" w:space="0" w:color="auto"/>
              <w:left w:val="single" w:sz="8" w:space="0" w:color="auto"/>
              <w:bottom w:val="single" w:sz="8" w:space="0" w:color="auto"/>
              <w:right w:val="single" w:sz="8" w:space="0" w:color="auto"/>
            </w:tcBorders>
            <w:hideMark/>
          </w:tcPr>
          <w:p w14:paraId="7037F333"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Shared</w:t>
            </w:r>
          </w:p>
        </w:tc>
        <w:tc>
          <w:tcPr>
            <w:tcW w:w="648" w:type="pct"/>
            <w:tcBorders>
              <w:top w:val="single" w:sz="8" w:space="0" w:color="auto"/>
              <w:left w:val="single" w:sz="8" w:space="0" w:color="auto"/>
              <w:bottom w:val="single" w:sz="8" w:space="0" w:color="auto"/>
              <w:right w:val="single" w:sz="8" w:space="0" w:color="auto"/>
            </w:tcBorders>
            <w:vAlign w:val="center"/>
            <w:hideMark/>
          </w:tcPr>
          <w:p w14:paraId="2D79E656" w14:textId="77777777" w:rsidR="001D73A4" w:rsidRDefault="001D73A4" w:rsidP="00ED51CE">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Grantor</w:t>
            </w:r>
          </w:p>
        </w:tc>
        <w:tc>
          <w:tcPr>
            <w:tcW w:w="1075"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8863FFE" w14:textId="77777777" w:rsidR="001D73A4" w:rsidRDefault="001D73A4" w:rsidP="00ED51CE">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Operator and/or Grantor</w:t>
            </w:r>
          </w:p>
        </w:tc>
        <w:tc>
          <w:tcPr>
            <w:tcW w:w="1049" w:type="pct"/>
            <w:gridSpan w:val="2"/>
            <w:tcBorders>
              <w:top w:val="single" w:sz="8" w:space="0" w:color="auto"/>
              <w:left w:val="single" w:sz="8" w:space="0" w:color="auto"/>
              <w:bottom w:val="single" w:sz="8" w:space="0" w:color="auto"/>
              <w:right w:val="single" w:sz="8" w:space="0" w:color="auto"/>
            </w:tcBorders>
            <w:hideMark/>
          </w:tcPr>
          <w:p w14:paraId="1151C972" w14:textId="77777777" w:rsidR="001D73A4" w:rsidRDefault="001D73A4">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Operator</w:t>
            </w:r>
          </w:p>
        </w:tc>
      </w:tr>
      <w:tr w:rsidR="00193555" w14:paraId="7FDA3FA4"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hideMark/>
          </w:tcPr>
          <w:p w14:paraId="51A5BD00" w14:textId="77777777" w:rsidR="00193555" w:rsidRDefault="00193555">
            <w:pPr>
              <w:spacing w:before="200" w:after="100" w:line="276" w:lineRule="auto"/>
              <w:rPr>
                <w:rFonts w:ascii="Arial" w:hAnsi="Arial" w:cs="Arial"/>
                <w:sz w:val="16"/>
                <w:szCs w:val="16"/>
                <w:lang w:val="en-GB" w:eastAsia="en-GB"/>
              </w:rPr>
            </w:pPr>
            <w:r>
              <w:rPr>
                <w:rFonts w:ascii="Arial" w:hAnsi="Arial" w:cs="Arial"/>
                <w:sz w:val="16"/>
                <w:szCs w:val="16"/>
                <w:lang w:eastAsia="en-GB"/>
              </w:rPr>
              <w:t>Typical duration</w:t>
            </w:r>
          </w:p>
        </w:tc>
        <w:tc>
          <w:tcPr>
            <w:tcW w:w="463" w:type="pct"/>
            <w:tcBorders>
              <w:top w:val="single" w:sz="8" w:space="0" w:color="auto"/>
              <w:left w:val="single" w:sz="8" w:space="0" w:color="auto"/>
              <w:bottom w:val="single" w:sz="8" w:space="0" w:color="auto"/>
              <w:right w:val="single" w:sz="8" w:space="0" w:color="auto"/>
            </w:tcBorders>
            <w:vAlign w:val="center"/>
            <w:hideMark/>
          </w:tcPr>
          <w:p w14:paraId="5E508B3B" w14:textId="77777777" w:rsidR="00193555" w:rsidRDefault="0019355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8–20 years</w:t>
            </w:r>
          </w:p>
        </w:tc>
        <w:tc>
          <w:tcPr>
            <w:tcW w:w="648" w:type="pct"/>
            <w:tcBorders>
              <w:top w:val="single" w:sz="8" w:space="0" w:color="auto"/>
              <w:left w:val="single" w:sz="8" w:space="0" w:color="auto"/>
              <w:bottom w:val="single" w:sz="8" w:space="0" w:color="auto"/>
              <w:right w:val="single" w:sz="8" w:space="0" w:color="auto"/>
            </w:tcBorders>
            <w:vAlign w:val="center"/>
            <w:hideMark/>
          </w:tcPr>
          <w:p w14:paraId="52FA354B" w14:textId="77777777" w:rsidR="00193555" w:rsidRDefault="0019355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1–5 years</w:t>
            </w:r>
          </w:p>
        </w:tc>
        <w:tc>
          <w:tcPr>
            <w:tcW w:w="1075" w:type="pct"/>
            <w:gridSpan w:val="2"/>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63DB566F" w14:textId="77777777" w:rsidR="00193555" w:rsidRDefault="00193555" w:rsidP="00193555">
            <w:pPr>
              <w:tabs>
                <w:tab w:val="right" w:pos="7371"/>
              </w:tabs>
              <w:spacing w:before="200" w:after="100" w:line="276" w:lineRule="auto"/>
              <w:ind w:right="-34"/>
              <w:jc w:val="right"/>
              <w:rPr>
                <w:rFonts w:ascii="Arial" w:hAnsi="Arial" w:cs="Arial"/>
                <w:sz w:val="16"/>
                <w:szCs w:val="16"/>
                <w:lang w:val="en-GB" w:eastAsia="en-GB"/>
              </w:rPr>
            </w:pPr>
            <w:r>
              <w:rPr>
                <w:rFonts w:ascii="Arial" w:hAnsi="Arial" w:cs="Arial"/>
                <w:sz w:val="16"/>
                <w:szCs w:val="16"/>
                <w:lang w:eastAsia="en-GB"/>
              </w:rPr>
              <w:t>25–30 years</w:t>
            </w:r>
          </w:p>
        </w:tc>
        <w:tc>
          <w:tcPr>
            <w:tcW w:w="405" w:type="pct"/>
            <w:tcBorders>
              <w:top w:val="single" w:sz="8" w:space="0" w:color="auto"/>
              <w:left w:val="nil"/>
              <w:bottom w:val="single" w:sz="8" w:space="0" w:color="auto"/>
              <w:right w:val="single" w:sz="8" w:space="0" w:color="auto"/>
            </w:tcBorders>
            <w:vAlign w:val="center"/>
          </w:tcPr>
          <w:p w14:paraId="708FD882" w14:textId="77777777" w:rsidR="00193555" w:rsidRDefault="00193555">
            <w:pPr>
              <w:tabs>
                <w:tab w:val="right" w:pos="7371"/>
              </w:tabs>
              <w:spacing w:before="200" w:after="100" w:line="276" w:lineRule="auto"/>
              <w:ind w:right="-34"/>
              <w:jc w:val="center"/>
              <w:rPr>
                <w:rFonts w:ascii="Arial" w:hAnsi="Arial" w:cs="Arial"/>
                <w:sz w:val="16"/>
                <w:szCs w:val="16"/>
                <w:lang w:val="en-GB" w:eastAsia="en-GB"/>
              </w:rPr>
            </w:pPr>
          </w:p>
        </w:tc>
        <w:tc>
          <w:tcPr>
            <w:tcW w:w="645" w:type="pct"/>
            <w:tcBorders>
              <w:top w:val="single" w:sz="8" w:space="0" w:color="auto"/>
              <w:left w:val="single" w:sz="8" w:space="0" w:color="auto"/>
              <w:bottom w:val="single" w:sz="8" w:space="0" w:color="auto"/>
              <w:right w:val="single" w:sz="8" w:space="0" w:color="auto"/>
            </w:tcBorders>
            <w:hideMark/>
          </w:tcPr>
          <w:p w14:paraId="5971DA8D" w14:textId="77777777" w:rsidR="00193555" w:rsidRDefault="0019355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Indefinite  (or may be limited by licence)</w:t>
            </w:r>
          </w:p>
        </w:tc>
      </w:tr>
      <w:tr w:rsidR="00193555" w14:paraId="3C3F47E9"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tcPr>
          <w:p w14:paraId="72C87069" w14:textId="77777777" w:rsidR="00193555" w:rsidRDefault="00193555">
            <w:pPr>
              <w:spacing w:before="200" w:after="100" w:line="276" w:lineRule="auto"/>
              <w:rPr>
                <w:rFonts w:ascii="Arial" w:hAnsi="Arial" w:cs="Arial"/>
                <w:sz w:val="16"/>
                <w:szCs w:val="16"/>
                <w:lang w:eastAsia="en-GB"/>
              </w:rPr>
            </w:pPr>
            <w:r>
              <w:rPr>
                <w:rFonts w:ascii="Arial" w:hAnsi="Arial" w:cs="Arial"/>
                <w:sz w:val="16"/>
                <w:szCs w:val="16"/>
                <w:lang w:eastAsia="en-GB"/>
              </w:rPr>
              <w:t>Residual interest</w:t>
            </w:r>
          </w:p>
        </w:tc>
        <w:tc>
          <w:tcPr>
            <w:tcW w:w="1111" w:type="pct"/>
            <w:gridSpan w:val="2"/>
            <w:tcBorders>
              <w:top w:val="single" w:sz="8" w:space="0" w:color="auto"/>
              <w:left w:val="single" w:sz="8" w:space="0" w:color="auto"/>
              <w:bottom w:val="single" w:sz="8" w:space="0" w:color="auto"/>
              <w:right w:val="nil"/>
            </w:tcBorders>
            <w:vAlign w:val="center"/>
          </w:tcPr>
          <w:p w14:paraId="0E8D5379" w14:textId="77777777" w:rsidR="00193555" w:rsidRDefault="00193555" w:rsidP="00193555">
            <w:pPr>
              <w:spacing w:before="200" w:after="100" w:line="276" w:lineRule="auto"/>
              <w:jc w:val="right"/>
              <w:rPr>
                <w:rFonts w:ascii="Arial" w:hAnsi="Arial" w:cs="Arial"/>
                <w:sz w:val="16"/>
                <w:szCs w:val="16"/>
                <w:lang w:eastAsia="en-GB"/>
              </w:rPr>
            </w:pPr>
            <w:r>
              <w:rPr>
                <w:rFonts w:ascii="Arial" w:hAnsi="Arial" w:cs="Arial"/>
                <w:sz w:val="16"/>
                <w:szCs w:val="16"/>
                <w:lang w:eastAsia="en-GB"/>
              </w:rPr>
              <w:t>Grantor</w:t>
            </w:r>
          </w:p>
        </w:tc>
        <w:tc>
          <w:tcPr>
            <w:tcW w:w="1075" w:type="pct"/>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14:paraId="5EC80F03" w14:textId="77777777" w:rsidR="00193555" w:rsidRDefault="00193555" w:rsidP="00193555">
            <w:pPr>
              <w:tabs>
                <w:tab w:val="right" w:pos="7371"/>
              </w:tabs>
              <w:spacing w:before="200" w:after="100" w:line="276" w:lineRule="auto"/>
              <w:ind w:right="-34"/>
              <w:jc w:val="right"/>
              <w:rPr>
                <w:rFonts w:ascii="Arial" w:hAnsi="Arial" w:cs="Arial"/>
                <w:sz w:val="16"/>
                <w:szCs w:val="16"/>
                <w:lang w:eastAsia="en-GB"/>
              </w:rPr>
            </w:pPr>
          </w:p>
        </w:tc>
        <w:tc>
          <w:tcPr>
            <w:tcW w:w="1049" w:type="pct"/>
            <w:gridSpan w:val="2"/>
            <w:tcBorders>
              <w:top w:val="single" w:sz="8" w:space="0" w:color="auto"/>
              <w:left w:val="single" w:sz="8" w:space="0" w:color="auto"/>
              <w:bottom w:val="single" w:sz="8" w:space="0" w:color="auto"/>
              <w:right w:val="single" w:sz="8" w:space="0" w:color="auto"/>
            </w:tcBorders>
            <w:vAlign w:val="center"/>
          </w:tcPr>
          <w:p w14:paraId="3BF4DFEC" w14:textId="77777777" w:rsidR="00193555" w:rsidRDefault="00193555">
            <w:pPr>
              <w:spacing w:before="200" w:after="100" w:line="276" w:lineRule="auto"/>
              <w:jc w:val="center"/>
              <w:rPr>
                <w:rFonts w:ascii="Arial" w:hAnsi="Arial" w:cs="Arial"/>
                <w:sz w:val="16"/>
                <w:szCs w:val="16"/>
                <w:lang w:eastAsia="en-GB"/>
              </w:rPr>
            </w:pPr>
            <w:r>
              <w:rPr>
                <w:rFonts w:ascii="Arial" w:hAnsi="Arial" w:cs="Arial"/>
                <w:sz w:val="16"/>
                <w:szCs w:val="16"/>
                <w:lang w:eastAsia="en-GB"/>
              </w:rPr>
              <w:t>Operator</w:t>
            </w:r>
          </w:p>
        </w:tc>
      </w:tr>
      <w:tr w:rsidR="001D73A4" w14:paraId="539994C7" w14:textId="77777777" w:rsidTr="00AE22E6">
        <w:trPr>
          <w:trHeight w:val="318"/>
        </w:trPr>
        <w:tc>
          <w:tcPr>
            <w:tcW w:w="666" w:type="pct"/>
            <w:tcBorders>
              <w:top w:val="single" w:sz="8" w:space="0" w:color="auto"/>
              <w:left w:val="single" w:sz="8" w:space="0" w:color="auto"/>
              <w:bottom w:val="single" w:sz="8" w:space="0" w:color="auto"/>
              <w:right w:val="single" w:sz="8" w:space="0" w:color="auto"/>
            </w:tcBorders>
            <w:hideMark/>
          </w:tcPr>
          <w:p w14:paraId="62B6940D" w14:textId="77777777" w:rsidR="001D73A4" w:rsidRDefault="001D73A4" w:rsidP="00CD550C">
            <w:pPr>
              <w:spacing w:before="200" w:after="100" w:line="276" w:lineRule="auto"/>
              <w:rPr>
                <w:rFonts w:ascii="Arial" w:hAnsi="Arial" w:cs="Arial"/>
                <w:sz w:val="16"/>
                <w:szCs w:val="16"/>
                <w:lang w:val="en-GB" w:eastAsia="en-GB"/>
              </w:rPr>
            </w:pPr>
            <w:r>
              <w:rPr>
                <w:rFonts w:ascii="Arial" w:hAnsi="Arial" w:cs="Arial"/>
                <w:sz w:val="16"/>
                <w:szCs w:val="16"/>
                <w:lang w:eastAsia="en-GB"/>
              </w:rPr>
              <w:t xml:space="preserve">Relevant </w:t>
            </w:r>
            <w:r w:rsidR="005E28B7">
              <w:rPr>
                <w:rFonts w:ascii="Arial" w:hAnsi="Arial" w:cs="Arial"/>
                <w:sz w:val="16"/>
                <w:szCs w:val="16"/>
                <w:lang w:eastAsia="en-GB"/>
              </w:rPr>
              <w:t>pronouncement</w:t>
            </w:r>
          </w:p>
        </w:tc>
        <w:tc>
          <w:tcPr>
            <w:tcW w:w="463" w:type="pct"/>
            <w:tcBorders>
              <w:top w:val="single" w:sz="8" w:space="0" w:color="auto"/>
              <w:left w:val="single" w:sz="8" w:space="0" w:color="auto"/>
              <w:bottom w:val="single" w:sz="8" w:space="0" w:color="auto"/>
              <w:right w:val="single" w:sz="8" w:space="0" w:color="auto"/>
            </w:tcBorders>
            <w:hideMark/>
          </w:tcPr>
          <w:p w14:paraId="115AB1D5" w14:textId="77777777" w:rsidR="001D73A4" w:rsidRDefault="00924F25">
            <w:pPr>
              <w:spacing w:before="200" w:after="100" w:line="276" w:lineRule="auto"/>
              <w:jc w:val="center"/>
              <w:rPr>
                <w:rFonts w:ascii="Arial" w:hAnsi="Arial" w:cs="Arial"/>
                <w:strike/>
                <w:sz w:val="16"/>
                <w:szCs w:val="16"/>
                <w:lang w:eastAsia="en-GB"/>
              </w:rPr>
            </w:pPr>
            <w:r>
              <w:rPr>
                <w:rFonts w:ascii="Arial" w:hAnsi="Arial" w:cs="Arial"/>
                <w:strike/>
                <w:sz w:val="16"/>
                <w:szCs w:val="16"/>
                <w:lang w:eastAsia="en-GB"/>
              </w:rPr>
              <w:t>AASB</w:t>
            </w:r>
            <w:r w:rsidR="001D73A4">
              <w:rPr>
                <w:rFonts w:ascii="Arial" w:hAnsi="Arial" w:cs="Arial"/>
                <w:strike/>
                <w:sz w:val="16"/>
                <w:szCs w:val="16"/>
                <w:lang w:eastAsia="en-GB"/>
              </w:rPr>
              <w:t xml:space="preserve"> </w:t>
            </w:r>
            <w:r>
              <w:rPr>
                <w:rFonts w:ascii="Arial" w:hAnsi="Arial" w:cs="Arial"/>
                <w:strike/>
                <w:sz w:val="16"/>
                <w:szCs w:val="16"/>
                <w:lang w:eastAsia="en-GB"/>
              </w:rPr>
              <w:t>1</w:t>
            </w:r>
            <w:r w:rsidR="001D73A4">
              <w:rPr>
                <w:rFonts w:ascii="Arial" w:hAnsi="Arial" w:cs="Arial"/>
                <w:strike/>
                <w:sz w:val="16"/>
                <w:szCs w:val="16"/>
                <w:lang w:eastAsia="en-GB"/>
              </w:rPr>
              <w:t>17</w:t>
            </w:r>
          </w:p>
          <w:p w14:paraId="5F64FC90" w14:textId="77777777" w:rsidR="001D73A4" w:rsidRDefault="00924F25">
            <w:pPr>
              <w:spacing w:before="200" w:after="100" w:line="276" w:lineRule="auto"/>
              <w:jc w:val="center"/>
              <w:rPr>
                <w:rFonts w:ascii="Arial" w:hAnsi="Arial" w:cs="Arial"/>
                <w:i/>
                <w:sz w:val="16"/>
                <w:szCs w:val="16"/>
                <w:u w:val="single"/>
                <w:lang w:val="en-GB" w:eastAsia="en-GB"/>
              </w:rPr>
            </w:pPr>
            <w:r>
              <w:rPr>
                <w:rFonts w:ascii="Arial" w:hAnsi="Arial" w:cs="Arial"/>
                <w:sz w:val="16"/>
                <w:szCs w:val="16"/>
                <w:u w:val="single"/>
                <w:lang w:eastAsia="en-GB"/>
              </w:rPr>
              <w:t>AASB</w:t>
            </w:r>
            <w:r w:rsidR="001D73A4">
              <w:rPr>
                <w:rFonts w:ascii="Arial" w:hAnsi="Arial" w:cs="Arial"/>
                <w:sz w:val="16"/>
                <w:szCs w:val="16"/>
                <w:u w:val="single"/>
                <w:lang w:eastAsia="en-GB"/>
              </w:rPr>
              <w:t xml:space="preserve"> 16 </w:t>
            </w:r>
          </w:p>
        </w:tc>
        <w:tc>
          <w:tcPr>
            <w:tcW w:w="648" w:type="pct"/>
            <w:tcBorders>
              <w:top w:val="single" w:sz="8" w:space="0" w:color="auto"/>
              <w:left w:val="single" w:sz="8" w:space="0" w:color="auto"/>
              <w:bottom w:val="single" w:sz="8" w:space="0" w:color="auto"/>
              <w:right w:val="single" w:sz="8" w:space="0" w:color="auto"/>
            </w:tcBorders>
            <w:hideMark/>
          </w:tcPr>
          <w:p w14:paraId="403A0564" w14:textId="77777777" w:rsidR="001D73A4" w:rsidRDefault="00924F2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AASB</w:t>
            </w:r>
            <w:r w:rsidR="001D73A4">
              <w:rPr>
                <w:rFonts w:ascii="Arial" w:hAnsi="Arial" w:cs="Arial"/>
                <w:sz w:val="16"/>
                <w:szCs w:val="16"/>
                <w:lang w:eastAsia="en-GB"/>
              </w:rPr>
              <w:t xml:space="preserve"> 15 </w:t>
            </w:r>
          </w:p>
        </w:tc>
        <w:tc>
          <w:tcPr>
            <w:tcW w:w="1075"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0CEDA872" w14:textId="77777777" w:rsidR="001D73A4" w:rsidRDefault="00924F2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Interpretation</w:t>
            </w:r>
            <w:r w:rsidR="001D73A4">
              <w:rPr>
                <w:rFonts w:ascii="Arial" w:hAnsi="Arial" w:cs="Arial"/>
                <w:sz w:val="16"/>
                <w:szCs w:val="16"/>
                <w:lang w:eastAsia="en-GB"/>
              </w:rPr>
              <w:t xml:space="preserve"> 12</w:t>
            </w:r>
          </w:p>
        </w:tc>
        <w:tc>
          <w:tcPr>
            <w:tcW w:w="1049" w:type="pct"/>
            <w:gridSpan w:val="2"/>
            <w:tcBorders>
              <w:top w:val="single" w:sz="8" w:space="0" w:color="auto"/>
              <w:left w:val="single" w:sz="8" w:space="0" w:color="auto"/>
              <w:bottom w:val="single" w:sz="8" w:space="0" w:color="auto"/>
              <w:right w:val="single" w:sz="8" w:space="0" w:color="auto"/>
            </w:tcBorders>
            <w:hideMark/>
          </w:tcPr>
          <w:p w14:paraId="1463CC19" w14:textId="77777777" w:rsidR="001D73A4" w:rsidRDefault="00924F25">
            <w:pPr>
              <w:spacing w:before="200" w:after="100" w:line="276" w:lineRule="auto"/>
              <w:jc w:val="center"/>
              <w:rPr>
                <w:rFonts w:ascii="Arial" w:hAnsi="Arial" w:cs="Arial"/>
                <w:sz w:val="16"/>
                <w:szCs w:val="16"/>
                <w:lang w:val="en-GB" w:eastAsia="en-GB"/>
              </w:rPr>
            </w:pPr>
            <w:r>
              <w:rPr>
                <w:rFonts w:ascii="Arial" w:hAnsi="Arial" w:cs="Arial"/>
                <w:sz w:val="16"/>
                <w:szCs w:val="16"/>
                <w:lang w:eastAsia="en-GB"/>
              </w:rPr>
              <w:t>AASB</w:t>
            </w:r>
            <w:r w:rsidR="001D73A4">
              <w:rPr>
                <w:rFonts w:ascii="Arial" w:hAnsi="Arial" w:cs="Arial"/>
                <w:sz w:val="16"/>
                <w:szCs w:val="16"/>
                <w:lang w:eastAsia="en-GB"/>
              </w:rPr>
              <w:t xml:space="preserve"> </w:t>
            </w:r>
            <w:r>
              <w:rPr>
                <w:rFonts w:ascii="Arial" w:hAnsi="Arial" w:cs="Arial"/>
                <w:sz w:val="16"/>
                <w:szCs w:val="16"/>
                <w:lang w:eastAsia="en-GB"/>
              </w:rPr>
              <w:t>1</w:t>
            </w:r>
            <w:r w:rsidR="001D73A4">
              <w:rPr>
                <w:rFonts w:ascii="Arial" w:hAnsi="Arial" w:cs="Arial"/>
                <w:sz w:val="16"/>
                <w:szCs w:val="16"/>
                <w:lang w:eastAsia="en-GB"/>
              </w:rPr>
              <w:t>16</w:t>
            </w:r>
          </w:p>
        </w:tc>
      </w:tr>
    </w:tbl>
    <w:p w14:paraId="402A6314" w14:textId="77777777" w:rsidR="00FD4BA8" w:rsidRDefault="00E27198" w:rsidP="00CE72F9">
      <w:pPr>
        <w:pStyle w:val="IASBSectionTitle1NonInd"/>
        <w:pBdr>
          <w:bottom w:val="none" w:sz="0" w:space="0" w:color="auto"/>
        </w:pBdr>
        <w:spacing w:before="480"/>
      </w:pPr>
      <w:r>
        <w:t>Interpretation 129</w:t>
      </w:r>
      <w:r w:rsidR="002D1C2A">
        <w:t xml:space="preserve"> </w:t>
      </w:r>
      <w:r w:rsidR="009A1D2F">
        <w:rPr>
          <w:i/>
        </w:rPr>
        <w:t>Service Concession Arrangements: Disclosures</w:t>
      </w:r>
    </w:p>
    <w:p w14:paraId="3527BD39"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8"/>
        <w:tblDescription w:val="Interpretation 129 Service Concession Arrangements: Disclosures"/>
      </w:tblPr>
      <w:tblGrid>
        <w:gridCol w:w="9208"/>
      </w:tblGrid>
      <w:tr w:rsidR="00FD4BA8" w14:paraId="348FA4A1"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0930E12" w14:textId="77777777" w:rsidR="00FD4BA8" w:rsidRDefault="009A1D2F">
            <w:pPr>
              <w:pStyle w:val="IASBTableArial"/>
            </w:pPr>
            <w:r>
              <w:t>The References paragraph is amended.</w:t>
            </w:r>
          </w:p>
        </w:tc>
      </w:tr>
    </w:tbl>
    <w:p w14:paraId="1D1C10C2" w14:textId="77777777" w:rsidR="00FD4BA8" w:rsidRDefault="009A1D2F">
      <w:pPr>
        <w:pStyle w:val="IASBSectionTitle1NonInd"/>
      </w:pPr>
      <w:r>
        <w:t>References</w:t>
      </w:r>
    </w:p>
    <w:p w14:paraId="58BB9594" w14:textId="77777777" w:rsidR="00FD4BA8" w:rsidRDefault="009A1D2F">
      <w:pPr>
        <w:pStyle w:val="IASBNormalL1"/>
      </w:pPr>
      <w:r>
        <w:t>•</w:t>
      </w:r>
      <w:r>
        <w:tab/>
      </w:r>
      <w:r w:rsidR="00E27198">
        <w:rPr>
          <w:u w:val="single"/>
        </w:rPr>
        <w:t>AASB 16</w:t>
      </w:r>
      <w:r>
        <w:rPr>
          <w:u w:val="single"/>
        </w:rPr>
        <w:t xml:space="preserve"> </w:t>
      </w:r>
      <w:r>
        <w:rPr>
          <w:i/>
          <w:u w:val="single"/>
        </w:rPr>
        <w:t>Leases</w:t>
      </w:r>
    </w:p>
    <w:p w14:paraId="2F6623F6" w14:textId="77777777" w:rsidR="00FD4BA8" w:rsidRDefault="009A1D2F">
      <w:pPr>
        <w:pStyle w:val="IASBNormalL1"/>
      </w:pPr>
      <w:r>
        <w:t>•</w:t>
      </w:r>
      <w:r>
        <w:tab/>
        <w:t>...</w:t>
      </w:r>
    </w:p>
    <w:p w14:paraId="7C7E5BFF" w14:textId="77777777" w:rsidR="00FD4BA8" w:rsidRDefault="009A1D2F">
      <w:pPr>
        <w:pStyle w:val="IASBNormalL1"/>
      </w:pPr>
      <w:r>
        <w:t>•</w:t>
      </w:r>
      <w:r>
        <w:tab/>
      </w:r>
      <w:r w:rsidR="00E27198">
        <w:rPr>
          <w:strike/>
        </w:rPr>
        <w:t>AASB 117</w:t>
      </w:r>
      <w:r>
        <w:rPr>
          <w:strike/>
        </w:rPr>
        <w:t xml:space="preserve"> </w:t>
      </w:r>
      <w:r>
        <w:rPr>
          <w:i/>
          <w:strike/>
        </w:rPr>
        <w:t>Leases</w:t>
      </w:r>
    </w:p>
    <w:p w14:paraId="169C385B" w14:textId="77777777" w:rsidR="00FD4BA8" w:rsidRDefault="009A1D2F">
      <w:pPr>
        <w:pStyle w:val="IASBNormalL1"/>
      </w:pPr>
      <w:r>
        <w:t>•</w:t>
      </w:r>
      <w:r>
        <w:tab/>
        <w:t>...</w:t>
      </w:r>
    </w:p>
    <w:p w14:paraId="022AB223"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39"/>
        <w:tblDescription w:val="Amendment "/>
      </w:tblPr>
      <w:tblGrid>
        <w:gridCol w:w="9208"/>
      </w:tblGrid>
      <w:tr w:rsidR="00FD4BA8" w14:paraId="1E9D9632"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B00893C" w14:textId="77777777" w:rsidR="00FD4BA8" w:rsidRDefault="009A1D2F">
            <w:pPr>
              <w:pStyle w:val="IASBTableArial"/>
            </w:pPr>
            <w:r>
              <w:t>Paragraph 5 is amended.</w:t>
            </w:r>
          </w:p>
        </w:tc>
      </w:tr>
    </w:tbl>
    <w:p w14:paraId="40A0C58E" w14:textId="77777777" w:rsidR="00FD4BA8" w:rsidRDefault="009A1D2F">
      <w:pPr>
        <w:pStyle w:val="IASBSectionTitle1NonInd"/>
      </w:pPr>
      <w:r>
        <w:t>Issue</w:t>
      </w:r>
    </w:p>
    <w:p w14:paraId="72C7ADC7" w14:textId="77777777" w:rsidR="00FD4BA8" w:rsidRDefault="009A1D2F">
      <w:pPr>
        <w:pStyle w:val="IASBNormalnpara"/>
      </w:pPr>
      <w:r>
        <w:tab/>
        <w:t>...</w:t>
      </w:r>
    </w:p>
    <w:p w14:paraId="71629949" w14:textId="77777777" w:rsidR="00FD4BA8" w:rsidRDefault="009A1D2F">
      <w:pPr>
        <w:pStyle w:val="IASBNormalnpara"/>
      </w:pPr>
      <w:r>
        <w:t>5</w:t>
      </w:r>
      <w:r>
        <w:tab/>
        <w:t>Certain aspects and disclosures relating to some service concession arrangements are already addressed by existing</w:t>
      </w:r>
      <w:r w:rsidR="00E27198">
        <w:t xml:space="preserve"> Australian Accounting Standards</w:t>
      </w:r>
      <w:r>
        <w:t xml:space="preserve"> (eg</w:t>
      </w:r>
      <w:r w:rsidR="00E27198">
        <w:t xml:space="preserve"> AASB 116</w:t>
      </w:r>
      <w:r>
        <w:t xml:space="preserve"> applies to acquisitions of items of property, plant and equipment,</w:t>
      </w:r>
      <w:r w:rsidR="00E27198">
        <w:t xml:space="preserve"> </w:t>
      </w:r>
      <w:r w:rsidR="00E27198" w:rsidRPr="00ED51CE">
        <w:rPr>
          <w:strike/>
        </w:rPr>
        <w:t>AASB 117</w:t>
      </w:r>
      <w:r w:rsidR="00E27198">
        <w:t xml:space="preserve"> </w:t>
      </w:r>
      <w:r w:rsidR="00E27198" w:rsidRPr="00ED51CE">
        <w:rPr>
          <w:u w:val="single"/>
        </w:rPr>
        <w:t>AASB 16</w:t>
      </w:r>
      <w:r>
        <w:t xml:space="preserve"> applies to leases of assets, and</w:t>
      </w:r>
      <w:r w:rsidR="00E27198">
        <w:t xml:space="preserve"> AASB 138</w:t>
      </w:r>
      <w:r>
        <w:t xml:space="preserve"> applies to acquisitions of intangible assets). However, a service concession arrangement may involve executory contracts that are not addressed in</w:t>
      </w:r>
      <w:r w:rsidR="00E27198">
        <w:t xml:space="preserve"> Australian Accounting Standards</w:t>
      </w:r>
      <w:r>
        <w:t>, unless the contracts are onerous, in which case</w:t>
      </w:r>
      <w:r w:rsidR="00E27198">
        <w:t xml:space="preserve"> AASB 137</w:t>
      </w:r>
      <w:r>
        <w:t xml:space="preserve"> applies. Therefore, this Interpretation addresses additional disclosures of service concession arrangements.</w:t>
      </w:r>
    </w:p>
    <w:p w14:paraId="76D4733B"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0"/>
        <w:tblDescription w:val="Aus para added"/>
      </w:tblPr>
      <w:tblGrid>
        <w:gridCol w:w="9208"/>
      </w:tblGrid>
      <w:tr w:rsidR="00FD4BA8" w14:paraId="1FDF458E"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F558BC1" w14:textId="77777777" w:rsidR="00FD4BA8" w:rsidRDefault="00A90363">
            <w:pPr>
              <w:pStyle w:val="IASBTableArial"/>
            </w:pPr>
            <w:r>
              <w:t>Paragraph Aus7.3 is added.</w:t>
            </w:r>
          </w:p>
        </w:tc>
      </w:tr>
    </w:tbl>
    <w:p w14:paraId="5A492393" w14:textId="77777777" w:rsidR="00FD4BA8" w:rsidRDefault="009A1D2F">
      <w:pPr>
        <w:pStyle w:val="IASBSectionTitle1NonInd"/>
      </w:pPr>
      <w:r>
        <w:lastRenderedPageBreak/>
        <w:t>Effective date</w:t>
      </w:r>
    </w:p>
    <w:p w14:paraId="42E6B5FD" w14:textId="77777777" w:rsidR="00FD4BA8" w:rsidRDefault="009A1D2F" w:rsidP="00ED51CE">
      <w:pPr>
        <w:pStyle w:val="IASBNormalnparaL1"/>
      </w:pPr>
      <w:r>
        <w:t>…</w:t>
      </w:r>
    </w:p>
    <w:p w14:paraId="27E080DB" w14:textId="77777777" w:rsidR="00FD4BA8" w:rsidRDefault="00A90363" w:rsidP="00ED51CE">
      <w:pPr>
        <w:pStyle w:val="IASBNormalnpara"/>
      </w:pPr>
      <w:r w:rsidRPr="00ED51CE">
        <w:rPr>
          <w:u w:val="single"/>
        </w:rPr>
        <w:t>Aus7.3</w:t>
      </w:r>
      <w:r w:rsidRPr="00E1054A">
        <w:tab/>
      </w:r>
      <w:r w:rsidR="00E27198" w:rsidRPr="00A90363">
        <w:rPr>
          <w:u w:val="single"/>
        </w:rPr>
        <w:t>A</w:t>
      </w:r>
      <w:r w:rsidR="00E27198">
        <w:rPr>
          <w:u w:val="single"/>
        </w:rPr>
        <w:t>ASB 16</w:t>
      </w:r>
      <w:r w:rsidR="009A1D2F">
        <w:rPr>
          <w:u w:val="single"/>
        </w:rPr>
        <w:t xml:space="preserve">, issued in </w:t>
      </w:r>
      <w:r w:rsidR="00757948">
        <w:rPr>
          <w:u w:val="single"/>
        </w:rPr>
        <w:t>February 2016</w:t>
      </w:r>
      <w:r w:rsidR="009A1D2F">
        <w:rPr>
          <w:u w:val="single"/>
        </w:rPr>
        <w:t>, amended paragraph 5. An entity shall apply that amendment when it applies</w:t>
      </w:r>
      <w:r w:rsidR="00E27198">
        <w:rPr>
          <w:u w:val="single"/>
        </w:rPr>
        <w:t xml:space="preserve"> AASB 16</w:t>
      </w:r>
      <w:r w:rsidR="009A1D2F">
        <w:rPr>
          <w:u w:val="single"/>
        </w:rPr>
        <w:t>.</w:t>
      </w:r>
    </w:p>
    <w:p w14:paraId="6ABC1225" w14:textId="77777777" w:rsidR="00FD4BA8" w:rsidRDefault="00E27198">
      <w:pPr>
        <w:pStyle w:val="IASBSectionTitle1NonInd"/>
        <w:pBdr>
          <w:bottom w:val="none" w:sz="0" w:space="0" w:color="auto"/>
        </w:pBdr>
      </w:pPr>
      <w:r>
        <w:t>Interpretation 132</w:t>
      </w:r>
      <w:r w:rsidR="00D77441">
        <w:t xml:space="preserve"> </w:t>
      </w:r>
      <w:r w:rsidR="009A1D2F">
        <w:rPr>
          <w:i/>
        </w:rPr>
        <w:t>Intangible Assets—Web Site Costs</w:t>
      </w:r>
    </w:p>
    <w:p w14:paraId="4C11054F"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1"/>
        <w:tblDescription w:val="Interpretation 132 Intangible Assets—Web Site Costs"/>
      </w:tblPr>
      <w:tblGrid>
        <w:gridCol w:w="9208"/>
      </w:tblGrid>
      <w:tr w:rsidR="00FD4BA8" w14:paraId="235E3043"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40588CE" w14:textId="77777777" w:rsidR="00FD4BA8" w:rsidRDefault="009A1D2F">
            <w:pPr>
              <w:pStyle w:val="IASBTableArial"/>
            </w:pPr>
            <w:r>
              <w:t>The References paragraph is amended.</w:t>
            </w:r>
          </w:p>
        </w:tc>
      </w:tr>
    </w:tbl>
    <w:p w14:paraId="7424F6F6" w14:textId="77777777" w:rsidR="00FD4BA8" w:rsidRDefault="009A1D2F">
      <w:pPr>
        <w:pStyle w:val="IASBSectionTitle1NonInd"/>
      </w:pPr>
      <w:r>
        <w:t>References</w:t>
      </w:r>
    </w:p>
    <w:p w14:paraId="4923313B" w14:textId="77777777" w:rsidR="00FD4BA8" w:rsidRDefault="009A1D2F">
      <w:pPr>
        <w:pStyle w:val="IASBNormalL1"/>
      </w:pPr>
      <w:r>
        <w:t>•</w:t>
      </w:r>
      <w:r>
        <w:tab/>
        <w:t>...</w:t>
      </w:r>
    </w:p>
    <w:p w14:paraId="662473A1" w14:textId="77777777" w:rsidR="00FD4BA8" w:rsidRDefault="009A1D2F">
      <w:pPr>
        <w:pStyle w:val="IASBNormalL1"/>
      </w:pPr>
      <w:r>
        <w:t>•</w:t>
      </w:r>
      <w:r>
        <w:tab/>
      </w:r>
      <w:r w:rsidR="00E27198">
        <w:t>AASB 15</w:t>
      </w:r>
      <w:r>
        <w:t xml:space="preserve"> </w:t>
      </w:r>
      <w:r>
        <w:rPr>
          <w:i/>
        </w:rPr>
        <w:t>Revenue from Contracts with Customers</w:t>
      </w:r>
    </w:p>
    <w:p w14:paraId="1F74E778" w14:textId="77777777" w:rsidR="00FD4BA8" w:rsidRDefault="009A1D2F">
      <w:pPr>
        <w:pStyle w:val="IASBNormalL1"/>
      </w:pPr>
      <w:r>
        <w:t>•</w:t>
      </w:r>
      <w:r>
        <w:tab/>
      </w:r>
      <w:r w:rsidR="00E27198">
        <w:rPr>
          <w:u w:val="single"/>
        </w:rPr>
        <w:t>AASB 16</w:t>
      </w:r>
      <w:r>
        <w:rPr>
          <w:u w:val="single"/>
        </w:rPr>
        <w:t xml:space="preserve"> </w:t>
      </w:r>
      <w:r>
        <w:rPr>
          <w:i/>
          <w:u w:val="single"/>
        </w:rPr>
        <w:t>Leases</w:t>
      </w:r>
    </w:p>
    <w:p w14:paraId="62E0A35C" w14:textId="77777777" w:rsidR="00FD4BA8" w:rsidRDefault="009A1D2F">
      <w:pPr>
        <w:pStyle w:val="IASBNormalL1"/>
      </w:pPr>
      <w:r>
        <w:t>•</w:t>
      </w:r>
      <w:r>
        <w:tab/>
        <w:t>...</w:t>
      </w:r>
    </w:p>
    <w:p w14:paraId="5EE7E62C" w14:textId="77777777" w:rsidR="00FD4BA8" w:rsidRDefault="009A1D2F">
      <w:pPr>
        <w:pStyle w:val="IASBNormalL1"/>
      </w:pPr>
      <w:r>
        <w:t>•</w:t>
      </w:r>
      <w:r>
        <w:tab/>
      </w:r>
      <w:r w:rsidR="00E27198">
        <w:rPr>
          <w:strike/>
        </w:rPr>
        <w:t>AASB 117</w:t>
      </w:r>
      <w:r>
        <w:rPr>
          <w:strike/>
        </w:rPr>
        <w:t xml:space="preserve"> </w:t>
      </w:r>
      <w:r>
        <w:rPr>
          <w:i/>
          <w:strike/>
        </w:rPr>
        <w:t>Leases</w:t>
      </w:r>
    </w:p>
    <w:p w14:paraId="01761974" w14:textId="77777777" w:rsidR="00FD4BA8" w:rsidRDefault="009A1D2F">
      <w:pPr>
        <w:pStyle w:val="IASBNormalL1"/>
      </w:pPr>
      <w:r>
        <w:t>•</w:t>
      </w:r>
      <w:r>
        <w:tab/>
        <w:t>...</w:t>
      </w:r>
    </w:p>
    <w:p w14:paraId="2ABB2719"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2"/>
        <w:tblDescription w:val="Interpretation 132 Intangible Assets—Web Site Costs"/>
      </w:tblPr>
      <w:tblGrid>
        <w:gridCol w:w="9208"/>
      </w:tblGrid>
      <w:tr w:rsidR="00FD4BA8" w14:paraId="34344392"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8D7A726" w14:textId="77777777" w:rsidR="00FD4BA8" w:rsidRDefault="009A1D2F" w:rsidP="00CD550C">
            <w:pPr>
              <w:pStyle w:val="IASBTableArial"/>
            </w:pPr>
            <w:r>
              <w:t>Paragraph 6</w:t>
            </w:r>
            <w:r w:rsidR="00A407EE">
              <w:t xml:space="preserve"> </w:t>
            </w:r>
            <w:r>
              <w:t>is amended.</w:t>
            </w:r>
          </w:p>
        </w:tc>
      </w:tr>
    </w:tbl>
    <w:p w14:paraId="2BB72FA1" w14:textId="77777777" w:rsidR="00FD4BA8" w:rsidRDefault="009A1D2F">
      <w:pPr>
        <w:pStyle w:val="IASBSectionTitle1NonInd"/>
      </w:pPr>
      <w:r>
        <w:t>Issue</w:t>
      </w:r>
    </w:p>
    <w:p w14:paraId="2DAB0ADB" w14:textId="77777777" w:rsidR="00FD4BA8" w:rsidRDefault="009A1D2F">
      <w:pPr>
        <w:pStyle w:val="IASBNormalnpara"/>
      </w:pPr>
      <w:r>
        <w:tab/>
        <w:t>...</w:t>
      </w:r>
    </w:p>
    <w:p w14:paraId="15CC4575" w14:textId="77777777" w:rsidR="00FD4BA8" w:rsidRDefault="009A1D2F">
      <w:pPr>
        <w:pStyle w:val="IASBNormalnpara"/>
      </w:pPr>
      <w:r>
        <w:t>6</w:t>
      </w:r>
      <w:r>
        <w:tab/>
      </w:r>
      <w:r w:rsidR="00E27198">
        <w:t>AASB 138</w:t>
      </w:r>
      <w:r>
        <w:t xml:space="preserve"> does not apply to intangible assets held by an entity for sale in the ordinary course of business (see</w:t>
      </w:r>
      <w:r w:rsidR="00E27198">
        <w:t xml:space="preserve"> AASB 102</w:t>
      </w:r>
      <w:r>
        <w:t xml:space="preserve"> and</w:t>
      </w:r>
      <w:r w:rsidR="00E27198">
        <w:t xml:space="preserve"> AASB 15</w:t>
      </w:r>
      <w:r>
        <w:t xml:space="preserve">) or leases </w:t>
      </w:r>
      <w:r>
        <w:rPr>
          <w:strike/>
        </w:rPr>
        <w:t>that fall within the scope of</w:t>
      </w:r>
      <w:r w:rsidR="00E27198">
        <w:rPr>
          <w:strike/>
        </w:rPr>
        <w:t xml:space="preserve"> AASB 117</w:t>
      </w:r>
      <w:r>
        <w:t xml:space="preserve"> </w:t>
      </w:r>
      <w:r>
        <w:rPr>
          <w:u w:val="single"/>
        </w:rPr>
        <w:t>of intangible assets accounted for in accordance with</w:t>
      </w:r>
      <w:r w:rsidR="00E27198">
        <w:rPr>
          <w:u w:val="single"/>
        </w:rPr>
        <w:t xml:space="preserve"> AASB 16</w:t>
      </w:r>
      <w:r>
        <w:t xml:space="preserve">. Accordingly, this Interpretation does not apply to expenditure on the development or operation of a web site (or web site software) for sale to another entity </w:t>
      </w:r>
      <w:r>
        <w:rPr>
          <w:u w:val="single"/>
        </w:rPr>
        <w:t>or that is accounted for in accordance with</w:t>
      </w:r>
      <w:r w:rsidR="00E27198">
        <w:rPr>
          <w:u w:val="single"/>
        </w:rPr>
        <w:t xml:space="preserve"> AASB 16</w:t>
      </w:r>
      <w:r>
        <w:t xml:space="preserve">. </w:t>
      </w:r>
      <w:r>
        <w:rPr>
          <w:strike/>
        </w:rPr>
        <w:t>When a web site is leased under an operating lease, the lessor applies this Interpretation. When a web site is leased under a finance lease, the lessee applies this Interpretation after initial recognition of the leased asset.</w:t>
      </w:r>
    </w:p>
    <w:p w14:paraId="5891616F" w14:textId="77777777" w:rsidR="00FD4BA8" w:rsidRDefault="00FD4BA8">
      <w:pPr>
        <w:pStyle w:val="IASBNormalnpara"/>
      </w:pPr>
    </w:p>
    <w:tbl>
      <w:tblPr>
        <w:tblW w:w="0" w:type="auto"/>
        <w:tblLayout w:type="fixed"/>
        <w:tblCellMar>
          <w:bottom w:w="85" w:type="dxa"/>
        </w:tblCellMar>
        <w:tblLook w:val="0000" w:firstRow="0" w:lastRow="0" w:firstColumn="0" w:lastColumn="0" w:noHBand="0" w:noVBand="0"/>
        <w:tblCaption w:val="AASB 16 Table 43"/>
        <w:tblDescription w:val="Interpretation 132 Intangible Assets—Web Site Costs"/>
      </w:tblPr>
      <w:tblGrid>
        <w:gridCol w:w="9208"/>
      </w:tblGrid>
      <w:tr w:rsidR="00FD4BA8" w14:paraId="151B391A" w14:textId="77777777" w:rsidTr="00BA251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C53C78C" w14:textId="77777777" w:rsidR="00FD4BA8" w:rsidRDefault="00A90363">
            <w:pPr>
              <w:pStyle w:val="IASBTableArial"/>
            </w:pPr>
            <w:r>
              <w:t>Paragraph Aus10.3 is added.</w:t>
            </w:r>
          </w:p>
        </w:tc>
      </w:tr>
    </w:tbl>
    <w:p w14:paraId="1B52D05B" w14:textId="77777777" w:rsidR="00FD4BA8" w:rsidRDefault="009A1D2F">
      <w:pPr>
        <w:pStyle w:val="IASBSectionTitle1NonInd"/>
      </w:pPr>
      <w:r>
        <w:t>Effective date</w:t>
      </w:r>
    </w:p>
    <w:p w14:paraId="530FE6D5" w14:textId="77777777" w:rsidR="00FD4BA8" w:rsidRDefault="009A1D2F" w:rsidP="00ED51CE">
      <w:pPr>
        <w:pStyle w:val="IASBNormalnparaL1"/>
      </w:pPr>
      <w:r>
        <w:t>…</w:t>
      </w:r>
    </w:p>
    <w:p w14:paraId="20BAE851" w14:textId="77777777" w:rsidR="00C825DF" w:rsidRDefault="00752B4B">
      <w:pPr>
        <w:pStyle w:val="IASBNormalnpara"/>
        <w:rPr>
          <w:u w:val="single"/>
        </w:rPr>
      </w:pPr>
      <w:r>
        <w:rPr>
          <w:u w:val="single"/>
        </w:rPr>
        <w:t>Aus10.</w:t>
      </w:r>
      <w:r w:rsidRPr="00E1054A">
        <w:rPr>
          <w:u w:val="single"/>
        </w:rPr>
        <w:t>3</w:t>
      </w:r>
      <w:r>
        <w:tab/>
      </w:r>
      <w:r w:rsidR="00E27198" w:rsidRPr="00752B4B">
        <w:rPr>
          <w:u w:val="single"/>
        </w:rPr>
        <w:t>AASB </w:t>
      </w:r>
      <w:r w:rsidR="00E27198">
        <w:rPr>
          <w:u w:val="single"/>
        </w:rPr>
        <w:t>16</w:t>
      </w:r>
      <w:r w:rsidR="009A1D2F">
        <w:rPr>
          <w:u w:val="single"/>
        </w:rPr>
        <w:t xml:space="preserve">, issued in </w:t>
      </w:r>
      <w:r w:rsidR="00757948">
        <w:rPr>
          <w:u w:val="single"/>
        </w:rPr>
        <w:t>February 2016</w:t>
      </w:r>
      <w:r w:rsidR="009A1D2F">
        <w:rPr>
          <w:u w:val="single"/>
        </w:rPr>
        <w:t>, amended paragraph 6. An entity shall apply that amendment when it applies</w:t>
      </w:r>
      <w:r w:rsidR="00E27198">
        <w:rPr>
          <w:u w:val="single"/>
        </w:rPr>
        <w:t xml:space="preserve"> AASB 16</w:t>
      </w:r>
      <w:r w:rsidR="009A1D2F">
        <w:rPr>
          <w:u w:val="single"/>
        </w:rPr>
        <w:t>.</w:t>
      </w:r>
    </w:p>
    <w:p w14:paraId="3D6F2964" w14:textId="77777777" w:rsidR="00C825DF" w:rsidRDefault="00C825DF">
      <w:pPr>
        <w:pStyle w:val="IASBNormalnpara"/>
        <w:rPr>
          <w:u w:val="single"/>
        </w:rPr>
      </w:pPr>
    </w:p>
    <w:p w14:paraId="1BDC0355" w14:textId="77777777" w:rsidR="00833B56" w:rsidRDefault="00833B56">
      <w:pPr>
        <w:pStyle w:val="IASBNormalnpara"/>
        <w:rPr>
          <w:u w:val="single"/>
        </w:rPr>
        <w:sectPr w:rsidR="00833B56" w:rsidSect="00A53B06">
          <w:footerReference w:type="default" r:id="rId16"/>
          <w:pgSz w:w="11907" w:h="16839"/>
          <w:pgMar w:top="1440" w:right="1440" w:bottom="1440" w:left="1440" w:header="720" w:footer="720" w:gutter="0"/>
          <w:cols w:space="708"/>
          <w:docGrid w:linePitch="360"/>
        </w:sectPr>
      </w:pPr>
    </w:p>
    <w:p w14:paraId="5CCE1F9B" w14:textId="0AAA3FE3" w:rsidR="003B440D" w:rsidRPr="003B440D" w:rsidRDefault="003B440D" w:rsidP="007144CE">
      <w:pPr>
        <w:pStyle w:val="ConvSectionTitle"/>
      </w:pPr>
      <w:r w:rsidRPr="003B440D">
        <w:lastRenderedPageBreak/>
        <w:t>Appendix E</w:t>
      </w:r>
      <w:r w:rsidR="007144CE">
        <w:br/>
      </w:r>
      <w:r w:rsidRPr="003B440D">
        <w:t>Australian reduced disclosure requirements</w:t>
      </w:r>
    </w:p>
    <w:p w14:paraId="6A9F75F1" w14:textId="77777777" w:rsidR="003B440D" w:rsidRPr="00065B29" w:rsidRDefault="003B440D" w:rsidP="007144CE">
      <w:pPr>
        <w:pStyle w:val="IASBNote"/>
      </w:pPr>
      <w:r>
        <w:t>This appendix is an integral part of the Standard and has the same authority as the other parts of the Standard.</w:t>
      </w:r>
    </w:p>
    <w:p w14:paraId="027C8954" w14:textId="77777777" w:rsidR="003B440D" w:rsidRPr="007144CE" w:rsidRDefault="003B440D" w:rsidP="009F2244">
      <w:pPr>
        <w:pStyle w:val="AusBold"/>
      </w:pPr>
      <w:r w:rsidRPr="007144CE">
        <w:t>AusE1</w:t>
      </w:r>
      <w:r w:rsidRPr="007144CE">
        <w:tab/>
        <w:t xml:space="preserve">The following do not apply to entities preparing general purpose financial statements under Australian Accounting Standards – Reduced Disclosure Requirements: </w:t>
      </w:r>
    </w:p>
    <w:p w14:paraId="7EAD08C5" w14:textId="0049405C" w:rsidR="003B440D" w:rsidRPr="009F2244" w:rsidRDefault="007144CE" w:rsidP="009F2244">
      <w:pPr>
        <w:pStyle w:val="IASBNormalnparaL2"/>
        <w:rPr>
          <w:b/>
        </w:rPr>
      </w:pPr>
      <w:r w:rsidRPr="009F2244">
        <w:rPr>
          <w:b/>
        </w:rPr>
        <w:t>(a)</w:t>
      </w:r>
      <w:r w:rsidRPr="009F2244">
        <w:rPr>
          <w:b/>
        </w:rPr>
        <w:tab/>
      </w:r>
      <w:r w:rsidR="003B440D" w:rsidRPr="009F2244">
        <w:rPr>
          <w:b/>
        </w:rPr>
        <w:t>paragraphs 54, 58, 91, B50(a), (b) and (d), B51(a), (b) and (d), and B52; and</w:t>
      </w:r>
    </w:p>
    <w:p w14:paraId="4F3662AE" w14:textId="4AC6C811" w:rsidR="003B440D" w:rsidRPr="009F2244" w:rsidRDefault="007144CE" w:rsidP="009F2244">
      <w:pPr>
        <w:pStyle w:val="IASBNormalnparaL2"/>
        <w:rPr>
          <w:b/>
        </w:rPr>
      </w:pPr>
      <w:r w:rsidRPr="009F2244">
        <w:rPr>
          <w:b/>
        </w:rPr>
        <w:t>(b)</w:t>
      </w:r>
      <w:r w:rsidRPr="009F2244">
        <w:rPr>
          <w:b/>
        </w:rPr>
        <w:tab/>
      </w:r>
      <w:r w:rsidR="003B440D" w:rsidRPr="009F2244">
        <w:rPr>
          <w:b/>
        </w:rPr>
        <w:t>in paragraph 90(b), the text “, separately disclosing income relating to variable lease payments that do not depend on an index or a rate”.</w:t>
      </w:r>
    </w:p>
    <w:p w14:paraId="74749A61" w14:textId="77777777" w:rsidR="003B440D" w:rsidRPr="009F2244" w:rsidRDefault="003B440D" w:rsidP="009F2244">
      <w:pPr>
        <w:pStyle w:val="IASBNormalL2P"/>
        <w:rPr>
          <w:b/>
        </w:rPr>
      </w:pPr>
      <w:r w:rsidRPr="009F2244">
        <w:rPr>
          <w:b/>
        </w:rPr>
        <w:t xml:space="preserve">Entities applying Australian Accounting Standards – Reduced Disclosure Requirements may elect to comply with some or all of these excluded requirements. </w:t>
      </w:r>
    </w:p>
    <w:p w14:paraId="38536E07" w14:textId="77777777" w:rsidR="003B440D" w:rsidRPr="001672C9" w:rsidRDefault="003B440D" w:rsidP="009F2244">
      <w:pPr>
        <w:pStyle w:val="AusPlain"/>
      </w:pPr>
      <w:r w:rsidRPr="001672C9">
        <w:t>AusE2</w:t>
      </w:r>
      <w:r w:rsidRPr="001672C9">
        <w:tab/>
        <w:t>The requirements that do not apply to entities preparing general purpose financial statements under Australian Accounting Standards – Reduced Disclosure Requirements are also identified in this Standard by shading of the relevant text.</w:t>
      </w:r>
    </w:p>
    <w:p w14:paraId="73B0E6DE" w14:textId="77777777" w:rsidR="003B440D" w:rsidRPr="007144CE" w:rsidRDefault="003B440D" w:rsidP="009F2244">
      <w:pPr>
        <w:pStyle w:val="AusBold"/>
      </w:pPr>
      <w:r w:rsidRPr="007144CE">
        <w:t>AusE3</w:t>
      </w:r>
      <w:r w:rsidRPr="007144CE">
        <w:tab/>
        <w:t>The RDR paragraph in this Standard applies only to entities preparing general purpose financial statements under Australian Accounting Standards – Reduced Disclosure Requirements.</w:t>
      </w:r>
    </w:p>
    <w:p w14:paraId="6495DB2A" w14:textId="5A7DCF6E" w:rsidR="003B440D" w:rsidRDefault="003B440D" w:rsidP="007144CE">
      <w:pPr>
        <w:pStyle w:val="AusPlain"/>
      </w:pPr>
      <w:r w:rsidRPr="008704A5">
        <w:t>RDR54.1</w:t>
      </w:r>
      <w:r w:rsidRPr="008704A5">
        <w:tab/>
        <w:t>The amounts disclosed in accordance with paragraph 53 shall include costs that a lessee has included in the carrying amount of another asset during the reporting period.</w:t>
      </w:r>
    </w:p>
    <w:p w14:paraId="6BAF1CA7" w14:textId="77777777" w:rsidR="00887CC1" w:rsidRDefault="00887CC1" w:rsidP="002B240B">
      <w:pPr>
        <w:pStyle w:val="NumPlain1"/>
        <w:numPr>
          <w:ilvl w:val="0"/>
          <w:numId w:val="0"/>
        </w:numPr>
        <w:spacing w:after="0"/>
      </w:pPr>
    </w:p>
    <w:p w14:paraId="71A7B9C8" w14:textId="46F62325" w:rsidR="007144CE" w:rsidRDefault="007144CE" w:rsidP="002B240B">
      <w:pPr>
        <w:pStyle w:val="NumPlain1"/>
        <w:numPr>
          <w:ilvl w:val="0"/>
          <w:numId w:val="0"/>
        </w:numPr>
        <w:spacing w:after="0"/>
        <w:sectPr w:rsidR="007144CE" w:rsidSect="00C825DF">
          <w:footerReference w:type="default" r:id="rId17"/>
          <w:pgSz w:w="11907" w:h="16839"/>
          <w:pgMar w:top="1440" w:right="1440" w:bottom="1440" w:left="1440" w:header="720" w:footer="720" w:gutter="0"/>
          <w:cols w:space="708"/>
          <w:docGrid w:linePitch="360"/>
        </w:sectPr>
      </w:pPr>
    </w:p>
    <w:p w14:paraId="35CD830B" w14:textId="766ED0E5" w:rsidR="00CB1E99" w:rsidRDefault="00CB1E99" w:rsidP="00CB1E99">
      <w:pPr>
        <w:pStyle w:val="ConvSectionTitle"/>
      </w:pPr>
      <w:r>
        <w:lastRenderedPageBreak/>
        <w:t>Compilation details</w:t>
      </w:r>
      <w:r>
        <w:br/>
      </w:r>
      <w:r w:rsidRPr="00B663AC">
        <w:t xml:space="preserve">Accounting Standard AASB </w:t>
      </w:r>
      <w:r>
        <w:fldChar w:fldCharType="begin" w:fldLock="1"/>
      </w:r>
      <w:r>
        <w:instrText xml:space="preserve"> REF DocNo \* charformat</w:instrText>
      </w:r>
      <w:r>
        <w:fldChar w:fldCharType="separate"/>
      </w:r>
      <w:r>
        <w:t>16</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Pr="00E27198">
        <w:rPr>
          <w:i/>
        </w:rPr>
        <w:t>Leases</w:t>
      </w:r>
      <w:r w:rsidRPr="00844AB3">
        <w:rPr>
          <w:i/>
        </w:rPr>
        <w:fldChar w:fldCharType="end"/>
      </w:r>
      <w:r w:rsidRPr="00B663AC">
        <w:t xml:space="preserve"> </w:t>
      </w:r>
      <w:r w:rsidR="0024240A">
        <w:t>(</w:t>
      </w:r>
      <w:r w:rsidRPr="00B663AC">
        <w:t>as amended</w:t>
      </w:r>
      <w:r w:rsidR="0024240A">
        <w:t>)</w:t>
      </w:r>
    </w:p>
    <w:p w14:paraId="28290B4C" w14:textId="648FD2A8" w:rsidR="00CB1E99" w:rsidRDefault="00CB1E99" w:rsidP="00CB1E99">
      <w:pPr>
        <w:pStyle w:val="IASBNote"/>
      </w:pPr>
      <w:r>
        <w:t xml:space="preserve">Compilation details are not part of AASB </w:t>
      </w:r>
      <w:r>
        <w:fldChar w:fldCharType="begin" w:fldLock="1"/>
      </w:r>
      <w:r>
        <w:instrText xml:space="preserve"> REF DocNo \* charformat</w:instrText>
      </w:r>
      <w:r>
        <w:fldChar w:fldCharType="separate"/>
      </w:r>
      <w:r>
        <w:t>16</w:t>
      </w:r>
      <w:r>
        <w:fldChar w:fldCharType="end"/>
      </w:r>
      <w:r>
        <w:t>.</w:t>
      </w:r>
    </w:p>
    <w:p w14:paraId="49A33554" w14:textId="1327B282" w:rsidR="00CB1E99" w:rsidRPr="000D35D8" w:rsidRDefault="00CB1E99" w:rsidP="00CB1E99">
      <w:pPr>
        <w:pStyle w:val="IASBNormal"/>
      </w:pPr>
      <w:r w:rsidRPr="0059152C">
        <w:t xml:space="preserve">This compiled Standard applies to annual periods </w:t>
      </w:r>
      <w:r w:rsidRPr="0059152C">
        <w:fldChar w:fldCharType="begin" w:fldLock="1"/>
      </w:r>
      <w:r w:rsidRPr="0059152C">
        <w:instrText xml:space="preserve"> REF ApplyTextCompile \* charformat  \* MERGEFORMAT </w:instrText>
      </w:r>
      <w:r w:rsidRPr="0059152C">
        <w:fldChar w:fldCharType="separate"/>
      </w:r>
      <w:r w:rsidRPr="0059152C">
        <w:t>beginning</w:t>
      </w:r>
      <w:r w:rsidRPr="0059152C">
        <w:fldChar w:fldCharType="end"/>
      </w:r>
      <w:r w:rsidRPr="0059152C">
        <w:t xml:space="preserve"> on or after </w:t>
      </w:r>
      <w:r w:rsidRPr="0059152C">
        <w:fldChar w:fldCharType="begin"/>
      </w:r>
      <w:r w:rsidRPr="0059152C">
        <w:instrText xml:space="preserve"> REF \* charformat ApplyDateCompile  \* MERGEFORMAT </w:instrText>
      </w:r>
      <w:r w:rsidRPr="0059152C">
        <w:fldChar w:fldCharType="separate"/>
      </w:r>
      <w:r w:rsidR="00045471" w:rsidRPr="0059152C">
        <w:t xml:space="preserve">1 </w:t>
      </w:r>
      <w:r w:rsidR="00045471">
        <w:t xml:space="preserve">April 2021 but before 1 </w:t>
      </w:r>
      <w:r w:rsidR="00045471" w:rsidRPr="0059152C">
        <w:t>J</w:t>
      </w:r>
      <w:r w:rsidR="00045471">
        <w:t>ul</w:t>
      </w:r>
      <w:r w:rsidR="00045471" w:rsidRPr="0059152C">
        <w:t>y 20</w:t>
      </w:r>
      <w:r w:rsidR="00045471">
        <w:t>21</w:t>
      </w:r>
      <w:r w:rsidRPr="0059152C">
        <w:fldChar w:fldCharType="end"/>
      </w:r>
      <w:r w:rsidRPr="0059152C">
        <w:t xml:space="preserve">.  It takes into account amendments up to and including </w:t>
      </w:r>
      <w:bookmarkStart w:id="11" w:name="CompileDate"/>
      <w:r w:rsidR="0091547E">
        <w:t>21</w:t>
      </w:r>
      <w:r w:rsidR="00880D12">
        <w:t xml:space="preserve"> </w:t>
      </w:r>
      <w:r w:rsidR="0091547E">
        <w:t xml:space="preserve">April </w:t>
      </w:r>
      <w:r w:rsidR="0024240A">
        <w:t>20</w:t>
      </w:r>
      <w:r w:rsidR="00B14EFE">
        <w:t>2</w:t>
      </w:r>
      <w:r w:rsidR="0091547E">
        <w:t>1</w:t>
      </w:r>
      <w:bookmarkEnd w:id="11"/>
      <w:r w:rsidR="001A645E">
        <w:t xml:space="preserve"> </w:t>
      </w:r>
      <w:r w:rsidRPr="0059152C">
        <w:t xml:space="preserve">and was prepared on </w:t>
      </w:r>
      <w:bookmarkStart w:id="12" w:name="PrepDate"/>
      <w:r w:rsidR="0091547E">
        <w:t>6</w:t>
      </w:r>
      <w:r w:rsidR="007724EB">
        <w:t xml:space="preserve"> </w:t>
      </w:r>
      <w:r w:rsidR="0091547E">
        <w:t xml:space="preserve">May </w:t>
      </w:r>
      <w:r w:rsidR="007724EB">
        <w:t>202</w:t>
      </w:r>
      <w:r w:rsidR="00D21034">
        <w:t>1</w:t>
      </w:r>
      <w:bookmarkEnd w:id="12"/>
      <w:r w:rsidRPr="000D35D8">
        <w:t xml:space="preserve"> by the staff of the Australian Accounting Standards Board (AASB).</w:t>
      </w:r>
    </w:p>
    <w:p w14:paraId="1541C5BD" w14:textId="5F2AAAA6" w:rsidR="00CB1E99" w:rsidRPr="000D35D8" w:rsidRDefault="00CB1E99" w:rsidP="00CB1E99">
      <w:pPr>
        <w:pStyle w:val="IASBNormal"/>
      </w:pPr>
      <w:r w:rsidRPr="000D35D8">
        <w:t xml:space="preserve">This compilation is not a separate Accounting Standard made by the AASB.  Instead, it is a representation of </w:t>
      </w:r>
      <w:r w:rsidR="00FF6BA5">
        <w:t>AASB </w:t>
      </w:r>
      <w:r>
        <w:fldChar w:fldCharType="begin" w:fldLock="1"/>
      </w:r>
      <w:r>
        <w:instrText xml:space="preserve"> REF DocNo \* charformat</w:instrText>
      </w:r>
      <w:r>
        <w:fldChar w:fldCharType="separate"/>
      </w:r>
      <w:r>
        <w:t>16</w:t>
      </w:r>
      <w:r>
        <w:fldChar w:fldCharType="end"/>
      </w:r>
      <w:r>
        <w:t xml:space="preserve"> (February 2016) </w:t>
      </w:r>
      <w:r w:rsidRPr="000D35D8">
        <w:t>as amended by other Accounting Stan</w:t>
      </w:r>
      <w:r>
        <w:t xml:space="preserve">dards, which are listed in the </w:t>
      </w:r>
      <w:r w:rsidR="008E146A">
        <w:t>t</w:t>
      </w:r>
      <w:r w:rsidR="008E146A" w:rsidRPr="000D35D8">
        <w:t xml:space="preserve">able </w:t>
      </w:r>
      <w:r w:rsidRPr="000D35D8">
        <w:t>below.</w:t>
      </w:r>
    </w:p>
    <w:p w14:paraId="174B9E8E" w14:textId="77777777" w:rsidR="00CB1E99" w:rsidRPr="000D35D8" w:rsidRDefault="00CB1E99" w:rsidP="00CB1E99">
      <w:pPr>
        <w:pStyle w:val="IASBSectionTitle2NonInd"/>
      </w:pPr>
      <w:r w:rsidRPr="00B663AC">
        <w:t>Table of Standards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listing the principal Standard and the subsequent amending Standards"/>
        <w:tblDescription w:val="Details for each principal and amending Standard listed, that is, number of the Standard, date made by the AASB, FRLI identifier, commencement date, application date, and early application note reference or a note that the particular Standard is not incorporated in this version of the compiled Standard"/>
      </w:tblPr>
      <w:tblGrid>
        <w:gridCol w:w="1333"/>
        <w:gridCol w:w="1276"/>
        <w:gridCol w:w="1417"/>
        <w:gridCol w:w="1276"/>
        <w:gridCol w:w="2552"/>
        <w:gridCol w:w="1275"/>
      </w:tblGrid>
      <w:tr w:rsidR="00CB1E99" w:rsidRPr="009305B8" w14:paraId="4A573FAA" w14:textId="77777777" w:rsidTr="0059152C">
        <w:trPr>
          <w:cantSplit/>
          <w:tblHeader/>
        </w:trPr>
        <w:tc>
          <w:tcPr>
            <w:tcW w:w="1333" w:type="dxa"/>
          </w:tcPr>
          <w:p w14:paraId="4B0E7E95" w14:textId="77777777" w:rsidR="00CB1E99" w:rsidRPr="009305B8" w:rsidRDefault="00CB1E99" w:rsidP="0059152C">
            <w:pPr>
              <w:pStyle w:val="NoNumBold1"/>
              <w:rPr>
                <w:rFonts w:ascii="Arial" w:hAnsi="Arial" w:cs="Arial"/>
                <w:sz w:val="18"/>
                <w:szCs w:val="18"/>
              </w:rPr>
            </w:pPr>
            <w:r w:rsidRPr="009305B8">
              <w:rPr>
                <w:rFonts w:ascii="Arial" w:hAnsi="Arial" w:cs="Arial"/>
                <w:sz w:val="18"/>
                <w:szCs w:val="18"/>
              </w:rPr>
              <w:t>Standard</w:t>
            </w:r>
          </w:p>
        </w:tc>
        <w:tc>
          <w:tcPr>
            <w:tcW w:w="1276" w:type="dxa"/>
          </w:tcPr>
          <w:p w14:paraId="061B0189" w14:textId="77777777" w:rsidR="00CB1E99" w:rsidRDefault="00CB1E99" w:rsidP="0059152C">
            <w:pPr>
              <w:pStyle w:val="NoNumBold1"/>
              <w:rPr>
                <w:rFonts w:ascii="Arial" w:hAnsi="Arial" w:cs="Arial"/>
                <w:sz w:val="18"/>
                <w:szCs w:val="18"/>
              </w:rPr>
            </w:pPr>
            <w:r>
              <w:rPr>
                <w:rFonts w:ascii="Arial" w:hAnsi="Arial" w:cs="Arial"/>
                <w:sz w:val="18"/>
                <w:szCs w:val="18"/>
              </w:rPr>
              <w:t>Date made</w:t>
            </w:r>
          </w:p>
        </w:tc>
        <w:tc>
          <w:tcPr>
            <w:tcW w:w="1417" w:type="dxa"/>
          </w:tcPr>
          <w:p w14:paraId="55168B5B" w14:textId="77777777" w:rsidR="00CB1E99" w:rsidRPr="009305B8" w:rsidRDefault="00CB1E99" w:rsidP="0059152C">
            <w:pPr>
              <w:pStyle w:val="NoNumBold1"/>
              <w:rPr>
                <w:rFonts w:ascii="Arial" w:hAnsi="Arial" w:cs="Arial"/>
                <w:sz w:val="18"/>
                <w:szCs w:val="18"/>
              </w:rPr>
            </w:pPr>
            <w:r>
              <w:rPr>
                <w:rFonts w:ascii="Arial" w:hAnsi="Arial" w:cs="Arial"/>
                <w:sz w:val="18"/>
                <w:szCs w:val="18"/>
              </w:rPr>
              <w:t>FRL identifier</w:t>
            </w:r>
          </w:p>
        </w:tc>
        <w:tc>
          <w:tcPr>
            <w:tcW w:w="1276" w:type="dxa"/>
          </w:tcPr>
          <w:p w14:paraId="5CED10CD" w14:textId="77777777" w:rsidR="00CB1E99" w:rsidRPr="009305B8" w:rsidRDefault="00CB1E99" w:rsidP="0059152C">
            <w:pPr>
              <w:pStyle w:val="NoNumBold1"/>
              <w:rPr>
                <w:rFonts w:ascii="Arial" w:hAnsi="Arial" w:cs="Arial"/>
                <w:sz w:val="18"/>
                <w:szCs w:val="18"/>
              </w:rPr>
            </w:pPr>
            <w:r>
              <w:rPr>
                <w:rFonts w:ascii="Arial" w:hAnsi="Arial" w:cs="Arial"/>
                <w:sz w:val="18"/>
                <w:szCs w:val="18"/>
              </w:rPr>
              <w:t>Commence-ment date</w:t>
            </w:r>
          </w:p>
        </w:tc>
        <w:tc>
          <w:tcPr>
            <w:tcW w:w="2552" w:type="dxa"/>
          </w:tcPr>
          <w:p w14:paraId="0DAA7426" w14:textId="77777777" w:rsidR="00CB1E99" w:rsidRPr="009305B8" w:rsidRDefault="00CB1E99" w:rsidP="0059152C">
            <w:pPr>
              <w:pStyle w:val="NoNumBold1"/>
              <w:rPr>
                <w:rFonts w:ascii="Arial" w:hAnsi="Arial" w:cs="Arial"/>
                <w:sz w:val="18"/>
                <w:szCs w:val="18"/>
              </w:rPr>
            </w:pPr>
            <w:r>
              <w:rPr>
                <w:rFonts w:ascii="Arial" w:hAnsi="Arial" w:cs="Arial"/>
                <w:sz w:val="18"/>
                <w:szCs w:val="18"/>
              </w:rPr>
              <w:t>Effective</w:t>
            </w:r>
            <w:r w:rsidRPr="009305B8">
              <w:rPr>
                <w:rFonts w:ascii="Arial" w:hAnsi="Arial" w:cs="Arial"/>
                <w:sz w:val="18"/>
                <w:szCs w:val="18"/>
              </w:rPr>
              <w:t xml:space="preserve"> date</w:t>
            </w:r>
            <w:r w:rsidRPr="009305B8">
              <w:rPr>
                <w:rFonts w:ascii="Arial" w:hAnsi="Arial" w:cs="Arial"/>
                <w:sz w:val="18"/>
                <w:szCs w:val="18"/>
              </w:rPr>
              <w:br/>
            </w:r>
            <w:r w:rsidRPr="009305B8">
              <w:rPr>
                <w:rFonts w:ascii="Arial" w:hAnsi="Arial" w:cs="Arial"/>
                <w:i/>
                <w:sz w:val="18"/>
                <w:szCs w:val="18"/>
              </w:rPr>
              <w:t xml:space="preserve">(annual periods </w:t>
            </w:r>
            <w:r>
              <w:rPr>
                <w:rFonts w:ascii="Arial" w:hAnsi="Arial" w:cs="Arial"/>
                <w:i/>
                <w:sz w:val="18"/>
                <w:szCs w:val="18"/>
              </w:rPr>
              <w:br/>
            </w:r>
            <w:r w:rsidRPr="009305B8">
              <w:rPr>
                <w:rFonts w:ascii="Arial" w:hAnsi="Arial" w:cs="Arial"/>
                <w:i/>
                <w:sz w:val="18"/>
                <w:szCs w:val="18"/>
              </w:rPr>
              <w:t>… on or after …)</w:t>
            </w:r>
          </w:p>
        </w:tc>
        <w:tc>
          <w:tcPr>
            <w:tcW w:w="1275" w:type="dxa"/>
          </w:tcPr>
          <w:p w14:paraId="5F3689F4" w14:textId="77777777" w:rsidR="00CB1E99" w:rsidRPr="009305B8" w:rsidRDefault="00CB1E99" w:rsidP="0059152C">
            <w:pPr>
              <w:pStyle w:val="NoNumBold1"/>
              <w:rPr>
                <w:rFonts w:ascii="Arial" w:hAnsi="Arial" w:cs="Arial"/>
                <w:sz w:val="18"/>
                <w:szCs w:val="18"/>
              </w:rPr>
            </w:pPr>
            <w:r w:rsidRPr="009305B8">
              <w:rPr>
                <w:rFonts w:ascii="Arial" w:hAnsi="Arial" w:cs="Arial"/>
                <w:sz w:val="18"/>
                <w:szCs w:val="18"/>
              </w:rPr>
              <w:t>Application, saving or transitional provisions</w:t>
            </w:r>
          </w:p>
        </w:tc>
      </w:tr>
      <w:tr w:rsidR="00CB1E99" w:rsidRPr="009305B8" w14:paraId="2077EEE3" w14:textId="77777777" w:rsidTr="0059152C">
        <w:trPr>
          <w:cantSplit/>
        </w:trPr>
        <w:tc>
          <w:tcPr>
            <w:tcW w:w="1333" w:type="dxa"/>
          </w:tcPr>
          <w:p w14:paraId="1032376D" w14:textId="2582012F" w:rsidR="00CB1E99" w:rsidRPr="005816E9" w:rsidRDefault="00CB1E99" w:rsidP="0059152C">
            <w:pPr>
              <w:rPr>
                <w:rFonts w:ascii="Arial" w:hAnsi="Arial" w:cs="Arial"/>
                <w:sz w:val="18"/>
                <w:szCs w:val="18"/>
              </w:rPr>
            </w:pPr>
            <w:r w:rsidRPr="0063046D">
              <w:rPr>
                <w:rFonts w:ascii="Arial" w:hAnsi="Arial" w:cs="Arial"/>
                <w:sz w:val="18"/>
                <w:szCs w:val="18"/>
              </w:rPr>
              <w:t xml:space="preserve">AASB </w:t>
            </w:r>
            <w:r w:rsidRPr="0063046D">
              <w:rPr>
                <w:rFonts w:ascii="Arial" w:hAnsi="Arial" w:cs="Arial"/>
                <w:sz w:val="18"/>
                <w:szCs w:val="18"/>
              </w:rPr>
              <w:fldChar w:fldCharType="begin" w:fldLock="1"/>
            </w:r>
            <w:r w:rsidRPr="0063046D">
              <w:rPr>
                <w:rFonts w:ascii="Arial" w:hAnsi="Arial" w:cs="Arial"/>
                <w:sz w:val="18"/>
                <w:szCs w:val="18"/>
              </w:rPr>
              <w:instrText xml:space="preserve"> REF DocNo \* charformat</w:instrText>
            </w:r>
            <w:r w:rsidR="0063046D">
              <w:rPr>
                <w:rFonts w:ascii="Arial" w:hAnsi="Arial" w:cs="Arial"/>
                <w:sz w:val="18"/>
                <w:szCs w:val="18"/>
              </w:rPr>
              <w:instrText xml:space="preserve"> \* MERGEFORMAT </w:instrText>
            </w:r>
            <w:r w:rsidRPr="0063046D">
              <w:rPr>
                <w:rFonts w:ascii="Arial" w:hAnsi="Arial" w:cs="Arial"/>
                <w:sz w:val="18"/>
                <w:szCs w:val="18"/>
              </w:rPr>
              <w:fldChar w:fldCharType="separate"/>
            </w:r>
            <w:r w:rsidRPr="0063046D">
              <w:rPr>
                <w:rFonts w:ascii="Arial" w:hAnsi="Arial" w:cs="Arial"/>
                <w:sz w:val="18"/>
                <w:szCs w:val="18"/>
              </w:rPr>
              <w:t>16</w:t>
            </w:r>
            <w:r w:rsidRPr="0063046D">
              <w:rPr>
                <w:rFonts w:ascii="Arial" w:hAnsi="Arial" w:cs="Arial"/>
                <w:sz w:val="18"/>
                <w:szCs w:val="18"/>
              </w:rPr>
              <w:fldChar w:fldCharType="end"/>
            </w:r>
          </w:p>
        </w:tc>
        <w:tc>
          <w:tcPr>
            <w:tcW w:w="1276" w:type="dxa"/>
          </w:tcPr>
          <w:p w14:paraId="7184FBD4" w14:textId="147F6A74" w:rsidR="00CB1E99" w:rsidRPr="005816E9" w:rsidRDefault="00CB1E99" w:rsidP="0059152C">
            <w:pPr>
              <w:rPr>
                <w:rFonts w:ascii="Arial" w:hAnsi="Arial" w:cs="Arial"/>
                <w:sz w:val="18"/>
                <w:szCs w:val="18"/>
              </w:rPr>
            </w:pPr>
            <w:r>
              <w:rPr>
                <w:rFonts w:ascii="Arial" w:hAnsi="Arial" w:cs="Arial"/>
                <w:sz w:val="18"/>
                <w:szCs w:val="18"/>
              </w:rPr>
              <w:t>23 Feb 2016</w:t>
            </w:r>
          </w:p>
        </w:tc>
        <w:tc>
          <w:tcPr>
            <w:tcW w:w="1417" w:type="dxa"/>
          </w:tcPr>
          <w:p w14:paraId="15BDECCE" w14:textId="0B9E941B" w:rsidR="00CB1E99" w:rsidRPr="005816E9" w:rsidRDefault="0078416E" w:rsidP="0059152C">
            <w:pPr>
              <w:rPr>
                <w:rFonts w:ascii="Arial" w:hAnsi="Arial" w:cs="Arial"/>
                <w:sz w:val="18"/>
                <w:szCs w:val="18"/>
              </w:rPr>
            </w:pPr>
            <w:r w:rsidRPr="0078416E">
              <w:rPr>
                <w:rFonts w:ascii="Arial" w:hAnsi="Arial" w:cs="Arial"/>
                <w:sz w:val="18"/>
                <w:szCs w:val="18"/>
              </w:rPr>
              <w:t>F2016L00233</w:t>
            </w:r>
          </w:p>
        </w:tc>
        <w:tc>
          <w:tcPr>
            <w:tcW w:w="1276" w:type="dxa"/>
          </w:tcPr>
          <w:p w14:paraId="323246D2" w14:textId="665AAF54" w:rsidR="00CB1E99" w:rsidRPr="005816E9" w:rsidRDefault="00CB1E99" w:rsidP="0059152C">
            <w:pPr>
              <w:rPr>
                <w:rFonts w:ascii="Arial" w:hAnsi="Arial" w:cs="Arial"/>
                <w:sz w:val="18"/>
                <w:szCs w:val="18"/>
              </w:rPr>
            </w:pPr>
            <w:r>
              <w:rPr>
                <w:rFonts w:ascii="Arial" w:hAnsi="Arial" w:cs="Arial"/>
                <w:sz w:val="18"/>
                <w:szCs w:val="18"/>
              </w:rPr>
              <w:t>31 Dec 201</w:t>
            </w:r>
            <w:r w:rsidR="00763E53">
              <w:rPr>
                <w:rFonts w:ascii="Arial" w:hAnsi="Arial" w:cs="Arial"/>
                <w:sz w:val="18"/>
                <w:szCs w:val="18"/>
              </w:rPr>
              <w:t>8</w:t>
            </w:r>
          </w:p>
        </w:tc>
        <w:tc>
          <w:tcPr>
            <w:tcW w:w="2552" w:type="dxa"/>
          </w:tcPr>
          <w:p w14:paraId="4DD3B1AB" w14:textId="1DE26EC4" w:rsidR="00CB1E99" w:rsidRPr="005816E9" w:rsidRDefault="00CB1E99" w:rsidP="0059152C">
            <w:pPr>
              <w:rPr>
                <w:rFonts w:ascii="Arial" w:hAnsi="Arial" w:cs="Arial"/>
                <w:sz w:val="18"/>
                <w:szCs w:val="18"/>
              </w:rPr>
            </w:pPr>
            <w:r w:rsidRPr="005816E9">
              <w:rPr>
                <w:rFonts w:ascii="Arial" w:hAnsi="Arial" w:cs="Arial"/>
                <w:i/>
                <w:sz w:val="18"/>
                <w:szCs w:val="18"/>
              </w:rPr>
              <w:t>(beginning)</w:t>
            </w:r>
            <w:r w:rsidRPr="005816E9">
              <w:rPr>
                <w:rFonts w:ascii="Arial" w:hAnsi="Arial" w:cs="Arial"/>
                <w:sz w:val="18"/>
                <w:szCs w:val="18"/>
              </w:rPr>
              <w:t xml:space="preserve"> 1 Jan 201</w:t>
            </w:r>
            <w:r w:rsidR="00763E53">
              <w:rPr>
                <w:rFonts w:ascii="Arial" w:hAnsi="Arial" w:cs="Arial"/>
                <w:sz w:val="18"/>
                <w:szCs w:val="18"/>
              </w:rPr>
              <w:t>9</w:t>
            </w:r>
          </w:p>
        </w:tc>
        <w:tc>
          <w:tcPr>
            <w:tcW w:w="1275" w:type="dxa"/>
          </w:tcPr>
          <w:p w14:paraId="4D53BC9F" w14:textId="77777777" w:rsidR="00CB1E99" w:rsidRPr="005816E9" w:rsidRDefault="00CB1E99" w:rsidP="0059152C">
            <w:pPr>
              <w:rPr>
                <w:rFonts w:ascii="Arial" w:hAnsi="Arial" w:cs="Arial"/>
                <w:sz w:val="18"/>
                <w:szCs w:val="18"/>
              </w:rPr>
            </w:pPr>
            <w:r>
              <w:rPr>
                <w:rFonts w:ascii="Arial" w:hAnsi="Arial" w:cs="Arial"/>
                <w:sz w:val="18"/>
                <w:szCs w:val="18"/>
              </w:rPr>
              <w:t>see (a) below</w:t>
            </w:r>
          </w:p>
        </w:tc>
      </w:tr>
      <w:tr w:rsidR="002848C0" w:rsidRPr="009305B8" w14:paraId="130C950A" w14:textId="77777777" w:rsidTr="0059152C">
        <w:trPr>
          <w:cantSplit/>
        </w:trPr>
        <w:tc>
          <w:tcPr>
            <w:tcW w:w="1333" w:type="dxa"/>
          </w:tcPr>
          <w:p w14:paraId="34144D1D" w14:textId="0B7E8362" w:rsidR="002848C0" w:rsidRPr="005816E9" w:rsidRDefault="002848C0" w:rsidP="002848C0">
            <w:pPr>
              <w:rPr>
                <w:rFonts w:ascii="Arial" w:hAnsi="Arial" w:cs="Arial"/>
                <w:sz w:val="18"/>
                <w:szCs w:val="18"/>
              </w:rPr>
            </w:pPr>
            <w:r>
              <w:rPr>
                <w:rFonts w:ascii="Arial" w:hAnsi="Arial" w:cs="Arial"/>
                <w:sz w:val="18"/>
                <w:szCs w:val="18"/>
              </w:rPr>
              <w:t>AASB 1058</w:t>
            </w:r>
          </w:p>
        </w:tc>
        <w:tc>
          <w:tcPr>
            <w:tcW w:w="1276" w:type="dxa"/>
          </w:tcPr>
          <w:p w14:paraId="09DF126D" w14:textId="0F8300F9" w:rsidR="002848C0" w:rsidRPr="005816E9" w:rsidRDefault="002848C0" w:rsidP="002848C0">
            <w:pPr>
              <w:rPr>
                <w:rFonts w:ascii="Arial" w:hAnsi="Arial" w:cs="Arial"/>
                <w:sz w:val="18"/>
                <w:szCs w:val="18"/>
              </w:rPr>
            </w:pPr>
            <w:r>
              <w:rPr>
                <w:rFonts w:ascii="Arial" w:hAnsi="Arial" w:cs="Arial"/>
                <w:sz w:val="18"/>
                <w:szCs w:val="18"/>
              </w:rPr>
              <w:t>9 Dec 2016</w:t>
            </w:r>
          </w:p>
        </w:tc>
        <w:tc>
          <w:tcPr>
            <w:tcW w:w="1417" w:type="dxa"/>
          </w:tcPr>
          <w:p w14:paraId="4DD29E9D" w14:textId="2FC9170A" w:rsidR="002848C0" w:rsidRDefault="002848C0" w:rsidP="002848C0">
            <w:pPr>
              <w:rPr>
                <w:rFonts w:ascii="Arial" w:hAnsi="Arial" w:cs="Arial"/>
                <w:sz w:val="18"/>
                <w:szCs w:val="18"/>
              </w:rPr>
            </w:pPr>
            <w:r>
              <w:rPr>
                <w:rFonts w:ascii="Arial" w:hAnsi="Arial" w:cs="Arial"/>
                <w:sz w:val="18"/>
                <w:szCs w:val="18"/>
              </w:rPr>
              <w:t>F2017L00042</w:t>
            </w:r>
          </w:p>
        </w:tc>
        <w:tc>
          <w:tcPr>
            <w:tcW w:w="1276" w:type="dxa"/>
          </w:tcPr>
          <w:p w14:paraId="241BBDA9" w14:textId="0F6A1EDA" w:rsidR="002848C0" w:rsidRPr="005816E9" w:rsidRDefault="002848C0" w:rsidP="002848C0">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sidR="00B863BF">
              <w:rPr>
                <w:rFonts w:ascii="Arial" w:hAnsi="Arial" w:cs="Arial"/>
                <w:sz w:val="18"/>
                <w:szCs w:val="18"/>
              </w:rPr>
              <w:t>8</w:t>
            </w:r>
          </w:p>
        </w:tc>
        <w:tc>
          <w:tcPr>
            <w:tcW w:w="2552" w:type="dxa"/>
          </w:tcPr>
          <w:p w14:paraId="5747C0F4" w14:textId="794F5506" w:rsidR="002848C0" w:rsidRPr="00475196" w:rsidRDefault="002848C0" w:rsidP="002848C0">
            <w:pPr>
              <w:rPr>
                <w:rFonts w:ascii="Arial" w:hAnsi="Arial" w:cs="Arial"/>
                <w:sz w:val="18"/>
                <w:szCs w:val="18"/>
              </w:rPr>
            </w:pPr>
            <w:r w:rsidRPr="00B54F23">
              <w:rPr>
                <w:rFonts w:ascii="Arial" w:hAnsi="Arial" w:cs="Arial"/>
                <w:i/>
                <w:color w:val="000000" w:themeColor="text1"/>
                <w:sz w:val="18"/>
                <w:szCs w:val="18"/>
              </w:rPr>
              <w:t>(beginning)</w:t>
            </w:r>
            <w:r w:rsidR="00B863BF">
              <w:rPr>
                <w:rFonts w:ascii="Arial" w:hAnsi="Arial" w:cs="Arial"/>
                <w:color w:val="000000" w:themeColor="text1"/>
                <w:sz w:val="18"/>
                <w:szCs w:val="18"/>
              </w:rPr>
              <w:t xml:space="preserve"> 1 Jan 2019</w:t>
            </w:r>
          </w:p>
        </w:tc>
        <w:tc>
          <w:tcPr>
            <w:tcW w:w="1275" w:type="dxa"/>
          </w:tcPr>
          <w:p w14:paraId="76C23232" w14:textId="6BAC91CB" w:rsidR="002848C0" w:rsidRPr="005816E9" w:rsidRDefault="002848C0" w:rsidP="002848C0">
            <w:pPr>
              <w:rPr>
                <w:rFonts w:ascii="Arial" w:hAnsi="Arial" w:cs="Arial"/>
                <w:sz w:val="18"/>
                <w:szCs w:val="18"/>
              </w:rPr>
            </w:pPr>
            <w:r>
              <w:rPr>
                <w:rFonts w:ascii="Arial" w:hAnsi="Arial" w:cs="Arial"/>
                <w:color w:val="000000" w:themeColor="text1"/>
                <w:sz w:val="18"/>
                <w:szCs w:val="18"/>
              </w:rPr>
              <w:t>see (</w:t>
            </w:r>
            <w:r w:rsidR="00763E53">
              <w:rPr>
                <w:rFonts w:ascii="Arial" w:hAnsi="Arial" w:cs="Arial"/>
                <w:color w:val="000000" w:themeColor="text1"/>
                <w:sz w:val="18"/>
                <w:szCs w:val="18"/>
              </w:rPr>
              <w:t>a</w:t>
            </w:r>
            <w:r w:rsidRPr="00B54F23">
              <w:rPr>
                <w:rFonts w:ascii="Arial" w:hAnsi="Arial" w:cs="Arial"/>
                <w:color w:val="000000" w:themeColor="text1"/>
                <w:sz w:val="18"/>
                <w:szCs w:val="18"/>
              </w:rPr>
              <w:t>) below</w:t>
            </w:r>
          </w:p>
        </w:tc>
      </w:tr>
      <w:tr w:rsidR="00441BFF" w:rsidRPr="009305B8" w14:paraId="7F375818" w14:textId="77777777" w:rsidTr="0059152C">
        <w:trPr>
          <w:cantSplit/>
        </w:trPr>
        <w:tc>
          <w:tcPr>
            <w:tcW w:w="1333" w:type="dxa"/>
          </w:tcPr>
          <w:p w14:paraId="6CEF760B" w14:textId="417757B8" w:rsidR="00441BFF" w:rsidRDefault="00441BFF" w:rsidP="00441BFF">
            <w:pPr>
              <w:rPr>
                <w:rFonts w:ascii="Arial" w:hAnsi="Arial" w:cs="Arial"/>
                <w:sz w:val="18"/>
                <w:szCs w:val="18"/>
              </w:rPr>
            </w:pPr>
            <w:r>
              <w:rPr>
                <w:rFonts w:ascii="Arial" w:hAnsi="Arial" w:cs="Arial"/>
                <w:sz w:val="18"/>
                <w:szCs w:val="18"/>
              </w:rPr>
              <w:t>AASB 1059</w:t>
            </w:r>
          </w:p>
        </w:tc>
        <w:tc>
          <w:tcPr>
            <w:tcW w:w="1276" w:type="dxa"/>
          </w:tcPr>
          <w:p w14:paraId="39906CE5" w14:textId="1A6D05BD" w:rsidR="00441BFF" w:rsidRDefault="00441BFF" w:rsidP="00441BFF">
            <w:pPr>
              <w:rPr>
                <w:rFonts w:ascii="Arial" w:hAnsi="Arial" w:cs="Arial"/>
                <w:sz w:val="18"/>
                <w:szCs w:val="18"/>
              </w:rPr>
            </w:pPr>
            <w:r w:rsidRPr="0024240A">
              <w:rPr>
                <w:rFonts w:ascii="Arial" w:hAnsi="Arial" w:cs="Arial"/>
                <w:color w:val="000000"/>
                <w:sz w:val="18"/>
                <w:szCs w:val="18"/>
                <w:shd w:val="clear" w:color="auto" w:fill="F7F9FB"/>
              </w:rPr>
              <w:t>14 Jul 2017</w:t>
            </w:r>
          </w:p>
        </w:tc>
        <w:tc>
          <w:tcPr>
            <w:tcW w:w="1417" w:type="dxa"/>
          </w:tcPr>
          <w:p w14:paraId="74AE726B" w14:textId="6381D99B" w:rsidR="00441BFF" w:rsidRDefault="00441BFF" w:rsidP="00441BFF">
            <w:pPr>
              <w:rPr>
                <w:rFonts w:ascii="Arial" w:hAnsi="Arial" w:cs="Arial"/>
                <w:sz w:val="18"/>
                <w:szCs w:val="18"/>
              </w:rPr>
            </w:pPr>
            <w:r w:rsidRPr="0024240A">
              <w:rPr>
                <w:rFonts w:ascii="Arial" w:hAnsi="Arial" w:cs="Arial"/>
                <w:sz w:val="18"/>
                <w:szCs w:val="18"/>
              </w:rPr>
              <w:t>F2017L01183</w:t>
            </w:r>
          </w:p>
        </w:tc>
        <w:tc>
          <w:tcPr>
            <w:tcW w:w="1276" w:type="dxa"/>
          </w:tcPr>
          <w:p w14:paraId="63685BEB" w14:textId="7D1B210F" w:rsidR="00441BFF" w:rsidRDefault="00441BFF" w:rsidP="00FF6BA5">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w:t>
            </w:r>
            <w:r w:rsidRPr="00FF6BA5">
              <w:rPr>
                <w:rFonts w:ascii="Arial" w:hAnsi="Arial" w:cs="Arial"/>
                <w:sz w:val="18"/>
                <w:szCs w:val="18"/>
              </w:rPr>
              <w:t>201</w:t>
            </w:r>
            <w:r w:rsidR="00FF6BA5" w:rsidRPr="00FF6BA5">
              <w:rPr>
                <w:rFonts w:ascii="Arial" w:hAnsi="Arial" w:cs="Arial"/>
                <w:sz w:val="18"/>
                <w:szCs w:val="18"/>
              </w:rPr>
              <w:t>8</w:t>
            </w:r>
          </w:p>
        </w:tc>
        <w:tc>
          <w:tcPr>
            <w:tcW w:w="2552" w:type="dxa"/>
          </w:tcPr>
          <w:p w14:paraId="359B39B0" w14:textId="69239EE5" w:rsidR="00441BFF" w:rsidRPr="00B54F23" w:rsidRDefault="00441BFF" w:rsidP="00441BFF">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00B863BF">
              <w:rPr>
                <w:rFonts w:ascii="Arial" w:hAnsi="Arial" w:cs="Arial"/>
                <w:color w:val="000000" w:themeColor="text1"/>
                <w:sz w:val="18"/>
                <w:szCs w:val="18"/>
              </w:rPr>
              <w:t xml:space="preserve"> 1 Jan </w:t>
            </w:r>
            <w:r w:rsidR="00B863BF" w:rsidRPr="00FF6BA5">
              <w:rPr>
                <w:rFonts w:ascii="Arial" w:hAnsi="Arial" w:cs="Arial"/>
                <w:color w:val="000000" w:themeColor="text1"/>
                <w:sz w:val="18"/>
                <w:szCs w:val="18"/>
              </w:rPr>
              <w:t>2020</w:t>
            </w:r>
          </w:p>
        </w:tc>
        <w:tc>
          <w:tcPr>
            <w:tcW w:w="1275" w:type="dxa"/>
          </w:tcPr>
          <w:p w14:paraId="1F00DD52" w14:textId="286195DB" w:rsidR="00441BFF" w:rsidRDefault="00880D12" w:rsidP="00441BFF">
            <w:pPr>
              <w:rPr>
                <w:rFonts w:ascii="Arial" w:hAnsi="Arial" w:cs="Arial"/>
                <w:color w:val="000000" w:themeColor="text1"/>
                <w:sz w:val="18"/>
                <w:szCs w:val="18"/>
              </w:rPr>
            </w:pPr>
            <w:r>
              <w:rPr>
                <w:rFonts w:ascii="Arial" w:hAnsi="Arial" w:cs="Arial"/>
                <w:color w:val="000000" w:themeColor="text1"/>
                <w:sz w:val="18"/>
                <w:szCs w:val="18"/>
              </w:rPr>
              <w:t>see (b) below</w:t>
            </w:r>
          </w:p>
        </w:tc>
      </w:tr>
      <w:tr w:rsidR="00441BFF" w:rsidRPr="009305B8" w14:paraId="23B73BAC" w14:textId="77777777" w:rsidTr="0059152C">
        <w:trPr>
          <w:cantSplit/>
        </w:trPr>
        <w:tc>
          <w:tcPr>
            <w:tcW w:w="1333" w:type="dxa"/>
          </w:tcPr>
          <w:p w14:paraId="0E47D45B" w14:textId="246EAC53" w:rsidR="00441BFF" w:rsidRPr="005816E9" w:rsidRDefault="00441BFF" w:rsidP="00441BFF">
            <w:pPr>
              <w:rPr>
                <w:rFonts w:ascii="Arial" w:hAnsi="Arial" w:cs="Arial"/>
                <w:sz w:val="18"/>
                <w:szCs w:val="18"/>
              </w:rPr>
            </w:pPr>
            <w:r>
              <w:rPr>
                <w:rFonts w:ascii="Arial" w:hAnsi="Arial" w:cs="Arial"/>
                <w:sz w:val="18"/>
                <w:szCs w:val="18"/>
              </w:rPr>
              <w:t>AASB 2018-3</w:t>
            </w:r>
          </w:p>
        </w:tc>
        <w:tc>
          <w:tcPr>
            <w:tcW w:w="1276" w:type="dxa"/>
          </w:tcPr>
          <w:p w14:paraId="74AA6FD0" w14:textId="260A2D38" w:rsidR="00441BFF" w:rsidRPr="005816E9" w:rsidRDefault="00441BFF" w:rsidP="00441BFF">
            <w:pPr>
              <w:rPr>
                <w:rFonts w:ascii="Arial" w:hAnsi="Arial" w:cs="Arial"/>
                <w:sz w:val="18"/>
                <w:szCs w:val="18"/>
              </w:rPr>
            </w:pPr>
            <w:r>
              <w:rPr>
                <w:rFonts w:ascii="Arial" w:hAnsi="Arial" w:cs="Arial"/>
                <w:sz w:val="18"/>
                <w:szCs w:val="18"/>
              </w:rPr>
              <w:t>8 Aug 2018</w:t>
            </w:r>
          </w:p>
        </w:tc>
        <w:tc>
          <w:tcPr>
            <w:tcW w:w="1417" w:type="dxa"/>
          </w:tcPr>
          <w:p w14:paraId="499066B6" w14:textId="39798563" w:rsidR="00441BFF" w:rsidRDefault="00441BFF" w:rsidP="00441BFF">
            <w:pPr>
              <w:rPr>
                <w:rFonts w:ascii="Arial" w:hAnsi="Arial" w:cs="Arial"/>
                <w:sz w:val="18"/>
                <w:szCs w:val="18"/>
              </w:rPr>
            </w:pPr>
            <w:r w:rsidRPr="0078416E">
              <w:rPr>
                <w:rFonts w:ascii="Arial" w:hAnsi="Arial" w:cs="Arial"/>
                <w:sz w:val="18"/>
                <w:szCs w:val="18"/>
              </w:rPr>
              <w:t>F2018L01152</w:t>
            </w:r>
          </w:p>
        </w:tc>
        <w:tc>
          <w:tcPr>
            <w:tcW w:w="1276" w:type="dxa"/>
          </w:tcPr>
          <w:p w14:paraId="43C1408A" w14:textId="53E95D8C" w:rsidR="00441BFF" w:rsidRPr="005816E9" w:rsidRDefault="00441BFF" w:rsidP="00441BFF">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67D5C19A" w14:textId="3AB69AC7" w:rsidR="00441BFF" w:rsidRPr="00475196" w:rsidRDefault="00441BFF" w:rsidP="00441BFF">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0E711820" w14:textId="1155951B" w:rsidR="00441BFF" w:rsidRPr="005816E9" w:rsidRDefault="00441BFF" w:rsidP="00441BFF">
            <w:pPr>
              <w:rPr>
                <w:rFonts w:ascii="Arial" w:hAnsi="Arial" w:cs="Arial"/>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c</w:t>
            </w:r>
            <w:r w:rsidRPr="00B54F23">
              <w:rPr>
                <w:rFonts w:ascii="Arial" w:hAnsi="Arial" w:cs="Arial"/>
                <w:color w:val="000000" w:themeColor="text1"/>
                <w:sz w:val="18"/>
                <w:szCs w:val="18"/>
              </w:rPr>
              <w:t>) below</w:t>
            </w:r>
          </w:p>
        </w:tc>
      </w:tr>
      <w:tr w:rsidR="00441BFF" w:rsidRPr="009305B8" w14:paraId="6783C950" w14:textId="77777777" w:rsidTr="0059152C">
        <w:trPr>
          <w:cantSplit/>
        </w:trPr>
        <w:tc>
          <w:tcPr>
            <w:tcW w:w="1333" w:type="dxa"/>
          </w:tcPr>
          <w:p w14:paraId="64BE5142" w14:textId="557E9338" w:rsidR="00441BFF" w:rsidRPr="005816E9" w:rsidRDefault="00441BFF" w:rsidP="00441BFF">
            <w:pPr>
              <w:rPr>
                <w:rFonts w:ascii="Arial" w:hAnsi="Arial" w:cs="Arial"/>
                <w:sz w:val="18"/>
                <w:szCs w:val="18"/>
              </w:rPr>
            </w:pPr>
            <w:r>
              <w:rPr>
                <w:rFonts w:ascii="Arial" w:hAnsi="Arial" w:cs="Arial"/>
                <w:sz w:val="18"/>
                <w:szCs w:val="18"/>
              </w:rPr>
              <w:t>AASB 2018-4</w:t>
            </w:r>
          </w:p>
        </w:tc>
        <w:tc>
          <w:tcPr>
            <w:tcW w:w="1276" w:type="dxa"/>
          </w:tcPr>
          <w:p w14:paraId="74404CC1" w14:textId="21F879D2" w:rsidR="00441BFF" w:rsidRPr="005816E9" w:rsidRDefault="00441BFF" w:rsidP="00441BFF">
            <w:pPr>
              <w:rPr>
                <w:rFonts w:ascii="Arial" w:hAnsi="Arial" w:cs="Arial"/>
                <w:sz w:val="18"/>
                <w:szCs w:val="18"/>
              </w:rPr>
            </w:pPr>
            <w:r>
              <w:rPr>
                <w:rFonts w:ascii="Arial" w:hAnsi="Arial" w:cs="Arial"/>
                <w:sz w:val="18"/>
                <w:szCs w:val="18"/>
              </w:rPr>
              <w:t>4 Sep 2018</w:t>
            </w:r>
          </w:p>
        </w:tc>
        <w:tc>
          <w:tcPr>
            <w:tcW w:w="1417" w:type="dxa"/>
          </w:tcPr>
          <w:p w14:paraId="61CD8B03" w14:textId="44C408F5" w:rsidR="00441BFF" w:rsidRPr="005816E9" w:rsidRDefault="00441BFF" w:rsidP="00441BFF">
            <w:pPr>
              <w:rPr>
                <w:rFonts w:ascii="Arial" w:hAnsi="Arial" w:cs="Arial"/>
                <w:sz w:val="18"/>
                <w:szCs w:val="18"/>
              </w:rPr>
            </w:pPr>
            <w:r w:rsidRPr="0078416E">
              <w:rPr>
                <w:rFonts w:ascii="Arial" w:hAnsi="Arial" w:cs="Arial"/>
                <w:sz w:val="18"/>
                <w:szCs w:val="18"/>
              </w:rPr>
              <w:t>F2018L01392</w:t>
            </w:r>
          </w:p>
        </w:tc>
        <w:tc>
          <w:tcPr>
            <w:tcW w:w="1276" w:type="dxa"/>
          </w:tcPr>
          <w:p w14:paraId="255AD885" w14:textId="6F51365E" w:rsidR="00441BFF" w:rsidRPr="005816E9" w:rsidRDefault="00441BFF" w:rsidP="00441BFF">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29312568" w14:textId="199F98B4" w:rsidR="00441BFF" w:rsidRPr="005816E9" w:rsidRDefault="00441BFF" w:rsidP="00441BFF">
            <w:pPr>
              <w:rPr>
                <w:rFonts w:ascii="Arial" w:hAnsi="Arial" w:cs="Arial"/>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5D74DE5F" w14:textId="62FF1F16" w:rsidR="00441BFF" w:rsidRPr="005816E9" w:rsidRDefault="00441BFF" w:rsidP="00441BFF">
            <w:pPr>
              <w:rPr>
                <w:rFonts w:ascii="Arial" w:hAnsi="Arial" w:cs="Arial"/>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d</w:t>
            </w:r>
            <w:r w:rsidRPr="00B54F23">
              <w:rPr>
                <w:rFonts w:ascii="Arial" w:hAnsi="Arial" w:cs="Arial"/>
                <w:color w:val="000000" w:themeColor="text1"/>
                <w:sz w:val="18"/>
                <w:szCs w:val="18"/>
              </w:rPr>
              <w:t>) below</w:t>
            </w:r>
          </w:p>
        </w:tc>
      </w:tr>
      <w:tr w:rsidR="00441BFF" w:rsidRPr="009305B8" w14:paraId="21951F95" w14:textId="77777777" w:rsidTr="0059152C">
        <w:trPr>
          <w:cantSplit/>
        </w:trPr>
        <w:tc>
          <w:tcPr>
            <w:tcW w:w="1333" w:type="dxa"/>
          </w:tcPr>
          <w:p w14:paraId="44476922" w14:textId="09E57728" w:rsidR="00441BFF" w:rsidRDefault="00441BFF" w:rsidP="00441BFF">
            <w:pPr>
              <w:rPr>
                <w:rFonts w:ascii="Arial" w:hAnsi="Arial" w:cs="Arial"/>
                <w:sz w:val="18"/>
                <w:szCs w:val="18"/>
              </w:rPr>
            </w:pPr>
            <w:r>
              <w:rPr>
                <w:rFonts w:ascii="Arial" w:hAnsi="Arial" w:cs="Arial"/>
                <w:sz w:val="18"/>
                <w:szCs w:val="18"/>
              </w:rPr>
              <w:t>AASB 2018-8</w:t>
            </w:r>
          </w:p>
        </w:tc>
        <w:tc>
          <w:tcPr>
            <w:tcW w:w="1276" w:type="dxa"/>
          </w:tcPr>
          <w:p w14:paraId="02992295" w14:textId="1C6D087B" w:rsidR="00441BFF" w:rsidRDefault="00441BFF" w:rsidP="00441BFF">
            <w:pPr>
              <w:rPr>
                <w:rFonts w:ascii="Arial" w:hAnsi="Arial" w:cs="Arial"/>
                <w:sz w:val="18"/>
                <w:szCs w:val="18"/>
              </w:rPr>
            </w:pPr>
            <w:r>
              <w:rPr>
                <w:rFonts w:ascii="Arial" w:hAnsi="Arial" w:cs="Arial"/>
                <w:sz w:val="18"/>
                <w:szCs w:val="18"/>
              </w:rPr>
              <w:t>24 Dec 2018</w:t>
            </w:r>
          </w:p>
        </w:tc>
        <w:tc>
          <w:tcPr>
            <w:tcW w:w="1417" w:type="dxa"/>
          </w:tcPr>
          <w:p w14:paraId="47D070D1" w14:textId="4077E929" w:rsidR="00441BFF" w:rsidRPr="0078416E" w:rsidRDefault="00441BFF" w:rsidP="00441BFF">
            <w:pPr>
              <w:rPr>
                <w:rFonts w:ascii="Arial" w:hAnsi="Arial" w:cs="Arial"/>
                <w:sz w:val="18"/>
                <w:szCs w:val="18"/>
              </w:rPr>
            </w:pPr>
            <w:r w:rsidRPr="0024240A">
              <w:rPr>
                <w:rFonts w:ascii="Arial" w:hAnsi="Arial" w:cs="Arial"/>
                <w:sz w:val="18"/>
                <w:szCs w:val="18"/>
              </w:rPr>
              <w:t>F2019L00023</w:t>
            </w:r>
          </w:p>
        </w:tc>
        <w:tc>
          <w:tcPr>
            <w:tcW w:w="1276" w:type="dxa"/>
          </w:tcPr>
          <w:p w14:paraId="2284CEBB" w14:textId="6D9DBEE5" w:rsidR="00441BFF" w:rsidRDefault="00441BFF" w:rsidP="00441BFF">
            <w:pPr>
              <w:rPr>
                <w:rFonts w:ascii="Arial" w:hAnsi="Arial" w:cs="Arial"/>
                <w:sz w:val="18"/>
                <w:szCs w:val="18"/>
              </w:rPr>
            </w:pPr>
            <w:r>
              <w:rPr>
                <w:rFonts w:ascii="Arial" w:hAnsi="Arial" w:cs="Arial"/>
                <w:sz w:val="18"/>
                <w:szCs w:val="18"/>
              </w:rPr>
              <w:t>31 Dec</w:t>
            </w:r>
            <w:r w:rsidRPr="00610BDF">
              <w:rPr>
                <w:rFonts w:ascii="Arial" w:hAnsi="Arial" w:cs="Arial"/>
                <w:sz w:val="18"/>
                <w:szCs w:val="18"/>
              </w:rPr>
              <w:t xml:space="preserve"> 201</w:t>
            </w:r>
            <w:r>
              <w:rPr>
                <w:rFonts w:ascii="Arial" w:hAnsi="Arial" w:cs="Arial"/>
                <w:sz w:val="18"/>
                <w:szCs w:val="18"/>
              </w:rPr>
              <w:t>8</w:t>
            </w:r>
          </w:p>
        </w:tc>
        <w:tc>
          <w:tcPr>
            <w:tcW w:w="2552" w:type="dxa"/>
          </w:tcPr>
          <w:p w14:paraId="5BFBAD61" w14:textId="45B83A60" w:rsidR="00441BFF" w:rsidRPr="00B54F23" w:rsidRDefault="00441BFF" w:rsidP="00441BFF">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2019</w:t>
            </w:r>
          </w:p>
        </w:tc>
        <w:tc>
          <w:tcPr>
            <w:tcW w:w="1275" w:type="dxa"/>
          </w:tcPr>
          <w:p w14:paraId="61374D16" w14:textId="0D1629E5" w:rsidR="00441BFF" w:rsidRDefault="00441BFF" w:rsidP="00441BFF">
            <w:pPr>
              <w:rPr>
                <w:rFonts w:ascii="Arial" w:hAnsi="Arial" w:cs="Arial"/>
                <w:color w:val="000000" w:themeColor="text1"/>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e</w:t>
            </w:r>
            <w:r>
              <w:rPr>
                <w:rFonts w:ascii="Arial" w:hAnsi="Arial" w:cs="Arial"/>
                <w:color w:val="000000" w:themeColor="text1"/>
                <w:sz w:val="18"/>
                <w:szCs w:val="18"/>
              </w:rPr>
              <w:t>) below</w:t>
            </w:r>
          </w:p>
        </w:tc>
      </w:tr>
      <w:tr w:rsidR="00D470A2" w:rsidRPr="009305B8" w14:paraId="399AA682" w14:textId="77777777" w:rsidTr="0059152C">
        <w:trPr>
          <w:cantSplit/>
        </w:trPr>
        <w:tc>
          <w:tcPr>
            <w:tcW w:w="1333" w:type="dxa"/>
          </w:tcPr>
          <w:p w14:paraId="74BC221D" w14:textId="2DF07B9F" w:rsidR="00D470A2" w:rsidRDefault="00D470A2" w:rsidP="00441BFF">
            <w:pPr>
              <w:rPr>
                <w:rFonts w:ascii="Arial" w:hAnsi="Arial" w:cs="Arial"/>
                <w:sz w:val="18"/>
                <w:szCs w:val="18"/>
              </w:rPr>
            </w:pPr>
            <w:r>
              <w:rPr>
                <w:rFonts w:ascii="Arial" w:hAnsi="Arial" w:cs="Arial"/>
                <w:sz w:val="18"/>
                <w:szCs w:val="18"/>
              </w:rPr>
              <w:t>AASB 2019-2</w:t>
            </w:r>
          </w:p>
        </w:tc>
        <w:tc>
          <w:tcPr>
            <w:tcW w:w="1276" w:type="dxa"/>
          </w:tcPr>
          <w:p w14:paraId="7075A0AD" w14:textId="7F8A6AAA" w:rsidR="00D470A2" w:rsidRDefault="00D470A2" w:rsidP="00441BFF">
            <w:pPr>
              <w:rPr>
                <w:rFonts w:ascii="Arial" w:hAnsi="Arial" w:cs="Arial"/>
                <w:sz w:val="18"/>
                <w:szCs w:val="18"/>
              </w:rPr>
            </w:pPr>
            <w:r>
              <w:rPr>
                <w:rFonts w:ascii="Arial" w:hAnsi="Arial" w:cs="Arial"/>
                <w:sz w:val="18"/>
                <w:szCs w:val="18"/>
              </w:rPr>
              <w:t>18 Sep 2019</w:t>
            </w:r>
          </w:p>
        </w:tc>
        <w:tc>
          <w:tcPr>
            <w:tcW w:w="1417" w:type="dxa"/>
          </w:tcPr>
          <w:p w14:paraId="6BA20DA6" w14:textId="516F0F1D" w:rsidR="00D470A2" w:rsidRPr="0024240A" w:rsidRDefault="00E82D3F" w:rsidP="00441BFF">
            <w:pPr>
              <w:rPr>
                <w:rFonts w:ascii="Arial" w:hAnsi="Arial" w:cs="Arial"/>
                <w:sz w:val="18"/>
                <w:szCs w:val="18"/>
              </w:rPr>
            </w:pPr>
            <w:r w:rsidRPr="00E82D3F">
              <w:rPr>
                <w:rFonts w:ascii="Arial" w:hAnsi="Arial" w:cs="Arial"/>
                <w:sz w:val="18"/>
                <w:szCs w:val="18"/>
              </w:rPr>
              <w:t>F2019L01441</w:t>
            </w:r>
          </w:p>
        </w:tc>
        <w:tc>
          <w:tcPr>
            <w:tcW w:w="1276" w:type="dxa"/>
          </w:tcPr>
          <w:p w14:paraId="42F27C6F" w14:textId="26F785FF" w:rsidR="00D470A2" w:rsidRDefault="00D470A2" w:rsidP="00441BFF">
            <w:pPr>
              <w:rPr>
                <w:rFonts w:ascii="Arial" w:hAnsi="Arial" w:cs="Arial"/>
                <w:sz w:val="18"/>
                <w:szCs w:val="18"/>
              </w:rPr>
            </w:pPr>
            <w:r>
              <w:rPr>
                <w:rFonts w:ascii="Arial" w:hAnsi="Arial" w:cs="Arial"/>
                <w:sz w:val="18"/>
                <w:szCs w:val="18"/>
              </w:rPr>
              <w:t>31 Dec 2019</w:t>
            </w:r>
          </w:p>
        </w:tc>
        <w:tc>
          <w:tcPr>
            <w:tcW w:w="2552" w:type="dxa"/>
          </w:tcPr>
          <w:p w14:paraId="6B9C9426" w14:textId="21F8936E" w:rsidR="00D470A2" w:rsidRPr="00B54F23" w:rsidRDefault="00D470A2" w:rsidP="00441BFF">
            <w:pPr>
              <w:rPr>
                <w:rFonts w:ascii="Arial" w:hAnsi="Arial" w:cs="Arial"/>
                <w:i/>
                <w:color w:val="000000" w:themeColor="text1"/>
                <w:sz w:val="18"/>
                <w:szCs w:val="18"/>
              </w:rPr>
            </w:pPr>
            <w:r w:rsidRPr="00B54F23">
              <w:rPr>
                <w:rFonts w:ascii="Arial" w:hAnsi="Arial" w:cs="Arial"/>
                <w:i/>
                <w:color w:val="000000" w:themeColor="text1"/>
                <w:sz w:val="18"/>
                <w:szCs w:val="18"/>
              </w:rPr>
              <w:t>(beginning)</w:t>
            </w:r>
            <w:r w:rsidRPr="00B54F23">
              <w:rPr>
                <w:rFonts w:ascii="Arial" w:hAnsi="Arial" w:cs="Arial"/>
                <w:color w:val="000000" w:themeColor="text1"/>
                <w:sz w:val="18"/>
                <w:szCs w:val="18"/>
              </w:rPr>
              <w:t xml:space="preserve"> 1 Jan 20</w:t>
            </w:r>
            <w:r w:rsidR="005F417C">
              <w:rPr>
                <w:rFonts w:ascii="Arial" w:hAnsi="Arial" w:cs="Arial"/>
                <w:color w:val="000000" w:themeColor="text1"/>
                <w:sz w:val="18"/>
                <w:szCs w:val="18"/>
              </w:rPr>
              <w:t>20</w:t>
            </w:r>
          </w:p>
        </w:tc>
        <w:tc>
          <w:tcPr>
            <w:tcW w:w="1275" w:type="dxa"/>
          </w:tcPr>
          <w:p w14:paraId="70EC703C" w14:textId="5D2BE2B4" w:rsidR="00D470A2" w:rsidRDefault="00D470A2" w:rsidP="00441BFF">
            <w:pPr>
              <w:rPr>
                <w:rFonts w:ascii="Arial" w:hAnsi="Arial" w:cs="Arial"/>
                <w:color w:val="000000" w:themeColor="text1"/>
                <w:sz w:val="18"/>
                <w:szCs w:val="18"/>
              </w:rPr>
            </w:pPr>
            <w:r>
              <w:rPr>
                <w:rFonts w:ascii="Arial" w:hAnsi="Arial" w:cs="Arial"/>
                <w:color w:val="000000" w:themeColor="text1"/>
                <w:sz w:val="18"/>
                <w:szCs w:val="18"/>
              </w:rPr>
              <w:t>see (</w:t>
            </w:r>
            <w:r w:rsidR="00880D12">
              <w:rPr>
                <w:rFonts w:ascii="Arial" w:hAnsi="Arial" w:cs="Arial"/>
                <w:color w:val="000000" w:themeColor="text1"/>
                <w:sz w:val="18"/>
                <w:szCs w:val="18"/>
              </w:rPr>
              <w:t>b</w:t>
            </w:r>
            <w:r>
              <w:rPr>
                <w:rFonts w:ascii="Arial" w:hAnsi="Arial" w:cs="Arial"/>
                <w:color w:val="000000" w:themeColor="text1"/>
                <w:sz w:val="18"/>
                <w:szCs w:val="18"/>
              </w:rPr>
              <w:t>) below</w:t>
            </w:r>
          </w:p>
        </w:tc>
      </w:tr>
      <w:tr w:rsidR="005F417C" w:rsidRPr="009305B8" w14:paraId="1827860D" w14:textId="77777777" w:rsidTr="0059152C">
        <w:trPr>
          <w:cantSplit/>
        </w:trPr>
        <w:tc>
          <w:tcPr>
            <w:tcW w:w="1333" w:type="dxa"/>
          </w:tcPr>
          <w:p w14:paraId="5F7FD000" w14:textId="53F5D73A" w:rsidR="005F417C" w:rsidRDefault="005F417C" w:rsidP="005F417C">
            <w:pPr>
              <w:rPr>
                <w:rFonts w:ascii="Arial" w:hAnsi="Arial" w:cs="Arial"/>
                <w:sz w:val="18"/>
                <w:szCs w:val="18"/>
              </w:rPr>
            </w:pPr>
            <w:r>
              <w:rPr>
                <w:rFonts w:ascii="Arial" w:hAnsi="Arial" w:cs="Arial"/>
                <w:sz w:val="18"/>
                <w:szCs w:val="18"/>
              </w:rPr>
              <w:t>AASB 2019-8</w:t>
            </w:r>
          </w:p>
        </w:tc>
        <w:tc>
          <w:tcPr>
            <w:tcW w:w="1276" w:type="dxa"/>
          </w:tcPr>
          <w:p w14:paraId="455B76A7" w14:textId="7ECB6482" w:rsidR="005F417C" w:rsidRDefault="005F417C" w:rsidP="005F417C">
            <w:pPr>
              <w:rPr>
                <w:rFonts w:ascii="Arial" w:hAnsi="Arial" w:cs="Arial"/>
                <w:sz w:val="18"/>
                <w:szCs w:val="18"/>
              </w:rPr>
            </w:pPr>
            <w:r>
              <w:rPr>
                <w:rFonts w:ascii="Arial" w:hAnsi="Arial" w:cs="Arial"/>
                <w:sz w:val="18"/>
                <w:szCs w:val="18"/>
              </w:rPr>
              <w:t>19 Dec 2019</w:t>
            </w:r>
          </w:p>
        </w:tc>
        <w:tc>
          <w:tcPr>
            <w:tcW w:w="1417" w:type="dxa"/>
          </w:tcPr>
          <w:p w14:paraId="60E3B8A9" w14:textId="5D57F44D" w:rsidR="005F417C" w:rsidRPr="00E82D3F" w:rsidRDefault="005F417C" w:rsidP="005F417C">
            <w:pPr>
              <w:rPr>
                <w:rFonts w:ascii="Arial" w:hAnsi="Arial" w:cs="Arial"/>
                <w:sz w:val="18"/>
                <w:szCs w:val="18"/>
              </w:rPr>
            </w:pPr>
            <w:r>
              <w:rPr>
                <w:rFonts w:ascii="Arial" w:hAnsi="Arial" w:cs="Arial"/>
                <w:sz w:val="18"/>
                <w:szCs w:val="18"/>
              </w:rPr>
              <w:t>F2020L00062</w:t>
            </w:r>
          </w:p>
        </w:tc>
        <w:tc>
          <w:tcPr>
            <w:tcW w:w="1276" w:type="dxa"/>
          </w:tcPr>
          <w:p w14:paraId="1B301CFD" w14:textId="7433DDAA" w:rsidR="005F417C" w:rsidRDefault="005F417C" w:rsidP="005F417C">
            <w:pPr>
              <w:rPr>
                <w:rFonts w:ascii="Arial" w:hAnsi="Arial" w:cs="Arial"/>
                <w:sz w:val="18"/>
                <w:szCs w:val="18"/>
              </w:rPr>
            </w:pPr>
            <w:r>
              <w:rPr>
                <w:rFonts w:ascii="Arial" w:hAnsi="Arial" w:cs="Arial"/>
                <w:sz w:val="18"/>
                <w:szCs w:val="18"/>
              </w:rPr>
              <w:t>31 Dec 2019</w:t>
            </w:r>
          </w:p>
        </w:tc>
        <w:tc>
          <w:tcPr>
            <w:tcW w:w="2552" w:type="dxa"/>
          </w:tcPr>
          <w:p w14:paraId="1FD4D77A" w14:textId="40C0646A" w:rsidR="005F417C" w:rsidRPr="00BE46C9" w:rsidRDefault="005F417C" w:rsidP="005F417C">
            <w:pPr>
              <w:rPr>
                <w:rFonts w:ascii="Arial" w:hAnsi="Arial" w:cs="Arial"/>
                <w:bCs/>
                <w:i/>
                <w:color w:val="000000" w:themeColor="text1"/>
                <w:sz w:val="18"/>
                <w:szCs w:val="18"/>
              </w:rPr>
            </w:pPr>
            <w:r w:rsidRPr="00BE46C9">
              <w:rPr>
                <w:rFonts w:ascii="Arial" w:hAnsi="Arial" w:cs="Arial"/>
                <w:i/>
                <w:color w:val="000000" w:themeColor="text1"/>
                <w:sz w:val="18"/>
                <w:szCs w:val="18"/>
              </w:rPr>
              <w:t>(beginning)</w:t>
            </w:r>
            <w:r w:rsidRPr="00BE46C9">
              <w:rPr>
                <w:rFonts w:ascii="Arial" w:hAnsi="Arial" w:cs="Arial"/>
                <w:color w:val="000000" w:themeColor="text1"/>
                <w:sz w:val="18"/>
                <w:szCs w:val="18"/>
              </w:rPr>
              <w:t xml:space="preserve"> 1 Jan 2019</w:t>
            </w:r>
          </w:p>
        </w:tc>
        <w:tc>
          <w:tcPr>
            <w:tcW w:w="1275" w:type="dxa"/>
          </w:tcPr>
          <w:p w14:paraId="435B1453" w14:textId="313829FB" w:rsidR="005F417C" w:rsidRDefault="005F417C" w:rsidP="005F417C">
            <w:pPr>
              <w:rPr>
                <w:rFonts w:ascii="Arial" w:hAnsi="Arial" w:cs="Arial"/>
                <w:color w:val="000000" w:themeColor="text1"/>
                <w:sz w:val="18"/>
                <w:szCs w:val="18"/>
              </w:rPr>
            </w:pPr>
            <w:r>
              <w:rPr>
                <w:rFonts w:ascii="Arial" w:hAnsi="Arial" w:cs="Arial"/>
                <w:color w:val="000000" w:themeColor="text1"/>
                <w:sz w:val="18"/>
                <w:szCs w:val="18"/>
              </w:rPr>
              <w:t>see (</w:t>
            </w:r>
            <w:r w:rsidR="00A27219">
              <w:rPr>
                <w:rFonts w:ascii="Arial" w:hAnsi="Arial" w:cs="Arial"/>
                <w:color w:val="000000" w:themeColor="text1"/>
                <w:sz w:val="18"/>
                <w:szCs w:val="18"/>
              </w:rPr>
              <w:t>e</w:t>
            </w:r>
            <w:r w:rsidRPr="00B54F23">
              <w:rPr>
                <w:rFonts w:ascii="Arial" w:hAnsi="Arial" w:cs="Arial"/>
                <w:color w:val="000000" w:themeColor="text1"/>
                <w:sz w:val="18"/>
                <w:szCs w:val="18"/>
              </w:rPr>
              <w:t>) below</w:t>
            </w:r>
          </w:p>
        </w:tc>
      </w:tr>
      <w:tr w:rsidR="00B14EFE" w:rsidRPr="009305B8" w14:paraId="5941AB60" w14:textId="77777777" w:rsidTr="0059152C">
        <w:trPr>
          <w:cantSplit/>
        </w:trPr>
        <w:tc>
          <w:tcPr>
            <w:tcW w:w="1333" w:type="dxa"/>
          </w:tcPr>
          <w:p w14:paraId="500C5074" w14:textId="5E2235A7" w:rsidR="00B14EFE" w:rsidRDefault="00B14EFE" w:rsidP="00B14EFE">
            <w:pPr>
              <w:rPr>
                <w:rFonts w:ascii="Arial" w:hAnsi="Arial" w:cs="Arial"/>
                <w:sz w:val="18"/>
                <w:szCs w:val="18"/>
              </w:rPr>
            </w:pPr>
            <w:r>
              <w:rPr>
                <w:rFonts w:ascii="Arial" w:hAnsi="Arial" w:cs="Arial"/>
                <w:sz w:val="18"/>
                <w:szCs w:val="18"/>
              </w:rPr>
              <w:t>AASB 1060</w:t>
            </w:r>
          </w:p>
        </w:tc>
        <w:tc>
          <w:tcPr>
            <w:tcW w:w="1276" w:type="dxa"/>
          </w:tcPr>
          <w:p w14:paraId="03776010" w14:textId="12335835" w:rsidR="00B14EFE" w:rsidRDefault="00B14EFE" w:rsidP="00B14EFE">
            <w:pPr>
              <w:rPr>
                <w:rFonts w:ascii="Arial" w:hAnsi="Arial" w:cs="Arial"/>
                <w:sz w:val="18"/>
                <w:szCs w:val="18"/>
              </w:rPr>
            </w:pPr>
            <w:r>
              <w:rPr>
                <w:rFonts w:ascii="Arial" w:hAnsi="Arial" w:cs="Arial"/>
                <w:sz w:val="18"/>
                <w:szCs w:val="18"/>
              </w:rPr>
              <w:t>6 Mar 2020</w:t>
            </w:r>
          </w:p>
        </w:tc>
        <w:tc>
          <w:tcPr>
            <w:tcW w:w="1417" w:type="dxa"/>
          </w:tcPr>
          <w:p w14:paraId="15AD0B33" w14:textId="538CD74F" w:rsidR="00B14EFE" w:rsidRDefault="00B14EFE" w:rsidP="00B14EFE">
            <w:pPr>
              <w:rPr>
                <w:rFonts w:ascii="Arial" w:hAnsi="Arial" w:cs="Arial"/>
                <w:sz w:val="18"/>
                <w:szCs w:val="18"/>
              </w:rPr>
            </w:pPr>
            <w:r>
              <w:rPr>
                <w:rFonts w:ascii="Arial" w:hAnsi="Arial" w:cs="Arial"/>
                <w:sz w:val="18"/>
                <w:szCs w:val="18"/>
              </w:rPr>
              <w:t>F2020L00288</w:t>
            </w:r>
          </w:p>
        </w:tc>
        <w:tc>
          <w:tcPr>
            <w:tcW w:w="1276" w:type="dxa"/>
          </w:tcPr>
          <w:p w14:paraId="2A935EA6" w14:textId="5D2CDC65" w:rsidR="00B14EFE" w:rsidRDefault="00B14EFE" w:rsidP="00B14EFE">
            <w:pPr>
              <w:rPr>
                <w:rFonts w:ascii="Arial" w:hAnsi="Arial" w:cs="Arial"/>
                <w:sz w:val="18"/>
                <w:szCs w:val="18"/>
              </w:rPr>
            </w:pPr>
            <w:r>
              <w:rPr>
                <w:rFonts w:ascii="Arial" w:hAnsi="Arial" w:cs="Arial"/>
                <w:iCs/>
                <w:sz w:val="18"/>
                <w:szCs w:val="18"/>
              </w:rPr>
              <w:t>30 Jun 2021</w:t>
            </w:r>
          </w:p>
        </w:tc>
        <w:tc>
          <w:tcPr>
            <w:tcW w:w="2552" w:type="dxa"/>
          </w:tcPr>
          <w:p w14:paraId="72A2C5D7" w14:textId="1D1001B5" w:rsidR="00B14EFE" w:rsidRPr="00BE46C9" w:rsidRDefault="00B14EFE" w:rsidP="00B14EFE">
            <w:pPr>
              <w:rPr>
                <w:rFonts w:ascii="Arial" w:hAnsi="Arial" w:cs="Arial"/>
                <w:i/>
                <w:color w:val="000000" w:themeColor="text1"/>
                <w:sz w:val="18"/>
                <w:szCs w:val="18"/>
              </w:rPr>
            </w:pPr>
            <w:r w:rsidRPr="00267D14">
              <w:rPr>
                <w:rFonts w:ascii="Arial" w:hAnsi="Arial" w:cs="Arial"/>
                <w:i/>
                <w:sz w:val="18"/>
                <w:szCs w:val="18"/>
              </w:rPr>
              <w:t>(beginning)</w:t>
            </w:r>
            <w:r w:rsidRPr="00267D14">
              <w:rPr>
                <w:rFonts w:ascii="Arial" w:hAnsi="Arial" w:cs="Arial"/>
                <w:sz w:val="18"/>
                <w:szCs w:val="18"/>
              </w:rPr>
              <w:t xml:space="preserve"> 1 Jul 20</w:t>
            </w:r>
            <w:r>
              <w:rPr>
                <w:rFonts w:ascii="Arial" w:hAnsi="Arial" w:cs="Arial"/>
                <w:sz w:val="18"/>
                <w:szCs w:val="18"/>
              </w:rPr>
              <w:t>2</w:t>
            </w:r>
            <w:r w:rsidRPr="00267D14">
              <w:rPr>
                <w:rFonts w:ascii="Arial" w:hAnsi="Arial" w:cs="Arial"/>
                <w:sz w:val="18"/>
                <w:szCs w:val="18"/>
              </w:rPr>
              <w:t>1</w:t>
            </w:r>
          </w:p>
        </w:tc>
        <w:tc>
          <w:tcPr>
            <w:tcW w:w="1275" w:type="dxa"/>
          </w:tcPr>
          <w:p w14:paraId="698CCA81" w14:textId="0A1E4FA1" w:rsidR="00B14EFE" w:rsidRDefault="00B14EFE" w:rsidP="00B14EFE">
            <w:pPr>
              <w:rPr>
                <w:rFonts w:ascii="Arial" w:hAnsi="Arial" w:cs="Arial"/>
                <w:color w:val="000000" w:themeColor="text1"/>
                <w:sz w:val="18"/>
                <w:szCs w:val="18"/>
              </w:rPr>
            </w:pPr>
            <w:r>
              <w:rPr>
                <w:rFonts w:ascii="Arial" w:hAnsi="Arial" w:cs="Arial"/>
                <w:sz w:val="18"/>
                <w:szCs w:val="18"/>
              </w:rPr>
              <w:t>not compiled*</w:t>
            </w:r>
          </w:p>
        </w:tc>
      </w:tr>
      <w:tr w:rsidR="00B14EFE" w:rsidRPr="009305B8" w14:paraId="2E335B9B" w14:textId="77777777" w:rsidTr="0059152C">
        <w:trPr>
          <w:cantSplit/>
        </w:trPr>
        <w:tc>
          <w:tcPr>
            <w:tcW w:w="1333" w:type="dxa"/>
          </w:tcPr>
          <w:p w14:paraId="2DC0B0B6" w14:textId="31667B32" w:rsidR="00B14EFE" w:rsidRDefault="00B14EFE" w:rsidP="00B14EFE">
            <w:pPr>
              <w:rPr>
                <w:rFonts w:ascii="Arial" w:hAnsi="Arial" w:cs="Arial"/>
                <w:sz w:val="18"/>
                <w:szCs w:val="18"/>
              </w:rPr>
            </w:pPr>
            <w:r>
              <w:rPr>
                <w:rFonts w:ascii="Arial" w:hAnsi="Arial" w:cs="Arial"/>
                <w:sz w:val="18"/>
                <w:szCs w:val="18"/>
              </w:rPr>
              <w:t>AASB 2020-4</w:t>
            </w:r>
          </w:p>
        </w:tc>
        <w:tc>
          <w:tcPr>
            <w:tcW w:w="1276" w:type="dxa"/>
          </w:tcPr>
          <w:p w14:paraId="5448041E" w14:textId="4390EEA7" w:rsidR="00B14EFE" w:rsidRDefault="00B14EFE" w:rsidP="00B14EFE">
            <w:pPr>
              <w:rPr>
                <w:rFonts w:ascii="Arial" w:hAnsi="Arial" w:cs="Arial"/>
                <w:sz w:val="18"/>
                <w:szCs w:val="18"/>
              </w:rPr>
            </w:pPr>
            <w:r>
              <w:rPr>
                <w:rFonts w:ascii="Arial" w:hAnsi="Arial" w:cs="Arial"/>
                <w:sz w:val="18"/>
                <w:szCs w:val="18"/>
              </w:rPr>
              <w:t>15 Jun 2020</w:t>
            </w:r>
          </w:p>
        </w:tc>
        <w:tc>
          <w:tcPr>
            <w:tcW w:w="1417" w:type="dxa"/>
          </w:tcPr>
          <w:p w14:paraId="69D2D01B" w14:textId="653643BE" w:rsidR="00B14EFE" w:rsidRDefault="00B14EFE" w:rsidP="006E7ACE">
            <w:pPr>
              <w:rPr>
                <w:rFonts w:ascii="Arial" w:hAnsi="Arial" w:cs="Arial"/>
                <w:sz w:val="18"/>
                <w:szCs w:val="18"/>
              </w:rPr>
            </w:pPr>
            <w:r>
              <w:rPr>
                <w:rFonts w:ascii="Arial" w:hAnsi="Arial" w:cs="Arial"/>
                <w:sz w:val="18"/>
                <w:szCs w:val="18"/>
              </w:rPr>
              <w:t>F2020L</w:t>
            </w:r>
            <w:r w:rsidR="006E7ACE">
              <w:rPr>
                <w:rFonts w:ascii="Arial" w:hAnsi="Arial" w:cs="Arial"/>
                <w:sz w:val="18"/>
                <w:szCs w:val="18"/>
              </w:rPr>
              <w:t>00877</w:t>
            </w:r>
          </w:p>
        </w:tc>
        <w:tc>
          <w:tcPr>
            <w:tcW w:w="1276" w:type="dxa"/>
          </w:tcPr>
          <w:p w14:paraId="57869A83" w14:textId="34395B32" w:rsidR="00B14EFE" w:rsidRDefault="00B14EFE" w:rsidP="00B14EFE">
            <w:pPr>
              <w:rPr>
                <w:rFonts w:ascii="Arial" w:hAnsi="Arial" w:cs="Arial"/>
                <w:sz w:val="18"/>
                <w:szCs w:val="18"/>
              </w:rPr>
            </w:pPr>
            <w:r>
              <w:rPr>
                <w:rFonts w:ascii="Arial" w:hAnsi="Arial" w:cs="Arial"/>
                <w:sz w:val="18"/>
                <w:szCs w:val="18"/>
              </w:rPr>
              <w:t>15 Jun 2020</w:t>
            </w:r>
          </w:p>
        </w:tc>
        <w:tc>
          <w:tcPr>
            <w:tcW w:w="2552" w:type="dxa"/>
          </w:tcPr>
          <w:p w14:paraId="61E27359" w14:textId="3481542A" w:rsidR="00B14EFE" w:rsidRPr="00BE46C9" w:rsidRDefault="00B14EFE" w:rsidP="00B14EFE">
            <w:pPr>
              <w:rPr>
                <w:rFonts w:ascii="Arial" w:hAnsi="Arial" w:cs="Arial"/>
                <w:i/>
                <w:color w:val="000000" w:themeColor="text1"/>
                <w:sz w:val="18"/>
                <w:szCs w:val="18"/>
              </w:rPr>
            </w:pPr>
            <w:r w:rsidRPr="00B54F23">
              <w:rPr>
                <w:rFonts w:ascii="Arial" w:hAnsi="Arial" w:cs="Arial"/>
                <w:i/>
                <w:color w:val="000000" w:themeColor="text1"/>
                <w:sz w:val="18"/>
                <w:szCs w:val="18"/>
              </w:rPr>
              <w:t>(beginning)</w:t>
            </w:r>
            <w:r>
              <w:rPr>
                <w:rFonts w:ascii="Arial" w:hAnsi="Arial" w:cs="Arial"/>
                <w:color w:val="000000" w:themeColor="text1"/>
                <w:sz w:val="18"/>
                <w:szCs w:val="18"/>
              </w:rPr>
              <w:t xml:space="preserve"> 1 Ju</w:t>
            </w:r>
            <w:r w:rsidRPr="00B54F23">
              <w:rPr>
                <w:rFonts w:ascii="Arial" w:hAnsi="Arial" w:cs="Arial"/>
                <w:color w:val="000000" w:themeColor="text1"/>
                <w:sz w:val="18"/>
                <w:szCs w:val="18"/>
              </w:rPr>
              <w:t>n 20</w:t>
            </w:r>
            <w:r>
              <w:rPr>
                <w:rFonts w:ascii="Arial" w:hAnsi="Arial" w:cs="Arial"/>
                <w:color w:val="000000" w:themeColor="text1"/>
                <w:sz w:val="18"/>
                <w:szCs w:val="18"/>
              </w:rPr>
              <w:t>20</w:t>
            </w:r>
          </w:p>
        </w:tc>
        <w:tc>
          <w:tcPr>
            <w:tcW w:w="1275" w:type="dxa"/>
          </w:tcPr>
          <w:p w14:paraId="476FFC6A" w14:textId="2C9E469E" w:rsidR="00B14EFE" w:rsidRDefault="00B14EFE" w:rsidP="00B14EFE">
            <w:pPr>
              <w:rPr>
                <w:rFonts w:ascii="Arial" w:hAnsi="Arial" w:cs="Arial"/>
                <w:color w:val="000000" w:themeColor="text1"/>
                <w:sz w:val="18"/>
                <w:szCs w:val="18"/>
              </w:rPr>
            </w:pPr>
            <w:r>
              <w:rPr>
                <w:rFonts w:ascii="Arial" w:hAnsi="Arial" w:cs="Arial"/>
                <w:color w:val="000000" w:themeColor="text1"/>
                <w:sz w:val="18"/>
                <w:szCs w:val="18"/>
              </w:rPr>
              <w:t>see (f</w:t>
            </w:r>
            <w:r w:rsidRPr="00B54F23">
              <w:rPr>
                <w:rFonts w:ascii="Arial" w:hAnsi="Arial" w:cs="Arial"/>
                <w:color w:val="000000" w:themeColor="text1"/>
                <w:sz w:val="18"/>
                <w:szCs w:val="18"/>
              </w:rPr>
              <w:t>) below</w:t>
            </w:r>
          </w:p>
        </w:tc>
      </w:tr>
      <w:tr w:rsidR="00EB30CA" w:rsidRPr="009305B8" w14:paraId="21904ACC" w14:textId="77777777" w:rsidTr="0059152C">
        <w:trPr>
          <w:cantSplit/>
        </w:trPr>
        <w:tc>
          <w:tcPr>
            <w:tcW w:w="1333" w:type="dxa"/>
          </w:tcPr>
          <w:p w14:paraId="6E302E7C" w14:textId="76094CCC" w:rsidR="00EB30CA" w:rsidRDefault="00EB30CA" w:rsidP="00EB30CA">
            <w:pPr>
              <w:rPr>
                <w:rFonts w:ascii="Arial" w:hAnsi="Arial" w:cs="Arial"/>
                <w:sz w:val="18"/>
                <w:szCs w:val="18"/>
              </w:rPr>
            </w:pPr>
            <w:r>
              <w:rPr>
                <w:rFonts w:ascii="Arial" w:hAnsi="Arial" w:cs="Arial"/>
                <w:sz w:val="18"/>
                <w:szCs w:val="18"/>
              </w:rPr>
              <w:t>AASB 2020-7</w:t>
            </w:r>
          </w:p>
        </w:tc>
        <w:tc>
          <w:tcPr>
            <w:tcW w:w="1276" w:type="dxa"/>
          </w:tcPr>
          <w:p w14:paraId="49744E05" w14:textId="4C9BF3DE" w:rsidR="00EB30CA" w:rsidRDefault="00EB30CA" w:rsidP="00EB30CA">
            <w:pPr>
              <w:rPr>
                <w:rFonts w:ascii="Arial" w:hAnsi="Arial" w:cs="Arial"/>
                <w:sz w:val="18"/>
                <w:szCs w:val="18"/>
              </w:rPr>
            </w:pPr>
            <w:r>
              <w:rPr>
                <w:rFonts w:ascii="Arial" w:hAnsi="Arial" w:cs="Arial"/>
                <w:sz w:val="18"/>
                <w:szCs w:val="18"/>
              </w:rPr>
              <w:t>10 Aug 2020</w:t>
            </w:r>
          </w:p>
        </w:tc>
        <w:tc>
          <w:tcPr>
            <w:tcW w:w="1417" w:type="dxa"/>
          </w:tcPr>
          <w:p w14:paraId="0DE20324" w14:textId="0779BD40" w:rsidR="00EB30CA" w:rsidRDefault="00EB30CA" w:rsidP="00EB30CA">
            <w:pPr>
              <w:rPr>
                <w:rFonts w:ascii="Arial" w:hAnsi="Arial" w:cs="Arial"/>
                <w:sz w:val="18"/>
                <w:szCs w:val="18"/>
              </w:rPr>
            </w:pPr>
            <w:r>
              <w:rPr>
                <w:rFonts w:ascii="Arial" w:hAnsi="Arial" w:cs="Arial"/>
                <w:sz w:val="18"/>
                <w:szCs w:val="18"/>
              </w:rPr>
              <w:t>F2020L01050</w:t>
            </w:r>
          </w:p>
        </w:tc>
        <w:tc>
          <w:tcPr>
            <w:tcW w:w="1276" w:type="dxa"/>
          </w:tcPr>
          <w:p w14:paraId="329F3014" w14:textId="447909E0" w:rsidR="00EB30CA" w:rsidRDefault="00EB30CA" w:rsidP="00EB30CA">
            <w:pPr>
              <w:rPr>
                <w:rFonts w:ascii="Arial" w:hAnsi="Arial" w:cs="Arial"/>
                <w:sz w:val="18"/>
                <w:szCs w:val="18"/>
              </w:rPr>
            </w:pPr>
            <w:r>
              <w:rPr>
                <w:rFonts w:ascii="Arial" w:hAnsi="Arial" w:cs="Arial"/>
                <w:sz w:val="18"/>
                <w:szCs w:val="18"/>
              </w:rPr>
              <w:t>30 Jun 2021</w:t>
            </w:r>
          </w:p>
        </w:tc>
        <w:tc>
          <w:tcPr>
            <w:tcW w:w="2552" w:type="dxa"/>
          </w:tcPr>
          <w:p w14:paraId="20044B5B" w14:textId="0E001FE4" w:rsidR="00EB30CA" w:rsidRPr="00B54F23" w:rsidRDefault="00EB30CA" w:rsidP="00EB30CA">
            <w:pPr>
              <w:rPr>
                <w:rFonts w:ascii="Arial" w:hAnsi="Arial" w:cs="Arial"/>
                <w:i/>
                <w:color w:val="000000" w:themeColor="text1"/>
                <w:sz w:val="18"/>
                <w:szCs w:val="18"/>
              </w:rPr>
            </w:pPr>
            <w:r w:rsidRPr="00267D14">
              <w:rPr>
                <w:rFonts w:ascii="Arial" w:hAnsi="Arial" w:cs="Arial"/>
                <w:i/>
                <w:sz w:val="18"/>
                <w:szCs w:val="18"/>
              </w:rPr>
              <w:t>(beginning)</w:t>
            </w:r>
            <w:r w:rsidRPr="00267D14">
              <w:rPr>
                <w:rFonts w:ascii="Arial" w:hAnsi="Arial" w:cs="Arial"/>
                <w:sz w:val="18"/>
                <w:szCs w:val="18"/>
              </w:rPr>
              <w:t xml:space="preserve"> 1 Jul 20</w:t>
            </w:r>
            <w:r>
              <w:rPr>
                <w:rFonts w:ascii="Arial" w:hAnsi="Arial" w:cs="Arial"/>
                <w:sz w:val="18"/>
                <w:szCs w:val="18"/>
              </w:rPr>
              <w:t>2</w:t>
            </w:r>
            <w:r w:rsidRPr="00267D14">
              <w:rPr>
                <w:rFonts w:ascii="Arial" w:hAnsi="Arial" w:cs="Arial"/>
                <w:sz w:val="18"/>
                <w:szCs w:val="18"/>
              </w:rPr>
              <w:t>1</w:t>
            </w:r>
          </w:p>
        </w:tc>
        <w:tc>
          <w:tcPr>
            <w:tcW w:w="1275" w:type="dxa"/>
          </w:tcPr>
          <w:p w14:paraId="5FCB9E99" w14:textId="1637CC0D" w:rsidR="00EB30CA" w:rsidRDefault="00EB30CA" w:rsidP="00EB30CA">
            <w:pPr>
              <w:rPr>
                <w:rFonts w:ascii="Arial" w:hAnsi="Arial" w:cs="Arial"/>
                <w:color w:val="000000" w:themeColor="text1"/>
                <w:sz w:val="18"/>
                <w:szCs w:val="18"/>
              </w:rPr>
            </w:pPr>
            <w:r>
              <w:rPr>
                <w:rFonts w:ascii="Arial" w:hAnsi="Arial" w:cs="Arial"/>
                <w:sz w:val="18"/>
                <w:szCs w:val="18"/>
              </w:rPr>
              <w:t>not compiled*</w:t>
            </w:r>
          </w:p>
        </w:tc>
      </w:tr>
      <w:tr w:rsidR="00EB30CA" w:rsidRPr="009305B8" w14:paraId="594CDDBE" w14:textId="77777777" w:rsidTr="0059152C">
        <w:trPr>
          <w:cantSplit/>
        </w:trPr>
        <w:tc>
          <w:tcPr>
            <w:tcW w:w="1333" w:type="dxa"/>
          </w:tcPr>
          <w:p w14:paraId="0AC90533" w14:textId="4523B957" w:rsidR="00EB30CA" w:rsidRDefault="00EB30CA" w:rsidP="00EB30CA">
            <w:pPr>
              <w:rPr>
                <w:rFonts w:ascii="Arial" w:hAnsi="Arial" w:cs="Arial"/>
                <w:sz w:val="18"/>
                <w:szCs w:val="18"/>
              </w:rPr>
            </w:pPr>
            <w:r>
              <w:rPr>
                <w:rFonts w:ascii="Arial" w:hAnsi="Arial" w:cs="Arial"/>
                <w:sz w:val="18"/>
                <w:szCs w:val="18"/>
              </w:rPr>
              <w:t>AASB 2020-8</w:t>
            </w:r>
          </w:p>
        </w:tc>
        <w:tc>
          <w:tcPr>
            <w:tcW w:w="1276" w:type="dxa"/>
          </w:tcPr>
          <w:p w14:paraId="5CD935F7" w14:textId="2A69BCAE" w:rsidR="00EB30CA" w:rsidRDefault="00EB30CA" w:rsidP="00EB30CA">
            <w:pPr>
              <w:rPr>
                <w:rFonts w:ascii="Arial" w:hAnsi="Arial" w:cs="Arial"/>
                <w:sz w:val="18"/>
                <w:szCs w:val="18"/>
              </w:rPr>
            </w:pPr>
            <w:r>
              <w:rPr>
                <w:rFonts w:ascii="Arial" w:hAnsi="Arial" w:cs="Arial"/>
                <w:sz w:val="18"/>
                <w:szCs w:val="18"/>
              </w:rPr>
              <w:t>17 Sep 2020</w:t>
            </w:r>
          </w:p>
        </w:tc>
        <w:tc>
          <w:tcPr>
            <w:tcW w:w="1417" w:type="dxa"/>
          </w:tcPr>
          <w:p w14:paraId="13F826AA" w14:textId="6196058E" w:rsidR="00EB30CA" w:rsidRDefault="00EB30CA" w:rsidP="00EB30CA">
            <w:pPr>
              <w:rPr>
                <w:rFonts w:ascii="Arial" w:hAnsi="Arial" w:cs="Arial"/>
                <w:sz w:val="18"/>
                <w:szCs w:val="18"/>
              </w:rPr>
            </w:pPr>
            <w:r>
              <w:rPr>
                <w:rFonts w:ascii="Arial" w:hAnsi="Arial" w:cs="Arial"/>
                <w:sz w:val="18"/>
                <w:szCs w:val="18"/>
              </w:rPr>
              <w:t>F2020L01241</w:t>
            </w:r>
          </w:p>
        </w:tc>
        <w:tc>
          <w:tcPr>
            <w:tcW w:w="1276" w:type="dxa"/>
          </w:tcPr>
          <w:p w14:paraId="31F00ABF" w14:textId="276DE458" w:rsidR="00EB30CA" w:rsidRDefault="00EB30CA" w:rsidP="00EB30CA">
            <w:pPr>
              <w:rPr>
                <w:rFonts w:ascii="Arial" w:hAnsi="Arial" w:cs="Arial"/>
                <w:sz w:val="18"/>
                <w:szCs w:val="18"/>
              </w:rPr>
            </w:pPr>
            <w:r>
              <w:rPr>
                <w:rFonts w:ascii="Arial" w:hAnsi="Arial" w:cs="Arial"/>
                <w:sz w:val="18"/>
                <w:szCs w:val="18"/>
              </w:rPr>
              <w:t>31 Dec 2020</w:t>
            </w:r>
          </w:p>
        </w:tc>
        <w:tc>
          <w:tcPr>
            <w:tcW w:w="2552" w:type="dxa"/>
          </w:tcPr>
          <w:p w14:paraId="60D903B2" w14:textId="72E7EF1A" w:rsidR="00EB30CA" w:rsidRPr="00B54F23" w:rsidRDefault="00EB30CA" w:rsidP="00EB30CA">
            <w:pPr>
              <w:rPr>
                <w:rFonts w:ascii="Arial" w:hAnsi="Arial" w:cs="Arial"/>
                <w:i/>
                <w:color w:val="000000" w:themeColor="text1"/>
                <w:sz w:val="18"/>
                <w:szCs w:val="18"/>
              </w:rPr>
            </w:pPr>
            <w:r w:rsidRPr="00B54F23">
              <w:rPr>
                <w:rFonts w:ascii="Arial" w:hAnsi="Arial" w:cs="Arial"/>
                <w:i/>
                <w:color w:val="000000" w:themeColor="text1"/>
                <w:sz w:val="18"/>
                <w:szCs w:val="18"/>
              </w:rPr>
              <w:t>(beginning)</w:t>
            </w:r>
            <w:r>
              <w:rPr>
                <w:rFonts w:ascii="Arial" w:hAnsi="Arial" w:cs="Arial"/>
                <w:color w:val="000000" w:themeColor="text1"/>
                <w:sz w:val="18"/>
                <w:szCs w:val="18"/>
              </w:rPr>
              <w:t xml:space="preserve"> 1 Jan</w:t>
            </w:r>
            <w:r w:rsidRPr="00B54F23">
              <w:rPr>
                <w:rFonts w:ascii="Arial" w:hAnsi="Arial" w:cs="Arial"/>
                <w:color w:val="000000" w:themeColor="text1"/>
                <w:sz w:val="18"/>
                <w:szCs w:val="18"/>
              </w:rPr>
              <w:t xml:space="preserve"> </w:t>
            </w:r>
            <w:r>
              <w:rPr>
                <w:rFonts w:ascii="Arial" w:hAnsi="Arial" w:cs="Arial"/>
                <w:color w:val="000000" w:themeColor="text1"/>
                <w:sz w:val="18"/>
                <w:szCs w:val="18"/>
              </w:rPr>
              <w:t>2021</w:t>
            </w:r>
          </w:p>
        </w:tc>
        <w:tc>
          <w:tcPr>
            <w:tcW w:w="1275" w:type="dxa"/>
          </w:tcPr>
          <w:p w14:paraId="006FBA5B" w14:textId="081D4C62" w:rsidR="00EB30CA" w:rsidRDefault="00EB30CA" w:rsidP="00EB30CA">
            <w:pPr>
              <w:rPr>
                <w:rFonts w:ascii="Arial" w:hAnsi="Arial" w:cs="Arial"/>
                <w:color w:val="000000" w:themeColor="text1"/>
                <w:sz w:val="18"/>
                <w:szCs w:val="18"/>
              </w:rPr>
            </w:pPr>
            <w:r>
              <w:rPr>
                <w:rFonts w:ascii="Arial" w:hAnsi="Arial" w:cs="Arial"/>
                <w:color w:val="000000" w:themeColor="text1"/>
                <w:sz w:val="18"/>
                <w:szCs w:val="18"/>
              </w:rPr>
              <w:t>see (g</w:t>
            </w:r>
            <w:r w:rsidRPr="00B54F23">
              <w:rPr>
                <w:rFonts w:ascii="Arial" w:hAnsi="Arial" w:cs="Arial"/>
                <w:color w:val="000000" w:themeColor="text1"/>
                <w:sz w:val="18"/>
                <w:szCs w:val="18"/>
              </w:rPr>
              <w:t>) below</w:t>
            </w:r>
          </w:p>
        </w:tc>
      </w:tr>
      <w:tr w:rsidR="0091547E" w:rsidRPr="009305B8" w14:paraId="7CB175B5" w14:textId="77777777" w:rsidTr="0059152C">
        <w:trPr>
          <w:cantSplit/>
        </w:trPr>
        <w:tc>
          <w:tcPr>
            <w:tcW w:w="1333" w:type="dxa"/>
          </w:tcPr>
          <w:p w14:paraId="3A690147" w14:textId="71B82D7B" w:rsidR="0091547E" w:rsidRDefault="0091547E" w:rsidP="0091547E">
            <w:pPr>
              <w:rPr>
                <w:rFonts w:ascii="Arial" w:hAnsi="Arial" w:cs="Arial"/>
                <w:sz w:val="18"/>
                <w:szCs w:val="18"/>
              </w:rPr>
            </w:pPr>
            <w:r>
              <w:rPr>
                <w:rFonts w:ascii="Arial" w:hAnsi="Arial" w:cs="Arial"/>
                <w:sz w:val="18"/>
                <w:szCs w:val="18"/>
              </w:rPr>
              <w:t>AASB 2021-3</w:t>
            </w:r>
          </w:p>
        </w:tc>
        <w:tc>
          <w:tcPr>
            <w:tcW w:w="1276" w:type="dxa"/>
          </w:tcPr>
          <w:p w14:paraId="6962C606" w14:textId="4AA21B47" w:rsidR="0091547E" w:rsidRDefault="0091547E" w:rsidP="0091547E">
            <w:pPr>
              <w:rPr>
                <w:rFonts w:ascii="Arial" w:hAnsi="Arial" w:cs="Arial"/>
                <w:sz w:val="18"/>
                <w:szCs w:val="18"/>
              </w:rPr>
            </w:pPr>
            <w:r>
              <w:rPr>
                <w:rFonts w:ascii="Arial" w:hAnsi="Arial" w:cs="Arial"/>
                <w:sz w:val="18"/>
                <w:szCs w:val="18"/>
              </w:rPr>
              <w:t>21 Apr 2021</w:t>
            </w:r>
          </w:p>
        </w:tc>
        <w:tc>
          <w:tcPr>
            <w:tcW w:w="1417" w:type="dxa"/>
          </w:tcPr>
          <w:p w14:paraId="0D53CE17" w14:textId="5DBDE2B7" w:rsidR="0091547E" w:rsidRDefault="0091547E" w:rsidP="0091547E">
            <w:pPr>
              <w:rPr>
                <w:rFonts w:ascii="Arial" w:hAnsi="Arial" w:cs="Arial"/>
                <w:sz w:val="18"/>
                <w:szCs w:val="18"/>
              </w:rPr>
            </w:pPr>
            <w:r>
              <w:rPr>
                <w:rFonts w:ascii="Arial" w:hAnsi="Arial" w:cs="Arial"/>
                <w:sz w:val="18"/>
                <w:szCs w:val="18"/>
              </w:rPr>
              <w:t>F2021L00545</w:t>
            </w:r>
          </w:p>
        </w:tc>
        <w:tc>
          <w:tcPr>
            <w:tcW w:w="1276" w:type="dxa"/>
          </w:tcPr>
          <w:p w14:paraId="63161023" w14:textId="19BFD023" w:rsidR="0091547E" w:rsidRDefault="0091547E" w:rsidP="0091547E">
            <w:pPr>
              <w:rPr>
                <w:rFonts w:ascii="Arial" w:hAnsi="Arial" w:cs="Arial"/>
                <w:sz w:val="18"/>
                <w:szCs w:val="18"/>
              </w:rPr>
            </w:pPr>
            <w:r>
              <w:rPr>
                <w:rFonts w:ascii="Arial" w:hAnsi="Arial" w:cs="Arial"/>
                <w:sz w:val="18"/>
                <w:szCs w:val="18"/>
              </w:rPr>
              <w:t>21 Apr 2021</w:t>
            </w:r>
          </w:p>
        </w:tc>
        <w:tc>
          <w:tcPr>
            <w:tcW w:w="2552" w:type="dxa"/>
          </w:tcPr>
          <w:p w14:paraId="6075E900" w14:textId="50E38E63" w:rsidR="0091547E" w:rsidRPr="00B54F23" w:rsidRDefault="0091547E" w:rsidP="0091547E">
            <w:pPr>
              <w:rPr>
                <w:rFonts w:ascii="Arial" w:hAnsi="Arial" w:cs="Arial"/>
                <w:i/>
                <w:color w:val="000000" w:themeColor="text1"/>
                <w:sz w:val="18"/>
                <w:szCs w:val="18"/>
              </w:rPr>
            </w:pPr>
            <w:r w:rsidRPr="00B54F23">
              <w:rPr>
                <w:rFonts w:ascii="Arial" w:hAnsi="Arial" w:cs="Arial"/>
                <w:i/>
                <w:color w:val="000000" w:themeColor="text1"/>
                <w:sz w:val="18"/>
                <w:szCs w:val="18"/>
              </w:rPr>
              <w:t>(beginning)</w:t>
            </w:r>
            <w:r>
              <w:rPr>
                <w:rFonts w:ascii="Arial" w:hAnsi="Arial" w:cs="Arial"/>
                <w:color w:val="000000" w:themeColor="text1"/>
                <w:sz w:val="18"/>
                <w:szCs w:val="18"/>
              </w:rPr>
              <w:t xml:space="preserve"> 1 Apr</w:t>
            </w:r>
            <w:r w:rsidRPr="00B54F23">
              <w:rPr>
                <w:rFonts w:ascii="Arial" w:hAnsi="Arial" w:cs="Arial"/>
                <w:color w:val="000000" w:themeColor="text1"/>
                <w:sz w:val="18"/>
                <w:szCs w:val="18"/>
              </w:rPr>
              <w:t xml:space="preserve"> </w:t>
            </w:r>
            <w:r>
              <w:rPr>
                <w:rFonts w:ascii="Arial" w:hAnsi="Arial" w:cs="Arial"/>
                <w:color w:val="000000" w:themeColor="text1"/>
                <w:sz w:val="18"/>
                <w:szCs w:val="18"/>
              </w:rPr>
              <w:t>2021</w:t>
            </w:r>
          </w:p>
        </w:tc>
        <w:tc>
          <w:tcPr>
            <w:tcW w:w="1275" w:type="dxa"/>
          </w:tcPr>
          <w:p w14:paraId="2678A07C" w14:textId="328A3169" w:rsidR="0091547E" w:rsidRDefault="0091547E" w:rsidP="0091547E">
            <w:pPr>
              <w:rPr>
                <w:rFonts w:ascii="Arial" w:hAnsi="Arial" w:cs="Arial"/>
                <w:color w:val="000000" w:themeColor="text1"/>
                <w:sz w:val="18"/>
                <w:szCs w:val="18"/>
              </w:rPr>
            </w:pPr>
            <w:r>
              <w:rPr>
                <w:rFonts w:ascii="Arial" w:hAnsi="Arial" w:cs="Arial"/>
                <w:color w:val="000000" w:themeColor="text1"/>
                <w:sz w:val="18"/>
                <w:szCs w:val="18"/>
              </w:rPr>
              <w:t>see (h</w:t>
            </w:r>
            <w:r w:rsidRPr="00B54F23">
              <w:rPr>
                <w:rFonts w:ascii="Arial" w:hAnsi="Arial" w:cs="Arial"/>
                <w:color w:val="000000" w:themeColor="text1"/>
                <w:sz w:val="18"/>
                <w:szCs w:val="18"/>
              </w:rPr>
              <w:t>) below</w:t>
            </w:r>
          </w:p>
        </w:tc>
      </w:tr>
    </w:tbl>
    <w:p w14:paraId="08FA89B7" w14:textId="385282C1" w:rsidR="00B14EFE" w:rsidRPr="000F3BFE" w:rsidRDefault="00B14EFE" w:rsidP="00B14EFE">
      <w:pPr>
        <w:pStyle w:val="NoNumPlain1"/>
        <w:spacing w:before="240" w:after="0" w:line="240" w:lineRule="auto"/>
        <w:ind w:left="510" w:hanging="510"/>
        <w:jc w:val="both"/>
        <w:rPr>
          <w:sz w:val="16"/>
          <w:szCs w:val="16"/>
        </w:rPr>
      </w:pPr>
      <w:r w:rsidRPr="000F3BFE">
        <w:rPr>
          <w:sz w:val="16"/>
          <w:szCs w:val="16"/>
        </w:rPr>
        <w:t>*</w:t>
      </w:r>
      <w:r w:rsidRPr="000F3BFE">
        <w:rPr>
          <w:sz w:val="16"/>
          <w:szCs w:val="16"/>
        </w:rPr>
        <w:tab/>
      </w:r>
      <w:r w:rsidRPr="000F3BFE">
        <w:rPr>
          <w:sz w:val="16"/>
          <w:szCs w:val="16"/>
          <w:lang w:eastAsia="en-AU"/>
        </w:rPr>
        <w:t xml:space="preserve">The amendments made by this Standard are not included in this compilation, which presents the principal </w:t>
      </w:r>
      <w:r w:rsidRPr="000F3BFE">
        <w:rPr>
          <w:sz w:val="16"/>
          <w:szCs w:val="16"/>
        </w:rPr>
        <w:t>Standard</w:t>
      </w:r>
      <w:r w:rsidRPr="000F3BFE">
        <w:rPr>
          <w:sz w:val="16"/>
          <w:szCs w:val="16"/>
          <w:lang w:eastAsia="en-AU"/>
        </w:rPr>
        <w:t xml:space="preserve"> as applicable to annual period</w:t>
      </w:r>
      <w:r>
        <w:rPr>
          <w:sz w:val="16"/>
          <w:szCs w:val="16"/>
          <w:lang w:eastAsia="en-AU"/>
        </w:rPr>
        <w:t xml:space="preserve">s beginning on or after 1 </w:t>
      </w:r>
      <w:r w:rsidR="0091547E">
        <w:rPr>
          <w:sz w:val="16"/>
          <w:szCs w:val="16"/>
          <w:lang w:eastAsia="en-AU"/>
        </w:rPr>
        <w:t xml:space="preserve">April </w:t>
      </w:r>
      <w:r w:rsidR="00EB30CA">
        <w:rPr>
          <w:sz w:val="16"/>
          <w:szCs w:val="16"/>
          <w:lang w:eastAsia="en-AU"/>
        </w:rPr>
        <w:t xml:space="preserve">2021 </w:t>
      </w:r>
      <w:r>
        <w:rPr>
          <w:sz w:val="16"/>
          <w:szCs w:val="16"/>
          <w:lang w:eastAsia="en-AU"/>
        </w:rPr>
        <w:t>but before 1 July 2021</w:t>
      </w:r>
      <w:r w:rsidRPr="000F3BFE">
        <w:rPr>
          <w:sz w:val="16"/>
          <w:szCs w:val="16"/>
          <w:lang w:eastAsia="en-AU"/>
        </w:rPr>
        <w:t>.</w:t>
      </w:r>
    </w:p>
    <w:p w14:paraId="37DD19BB" w14:textId="2021BBB2" w:rsidR="002848C0" w:rsidRDefault="002848C0" w:rsidP="00A27219">
      <w:pPr>
        <w:pStyle w:val="IASBNormalnpara"/>
        <w:numPr>
          <w:ilvl w:val="0"/>
          <w:numId w:val="1"/>
        </w:numPr>
        <w:spacing w:before="120"/>
        <w:ind w:left="510" w:hanging="510"/>
        <w:rPr>
          <w:sz w:val="16"/>
          <w:szCs w:val="16"/>
        </w:rPr>
      </w:pPr>
      <w:r w:rsidRPr="002848C0">
        <w:rPr>
          <w:sz w:val="16"/>
          <w:szCs w:val="16"/>
        </w:rPr>
        <w:t xml:space="preserve">Entities may elect to apply this Standard to annual periods beginning before 1 January 2019, provided that AASB 15 </w:t>
      </w:r>
      <w:r w:rsidRPr="002848C0">
        <w:rPr>
          <w:i/>
          <w:sz w:val="16"/>
          <w:szCs w:val="16"/>
        </w:rPr>
        <w:t>Revenue from Contracts with Customers</w:t>
      </w:r>
      <w:r w:rsidRPr="002848C0">
        <w:rPr>
          <w:sz w:val="16"/>
          <w:szCs w:val="16"/>
        </w:rPr>
        <w:t xml:space="preserve"> is also applied to the same period.</w:t>
      </w:r>
    </w:p>
    <w:p w14:paraId="492A665E" w14:textId="308B219F" w:rsidR="00880D12" w:rsidRPr="00880D12" w:rsidRDefault="00880D12" w:rsidP="00A27219">
      <w:pPr>
        <w:pStyle w:val="IASBNormalnpara"/>
        <w:numPr>
          <w:ilvl w:val="0"/>
          <w:numId w:val="1"/>
        </w:numPr>
        <w:spacing w:before="120"/>
        <w:ind w:left="510" w:hanging="510"/>
        <w:rPr>
          <w:sz w:val="16"/>
          <w:szCs w:val="16"/>
        </w:rPr>
      </w:pPr>
      <w:r w:rsidRPr="00D470A2">
        <w:rPr>
          <w:sz w:val="16"/>
          <w:szCs w:val="16"/>
        </w:rPr>
        <w:t>Entities may elect to apply this Standard to annual periods beginning before 1 January 20</w:t>
      </w:r>
      <w:r>
        <w:rPr>
          <w:sz w:val="16"/>
          <w:szCs w:val="16"/>
        </w:rPr>
        <w:t>20.</w:t>
      </w:r>
    </w:p>
    <w:p w14:paraId="6B1FCE30" w14:textId="77777777" w:rsidR="001A645E" w:rsidRDefault="0026379B" w:rsidP="00A27219">
      <w:pPr>
        <w:pStyle w:val="IASBNormalnpara"/>
        <w:numPr>
          <w:ilvl w:val="0"/>
          <w:numId w:val="1"/>
        </w:numPr>
        <w:spacing w:before="120"/>
        <w:ind w:left="510" w:hanging="510"/>
        <w:rPr>
          <w:sz w:val="16"/>
          <w:szCs w:val="16"/>
        </w:rPr>
      </w:pPr>
      <w:r w:rsidRPr="0026379B">
        <w:rPr>
          <w:sz w:val="16"/>
          <w:szCs w:val="16"/>
        </w:rPr>
        <w:t>Entities may elect to apply this Standard to annual periods beginning before 1 January 2019.</w:t>
      </w:r>
    </w:p>
    <w:p w14:paraId="56462791" w14:textId="0CA238DE" w:rsidR="001A645E" w:rsidRPr="001A645E" w:rsidRDefault="001A645E" w:rsidP="00A27219">
      <w:pPr>
        <w:pStyle w:val="IASBNormalnpara"/>
        <w:numPr>
          <w:ilvl w:val="0"/>
          <w:numId w:val="1"/>
        </w:numPr>
        <w:spacing w:before="120"/>
        <w:ind w:left="510" w:hanging="510"/>
        <w:rPr>
          <w:sz w:val="16"/>
          <w:szCs w:val="16"/>
        </w:rPr>
      </w:pPr>
      <w:r w:rsidRPr="001A645E">
        <w:rPr>
          <w:sz w:val="16"/>
          <w:szCs w:val="16"/>
        </w:rPr>
        <w:t>Entities may elect to apply this Standard to annual periods beginning before 1 January 2019</w:t>
      </w:r>
      <w:r w:rsidR="009A233D">
        <w:rPr>
          <w:sz w:val="16"/>
          <w:szCs w:val="16"/>
        </w:rPr>
        <w:t>,</w:t>
      </w:r>
      <w:r w:rsidR="00AE4AB8">
        <w:rPr>
          <w:sz w:val="16"/>
          <w:szCs w:val="16"/>
        </w:rPr>
        <w:t xml:space="preserve"> provided that AASB</w:t>
      </w:r>
      <w:r>
        <w:rPr>
          <w:sz w:val="16"/>
          <w:szCs w:val="16"/>
        </w:rPr>
        <w:t xml:space="preserve"> 15 and AASB</w:t>
      </w:r>
      <w:r w:rsidR="00AE4AB8">
        <w:rPr>
          <w:sz w:val="16"/>
          <w:szCs w:val="16"/>
        </w:rPr>
        <w:t xml:space="preserve"> </w:t>
      </w:r>
      <w:r>
        <w:rPr>
          <w:sz w:val="16"/>
          <w:szCs w:val="16"/>
        </w:rPr>
        <w:t xml:space="preserve">16 </w:t>
      </w:r>
      <w:r w:rsidRPr="001A645E">
        <w:rPr>
          <w:i/>
          <w:sz w:val="16"/>
          <w:szCs w:val="16"/>
        </w:rPr>
        <w:t>Leases</w:t>
      </w:r>
      <w:r>
        <w:rPr>
          <w:sz w:val="16"/>
          <w:szCs w:val="16"/>
        </w:rPr>
        <w:t xml:space="preserve"> are also applied to the same period.</w:t>
      </w:r>
    </w:p>
    <w:p w14:paraId="6D68A8D5" w14:textId="77777777" w:rsidR="00D470A2" w:rsidRDefault="0024240A" w:rsidP="00A27219">
      <w:pPr>
        <w:pStyle w:val="IASBNormalnpara"/>
        <w:numPr>
          <w:ilvl w:val="0"/>
          <w:numId w:val="1"/>
        </w:numPr>
        <w:spacing w:before="120"/>
        <w:ind w:left="510" w:hanging="510"/>
        <w:rPr>
          <w:sz w:val="16"/>
          <w:szCs w:val="16"/>
        </w:rPr>
      </w:pPr>
      <w:r w:rsidRPr="0024240A">
        <w:rPr>
          <w:sz w:val="16"/>
          <w:szCs w:val="16"/>
        </w:rPr>
        <w:t xml:space="preserve">Entities may elect to apply this Standard to annual periods beginning </w:t>
      </w:r>
      <w:r w:rsidR="00763E53" w:rsidRPr="0026379B">
        <w:rPr>
          <w:sz w:val="16"/>
          <w:szCs w:val="16"/>
        </w:rPr>
        <w:t xml:space="preserve">before </w:t>
      </w:r>
      <w:r w:rsidRPr="0024240A">
        <w:rPr>
          <w:sz w:val="16"/>
          <w:szCs w:val="16"/>
        </w:rPr>
        <w:t xml:space="preserve">1 January 2019, provided that AASB 1058 </w:t>
      </w:r>
      <w:r w:rsidRPr="00183C27">
        <w:rPr>
          <w:i/>
          <w:sz w:val="16"/>
          <w:szCs w:val="16"/>
        </w:rPr>
        <w:t>Income of Not-for-Profit Entities</w:t>
      </w:r>
      <w:r w:rsidRPr="0024240A">
        <w:rPr>
          <w:sz w:val="16"/>
          <w:szCs w:val="16"/>
        </w:rPr>
        <w:t xml:space="preserve"> is also applied to the same period.</w:t>
      </w:r>
    </w:p>
    <w:p w14:paraId="20293B40" w14:textId="670810AF" w:rsidR="00B14EFE" w:rsidRDefault="00B14EFE" w:rsidP="00B14EFE">
      <w:pPr>
        <w:pStyle w:val="IASBNormalnpara"/>
        <w:numPr>
          <w:ilvl w:val="0"/>
          <w:numId w:val="1"/>
        </w:numPr>
        <w:spacing w:before="120"/>
        <w:ind w:left="510" w:hanging="510"/>
        <w:rPr>
          <w:sz w:val="16"/>
          <w:szCs w:val="16"/>
        </w:rPr>
      </w:pPr>
      <w:r w:rsidRPr="00D470A2">
        <w:rPr>
          <w:sz w:val="16"/>
          <w:szCs w:val="16"/>
        </w:rPr>
        <w:t>Entities may elect to apply this Standard to annual pe</w:t>
      </w:r>
      <w:r>
        <w:rPr>
          <w:sz w:val="16"/>
          <w:szCs w:val="16"/>
        </w:rPr>
        <w:t>riods beginning before 1 June</w:t>
      </w:r>
      <w:r w:rsidRPr="00D470A2">
        <w:rPr>
          <w:sz w:val="16"/>
          <w:szCs w:val="16"/>
        </w:rPr>
        <w:t xml:space="preserve"> 20</w:t>
      </w:r>
      <w:r>
        <w:rPr>
          <w:sz w:val="16"/>
          <w:szCs w:val="16"/>
        </w:rPr>
        <w:t>20.</w:t>
      </w:r>
    </w:p>
    <w:p w14:paraId="3B74F58C" w14:textId="7A965CC3" w:rsidR="00EB30CA" w:rsidRDefault="00EB30CA" w:rsidP="00EB30CA">
      <w:pPr>
        <w:pStyle w:val="IASBNormalnpara"/>
        <w:numPr>
          <w:ilvl w:val="0"/>
          <w:numId w:val="1"/>
        </w:numPr>
        <w:spacing w:before="120"/>
        <w:ind w:left="510" w:hanging="510"/>
        <w:rPr>
          <w:sz w:val="16"/>
          <w:szCs w:val="16"/>
        </w:rPr>
      </w:pPr>
      <w:r w:rsidRPr="00D470A2">
        <w:rPr>
          <w:sz w:val="16"/>
          <w:szCs w:val="16"/>
        </w:rPr>
        <w:t>Entities may elect to apply this Standard to annual pe</w:t>
      </w:r>
      <w:r>
        <w:rPr>
          <w:sz w:val="16"/>
          <w:szCs w:val="16"/>
        </w:rPr>
        <w:t>riods beginning before 1 January</w:t>
      </w:r>
      <w:r w:rsidRPr="00D470A2">
        <w:rPr>
          <w:sz w:val="16"/>
          <w:szCs w:val="16"/>
        </w:rPr>
        <w:t xml:space="preserve"> </w:t>
      </w:r>
      <w:r>
        <w:rPr>
          <w:sz w:val="16"/>
          <w:szCs w:val="16"/>
        </w:rPr>
        <w:t>2021.</w:t>
      </w:r>
    </w:p>
    <w:p w14:paraId="757199F3" w14:textId="0FA8DFD2" w:rsidR="0091547E" w:rsidRPr="00EB30CA" w:rsidRDefault="0091547E" w:rsidP="00EB30CA">
      <w:pPr>
        <w:pStyle w:val="IASBNormalnpara"/>
        <w:numPr>
          <w:ilvl w:val="0"/>
          <w:numId w:val="1"/>
        </w:numPr>
        <w:spacing w:before="120"/>
        <w:ind w:left="510" w:hanging="510"/>
        <w:rPr>
          <w:sz w:val="16"/>
          <w:szCs w:val="16"/>
        </w:rPr>
      </w:pPr>
      <w:r w:rsidRPr="00D470A2">
        <w:rPr>
          <w:sz w:val="16"/>
          <w:szCs w:val="16"/>
        </w:rPr>
        <w:t>Entities may elect to apply this Standard to annual pe</w:t>
      </w:r>
      <w:r>
        <w:rPr>
          <w:sz w:val="16"/>
          <w:szCs w:val="16"/>
        </w:rPr>
        <w:t>riods beginning before 1 April 2021</w:t>
      </w:r>
      <w:r w:rsidR="00045471">
        <w:rPr>
          <w:sz w:val="16"/>
          <w:szCs w:val="16"/>
        </w:rPr>
        <w:t>.</w:t>
      </w:r>
    </w:p>
    <w:p w14:paraId="77A66C6F" w14:textId="77777777" w:rsidR="00CB1E99" w:rsidRPr="000D35D8" w:rsidRDefault="00CB1E99" w:rsidP="00CB1E99">
      <w:pPr>
        <w:pStyle w:val="IASBSectionTitle2NonInd"/>
      </w:pPr>
      <w:r w:rsidRPr="00B663AC">
        <w:t>Table of amendments</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incorporated in the compiled Standard"/>
        <w:tblDescription w:val="Details of each amendment, that is, paragraph affected, how it has been affected (for example, added, amended or deleted), and the source Standard and paragraph"/>
      </w:tblPr>
      <w:tblGrid>
        <w:gridCol w:w="3005"/>
        <w:gridCol w:w="2835"/>
        <w:gridCol w:w="3289"/>
      </w:tblGrid>
      <w:tr w:rsidR="00CB1E99" w:rsidRPr="004F447D" w14:paraId="4F76427C" w14:textId="77777777" w:rsidTr="0059152C">
        <w:trPr>
          <w:tblHeader/>
        </w:trPr>
        <w:tc>
          <w:tcPr>
            <w:tcW w:w="3005" w:type="dxa"/>
          </w:tcPr>
          <w:p w14:paraId="469AD503" w14:textId="77777777" w:rsidR="00CB1E99" w:rsidRPr="004F447D" w:rsidRDefault="00CB1E99" w:rsidP="0059152C">
            <w:pPr>
              <w:pStyle w:val="NoNumBold1"/>
              <w:rPr>
                <w:rFonts w:ascii="Arial" w:hAnsi="Arial" w:cs="Arial"/>
                <w:sz w:val="18"/>
                <w:szCs w:val="18"/>
              </w:rPr>
            </w:pPr>
            <w:r w:rsidRPr="004F447D">
              <w:rPr>
                <w:rFonts w:ascii="Arial" w:hAnsi="Arial" w:cs="Arial"/>
                <w:sz w:val="18"/>
                <w:szCs w:val="18"/>
              </w:rPr>
              <w:t>Paragraph affected</w:t>
            </w:r>
          </w:p>
        </w:tc>
        <w:tc>
          <w:tcPr>
            <w:tcW w:w="2835" w:type="dxa"/>
          </w:tcPr>
          <w:p w14:paraId="3CEAA324" w14:textId="77777777" w:rsidR="00CB1E99" w:rsidRPr="004F447D" w:rsidRDefault="00CB1E99" w:rsidP="0059152C">
            <w:pPr>
              <w:pStyle w:val="NoNumBold1"/>
              <w:rPr>
                <w:rFonts w:ascii="Arial" w:hAnsi="Arial" w:cs="Arial"/>
                <w:sz w:val="18"/>
                <w:szCs w:val="18"/>
              </w:rPr>
            </w:pPr>
            <w:r w:rsidRPr="004F447D">
              <w:rPr>
                <w:rFonts w:ascii="Arial" w:hAnsi="Arial" w:cs="Arial"/>
                <w:sz w:val="18"/>
                <w:szCs w:val="18"/>
              </w:rPr>
              <w:t>How affected</w:t>
            </w:r>
          </w:p>
        </w:tc>
        <w:tc>
          <w:tcPr>
            <w:tcW w:w="3289" w:type="dxa"/>
          </w:tcPr>
          <w:p w14:paraId="108167C2" w14:textId="77777777" w:rsidR="00CB1E99" w:rsidRPr="004F447D" w:rsidRDefault="00CB1E99" w:rsidP="0059152C">
            <w:pPr>
              <w:pStyle w:val="NoNumBold1"/>
              <w:rPr>
                <w:rFonts w:ascii="Arial" w:hAnsi="Arial" w:cs="Arial"/>
                <w:sz w:val="18"/>
                <w:szCs w:val="18"/>
              </w:rPr>
            </w:pPr>
            <w:r w:rsidRPr="004F447D">
              <w:rPr>
                <w:rFonts w:ascii="Arial" w:hAnsi="Arial" w:cs="Arial"/>
                <w:sz w:val="18"/>
                <w:szCs w:val="18"/>
              </w:rPr>
              <w:t>By … [paragraph</w:t>
            </w:r>
            <w:r>
              <w:rPr>
                <w:rFonts w:ascii="Arial" w:hAnsi="Arial" w:cs="Arial"/>
                <w:sz w:val="18"/>
                <w:szCs w:val="18"/>
              </w:rPr>
              <w:t>/page</w:t>
            </w:r>
            <w:r w:rsidRPr="004F447D">
              <w:rPr>
                <w:rFonts w:ascii="Arial" w:hAnsi="Arial" w:cs="Arial"/>
                <w:sz w:val="18"/>
                <w:szCs w:val="18"/>
              </w:rPr>
              <w:t>]</w:t>
            </w:r>
          </w:p>
        </w:tc>
      </w:tr>
      <w:tr w:rsidR="00156D8C" w:rsidRPr="004F447D" w14:paraId="3AB48E95" w14:textId="77777777" w:rsidTr="00156D8C">
        <w:tc>
          <w:tcPr>
            <w:tcW w:w="3005" w:type="dxa"/>
          </w:tcPr>
          <w:p w14:paraId="352D3610" w14:textId="77777777" w:rsidR="00156D8C" w:rsidRPr="00ED73DA" w:rsidRDefault="00156D8C" w:rsidP="00156D8C">
            <w:pPr>
              <w:ind w:left="142" w:hanging="142"/>
              <w:rPr>
                <w:rFonts w:ascii="Arial" w:hAnsi="Arial" w:cs="Arial"/>
                <w:sz w:val="18"/>
                <w:szCs w:val="18"/>
              </w:rPr>
            </w:pPr>
            <w:r>
              <w:rPr>
                <w:rFonts w:ascii="Arial" w:hAnsi="Arial" w:cs="Arial"/>
                <w:sz w:val="18"/>
                <w:szCs w:val="18"/>
              </w:rPr>
              <w:t>Aus3.1</w:t>
            </w:r>
          </w:p>
        </w:tc>
        <w:tc>
          <w:tcPr>
            <w:tcW w:w="2835" w:type="dxa"/>
          </w:tcPr>
          <w:p w14:paraId="227FD0EA" w14:textId="77777777" w:rsidR="00156D8C" w:rsidRDefault="00156D8C" w:rsidP="00156D8C">
            <w:pPr>
              <w:rPr>
                <w:rFonts w:ascii="Arial" w:hAnsi="Arial" w:cs="Arial"/>
                <w:sz w:val="18"/>
                <w:szCs w:val="18"/>
              </w:rPr>
            </w:pPr>
            <w:r>
              <w:rPr>
                <w:rFonts w:ascii="Arial" w:hAnsi="Arial" w:cs="Arial"/>
                <w:sz w:val="18"/>
                <w:szCs w:val="18"/>
              </w:rPr>
              <w:t>added</w:t>
            </w:r>
          </w:p>
        </w:tc>
        <w:tc>
          <w:tcPr>
            <w:tcW w:w="3289" w:type="dxa"/>
          </w:tcPr>
          <w:p w14:paraId="1C7E7754" w14:textId="77777777" w:rsidR="00156D8C" w:rsidRDefault="00156D8C" w:rsidP="00156D8C">
            <w:pPr>
              <w:rPr>
                <w:rFonts w:ascii="Arial" w:hAnsi="Arial" w:cs="Arial"/>
                <w:sz w:val="18"/>
                <w:szCs w:val="18"/>
              </w:rPr>
            </w:pPr>
            <w:r>
              <w:rPr>
                <w:rFonts w:ascii="Arial" w:hAnsi="Arial" w:cs="Arial"/>
                <w:sz w:val="18"/>
                <w:szCs w:val="18"/>
              </w:rPr>
              <w:t>AASB 1059 [page 26]</w:t>
            </w:r>
          </w:p>
        </w:tc>
      </w:tr>
      <w:tr w:rsidR="00E2098D" w:rsidRPr="004F447D" w14:paraId="1045528F" w14:textId="77777777" w:rsidTr="0059152C">
        <w:tc>
          <w:tcPr>
            <w:tcW w:w="3005" w:type="dxa"/>
          </w:tcPr>
          <w:p w14:paraId="4D0DA3C8" w14:textId="05B08267" w:rsidR="00E2098D" w:rsidRDefault="00E2098D" w:rsidP="0059152C">
            <w:pPr>
              <w:ind w:left="142" w:hanging="142"/>
              <w:rPr>
                <w:rFonts w:ascii="Arial" w:hAnsi="Arial" w:cs="Arial"/>
                <w:sz w:val="18"/>
                <w:szCs w:val="18"/>
              </w:rPr>
            </w:pPr>
            <w:r w:rsidRPr="00ED73DA">
              <w:rPr>
                <w:rFonts w:ascii="Arial" w:hAnsi="Arial" w:cs="Arial"/>
                <w:sz w:val="18"/>
                <w:szCs w:val="18"/>
              </w:rPr>
              <w:t>Aus3.1</w:t>
            </w:r>
          </w:p>
        </w:tc>
        <w:tc>
          <w:tcPr>
            <w:tcW w:w="2835" w:type="dxa"/>
          </w:tcPr>
          <w:p w14:paraId="1F510826" w14:textId="033B3DAA" w:rsidR="00E2098D" w:rsidRDefault="00E2098D" w:rsidP="0059152C">
            <w:pPr>
              <w:rPr>
                <w:rFonts w:ascii="Arial" w:hAnsi="Arial" w:cs="Arial"/>
                <w:sz w:val="18"/>
                <w:szCs w:val="18"/>
              </w:rPr>
            </w:pPr>
            <w:r>
              <w:rPr>
                <w:rFonts w:ascii="Arial" w:hAnsi="Arial" w:cs="Arial"/>
                <w:sz w:val="18"/>
                <w:szCs w:val="18"/>
              </w:rPr>
              <w:t>added</w:t>
            </w:r>
          </w:p>
        </w:tc>
        <w:tc>
          <w:tcPr>
            <w:tcW w:w="3289" w:type="dxa"/>
          </w:tcPr>
          <w:p w14:paraId="02B26124" w14:textId="651E15BA" w:rsidR="00E2098D" w:rsidRDefault="00E2098D" w:rsidP="0059152C">
            <w:pPr>
              <w:rPr>
                <w:rFonts w:ascii="Arial" w:hAnsi="Arial" w:cs="Arial"/>
                <w:sz w:val="18"/>
                <w:szCs w:val="18"/>
              </w:rPr>
            </w:pPr>
            <w:r>
              <w:rPr>
                <w:rFonts w:ascii="Arial" w:hAnsi="Arial" w:cs="Arial"/>
                <w:sz w:val="18"/>
                <w:szCs w:val="18"/>
              </w:rPr>
              <w:t>AASB 2018-4 [8]</w:t>
            </w:r>
          </w:p>
        </w:tc>
      </w:tr>
      <w:tr w:rsidR="00CB1E99" w:rsidRPr="004F447D" w14:paraId="15094E40" w14:textId="77777777" w:rsidTr="0059152C">
        <w:tc>
          <w:tcPr>
            <w:tcW w:w="3005" w:type="dxa"/>
          </w:tcPr>
          <w:p w14:paraId="06E1740E" w14:textId="3688F40D" w:rsidR="00CB1E99" w:rsidRPr="004F447D" w:rsidRDefault="002848C0" w:rsidP="0059152C">
            <w:pPr>
              <w:ind w:left="142" w:hanging="142"/>
              <w:rPr>
                <w:rFonts w:ascii="Arial" w:hAnsi="Arial" w:cs="Arial"/>
                <w:sz w:val="18"/>
                <w:szCs w:val="18"/>
              </w:rPr>
            </w:pPr>
            <w:r>
              <w:rPr>
                <w:rFonts w:ascii="Arial" w:hAnsi="Arial" w:cs="Arial"/>
                <w:sz w:val="18"/>
                <w:szCs w:val="18"/>
              </w:rPr>
              <w:t>Aus25.1</w:t>
            </w:r>
          </w:p>
        </w:tc>
        <w:tc>
          <w:tcPr>
            <w:tcW w:w="2835" w:type="dxa"/>
          </w:tcPr>
          <w:p w14:paraId="3F32EAE1" w14:textId="7FF5FE08" w:rsidR="00CB1E99" w:rsidRDefault="00E0079A" w:rsidP="0059152C">
            <w:pPr>
              <w:rPr>
                <w:rFonts w:ascii="Arial" w:hAnsi="Arial" w:cs="Arial"/>
                <w:sz w:val="18"/>
                <w:szCs w:val="18"/>
              </w:rPr>
            </w:pPr>
            <w:r>
              <w:rPr>
                <w:rFonts w:ascii="Arial" w:hAnsi="Arial" w:cs="Arial"/>
                <w:sz w:val="18"/>
                <w:szCs w:val="18"/>
              </w:rPr>
              <w:t>a</w:t>
            </w:r>
            <w:r w:rsidR="002848C0">
              <w:rPr>
                <w:rFonts w:ascii="Arial" w:hAnsi="Arial" w:cs="Arial"/>
                <w:sz w:val="18"/>
                <w:szCs w:val="18"/>
              </w:rPr>
              <w:t>dded</w:t>
            </w:r>
          </w:p>
          <w:p w14:paraId="122DEADF" w14:textId="660DF6C4" w:rsidR="0024240A" w:rsidRPr="004F447D" w:rsidRDefault="0024240A" w:rsidP="0059152C">
            <w:pPr>
              <w:rPr>
                <w:rFonts w:ascii="Arial" w:hAnsi="Arial" w:cs="Arial"/>
                <w:sz w:val="18"/>
                <w:szCs w:val="18"/>
              </w:rPr>
            </w:pPr>
            <w:r>
              <w:rPr>
                <w:rFonts w:ascii="Arial" w:hAnsi="Arial" w:cs="Arial"/>
                <w:sz w:val="18"/>
                <w:szCs w:val="18"/>
              </w:rPr>
              <w:t>amended</w:t>
            </w:r>
          </w:p>
        </w:tc>
        <w:tc>
          <w:tcPr>
            <w:tcW w:w="3289" w:type="dxa"/>
          </w:tcPr>
          <w:p w14:paraId="6241C252" w14:textId="77777777" w:rsidR="00CB1E99" w:rsidRDefault="002848C0" w:rsidP="0059152C">
            <w:pPr>
              <w:rPr>
                <w:rFonts w:ascii="Arial" w:hAnsi="Arial" w:cs="Arial"/>
                <w:sz w:val="18"/>
                <w:szCs w:val="18"/>
              </w:rPr>
            </w:pPr>
            <w:r>
              <w:rPr>
                <w:rFonts w:ascii="Arial" w:hAnsi="Arial" w:cs="Arial"/>
                <w:sz w:val="18"/>
                <w:szCs w:val="18"/>
              </w:rPr>
              <w:t>AASB 1058 [page 22]</w:t>
            </w:r>
          </w:p>
          <w:p w14:paraId="06981FD1" w14:textId="43F5C111" w:rsidR="0024240A" w:rsidRPr="004F447D" w:rsidRDefault="0024240A" w:rsidP="0059152C">
            <w:pPr>
              <w:rPr>
                <w:rFonts w:ascii="Arial" w:hAnsi="Arial" w:cs="Arial"/>
                <w:sz w:val="18"/>
                <w:szCs w:val="18"/>
              </w:rPr>
            </w:pPr>
            <w:r>
              <w:rPr>
                <w:rFonts w:ascii="Arial" w:hAnsi="Arial" w:cs="Arial"/>
                <w:sz w:val="18"/>
                <w:szCs w:val="18"/>
              </w:rPr>
              <w:t>AASB 2018-8 [page 6]</w:t>
            </w:r>
          </w:p>
        </w:tc>
      </w:tr>
      <w:tr w:rsidR="005F417C" w:rsidRPr="004F447D" w14:paraId="592EE39F" w14:textId="77777777" w:rsidTr="0059152C">
        <w:tc>
          <w:tcPr>
            <w:tcW w:w="3005" w:type="dxa"/>
          </w:tcPr>
          <w:p w14:paraId="09D39BE4" w14:textId="7BEEAE67" w:rsidR="005F417C" w:rsidRDefault="005F417C" w:rsidP="0059152C">
            <w:pPr>
              <w:ind w:left="142" w:hanging="142"/>
              <w:rPr>
                <w:rFonts w:ascii="Arial" w:hAnsi="Arial" w:cs="Arial"/>
                <w:sz w:val="18"/>
                <w:szCs w:val="18"/>
              </w:rPr>
            </w:pPr>
            <w:r>
              <w:rPr>
                <w:rFonts w:ascii="Arial" w:hAnsi="Arial" w:cs="Arial"/>
                <w:sz w:val="18"/>
                <w:szCs w:val="18"/>
              </w:rPr>
              <w:t>Aus25.2</w:t>
            </w:r>
          </w:p>
        </w:tc>
        <w:tc>
          <w:tcPr>
            <w:tcW w:w="2835" w:type="dxa"/>
          </w:tcPr>
          <w:p w14:paraId="1610394C" w14:textId="059E619E" w:rsidR="005F417C" w:rsidRDefault="005F417C" w:rsidP="0059152C">
            <w:pPr>
              <w:rPr>
                <w:rFonts w:ascii="Arial" w:hAnsi="Arial" w:cs="Arial"/>
                <w:sz w:val="18"/>
                <w:szCs w:val="18"/>
              </w:rPr>
            </w:pPr>
            <w:r>
              <w:rPr>
                <w:rFonts w:ascii="Arial" w:hAnsi="Arial" w:cs="Arial"/>
                <w:sz w:val="18"/>
                <w:szCs w:val="18"/>
              </w:rPr>
              <w:t>added</w:t>
            </w:r>
          </w:p>
        </w:tc>
        <w:tc>
          <w:tcPr>
            <w:tcW w:w="3289" w:type="dxa"/>
          </w:tcPr>
          <w:p w14:paraId="0772C652" w14:textId="0BB92125" w:rsidR="005F417C" w:rsidRDefault="005F417C" w:rsidP="0059152C">
            <w:pPr>
              <w:rPr>
                <w:rFonts w:ascii="Arial" w:hAnsi="Arial" w:cs="Arial"/>
                <w:sz w:val="18"/>
                <w:szCs w:val="18"/>
              </w:rPr>
            </w:pPr>
            <w:r>
              <w:rPr>
                <w:rFonts w:ascii="Arial" w:hAnsi="Arial" w:cs="Arial"/>
                <w:sz w:val="18"/>
                <w:szCs w:val="18"/>
              </w:rPr>
              <w:t>AASB 2019-8 [5]</w:t>
            </w:r>
          </w:p>
        </w:tc>
      </w:tr>
      <w:tr w:rsidR="005F417C" w:rsidRPr="004F447D" w14:paraId="3E12D57D" w14:textId="77777777" w:rsidTr="0059152C">
        <w:tc>
          <w:tcPr>
            <w:tcW w:w="3005" w:type="dxa"/>
          </w:tcPr>
          <w:p w14:paraId="78A733DA" w14:textId="0DD8CAA7" w:rsidR="005F417C" w:rsidRDefault="005F417C" w:rsidP="0059152C">
            <w:pPr>
              <w:ind w:left="142" w:hanging="142"/>
              <w:rPr>
                <w:rFonts w:ascii="Arial" w:hAnsi="Arial" w:cs="Arial"/>
                <w:sz w:val="18"/>
                <w:szCs w:val="18"/>
              </w:rPr>
            </w:pPr>
            <w:r>
              <w:rPr>
                <w:rFonts w:ascii="Arial" w:hAnsi="Arial" w:cs="Arial"/>
                <w:sz w:val="18"/>
                <w:szCs w:val="18"/>
              </w:rPr>
              <w:t>Aus35.1</w:t>
            </w:r>
          </w:p>
        </w:tc>
        <w:tc>
          <w:tcPr>
            <w:tcW w:w="2835" w:type="dxa"/>
          </w:tcPr>
          <w:p w14:paraId="417D200A" w14:textId="637F40A2" w:rsidR="005F417C" w:rsidRDefault="005F417C" w:rsidP="0059152C">
            <w:pPr>
              <w:rPr>
                <w:rFonts w:ascii="Arial" w:hAnsi="Arial" w:cs="Arial"/>
                <w:sz w:val="18"/>
                <w:szCs w:val="18"/>
              </w:rPr>
            </w:pPr>
            <w:r>
              <w:rPr>
                <w:rFonts w:ascii="Arial" w:hAnsi="Arial" w:cs="Arial"/>
                <w:sz w:val="18"/>
                <w:szCs w:val="18"/>
              </w:rPr>
              <w:t>added</w:t>
            </w:r>
          </w:p>
        </w:tc>
        <w:tc>
          <w:tcPr>
            <w:tcW w:w="3289" w:type="dxa"/>
          </w:tcPr>
          <w:p w14:paraId="7843048F" w14:textId="262548CC" w:rsidR="005F417C" w:rsidRDefault="005F417C" w:rsidP="0059152C">
            <w:pPr>
              <w:rPr>
                <w:rFonts w:ascii="Arial" w:hAnsi="Arial" w:cs="Arial"/>
                <w:sz w:val="18"/>
                <w:szCs w:val="18"/>
              </w:rPr>
            </w:pPr>
            <w:r>
              <w:rPr>
                <w:rFonts w:ascii="Arial" w:hAnsi="Arial" w:cs="Arial"/>
                <w:sz w:val="18"/>
                <w:szCs w:val="18"/>
              </w:rPr>
              <w:t>AASB 2019-8 [5]</w:t>
            </w:r>
          </w:p>
        </w:tc>
      </w:tr>
      <w:tr w:rsidR="00AE22E6" w:rsidRPr="004F447D" w14:paraId="3CA0DB27" w14:textId="77777777" w:rsidTr="00EB30CA">
        <w:tc>
          <w:tcPr>
            <w:tcW w:w="3005" w:type="dxa"/>
          </w:tcPr>
          <w:p w14:paraId="44323569" w14:textId="77777777" w:rsidR="00AE22E6" w:rsidRDefault="00AE22E6" w:rsidP="00EB30CA">
            <w:pPr>
              <w:ind w:left="142" w:hanging="142"/>
              <w:rPr>
                <w:rFonts w:ascii="Arial" w:hAnsi="Arial" w:cs="Arial"/>
                <w:sz w:val="18"/>
                <w:szCs w:val="18"/>
              </w:rPr>
            </w:pPr>
            <w:r>
              <w:rPr>
                <w:rFonts w:ascii="Arial" w:hAnsi="Arial" w:cs="Arial"/>
                <w:sz w:val="18"/>
                <w:szCs w:val="18"/>
              </w:rPr>
              <w:t>46A-46B</w:t>
            </w:r>
          </w:p>
        </w:tc>
        <w:tc>
          <w:tcPr>
            <w:tcW w:w="2835" w:type="dxa"/>
          </w:tcPr>
          <w:p w14:paraId="5537D9C2" w14:textId="77777777" w:rsidR="00AE22E6" w:rsidRDefault="00AE22E6" w:rsidP="00EB30CA">
            <w:pPr>
              <w:rPr>
                <w:rFonts w:ascii="Arial" w:hAnsi="Arial" w:cs="Arial"/>
                <w:sz w:val="18"/>
                <w:szCs w:val="18"/>
              </w:rPr>
            </w:pPr>
            <w:r>
              <w:rPr>
                <w:rFonts w:ascii="Arial" w:hAnsi="Arial" w:cs="Arial"/>
                <w:sz w:val="18"/>
                <w:szCs w:val="18"/>
              </w:rPr>
              <w:t>added</w:t>
            </w:r>
          </w:p>
        </w:tc>
        <w:tc>
          <w:tcPr>
            <w:tcW w:w="3289" w:type="dxa"/>
          </w:tcPr>
          <w:p w14:paraId="5AA9BC12" w14:textId="77777777" w:rsidR="00AE22E6" w:rsidRDefault="00AE22E6" w:rsidP="00EB30CA">
            <w:pPr>
              <w:rPr>
                <w:rFonts w:ascii="Arial" w:hAnsi="Arial" w:cs="Arial"/>
                <w:sz w:val="18"/>
                <w:szCs w:val="18"/>
              </w:rPr>
            </w:pPr>
            <w:r>
              <w:rPr>
                <w:rFonts w:ascii="Arial" w:hAnsi="Arial" w:cs="Arial"/>
                <w:sz w:val="18"/>
                <w:szCs w:val="18"/>
              </w:rPr>
              <w:t>AASB 2020-4 [page 5]</w:t>
            </w:r>
          </w:p>
        </w:tc>
      </w:tr>
      <w:tr w:rsidR="0091547E" w:rsidRPr="004F447D" w14:paraId="252F4AFD" w14:textId="77777777" w:rsidTr="00EB30CA">
        <w:tc>
          <w:tcPr>
            <w:tcW w:w="3005" w:type="dxa"/>
          </w:tcPr>
          <w:p w14:paraId="13BF075C" w14:textId="6A1DCA3B" w:rsidR="0091547E" w:rsidRDefault="0091547E" w:rsidP="00EB30CA">
            <w:pPr>
              <w:ind w:left="142" w:hanging="142"/>
              <w:rPr>
                <w:rFonts w:ascii="Arial" w:hAnsi="Arial" w:cs="Arial"/>
                <w:sz w:val="18"/>
                <w:szCs w:val="18"/>
              </w:rPr>
            </w:pPr>
            <w:r>
              <w:rPr>
                <w:rFonts w:ascii="Arial" w:hAnsi="Arial" w:cs="Arial"/>
                <w:sz w:val="18"/>
                <w:szCs w:val="18"/>
              </w:rPr>
              <w:t>46B</w:t>
            </w:r>
          </w:p>
        </w:tc>
        <w:tc>
          <w:tcPr>
            <w:tcW w:w="2835" w:type="dxa"/>
          </w:tcPr>
          <w:p w14:paraId="228A020E" w14:textId="07AFE7BE" w:rsidR="0091547E" w:rsidRDefault="0091547E" w:rsidP="00EB30CA">
            <w:pPr>
              <w:rPr>
                <w:rFonts w:ascii="Arial" w:hAnsi="Arial" w:cs="Arial"/>
                <w:sz w:val="18"/>
                <w:szCs w:val="18"/>
              </w:rPr>
            </w:pPr>
            <w:r>
              <w:rPr>
                <w:rFonts w:ascii="Arial" w:hAnsi="Arial" w:cs="Arial"/>
                <w:sz w:val="18"/>
                <w:szCs w:val="18"/>
              </w:rPr>
              <w:t>amended</w:t>
            </w:r>
          </w:p>
        </w:tc>
        <w:tc>
          <w:tcPr>
            <w:tcW w:w="3289" w:type="dxa"/>
          </w:tcPr>
          <w:p w14:paraId="237D9E51" w14:textId="36383956" w:rsidR="0091547E" w:rsidRDefault="0091547E" w:rsidP="00EB30CA">
            <w:pPr>
              <w:rPr>
                <w:rFonts w:ascii="Arial" w:hAnsi="Arial" w:cs="Arial"/>
                <w:sz w:val="18"/>
                <w:szCs w:val="18"/>
              </w:rPr>
            </w:pPr>
            <w:r>
              <w:rPr>
                <w:rFonts w:ascii="Arial" w:hAnsi="Arial" w:cs="Arial"/>
                <w:sz w:val="18"/>
                <w:szCs w:val="18"/>
              </w:rPr>
              <w:t>AASB 2021-3 [page 6]</w:t>
            </w:r>
          </w:p>
        </w:tc>
      </w:tr>
      <w:tr w:rsidR="0024240A" w:rsidRPr="004F447D" w14:paraId="41737011" w14:textId="77777777" w:rsidTr="0059152C">
        <w:tc>
          <w:tcPr>
            <w:tcW w:w="3005" w:type="dxa"/>
          </w:tcPr>
          <w:p w14:paraId="752E7E46" w14:textId="7B2526AC" w:rsidR="0024240A" w:rsidRDefault="00E0079A" w:rsidP="0059152C">
            <w:pPr>
              <w:ind w:left="142" w:hanging="142"/>
              <w:rPr>
                <w:rFonts w:ascii="Arial" w:hAnsi="Arial" w:cs="Arial"/>
                <w:sz w:val="18"/>
                <w:szCs w:val="18"/>
              </w:rPr>
            </w:pPr>
            <w:r>
              <w:rPr>
                <w:rFonts w:ascii="Arial" w:hAnsi="Arial" w:cs="Arial"/>
                <w:sz w:val="18"/>
                <w:szCs w:val="18"/>
              </w:rPr>
              <w:lastRenderedPageBreak/>
              <w:t>Aus</w:t>
            </w:r>
            <w:r w:rsidR="0024240A">
              <w:rPr>
                <w:rFonts w:ascii="Arial" w:hAnsi="Arial" w:cs="Arial"/>
                <w:sz w:val="18"/>
                <w:szCs w:val="18"/>
              </w:rPr>
              <w:t>59.1</w:t>
            </w:r>
          </w:p>
        </w:tc>
        <w:tc>
          <w:tcPr>
            <w:tcW w:w="2835" w:type="dxa"/>
          </w:tcPr>
          <w:p w14:paraId="13AF443C" w14:textId="3B505553" w:rsidR="0024240A" w:rsidRDefault="0024240A" w:rsidP="0059152C">
            <w:pPr>
              <w:rPr>
                <w:rFonts w:ascii="Arial" w:hAnsi="Arial" w:cs="Arial"/>
                <w:sz w:val="18"/>
                <w:szCs w:val="18"/>
              </w:rPr>
            </w:pPr>
            <w:r>
              <w:rPr>
                <w:rFonts w:ascii="Arial" w:hAnsi="Arial" w:cs="Arial"/>
                <w:sz w:val="18"/>
                <w:szCs w:val="18"/>
              </w:rPr>
              <w:t>added</w:t>
            </w:r>
          </w:p>
        </w:tc>
        <w:tc>
          <w:tcPr>
            <w:tcW w:w="3289" w:type="dxa"/>
          </w:tcPr>
          <w:p w14:paraId="45D96E90" w14:textId="0F132B17" w:rsidR="0024240A" w:rsidRDefault="0024240A" w:rsidP="0059152C">
            <w:pPr>
              <w:rPr>
                <w:rFonts w:ascii="Arial" w:hAnsi="Arial" w:cs="Arial"/>
                <w:sz w:val="18"/>
                <w:szCs w:val="18"/>
              </w:rPr>
            </w:pPr>
            <w:r>
              <w:rPr>
                <w:rFonts w:ascii="Arial" w:hAnsi="Arial" w:cs="Arial"/>
                <w:sz w:val="18"/>
                <w:szCs w:val="18"/>
              </w:rPr>
              <w:t>AASB 2018-8 [page 6]</w:t>
            </w:r>
          </w:p>
        </w:tc>
      </w:tr>
      <w:tr w:rsidR="0024240A" w:rsidRPr="004F447D" w14:paraId="5F6B5D40" w14:textId="77777777" w:rsidTr="0059152C">
        <w:tc>
          <w:tcPr>
            <w:tcW w:w="3005" w:type="dxa"/>
          </w:tcPr>
          <w:p w14:paraId="07D226A1" w14:textId="39154B1D" w:rsidR="0024240A" w:rsidRDefault="00E0079A" w:rsidP="0059152C">
            <w:pPr>
              <w:ind w:left="142" w:hanging="142"/>
              <w:rPr>
                <w:rFonts w:ascii="Arial" w:hAnsi="Arial" w:cs="Arial"/>
                <w:sz w:val="18"/>
                <w:szCs w:val="18"/>
              </w:rPr>
            </w:pPr>
            <w:r>
              <w:rPr>
                <w:rFonts w:ascii="Arial" w:hAnsi="Arial" w:cs="Arial"/>
                <w:sz w:val="18"/>
                <w:szCs w:val="18"/>
              </w:rPr>
              <w:t>Aus</w:t>
            </w:r>
            <w:r w:rsidR="0024240A">
              <w:rPr>
                <w:rFonts w:ascii="Arial" w:hAnsi="Arial" w:cs="Arial"/>
                <w:sz w:val="18"/>
                <w:szCs w:val="18"/>
              </w:rPr>
              <w:t>59.2</w:t>
            </w:r>
          </w:p>
        </w:tc>
        <w:tc>
          <w:tcPr>
            <w:tcW w:w="2835" w:type="dxa"/>
          </w:tcPr>
          <w:p w14:paraId="2420AB42" w14:textId="77AB436E" w:rsidR="0024240A" w:rsidRDefault="0024240A" w:rsidP="0059152C">
            <w:pPr>
              <w:rPr>
                <w:rFonts w:ascii="Arial" w:hAnsi="Arial" w:cs="Arial"/>
                <w:sz w:val="18"/>
                <w:szCs w:val="18"/>
              </w:rPr>
            </w:pPr>
            <w:r>
              <w:rPr>
                <w:rFonts w:ascii="Arial" w:hAnsi="Arial" w:cs="Arial"/>
                <w:sz w:val="18"/>
                <w:szCs w:val="18"/>
              </w:rPr>
              <w:t>added</w:t>
            </w:r>
          </w:p>
        </w:tc>
        <w:tc>
          <w:tcPr>
            <w:tcW w:w="3289" w:type="dxa"/>
          </w:tcPr>
          <w:p w14:paraId="1456C25E" w14:textId="68D51FB8" w:rsidR="0024240A" w:rsidRDefault="0024240A" w:rsidP="0059152C">
            <w:pPr>
              <w:rPr>
                <w:rFonts w:ascii="Arial" w:hAnsi="Arial" w:cs="Arial"/>
                <w:sz w:val="18"/>
                <w:szCs w:val="18"/>
              </w:rPr>
            </w:pPr>
            <w:r>
              <w:rPr>
                <w:rFonts w:ascii="Arial" w:hAnsi="Arial" w:cs="Arial"/>
                <w:sz w:val="18"/>
                <w:szCs w:val="18"/>
              </w:rPr>
              <w:t>AASB 2018-8 [page 6]</w:t>
            </w:r>
          </w:p>
        </w:tc>
      </w:tr>
      <w:tr w:rsidR="00AE22E6" w:rsidRPr="004F447D" w14:paraId="7D3008C3" w14:textId="77777777" w:rsidTr="0059152C">
        <w:tc>
          <w:tcPr>
            <w:tcW w:w="3005" w:type="dxa"/>
          </w:tcPr>
          <w:p w14:paraId="2093348C" w14:textId="1EE94B79" w:rsidR="00AE22E6" w:rsidRDefault="00AE22E6" w:rsidP="00AE22E6">
            <w:pPr>
              <w:ind w:left="142" w:hanging="142"/>
              <w:rPr>
                <w:rFonts w:ascii="Arial" w:hAnsi="Arial" w:cs="Arial"/>
                <w:sz w:val="18"/>
                <w:szCs w:val="18"/>
              </w:rPr>
            </w:pPr>
            <w:r>
              <w:rPr>
                <w:rFonts w:ascii="Arial" w:hAnsi="Arial" w:cs="Arial"/>
                <w:sz w:val="18"/>
                <w:szCs w:val="18"/>
              </w:rPr>
              <w:t>60A</w:t>
            </w:r>
          </w:p>
        </w:tc>
        <w:tc>
          <w:tcPr>
            <w:tcW w:w="2835" w:type="dxa"/>
          </w:tcPr>
          <w:p w14:paraId="4A53A6A4" w14:textId="18FA73E2" w:rsidR="00AE22E6" w:rsidRDefault="00AE22E6" w:rsidP="00AE22E6">
            <w:pPr>
              <w:rPr>
                <w:rFonts w:ascii="Arial" w:hAnsi="Arial" w:cs="Arial"/>
                <w:sz w:val="18"/>
                <w:szCs w:val="18"/>
              </w:rPr>
            </w:pPr>
            <w:r>
              <w:rPr>
                <w:rFonts w:ascii="Arial" w:hAnsi="Arial" w:cs="Arial"/>
                <w:sz w:val="18"/>
                <w:szCs w:val="18"/>
              </w:rPr>
              <w:t>added</w:t>
            </w:r>
          </w:p>
        </w:tc>
        <w:tc>
          <w:tcPr>
            <w:tcW w:w="3289" w:type="dxa"/>
          </w:tcPr>
          <w:p w14:paraId="062CBBDF" w14:textId="4C1EAE17" w:rsidR="00AE22E6" w:rsidRDefault="00AE22E6" w:rsidP="00AE22E6">
            <w:pPr>
              <w:rPr>
                <w:rFonts w:ascii="Arial" w:hAnsi="Arial" w:cs="Arial"/>
                <w:sz w:val="18"/>
                <w:szCs w:val="18"/>
              </w:rPr>
            </w:pPr>
            <w:r>
              <w:rPr>
                <w:rFonts w:ascii="Arial" w:hAnsi="Arial" w:cs="Arial"/>
                <w:sz w:val="18"/>
                <w:szCs w:val="18"/>
              </w:rPr>
              <w:t>AASB 2020-4 [page 6]</w:t>
            </w:r>
          </w:p>
        </w:tc>
      </w:tr>
      <w:tr w:rsidR="00A449C1" w:rsidRPr="004F447D" w14:paraId="4B7646E2" w14:textId="77777777" w:rsidTr="0059152C">
        <w:tc>
          <w:tcPr>
            <w:tcW w:w="3005" w:type="dxa"/>
          </w:tcPr>
          <w:p w14:paraId="3B564786" w14:textId="6D8017DC" w:rsidR="00A449C1" w:rsidRDefault="00A449C1" w:rsidP="00AE22E6">
            <w:pPr>
              <w:ind w:left="142" w:hanging="142"/>
              <w:rPr>
                <w:rFonts w:ascii="Arial" w:hAnsi="Arial" w:cs="Arial"/>
                <w:sz w:val="18"/>
                <w:szCs w:val="18"/>
              </w:rPr>
            </w:pPr>
            <w:r>
              <w:rPr>
                <w:rFonts w:ascii="Arial" w:hAnsi="Arial" w:cs="Arial"/>
                <w:sz w:val="18"/>
                <w:szCs w:val="18"/>
              </w:rPr>
              <w:t>Aus103.1</w:t>
            </w:r>
          </w:p>
        </w:tc>
        <w:tc>
          <w:tcPr>
            <w:tcW w:w="2835" w:type="dxa"/>
          </w:tcPr>
          <w:p w14:paraId="7802B46C" w14:textId="1E40CE34" w:rsidR="00A449C1" w:rsidRDefault="00A449C1" w:rsidP="00AE22E6">
            <w:pPr>
              <w:rPr>
                <w:rFonts w:ascii="Arial" w:hAnsi="Arial" w:cs="Arial"/>
                <w:sz w:val="18"/>
                <w:szCs w:val="18"/>
              </w:rPr>
            </w:pPr>
            <w:r>
              <w:rPr>
                <w:rFonts w:ascii="Arial" w:hAnsi="Arial" w:cs="Arial"/>
                <w:sz w:val="18"/>
                <w:szCs w:val="18"/>
              </w:rPr>
              <w:t>repealed</w:t>
            </w:r>
          </w:p>
        </w:tc>
        <w:tc>
          <w:tcPr>
            <w:tcW w:w="3289" w:type="dxa"/>
          </w:tcPr>
          <w:p w14:paraId="1AD07DC9" w14:textId="443FAC36" w:rsidR="00A449C1" w:rsidRDefault="00A449C1" w:rsidP="00AE22E6">
            <w:pPr>
              <w:rPr>
                <w:rFonts w:ascii="Arial" w:hAnsi="Arial" w:cs="Arial"/>
                <w:sz w:val="18"/>
                <w:szCs w:val="18"/>
              </w:rPr>
            </w:pPr>
            <w:r w:rsidRPr="00A449C1">
              <w:rPr>
                <w:rFonts w:ascii="Arial" w:hAnsi="Arial" w:cs="Arial"/>
                <w:i/>
                <w:iCs/>
                <w:sz w:val="18"/>
                <w:szCs w:val="18"/>
              </w:rPr>
              <w:t>Legislation Act 2003</w:t>
            </w:r>
            <w:r>
              <w:rPr>
                <w:rFonts w:ascii="Arial" w:hAnsi="Arial" w:cs="Arial"/>
                <w:sz w:val="18"/>
                <w:szCs w:val="18"/>
              </w:rPr>
              <w:t>, s. 48D</w:t>
            </w:r>
          </w:p>
        </w:tc>
      </w:tr>
      <w:tr w:rsidR="00EB30CA" w:rsidRPr="004F447D" w14:paraId="1E5D5957" w14:textId="77777777" w:rsidTr="0059152C">
        <w:tc>
          <w:tcPr>
            <w:tcW w:w="3005" w:type="dxa"/>
          </w:tcPr>
          <w:p w14:paraId="5C66E078" w14:textId="227A9709" w:rsidR="00EB30CA" w:rsidRDefault="00EB30CA" w:rsidP="00AE22E6">
            <w:pPr>
              <w:ind w:left="142" w:hanging="142"/>
              <w:rPr>
                <w:rFonts w:ascii="Arial" w:hAnsi="Arial" w:cs="Arial"/>
                <w:sz w:val="18"/>
                <w:szCs w:val="18"/>
              </w:rPr>
            </w:pPr>
            <w:r>
              <w:rPr>
                <w:rFonts w:ascii="Arial" w:hAnsi="Arial" w:cs="Arial"/>
                <w:sz w:val="18"/>
                <w:szCs w:val="18"/>
              </w:rPr>
              <w:t>104-106 (and heading)</w:t>
            </w:r>
          </w:p>
        </w:tc>
        <w:tc>
          <w:tcPr>
            <w:tcW w:w="2835" w:type="dxa"/>
          </w:tcPr>
          <w:p w14:paraId="71BE35F4" w14:textId="03C5428F" w:rsidR="00EB30CA" w:rsidRDefault="00EB30CA" w:rsidP="00AE22E6">
            <w:pPr>
              <w:rPr>
                <w:rFonts w:ascii="Arial" w:hAnsi="Arial" w:cs="Arial"/>
                <w:sz w:val="18"/>
                <w:szCs w:val="18"/>
              </w:rPr>
            </w:pPr>
            <w:r>
              <w:rPr>
                <w:rFonts w:ascii="Arial" w:hAnsi="Arial" w:cs="Arial"/>
                <w:sz w:val="18"/>
                <w:szCs w:val="18"/>
              </w:rPr>
              <w:t>added</w:t>
            </w:r>
          </w:p>
        </w:tc>
        <w:tc>
          <w:tcPr>
            <w:tcW w:w="3289" w:type="dxa"/>
          </w:tcPr>
          <w:p w14:paraId="2928D418" w14:textId="6A9077B5" w:rsidR="00EB30CA" w:rsidRDefault="00EB30CA" w:rsidP="00AE22E6">
            <w:pPr>
              <w:rPr>
                <w:rFonts w:ascii="Arial" w:hAnsi="Arial" w:cs="Arial"/>
                <w:sz w:val="18"/>
                <w:szCs w:val="18"/>
              </w:rPr>
            </w:pPr>
            <w:r>
              <w:rPr>
                <w:rFonts w:ascii="Arial" w:hAnsi="Arial" w:cs="Arial"/>
                <w:sz w:val="18"/>
                <w:szCs w:val="18"/>
              </w:rPr>
              <w:t>AASB 2020-8 [page 11]</w:t>
            </w:r>
          </w:p>
        </w:tc>
      </w:tr>
      <w:tr w:rsidR="00AE22E6" w:rsidRPr="004F447D" w14:paraId="60C465F3" w14:textId="77777777" w:rsidTr="0059152C">
        <w:tc>
          <w:tcPr>
            <w:tcW w:w="3005" w:type="dxa"/>
          </w:tcPr>
          <w:p w14:paraId="681483D8" w14:textId="2AD3DAF1" w:rsidR="00AE22E6" w:rsidRDefault="00AE22E6" w:rsidP="00AE22E6">
            <w:pPr>
              <w:ind w:left="142" w:hanging="142"/>
              <w:rPr>
                <w:rFonts w:ascii="Arial" w:hAnsi="Arial" w:cs="Arial"/>
                <w:sz w:val="18"/>
                <w:szCs w:val="18"/>
              </w:rPr>
            </w:pPr>
            <w:r>
              <w:rPr>
                <w:rFonts w:ascii="Arial" w:hAnsi="Arial" w:cs="Arial"/>
                <w:sz w:val="18"/>
                <w:szCs w:val="18"/>
              </w:rPr>
              <w:t>C1A</w:t>
            </w:r>
          </w:p>
        </w:tc>
        <w:tc>
          <w:tcPr>
            <w:tcW w:w="2835" w:type="dxa"/>
          </w:tcPr>
          <w:p w14:paraId="7612F239" w14:textId="1AD54343" w:rsidR="00AE22E6" w:rsidRDefault="00AE22E6" w:rsidP="00AE22E6">
            <w:pPr>
              <w:rPr>
                <w:rFonts w:ascii="Arial" w:hAnsi="Arial" w:cs="Arial"/>
                <w:sz w:val="18"/>
                <w:szCs w:val="18"/>
              </w:rPr>
            </w:pPr>
            <w:r>
              <w:rPr>
                <w:rFonts w:ascii="Arial" w:hAnsi="Arial" w:cs="Arial"/>
                <w:sz w:val="18"/>
                <w:szCs w:val="18"/>
              </w:rPr>
              <w:t>added</w:t>
            </w:r>
          </w:p>
        </w:tc>
        <w:tc>
          <w:tcPr>
            <w:tcW w:w="3289" w:type="dxa"/>
          </w:tcPr>
          <w:p w14:paraId="4FE35F1B" w14:textId="02821066" w:rsidR="00AE22E6" w:rsidRDefault="00AE22E6" w:rsidP="00AE22E6">
            <w:pPr>
              <w:rPr>
                <w:rFonts w:ascii="Arial" w:hAnsi="Arial" w:cs="Arial"/>
                <w:sz w:val="18"/>
                <w:szCs w:val="18"/>
              </w:rPr>
            </w:pPr>
            <w:r>
              <w:rPr>
                <w:rFonts w:ascii="Arial" w:hAnsi="Arial" w:cs="Arial"/>
                <w:sz w:val="18"/>
                <w:szCs w:val="18"/>
              </w:rPr>
              <w:t>AASB 2020-4 [page 6]</w:t>
            </w:r>
          </w:p>
        </w:tc>
      </w:tr>
      <w:tr w:rsidR="00EB30CA" w:rsidRPr="004F447D" w14:paraId="72F0F2F6" w14:textId="77777777" w:rsidTr="0059152C">
        <w:tc>
          <w:tcPr>
            <w:tcW w:w="3005" w:type="dxa"/>
          </w:tcPr>
          <w:p w14:paraId="75445142" w14:textId="65CDD385" w:rsidR="00EB30CA" w:rsidRDefault="00EB30CA" w:rsidP="00EB30CA">
            <w:pPr>
              <w:ind w:left="142" w:hanging="142"/>
              <w:rPr>
                <w:rFonts w:ascii="Arial" w:hAnsi="Arial" w:cs="Arial"/>
                <w:sz w:val="18"/>
                <w:szCs w:val="18"/>
              </w:rPr>
            </w:pPr>
            <w:r>
              <w:rPr>
                <w:rFonts w:ascii="Arial" w:hAnsi="Arial" w:cs="Arial"/>
                <w:sz w:val="18"/>
                <w:szCs w:val="18"/>
              </w:rPr>
              <w:t>C1B</w:t>
            </w:r>
          </w:p>
        </w:tc>
        <w:tc>
          <w:tcPr>
            <w:tcW w:w="2835" w:type="dxa"/>
          </w:tcPr>
          <w:p w14:paraId="58EE481D" w14:textId="54403608"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4851532E" w14:textId="084B9B5D" w:rsidR="00EB30CA" w:rsidRDefault="00EB30CA" w:rsidP="00EB30CA">
            <w:pPr>
              <w:rPr>
                <w:rFonts w:ascii="Arial" w:hAnsi="Arial" w:cs="Arial"/>
                <w:sz w:val="18"/>
                <w:szCs w:val="18"/>
              </w:rPr>
            </w:pPr>
            <w:r>
              <w:rPr>
                <w:rFonts w:ascii="Arial" w:hAnsi="Arial" w:cs="Arial"/>
                <w:sz w:val="18"/>
                <w:szCs w:val="18"/>
              </w:rPr>
              <w:t>AASB 2020-8 [page 11]</w:t>
            </w:r>
          </w:p>
        </w:tc>
      </w:tr>
      <w:tr w:rsidR="0091547E" w:rsidRPr="004F447D" w14:paraId="07A08BCD" w14:textId="77777777" w:rsidTr="0059152C">
        <w:tc>
          <w:tcPr>
            <w:tcW w:w="3005" w:type="dxa"/>
          </w:tcPr>
          <w:p w14:paraId="44F07E57" w14:textId="34731D8B" w:rsidR="0091547E" w:rsidRDefault="0091547E" w:rsidP="00EB30CA">
            <w:pPr>
              <w:ind w:left="142" w:hanging="142"/>
              <w:rPr>
                <w:rFonts w:ascii="Arial" w:hAnsi="Arial" w:cs="Arial"/>
                <w:sz w:val="18"/>
                <w:szCs w:val="18"/>
              </w:rPr>
            </w:pPr>
            <w:r>
              <w:rPr>
                <w:rFonts w:ascii="Arial" w:hAnsi="Arial" w:cs="Arial"/>
                <w:sz w:val="18"/>
                <w:szCs w:val="18"/>
              </w:rPr>
              <w:t>C1C</w:t>
            </w:r>
          </w:p>
        </w:tc>
        <w:tc>
          <w:tcPr>
            <w:tcW w:w="2835" w:type="dxa"/>
          </w:tcPr>
          <w:p w14:paraId="592BBAFA" w14:textId="1B1208F5" w:rsidR="0091547E" w:rsidRDefault="0091547E" w:rsidP="00EB30CA">
            <w:pPr>
              <w:rPr>
                <w:rFonts w:ascii="Arial" w:hAnsi="Arial" w:cs="Arial"/>
                <w:sz w:val="18"/>
                <w:szCs w:val="18"/>
              </w:rPr>
            </w:pPr>
            <w:r>
              <w:rPr>
                <w:rFonts w:ascii="Arial" w:hAnsi="Arial" w:cs="Arial"/>
                <w:sz w:val="18"/>
                <w:szCs w:val="18"/>
              </w:rPr>
              <w:t>added</w:t>
            </w:r>
          </w:p>
        </w:tc>
        <w:tc>
          <w:tcPr>
            <w:tcW w:w="3289" w:type="dxa"/>
          </w:tcPr>
          <w:p w14:paraId="7DB0EDD2" w14:textId="6E6C8974" w:rsidR="0091547E" w:rsidRDefault="0091547E" w:rsidP="00EB30CA">
            <w:pPr>
              <w:rPr>
                <w:rFonts w:ascii="Arial" w:hAnsi="Arial" w:cs="Arial"/>
                <w:sz w:val="18"/>
                <w:szCs w:val="18"/>
              </w:rPr>
            </w:pPr>
            <w:r>
              <w:rPr>
                <w:rFonts w:ascii="Arial" w:hAnsi="Arial" w:cs="Arial"/>
                <w:sz w:val="18"/>
                <w:szCs w:val="18"/>
              </w:rPr>
              <w:t>AASB 2021-3 [page 6]</w:t>
            </w:r>
          </w:p>
        </w:tc>
      </w:tr>
      <w:tr w:rsidR="00EB30CA" w:rsidRPr="004F447D" w14:paraId="6A15336A" w14:textId="77777777" w:rsidTr="0059152C">
        <w:tc>
          <w:tcPr>
            <w:tcW w:w="3005" w:type="dxa"/>
          </w:tcPr>
          <w:p w14:paraId="36BA62D6" w14:textId="5C2FBEB3" w:rsidR="00EB30CA" w:rsidRDefault="00EB30CA" w:rsidP="00EB30CA">
            <w:pPr>
              <w:ind w:left="142" w:hanging="142"/>
              <w:rPr>
                <w:rFonts w:ascii="Arial" w:hAnsi="Arial" w:cs="Arial"/>
                <w:sz w:val="18"/>
                <w:szCs w:val="18"/>
              </w:rPr>
            </w:pPr>
            <w:r>
              <w:rPr>
                <w:rFonts w:ascii="Arial" w:hAnsi="Arial" w:cs="Arial"/>
                <w:sz w:val="18"/>
                <w:szCs w:val="18"/>
              </w:rPr>
              <w:t>AusC4.1</w:t>
            </w:r>
          </w:p>
        </w:tc>
        <w:tc>
          <w:tcPr>
            <w:tcW w:w="2835" w:type="dxa"/>
          </w:tcPr>
          <w:p w14:paraId="276E72B3" w14:textId="131D0816"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53331764" w14:textId="438A48EA" w:rsidR="00EB30CA" w:rsidRDefault="00EB30CA" w:rsidP="00EB30CA">
            <w:pPr>
              <w:rPr>
                <w:rFonts w:ascii="Arial" w:hAnsi="Arial" w:cs="Arial"/>
                <w:sz w:val="18"/>
                <w:szCs w:val="18"/>
              </w:rPr>
            </w:pPr>
            <w:r>
              <w:rPr>
                <w:rFonts w:ascii="Arial" w:hAnsi="Arial" w:cs="Arial"/>
                <w:sz w:val="18"/>
                <w:szCs w:val="18"/>
              </w:rPr>
              <w:t>AASB 2019-2 [5]</w:t>
            </w:r>
          </w:p>
        </w:tc>
      </w:tr>
      <w:tr w:rsidR="00EB30CA" w:rsidRPr="004F447D" w14:paraId="766B7A91" w14:textId="77777777" w:rsidTr="0059152C">
        <w:tc>
          <w:tcPr>
            <w:tcW w:w="3005" w:type="dxa"/>
          </w:tcPr>
          <w:p w14:paraId="40C0B803" w14:textId="77777777" w:rsidR="00EB30CA" w:rsidRDefault="00EB30CA" w:rsidP="00EB30CA">
            <w:pPr>
              <w:ind w:left="142" w:hanging="142"/>
              <w:rPr>
                <w:rFonts w:ascii="Arial" w:hAnsi="Arial" w:cs="Arial"/>
                <w:sz w:val="18"/>
                <w:szCs w:val="18"/>
              </w:rPr>
            </w:pPr>
            <w:r>
              <w:rPr>
                <w:rFonts w:ascii="Arial" w:hAnsi="Arial" w:cs="Arial"/>
                <w:sz w:val="18"/>
                <w:szCs w:val="18"/>
              </w:rPr>
              <w:t>AusC5.1</w:t>
            </w:r>
          </w:p>
          <w:p w14:paraId="210B9F01" w14:textId="16F6E017" w:rsidR="00EB30CA" w:rsidRDefault="00EB30CA" w:rsidP="00EB30CA">
            <w:pPr>
              <w:ind w:left="142" w:hanging="142"/>
              <w:rPr>
                <w:rFonts w:ascii="Arial" w:hAnsi="Arial" w:cs="Arial"/>
                <w:sz w:val="18"/>
                <w:szCs w:val="18"/>
              </w:rPr>
            </w:pPr>
          </w:p>
        </w:tc>
        <w:tc>
          <w:tcPr>
            <w:tcW w:w="2835" w:type="dxa"/>
          </w:tcPr>
          <w:p w14:paraId="2DD328B1" w14:textId="041264F3" w:rsidR="00EB30CA" w:rsidRDefault="00EB30CA" w:rsidP="00EB30CA">
            <w:pPr>
              <w:rPr>
                <w:rFonts w:ascii="Arial" w:hAnsi="Arial" w:cs="Arial"/>
                <w:sz w:val="18"/>
                <w:szCs w:val="18"/>
              </w:rPr>
            </w:pPr>
            <w:r>
              <w:rPr>
                <w:rFonts w:ascii="Arial" w:hAnsi="Arial" w:cs="Arial"/>
                <w:sz w:val="18"/>
                <w:szCs w:val="18"/>
              </w:rPr>
              <w:t>added</w:t>
            </w:r>
          </w:p>
          <w:p w14:paraId="55DFB437" w14:textId="45E36D52" w:rsidR="00EB30CA" w:rsidRDefault="00EB30CA" w:rsidP="00EB30CA">
            <w:pPr>
              <w:rPr>
                <w:rFonts w:ascii="Arial" w:hAnsi="Arial" w:cs="Arial"/>
                <w:sz w:val="18"/>
                <w:szCs w:val="18"/>
              </w:rPr>
            </w:pPr>
            <w:r>
              <w:rPr>
                <w:rFonts w:ascii="Arial" w:hAnsi="Arial" w:cs="Arial"/>
                <w:sz w:val="18"/>
                <w:szCs w:val="18"/>
              </w:rPr>
              <w:t>amended</w:t>
            </w:r>
          </w:p>
        </w:tc>
        <w:tc>
          <w:tcPr>
            <w:tcW w:w="3289" w:type="dxa"/>
          </w:tcPr>
          <w:p w14:paraId="44BA78AF" w14:textId="77777777" w:rsidR="00EB30CA" w:rsidRDefault="00EB30CA" w:rsidP="00EB30CA">
            <w:pPr>
              <w:rPr>
                <w:rFonts w:ascii="Arial" w:hAnsi="Arial" w:cs="Arial"/>
                <w:sz w:val="18"/>
                <w:szCs w:val="18"/>
              </w:rPr>
            </w:pPr>
            <w:r>
              <w:rPr>
                <w:rFonts w:ascii="Arial" w:hAnsi="Arial" w:cs="Arial"/>
                <w:sz w:val="18"/>
                <w:szCs w:val="18"/>
              </w:rPr>
              <w:t>AASB 1058 [page 22]</w:t>
            </w:r>
          </w:p>
          <w:p w14:paraId="02118D6F" w14:textId="3CB3038C" w:rsidR="00EB30CA" w:rsidRPr="004F447D" w:rsidRDefault="00EB30CA" w:rsidP="00EB30CA">
            <w:pPr>
              <w:rPr>
                <w:rFonts w:ascii="Arial" w:hAnsi="Arial" w:cs="Arial"/>
                <w:sz w:val="18"/>
                <w:szCs w:val="18"/>
              </w:rPr>
            </w:pPr>
            <w:r>
              <w:rPr>
                <w:rFonts w:ascii="Arial" w:hAnsi="Arial" w:cs="Arial"/>
                <w:sz w:val="18"/>
                <w:szCs w:val="18"/>
              </w:rPr>
              <w:t>AASB 2018-8 [page 7]</w:t>
            </w:r>
          </w:p>
        </w:tc>
      </w:tr>
      <w:tr w:rsidR="00EB30CA" w:rsidRPr="004F447D" w14:paraId="3BCC9FE8" w14:textId="77777777" w:rsidTr="0059152C">
        <w:tc>
          <w:tcPr>
            <w:tcW w:w="3005" w:type="dxa"/>
          </w:tcPr>
          <w:p w14:paraId="144A0311" w14:textId="4C28E0FB" w:rsidR="00EB30CA" w:rsidRDefault="00EB30CA" w:rsidP="00EB30CA">
            <w:pPr>
              <w:ind w:left="142" w:hanging="142"/>
              <w:rPr>
                <w:rFonts w:ascii="Arial" w:hAnsi="Arial" w:cs="Arial"/>
                <w:sz w:val="18"/>
                <w:szCs w:val="18"/>
              </w:rPr>
            </w:pPr>
            <w:r>
              <w:rPr>
                <w:rFonts w:ascii="Arial" w:hAnsi="Arial" w:cs="Arial"/>
                <w:sz w:val="18"/>
                <w:szCs w:val="18"/>
              </w:rPr>
              <w:t>AusC5.2</w:t>
            </w:r>
          </w:p>
        </w:tc>
        <w:tc>
          <w:tcPr>
            <w:tcW w:w="2835" w:type="dxa"/>
          </w:tcPr>
          <w:p w14:paraId="76646D6D" w14:textId="1897A3FB"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05C6EF07" w14:textId="0C7AA2DD" w:rsidR="00EB30CA" w:rsidRPr="004F447D" w:rsidRDefault="00EB30CA" w:rsidP="00EB30CA">
            <w:pPr>
              <w:rPr>
                <w:rFonts w:ascii="Arial" w:hAnsi="Arial" w:cs="Arial"/>
                <w:sz w:val="18"/>
                <w:szCs w:val="18"/>
              </w:rPr>
            </w:pPr>
            <w:r>
              <w:rPr>
                <w:rFonts w:ascii="Arial" w:hAnsi="Arial" w:cs="Arial"/>
                <w:sz w:val="18"/>
                <w:szCs w:val="18"/>
              </w:rPr>
              <w:t>AASB 1058 [page 22]</w:t>
            </w:r>
          </w:p>
        </w:tc>
      </w:tr>
      <w:tr w:rsidR="00EB30CA" w:rsidRPr="004F447D" w14:paraId="10B00C40" w14:textId="77777777" w:rsidTr="0059152C">
        <w:tc>
          <w:tcPr>
            <w:tcW w:w="3005" w:type="dxa"/>
          </w:tcPr>
          <w:p w14:paraId="40E5BCA1" w14:textId="77777777" w:rsidR="00EB30CA" w:rsidRDefault="00EB30CA" w:rsidP="00EB30CA">
            <w:pPr>
              <w:ind w:left="142" w:hanging="142"/>
              <w:rPr>
                <w:rFonts w:ascii="Arial" w:hAnsi="Arial" w:cs="Arial"/>
                <w:sz w:val="18"/>
                <w:szCs w:val="18"/>
              </w:rPr>
            </w:pPr>
            <w:r>
              <w:rPr>
                <w:rFonts w:ascii="Arial" w:hAnsi="Arial" w:cs="Arial"/>
                <w:sz w:val="18"/>
                <w:szCs w:val="18"/>
              </w:rPr>
              <w:t>AusC8.1</w:t>
            </w:r>
          </w:p>
          <w:p w14:paraId="341F623F" w14:textId="2A17137E" w:rsidR="00EB30CA" w:rsidRDefault="00EB30CA" w:rsidP="00EB30CA">
            <w:pPr>
              <w:ind w:left="142" w:hanging="142"/>
              <w:rPr>
                <w:rFonts w:ascii="Arial" w:hAnsi="Arial" w:cs="Arial"/>
                <w:sz w:val="18"/>
                <w:szCs w:val="18"/>
              </w:rPr>
            </w:pPr>
          </w:p>
        </w:tc>
        <w:tc>
          <w:tcPr>
            <w:tcW w:w="2835" w:type="dxa"/>
          </w:tcPr>
          <w:p w14:paraId="7F9980EE" w14:textId="77777777" w:rsidR="00EB30CA" w:rsidRDefault="00EB30CA" w:rsidP="00EB30CA">
            <w:pPr>
              <w:rPr>
                <w:rFonts w:ascii="Arial" w:hAnsi="Arial" w:cs="Arial"/>
                <w:sz w:val="18"/>
                <w:szCs w:val="18"/>
              </w:rPr>
            </w:pPr>
            <w:r>
              <w:rPr>
                <w:rFonts w:ascii="Arial" w:hAnsi="Arial" w:cs="Arial"/>
                <w:sz w:val="18"/>
                <w:szCs w:val="18"/>
              </w:rPr>
              <w:t>added</w:t>
            </w:r>
          </w:p>
          <w:p w14:paraId="3308D1FF" w14:textId="3B83AC7C" w:rsidR="00EB30CA" w:rsidRDefault="00EB30CA" w:rsidP="00EB30CA">
            <w:pPr>
              <w:rPr>
                <w:rFonts w:ascii="Arial" w:hAnsi="Arial" w:cs="Arial"/>
                <w:sz w:val="18"/>
                <w:szCs w:val="18"/>
              </w:rPr>
            </w:pPr>
            <w:r>
              <w:rPr>
                <w:rFonts w:ascii="Arial" w:hAnsi="Arial" w:cs="Arial"/>
                <w:sz w:val="18"/>
                <w:szCs w:val="18"/>
              </w:rPr>
              <w:t>amended</w:t>
            </w:r>
          </w:p>
        </w:tc>
        <w:tc>
          <w:tcPr>
            <w:tcW w:w="3289" w:type="dxa"/>
          </w:tcPr>
          <w:p w14:paraId="2D1F5CFC" w14:textId="77777777" w:rsidR="00EB30CA" w:rsidRDefault="00EB30CA" w:rsidP="00EB30CA">
            <w:pPr>
              <w:rPr>
                <w:rFonts w:ascii="Arial" w:hAnsi="Arial" w:cs="Arial"/>
                <w:sz w:val="18"/>
                <w:szCs w:val="18"/>
              </w:rPr>
            </w:pPr>
            <w:r>
              <w:rPr>
                <w:rFonts w:ascii="Arial" w:hAnsi="Arial" w:cs="Arial"/>
                <w:sz w:val="18"/>
                <w:szCs w:val="18"/>
              </w:rPr>
              <w:t>AASB 1058 [page 22]</w:t>
            </w:r>
          </w:p>
          <w:p w14:paraId="746CE592" w14:textId="1F7921E9" w:rsidR="00EB30CA" w:rsidRDefault="00EB30CA" w:rsidP="00EB30CA">
            <w:pPr>
              <w:rPr>
                <w:rFonts w:ascii="Arial" w:hAnsi="Arial" w:cs="Arial"/>
                <w:sz w:val="18"/>
                <w:szCs w:val="18"/>
              </w:rPr>
            </w:pPr>
            <w:r>
              <w:rPr>
                <w:rFonts w:ascii="Arial" w:hAnsi="Arial" w:cs="Arial"/>
                <w:sz w:val="18"/>
                <w:szCs w:val="18"/>
              </w:rPr>
              <w:t>AASB 2018-8 [page 7]</w:t>
            </w:r>
          </w:p>
        </w:tc>
      </w:tr>
      <w:tr w:rsidR="00EB30CA" w:rsidRPr="004F447D" w14:paraId="3F332800" w14:textId="77777777" w:rsidTr="0059152C">
        <w:tc>
          <w:tcPr>
            <w:tcW w:w="3005" w:type="dxa"/>
          </w:tcPr>
          <w:p w14:paraId="457CE99D" w14:textId="77777777" w:rsidR="00EB30CA" w:rsidRDefault="00EB30CA" w:rsidP="00EB30CA">
            <w:pPr>
              <w:ind w:left="142" w:hanging="142"/>
              <w:rPr>
                <w:rFonts w:ascii="Arial" w:hAnsi="Arial" w:cs="Arial"/>
                <w:sz w:val="18"/>
                <w:szCs w:val="18"/>
              </w:rPr>
            </w:pPr>
            <w:r>
              <w:rPr>
                <w:rFonts w:ascii="Arial" w:hAnsi="Arial" w:cs="Arial"/>
                <w:sz w:val="18"/>
                <w:szCs w:val="18"/>
              </w:rPr>
              <w:t>AusC11.1</w:t>
            </w:r>
          </w:p>
          <w:p w14:paraId="4CD2B09E" w14:textId="142E7B07" w:rsidR="00EB30CA" w:rsidRDefault="00EB30CA" w:rsidP="00EB30CA">
            <w:pPr>
              <w:ind w:left="142" w:hanging="142"/>
              <w:rPr>
                <w:rFonts w:ascii="Arial" w:hAnsi="Arial" w:cs="Arial"/>
                <w:sz w:val="18"/>
                <w:szCs w:val="18"/>
              </w:rPr>
            </w:pPr>
          </w:p>
        </w:tc>
        <w:tc>
          <w:tcPr>
            <w:tcW w:w="2835" w:type="dxa"/>
          </w:tcPr>
          <w:p w14:paraId="69028B9E" w14:textId="77777777" w:rsidR="00EB30CA" w:rsidRDefault="00EB30CA" w:rsidP="00EB30CA">
            <w:pPr>
              <w:rPr>
                <w:rFonts w:ascii="Arial" w:hAnsi="Arial" w:cs="Arial"/>
                <w:sz w:val="18"/>
                <w:szCs w:val="18"/>
              </w:rPr>
            </w:pPr>
            <w:r>
              <w:rPr>
                <w:rFonts w:ascii="Arial" w:hAnsi="Arial" w:cs="Arial"/>
                <w:sz w:val="18"/>
                <w:szCs w:val="18"/>
              </w:rPr>
              <w:t>added</w:t>
            </w:r>
          </w:p>
          <w:p w14:paraId="49CE6E2C" w14:textId="0C4BD1DE" w:rsidR="00EB30CA" w:rsidRDefault="00EB30CA" w:rsidP="00EB30CA">
            <w:pPr>
              <w:rPr>
                <w:rFonts w:ascii="Arial" w:hAnsi="Arial" w:cs="Arial"/>
                <w:sz w:val="18"/>
                <w:szCs w:val="18"/>
              </w:rPr>
            </w:pPr>
            <w:r>
              <w:rPr>
                <w:rFonts w:ascii="Arial" w:hAnsi="Arial" w:cs="Arial"/>
                <w:sz w:val="18"/>
                <w:szCs w:val="18"/>
              </w:rPr>
              <w:t>amended</w:t>
            </w:r>
          </w:p>
        </w:tc>
        <w:tc>
          <w:tcPr>
            <w:tcW w:w="3289" w:type="dxa"/>
          </w:tcPr>
          <w:p w14:paraId="4FCAB282" w14:textId="77777777" w:rsidR="00EB30CA" w:rsidRDefault="00EB30CA" w:rsidP="00EB30CA">
            <w:pPr>
              <w:rPr>
                <w:rFonts w:ascii="Arial" w:hAnsi="Arial" w:cs="Arial"/>
                <w:sz w:val="18"/>
                <w:szCs w:val="18"/>
              </w:rPr>
            </w:pPr>
            <w:r>
              <w:rPr>
                <w:rFonts w:ascii="Arial" w:hAnsi="Arial" w:cs="Arial"/>
                <w:sz w:val="18"/>
                <w:szCs w:val="18"/>
              </w:rPr>
              <w:t>AASB 1058 [page 22]</w:t>
            </w:r>
          </w:p>
          <w:p w14:paraId="0F65607C" w14:textId="3A7FF865" w:rsidR="00EB30CA" w:rsidRDefault="00EB30CA" w:rsidP="00EB30CA">
            <w:pPr>
              <w:rPr>
                <w:rFonts w:ascii="Arial" w:hAnsi="Arial" w:cs="Arial"/>
                <w:sz w:val="18"/>
                <w:szCs w:val="18"/>
              </w:rPr>
            </w:pPr>
            <w:r>
              <w:rPr>
                <w:rFonts w:ascii="Arial" w:hAnsi="Arial" w:cs="Arial"/>
                <w:sz w:val="18"/>
                <w:szCs w:val="18"/>
              </w:rPr>
              <w:t>AASB 2018-8 [page 7]</w:t>
            </w:r>
          </w:p>
        </w:tc>
      </w:tr>
      <w:tr w:rsidR="00EB30CA" w:rsidRPr="004F447D" w14:paraId="5ED3B332" w14:textId="77777777" w:rsidTr="0059152C">
        <w:tc>
          <w:tcPr>
            <w:tcW w:w="3005" w:type="dxa"/>
          </w:tcPr>
          <w:p w14:paraId="0C18F95E" w14:textId="0449EB6C" w:rsidR="00EB30CA" w:rsidRDefault="00EB30CA" w:rsidP="00EB30CA">
            <w:pPr>
              <w:ind w:left="142" w:hanging="142"/>
              <w:rPr>
                <w:rFonts w:ascii="Arial" w:hAnsi="Arial" w:cs="Arial"/>
                <w:sz w:val="18"/>
                <w:szCs w:val="18"/>
              </w:rPr>
            </w:pPr>
            <w:r>
              <w:rPr>
                <w:rFonts w:ascii="Arial" w:hAnsi="Arial" w:cs="Arial"/>
                <w:sz w:val="18"/>
                <w:szCs w:val="18"/>
              </w:rPr>
              <w:t>C20A-C20B (and heading)</w:t>
            </w:r>
          </w:p>
        </w:tc>
        <w:tc>
          <w:tcPr>
            <w:tcW w:w="2835" w:type="dxa"/>
          </w:tcPr>
          <w:p w14:paraId="352352B5" w14:textId="34D6A848"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2728AF24" w14:textId="2A0292BF" w:rsidR="00EB30CA" w:rsidRDefault="00EB30CA" w:rsidP="00EB30CA">
            <w:pPr>
              <w:rPr>
                <w:rFonts w:ascii="Arial" w:hAnsi="Arial" w:cs="Arial"/>
                <w:sz w:val="18"/>
                <w:szCs w:val="18"/>
              </w:rPr>
            </w:pPr>
            <w:r>
              <w:rPr>
                <w:rFonts w:ascii="Arial" w:hAnsi="Arial" w:cs="Arial"/>
                <w:sz w:val="18"/>
                <w:szCs w:val="18"/>
              </w:rPr>
              <w:t>AASB 2020-4 [page 6]</w:t>
            </w:r>
          </w:p>
        </w:tc>
      </w:tr>
      <w:tr w:rsidR="0091547E" w:rsidRPr="004F447D" w14:paraId="57622815" w14:textId="77777777" w:rsidTr="00714583">
        <w:tc>
          <w:tcPr>
            <w:tcW w:w="3005" w:type="dxa"/>
          </w:tcPr>
          <w:p w14:paraId="2FAD0113" w14:textId="7990B798" w:rsidR="0091547E" w:rsidRDefault="0091547E" w:rsidP="00714583">
            <w:pPr>
              <w:ind w:left="142" w:hanging="142"/>
              <w:rPr>
                <w:rFonts w:ascii="Arial" w:hAnsi="Arial" w:cs="Arial"/>
                <w:sz w:val="18"/>
                <w:szCs w:val="18"/>
              </w:rPr>
            </w:pPr>
            <w:r>
              <w:rPr>
                <w:rFonts w:ascii="Arial" w:hAnsi="Arial" w:cs="Arial"/>
                <w:sz w:val="18"/>
                <w:szCs w:val="18"/>
              </w:rPr>
              <w:t>C20BA-C20BC</w:t>
            </w:r>
          </w:p>
        </w:tc>
        <w:tc>
          <w:tcPr>
            <w:tcW w:w="2835" w:type="dxa"/>
          </w:tcPr>
          <w:p w14:paraId="1B0F0C4C" w14:textId="77777777" w:rsidR="0091547E" w:rsidRDefault="0091547E" w:rsidP="00714583">
            <w:pPr>
              <w:rPr>
                <w:rFonts w:ascii="Arial" w:hAnsi="Arial" w:cs="Arial"/>
                <w:sz w:val="18"/>
                <w:szCs w:val="18"/>
              </w:rPr>
            </w:pPr>
            <w:r>
              <w:rPr>
                <w:rFonts w:ascii="Arial" w:hAnsi="Arial" w:cs="Arial"/>
                <w:sz w:val="18"/>
                <w:szCs w:val="18"/>
              </w:rPr>
              <w:t>added</w:t>
            </w:r>
          </w:p>
        </w:tc>
        <w:tc>
          <w:tcPr>
            <w:tcW w:w="3289" w:type="dxa"/>
          </w:tcPr>
          <w:p w14:paraId="2B5783A5" w14:textId="77777777" w:rsidR="0091547E" w:rsidRDefault="0091547E" w:rsidP="00714583">
            <w:pPr>
              <w:rPr>
                <w:rFonts w:ascii="Arial" w:hAnsi="Arial" w:cs="Arial"/>
                <w:sz w:val="18"/>
                <w:szCs w:val="18"/>
              </w:rPr>
            </w:pPr>
            <w:r>
              <w:rPr>
                <w:rFonts w:ascii="Arial" w:hAnsi="Arial" w:cs="Arial"/>
                <w:sz w:val="18"/>
                <w:szCs w:val="18"/>
              </w:rPr>
              <w:t>AASB 2021-3 [page 6]</w:t>
            </w:r>
          </w:p>
        </w:tc>
      </w:tr>
      <w:tr w:rsidR="00EB30CA" w:rsidRPr="004F447D" w14:paraId="12283DD4" w14:textId="77777777" w:rsidTr="0059152C">
        <w:tc>
          <w:tcPr>
            <w:tcW w:w="3005" w:type="dxa"/>
          </w:tcPr>
          <w:p w14:paraId="5E993507" w14:textId="1A00F8E7" w:rsidR="00EB30CA" w:rsidRDefault="00EB30CA" w:rsidP="00EB30CA">
            <w:pPr>
              <w:ind w:left="142" w:hanging="142"/>
              <w:rPr>
                <w:rFonts w:ascii="Arial" w:hAnsi="Arial" w:cs="Arial"/>
                <w:sz w:val="18"/>
                <w:szCs w:val="18"/>
              </w:rPr>
            </w:pPr>
            <w:r>
              <w:rPr>
                <w:rFonts w:ascii="Arial" w:hAnsi="Arial" w:cs="Arial"/>
                <w:sz w:val="18"/>
                <w:szCs w:val="18"/>
              </w:rPr>
              <w:t>C20C-C20D (and heading)</w:t>
            </w:r>
          </w:p>
        </w:tc>
        <w:tc>
          <w:tcPr>
            <w:tcW w:w="2835" w:type="dxa"/>
          </w:tcPr>
          <w:p w14:paraId="369435C5" w14:textId="183F1A1F"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6EDF9371" w14:textId="4B182288" w:rsidR="00EB30CA" w:rsidRDefault="00EB30CA" w:rsidP="00EB30CA">
            <w:pPr>
              <w:rPr>
                <w:rFonts w:ascii="Arial" w:hAnsi="Arial" w:cs="Arial"/>
                <w:sz w:val="18"/>
                <w:szCs w:val="18"/>
              </w:rPr>
            </w:pPr>
            <w:r>
              <w:rPr>
                <w:rFonts w:ascii="Arial" w:hAnsi="Arial" w:cs="Arial"/>
                <w:sz w:val="18"/>
                <w:szCs w:val="18"/>
              </w:rPr>
              <w:t>AASB 2020-8 [page 11]</w:t>
            </w:r>
          </w:p>
        </w:tc>
      </w:tr>
      <w:tr w:rsidR="00EB30CA" w:rsidRPr="004F447D" w14:paraId="4A0CE3B6" w14:textId="77777777" w:rsidTr="0059152C">
        <w:tc>
          <w:tcPr>
            <w:tcW w:w="3005" w:type="dxa"/>
          </w:tcPr>
          <w:p w14:paraId="7A2349A5" w14:textId="34406013" w:rsidR="00EB30CA" w:rsidRDefault="00EB30CA" w:rsidP="00EB30CA">
            <w:pPr>
              <w:ind w:left="142" w:hanging="142"/>
              <w:rPr>
                <w:rFonts w:ascii="Arial" w:hAnsi="Arial" w:cs="Arial"/>
                <w:sz w:val="18"/>
                <w:szCs w:val="18"/>
              </w:rPr>
            </w:pPr>
            <w:r>
              <w:rPr>
                <w:rFonts w:ascii="Arial" w:hAnsi="Arial" w:cs="Arial"/>
                <w:sz w:val="18"/>
                <w:szCs w:val="18"/>
              </w:rPr>
              <w:t>Appendix E</w:t>
            </w:r>
          </w:p>
        </w:tc>
        <w:tc>
          <w:tcPr>
            <w:tcW w:w="2835" w:type="dxa"/>
          </w:tcPr>
          <w:p w14:paraId="36CD3C5F" w14:textId="24B29238" w:rsidR="00EB30CA" w:rsidRDefault="00EB30CA" w:rsidP="00EB30CA">
            <w:pPr>
              <w:rPr>
                <w:rFonts w:ascii="Arial" w:hAnsi="Arial" w:cs="Arial"/>
                <w:sz w:val="18"/>
                <w:szCs w:val="18"/>
              </w:rPr>
            </w:pPr>
            <w:r>
              <w:rPr>
                <w:rFonts w:ascii="Arial" w:hAnsi="Arial" w:cs="Arial"/>
                <w:sz w:val="18"/>
                <w:szCs w:val="18"/>
              </w:rPr>
              <w:t>added</w:t>
            </w:r>
          </w:p>
        </w:tc>
        <w:tc>
          <w:tcPr>
            <w:tcW w:w="3289" w:type="dxa"/>
          </w:tcPr>
          <w:p w14:paraId="7A91E50B" w14:textId="2FE1DC65" w:rsidR="00EB30CA" w:rsidRDefault="00EB30CA" w:rsidP="00EB30CA">
            <w:pPr>
              <w:rPr>
                <w:rFonts w:ascii="Arial" w:hAnsi="Arial" w:cs="Arial"/>
                <w:sz w:val="18"/>
                <w:szCs w:val="18"/>
              </w:rPr>
            </w:pPr>
            <w:r>
              <w:rPr>
                <w:rFonts w:ascii="Arial" w:hAnsi="Arial" w:cs="Arial"/>
                <w:sz w:val="18"/>
                <w:szCs w:val="18"/>
              </w:rPr>
              <w:t>AASB 2018-3 [5]</w:t>
            </w:r>
          </w:p>
        </w:tc>
      </w:tr>
    </w:tbl>
    <w:p w14:paraId="67E36725" w14:textId="77777777" w:rsidR="00CB1E99" w:rsidRDefault="00CB1E99">
      <w:pPr>
        <w:pStyle w:val="IASBNormalnpara"/>
      </w:pPr>
    </w:p>
    <w:p w14:paraId="30D45B01" w14:textId="77777777" w:rsidR="00FD4BA8" w:rsidRDefault="00FD4BA8">
      <w:pPr>
        <w:widowControl w:val="0"/>
        <w:autoSpaceDE w:val="0"/>
        <w:autoSpaceDN w:val="0"/>
        <w:adjustRightInd w:val="0"/>
        <w:rPr>
          <w:lang w:eastAsia="en-GB"/>
        </w:rPr>
        <w:sectPr w:rsidR="00FD4BA8" w:rsidSect="00887CC1">
          <w:footerReference w:type="default" r:id="rId18"/>
          <w:pgSz w:w="11907" w:h="16839"/>
          <w:pgMar w:top="1440" w:right="1440" w:bottom="1440" w:left="1440" w:header="720" w:footer="720" w:gutter="0"/>
          <w:cols w:space="708"/>
          <w:docGrid w:linePitch="360"/>
        </w:sectPr>
      </w:pPr>
    </w:p>
    <w:p w14:paraId="5DB40516" w14:textId="4F320000" w:rsidR="00E27198" w:rsidRDefault="00E27198" w:rsidP="00DF0433">
      <w:pPr>
        <w:pStyle w:val="ConvSectionTitle"/>
      </w:pPr>
      <w:r>
        <w:lastRenderedPageBreak/>
        <w:t xml:space="preserve">Deleted </w:t>
      </w:r>
      <w:r w:rsidR="003066F0">
        <w:fldChar w:fldCharType="begin"/>
      </w:r>
      <w:r w:rsidR="003066F0">
        <w:instrText xml:space="preserve"> REF \* charformat IntnlType </w:instrText>
      </w:r>
      <w:r w:rsidR="003066F0">
        <w:fldChar w:fldCharType="separate"/>
      </w:r>
      <w:r w:rsidR="00045471">
        <w:t>IFRS</w:t>
      </w:r>
      <w:r w:rsidR="003066F0">
        <w:fldChar w:fldCharType="end"/>
      </w:r>
      <w:r w:rsidR="003066F0">
        <w:fldChar w:fldCharType="begin"/>
      </w:r>
      <w:r w:rsidR="003066F0">
        <w:instrText xml:space="preserve"> REF \* charformat IntnlSep </w:instrText>
      </w:r>
      <w:r w:rsidR="003066F0">
        <w:fldChar w:fldCharType="separate"/>
      </w:r>
      <w:r w:rsidR="00045471">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text</w:t>
      </w:r>
    </w:p>
    <w:p w14:paraId="5E340105" w14:textId="6A45B75D" w:rsidR="00E27198" w:rsidRDefault="00E27198" w:rsidP="00DF0433">
      <w:pPr>
        <w:pStyle w:val="IASBNote"/>
      </w:pPr>
      <w:r>
        <w:t xml:space="preserve">Deleted </w:t>
      </w:r>
      <w:r w:rsidR="003066F0">
        <w:fldChar w:fldCharType="begin"/>
      </w:r>
      <w:r w:rsidR="003066F0">
        <w:instrText xml:space="preserve"> REF \* charformat IntnlType </w:instrText>
      </w:r>
      <w:r w:rsidR="003066F0">
        <w:fldChar w:fldCharType="separate"/>
      </w:r>
      <w:r w:rsidR="00045471">
        <w:t>IFRS</w:t>
      </w:r>
      <w:r w:rsidR="003066F0">
        <w:fldChar w:fldCharType="end"/>
      </w:r>
      <w:r w:rsidR="003066F0">
        <w:fldChar w:fldCharType="begin"/>
      </w:r>
      <w:r w:rsidR="003066F0">
        <w:instrText xml:space="preserve"> REF \* charformat IntnlSep </w:instrText>
      </w:r>
      <w:r w:rsidR="003066F0">
        <w:fldChar w:fldCharType="separate"/>
      </w:r>
      <w:r w:rsidR="00045471">
        <w:t xml:space="preserve"> </w:t>
      </w:r>
      <w:r w:rsidR="003066F0">
        <w:fldChar w:fldCharType="end"/>
      </w:r>
      <w:r>
        <w:fldChar w:fldCharType="begin" w:fldLock="1"/>
      </w:r>
      <w:r>
        <w:instrText xml:space="preserve"> REF IntnlNo \* charformat</w:instrText>
      </w:r>
      <w:r>
        <w:fldChar w:fldCharType="separate"/>
      </w:r>
      <w:r>
        <w:t>16</w:t>
      </w:r>
      <w:r>
        <w:fldChar w:fldCharType="end"/>
      </w:r>
      <w:r>
        <w:t xml:space="preserve"> text is not part of </w:t>
      </w:r>
      <w:r>
        <w:fldChar w:fldCharType="begin" w:fldLock="1"/>
      </w:r>
      <w:r>
        <w:instrText xml:space="preserve"> REF DocTypeAbb \* charformat</w:instrText>
      </w:r>
      <w:r>
        <w:fldChar w:fldCharType="separate"/>
      </w:r>
      <w:r>
        <w:t>AASB</w:t>
      </w:r>
      <w:r>
        <w:fldChar w:fldCharType="end"/>
      </w:r>
      <w:r>
        <w:t xml:space="preserve"> </w:t>
      </w:r>
      <w:r>
        <w:fldChar w:fldCharType="begin" w:fldLock="1"/>
      </w:r>
      <w:r>
        <w:instrText xml:space="preserve"> REF DocNo \* charformat</w:instrText>
      </w:r>
      <w:r>
        <w:fldChar w:fldCharType="separate"/>
      </w:r>
      <w:r>
        <w:t>16</w:t>
      </w:r>
      <w:r>
        <w:fldChar w:fldCharType="end"/>
      </w:r>
      <w:r>
        <w:t>.</w:t>
      </w:r>
    </w:p>
    <w:p w14:paraId="0C180977" w14:textId="77777777" w:rsidR="009537A1" w:rsidRDefault="009537A1" w:rsidP="009537A1">
      <w:pPr>
        <w:pStyle w:val="IASBNormalnpara"/>
      </w:pPr>
      <w:r>
        <w:t>C21</w:t>
      </w:r>
      <w:r>
        <w:tab/>
        <w:t>This Standard supersedes the following Standards and Interpretations:</w:t>
      </w:r>
    </w:p>
    <w:p w14:paraId="112FDC3F" w14:textId="77777777" w:rsidR="009537A1" w:rsidRDefault="009537A1" w:rsidP="009537A1">
      <w:pPr>
        <w:pStyle w:val="IASBNormalnparaL1"/>
      </w:pPr>
      <w:r>
        <w:t>(a)</w:t>
      </w:r>
      <w:r>
        <w:tab/>
      </w:r>
      <w:r w:rsidR="00093F0F">
        <w:t>IAS 17</w:t>
      </w:r>
      <w:r>
        <w:t xml:space="preserve"> </w:t>
      </w:r>
      <w:r>
        <w:rPr>
          <w:i/>
        </w:rPr>
        <w:t>Leases</w:t>
      </w:r>
      <w:r>
        <w:t>;</w:t>
      </w:r>
    </w:p>
    <w:p w14:paraId="74211155" w14:textId="77777777" w:rsidR="009537A1" w:rsidRDefault="009537A1" w:rsidP="009537A1">
      <w:pPr>
        <w:pStyle w:val="IASBNormalnparaL1"/>
      </w:pPr>
      <w:r>
        <w:t>(b)</w:t>
      </w:r>
      <w:r>
        <w:tab/>
      </w:r>
      <w:r w:rsidR="00093F0F">
        <w:t>IFRIC</w:t>
      </w:r>
      <w:r>
        <w:t xml:space="preserve"> 4 </w:t>
      </w:r>
      <w:r>
        <w:rPr>
          <w:i/>
        </w:rPr>
        <w:t>Determining whether an Arrangement contains a Lease</w:t>
      </w:r>
      <w:r>
        <w:t>;</w:t>
      </w:r>
    </w:p>
    <w:p w14:paraId="33A2EFC7" w14:textId="77777777" w:rsidR="009537A1" w:rsidRDefault="009537A1" w:rsidP="009537A1">
      <w:pPr>
        <w:pStyle w:val="IASBNormalnparaL1"/>
      </w:pPr>
      <w:r>
        <w:t>(c)</w:t>
      </w:r>
      <w:r>
        <w:tab/>
      </w:r>
      <w:r w:rsidR="00093F0F">
        <w:t>SIC-</w:t>
      </w:r>
      <w:r>
        <w:t>15</w:t>
      </w:r>
      <w:r w:rsidR="00093F0F">
        <w:t xml:space="preserve"> </w:t>
      </w:r>
      <w:r>
        <w:rPr>
          <w:i/>
        </w:rPr>
        <w:t>Operating Leases—Incentives</w:t>
      </w:r>
      <w:r>
        <w:t>; and</w:t>
      </w:r>
    </w:p>
    <w:p w14:paraId="593E4CBB" w14:textId="1D29C0FC" w:rsidR="00A27219" w:rsidRPr="0077643F" w:rsidRDefault="009537A1" w:rsidP="009537A1">
      <w:pPr>
        <w:pStyle w:val="IASBNormalnparaL1"/>
      </w:pPr>
      <w:r>
        <w:t>(d)</w:t>
      </w:r>
      <w:r>
        <w:tab/>
      </w:r>
      <w:r w:rsidR="00093F0F">
        <w:t>SIC-</w:t>
      </w:r>
      <w:r>
        <w:t>27</w:t>
      </w:r>
      <w:r w:rsidR="00093F0F">
        <w:t xml:space="preserve"> </w:t>
      </w:r>
      <w:r>
        <w:rPr>
          <w:i/>
        </w:rPr>
        <w:t>Evaluating the Substance of Transactions Involving the Legal Form of a Lease</w:t>
      </w:r>
      <w:r w:rsidR="0077643F">
        <w:t>.</w:t>
      </w:r>
    </w:p>
    <w:p w14:paraId="2A08BF45" w14:textId="65DD403D" w:rsidR="00A27219" w:rsidRDefault="00A27219" w:rsidP="009537A1">
      <w:pPr>
        <w:pStyle w:val="IASBNormalnparaL1"/>
      </w:pPr>
    </w:p>
    <w:p w14:paraId="73F642F1" w14:textId="77777777" w:rsidR="0077643F" w:rsidRDefault="0077643F" w:rsidP="009537A1">
      <w:pPr>
        <w:pStyle w:val="IASBNormalnparaL1"/>
        <w:sectPr w:rsidR="0077643F" w:rsidSect="00E27198">
          <w:headerReference w:type="default" r:id="rId19"/>
          <w:footerReference w:type="default" r:id="rId20"/>
          <w:headerReference w:type="first" r:id="rId21"/>
          <w:footerReference w:type="first" r:id="rId22"/>
          <w:pgSz w:w="11907" w:h="16839"/>
          <w:pgMar w:top="1440" w:right="1440" w:bottom="1440" w:left="1440" w:header="709" w:footer="709" w:gutter="0"/>
          <w:cols w:space="708"/>
          <w:docGrid w:linePitch="360"/>
        </w:sectPr>
      </w:pPr>
    </w:p>
    <w:p w14:paraId="6D584CC0" w14:textId="698E8DAE" w:rsidR="00564F44" w:rsidRPr="00A27219" w:rsidRDefault="00564F44" w:rsidP="00564F44">
      <w:pPr>
        <w:pStyle w:val="ConvSectionTitle"/>
      </w:pPr>
      <w:r w:rsidRPr="00A27219">
        <w:lastRenderedPageBreak/>
        <w:t>Basis for Conclusions on AASB 201</w:t>
      </w:r>
      <w:r>
        <w:t>8</w:t>
      </w:r>
      <w:r w:rsidRPr="00A27219">
        <w:t>-</w:t>
      </w:r>
      <w:r>
        <w:t>8</w:t>
      </w:r>
    </w:p>
    <w:p w14:paraId="6F855297" w14:textId="162D4783" w:rsidR="00564F44" w:rsidRDefault="00564F44" w:rsidP="00564F44">
      <w:pPr>
        <w:tabs>
          <w:tab w:val="left" w:pos="4253"/>
        </w:tabs>
        <w:spacing w:before="100" w:after="100"/>
        <w:jc w:val="both"/>
        <w:rPr>
          <w:szCs w:val="20"/>
        </w:rPr>
      </w:pPr>
      <w:r w:rsidRPr="00A27219">
        <w:rPr>
          <w:i/>
          <w:szCs w:val="20"/>
        </w:rPr>
        <w:t>This Basis for Conclusions accompanies, but is not part of, AASB 1</w:t>
      </w:r>
      <w:r>
        <w:rPr>
          <w:i/>
          <w:szCs w:val="20"/>
        </w:rPr>
        <w:t>6</w:t>
      </w:r>
      <w:r w:rsidRPr="00A27219">
        <w:rPr>
          <w:i/>
          <w:szCs w:val="20"/>
        </w:rPr>
        <w:t xml:space="preserve">.  The Basis for Conclusions was originally published with </w:t>
      </w:r>
      <w:r w:rsidRPr="00564F44">
        <w:rPr>
          <w:i/>
          <w:iCs/>
        </w:rPr>
        <w:t>AASB </w:t>
      </w:r>
      <w:r w:rsidR="00A86B02">
        <w:t>2018-8 Amendments to Australian Accounting Standards – Right-of-Use Assets of Not-for-Profit Entities</w:t>
      </w:r>
      <w:r w:rsidRPr="00A27219">
        <w:rPr>
          <w:szCs w:val="20"/>
        </w:rPr>
        <w:t>.</w:t>
      </w:r>
    </w:p>
    <w:p w14:paraId="7B545859" w14:textId="77777777" w:rsidR="00564F44" w:rsidRPr="00766E15" w:rsidRDefault="00564F44" w:rsidP="00564F44">
      <w:pPr>
        <w:pStyle w:val="IASBSectionTitle1NonInd"/>
        <w:jc w:val="both"/>
      </w:pPr>
      <w:r w:rsidRPr="00766E15">
        <w:t>Introduction</w:t>
      </w:r>
    </w:p>
    <w:p w14:paraId="6DCE46F7" w14:textId="3D0F7FEE" w:rsidR="00564F44" w:rsidRPr="00766E15" w:rsidRDefault="00564F44" w:rsidP="00564F44">
      <w:pPr>
        <w:pStyle w:val="NumBC1"/>
        <w:numPr>
          <w:ilvl w:val="0"/>
          <w:numId w:val="28"/>
        </w:numPr>
        <w:spacing w:after="100"/>
        <w:jc w:val="both"/>
      </w:pPr>
      <w:r w:rsidRPr="00766E15">
        <w:t xml:space="preserve">This Basis for Conclusions summarises the Australian Accounting Standards Board’s considerations in reaching the conclusions </w:t>
      </w:r>
      <w:r>
        <w:t>i</w:t>
      </w:r>
      <w:r w:rsidRPr="00766E15">
        <w:t xml:space="preserve">n this </w:t>
      </w:r>
      <w:r>
        <w:t>Standard</w:t>
      </w:r>
      <w:r w:rsidRPr="00766E15">
        <w:t xml:space="preserve">.  It sets out the reasons why the Board developed the </w:t>
      </w:r>
      <w:r>
        <w:t>Standard</w:t>
      </w:r>
      <w:r w:rsidRPr="00766E15">
        <w:t xml:space="preserve">, the approach taken to developing the </w:t>
      </w:r>
      <w:r>
        <w:t>Standard</w:t>
      </w:r>
      <w:r w:rsidRPr="00766E15">
        <w:t xml:space="preserve"> and the key decisions made.  In making decisions, individual Board members gave greater weight to some factors</w:t>
      </w:r>
      <w:r w:rsidR="009C79E2">
        <w:t xml:space="preserve"> than to others.</w:t>
      </w:r>
    </w:p>
    <w:p w14:paraId="1D855CA8" w14:textId="77777777" w:rsidR="00564F44" w:rsidRPr="00766E15" w:rsidRDefault="00564F44" w:rsidP="00564F44">
      <w:pPr>
        <w:pStyle w:val="IASBSectionTitle1NonInd"/>
        <w:jc w:val="both"/>
        <w:rPr>
          <w:iCs/>
        </w:rPr>
      </w:pPr>
      <w:r w:rsidRPr="00766E15">
        <w:t xml:space="preserve">Reasons for </w:t>
      </w:r>
      <w:r>
        <w:t>issuing this Standard</w:t>
      </w:r>
    </w:p>
    <w:p w14:paraId="2040544D" w14:textId="2E7627A0" w:rsidR="00564F44" w:rsidRPr="00814610" w:rsidRDefault="00564F44" w:rsidP="00564F44">
      <w:pPr>
        <w:pStyle w:val="NoNumPlain1"/>
        <w:numPr>
          <w:ilvl w:val="0"/>
          <w:numId w:val="28"/>
        </w:numPr>
        <w:spacing w:before="100" w:after="100" w:line="240" w:lineRule="auto"/>
        <w:jc w:val="both"/>
      </w:pPr>
      <w:r w:rsidRPr="00814610">
        <w:t xml:space="preserve">AASB 1058 </w:t>
      </w:r>
      <w:r w:rsidRPr="00814610">
        <w:rPr>
          <w:i/>
        </w:rPr>
        <w:t>Income of Not-for-Profit Entities</w:t>
      </w:r>
      <w:r w:rsidRPr="00814610">
        <w:t xml:space="preserve"> and AASB 16 </w:t>
      </w:r>
      <w:r w:rsidRPr="00814610">
        <w:rPr>
          <w:i/>
        </w:rPr>
        <w:t>Leases</w:t>
      </w:r>
      <w:r w:rsidRPr="00814610">
        <w:t xml:space="preserve"> are effective for annual reporting periods beginning on or after 1 January 2019. These Standards require not-for-profit entities to measure right-of-use assets at initial recognition at fair value </w:t>
      </w:r>
      <w:r>
        <w:t>for</w:t>
      </w:r>
      <w:r w:rsidRPr="00814610">
        <w:t xml:space="preserve"> leases that have significantly below-market terms and conditions principally to enable the en</w:t>
      </w:r>
      <w:r w:rsidR="009C79E2">
        <w:t>tity to further its objectives.</w:t>
      </w:r>
    </w:p>
    <w:p w14:paraId="5EEEDB72" w14:textId="77777777" w:rsidR="00564F44" w:rsidRPr="00796082" w:rsidRDefault="00564F44" w:rsidP="00564F44">
      <w:pPr>
        <w:pStyle w:val="NoNumPlain1"/>
        <w:numPr>
          <w:ilvl w:val="0"/>
          <w:numId w:val="28"/>
        </w:numPr>
        <w:spacing w:before="100" w:after="100" w:line="240" w:lineRule="auto"/>
        <w:jc w:val="both"/>
      </w:pPr>
      <w:r w:rsidRPr="00796082">
        <w:t xml:space="preserve">For ease of reference in this </w:t>
      </w:r>
      <w:r>
        <w:t>Basis for Conclusions</w:t>
      </w:r>
      <w:r w:rsidRPr="00796082">
        <w:t>, leases that have significantly below-market terms and conditions principally to enable the entity to further its objectives are referred to as ‘</w:t>
      </w:r>
      <w:r>
        <w:t>concessionary</w:t>
      </w:r>
      <w:r w:rsidRPr="00796082">
        <w:t xml:space="preserve"> leases’.</w:t>
      </w:r>
    </w:p>
    <w:p w14:paraId="0C659D94" w14:textId="50CB3754" w:rsidR="00564F44" w:rsidRPr="00A66BEE" w:rsidRDefault="00564F44" w:rsidP="00564F44">
      <w:pPr>
        <w:pStyle w:val="NoNumPlain1"/>
        <w:numPr>
          <w:ilvl w:val="0"/>
          <w:numId w:val="28"/>
        </w:numPr>
        <w:spacing w:before="100" w:after="100" w:line="240" w:lineRule="auto"/>
        <w:jc w:val="both"/>
        <w:rPr>
          <w:szCs w:val="19"/>
        </w:rPr>
      </w:pPr>
      <w:bookmarkStart w:id="13" w:name="_Ref523830232"/>
      <w:r>
        <w:t>The Board</w:t>
      </w:r>
      <w:r w:rsidRPr="006C4C6D">
        <w:t xml:space="preserve"> considered comments from stakeholders in the not-for-profit sector preparing f</w:t>
      </w:r>
      <w:r>
        <w:t>or the implementation of AASB 16 and AASB 1058</w:t>
      </w:r>
      <w:r w:rsidRPr="006C4C6D">
        <w:t xml:space="preserve">, some of whom expressed difficulties in </w:t>
      </w:r>
      <w:r>
        <w:t xml:space="preserve">applying the principles in AASB 13 </w:t>
      </w:r>
      <w:r w:rsidRPr="00F5619D">
        <w:rPr>
          <w:i/>
        </w:rPr>
        <w:t>Fair Value Measurement</w:t>
      </w:r>
      <w:r>
        <w:t xml:space="preserve"> in </w:t>
      </w:r>
      <w:r w:rsidRPr="006C4C6D">
        <w:t>determining the fair value of right-of-use assets</w:t>
      </w:r>
      <w:r>
        <w:t xml:space="preserve"> arising under concessionary leases. The difficulties noted included how often-significant restrictions on the right of use of the underlying assets and the specialised nature of the underlying assets should be incorporated in the valuation of right</w:t>
      </w:r>
      <w:r>
        <w:noBreakHyphen/>
        <w:t>of</w:t>
      </w:r>
      <w:r>
        <w:noBreakHyphen/>
        <w:t xml:space="preserve">use assets </w:t>
      </w:r>
      <w:r w:rsidRPr="006C4C6D">
        <w:t xml:space="preserve">arising from </w:t>
      </w:r>
      <w:r>
        <w:t>concessionary lease</w:t>
      </w:r>
      <w:r w:rsidRPr="006C4C6D">
        <w:t>s</w:t>
      </w:r>
      <w:r w:rsidR="009C79E2">
        <w:t>.</w:t>
      </w:r>
    </w:p>
    <w:p w14:paraId="315ADF3A" w14:textId="77777777" w:rsidR="00564F44" w:rsidRPr="00962259" w:rsidRDefault="00564F44" w:rsidP="00564F44">
      <w:pPr>
        <w:pStyle w:val="NoNumPlain1"/>
        <w:numPr>
          <w:ilvl w:val="0"/>
          <w:numId w:val="28"/>
        </w:numPr>
        <w:spacing w:before="100" w:after="100" w:line="240" w:lineRule="auto"/>
        <w:jc w:val="both"/>
        <w:rPr>
          <w:szCs w:val="19"/>
        </w:rPr>
      </w:pPr>
      <w:r>
        <w:t>Whilst other assets required by other Standards to be fair valued might also be subject to restrictions on use</w:t>
      </w:r>
      <w:r w:rsidRPr="00A948A2">
        <w:t xml:space="preserve"> </w:t>
      </w:r>
      <w:r>
        <w:t xml:space="preserve">or specialised in nature, the Board noted that the issues related to right-of-use assets for lessees might be different </w:t>
      </w:r>
      <w:r w:rsidRPr="00962259">
        <w:rPr>
          <w:szCs w:val="19"/>
        </w:rPr>
        <w:t xml:space="preserve">to </w:t>
      </w:r>
      <w:r>
        <w:rPr>
          <w:szCs w:val="19"/>
        </w:rPr>
        <w:t xml:space="preserve">the issues for </w:t>
      </w:r>
      <w:r w:rsidRPr="00962259">
        <w:rPr>
          <w:szCs w:val="19"/>
        </w:rPr>
        <w:t>owner</w:t>
      </w:r>
      <w:r>
        <w:rPr>
          <w:szCs w:val="19"/>
        </w:rPr>
        <w:t>s</w:t>
      </w:r>
      <w:r w:rsidRPr="00962259">
        <w:rPr>
          <w:szCs w:val="19"/>
        </w:rPr>
        <w:t xml:space="preserve"> of the assets</w:t>
      </w:r>
      <w:r>
        <w:rPr>
          <w:szCs w:val="19"/>
        </w:rPr>
        <w:t>, making it difficult to determine the fair value of right-of</w:t>
      </w:r>
      <w:r>
        <w:rPr>
          <w:szCs w:val="19"/>
        </w:rPr>
        <w:noBreakHyphen/>
        <w:t>use assets simply by reference to the fair value of the underlying assets</w:t>
      </w:r>
      <w:r w:rsidRPr="00962259">
        <w:rPr>
          <w:szCs w:val="19"/>
        </w:rPr>
        <w:t xml:space="preserve">. </w:t>
      </w:r>
      <w:r>
        <w:rPr>
          <w:szCs w:val="19"/>
        </w:rPr>
        <w:t xml:space="preserve">Since the principles in </w:t>
      </w:r>
      <w:r w:rsidRPr="00962259">
        <w:rPr>
          <w:szCs w:val="19"/>
        </w:rPr>
        <w:t xml:space="preserve">AASB 13 are based on market participants buying and selling assets, further guidance </w:t>
      </w:r>
      <w:r>
        <w:rPr>
          <w:szCs w:val="19"/>
        </w:rPr>
        <w:t>appears to be needed</w:t>
      </w:r>
      <w:r w:rsidRPr="00962259">
        <w:rPr>
          <w:szCs w:val="19"/>
        </w:rPr>
        <w:t xml:space="preserve"> to assist not</w:t>
      </w:r>
      <w:r w:rsidRPr="00962259">
        <w:rPr>
          <w:szCs w:val="19"/>
        </w:rPr>
        <w:noBreakHyphen/>
        <w:t>for</w:t>
      </w:r>
      <w:r w:rsidRPr="00962259">
        <w:rPr>
          <w:szCs w:val="19"/>
        </w:rPr>
        <w:noBreakHyphen/>
        <w:t xml:space="preserve">profit entities in applying the principles </w:t>
      </w:r>
      <w:r>
        <w:rPr>
          <w:szCs w:val="19"/>
        </w:rPr>
        <w:t xml:space="preserve">to right-of-use assets </w:t>
      </w:r>
      <w:r w:rsidRPr="00962259">
        <w:rPr>
          <w:szCs w:val="19"/>
        </w:rPr>
        <w:t xml:space="preserve">in </w:t>
      </w:r>
      <w:r>
        <w:rPr>
          <w:szCs w:val="19"/>
        </w:rPr>
        <w:t>concessionary lease</w:t>
      </w:r>
      <w:r w:rsidRPr="00962259">
        <w:rPr>
          <w:szCs w:val="19"/>
        </w:rPr>
        <w:t xml:space="preserve"> arrangements.</w:t>
      </w:r>
    </w:p>
    <w:p w14:paraId="06329136" w14:textId="77777777" w:rsidR="00564F44" w:rsidRPr="00962259" w:rsidRDefault="00564F44" w:rsidP="00564F44">
      <w:pPr>
        <w:pStyle w:val="NoNumPlain1"/>
        <w:numPr>
          <w:ilvl w:val="0"/>
          <w:numId w:val="28"/>
        </w:numPr>
        <w:spacing w:before="100" w:after="100" w:line="240" w:lineRule="auto"/>
        <w:jc w:val="both"/>
        <w:rPr>
          <w:szCs w:val="19"/>
        </w:rPr>
      </w:pPr>
      <w:r>
        <w:rPr>
          <w:szCs w:val="19"/>
        </w:rPr>
        <w:t>The Board considered</w:t>
      </w:r>
      <w:r w:rsidRPr="00962259">
        <w:rPr>
          <w:szCs w:val="19"/>
        </w:rPr>
        <w:t xml:space="preserve"> the prevalence and magnitude of </w:t>
      </w:r>
      <w:r>
        <w:rPr>
          <w:szCs w:val="19"/>
        </w:rPr>
        <w:t>concessionary lease</w:t>
      </w:r>
      <w:r w:rsidRPr="00962259">
        <w:rPr>
          <w:szCs w:val="19"/>
        </w:rPr>
        <w:t>s in the not</w:t>
      </w:r>
      <w:r w:rsidRPr="00962259">
        <w:rPr>
          <w:szCs w:val="19"/>
        </w:rPr>
        <w:noBreakHyphen/>
        <w:t>for</w:t>
      </w:r>
      <w:r w:rsidRPr="00962259">
        <w:rPr>
          <w:szCs w:val="19"/>
        </w:rPr>
        <w:noBreakHyphen/>
        <w:t xml:space="preserve">profit sector, </w:t>
      </w:r>
      <w:r>
        <w:rPr>
          <w:szCs w:val="19"/>
        </w:rPr>
        <w:t>and the significance of restrictions on rights of use of the underlying assets in many cases. The Board</w:t>
      </w:r>
      <w:r w:rsidRPr="00962259">
        <w:rPr>
          <w:szCs w:val="19"/>
        </w:rPr>
        <w:t xml:space="preserve"> </w:t>
      </w:r>
      <w:r>
        <w:rPr>
          <w:szCs w:val="19"/>
        </w:rPr>
        <w:t xml:space="preserve">also noted that </w:t>
      </w:r>
      <w:r w:rsidRPr="00962259">
        <w:rPr>
          <w:szCs w:val="19"/>
        </w:rPr>
        <w:t xml:space="preserve">a temporary option for not-for-profit lessees to not </w:t>
      </w:r>
      <w:r w:rsidRPr="00164788">
        <w:rPr>
          <w:szCs w:val="19"/>
        </w:rPr>
        <w:t xml:space="preserve">measure </w:t>
      </w:r>
      <w:r>
        <w:rPr>
          <w:szCs w:val="19"/>
        </w:rPr>
        <w:t>a class (or classes) of right</w:t>
      </w:r>
      <w:r>
        <w:rPr>
          <w:szCs w:val="19"/>
        </w:rPr>
        <w:noBreakHyphen/>
        <w:t>of</w:t>
      </w:r>
      <w:r>
        <w:rPr>
          <w:szCs w:val="19"/>
        </w:rPr>
        <w:noBreakHyphen/>
      </w:r>
      <w:r w:rsidRPr="00164788">
        <w:rPr>
          <w:szCs w:val="19"/>
        </w:rPr>
        <w:t>use asset</w:t>
      </w:r>
      <w:r>
        <w:rPr>
          <w:szCs w:val="19"/>
        </w:rPr>
        <w:t>s</w:t>
      </w:r>
      <w:r w:rsidRPr="00164788">
        <w:rPr>
          <w:szCs w:val="19"/>
        </w:rPr>
        <w:t xml:space="preserve"> </w:t>
      </w:r>
      <w:r>
        <w:rPr>
          <w:szCs w:val="19"/>
        </w:rPr>
        <w:t>at initial recognition at fair value for concessionary leases</w:t>
      </w:r>
      <w:r w:rsidRPr="00962259">
        <w:rPr>
          <w:szCs w:val="19"/>
        </w:rPr>
        <w:t xml:space="preserve"> </w:t>
      </w:r>
      <w:r>
        <w:rPr>
          <w:szCs w:val="19"/>
        </w:rPr>
        <w:t xml:space="preserve">would </w:t>
      </w:r>
      <w:r w:rsidRPr="00962259">
        <w:rPr>
          <w:szCs w:val="19"/>
        </w:rPr>
        <w:t xml:space="preserve">avoid undue cost and effort </w:t>
      </w:r>
      <w:r>
        <w:rPr>
          <w:szCs w:val="19"/>
        </w:rPr>
        <w:t xml:space="preserve">being </w:t>
      </w:r>
      <w:r w:rsidRPr="00962259">
        <w:rPr>
          <w:szCs w:val="19"/>
        </w:rPr>
        <w:t xml:space="preserve">incurred by preparers </w:t>
      </w:r>
      <w:r>
        <w:rPr>
          <w:szCs w:val="19"/>
        </w:rPr>
        <w:t xml:space="preserve">in </w:t>
      </w:r>
      <w:r w:rsidRPr="00962259">
        <w:rPr>
          <w:szCs w:val="19"/>
        </w:rPr>
        <w:t>apply</w:t>
      </w:r>
      <w:r>
        <w:rPr>
          <w:szCs w:val="19"/>
        </w:rPr>
        <w:t>ing</w:t>
      </w:r>
      <w:r w:rsidRPr="00962259">
        <w:rPr>
          <w:szCs w:val="19"/>
        </w:rPr>
        <w:t xml:space="preserve"> AASB 13</w:t>
      </w:r>
      <w:r>
        <w:rPr>
          <w:szCs w:val="19"/>
        </w:rPr>
        <w:t xml:space="preserve"> in the absence of additional guidance. The Board assessed these factors with reference </w:t>
      </w:r>
      <w:r w:rsidRPr="00962259">
        <w:rPr>
          <w:szCs w:val="19"/>
        </w:rPr>
        <w:t xml:space="preserve">to </w:t>
      </w:r>
      <w:r w:rsidRPr="00B625DB">
        <w:rPr>
          <w:i/>
          <w:szCs w:val="19"/>
        </w:rPr>
        <w:t xml:space="preserve">The AASB’s Not-for-Profit </w:t>
      </w:r>
      <w:r>
        <w:rPr>
          <w:i/>
          <w:szCs w:val="19"/>
        </w:rPr>
        <w:t xml:space="preserve">Entity </w:t>
      </w:r>
      <w:r w:rsidRPr="00B625DB">
        <w:rPr>
          <w:i/>
          <w:szCs w:val="19"/>
        </w:rPr>
        <w:t>Standard-Setting Framework</w:t>
      </w:r>
      <w:r w:rsidRPr="00962259">
        <w:rPr>
          <w:szCs w:val="19"/>
        </w:rPr>
        <w:t xml:space="preserve"> </w:t>
      </w:r>
      <w:r>
        <w:rPr>
          <w:szCs w:val="19"/>
        </w:rPr>
        <w:t xml:space="preserve">and decided to </w:t>
      </w:r>
      <w:r w:rsidRPr="00962259">
        <w:rPr>
          <w:szCs w:val="19"/>
        </w:rPr>
        <w:t xml:space="preserve">propose </w:t>
      </w:r>
      <w:r>
        <w:rPr>
          <w:szCs w:val="19"/>
        </w:rPr>
        <w:t>the</w:t>
      </w:r>
      <w:r w:rsidRPr="00962259">
        <w:rPr>
          <w:szCs w:val="19"/>
        </w:rPr>
        <w:t xml:space="preserve"> temporary option</w:t>
      </w:r>
      <w:r>
        <w:rPr>
          <w:szCs w:val="19"/>
        </w:rPr>
        <w:t>.</w:t>
      </w:r>
      <w:r w:rsidRPr="00962259">
        <w:rPr>
          <w:szCs w:val="19"/>
        </w:rPr>
        <w:t xml:space="preserve"> The interpretative issues arising from fair valuing </w:t>
      </w:r>
      <w:r>
        <w:rPr>
          <w:szCs w:val="19"/>
        </w:rPr>
        <w:t>right-of-use assets arising under concessionary lease</w:t>
      </w:r>
      <w:r w:rsidRPr="00962259">
        <w:rPr>
          <w:szCs w:val="19"/>
        </w:rPr>
        <w:t xml:space="preserve">s will be addressed </w:t>
      </w:r>
      <w:r>
        <w:rPr>
          <w:szCs w:val="19"/>
        </w:rPr>
        <w:t xml:space="preserve">in </w:t>
      </w:r>
      <w:r w:rsidRPr="00962259">
        <w:rPr>
          <w:szCs w:val="19"/>
        </w:rPr>
        <w:t xml:space="preserve">the AASB’s Fair Value Measurement </w:t>
      </w:r>
      <w:r>
        <w:rPr>
          <w:szCs w:val="19"/>
        </w:rPr>
        <w:t xml:space="preserve">for Public Sector Entities </w:t>
      </w:r>
      <w:r w:rsidRPr="00962259">
        <w:rPr>
          <w:szCs w:val="19"/>
        </w:rPr>
        <w:t xml:space="preserve">project. </w:t>
      </w:r>
    </w:p>
    <w:p w14:paraId="5CF96FA0" w14:textId="77777777" w:rsidR="00564F44" w:rsidRDefault="00564F44" w:rsidP="00564F44">
      <w:pPr>
        <w:pStyle w:val="NoNumPlain1"/>
        <w:numPr>
          <w:ilvl w:val="0"/>
          <w:numId w:val="28"/>
        </w:numPr>
        <w:spacing w:before="100" w:after="100" w:line="240" w:lineRule="auto"/>
        <w:jc w:val="both"/>
        <w:rPr>
          <w:szCs w:val="19"/>
        </w:rPr>
      </w:pPr>
      <w:r>
        <w:rPr>
          <w:szCs w:val="19"/>
        </w:rPr>
        <w:t>The Board also noted that t</w:t>
      </w:r>
      <w:r w:rsidRPr="00962259">
        <w:rPr>
          <w:szCs w:val="19"/>
        </w:rPr>
        <w:t xml:space="preserve">he financial reporting thresholds </w:t>
      </w:r>
      <w:r>
        <w:rPr>
          <w:szCs w:val="19"/>
        </w:rPr>
        <w:t xml:space="preserve">for </w:t>
      </w:r>
      <w:r w:rsidRPr="00962259">
        <w:rPr>
          <w:szCs w:val="19"/>
        </w:rPr>
        <w:t xml:space="preserve">not-for-profit private sector entities may be revised as a result of the ACNC Legislative Review recommendations. </w:t>
      </w:r>
      <w:r>
        <w:rPr>
          <w:szCs w:val="19"/>
        </w:rPr>
        <w:t xml:space="preserve">It </w:t>
      </w:r>
      <w:r w:rsidRPr="00962259">
        <w:rPr>
          <w:szCs w:val="19"/>
        </w:rPr>
        <w:t xml:space="preserve">is possible that entities at the lower level of the reporting thresholds might not be required in future to apply the requirements of AASB 16 and AASB 1058. The temporary option would avoid </w:t>
      </w:r>
      <w:r>
        <w:rPr>
          <w:szCs w:val="19"/>
        </w:rPr>
        <w:t>such smaller entities incurring costs in measuring</w:t>
      </w:r>
      <w:r w:rsidRPr="00AD2F94">
        <w:rPr>
          <w:szCs w:val="19"/>
        </w:rPr>
        <w:t xml:space="preserve"> </w:t>
      </w:r>
      <w:r>
        <w:rPr>
          <w:szCs w:val="19"/>
        </w:rPr>
        <w:t>right</w:t>
      </w:r>
      <w:r>
        <w:rPr>
          <w:szCs w:val="19"/>
        </w:rPr>
        <w:noBreakHyphen/>
        <w:t>of</w:t>
      </w:r>
      <w:r>
        <w:rPr>
          <w:szCs w:val="19"/>
        </w:rPr>
        <w:noBreakHyphen/>
        <w:t>use</w:t>
      </w:r>
      <w:r w:rsidRPr="00AD2F94">
        <w:rPr>
          <w:szCs w:val="19"/>
        </w:rPr>
        <w:t xml:space="preserve"> assets </w:t>
      </w:r>
      <w:r>
        <w:rPr>
          <w:szCs w:val="19"/>
        </w:rPr>
        <w:t xml:space="preserve">at initial recognition </w:t>
      </w:r>
      <w:r w:rsidRPr="00AD2F94">
        <w:rPr>
          <w:szCs w:val="19"/>
        </w:rPr>
        <w:t xml:space="preserve">at fair value when they might </w:t>
      </w:r>
      <w:r>
        <w:rPr>
          <w:szCs w:val="19"/>
        </w:rPr>
        <w:t>be exempted from</w:t>
      </w:r>
      <w:r w:rsidRPr="00AD2F94">
        <w:rPr>
          <w:szCs w:val="19"/>
        </w:rPr>
        <w:t xml:space="preserve"> this requirement in future</w:t>
      </w:r>
      <w:r>
        <w:rPr>
          <w:szCs w:val="19"/>
        </w:rPr>
        <w:t xml:space="preserve"> by not being required to prepare financial statements that comply with Accounting Standards.</w:t>
      </w:r>
    </w:p>
    <w:bookmarkEnd w:id="13"/>
    <w:p w14:paraId="683C3101" w14:textId="16EC3CAE" w:rsidR="00564F44" w:rsidRDefault="00564F44" w:rsidP="00564F44">
      <w:pPr>
        <w:pStyle w:val="NumBC1"/>
        <w:numPr>
          <w:ilvl w:val="0"/>
          <w:numId w:val="28"/>
        </w:numPr>
        <w:spacing w:after="100"/>
        <w:jc w:val="both"/>
      </w:pPr>
      <w:r>
        <w:t xml:space="preserve">However, as </w:t>
      </w:r>
      <w:r w:rsidRPr="006245E8">
        <w:t>some not</w:t>
      </w:r>
      <w:r w:rsidRPr="006245E8">
        <w:noBreakHyphen/>
        <w:t>for</w:t>
      </w:r>
      <w:r w:rsidRPr="006245E8">
        <w:noBreakHyphen/>
        <w:t xml:space="preserve">profit entities </w:t>
      </w:r>
      <w:r>
        <w:t>had already commenced</w:t>
      </w:r>
      <w:r w:rsidRPr="006245E8">
        <w:t xml:space="preserve"> the process of determining the fair value of right</w:t>
      </w:r>
      <w:r w:rsidRPr="006245E8">
        <w:noBreakHyphen/>
        <w:t>of</w:t>
      </w:r>
      <w:r w:rsidRPr="006245E8">
        <w:noBreakHyphen/>
        <w:t xml:space="preserve">use assets </w:t>
      </w:r>
      <w:r>
        <w:t>in</w:t>
      </w:r>
      <w:r w:rsidRPr="006245E8">
        <w:t xml:space="preserve"> </w:t>
      </w:r>
      <w:r>
        <w:t>concessionary lease</w:t>
      </w:r>
      <w:r w:rsidRPr="006245E8">
        <w:t>s</w:t>
      </w:r>
      <w:r>
        <w:t>, the Board decided to make the temporary relief optional</w:t>
      </w:r>
      <w:r w:rsidRPr="006245E8">
        <w:t xml:space="preserve">. </w:t>
      </w:r>
      <w:r>
        <w:t xml:space="preserve">This </w:t>
      </w:r>
      <w:r w:rsidRPr="006245E8">
        <w:lastRenderedPageBreak/>
        <w:t>allow</w:t>
      </w:r>
      <w:r>
        <w:t>s</w:t>
      </w:r>
      <w:r w:rsidRPr="006245E8">
        <w:t xml:space="preserve"> these entities to continue their work on fair valuing </w:t>
      </w:r>
      <w:r>
        <w:t>concessionary lease</w:t>
      </w:r>
      <w:r w:rsidRPr="006245E8">
        <w:t>s and applying the fair value initial recognition measurement requirements t</w:t>
      </w:r>
      <w:r w:rsidR="00F01C10">
        <w:t>o measure right</w:t>
      </w:r>
      <w:r w:rsidR="00F01C10">
        <w:noBreakHyphen/>
        <w:t>of</w:t>
      </w:r>
      <w:r w:rsidR="00F01C10">
        <w:noBreakHyphen/>
        <w:t>use assets.</w:t>
      </w:r>
    </w:p>
    <w:p w14:paraId="6830D212" w14:textId="6517BF3B" w:rsidR="00564F44" w:rsidRDefault="00564F44" w:rsidP="00564F44">
      <w:pPr>
        <w:pStyle w:val="NumBC1"/>
        <w:numPr>
          <w:ilvl w:val="0"/>
          <w:numId w:val="28"/>
        </w:numPr>
        <w:spacing w:after="100"/>
        <w:jc w:val="both"/>
      </w:pPr>
      <w:r>
        <w:t>Entities electing not to measure the right-of-use assets in concessionary leases at fair value will recognise the assets at cost in accordance with AASB 16 (paragraphs 23–25), which incorporates the amount of the initial measu</w:t>
      </w:r>
      <w:r w:rsidR="00F01C10">
        <w:t>rement of the lease liability.</w:t>
      </w:r>
    </w:p>
    <w:p w14:paraId="33F7ED28" w14:textId="77777777" w:rsidR="00564F44" w:rsidRPr="00876765" w:rsidRDefault="00564F44" w:rsidP="00564F44">
      <w:pPr>
        <w:pStyle w:val="NumBC1"/>
        <w:numPr>
          <w:ilvl w:val="0"/>
          <w:numId w:val="28"/>
        </w:numPr>
        <w:spacing w:after="100"/>
        <w:jc w:val="both"/>
      </w:pPr>
      <w:r w:rsidRPr="00876765">
        <w:t>The optional relief will be reassessed when further guidance has been developed to assist not</w:t>
      </w:r>
      <w:r w:rsidRPr="00876765">
        <w:noBreakHyphen/>
        <w:t>for</w:t>
      </w:r>
      <w:r w:rsidRPr="00876765">
        <w:noBreakHyphen/>
        <w:t>profit entities in fair valuing right-of-use assets and the financial reporting requirements for private sector not</w:t>
      </w:r>
      <w:r w:rsidRPr="00876765">
        <w:noBreakHyphen/>
        <w:t>for</w:t>
      </w:r>
      <w:r w:rsidRPr="00876765">
        <w:noBreakHyphen/>
        <w:t>profit entities have been finalised.</w:t>
      </w:r>
      <w:r w:rsidRPr="00D57CB3">
        <w:t xml:space="preserve"> </w:t>
      </w:r>
      <w:r>
        <w:t>The</w:t>
      </w:r>
      <w:r w:rsidRPr="00065F5A">
        <w:t xml:space="preserve"> Board </w:t>
      </w:r>
      <w:r>
        <w:t>will</w:t>
      </w:r>
      <w:r w:rsidRPr="00065F5A">
        <w:t xml:space="preserve"> consider whether to provide a permanent option for not</w:t>
      </w:r>
      <w:r w:rsidRPr="00065F5A">
        <w:noBreakHyphen/>
        <w:t>for</w:t>
      </w:r>
      <w:r w:rsidRPr="00065F5A">
        <w:noBreakHyphen/>
        <w:t xml:space="preserve">profit entities to measure </w:t>
      </w:r>
      <w:r>
        <w:t xml:space="preserve">a class of </w:t>
      </w:r>
      <w:r w:rsidRPr="00065F5A">
        <w:t>right</w:t>
      </w:r>
      <w:r w:rsidRPr="00065F5A">
        <w:noBreakHyphen/>
        <w:t>of</w:t>
      </w:r>
      <w:r w:rsidRPr="00065F5A">
        <w:noBreakHyphen/>
        <w:t>use assets at initial recognition either at cost or at fair value for those concessionary leases</w:t>
      </w:r>
      <w:r>
        <w:t xml:space="preserve"> entered into prior to the application date of AASB 16 or for all concessionary leases</w:t>
      </w:r>
      <w:r w:rsidRPr="00065F5A">
        <w:t>.</w:t>
      </w:r>
    </w:p>
    <w:p w14:paraId="4951F198" w14:textId="48D41592" w:rsidR="00564F44" w:rsidRPr="00766E15" w:rsidRDefault="00564F44" w:rsidP="00564F44">
      <w:pPr>
        <w:pStyle w:val="IASBSectionTitle1NonInd"/>
        <w:rPr>
          <w:iCs/>
        </w:rPr>
      </w:pPr>
      <w:r>
        <w:t xml:space="preserve">Issue of ED 286 </w:t>
      </w:r>
      <w:r w:rsidR="00AF0B8E" w:rsidRPr="00AF0B8E">
        <w:rPr>
          <w:i/>
          <w:iCs/>
        </w:rPr>
        <w:t>Amendments to Australian Accounting Standards – Right-of-Use Assets of Not-for-Profit Entities</w:t>
      </w:r>
    </w:p>
    <w:p w14:paraId="67AE3ACB" w14:textId="7717EC66" w:rsidR="00564F44" w:rsidRDefault="00564F44" w:rsidP="00564F44">
      <w:pPr>
        <w:pStyle w:val="NumBC1"/>
        <w:keepNext/>
        <w:keepLines/>
        <w:numPr>
          <w:ilvl w:val="0"/>
          <w:numId w:val="28"/>
        </w:numPr>
        <w:spacing w:after="100"/>
        <w:jc w:val="both"/>
      </w:pPr>
      <w:r>
        <w:t>The Board’s proposals were exposed for public comment in November 2018 through Exposure Draft ED </w:t>
      </w:r>
      <w:r w:rsidR="00AF0B8E">
        <w:t xml:space="preserve">286 </w:t>
      </w:r>
      <w:r w:rsidR="00AF0B8E" w:rsidRPr="00AF0B8E">
        <w:rPr>
          <w:i/>
          <w:iCs/>
        </w:rPr>
        <w:t>Amendments to Australian Accounting Standards – Right-of-Use Assets of Not-for-Profit Entities</w:t>
      </w:r>
      <w:r w:rsidRPr="00C910DA">
        <w:t>.</w:t>
      </w:r>
      <w:r>
        <w:t xml:space="preserve"> </w:t>
      </w:r>
    </w:p>
    <w:p w14:paraId="22127123" w14:textId="77777777" w:rsidR="00564F44" w:rsidRPr="00065F5A" w:rsidRDefault="00564F44" w:rsidP="00564F44">
      <w:pPr>
        <w:pStyle w:val="NumBC1"/>
        <w:numPr>
          <w:ilvl w:val="0"/>
          <w:numId w:val="28"/>
        </w:numPr>
        <w:spacing w:after="100"/>
        <w:jc w:val="both"/>
      </w:pPr>
      <w:bookmarkStart w:id="14" w:name="_Ref522545105"/>
      <w:r w:rsidRPr="00065F5A">
        <w:t>The Board received feedback on it</w:t>
      </w:r>
      <w:r>
        <w:t>s proposals through 20 submissions</w:t>
      </w:r>
      <w:r w:rsidRPr="00065F5A">
        <w:t xml:space="preserve"> on ED 286.</w:t>
      </w:r>
      <w:r>
        <w:t xml:space="preserve"> </w:t>
      </w:r>
      <w:r w:rsidRPr="00065F5A">
        <w:t>The responses to ED 286 indicated that:</w:t>
      </w:r>
      <w:bookmarkEnd w:id="14"/>
    </w:p>
    <w:p w14:paraId="388B1B11" w14:textId="77777777" w:rsidR="00564F44" w:rsidRPr="00065F5A" w:rsidRDefault="00564F44" w:rsidP="00F01C10">
      <w:pPr>
        <w:pStyle w:val="NumBC1"/>
        <w:numPr>
          <w:ilvl w:val="1"/>
          <w:numId w:val="28"/>
        </w:numPr>
        <w:spacing w:after="100"/>
        <w:ind w:left="1564" w:hanging="782"/>
        <w:jc w:val="both"/>
      </w:pPr>
      <w:r w:rsidRPr="00065F5A">
        <w:t>all respondents agreed that not-for-pr</w:t>
      </w:r>
      <w:r>
        <w:t xml:space="preserve">ofit entities should be given some form of relief to </w:t>
      </w:r>
      <w:r w:rsidRPr="00065F5A">
        <w:t>not measure right</w:t>
      </w:r>
      <w:r w:rsidRPr="00065F5A">
        <w:noBreakHyphen/>
        <w:t>of</w:t>
      </w:r>
      <w:r w:rsidRPr="00065F5A">
        <w:noBreakHyphen/>
        <w:t>use assets for concessionary leases</w:t>
      </w:r>
      <w:r>
        <w:t xml:space="preserve"> </w:t>
      </w:r>
      <w:r w:rsidRPr="00065F5A">
        <w:t>at initial recognition at fair value</w:t>
      </w:r>
      <w:r>
        <w:t>. Some respondents agreed that the relief should only be given on a temporary basis</w:t>
      </w:r>
      <w:r w:rsidRPr="00065F5A">
        <w:t xml:space="preserve"> until further guidance has been developed to assist not</w:t>
      </w:r>
      <w:r w:rsidRPr="00065F5A">
        <w:noBreakHyphen/>
        <w:t>for</w:t>
      </w:r>
      <w:r w:rsidRPr="00065F5A">
        <w:noBreakHyphen/>
        <w:t>profit entities in fair valuing right</w:t>
      </w:r>
      <w:r w:rsidRPr="00065F5A">
        <w:noBreakHyphen/>
        <w:t>of</w:t>
      </w:r>
      <w:r w:rsidRPr="00065F5A">
        <w:noBreakHyphen/>
        <w:t>use assets and the financial reporting requirements for not</w:t>
      </w:r>
      <w:r w:rsidRPr="00065F5A">
        <w:noBreakHyphen/>
        <w:t>for</w:t>
      </w:r>
      <w:r w:rsidRPr="00065F5A">
        <w:noBreakHyphen/>
        <w:t>profit private secto</w:t>
      </w:r>
      <w:r>
        <w:t>r entities have been finalised. However, other respondents were of the view that the option to elect either cost or fair value measurement should be made available on a permanent basis for all concessionary leases and</w:t>
      </w:r>
      <w:r w:rsidRPr="00065F5A">
        <w:t xml:space="preserve"> </w:t>
      </w:r>
      <w:r>
        <w:t xml:space="preserve">for </w:t>
      </w:r>
      <w:r w:rsidRPr="00065F5A">
        <w:t>not</w:t>
      </w:r>
      <w:r w:rsidRPr="00065F5A">
        <w:noBreakHyphen/>
        <w:t>for</w:t>
      </w:r>
      <w:r w:rsidRPr="00065F5A">
        <w:noBreakHyphen/>
        <w:t xml:space="preserve">profit entities in both the private sector and the public sector; </w:t>
      </w:r>
      <w:r>
        <w:t>and</w:t>
      </w:r>
    </w:p>
    <w:p w14:paraId="4B9A1C5D" w14:textId="77777777" w:rsidR="00564F44" w:rsidRDefault="00564F44" w:rsidP="00F01C10">
      <w:pPr>
        <w:pStyle w:val="NumBC1"/>
        <w:numPr>
          <w:ilvl w:val="1"/>
          <w:numId w:val="28"/>
        </w:numPr>
        <w:spacing w:after="100"/>
        <w:ind w:left="1564" w:hanging="782"/>
        <w:jc w:val="both"/>
      </w:pPr>
      <w:r>
        <w:t>most</w:t>
      </w:r>
      <w:r w:rsidRPr="00065F5A">
        <w:t xml:space="preserve"> respondents agreed that the proposed additional disclosure requirements in AASB 16 would provide adequate information for users of the financial statements to understand the effects on the financial position, financial performance and cash flows of the entity arising from concessionary leases in the ab</w:t>
      </w:r>
      <w:r>
        <w:t>sence of fair value information. However, some respondents suggested providing further clarification to ensure not</w:t>
      </w:r>
      <w:r>
        <w:noBreakHyphen/>
        <w:t>for</w:t>
      </w:r>
      <w:r>
        <w:noBreakHyphen/>
        <w:t>profit entities understand the disclosure requirements.</w:t>
      </w:r>
    </w:p>
    <w:p w14:paraId="723EF6AC" w14:textId="500A70BF" w:rsidR="00564F44" w:rsidRDefault="00564F44" w:rsidP="00564F44">
      <w:pPr>
        <w:pStyle w:val="NumBC1"/>
        <w:numPr>
          <w:ilvl w:val="0"/>
          <w:numId w:val="28"/>
        </w:numPr>
        <w:spacing w:after="100"/>
        <w:jc w:val="both"/>
      </w:pPr>
      <w:r w:rsidRPr="00065F5A">
        <w:t>The Board considered the feedback and in December 2018 decided to finalise its decisions to provide a temporary option for not</w:t>
      </w:r>
      <w:r w:rsidRPr="00065F5A">
        <w:noBreakHyphen/>
        <w:t>for</w:t>
      </w:r>
      <w:r w:rsidRPr="00065F5A">
        <w:noBreakHyphen/>
        <w:t xml:space="preserve">profit entities to elect to measure </w:t>
      </w:r>
      <w:r>
        <w:t xml:space="preserve">a class of </w:t>
      </w:r>
      <w:r w:rsidRPr="00065F5A">
        <w:t>right</w:t>
      </w:r>
      <w:r w:rsidRPr="00065F5A">
        <w:noBreakHyphen/>
        <w:t>of</w:t>
      </w:r>
      <w:r w:rsidRPr="00065F5A">
        <w:noBreakHyphen/>
        <w:t xml:space="preserve">use assets </w:t>
      </w:r>
      <w:r>
        <w:t xml:space="preserve">arising under concessionary leases </w:t>
      </w:r>
      <w:r w:rsidRPr="00065F5A">
        <w:t xml:space="preserve">at cost or at fair value </w:t>
      </w:r>
      <w:r>
        <w:t>at initial recognition. At a later time, when fair value measurement guidance has been developed and the not</w:t>
      </w:r>
      <w:r>
        <w:noBreakHyphen/>
        <w:t>for</w:t>
      </w:r>
      <w:r>
        <w:noBreakHyphen/>
        <w:t>profit private sector financial reporting requirements have been finalised, the Board will consider whether the temporary option should be made permanent</w:t>
      </w:r>
      <w:r w:rsidR="00F01C10">
        <w:t>.</w:t>
      </w:r>
    </w:p>
    <w:p w14:paraId="748A0AFC" w14:textId="77777777" w:rsidR="00564F44" w:rsidRPr="00766E15" w:rsidRDefault="00564F44" w:rsidP="00564F44">
      <w:pPr>
        <w:pStyle w:val="IASBSectionTitle1NonInd"/>
        <w:jc w:val="both"/>
        <w:rPr>
          <w:iCs/>
        </w:rPr>
      </w:pPr>
      <w:r>
        <w:t>Election of measurement basis</w:t>
      </w:r>
    </w:p>
    <w:p w14:paraId="6ED451F7" w14:textId="40C467CD" w:rsidR="00564F44" w:rsidRDefault="00564F44" w:rsidP="00564F44">
      <w:pPr>
        <w:pStyle w:val="NumBC1"/>
        <w:numPr>
          <w:ilvl w:val="0"/>
          <w:numId w:val="28"/>
        </w:numPr>
        <w:spacing w:after="100"/>
        <w:jc w:val="both"/>
      </w:pPr>
      <w:r>
        <w:t>Some ED 286 respondents noted that there might be instances where an entity may wish to apply the option of not fair valuing right-of-use assets for concessionary leases only to some, but not all, of the right-of-use assets. This may be the case for example where the not</w:t>
      </w:r>
      <w:r>
        <w:noBreakHyphen/>
        <w:t>for</w:t>
      </w:r>
      <w:r>
        <w:noBreakHyphen/>
        <w:t>profit</w:t>
      </w:r>
      <w:r w:rsidRPr="00771BED">
        <w:t xml:space="preserve"> entit</w:t>
      </w:r>
      <w:r>
        <w:t>y</w:t>
      </w:r>
      <w:r w:rsidRPr="00771BED">
        <w:t xml:space="preserve"> </w:t>
      </w:r>
      <w:r>
        <w:t xml:space="preserve">has </w:t>
      </w:r>
      <w:r w:rsidRPr="00771BED">
        <w:t>elect</w:t>
      </w:r>
      <w:r>
        <w:t>ed to apply</w:t>
      </w:r>
      <w:r w:rsidRPr="00771BED">
        <w:t xml:space="preserve"> the revaluation mode</w:t>
      </w:r>
      <w:r>
        <w:t>l under AASB </w:t>
      </w:r>
      <w:r w:rsidRPr="00771BED">
        <w:t xml:space="preserve">116 </w:t>
      </w:r>
      <w:r w:rsidRPr="00771BED">
        <w:rPr>
          <w:i/>
        </w:rPr>
        <w:t>Property, Plant and Equipment</w:t>
      </w:r>
      <w:r>
        <w:t xml:space="preserve"> to a class of property, plant and equipment and </w:t>
      </w:r>
      <w:r w:rsidRPr="00771BED">
        <w:t xml:space="preserve">would therefore likely elect to </w:t>
      </w:r>
      <w:r>
        <w:t>measure right</w:t>
      </w:r>
      <w:r>
        <w:noBreakHyphen/>
        <w:t>of</w:t>
      </w:r>
      <w:r>
        <w:noBreakHyphen/>
        <w:t>use</w:t>
      </w:r>
      <w:r w:rsidRPr="00771BED">
        <w:t xml:space="preserve"> assets</w:t>
      </w:r>
      <w:r>
        <w:t xml:space="preserve"> that relate to that class also at fair value, as</w:t>
      </w:r>
      <w:r w:rsidRPr="00771BED">
        <w:t xml:space="preserve"> </w:t>
      </w:r>
      <w:r>
        <w:t xml:space="preserve">permitted by </w:t>
      </w:r>
      <w:r w:rsidRPr="00771BED">
        <w:t>A</w:t>
      </w:r>
      <w:r>
        <w:t>ASB 16, paragraph 35. However, this should not force the entity to also measure all other right-of-use assets arising from concessionary leases on ini</w:t>
      </w:r>
      <w:r w:rsidR="00F01C10">
        <w:t>tial recognition at fair value.</w:t>
      </w:r>
    </w:p>
    <w:p w14:paraId="62596AA3" w14:textId="21B6BBD2" w:rsidR="00564F44" w:rsidRPr="00771BED" w:rsidRDefault="00564F44" w:rsidP="00564F44">
      <w:pPr>
        <w:pStyle w:val="NumBC1"/>
        <w:numPr>
          <w:ilvl w:val="0"/>
          <w:numId w:val="28"/>
        </w:numPr>
        <w:spacing w:after="100"/>
        <w:jc w:val="both"/>
      </w:pPr>
      <w:r>
        <w:t>Consequently, the Board decided that the election of the measurement basis for initial recognition of right</w:t>
      </w:r>
      <w:r>
        <w:noBreakHyphen/>
        <w:t>of</w:t>
      </w:r>
      <w:r>
        <w:noBreakHyphen/>
        <w:t>use assets of concessionary leases should be made by class of right</w:t>
      </w:r>
      <w:r>
        <w:noBreakHyphen/>
        <w:t>of</w:t>
      </w:r>
      <w:r>
        <w:noBreakHyphen/>
        <w:t xml:space="preserve">use assets. As specified in other Standards, a class is a grouping of assets of a similar nature and use in an </w:t>
      </w:r>
      <w:r w:rsidR="00F01C10">
        <w:t>entity’s operations.</w:t>
      </w:r>
    </w:p>
    <w:p w14:paraId="1B5CDD70" w14:textId="77777777" w:rsidR="00564F44" w:rsidRPr="00766E15" w:rsidRDefault="00564F44" w:rsidP="00564F44">
      <w:pPr>
        <w:pStyle w:val="IASBSectionTitle1NonInd"/>
        <w:jc w:val="both"/>
        <w:rPr>
          <w:iCs/>
        </w:rPr>
      </w:pPr>
      <w:r>
        <w:t>Disclosures</w:t>
      </w:r>
    </w:p>
    <w:p w14:paraId="54A7CC95" w14:textId="77777777" w:rsidR="00564F44" w:rsidRPr="00105AE3" w:rsidRDefault="00564F44" w:rsidP="00564F44">
      <w:pPr>
        <w:pStyle w:val="NumBC1"/>
        <w:numPr>
          <w:ilvl w:val="0"/>
          <w:numId w:val="28"/>
        </w:numPr>
        <w:spacing w:after="100"/>
        <w:jc w:val="both"/>
      </w:pPr>
      <w:r>
        <w:t>In the absence of fair value information, the Board decided that entities electing</w:t>
      </w:r>
      <w:r w:rsidRPr="00105AE3">
        <w:t xml:space="preserve"> to </w:t>
      </w:r>
      <w:r>
        <w:t>measure a class of right</w:t>
      </w:r>
      <w:r>
        <w:noBreakHyphen/>
        <w:t>of</w:t>
      </w:r>
      <w:r>
        <w:noBreakHyphen/>
        <w:t xml:space="preserve">use assets at initial recognition at cost rather than at fair value would need to make additional disclosures. This will </w:t>
      </w:r>
      <w:r w:rsidRPr="00105AE3">
        <w:t xml:space="preserve">ensure </w:t>
      </w:r>
      <w:r>
        <w:t xml:space="preserve">adequate information is disclosed for </w:t>
      </w:r>
      <w:r w:rsidRPr="00105AE3">
        <w:t>users</w:t>
      </w:r>
      <w:r>
        <w:t xml:space="preserve"> of financial statements to</w:t>
      </w:r>
      <w:r w:rsidRPr="00105AE3">
        <w:t xml:space="preserve"> understand </w:t>
      </w:r>
      <w:r w:rsidRPr="00105AE3">
        <w:lastRenderedPageBreak/>
        <w:t xml:space="preserve">the effects on the financial position, financial performance and cash flows </w:t>
      </w:r>
      <w:r>
        <w:t>of the entity arising from concessionary lease</w:t>
      </w:r>
      <w:r w:rsidRPr="00105AE3">
        <w:t>s</w:t>
      </w:r>
      <w:r>
        <w:t>.</w:t>
      </w:r>
    </w:p>
    <w:p w14:paraId="44604120" w14:textId="6DE34597" w:rsidR="00564F44" w:rsidRPr="00771BED" w:rsidRDefault="00564F44" w:rsidP="00564F44">
      <w:pPr>
        <w:pStyle w:val="NumBC1"/>
        <w:numPr>
          <w:ilvl w:val="0"/>
          <w:numId w:val="28"/>
        </w:numPr>
        <w:spacing w:after="100"/>
        <w:jc w:val="both"/>
      </w:pPr>
      <w:r>
        <w:t>A number of ED 286 respondents expressed concerns that, without reference to fair value information, it might be difficult to assess whether a concessionary lease is material and therefore requires individual disclosures un</w:t>
      </w:r>
      <w:r w:rsidR="00F01C10">
        <w:t>der AASB 16, paragraph Aus59.2.</w:t>
      </w:r>
    </w:p>
    <w:p w14:paraId="3BAF5007" w14:textId="77777777" w:rsidR="00564F44" w:rsidRDefault="00564F44" w:rsidP="00564F44">
      <w:pPr>
        <w:pStyle w:val="NumBC1"/>
        <w:numPr>
          <w:ilvl w:val="0"/>
          <w:numId w:val="28"/>
        </w:numPr>
        <w:spacing w:after="100"/>
        <w:jc w:val="both"/>
      </w:pPr>
      <w:r>
        <w:t xml:space="preserve">AASB 101 paragraph 7 defines when information is material and AASB Practice Statement 2 </w:t>
      </w:r>
      <w:r w:rsidRPr="00336C94">
        <w:rPr>
          <w:i/>
        </w:rPr>
        <w:t>Making Materiality Judgement</w:t>
      </w:r>
      <w:r>
        <w:rPr>
          <w:i/>
        </w:rPr>
        <w:t>s</w:t>
      </w:r>
      <w:r>
        <w:t xml:space="preserve"> provides further guidance, including in relation to disclosure requirements. When making materiality judgements, an entity needs to take into account how information could reasonably be expected to influence the primary users of its financial statements when they make decisions on the basis of those statements. In respect of not</w:t>
      </w:r>
      <w:r>
        <w:noBreakHyphen/>
        <w:t>for</w:t>
      </w:r>
      <w:r>
        <w:noBreakHyphen/>
        <w:t xml:space="preserve">profit entities, primary users of financial statements are concerned with the ability of the entity to achieve its objectives. Therefore, when assessing whether a concessionary lease is material to the financial statements, the entity could consider factors such as the </w:t>
      </w:r>
      <w:r w:rsidRPr="00F54ABB">
        <w:t xml:space="preserve">significance of the </w:t>
      </w:r>
      <w:r>
        <w:t xml:space="preserve">concessionary </w:t>
      </w:r>
      <w:r w:rsidRPr="00F54ABB">
        <w:t>lease to the entity’s operations in fulfilling its objectives</w:t>
      </w:r>
      <w:r>
        <w:t>.</w:t>
      </w:r>
    </w:p>
    <w:p w14:paraId="4F9DE97E" w14:textId="77777777" w:rsidR="00564F44" w:rsidRDefault="00564F44" w:rsidP="00564F44">
      <w:pPr>
        <w:pStyle w:val="NumBC1"/>
        <w:numPr>
          <w:ilvl w:val="0"/>
          <w:numId w:val="28"/>
        </w:numPr>
        <w:spacing w:after="100"/>
        <w:jc w:val="both"/>
      </w:pPr>
      <w:r>
        <w:t>Some respondents recommended the Board consider clarifying the extent of disclosures required in AASB 16 paragraphs Aus59.1 and Aus59.2. Consistent with AASB Practice Statement 2, a</w:t>
      </w:r>
      <w:r w:rsidRPr="00410D50">
        <w:t xml:space="preserve">n entity </w:t>
      </w:r>
      <w:r>
        <w:t xml:space="preserve">applies judgement in determining </w:t>
      </w:r>
      <w:r w:rsidRPr="00410D50">
        <w:t xml:space="preserve">the level of detail necessary to satisfy </w:t>
      </w:r>
      <w:r>
        <w:t>the disclosure objective, including the level of aggregation or disaggregation of</w:t>
      </w:r>
      <w:r w:rsidRPr="00410D50">
        <w:t xml:space="preserve"> disclosures so that useful information is not obscured</w:t>
      </w:r>
      <w:r>
        <w:t>. The Board notes that AASB 16 paragraph Aus59.2 requires disclosures to be made individually for each material lease and permits aggregated disclosures for other concessionary leases involving right</w:t>
      </w:r>
      <w:r>
        <w:noBreakHyphen/>
        <w:t>of</w:t>
      </w:r>
      <w:r>
        <w:noBreakHyphen/>
        <w:t>use assets of a similar nature.</w:t>
      </w:r>
    </w:p>
    <w:p w14:paraId="78137584" w14:textId="77777777" w:rsidR="00564F44" w:rsidRPr="00766E15" w:rsidRDefault="00564F44" w:rsidP="00564F44">
      <w:pPr>
        <w:pStyle w:val="IASBSectionTitle1NonInd"/>
        <w:jc w:val="both"/>
        <w:rPr>
          <w:iCs/>
        </w:rPr>
      </w:pPr>
      <w:r>
        <w:t>GAAP/GFS convergence</w:t>
      </w:r>
    </w:p>
    <w:p w14:paraId="1D9034A1" w14:textId="77777777" w:rsidR="00564F44" w:rsidRDefault="00564F44" w:rsidP="00564F44">
      <w:pPr>
        <w:pStyle w:val="NumBC1"/>
        <w:numPr>
          <w:ilvl w:val="0"/>
          <w:numId w:val="28"/>
        </w:numPr>
        <w:spacing w:after="100"/>
        <w:jc w:val="both"/>
      </w:pPr>
      <w:r>
        <w:t>Several respondents commented that measuring right</w:t>
      </w:r>
      <w:r>
        <w:noBreakHyphen/>
        <w:t>of</w:t>
      </w:r>
      <w:r>
        <w:noBreakHyphen/>
        <w:t>use assets at either cost or fair value could result in Government Finance Statistics (GFS) convergence differences. As the ABS GFS Manual continues to distinguish operating leases and finance leases, some of these convergence differences relate to the underlying principles of AASB 16. However, a new convergence difference would arise if right</w:t>
      </w:r>
      <w:r>
        <w:noBreakHyphen/>
        <w:t>of</w:t>
      </w:r>
      <w:r>
        <w:noBreakHyphen/>
        <w:t>use assets under concessionary leases that would previously have been classified as finance leases are measured at cost under the temporary option, rather than at fair value. On balance, the Board considered that it was appropriate to provide not</w:t>
      </w:r>
      <w:r>
        <w:noBreakHyphen/>
        <w:t>for</w:t>
      </w:r>
      <w:r>
        <w:noBreakHyphen/>
        <w:t>profit entities with the temporary option in respect of such concessionary leases.</w:t>
      </w:r>
    </w:p>
    <w:p w14:paraId="403FB8B7" w14:textId="77777777" w:rsidR="00564F44" w:rsidRDefault="00564F44" w:rsidP="00564F44">
      <w:pPr>
        <w:pStyle w:val="NumBC1"/>
        <w:numPr>
          <w:ilvl w:val="0"/>
          <w:numId w:val="28"/>
        </w:numPr>
        <w:spacing w:after="100"/>
        <w:jc w:val="both"/>
      </w:pPr>
      <w:r>
        <w:t>Consequently, the Board added an exception to AASB 1049 (paragraph 13D) to permit public sector entities to measure right</w:t>
      </w:r>
      <w:r>
        <w:noBreakHyphen/>
        <w:t>of</w:t>
      </w:r>
      <w:r>
        <w:noBreakHyphen/>
        <w:t>use assets arising under concessionary leases at initial recognition at cost, rather than fair value.</w:t>
      </w:r>
    </w:p>
    <w:p w14:paraId="245BE766" w14:textId="77777777" w:rsidR="002B240B" w:rsidRPr="00105AE3" w:rsidRDefault="002B240B" w:rsidP="002B240B">
      <w:pPr>
        <w:pStyle w:val="NumBC1"/>
        <w:numPr>
          <w:ilvl w:val="0"/>
          <w:numId w:val="0"/>
        </w:numPr>
        <w:spacing w:after="0"/>
        <w:ind w:left="782"/>
        <w:jc w:val="both"/>
      </w:pPr>
    </w:p>
    <w:p w14:paraId="55A40F99" w14:textId="77777777" w:rsidR="00AF0B8E" w:rsidRDefault="00AF0B8E" w:rsidP="002B240B">
      <w:pPr>
        <w:spacing w:line="276" w:lineRule="auto"/>
        <w:rPr>
          <w:b/>
        </w:rPr>
        <w:sectPr w:rsidR="00AF0B8E" w:rsidSect="00E27198">
          <w:footerReference w:type="default" r:id="rId23"/>
          <w:pgSz w:w="11907" w:h="16839"/>
          <w:pgMar w:top="1440" w:right="1440" w:bottom="1440" w:left="1440" w:header="709" w:footer="709" w:gutter="0"/>
          <w:cols w:space="708"/>
          <w:docGrid w:linePitch="360"/>
        </w:sectPr>
      </w:pPr>
    </w:p>
    <w:p w14:paraId="643D691D" w14:textId="6BD50854" w:rsidR="00A27219" w:rsidRPr="00A27219" w:rsidRDefault="00A27219" w:rsidP="00A27219">
      <w:pPr>
        <w:pStyle w:val="ConvSectionTitle"/>
      </w:pPr>
      <w:r w:rsidRPr="00A27219">
        <w:lastRenderedPageBreak/>
        <w:t>Basis for Conclusions on AASB 201</w:t>
      </w:r>
      <w:r w:rsidR="00355676">
        <w:t>9</w:t>
      </w:r>
      <w:r w:rsidRPr="00A27219">
        <w:t>-</w:t>
      </w:r>
      <w:r w:rsidR="00355676">
        <w:t>8</w:t>
      </w:r>
    </w:p>
    <w:p w14:paraId="22F6774C" w14:textId="122D4ECA" w:rsidR="00A27219" w:rsidRPr="00A27219" w:rsidRDefault="00A27219" w:rsidP="00A27219">
      <w:pPr>
        <w:tabs>
          <w:tab w:val="left" w:pos="4253"/>
        </w:tabs>
        <w:spacing w:before="100" w:after="100"/>
        <w:jc w:val="both"/>
        <w:rPr>
          <w:szCs w:val="20"/>
        </w:rPr>
      </w:pPr>
      <w:r w:rsidRPr="00A27219">
        <w:rPr>
          <w:i/>
          <w:szCs w:val="20"/>
        </w:rPr>
        <w:t>This Basis for Conclusions accompanies, but is not part of, AASB 1</w:t>
      </w:r>
      <w:r w:rsidR="00355676">
        <w:rPr>
          <w:i/>
          <w:szCs w:val="20"/>
        </w:rPr>
        <w:t>6</w:t>
      </w:r>
      <w:r w:rsidRPr="00A27219">
        <w:rPr>
          <w:i/>
          <w:szCs w:val="20"/>
        </w:rPr>
        <w:t>.  The Basis for Conclusions was originally published with AASB 201</w:t>
      </w:r>
      <w:r w:rsidR="00355676">
        <w:rPr>
          <w:i/>
          <w:szCs w:val="20"/>
        </w:rPr>
        <w:t>9</w:t>
      </w:r>
      <w:r w:rsidRPr="00A27219">
        <w:rPr>
          <w:i/>
          <w:szCs w:val="20"/>
        </w:rPr>
        <w:t>-</w:t>
      </w:r>
      <w:r w:rsidR="00355676">
        <w:rPr>
          <w:i/>
          <w:szCs w:val="20"/>
        </w:rPr>
        <w:t>8</w:t>
      </w:r>
      <w:r w:rsidRPr="00A27219">
        <w:rPr>
          <w:i/>
          <w:szCs w:val="20"/>
        </w:rPr>
        <w:t xml:space="preserve"> </w:t>
      </w:r>
      <w:r w:rsidRPr="00A27219">
        <w:rPr>
          <w:szCs w:val="20"/>
        </w:rPr>
        <w:t xml:space="preserve">Amendments to Australian Accounting Standards – </w:t>
      </w:r>
      <w:r w:rsidR="00355676">
        <w:rPr>
          <w:szCs w:val="20"/>
        </w:rPr>
        <w:t>Class of Right-of-Use Assets arising under Concessionary Leases</w:t>
      </w:r>
      <w:r w:rsidRPr="00A27219">
        <w:rPr>
          <w:szCs w:val="20"/>
        </w:rPr>
        <w:t>.</w:t>
      </w:r>
    </w:p>
    <w:p w14:paraId="30FEAA3B" w14:textId="77777777" w:rsidR="00355676" w:rsidRPr="00766E15" w:rsidRDefault="00355676" w:rsidP="00355676">
      <w:pPr>
        <w:pStyle w:val="IASBSectionTitle1NonInd"/>
        <w:jc w:val="both"/>
      </w:pPr>
      <w:r w:rsidRPr="00766E15">
        <w:t>Introduction</w:t>
      </w:r>
    </w:p>
    <w:p w14:paraId="34D574C6" w14:textId="77777777" w:rsidR="00355676" w:rsidRPr="00766E15" w:rsidRDefault="00355676" w:rsidP="00564F44">
      <w:pPr>
        <w:pStyle w:val="NumBC1"/>
        <w:numPr>
          <w:ilvl w:val="0"/>
          <w:numId w:val="30"/>
        </w:numPr>
        <w:spacing w:after="100"/>
        <w:jc w:val="both"/>
      </w:pPr>
      <w:r w:rsidRPr="00766E15">
        <w:t xml:space="preserve">This Basis for Conclusions summarises the Australian Accounting Standards Board’s considerations in reaching the conclusions </w:t>
      </w:r>
      <w:r>
        <w:t>i</w:t>
      </w:r>
      <w:r w:rsidRPr="00766E15">
        <w:t xml:space="preserve">n this </w:t>
      </w:r>
      <w:r>
        <w:t xml:space="preserve">Standard. </w:t>
      </w:r>
      <w:r w:rsidRPr="00766E15">
        <w:t xml:space="preserve">It sets out the reasons why the Board developed the </w:t>
      </w:r>
      <w:r>
        <w:t>Standard</w:t>
      </w:r>
      <w:r w:rsidRPr="00766E15">
        <w:t xml:space="preserve">, the approach taken to developing the </w:t>
      </w:r>
      <w:r>
        <w:t>Standard</w:t>
      </w:r>
      <w:r w:rsidRPr="00766E15">
        <w:t xml:space="preserve"> and the key decisions made</w:t>
      </w:r>
      <w:r>
        <w:t xml:space="preserve">. </w:t>
      </w:r>
      <w:r w:rsidRPr="00766E15">
        <w:t xml:space="preserve">In making decisions, individual Board members gave greater weight to some factors than to others. </w:t>
      </w:r>
    </w:p>
    <w:p w14:paraId="7BED9383" w14:textId="77777777" w:rsidR="00355676" w:rsidRPr="00766E15" w:rsidRDefault="00355676" w:rsidP="00355676">
      <w:pPr>
        <w:pStyle w:val="IASBSectionTitle1NonInd"/>
        <w:jc w:val="both"/>
        <w:rPr>
          <w:iCs/>
        </w:rPr>
      </w:pPr>
      <w:r w:rsidRPr="00766E15">
        <w:t xml:space="preserve">Reasons for </w:t>
      </w:r>
      <w:r>
        <w:t>issuing this Standard</w:t>
      </w:r>
    </w:p>
    <w:p w14:paraId="644102A5" w14:textId="77777777" w:rsidR="00355676" w:rsidRPr="00814610" w:rsidRDefault="00355676" w:rsidP="00564F44">
      <w:pPr>
        <w:pStyle w:val="NoNumPlain1"/>
        <w:numPr>
          <w:ilvl w:val="0"/>
          <w:numId w:val="30"/>
        </w:numPr>
        <w:spacing w:before="100" w:after="100" w:line="240" w:lineRule="auto"/>
        <w:jc w:val="both"/>
      </w:pPr>
      <w:r w:rsidRPr="00814610">
        <w:t xml:space="preserve">AASB 1058 </w:t>
      </w:r>
      <w:r w:rsidRPr="00814610">
        <w:rPr>
          <w:i/>
        </w:rPr>
        <w:t>Income of Not-for-Profit Entities</w:t>
      </w:r>
      <w:r w:rsidRPr="00814610">
        <w:t xml:space="preserve"> and AASB 16 </w:t>
      </w:r>
      <w:r w:rsidRPr="00814610">
        <w:rPr>
          <w:i/>
        </w:rPr>
        <w:t>Leases</w:t>
      </w:r>
      <w:r w:rsidRPr="00814610">
        <w:t xml:space="preserve"> are effective for annual reporting periods beginning on or after 1 January 2019. These Standards </w:t>
      </w:r>
      <w:r>
        <w:t xml:space="preserve">originally </w:t>
      </w:r>
      <w:r w:rsidRPr="00814610">
        <w:t>require</w:t>
      </w:r>
      <w:r>
        <w:t>d</w:t>
      </w:r>
      <w:r w:rsidRPr="00814610">
        <w:t xml:space="preserve"> not-for-profit entities to measure right-of-use assets at initial recognition at fair value </w:t>
      </w:r>
      <w:r>
        <w:t>for</w:t>
      </w:r>
      <w:r w:rsidRPr="00814610">
        <w:t xml:space="preserve"> leases that have significantly below-market terms and conditions principally to enable the entity to further its objectives. </w:t>
      </w:r>
    </w:p>
    <w:p w14:paraId="2D0F7019" w14:textId="77777777" w:rsidR="00355676" w:rsidRPr="00796082" w:rsidRDefault="00355676" w:rsidP="00564F44">
      <w:pPr>
        <w:pStyle w:val="NoNumPlain1"/>
        <w:numPr>
          <w:ilvl w:val="0"/>
          <w:numId w:val="30"/>
        </w:numPr>
        <w:spacing w:before="100" w:after="100" w:line="240" w:lineRule="auto"/>
        <w:jc w:val="both"/>
      </w:pPr>
      <w:r w:rsidRPr="00796082">
        <w:t xml:space="preserve">For ease of reference in this </w:t>
      </w:r>
      <w:r>
        <w:t>Basis for Conclusions</w:t>
      </w:r>
      <w:r w:rsidRPr="00796082">
        <w:t>, leases that have significantly below-market terms and conditions principally to enable the entity to further its objectives are referred to as ‘</w:t>
      </w:r>
      <w:r>
        <w:t>concessionary</w:t>
      </w:r>
      <w:r w:rsidRPr="00796082">
        <w:t xml:space="preserve"> leases’.</w:t>
      </w:r>
    </w:p>
    <w:p w14:paraId="444C4819" w14:textId="77777777" w:rsidR="00355676" w:rsidRPr="00983B56" w:rsidRDefault="00355676" w:rsidP="00564F44">
      <w:pPr>
        <w:pStyle w:val="NoNumPlain1"/>
        <w:numPr>
          <w:ilvl w:val="0"/>
          <w:numId w:val="30"/>
        </w:numPr>
        <w:spacing w:before="100" w:after="100" w:line="240" w:lineRule="auto"/>
        <w:jc w:val="both"/>
        <w:rPr>
          <w:szCs w:val="19"/>
        </w:rPr>
      </w:pPr>
      <w:r>
        <w:t>The Board</w:t>
      </w:r>
      <w:r w:rsidRPr="006C4C6D">
        <w:t xml:space="preserve"> considered comments from stakeholders </w:t>
      </w:r>
      <w:r>
        <w:t xml:space="preserve">that some </w:t>
      </w:r>
      <w:r w:rsidRPr="006C4C6D">
        <w:t xml:space="preserve">not-for-profit </w:t>
      </w:r>
      <w:r>
        <w:t xml:space="preserve">entities are encountering </w:t>
      </w:r>
      <w:r w:rsidRPr="006C4C6D">
        <w:t xml:space="preserve">difficulties in </w:t>
      </w:r>
      <w:r>
        <w:t xml:space="preserve">applying the principles in AASB 13 </w:t>
      </w:r>
      <w:r w:rsidRPr="00983B56">
        <w:rPr>
          <w:i/>
        </w:rPr>
        <w:t>Fair Value Measurement</w:t>
      </w:r>
      <w:r>
        <w:t xml:space="preserve"> in </w:t>
      </w:r>
      <w:r w:rsidRPr="006C4C6D">
        <w:t>determining the fair value of right-of-use assets</w:t>
      </w:r>
      <w:r>
        <w:t xml:space="preserve"> arising under concessionary leases. </w:t>
      </w:r>
      <w:r w:rsidRPr="00983B56">
        <w:rPr>
          <w:szCs w:val="19"/>
        </w:rPr>
        <w:t>The Board considered the prevalence and magnitude of concessionary leases in the not</w:t>
      </w:r>
      <w:r w:rsidRPr="00983B56">
        <w:rPr>
          <w:szCs w:val="19"/>
        </w:rPr>
        <w:noBreakHyphen/>
        <w:t>for</w:t>
      </w:r>
      <w:r w:rsidRPr="00983B56">
        <w:rPr>
          <w:szCs w:val="19"/>
        </w:rPr>
        <w:noBreakHyphen/>
        <w:t xml:space="preserve">profit sector, and in December 2018 issued AASB 2018-8 </w:t>
      </w:r>
      <w:r w:rsidRPr="00983B56">
        <w:rPr>
          <w:i/>
          <w:iCs/>
          <w:szCs w:val="19"/>
        </w:rPr>
        <w:t>Amendments to Australian Accounting Standards – Right-of-Use Assets of Not-for-Profit Entities</w:t>
      </w:r>
      <w:r w:rsidRPr="00983B56">
        <w:rPr>
          <w:szCs w:val="19"/>
        </w:rPr>
        <w:t xml:space="preserve"> to provide a temporary option for not-for-profit lessees to measure a class (or classes) of right</w:t>
      </w:r>
      <w:r w:rsidRPr="00983B56">
        <w:rPr>
          <w:szCs w:val="19"/>
        </w:rPr>
        <w:noBreakHyphen/>
        <w:t>of</w:t>
      </w:r>
      <w:r w:rsidRPr="00983B56">
        <w:rPr>
          <w:szCs w:val="19"/>
        </w:rPr>
        <w:noBreakHyphen/>
        <w:t xml:space="preserve">use assets at initial recognition at cost or at fair value arising under concessionary leases. </w:t>
      </w:r>
    </w:p>
    <w:p w14:paraId="3D76B8D4" w14:textId="77777777" w:rsidR="00355676" w:rsidRDefault="00355676" w:rsidP="00564F44">
      <w:pPr>
        <w:pStyle w:val="NoNumPlain1"/>
        <w:numPr>
          <w:ilvl w:val="0"/>
          <w:numId w:val="30"/>
        </w:numPr>
        <w:spacing w:before="100" w:after="100" w:line="240" w:lineRule="auto"/>
        <w:jc w:val="both"/>
        <w:rPr>
          <w:szCs w:val="19"/>
        </w:rPr>
      </w:pPr>
      <w:r>
        <w:rPr>
          <w:szCs w:val="19"/>
        </w:rPr>
        <w:t xml:space="preserve">Subsequently the Board received </w:t>
      </w:r>
      <w:r w:rsidRPr="00ED0834">
        <w:rPr>
          <w:szCs w:val="19"/>
        </w:rPr>
        <w:t xml:space="preserve">feedback that public sector entities </w:t>
      </w:r>
      <w:r>
        <w:rPr>
          <w:szCs w:val="19"/>
        </w:rPr>
        <w:t xml:space="preserve">preparing Whole of Government and General Government Sector financial statements </w:t>
      </w:r>
      <w:r w:rsidRPr="00ED0834">
        <w:rPr>
          <w:szCs w:val="19"/>
        </w:rPr>
        <w:t xml:space="preserve">would need to revalue their </w:t>
      </w:r>
      <w:r>
        <w:rPr>
          <w:szCs w:val="19"/>
        </w:rPr>
        <w:t>right-of-use</w:t>
      </w:r>
      <w:r w:rsidRPr="00ED0834">
        <w:rPr>
          <w:szCs w:val="19"/>
        </w:rPr>
        <w:t xml:space="preserve"> assets </w:t>
      </w:r>
      <w:r>
        <w:rPr>
          <w:szCs w:val="19"/>
        </w:rPr>
        <w:t xml:space="preserve">arising </w:t>
      </w:r>
      <w:r w:rsidRPr="00ED0834">
        <w:rPr>
          <w:szCs w:val="19"/>
        </w:rPr>
        <w:t xml:space="preserve">under concessionary leases (and other leases) at fair value at subsequent measurement to satisfy the requirements </w:t>
      </w:r>
      <w:r>
        <w:rPr>
          <w:szCs w:val="19"/>
        </w:rPr>
        <w:t xml:space="preserve">of </w:t>
      </w:r>
      <w:r w:rsidRPr="00ED0834">
        <w:rPr>
          <w:szCs w:val="19"/>
        </w:rPr>
        <w:t xml:space="preserve">AASB 1049 </w:t>
      </w:r>
      <w:r w:rsidRPr="00D3211B">
        <w:rPr>
          <w:i/>
          <w:iCs/>
        </w:rPr>
        <w:t>Whole of Government and General Government Sector Financial Reporting</w:t>
      </w:r>
      <w:r w:rsidRPr="00D3211B">
        <w:t xml:space="preserve"> </w:t>
      </w:r>
      <w:r w:rsidRPr="00ED0834">
        <w:rPr>
          <w:szCs w:val="19"/>
        </w:rPr>
        <w:t xml:space="preserve">to elect accounting treatments in Accounting Standards that align with the principles in the ABS GFS Manual. </w:t>
      </w:r>
      <w:r>
        <w:rPr>
          <w:szCs w:val="19"/>
        </w:rPr>
        <w:t xml:space="preserve">The Board considered the issue and decided to </w:t>
      </w:r>
      <w:r w:rsidRPr="006166AF">
        <w:rPr>
          <w:szCs w:val="19"/>
        </w:rPr>
        <w:t xml:space="preserve">provide an option for the Whole of Government and the General Government Sector to measure </w:t>
      </w:r>
      <w:r>
        <w:rPr>
          <w:szCs w:val="19"/>
        </w:rPr>
        <w:t>right-of-use</w:t>
      </w:r>
      <w:r w:rsidRPr="006166AF">
        <w:rPr>
          <w:szCs w:val="19"/>
        </w:rPr>
        <w:t xml:space="preserve"> assets arising under concessionary leases at cost or at fair value in subsequent measurements</w:t>
      </w:r>
      <w:r>
        <w:rPr>
          <w:szCs w:val="19"/>
        </w:rPr>
        <w:t>, which is an extension of the existing temporary relief provided in AASB 2018</w:t>
      </w:r>
      <w:r>
        <w:rPr>
          <w:szCs w:val="19"/>
        </w:rPr>
        <w:noBreakHyphen/>
        <w:t>8 in relation to initial recognition.</w:t>
      </w:r>
    </w:p>
    <w:p w14:paraId="0E9D7D60" w14:textId="77777777" w:rsidR="00355676" w:rsidRPr="00A66BEE" w:rsidRDefault="00355676" w:rsidP="00564F44">
      <w:pPr>
        <w:pStyle w:val="NoNumPlain1"/>
        <w:numPr>
          <w:ilvl w:val="0"/>
          <w:numId w:val="30"/>
        </w:numPr>
        <w:spacing w:before="100" w:after="100" w:line="240" w:lineRule="auto"/>
        <w:jc w:val="both"/>
        <w:rPr>
          <w:szCs w:val="19"/>
        </w:rPr>
      </w:pPr>
      <w:r w:rsidRPr="00ED0834">
        <w:rPr>
          <w:szCs w:val="19"/>
        </w:rPr>
        <w:t xml:space="preserve">Stakeholders also requested clarification of whether </w:t>
      </w:r>
      <w:r>
        <w:rPr>
          <w:szCs w:val="19"/>
        </w:rPr>
        <w:t>right-of-use</w:t>
      </w:r>
      <w:r w:rsidRPr="00ED0834">
        <w:rPr>
          <w:szCs w:val="19"/>
        </w:rPr>
        <w:t xml:space="preserve"> assets arising under concessionary leases can be treated as a separate class of </w:t>
      </w:r>
      <w:r>
        <w:rPr>
          <w:szCs w:val="19"/>
        </w:rPr>
        <w:t xml:space="preserve">right-of-use </w:t>
      </w:r>
      <w:r w:rsidRPr="00ED0834">
        <w:rPr>
          <w:szCs w:val="19"/>
        </w:rPr>
        <w:t xml:space="preserve">assets </w:t>
      </w:r>
      <w:r>
        <w:rPr>
          <w:szCs w:val="19"/>
        </w:rPr>
        <w:t>to right-of-use</w:t>
      </w:r>
      <w:r w:rsidRPr="00ED0834">
        <w:rPr>
          <w:szCs w:val="19"/>
        </w:rPr>
        <w:t xml:space="preserve"> assets arising </w:t>
      </w:r>
      <w:r>
        <w:rPr>
          <w:szCs w:val="19"/>
        </w:rPr>
        <w:t>under</w:t>
      </w:r>
      <w:r w:rsidRPr="00ED0834">
        <w:rPr>
          <w:szCs w:val="19"/>
        </w:rPr>
        <w:t xml:space="preserve"> other leases</w:t>
      </w:r>
      <w:r>
        <w:rPr>
          <w:szCs w:val="19"/>
        </w:rPr>
        <w:t xml:space="preserve"> so that entities can have the option to measure right-of-use assets arising under concessionary leases under a different basis to right-of-use assets arising under other leases. The Board decided to amend the Standards to clarify this.</w:t>
      </w:r>
    </w:p>
    <w:p w14:paraId="4ADF95FB" w14:textId="77777777" w:rsidR="00355676" w:rsidRPr="00766E15" w:rsidRDefault="00355676" w:rsidP="00355676">
      <w:pPr>
        <w:pStyle w:val="IASBSectionTitle1NonInd"/>
        <w:jc w:val="both"/>
        <w:rPr>
          <w:iCs/>
        </w:rPr>
      </w:pPr>
      <w:r>
        <w:t>Subsequent measurement of right-of-use assets of Whole of Government and General Government Sector</w:t>
      </w:r>
    </w:p>
    <w:p w14:paraId="7E898A4F" w14:textId="77777777" w:rsidR="00355676" w:rsidRPr="00823201" w:rsidRDefault="00355676" w:rsidP="00564F44">
      <w:pPr>
        <w:pStyle w:val="NoNumPlain1"/>
        <w:numPr>
          <w:ilvl w:val="0"/>
          <w:numId w:val="30"/>
        </w:numPr>
        <w:spacing w:before="100" w:after="100" w:line="240" w:lineRule="auto"/>
        <w:jc w:val="both"/>
      </w:pPr>
      <w:r w:rsidRPr="00823201">
        <w:t xml:space="preserve">The Board received feedback from stakeholders that public sector entities apply the revaluation model in AASB 116 </w:t>
      </w:r>
      <w:r w:rsidRPr="00823201">
        <w:rPr>
          <w:i/>
          <w:iCs/>
        </w:rPr>
        <w:t>Property, Plant and Equipment</w:t>
      </w:r>
      <w:r w:rsidRPr="00823201">
        <w:t xml:space="preserve"> to measure their property, plant and equipment at fair value to align with Government Finance Statistics (GFS) principles (ie measurement of assets at current market value). They are concerned that, to satisfy the requirements in paragraph 13 of AASB 1049, public sector entities would be required to also </w:t>
      </w:r>
      <w:r>
        <w:t>apply</w:t>
      </w:r>
      <w:r w:rsidRPr="00823201">
        <w:t xml:space="preserve"> the revaluation model to measure right-of-use assets arising under concessionary leases at fair value at subsequent measurement</w:t>
      </w:r>
      <w:r>
        <w:t>.</w:t>
      </w:r>
    </w:p>
    <w:p w14:paraId="7D8BE784" w14:textId="77777777" w:rsidR="00355676" w:rsidRDefault="00355676" w:rsidP="00564F44">
      <w:pPr>
        <w:pStyle w:val="NoNumPlain1"/>
        <w:numPr>
          <w:ilvl w:val="0"/>
          <w:numId w:val="30"/>
        </w:numPr>
        <w:spacing w:before="100" w:after="100" w:line="240" w:lineRule="auto"/>
        <w:jc w:val="both"/>
      </w:pPr>
      <w:r>
        <w:lastRenderedPageBreak/>
        <w:t xml:space="preserve">As stated in paragraph BC6 of </w:t>
      </w:r>
      <w:r w:rsidRPr="00E47DB7">
        <w:t>AASB 2018-8</w:t>
      </w:r>
      <w:r>
        <w:t>, temporarily permitting not</w:t>
      </w:r>
      <w:r>
        <w:noBreakHyphen/>
        <w:t>for</w:t>
      </w:r>
      <w:r>
        <w:noBreakHyphen/>
        <w:t>profit</w:t>
      </w:r>
      <w:r w:rsidRPr="00E47DB7">
        <w:t xml:space="preserve"> entities</w:t>
      </w:r>
      <w:r>
        <w:t xml:space="preserve"> </w:t>
      </w:r>
      <w:r w:rsidRPr="00E47DB7">
        <w:t xml:space="preserve">to </w:t>
      </w:r>
      <w:r>
        <w:t xml:space="preserve">elect </w:t>
      </w:r>
      <w:r w:rsidRPr="00E47DB7">
        <w:t xml:space="preserve">to measure </w:t>
      </w:r>
      <w:r>
        <w:t xml:space="preserve">right-of-use </w:t>
      </w:r>
      <w:r w:rsidRPr="00E47DB7">
        <w:t xml:space="preserve">assets </w:t>
      </w:r>
      <w:r>
        <w:t xml:space="preserve">arising </w:t>
      </w:r>
      <w:r w:rsidRPr="00E47DB7">
        <w:t xml:space="preserve">under concessionary leases at either cost or fair value at initial recognition </w:t>
      </w:r>
      <w:r>
        <w:t xml:space="preserve">was intended </w:t>
      </w:r>
      <w:r w:rsidRPr="00E47DB7">
        <w:t xml:space="preserve">to avoid </w:t>
      </w:r>
      <w:r>
        <w:t>not-for-profit</w:t>
      </w:r>
      <w:r w:rsidRPr="00E47DB7">
        <w:t xml:space="preserve"> entities</w:t>
      </w:r>
      <w:r>
        <w:t>, including those in the public sector,</w:t>
      </w:r>
      <w:r w:rsidRPr="00E47DB7">
        <w:t xml:space="preserve"> incurring undue cost and effort in applying the principles of AASB 13 to measure </w:t>
      </w:r>
      <w:r>
        <w:t>the fair value of right-of-use</w:t>
      </w:r>
      <w:r w:rsidRPr="00E47DB7">
        <w:t xml:space="preserve"> assets </w:t>
      </w:r>
      <w:r>
        <w:t xml:space="preserve">arising under concessionary leases </w:t>
      </w:r>
      <w:r w:rsidRPr="00E47DB7">
        <w:t>in the absence of further guidance on fair value measurement</w:t>
      </w:r>
      <w:r>
        <w:t xml:space="preserve">. However, stakeholders commented that </w:t>
      </w:r>
      <w:r w:rsidRPr="00E47DB7">
        <w:t>limiting the relief only to initial measurement d</w:t>
      </w:r>
      <w:r>
        <w:t>id</w:t>
      </w:r>
      <w:r w:rsidRPr="00E47DB7">
        <w:t xml:space="preserve"> not appear to have achieved th</w:t>
      </w:r>
      <w:r>
        <w:t xml:space="preserve">is for public sector not-for-profit entities. </w:t>
      </w:r>
    </w:p>
    <w:p w14:paraId="7B3DA5AA" w14:textId="77777777" w:rsidR="00355676" w:rsidRPr="005403E1" w:rsidRDefault="00355676" w:rsidP="00564F44">
      <w:pPr>
        <w:pStyle w:val="ListParagraph"/>
        <w:numPr>
          <w:ilvl w:val="0"/>
          <w:numId w:val="30"/>
        </w:numPr>
        <w:jc w:val="both"/>
        <w:rPr>
          <w:szCs w:val="19"/>
        </w:rPr>
      </w:pPr>
      <w:r w:rsidRPr="005403E1">
        <w:rPr>
          <w:szCs w:val="19"/>
        </w:rPr>
        <w:t>The Board noted that there is precedent for deferring measurement requirements for the not</w:t>
      </w:r>
      <w:r w:rsidRPr="005403E1">
        <w:rPr>
          <w:szCs w:val="19"/>
        </w:rPr>
        <w:noBreakHyphen/>
        <w:t>for</w:t>
      </w:r>
      <w:r w:rsidRPr="005403E1">
        <w:rPr>
          <w:szCs w:val="19"/>
        </w:rPr>
        <w:noBreakHyphen/>
        <w:t xml:space="preserve">profit public sector. For example, the Board deferred the requirement to recognise defence weapons platforms at fair value when the ABS GFS Manual was amended to treat defence weapons platforms as assets rather than immediate expenses. Paragraph BC3 to the amending Standard AASB 2012-8 </w:t>
      </w:r>
      <w:r w:rsidRPr="005403E1">
        <w:rPr>
          <w:i/>
          <w:iCs/>
          <w:szCs w:val="19"/>
        </w:rPr>
        <w:t xml:space="preserve">Amendments to AASB 1049 – Extension of Transitional Relief for the Adoption of Amendments to the ABS GFS Manual relating to Defence Weapons Platforms </w:t>
      </w:r>
      <w:r w:rsidRPr="005403E1">
        <w:rPr>
          <w:szCs w:val="19"/>
        </w:rPr>
        <w:t xml:space="preserve">(appended to AASB 1049) suggested that the Board considered the magnitude and complexity of the valuation exercise for defence weapons platforms and decided that an extension of transitional relief for two years would be required for the Australian Government to be able to comply. The Board also deferred the requirement to recognise land under roads (first from 31 December 2002 to 31 December 2006, then further to 31 December 2007) considering the lack of international convergence on the recognition of land under roads. When finalising AASB 1051 </w:t>
      </w:r>
      <w:r w:rsidRPr="005403E1">
        <w:rPr>
          <w:i/>
          <w:iCs/>
          <w:szCs w:val="19"/>
        </w:rPr>
        <w:t>Land Under Roads</w:t>
      </w:r>
      <w:r w:rsidRPr="005403E1">
        <w:rPr>
          <w:szCs w:val="19"/>
        </w:rPr>
        <w:t>, the Board considered that it might be onerous for entities to be required to retrospectively identify, assess the recognition criteria, recognise and measure land under roads previously acquired, and decided to allow entities to elect whether to recognise land under roads acquired before the end of the first reporting period ending on or after 31 December 2007 (AASB 1051</w:t>
      </w:r>
      <w:r>
        <w:rPr>
          <w:szCs w:val="19"/>
        </w:rPr>
        <w:t>,</w:t>
      </w:r>
      <w:r w:rsidRPr="005403E1">
        <w:rPr>
          <w:szCs w:val="19"/>
        </w:rPr>
        <w:t xml:space="preserve"> paragraph BC11). </w:t>
      </w:r>
    </w:p>
    <w:p w14:paraId="07096E8F" w14:textId="77777777" w:rsidR="00355676" w:rsidRDefault="00355676" w:rsidP="00564F44">
      <w:pPr>
        <w:pStyle w:val="NoNumPlain1"/>
        <w:numPr>
          <w:ilvl w:val="0"/>
          <w:numId w:val="30"/>
        </w:numPr>
        <w:spacing w:before="100" w:after="100" w:line="240" w:lineRule="auto"/>
        <w:jc w:val="both"/>
      </w:pPr>
      <w:r w:rsidRPr="005403E1">
        <w:rPr>
          <w:szCs w:val="19"/>
        </w:rPr>
        <w:t xml:space="preserve">The Board </w:t>
      </w:r>
      <w:r>
        <w:rPr>
          <w:szCs w:val="19"/>
        </w:rPr>
        <w:t xml:space="preserve">also considered that </w:t>
      </w:r>
      <w:r w:rsidRPr="005403E1">
        <w:rPr>
          <w:szCs w:val="19"/>
        </w:rPr>
        <w:t xml:space="preserve">its project on reforming the Australian public sector financial reporting framework could reduce the magnitude of </w:t>
      </w:r>
      <w:r>
        <w:rPr>
          <w:szCs w:val="19"/>
        </w:rPr>
        <w:t>having</w:t>
      </w:r>
      <w:r w:rsidRPr="005403E1">
        <w:rPr>
          <w:szCs w:val="19"/>
        </w:rPr>
        <w:t xml:space="preserve"> material right-of-use assets arising under concessionary leases be</w:t>
      </w:r>
      <w:r>
        <w:rPr>
          <w:szCs w:val="19"/>
        </w:rPr>
        <w:t>ing</w:t>
      </w:r>
      <w:r w:rsidRPr="005403E1">
        <w:rPr>
          <w:szCs w:val="19"/>
        </w:rPr>
        <w:t xml:space="preserve"> measured at fair value if it is determined that general purpose financial statements are not required to be prepared by all public sector entities, other than Whole of Government and General Government Sector. </w:t>
      </w:r>
      <w:r>
        <w:rPr>
          <w:szCs w:val="19"/>
        </w:rPr>
        <w:t xml:space="preserve">The Board also considered that it might also be prudent to not introduce further amendments to AASB 1049 until the planned </w:t>
      </w:r>
      <w:r w:rsidRPr="005403E1">
        <w:rPr>
          <w:szCs w:val="19"/>
        </w:rPr>
        <w:t>post-implementation</w:t>
      </w:r>
      <w:r w:rsidRPr="003F3449">
        <w:t xml:space="preserve"> review of AASB</w:t>
      </w:r>
      <w:r>
        <w:t> </w:t>
      </w:r>
      <w:r w:rsidRPr="003F3449">
        <w:t>1049</w:t>
      </w:r>
      <w:r>
        <w:t xml:space="preserve"> has been completed. </w:t>
      </w:r>
    </w:p>
    <w:p w14:paraId="0FE32AE9" w14:textId="77777777" w:rsidR="00355676" w:rsidRPr="004474FB" w:rsidRDefault="00355676" w:rsidP="00564F44">
      <w:pPr>
        <w:pStyle w:val="NoNumPlain1"/>
        <w:numPr>
          <w:ilvl w:val="0"/>
          <w:numId w:val="30"/>
        </w:numPr>
        <w:spacing w:before="100" w:after="100" w:line="240" w:lineRule="auto"/>
        <w:jc w:val="both"/>
        <w:rPr>
          <w:szCs w:val="19"/>
        </w:rPr>
      </w:pPr>
      <w:bookmarkStart w:id="15" w:name="_Ref20836078"/>
      <w:r w:rsidRPr="00D04D12">
        <w:t xml:space="preserve">However, </w:t>
      </w:r>
      <w:r>
        <w:t xml:space="preserve">since the </w:t>
      </w:r>
      <w:r w:rsidRPr="002B1F56">
        <w:t xml:space="preserve">public sector financial reporting framework reform, the </w:t>
      </w:r>
      <w:r w:rsidRPr="005403E1">
        <w:rPr>
          <w:szCs w:val="19"/>
        </w:rPr>
        <w:t>post-implementation</w:t>
      </w:r>
      <w:r w:rsidRPr="003F3449">
        <w:t xml:space="preserve"> review</w:t>
      </w:r>
      <w:r w:rsidRPr="002B1F56">
        <w:t xml:space="preserve"> of AASB</w:t>
      </w:r>
      <w:r>
        <w:t> </w:t>
      </w:r>
      <w:r w:rsidRPr="002B1F56">
        <w:t>1049 and the</w:t>
      </w:r>
      <w:r>
        <w:t xml:space="preserve"> guidance on</w:t>
      </w:r>
      <w:r w:rsidRPr="002B1F56">
        <w:t xml:space="preserve"> fair value </w:t>
      </w:r>
      <w:r>
        <w:t xml:space="preserve">measurement </w:t>
      </w:r>
      <w:r w:rsidRPr="002B1F56">
        <w:t xml:space="preserve">are not expected to be completed when public sector entities need to prepare their financial statements for the </w:t>
      </w:r>
      <w:r>
        <w:t xml:space="preserve">2019/20 </w:t>
      </w:r>
      <w:r w:rsidRPr="002B1F56">
        <w:t>financial year</w:t>
      </w:r>
      <w:r>
        <w:t>,</w:t>
      </w:r>
      <w:r w:rsidRPr="002B1F56">
        <w:t xml:space="preserve"> </w:t>
      </w:r>
      <w:r>
        <w:t xml:space="preserve">the Board decided to extend the current temporary relief in relation to initial measurement to </w:t>
      </w:r>
      <w:r w:rsidRPr="00353976">
        <w:t xml:space="preserve">provide an option for the Whole of </w:t>
      </w:r>
      <w:r w:rsidRPr="004474FB">
        <w:rPr>
          <w:szCs w:val="19"/>
        </w:rPr>
        <w:t xml:space="preserve">Government and the General Government Sector to measure right-of-use assets arising under concessionary leases at cost or at fair value in subsequent measurements. The Board made this decision in accordance with </w:t>
      </w:r>
      <w:r w:rsidRPr="004474FB">
        <w:rPr>
          <w:i/>
          <w:iCs/>
          <w:szCs w:val="19"/>
        </w:rPr>
        <w:t>The AASB’s Not-for-Profit Entity Standard-Setting Framework</w:t>
      </w:r>
      <w:r w:rsidRPr="004474FB">
        <w:rPr>
          <w:szCs w:val="19"/>
        </w:rPr>
        <w:t xml:space="preserve"> (paragraph 28(d)) to avoid undue cost and effort in applying the principles of AASB 13 in measuring the fair value of these assets before the Board issues further fair value measurement guidance.</w:t>
      </w:r>
      <w:bookmarkEnd w:id="15"/>
      <w:r>
        <w:rPr>
          <w:szCs w:val="19"/>
        </w:rPr>
        <w:t xml:space="preserve"> The Board therefore amended paragraph 13D of AASB 1049 to remove the initial recognition proviso for measuring a class of right-of-use assets arising under concessionary leases at cost or fair value.</w:t>
      </w:r>
    </w:p>
    <w:p w14:paraId="18F1E0A6" w14:textId="63BACFB0" w:rsidR="00355676" w:rsidRDefault="00355676" w:rsidP="00564F44">
      <w:pPr>
        <w:pStyle w:val="NoNumPlain1"/>
        <w:numPr>
          <w:ilvl w:val="0"/>
          <w:numId w:val="30"/>
        </w:numPr>
        <w:spacing w:before="100" w:after="100" w:line="240" w:lineRule="auto"/>
        <w:jc w:val="both"/>
        <w:rPr>
          <w:szCs w:val="19"/>
        </w:rPr>
      </w:pPr>
      <w:r w:rsidRPr="006919A2">
        <w:rPr>
          <w:szCs w:val="19"/>
        </w:rPr>
        <w:t xml:space="preserve">The temporary relief described in paragraph </w:t>
      </w:r>
      <w:r w:rsidRPr="006919A2">
        <w:rPr>
          <w:szCs w:val="19"/>
        </w:rPr>
        <w:fldChar w:fldCharType="begin"/>
      </w:r>
      <w:r w:rsidRPr="006919A2">
        <w:rPr>
          <w:szCs w:val="19"/>
        </w:rPr>
        <w:instrText xml:space="preserve"> REF _Ref20836078 \r \h </w:instrText>
      </w:r>
      <w:r w:rsidRPr="006919A2">
        <w:rPr>
          <w:szCs w:val="19"/>
        </w:rPr>
      </w:r>
      <w:r w:rsidRPr="006919A2">
        <w:rPr>
          <w:szCs w:val="19"/>
        </w:rPr>
        <w:fldChar w:fldCharType="separate"/>
      </w:r>
      <w:r w:rsidR="00045471">
        <w:rPr>
          <w:szCs w:val="19"/>
        </w:rPr>
        <w:t>BC11</w:t>
      </w:r>
      <w:r w:rsidRPr="006919A2">
        <w:rPr>
          <w:szCs w:val="19"/>
        </w:rPr>
        <w:fldChar w:fldCharType="end"/>
      </w:r>
      <w:r w:rsidRPr="006919A2">
        <w:rPr>
          <w:szCs w:val="19"/>
        </w:rPr>
        <w:t>, in relation to subsequent measurements of right-of-use assets arising under concessionary leases, is provided only to Whole of Government and General Government Sector because AASB 1049 specifies requirements only for Whole of Government and General Government Sector</w:t>
      </w:r>
      <w:r>
        <w:rPr>
          <w:szCs w:val="19"/>
        </w:rPr>
        <w:t xml:space="preserve"> financial statements</w:t>
      </w:r>
      <w:r w:rsidRPr="006919A2">
        <w:rPr>
          <w:szCs w:val="19"/>
        </w:rPr>
        <w:t xml:space="preserve">. Other </w:t>
      </w:r>
      <w:r>
        <w:rPr>
          <w:szCs w:val="19"/>
        </w:rPr>
        <w:t xml:space="preserve">public sector </w:t>
      </w:r>
      <w:r w:rsidRPr="006919A2">
        <w:rPr>
          <w:szCs w:val="19"/>
        </w:rPr>
        <w:t>entities</w:t>
      </w:r>
      <w:r>
        <w:rPr>
          <w:szCs w:val="19"/>
        </w:rPr>
        <w:t>, such as government agencies and local governments,</w:t>
      </w:r>
      <w:r w:rsidRPr="006919A2">
        <w:rPr>
          <w:szCs w:val="19"/>
        </w:rPr>
        <w:t xml:space="preserve"> are </w:t>
      </w:r>
      <w:r>
        <w:rPr>
          <w:szCs w:val="19"/>
        </w:rPr>
        <w:t xml:space="preserve">not subject to AASB 1049 and are </w:t>
      </w:r>
      <w:r w:rsidRPr="006919A2">
        <w:rPr>
          <w:szCs w:val="19"/>
        </w:rPr>
        <w:t xml:space="preserve">not required by current Accounting </w:t>
      </w:r>
      <w:r>
        <w:rPr>
          <w:szCs w:val="19"/>
        </w:rPr>
        <w:t>S</w:t>
      </w:r>
      <w:r w:rsidRPr="006919A2">
        <w:rPr>
          <w:szCs w:val="19"/>
        </w:rPr>
        <w:t>tandards to adopt a fair-value approach</w:t>
      </w:r>
      <w:r>
        <w:rPr>
          <w:szCs w:val="19"/>
        </w:rPr>
        <w:t xml:space="preserve"> in measuring non</w:t>
      </w:r>
      <w:r>
        <w:rPr>
          <w:szCs w:val="19"/>
        </w:rPr>
        <w:noBreakHyphen/>
        <w:t>financial assets. These entities therefore do not need the temporary relief provided under AASB 1049. Whether these entities are required to adopt a fair-value approach is a matter for the Treasury or Finance Department or other authority in each jurisdiction.</w:t>
      </w:r>
    </w:p>
    <w:p w14:paraId="1243F608" w14:textId="77777777" w:rsidR="00355676" w:rsidRPr="006919A2" w:rsidRDefault="00355676" w:rsidP="00564F44">
      <w:pPr>
        <w:pStyle w:val="NoNumPlain1"/>
        <w:numPr>
          <w:ilvl w:val="0"/>
          <w:numId w:val="30"/>
        </w:numPr>
        <w:spacing w:before="100" w:after="100" w:line="240" w:lineRule="auto"/>
        <w:jc w:val="both"/>
        <w:rPr>
          <w:szCs w:val="19"/>
        </w:rPr>
      </w:pPr>
      <w:r>
        <w:rPr>
          <w:szCs w:val="19"/>
        </w:rPr>
        <w:t xml:space="preserve">Consistent with its decisions in AASB 2018-8 (see paragraph BC16 of AASB 2018-8), the Board considers that the additional disclosure requirements in paragraphs Aus59.1 and Aus59.2 of AASB 16 apply in the absence of fair value information at any reporting date when right-of-use assets arising under concessionary leases are measured at cost, subsequent to their initial recognition at cost. This </w:t>
      </w:r>
      <w:r w:rsidRPr="0066754A">
        <w:rPr>
          <w:szCs w:val="19"/>
        </w:rPr>
        <w:t>ensure</w:t>
      </w:r>
      <w:r>
        <w:rPr>
          <w:szCs w:val="19"/>
        </w:rPr>
        <w:t>s</w:t>
      </w:r>
      <w:r w:rsidRPr="0066754A">
        <w:rPr>
          <w:szCs w:val="19"/>
        </w:rPr>
        <w:t xml:space="preserve"> adequate information is disclosed for users of financial statements to understand the effects on the financial position, financial performance and cash flows of the entity arising from concessionary leases</w:t>
      </w:r>
      <w:r>
        <w:rPr>
          <w:szCs w:val="19"/>
        </w:rPr>
        <w:t>.</w:t>
      </w:r>
    </w:p>
    <w:p w14:paraId="54424D73" w14:textId="77777777" w:rsidR="00355676" w:rsidRPr="00766E15" w:rsidRDefault="00355676" w:rsidP="00355676">
      <w:pPr>
        <w:pStyle w:val="IASBSectionTitle1NonInd"/>
        <w:jc w:val="both"/>
        <w:rPr>
          <w:iCs/>
        </w:rPr>
      </w:pPr>
      <w:r>
        <w:lastRenderedPageBreak/>
        <w:t>Class of right</w:t>
      </w:r>
      <w:r>
        <w:noBreakHyphen/>
        <w:t>of</w:t>
      </w:r>
      <w:r>
        <w:noBreakHyphen/>
        <w:t>use assets</w:t>
      </w:r>
    </w:p>
    <w:p w14:paraId="0EA205A1" w14:textId="77777777" w:rsidR="00355676" w:rsidRPr="005A2D12" w:rsidRDefault="00355676" w:rsidP="00564F44">
      <w:pPr>
        <w:pStyle w:val="ListParagraph"/>
        <w:numPr>
          <w:ilvl w:val="0"/>
          <w:numId w:val="30"/>
        </w:numPr>
        <w:jc w:val="both"/>
        <w:rPr>
          <w:szCs w:val="19"/>
        </w:rPr>
      </w:pPr>
      <w:r>
        <w:t xml:space="preserve">Current accounting standards (eg AASB 116 </w:t>
      </w:r>
      <w:r w:rsidRPr="00AF37A3">
        <w:rPr>
          <w:i/>
          <w:iCs/>
        </w:rPr>
        <w:t>Property, Plant and Equipment</w:t>
      </w:r>
      <w:r>
        <w:t xml:space="preserve"> and AASB 138 </w:t>
      </w:r>
      <w:r w:rsidRPr="00AF37A3">
        <w:rPr>
          <w:i/>
          <w:iCs/>
        </w:rPr>
        <w:t>Intangible Assets</w:t>
      </w:r>
      <w:r>
        <w:t xml:space="preserve">) describe </w:t>
      </w:r>
      <w:r w:rsidRPr="007F387A">
        <w:t xml:space="preserve">a class of assets as </w:t>
      </w:r>
      <w:r>
        <w:t>‘</w:t>
      </w:r>
      <w:r w:rsidRPr="007F387A">
        <w:t>a grouping of assets of a similar nature and use in an entity’s operations</w:t>
      </w:r>
      <w:r>
        <w:t xml:space="preserve">’. Some stakeholders commented that </w:t>
      </w:r>
      <w:r w:rsidRPr="00810808">
        <w:t xml:space="preserve">applying this description – grouping </w:t>
      </w:r>
      <w:r>
        <w:t>right</w:t>
      </w:r>
      <w:r>
        <w:noBreakHyphen/>
        <w:t>of</w:t>
      </w:r>
      <w:r>
        <w:noBreakHyphen/>
        <w:t>use</w:t>
      </w:r>
      <w:r w:rsidRPr="00810808">
        <w:t xml:space="preserve"> assets of a similar nature </w:t>
      </w:r>
      <w:r w:rsidRPr="005A2D12">
        <w:rPr>
          <w:szCs w:val="19"/>
        </w:rPr>
        <w:t>and use in an entity’s operations – would mean that a right</w:t>
      </w:r>
      <w:r w:rsidRPr="005A2D12">
        <w:rPr>
          <w:szCs w:val="19"/>
        </w:rPr>
        <w:noBreakHyphen/>
        <w:t>of</w:t>
      </w:r>
      <w:r w:rsidRPr="005A2D12">
        <w:rPr>
          <w:szCs w:val="19"/>
        </w:rPr>
        <w:noBreakHyphen/>
        <w:t>use asset arising under a concessionary lease would be classified in the same class as right</w:t>
      </w:r>
      <w:r w:rsidRPr="005A2D12">
        <w:rPr>
          <w:szCs w:val="19"/>
        </w:rPr>
        <w:noBreakHyphen/>
        <w:t>of</w:t>
      </w:r>
      <w:r w:rsidRPr="005A2D12">
        <w:rPr>
          <w:szCs w:val="19"/>
        </w:rPr>
        <w:noBreakHyphen/>
        <w:t>use assets arising under other leases, if they exhibit the similar nature and use. Therefore, further guidance or amendments would be required to define or clarify ‘a class (or classes) of right</w:t>
      </w:r>
      <w:r w:rsidRPr="005A2D12">
        <w:rPr>
          <w:szCs w:val="19"/>
        </w:rPr>
        <w:noBreakHyphen/>
        <w:t>of</w:t>
      </w:r>
      <w:r w:rsidRPr="005A2D12">
        <w:rPr>
          <w:szCs w:val="19"/>
        </w:rPr>
        <w:noBreakHyphen/>
        <w:t>use assets’</w:t>
      </w:r>
      <w:r>
        <w:rPr>
          <w:szCs w:val="19"/>
        </w:rPr>
        <w:t xml:space="preserve"> </w:t>
      </w:r>
      <w:r w:rsidRPr="005A2D12">
        <w:rPr>
          <w:szCs w:val="19"/>
        </w:rPr>
        <w:t xml:space="preserve">if </w:t>
      </w:r>
      <w:r>
        <w:rPr>
          <w:szCs w:val="19"/>
        </w:rPr>
        <w:t>it was in</w:t>
      </w:r>
      <w:r w:rsidRPr="005A2D12">
        <w:rPr>
          <w:szCs w:val="19"/>
        </w:rPr>
        <w:t>tend</w:t>
      </w:r>
      <w:r>
        <w:rPr>
          <w:szCs w:val="19"/>
        </w:rPr>
        <w:t>ed</w:t>
      </w:r>
      <w:r w:rsidRPr="005A2D12">
        <w:rPr>
          <w:szCs w:val="19"/>
        </w:rPr>
        <w:t xml:space="preserve"> to provide temporary relief to </w:t>
      </w:r>
      <w:r>
        <w:rPr>
          <w:szCs w:val="19"/>
        </w:rPr>
        <w:t>not</w:t>
      </w:r>
      <w:r>
        <w:rPr>
          <w:szCs w:val="19"/>
        </w:rPr>
        <w:noBreakHyphen/>
        <w:t>for</w:t>
      </w:r>
      <w:r>
        <w:rPr>
          <w:szCs w:val="19"/>
        </w:rPr>
        <w:noBreakHyphen/>
        <w:t>profit</w:t>
      </w:r>
      <w:r w:rsidRPr="005A2D12">
        <w:rPr>
          <w:szCs w:val="19"/>
        </w:rPr>
        <w:t xml:space="preserve"> entities by permitting them to elect to measure right</w:t>
      </w:r>
      <w:r w:rsidRPr="005A2D12">
        <w:rPr>
          <w:szCs w:val="19"/>
        </w:rPr>
        <w:noBreakHyphen/>
        <w:t>of</w:t>
      </w:r>
      <w:r w:rsidRPr="005A2D12">
        <w:rPr>
          <w:szCs w:val="19"/>
        </w:rPr>
        <w:noBreakHyphen/>
        <w:t xml:space="preserve">use assets </w:t>
      </w:r>
      <w:r>
        <w:rPr>
          <w:szCs w:val="19"/>
        </w:rPr>
        <w:t xml:space="preserve">arising </w:t>
      </w:r>
      <w:r w:rsidRPr="005A2D12">
        <w:rPr>
          <w:szCs w:val="19"/>
        </w:rPr>
        <w:t>under concessionary leases at cost or fair value, whether or not right</w:t>
      </w:r>
      <w:r w:rsidRPr="005A2D12">
        <w:rPr>
          <w:szCs w:val="19"/>
        </w:rPr>
        <w:noBreakHyphen/>
        <w:t>of</w:t>
      </w:r>
      <w:r w:rsidRPr="005A2D12">
        <w:rPr>
          <w:szCs w:val="19"/>
        </w:rPr>
        <w:noBreakHyphen/>
        <w:t xml:space="preserve">use assets arising under </w:t>
      </w:r>
      <w:r>
        <w:rPr>
          <w:szCs w:val="19"/>
        </w:rPr>
        <w:t>other</w:t>
      </w:r>
      <w:r w:rsidRPr="005A2D12">
        <w:rPr>
          <w:szCs w:val="19"/>
        </w:rPr>
        <w:t xml:space="preserve"> leases </w:t>
      </w:r>
      <w:r>
        <w:rPr>
          <w:szCs w:val="19"/>
        </w:rPr>
        <w:t>that are in</w:t>
      </w:r>
      <w:r w:rsidRPr="005A2D12">
        <w:rPr>
          <w:szCs w:val="19"/>
        </w:rPr>
        <w:t xml:space="preserve"> the same class are measured on the same basis.</w:t>
      </w:r>
    </w:p>
    <w:p w14:paraId="78BEA496" w14:textId="77777777" w:rsidR="00355676" w:rsidRDefault="00355676" w:rsidP="00564F44">
      <w:pPr>
        <w:pStyle w:val="NoNumPlain1"/>
        <w:numPr>
          <w:ilvl w:val="0"/>
          <w:numId w:val="30"/>
        </w:numPr>
        <w:spacing w:before="100" w:after="100" w:line="240" w:lineRule="auto"/>
        <w:jc w:val="both"/>
      </w:pPr>
      <w:r>
        <w:t>The Board considered that t</w:t>
      </w:r>
      <w:r w:rsidRPr="00600F5F">
        <w:t xml:space="preserve">he </w:t>
      </w:r>
      <w:r w:rsidRPr="00B8027E">
        <w:rPr>
          <w:szCs w:val="19"/>
        </w:rPr>
        <w:t>amendments</w:t>
      </w:r>
      <w:r w:rsidRPr="00600F5F">
        <w:t xml:space="preserve"> made to paragraph Aus25.1 of AASB 16 and the commentary in paragraph BC14 to AASB</w:t>
      </w:r>
      <w:r>
        <w:t> </w:t>
      </w:r>
      <w:r w:rsidRPr="00600F5F">
        <w:t xml:space="preserve">2018-8 already distinguished a class of </w:t>
      </w:r>
      <w:r w:rsidRPr="005A2D12">
        <w:rPr>
          <w:szCs w:val="19"/>
        </w:rPr>
        <w:t>right</w:t>
      </w:r>
      <w:r w:rsidRPr="005A2D12">
        <w:rPr>
          <w:szCs w:val="19"/>
        </w:rPr>
        <w:noBreakHyphen/>
        <w:t>of</w:t>
      </w:r>
      <w:r w:rsidRPr="005A2D12">
        <w:rPr>
          <w:szCs w:val="19"/>
        </w:rPr>
        <w:noBreakHyphen/>
        <w:t>use</w:t>
      </w:r>
      <w:r w:rsidRPr="00600F5F">
        <w:t xml:space="preserve"> assets based on whether the </w:t>
      </w:r>
      <w:r w:rsidRPr="005A2D12">
        <w:rPr>
          <w:szCs w:val="19"/>
        </w:rPr>
        <w:t>right</w:t>
      </w:r>
      <w:r w:rsidRPr="005A2D12">
        <w:rPr>
          <w:szCs w:val="19"/>
        </w:rPr>
        <w:noBreakHyphen/>
        <w:t>of</w:t>
      </w:r>
      <w:r w:rsidRPr="005A2D12">
        <w:rPr>
          <w:szCs w:val="19"/>
        </w:rPr>
        <w:noBreakHyphen/>
        <w:t>use</w:t>
      </w:r>
      <w:r w:rsidRPr="00600F5F">
        <w:t xml:space="preserve"> assets arise under concessionary or non-concessionary leases, in addition to the requirement for a similar asset nature and use. </w:t>
      </w:r>
      <w:r>
        <w:t xml:space="preserve">Given the </w:t>
      </w:r>
      <w:r w:rsidRPr="00600F5F">
        <w:t>uncertain</w:t>
      </w:r>
      <w:r>
        <w:t>ty</w:t>
      </w:r>
      <w:r w:rsidRPr="00600F5F">
        <w:t xml:space="preserve"> whether the current measurement option is effective given the existing description of a class of asset</w:t>
      </w:r>
      <w:r>
        <w:t>,</w:t>
      </w:r>
      <w:r w:rsidRPr="00600F5F">
        <w:t xml:space="preserve"> </w:t>
      </w:r>
      <w:r>
        <w:t xml:space="preserve">the Board decided </w:t>
      </w:r>
      <w:r w:rsidRPr="00600F5F">
        <w:t>to clarify this</w:t>
      </w:r>
      <w:r>
        <w:t xml:space="preserve"> in the further amendment of AASB 16. </w:t>
      </w:r>
    </w:p>
    <w:p w14:paraId="44BD0A0D" w14:textId="77777777" w:rsidR="00355676" w:rsidRPr="009C54B8" w:rsidRDefault="00355676" w:rsidP="00355676">
      <w:pPr>
        <w:pStyle w:val="IASBSectionTitle2Ind"/>
        <w:jc w:val="both"/>
      </w:pPr>
      <w:r>
        <w:t>Options for addressing the issues</w:t>
      </w:r>
    </w:p>
    <w:p w14:paraId="23375C6E" w14:textId="77777777" w:rsidR="00355676" w:rsidRDefault="00355676" w:rsidP="00564F44">
      <w:pPr>
        <w:pStyle w:val="NoNumPlain1"/>
        <w:numPr>
          <w:ilvl w:val="0"/>
          <w:numId w:val="30"/>
        </w:numPr>
        <w:spacing w:before="100" w:after="100" w:line="240" w:lineRule="auto"/>
        <w:jc w:val="both"/>
      </w:pPr>
      <w:r>
        <w:t xml:space="preserve">The Board considered three possible options for resolving the issues: </w:t>
      </w:r>
    </w:p>
    <w:p w14:paraId="1DE1BB49" w14:textId="77777777" w:rsidR="00355676" w:rsidRDefault="00355676" w:rsidP="00355676">
      <w:pPr>
        <w:pStyle w:val="NoNumPlain1"/>
        <w:numPr>
          <w:ilvl w:val="0"/>
          <w:numId w:val="29"/>
        </w:numPr>
        <w:spacing w:before="100" w:after="100" w:line="240" w:lineRule="auto"/>
        <w:ind w:left="1139" w:hanging="357"/>
        <w:jc w:val="both"/>
      </w:pPr>
      <w:r>
        <w:t xml:space="preserve">Option 1 – permit the election of the measurement basis for </w:t>
      </w:r>
      <w:r w:rsidRPr="00125CCA">
        <w:rPr>
          <w:szCs w:val="19"/>
        </w:rPr>
        <w:t>right</w:t>
      </w:r>
      <w:r w:rsidRPr="00125CCA">
        <w:rPr>
          <w:szCs w:val="19"/>
        </w:rPr>
        <w:noBreakHyphen/>
        <w:t>of</w:t>
      </w:r>
      <w:r w:rsidRPr="00125CCA">
        <w:rPr>
          <w:szCs w:val="19"/>
        </w:rPr>
        <w:noBreakHyphen/>
        <w:t>use</w:t>
      </w:r>
      <w:r>
        <w:t xml:space="preserve"> assets on a lease-by-lease basis. This option would reduce comparability between not-for-profit entities and amongst assets of an entity. The Board considered there is a risk that entities might choose a measurement method for the purpose of achieving a particular outcome;</w:t>
      </w:r>
    </w:p>
    <w:p w14:paraId="77DA9265" w14:textId="77777777" w:rsidR="00355676" w:rsidRDefault="00355676" w:rsidP="00355676">
      <w:pPr>
        <w:pStyle w:val="NoNumPlain1"/>
        <w:numPr>
          <w:ilvl w:val="0"/>
          <w:numId w:val="29"/>
        </w:numPr>
        <w:spacing w:before="100" w:after="100" w:line="240" w:lineRule="auto"/>
        <w:ind w:left="1139" w:hanging="357"/>
        <w:jc w:val="both"/>
      </w:pPr>
      <w:r>
        <w:t xml:space="preserve">Option 2 – introduce a definition of ‘class of </w:t>
      </w:r>
      <w:r w:rsidRPr="00676D45">
        <w:rPr>
          <w:szCs w:val="19"/>
        </w:rPr>
        <w:t>right</w:t>
      </w:r>
      <w:r w:rsidRPr="00676D45">
        <w:rPr>
          <w:szCs w:val="19"/>
        </w:rPr>
        <w:noBreakHyphen/>
        <w:t>of</w:t>
      </w:r>
      <w:r w:rsidRPr="00676D45">
        <w:rPr>
          <w:szCs w:val="19"/>
        </w:rPr>
        <w:noBreakHyphen/>
        <w:t>use</w:t>
      </w:r>
      <w:r>
        <w:t xml:space="preserve"> assets’ to clarify that concessionary leases may have a different nature and use in the entity’s operations compared with other leases. The Board was of the view that the definition created would not be consistent with the concept of a class of assets in other Standards, which looks only at the nature and use of the assets in an entity’s operations. AASB 16 paragraphs 53(a) and (j) require disclosure of the depreciation charge and the carrying amount for </w:t>
      </w:r>
      <w:r w:rsidRPr="00676D45">
        <w:rPr>
          <w:szCs w:val="19"/>
        </w:rPr>
        <w:t>right</w:t>
      </w:r>
      <w:r w:rsidRPr="00676D45">
        <w:rPr>
          <w:szCs w:val="19"/>
        </w:rPr>
        <w:noBreakHyphen/>
        <w:t>of</w:t>
      </w:r>
      <w:r w:rsidRPr="00676D45">
        <w:rPr>
          <w:szCs w:val="19"/>
        </w:rPr>
        <w:noBreakHyphen/>
        <w:t>use</w:t>
      </w:r>
      <w:r>
        <w:t xml:space="preserve"> assets by class of underlying asset, this will be less meaningful when the disclosures aggregate amounts for different </w:t>
      </w:r>
      <w:r w:rsidRPr="00676D45">
        <w:rPr>
          <w:szCs w:val="19"/>
        </w:rPr>
        <w:t>right</w:t>
      </w:r>
      <w:r w:rsidRPr="00676D45">
        <w:rPr>
          <w:szCs w:val="19"/>
        </w:rPr>
        <w:noBreakHyphen/>
        <w:t>of</w:t>
      </w:r>
      <w:r w:rsidRPr="00676D45">
        <w:rPr>
          <w:szCs w:val="19"/>
        </w:rPr>
        <w:noBreakHyphen/>
        <w:t>use</w:t>
      </w:r>
      <w:r>
        <w:t xml:space="preserve"> asset classes measured on different bases. The Board also considered that d</w:t>
      </w:r>
      <w:r w:rsidRPr="00D96D1D">
        <w:t>eveloping a new definition might require further guidance to be developed to assist preparers in applying the new definition</w:t>
      </w:r>
      <w:r>
        <w:t>; and</w:t>
      </w:r>
    </w:p>
    <w:p w14:paraId="172F1359" w14:textId="77777777" w:rsidR="00355676" w:rsidRDefault="00355676" w:rsidP="00355676">
      <w:pPr>
        <w:pStyle w:val="NoNumPlain1"/>
        <w:numPr>
          <w:ilvl w:val="0"/>
          <w:numId w:val="29"/>
        </w:numPr>
        <w:spacing w:before="100" w:after="100" w:line="240" w:lineRule="auto"/>
        <w:ind w:left="1139" w:hanging="357"/>
        <w:jc w:val="both"/>
      </w:pPr>
      <w:r>
        <w:t xml:space="preserve">Option 3 – specify that </w:t>
      </w:r>
      <w:r w:rsidRPr="004B1F03">
        <w:rPr>
          <w:szCs w:val="19"/>
        </w:rPr>
        <w:t>right</w:t>
      </w:r>
      <w:r w:rsidRPr="004B1F03">
        <w:rPr>
          <w:szCs w:val="19"/>
        </w:rPr>
        <w:noBreakHyphen/>
        <w:t>of</w:t>
      </w:r>
      <w:r w:rsidRPr="004B1F03">
        <w:rPr>
          <w:szCs w:val="19"/>
        </w:rPr>
        <w:noBreakHyphen/>
        <w:t>use</w:t>
      </w:r>
      <w:r>
        <w:t xml:space="preserve"> assets arising under concessionary leases may be treated as a separate class of </w:t>
      </w:r>
      <w:r w:rsidRPr="004B1F03">
        <w:rPr>
          <w:szCs w:val="19"/>
        </w:rPr>
        <w:t>right</w:t>
      </w:r>
      <w:r w:rsidRPr="004B1F03">
        <w:rPr>
          <w:szCs w:val="19"/>
        </w:rPr>
        <w:noBreakHyphen/>
        <w:t>of</w:t>
      </w:r>
      <w:r w:rsidRPr="004B1F03">
        <w:rPr>
          <w:szCs w:val="19"/>
        </w:rPr>
        <w:noBreakHyphen/>
        <w:t>use</w:t>
      </w:r>
      <w:r>
        <w:t xml:space="preserve"> assets from </w:t>
      </w:r>
      <w:r w:rsidRPr="004B1F03">
        <w:rPr>
          <w:szCs w:val="19"/>
        </w:rPr>
        <w:t>right</w:t>
      </w:r>
      <w:r w:rsidRPr="004B1F03">
        <w:rPr>
          <w:szCs w:val="19"/>
        </w:rPr>
        <w:noBreakHyphen/>
        <w:t>of</w:t>
      </w:r>
      <w:r w:rsidRPr="004B1F03">
        <w:rPr>
          <w:szCs w:val="19"/>
        </w:rPr>
        <w:noBreakHyphen/>
        <w:t>use</w:t>
      </w:r>
      <w:r>
        <w:t xml:space="preserve"> assets arising under other leases.</w:t>
      </w:r>
      <w:r w:rsidRPr="008E6521">
        <w:t xml:space="preserve"> </w:t>
      </w:r>
      <w:r>
        <w:t xml:space="preserve">As with Option 2, this option would not be consistent with the concept of a class of assets in other Standards, which looks only at the nature and use of the assets and aggregated </w:t>
      </w:r>
      <w:r w:rsidRPr="004B1F03">
        <w:rPr>
          <w:szCs w:val="19"/>
        </w:rPr>
        <w:t>right</w:t>
      </w:r>
      <w:r w:rsidRPr="004B1F03">
        <w:rPr>
          <w:szCs w:val="19"/>
        </w:rPr>
        <w:noBreakHyphen/>
        <w:t>of</w:t>
      </w:r>
      <w:r w:rsidRPr="004B1F03">
        <w:rPr>
          <w:szCs w:val="19"/>
        </w:rPr>
        <w:noBreakHyphen/>
        <w:t>use</w:t>
      </w:r>
      <w:r>
        <w:t xml:space="preserve"> asset disclosures under AASB 16 may be less meaningful. </w:t>
      </w:r>
    </w:p>
    <w:p w14:paraId="0405EB1E" w14:textId="149501B0" w:rsidR="00355676" w:rsidRDefault="00355676" w:rsidP="00564F44">
      <w:pPr>
        <w:pStyle w:val="NoNumPlain1"/>
        <w:numPr>
          <w:ilvl w:val="0"/>
          <w:numId w:val="30"/>
        </w:numPr>
        <w:spacing w:before="100" w:after="100" w:line="240" w:lineRule="auto"/>
        <w:jc w:val="both"/>
      </w:pPr>
      <w:r w:rsidRPr="00CC5BF2">
        <w:t>The Board considered the advantages and disadvantages of each option and decided to adopt Option</w:t>
      </w:r>
      <w:r w:rsidR="005E37A9">
        <w:t> </w:t>
      </w:r>
      <w:r>
        <w:t>3</w:t>
      </w:r>
      <w:r w:rsidR="005E37A9">
        <w:t> </w:t>
      </w:r>
      <w:r w:rsidRPr="00CC5BF2">
        <w:t>–</w:t>
      </w:r>
      <w:r w:rsidR="005E37A9">
        <w:t> </w:t>
      </w:r>
      <w:r w:rsidRPr="00CC5BF2">
        <w:t>specify that right</w:t>
      </w:r>
      <w:r>
        <w:noBreakHyphen/>
      </w:r>
      <w:r w:rsidRPr="00CC5BF2">
        <w:t>of</w:t>
      </w:r>
      <w:r>
        <w:noBreakHyphen/>
      </w:r>
      <w:r w:rsidRPr="00CC5BF2">
        <w:t xml:space="preserve">use assets </w:t>
      </w:r>
      <w:r>
        <w:t xml:space="preserve">of not-for-profit entities </w:t>
      </w:r>
      <w:r w:rsidRPr="00CC5BF2">
        <w:t xml:space="preserve">arising under concessionary leases </w:t>
      </w:r>
      <w:r>
        <w:t>may be treated as</w:t>
      </w:r>
      <w:r w:rsidRPr="00CC5BF2">
        <w:t xml:space="preserve"> a separate class of right</w:t>
      </w:r>
      <w:r>
        <w:noBreakHyphen/>
      </w:r>
      <w:r w:rsidRPr="00CC5BF2">
        <w:t>of</w:t>
      </w:r>
      <w:r>
        <w:noBreakHyphen/>
      </w:r>
      <w:r w:rsidRPr="00CC5BF2">
        <w:t>use assets from right</w:t>
      </w:r>
      <w:r>
        <w:noBreakHyphen/>
      </w:r>
      <w:r w:rsidRPr="00CC5BF2">
        <w:t>of</w:t>
      </w:r>
      <w:r>
        <w:noBreakHyphen/>
      </w:r>
      <w:r w:rsidRPr="00CC5BF2">
        <w:t>use assets arising under other leases.</w:t>
      </w:r>
      <w:r w:rsidRPr="00F707ED">
        <w:t xml:space="preserve"> </w:t>
      </w:r>
      <w:r>
        <w:t xml:space="preserve">This option is expected to be </w:t>
      </w:r>
      <w:r w:rsidRPr="008663E7">
        <w:t xml:space="preserve">the simplest to apply without limiting the scope of the exemption from the requirements to measure </w:t>
      </w:r>
      <w:r w:rsidRPr="004B1F03">
        <w:rPr>
          <w:szCs w:val="19"/>
        </w:rPr>
        <w:t>right</w:t>
      </w:r>
      <w:r w:rsidRPr="004B1F03">
        <w:rPr>
          <w:szCs w:val="19"/>
        </w:rPr>
        <w:noBreakHyphen/>
        <w:t>of</w:t>
      </w:r>
      <w:r w:rsidRPr="004B1F03">
        <w:rPr>
          <w:szCs w:val="19"/>
        </w:rPr>
        <w:noBreakHyphen/>
        <w:t>use</w:t>
      </w:r>
      <w:r w:rsidRPr="008663E7">
        <w:t xml:space="preserve"> assets at fair value in advance of public sector </w:t>
      </w:r>
      <w:r>
        <w:t>not</w:t>
      </w:r>
      <w:r>
        <w:noBreakHyphen/>
        <w:t>for</w:t>
      </w:r>
      <w:r>
        <w:noBreakHyphen/>
        <w:t>profit</w:t>
      </w:r>
      <w:r w:rsidRPr="008663E7">
        <w:t xml:space="preserve"> entity guidance on applying fair value.</w:t>
      </w:r>
      <w:r>
        <w:t xml:space="preserve"> The Board noted specifying </w:t>
      </w:r>
      <w:r w:rsidRPr="00CC5BF2">
        <w:t>that right</w:t>
      </w:r>
      <w:r>
        <w:noBreakHyphen/>
      </w:r>
      <w:r w:rsidRPr="00CC5BF2">
        <w:t>of</w:t>
      </w:r>
      <w:r>
        <w:noBreakHyphen/>
      </w:r>
      <w:r w:rsidRPr="00CC5BF2">
        <w:t xml:space="preserve">use assets arising under concessionary leases </w:t>
      </w:r>
      <w:r>
        <w:t>can be treated as</w:t>
      </w:r>
      <w:r w:rsidRPr="00CC5BF2">
        <w:t xml:space="preserve"> a separate class of right</w:t>
      </w:r>
      <w:r>
        <w:noBreakHyphen/>
      </w:r>
      <w:r w:rsidRPr="00CC5BF2">
        <w:t>of</w:t>
      </w:r>
      <w:r>
        <w:noBreakHyphen/>
      </w:r>
      <w:r w:rsidRPr="00CC5BF2">
        <w:t>use assets from right</w:t>
      </w:r>
      <w:r>
        <w:noBreakHyphen/>
      </w:r>
      <w:r w:rsidRPr="00CC5BF2">
        <w:t>of</w:t>
      </w:r>
      <w:r>
        <w:noBreakHyphen/>
      </w:r>
      <w:r w:rsidRPr="00CC5BF2">
        <w:t>use assets arising under other leases</w:t>
      </w:r>
      <w:r>
        <w:t xml:space="preserve"> </w:t>
      </w:r>
      <w:r w:rsidRPr="00E575C4">
        <w:t>would not be consistent with the concept of a class of assets in other Standards</w:t>
      </w:r>
      <w:r>
        <w:t>, which looks only at the nature and use of the assets. However, the Board considered this would be a pragmatic and limited response to the issue for not-for-profit entities, and added paragraph Aus25.2 to AASB 16. The Board decided that this approach of treating sub-classes of assets as separate classes should not be applied by analogy in other circumstances.</w:t>
      </w:r>
    </w:p>
    <w:p w14:paraId="721990B2" w14:textId="77777777" w:rsidR="00355676" w:rsidRPr="009C54B8" w:rsidRDefault="00355676" w:rsidP="008D2251">
      <w:pPr>
        <w:pStyle w:val="IASBSectionTitle2Ind"/>
      </w:pPr>
      <w:r>
        <w:lastRenderedPageBreak/>
        <w:t xml:space="preserve">Measuring </w:t>
      </w:r>
      <w:r w:rsidRPr="007E0A3C">
        <w:t xml:space="preserve">some </w:t>
      </w:r>
      <w:r>
        <w:t>right</w:t>
      </w:r>
      <w:r>
        <w:noBreakHyphen/>
        <w:t>of</w:t>
      </w:r>
      <w:r>
        <w:noBreakHyphen/>
        <w:t>use</w:t>
      </w:r>
      <w:r w:rsidRPr="007E0A3C">
        <w:t xml:space="preserve"> assets </w:t>
      </w:r>
      <w:r>
        <w:t xml:space="preserve">arising </w:t>
      </w:r>
      <w:r w:rsidRPr="007E0A3C">
        <w:t>under concessionary leases at cost and others at fair value</w:t>
      </w:r>
    </w:p>
    <w:p w14:paraId="59D102B6" w14:textId="77777777" w:rsidR="00355676" w:rsidRDefault="00355676" w:rsidP="00564F44">
      <w:pPr>
        <w:pStyle w:val="NoNumPlain1"/>
        <w:numPr>
          <w:ilvl w:val="0"/>
          <w:numId w:val="30"/>
        </w:numPr>
        <w:spacing w:before="100" w:after="100" w:line="240" w:lineRule="auto"/>
        <w:jc w:val="both"/>
      </w:pPr>
      <w:r>
        <w:t xml:space="preserve">Some stakeholders commented that some public sector entities have been measuring at fair value leased assets arising under finance leases pursuant to AASB 117 </w:t>
      </w:r>
      <w:r w:rsidRPr="00ED23DC">
        <w:rPr>
          <w:i/>
          <w:iCs/>
        </w:rPr>
        <w:t>Leases</w:t>
      </w:r>
      <w:r>
        <w:t xml:space="preserve">, and expressed a desire to continue measuring at fair value </w:t>
      </w:r>
      <w:r w:rsidRPr="00CC5BF2">
        <w:t>right</w:t>
      </w:r>
      <w:r>
        <w:noBreakHyphen/>
      </w:r>
      <w:r w:rsidRPr="00CC5BF2">
        <w:t>of</w:t>
      </w:r>
      <w:r>
        <w:noBreakHyphen/>
      </w:r>
      <w:r w:rsidRPr="00CC5BF2">
        <w:t>use</w:t>
      </w:r>
      <w:r>
        <w:t xml:space="preserve"> assets related to concessionary leases that were classified previously as finance leases, and measure </w:t>
      </w:r>
      <w:r w:rsidRPr="00CC5BF2">
        <w:t>right</w:t>
      </w:r>
      <w:r>
        <w:noBreakHyphen/>
      </w:r>
      <w:r w:rsidRPr="00CC5BF2">
        <w:t>of</w:t>
      </w:r>
      <w:r>
        <w:noBreakHyphen/>
      </w:r>
      <w:r w:rsidRPr="00CC5BF2">
        <w:t>use</w:t>
      </w:r>
      <w:r>
        <w:t xml:space="preserve"> assets of other concessionary leases at cost. They questioned whether </w:t>
      </w:r>
      <w:r w:rsidRPr="00CC5BF2">
        <w:t>right</w:t>
      </w:r>
      <w:r>
        <w:noBreakHyphen/>
      </w:r>
      <w:r w:rsidRPr="00CC5BF2">
        <w:t>of</w:t>
      </w:r>
      <w:r>
        <w:noBreakHyphen/>
      </w:r>
      <w:r w:rsidRPr="00CC5BF2">
        <w:t>use</w:t>
      </w:r>
      <w:r>
        <w:t xml:space="preserve"> assets related to concessionary finance leases can be considered a separate class of</w:t>
      </w:r>
      <w:r w:rsidRPr="000515B8">
        <w:t xml:space="preserve"> </w:t>
      </w:r>
      <w:r w:rsidRPr="00CC5BF2">
        <w:t>right</w:t>
      </w:r>
      <w:r>
        <w:noBreakHyphen/>
      </w:r>
      <w:r w:rsidRPr="00CC5BF2">
        <w:t>of</w:t>
      </w:r>
      <w:r>
        <w:noBreakHyphen/>
      </w:r>
      <w:r w:rsidRPr="00CC5BF2">
        <w:t>use</w:t>
      </w:r>
      <w:r>
        <w:t xml:space="preserve"> assets.</w:t>
      </w:r>
    </w:p>
    <w:p w14:paraId="4261D84F" w14:textId="4921A4C6" w:rsidR="00355676" w:rsidRDefault="00355676" w:rsidP="00564F44">
      <w:pPr>
        <w:pStyle w:val="NoNumPlain1"/>
        <w:numPr>
          <w:ilvl w:val="0"/>
          <w:numId w:val="30"/>
        </w:numPr>
        <w:spacing w:before="100" w:after="100" w:line="240" w:lineRule="auto"/>
        <w:jc w:val="both"/>
      </w:pPr>
      <w:r>
        <w:t xml:space="preserve">Even though electing measurement models based on the GFS categories of operating lease and finance lease could achieve better GFS alignment, the Board considered that this would conflict with the accounting measurement basis for leases, given the removal of the operating and finance lease distinction for lessees. AASB 1049 paragraph 13 does not require consistency with GFS in the event of a conflict. Permitting the election of cost or fair value measurement based on GFS categories would risk prioritising GFS alignment over faithful and comparable presentation of </w:t>
      </w:r>
      <w:r w:rsidRPr="00CC5BF2">
        <w:t>right</w:t>
      </w:r>
      <w:r>
        <w:noBreakHyphen/>
      </w:r>
      <w:r w:rsidRPr="00CC5BF2">
        <w:t>of</w:t>
      </w:r>
      <w:r>
        <w:noBreakHyphen/>
      </w:r>
      <w:r w:rsidRPr="00CC5BF2">
        <w:t>use</w:t>
      </w:r>
      <w:r>
        <w:t xml:space="preserve"> assets in statements of financial position. Therefore, the Board considered that lessees’ election of cost or fair value measurement should not be based on the superseded categories of finance lease a</w:t>
      </w:r>
      <w:r w:rsidR="008D2251">
        <w:t>nd operating lease for lessees.</w:t>
      </w:r>
    </w:p>
    <w:p w14:paraId="3EB42085" w14:textId="77777777" w:rsidR="00355676" w:rsidRDefault="00355676" w:rsidP="00564F44">
      <w:pPr>
        <w:pStyle w:val="NoNumPlain1"/>
        <w:numPr>
          <w:ilvl w:val="0"/>
          <w:numId w:val="30"/>
        </w:numPr>
        <w:spacing w:before="100" w:after="100" w:line="240" w:lineRule="auto"/>
        <w:jc w:val="both"/>
      </w:pPr>
      <w:r>
        <w:t>However, the Board concluded that it would be appropriate to permit not-for-profit public sector entities to measure separate classes of right-of-use assets based on those arising from concessionary leases and those arising under other leases on different bases. That is, one of those classes could be measured at cost and the other at fair value, if the lessee applies the revaluation model to the class of property, plant and equipment to which the right-of-use assets relate. Thus a modification to paragraph 35, which does not refer to classes of right-of-use assets, is required, and so the Board added paragraph Aus35.1 to AASB 16.</w:t>
      </w:r>
    </w:p>
    <w:p w14:paraId="1F5075A5" w14:textId="77777777" w:rsidR="00355676" w:rsidRPr="00CC5BF2" w:rsidRDefault="00355676" w:rsidP="00564F44">
      <w:pPr>
        <w:pStyle w:val="NoNumPlain1"/>
        <w:numPr>
          <w:ilvl w:val="0"/>
          <w:numId w:val="30"/>
        </w:numPr>
        <w:spacing w:before="100" w:after="100" w:line="240" w:lineRule="auto"/>
        <w:jc w:val="both"/>
      </w:pPr>
      <w:r>
        <w:t xml:space="preserve">The Board noted that entities would not be required to remeasure </w:t>
      </w:r>
      <w:r w:rsidRPr="00CC5BF2">
        <w:t>right</w:t>
      </w:r>
      <w:r>
        <w:noBreakHyphen/>
      </w:r>
      <w:r w:rsidRPr="00CC5BF2">
        <w:t>of</w:t>
      </w:r>
      <w:r>
        <w:noBreakHyphen/>
      </w:r>
      <w:r w:rsidRPr="00CC5BF2">
        <w:t>use</w:t>
      </w:r>
      <w:r>
        <w:t xml:space="preserve"> assets of existing concessionary finance leases at cost if they have already applied the fair value model to those lease assets under AASB 117 and would now measure the class of </w:t>
      </w:r>
      <w:r w:rsidRPr="00CC5BF2">
        <w:t>right</w:t>
      </w:r>
      <w:r>
        <w:noBreakHyphen/>
      </w:r>
      <w:r w:rsidRPr="00CC5BF2">
        <w:t>of</w:t>
      </w:r>
      <w:r>
        <w:noBreakHyphen/>
      </w:r>
      <w:r w:rsidRPr="00CC5BF2">
        <w:t>use</w:t>
      </w:r>
      <w:r>
        <w:t xml:space="preserve"> assets at cost. Under paragraph C11 of AASB 16, entities can use the AASB 117 carrying amounts (fair value) as the basis for applying AASB 16 under the modified transition approach, without having to remeasure those amounts. </w:t>
      </w:r>
    </w:p>
    <w:sectPr w:rsidR="00355676" w:rsidRPr="00CC5BF2" w:rsidSect="00E27198">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D74FD" w14:textId="77777777" w:rsidR="00D21034" w:rsidRDefault="00D21034">
      <w:r>
        <w:separator/>
      </w:r>
    </w:p>
  </w:endnote>
  <w:endnote w:type="continuationSeparator" w:id="0">
    <w:p w14:paraId="4933DEAC" w14:textId="77777777" w:rsidR="00D21034" w:rsidRDefault="00D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Neue">
    <w:altName w:val="Times New Roman"/>
    <w:charset w:val="00"/>
    <w:family w:val="auto"/>
    <w:pitch w:val="variable"/>
    <w:sig w:usb0="E50002FF" w:usb1="500079DB" w:usb2="0000001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AD55"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2</w:t>
    </w:r>
    <w:r>
      <w:fldChar w:fldCharType="end"/>
    </w:r>
    <w:r w:rsidRPr="00E27198">
      <w:rPr>
        <w:b/>
      </w:rPr>
      <w:tab/>
    </w:r>
    <w:r>
      <w:rPr>
        <w:b/>
      </w:rPr>
      <w:t>COPYRIGHT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8112"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66</w:t>
    </w:r>
    <w:r>
      <w:fldChar w:fldCharType="end"/>
    </w:r>
    <w:r w:rsidRPr="00E27198">
      <w:rPr>
        <w:b/>
      </w:rPr>
      <w:tab/>
    </w:r>
    <w:r>
      <w:rPr>
        <w:b/>
      </w:rPr>
      <w:t>COMPILATION DETAILS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309C" w14:textId="217B1423" w:rsidR="00D21034" w:rsidRDefault="00D21034" w:rsidP="00DF04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rPr>
        <w:b/>
      </w:rPr>
      <w:t>-compiled</w:t>
    </w:r>
    <w:r>
      <w:tab/>
    </w:r>
    <w:r>
      <w:fldChar w:fldCharType="begin"/>
    </w:r>
    <w:r>
      <w:instrText xml:space="preserve"> page </w:instrText>
    </w:r>
    <w:r>
      <w:fldChar w:fldCharType="separate"/>
    </w:r>
    <w:r>
      <w:rPr>
        <w:noProof/>
      </w:rPr>
      <w:t>67</w:t>
    </w:r>
    <w:r>
      <w:fldChar w:fldCharType="end"/>
    </w:r>
    <w:r>
      <w:tab/>
    </w:r>
    <w:r>
      <w:rPr>
        <w:b/>
      </w:rPr>
      <w:t xml:space="preserve">DELETED </w:t>
    </w:r>
    <w:r>
      <w:rPr>
        <w:b/>
      </w:rPr>
      <w:fldChar w:fldCharType="begin"/>
    </w:r>
    <w:r>
      <w:rPr>
        <w:b/>
      </w:rPr>
      <w:instrText xml:space="preserve"> REF \* charformat IntnlType </w:instrText>
    </w:r>
    <w:r>
      <w:rPr>
        <w:b/>
      </w:rPr>
      <w:fldChar w:fldCharType="separate"/>
    </w:r>
    <w:r w:rsidR="00045471" w:rsidRPr="00045471">
      <w:rPr>
        <w:b/>
      </w:rPr>
      <w:t>IFRS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E27198">
      <w:rPr>
        <w:b/>
      </w:rPr>
      <w:t>16</w:t>
    </w:r>
    <w:r>
      <w:rPr>
        <w:b/>
      </w:rPr>
      <w:fldChar w:fldCharType="end"/>
    </w:r>
    <w:r>
      <w:rPr>
        <w:b/>
      </w:rPr>
      <w:t xml:space="preserve"> TEXT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1729" w14:textId="77777777" w:rsidR="00D21034" w:rsidRPr="00E27198" w:rsidRDefault="00D21034" w:rsidP="00E2719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BEA4" w14:textId="72CA9CC1" w:rsidR="00D21034" w:rsidRDefault="00D21034" w:rsidP="00DF0433">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E27198">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E27198">
      <w:rPr>
        <w:b/>
      </w:rPr>
      <w:t>16</w:t>
    </w:r>
    <w:r w:rsidRPr="00705552">
      <w:rPr>
        <w:b/>
      </w:rPr>
      <w:fldChar w:fldCharType="end"/>
    </w:r>
    <w:r>
      <w:rPr>
        <w:b/>
      </w:rPr>
      <w:t>-compiled</w:t>
    </w:r>
    <w:r>
      <w:tab/>
    </w:r>
    <w:r>
      <w:fldChar w:fldCharType="begin"/>
    </w:r>
    <w:r>
      <w:instrText xml:space="preserve"> page </w:instrText>
    </w:r>
    <w:r>
      <w:fldChar w:fldCharType="separate"/>
    </w:r>
    <w:r>
      <w:rPr>
        <w:noProof/>
      </w:rPr>
      <w:t>74</w:t>
    </w:r>
    <w:r>
      <w:fldChar w:fldCharType="end"/>
    </w:r>
    <w:r>
      <w:tab/>
    </w:r>
    <w:r>
      <w:rPr>
        <w:b/>
      </w:rPr>
      <w:t>BASIS FOR CONCLUSIONS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941D"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4</w:t>
    </w:r>
    <w:r>
      <w:fldChar w:fldCharType="end"/>
    </w:r>
    <w:r w:rsidRPr="00E27198">
      <w:rPr>
        <w:b/>
      </w:rPr>
      <w:tab/>
    </w:r>
    <w:r>
      <w:rPr>
        <w:b/>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A95E"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5</w:t>
    </w:r>
    <w:r>
      <w:fldChar w:fldCharType="end"/>
    </w:r>
    <w:r w:rsidRPr="00E27198">
      <w:rPr>
        <w:b/>
      </w:rPr>
      <w:tab/>
    </w:r>
    <w:r>
      <w:rPr>
        <w:b/>
      </w:rPr>
      <w:t>COMPARISON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4230"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18</w:t>
    </w:r>
    <w:r>
      <w:fldChar w:fldCharType="end"/>
    </w:r>
    <w:r w:rsidRPr="00E27198">
      <w:rPr>
        <w:b/>
      </w:rPr>
      <w:tab/>
    </w:r>
    <w:r>
      <w:rPr>
        <w:b/>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91FC" w14:textId="700901E0"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21</w:t>
    </w:r>
    <w:r>
      <w:fldChar w:fldCharType="end"/>
    </w:r>
    <w:r w:rsidRPr="00E27198">
      <w:rPr>
        <w:b/>
      </w:rPr>
      <w:tab/>
    </w:r>
    <w:r>
      <w:rPr>
        <w:b/>
      </w:rPr>
      <w:t>APPENDIX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7ADD"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30</w:t>
    </w:r>
    <w:r>
      <w:fldChar w:fldCharType="end"/>
    </w:r>
    <w:r w:rsidRPr="00E27198">
      <w:rPr>
        <w:b/>
      </w:rPr>
      <w:tab/>
    </w:r>
    <w:r>
      <w:rPr>
        <w:b/>
      </w:rPr>
      <w:t>APPENDIX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41B3"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35</w:t>
    </w:r>
    <w:r>
      <w:fldChar w:fldCharType="end"/>
    </w:r>
    <w:r w:rsidRPr="00E27198">
      <w:rPr>
        <w:b/>
      </w:rPr>
      <w:tab/>
    </w:r>
    <w:r>
      <w:rPr>
        <w:b/>
      </w:rPr>
      <w:t>APPENDIX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D440" w14:textId="77777777"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36</w:t>
    </w:r>
    <w:r>
      <w:fldChar w:fldCharType="end"/>
    </w:r>
    <w:r w:rsidRPr="00E27198">
      <w:rPr>
        <w:b/>
      </w:rPr>
      <w:tab/>
    </w:r>
    <w:r>
      <w:rPr>
        <w:b/>
      </w:rPr>
      <w:t>APPENDIX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0227" w14:textId="02A5703E" w:rsidR="00D21034" w:rsidRPr="00E27198" w:rsidRDefault="00D21034" w:rsidP="00E27198">
    <w:pPr>
      <w:pStyle w:val="Footer"/>
      <w:rPr>
        <w:b/>
      </w:rPr>
    </w:pPr>
    <w:r>
      <w:rPr>
        <w:b/>
      </w:rPr>
      <w:fldChar w:fldCharType="begin" w:fldLock="1"/>
    </w:r>
    <w:r>
      <w:rPr>
        <w:b/>
      </w:rPr>
      <w:instrText xml:space="preserve"> REF DocTypeAbb \* charformat </w:instrText>
    </w:r>
    <w:r>
      <w:rPr>
        <w:b/>
      </w:rPr>
      <w:fldChar w:fldCharType="separate"/>
    </w:r>
    <w:r w:rsidRPr="00E27198">
      <w:rPr>
        <w:b/>
      </w:rPr>
      <w:t>AASB</w:t>
    </w:r>
    <w:r>
      <w:rPr>
        <w:b/>
      </w:rPr>
      <w:fldChar w:fldCharType="end"/>
    </w:r>
    <w:r w:rsidRPr="00E27198">
      <w:rPr>
        <w:b/>
      </w:rPr>
      <w:t xml:space="preserve"> </w:t>
    </w:r>
    <w:r>
      <w:rPr>
        <w:b/>
      </w:rPr>
      <w:fldChar w:fldCharType="begin" w:fldLock="1"/>
    </w:r>
    <w:r>
      <w:rPr>
        <w:b/>
      </w:rPr>
      <w:instrText xml:space="preserve"> REF DocNo \* charformat </w:instrText>
    </w:r>
    <w:r>
      <w:rPr>
        <w:b/>
      </w:rPr>
      <w:fldChar w:fldCharType="separate"/>
    </w:r>
    <w:r w:rsidRPr="00E27198">
      <w:rPr>
        <w:b/>
      </w:rPr>
      <w:t>16</w:t>
    </w:r>
    <w:r>
      <w:rPr>
        <w:b/>
      </w:rPr>
      <w:fldChar w:fldCharType="end"/>
    </w:r>
    <w:r>
      <w:rPr>
        <w:b/>
      </w:rPr>
      <w:t>-compiled</w:t>
    </w:r>
    <w:r w:rsidRPr="00E27198">
      <w:rPr>
        <w:b/>
      </w:rPr>
      <w:tab/>
    </w:r>
    <w:r>
      <w:fldChar w:fldCharType="begin"/>
    </w:r>
    <w:r>
      <w:instrText xml:space="preserve"> PAGE </w:instrText>
    </w:r>
    <w:r>
      <w:fldChar w:fldCharType="separate"/>
    </w:r>
    <w:r>
      <w:rPr>
        <w:noProof/>
      </w:rPr>
      <w:t>64</w:t>
    </w:r>
    <w:r>
      <w:fldChar w:fldCharType="end"/>
    </w:r>
    <w:r w:rsidRPr="00E27198">
      <w:rPr>
        <w:b/>
      </w:rPr>
      <w:tab/>
    </w:r>
    <w:r>
      <w:rPr>
        <w:b/>
      </w:rPr>
      <w:t>APPENDIX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0037" w14:textId="77777777" w:rsidR="00D21034" w:rsidRDefault="00D21034">
      <w:r>
        <w:separator/>
      </w:r>
    </w:p>
  </w:footnote>
  <w:footnote w:type="continuationSeparator" w:id="0">
    <w:p w14:paraId="71562DC1" w14:textId="77777777" w:rsidR="00D21034" w:rsidRDefault="00D2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1337" w14:textId="77777777" w:rsidR="00D21034" w:rsidRPr="00E27198" w:rsidRDefault="00D21034" w:rsidP="00E27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48E" w14:textId="77777777" w:rsidR="00D21034" w:rsidRPr="00E27198" w:rsidRDefault="00D21034" w:rsidP="00E27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61"/>
    <w:multiLevelType w:val="hybridMultilevel"/>
    <w:tmpl w:val="1AC454E0"/>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2" w15:restartNumberingAfterBreak="0">
    <w:nsid w:val="03F92581"/>
    <w:multiLevelType w:val="multilevel"/>
    <w:tmpl w:val="AD5ABFF2"/>
    <w:numStyleLink w:val="AASBSubNumbers"/>
  </w:abstractNum>
  <w:abstractNum w:abstractNumId="3" w15:restartNumberingAfterBreak="0">
    <w:nsid w:val="047B0405"/>
    <w:multiLevelType w:val="hybridMultilevel"/>
    <w:tmpl w:val="4D9A88CE"/>
    <w:lvl w:ilvl="0" w:tplc="EB8277D2">
      <w:start w:val="1"/>
      <w:numFmt w:val="decimal"/>
      <w:pStyle w:val="IGpara1"/>
      <w:lvlText w:val="IG%1"/>
      <w:lvlJc w:val="left"/>
      <w:pPr>
        <w:ind w:left="720" w:hanging="360"/>
      </w:pPr>
      <w:rPr>
        <w:rFonts w:hint="default"/>
      </w:rPr>
    </w:lvl>
    <w:lvl w:ilvl="1" w:tplc="D896881A">
      <w:start w:val="1"/>
      <w:numFmt w:val="lowerLetter"/>
      <w:lvlText w:val="(%2)"/>
      <w:lvlJc w:val="left"/>
      <w:pPr>
        <w:ind w:left="1440" w:hanging="360"/>
      </w:pPr>
      <w:rPr>
        <w:rFonts w:ascii="Times New Roman" w:hAnsi="Times New Roman" w:hint="default"/>
        <w:b w:val="0"/>
        <w:i w:val="0"/>
        <w:sz w:val="19"/>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606B65"/>
    <w:multiLevelType w:val="multilevel"/>
    <w:tmpl w:val="EE9C98C8"/>
    <w:numStyleLink w:val="DNos"/>
  </w:abstractNum>
  <w:abstractNum w:abstractNumId="5" w15:restartNumberingAfterBreak="0">
    <w:nsid w:val="13E035C2"/>
    <w:multiLevelType w:val="multilevel"/>
    <w:tmpl w:val="23223254"/>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7"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8" w15:restartNumberingAfterBreak="0">
    <w:nsid w:val="24A91AD6"/>
    <w:multiLevelType w:val="multilevel"/>
    <w:tmpl w:val="867E1736"/>
    <w:lvl w:ilvl="0">
      <w:start w:val="1"/>
      <w:numFmt w:val="none"/>
      <w:pStyle w:val="AusBold1"/>
      <w:suff w:val="nothing"/>
      <w:lvlText w:val=""/>
      <w:lvlJc w:val="left"/>
      <w:pPr>
        <w:ind w:left="1022" w:hanging="1022"/>
      </w:pPr>
      <w:rPr>
        <w:rFonts w:hint="default"/>
      </w:rPr>
    </w:lvl>
    <w:lvl w:ilvl="1">
      <w:start w:val="1"/>
      <w:numFmt w:val="lowerLetter"/>
      <w:lvlText w:val="(%2)"/>
      <w:lvlJc w:val="left"/>
      <w:pPr>
        <w:tabs>
          <w:tab w:val="num" w:pos="1526"/>
        </w:tabs>
        <w:ind w:left="1526" w:hanging="504"/>
      </w:pPr>
      <w:rPr>
        <w:rFonts w:hint="default"/>
      </w:rPr>
    </w:lvl>
    <w:lvl w:ilvl="2">
      <w:start w:val="1"/>
      <w:numFmt w:val="lowerRoman"/>
      <w:pStyle w:val="AusBold3"/>
      <w:lvlText w:val="(%3)"/>
      <w:lvlJc w:val="left"/>
      <w:pPr>
        <w:tabs>
          <w:tab w:val="num" w:pos="2045"/>
        </w:tabs>
        <w:ind w:left="2045" w:hanging="519"/>
      </w:pPr>
      <w:rPr>
        <w:rFonts w:hint="default"/>
      </w:rPr>
    </w:lvl>
    <w:lvl w:ilvl="3">
      <w:start w:val="1"/>
      <w:numFmt w:val="decimal"/>
      <w:lvlText w:val="(%4)"/>
      <w:lvlJc w:val="left"/>
      <w:pPr>
        <w:tabs>
          <w:tab w:val="num" w:pos="2102"/>
        </w:tabs>
        <w:ind w:left="2102" w:hanging="360"/>
      </w:pPr>
      <w:rPr>
        <w:rFonts w:hint="default"/>
      </w:rPr>
    </w:lvl>
    <w:lvl w:ilvl="4">
      <w:start w:val="1"/>
      <w:numFmt w:val="lowerLetter"/>
      <w:lvlText w:val="(%5)"/>
      <w:lvlJc w:val="left"/>
      <w:pPr>
        <w:tabs>
          <w:tab w:val="num" w:pos="2462"/>
        </w:tabs>
        <w:ind w:left="2462" w:hanging="360"/>
      </w:pPr>
      <w:rPr>
        <w:rFonts w:hint="default"/>
      </w:rPr>
    </w:lvl>
    <w:lvl w:ilvl="5">
      <w:start w:val="1"/>
      <w:numFmt w:val="lowerRoman"/>
      <w:lvlText w:val="(%6)"/>
      <w:lvlJc w:val="left"/>
      <w:pPr>
        <w:tabs>
          <w:tab w:val="num" w:pos="2822"/>
        </w:tabs>
        <w:ind w:left="2822" w:hanging="360"/>
      </w:pPr>
      <w:rPr>
        <w:rFonts w:hint="default"/>
      </w:rPr>
    </w:lvl>
    <w:lvl w:ilvl="6">
      <w:start w:val="1"/>
      <w:numFmt w:val="decimal"/>
      <w:lvlText w:val="%7."/>
      <w:lvlJc w:val="left"/>
      <w:pPr>
        <w:tabs>
          <w:tab w:val="num" w:pos="3182"/>
        </w:tabs>
        <w:ind w:left="3182" w:hanging="360"/>
      </w:pPr>
      <w:rPr>
        <w:rFonts w:hint="default"/>
      </w:rPr>
    </w:lvl>
    <w:lvl w:ilvl="7">
      <w:start w:val="1"/>
      <w:numFmt w:val="lowerLetter"/>
      <w:lvlText w:val="%8."/>
      <w:lvlJc w:val="left"/>
      <w:pPr>
        <w:tabs>
          <w:tab w:val="num" w:pos="3542"/>
        </w:tabs>
        <w:ind w:left="3542" w:hanging="360"/>
      </w:pPr>
      <w:rPr>
        <w:rFonts w:hint="default"/>
      </w:rPr>
    </w:lvl>
    <w:lvl w:ilvl="8">
      <w:start w:val="1"/>
      <w:numFmt w:val="lowerRoman"/>
      <w:lvlText w:val="%9."/>
      <w:lvlJc w:val="left"/>
      <w:pPr>
        <w:tabs>
          <w:tab w:val="num" w:pos="3902"/>
        </w:tabs>
        <w:ind w:left="3902" w:hanging="360"/>
      </w:pPr>
      <w:rPr>
        <w:rFonts w:hint="default"/>
      </w:rPr>
    </w:lvl>
  </w:abstractNum>
  <w:abstractNum w:abstractNumId="9" w15:restartNumberingAfterBreak="0">
    <w:nsid w:val="2576465B"/>
    <w:multiLevelType w:val="multilevel"/>
    <w:tmpl w:val="D9F888A8"/>
    <w:lvl w:ilvl="0">
      <w:start w:val="1"/>
      <w:numFmt w:val="lowerLetter"/>
      <w:pStyle w:val="NumPlainA"/>
      <w:lvlText w:val="(%1)"/>
      <w:lvlJc w:val="left"/>
      <w:pPr>
        <w:tabs>
          <w:tab w:val="num" w:pos="1666"/>
        </w:tabs>
        <w:ind w:left="1666" w:hanging="510"/>
      </w:pPr>
      <w:rPr>
        <w:rFonts w:hint="default"/>
      </w:rPr>
    </w:lvl>
    <w:lvl w:ilvl="1">
      <w:start w:val="1"/>
      <w:numFmt w:val="lowerRoman"/>
      <w:pStyle w:val="NumPlainA2"/>
      <w:lvlText w:val="(%2)"/>
      <w:lvlJc w:val="left"/>
      <w:pPr>
        <w:tabs>
          <w:tab w:val="num" w:pos="2177"/>
        </w:tabs>
        <w:ind w:left="2177" w:hanging="511"/>
      </w:pPr>
      <w:rPr>
        <w:rFonts w:hint="default"/>
      </w:rPr>
    </w:lvl>
    <w:lvl w:ilvl="2">
      <w:start w:val="1"/>
      <w:numFmt w:val="lowerRoman"/>
      <w:lvlText w:val="%3."/>
      <w:lvlJc w:val="right"/>
      <w:pPr>
        <w:tabs>
          <w:tab w:val="num" w:pos="3316"/>
        </w:tabs>
        <w:ind w:left="3316" w:hanging="180"/>
      </w:pPr>
      <w:rPr>
        <w:rFonts w:hint="default"/>
      </w:rPr>
    </w:lvl>
    <w:lvl w:ilvl="3">
      <w:start w:val="1"/>
      <w:numFmt w:val="decimal"/>
      <w:lvlText w:val="%4."/>
      <w:lvlJc w:val="left"/>
      <w:pPr>
        <w:tabs>
          <w:tab w:val="num" w:pos="4036"/>
        </w:tabs>
        <w:ind w:left="4036" w:hanging="360"/>
      </w:pPr>
      <w:rPr>
        <w:rFonts w:hint="default"/>
      </w:rPr>
    </w:lvl>
    <w:lvl w:ilvl="4">
      <w:start w:val="1"/>
      <w:numFmt w:val="lowerLetter"/>
      <w:lvlText w:val="%5."/>
      <w:lvlJc w:val="left"/>
      <w:pPr>
        <w:tabs>
          <w:tab w:val="num" w:pos="4756"/>
        </w:tabs>
        <w:ind w:left="4756" w:hanging="360"/>
      </w:pPr>
      <w:rPr>
        <w:rFonts w:hint="default"/>
      </w:rPr>
    </w:lvl>
    <w:lvl w:ilvl="5">
      <w:start w:val="1"/>
      <w:numFmt w:val="lowerRoman"/>
      <w:lvlText w:val="%6."/>
      <w:lvlJc w:val="right"/>
      <w:pPr>
        <w:tabs>
          <w:tab w:val="num" w:pos="5476"/>
        </w:tabs>
        <w:ind w:left="5476" w:hanging="180"/>
      </w:pPr>
      <w:rPr>
        <w:rFonts w:hint="default"/>
      </w:rPr>
    </w:lvl>
    <w:lvl w:ilvl="6">
      <w:start w:val="1"/>
      <w:numFmt w:val="decimal"/>
      <w:lvlText w:val="%7."/>
      <w:lvlJc w:val="left"/>
      <w:pPr>
        <w:tabs>
          <w:tab w:val="num" w:pos="6196"/>
        </w:tabs>
        <w:ind w:left="6196" w:hanging="360"/>
      </w:pPr>
      <w:rPr>
        <w:rFonts w:hint="default"/>
      </w:rPr>
    </w:lvl>
    <w:lvl w:ilvl="7">
      <w:start w:val="1"/>
      <w:numFmt w:val="lowerLetter"/>
      <w:lvlText w:val="%8."/>
      <w:lvlJc w:val="left"/>
      <w:pPr>
        <w:tabs>
          <w:tab w:val="num" w:pos="6916"/>
        </w:tabs>
        <w:ind w:left="6916" w:hanging="360"/>
      </w:pPr>
      <w:rPr>
        <w:rFonts w:hint="default"/>
      </w:rPr>
    </w:lvl>
    <w:lvl w:ilvl="8">
      <w:start w:val="1"/>
      <w:numFmt w:val="lowerRoman"/>
      <w:lvlText w:val="%9."/>
      <w:lvlJc w:val="right"/>
      <w:pPr>
        <w:tabs>
          <w:tab w:val="num" w:pos="7636"/>
        </w:tabs>
        <w:ind w:left="7636" w:hanging="180"/>
      </w:pPr>
      <w:rPr>
        <w:rFonts w:hint="default"/>
      </w:rPr>
    </w:lvl>
  </w:abstractNum>
  <w:abstractNum w:abstractNumId="10"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80E6A"/>
    <w:multiLevelType w:val="multilevel"/>
    <w:tmpl w:val="4AC27B8A"/>
    <w:styleLink w:val="IENos"/>
    <w:lvl w:ilvl="0">
      <w:start w:val="1"/>
      <w:numFmt w:val="decimal"/>
      <w:pStyle w:val="IE1"/>
      <w:lvlText w:val="IE%1"/>
      <w:lvlJc w:val="left"/>
      <w:pPr>
        <w:ind w:left="510" w:hanging="510"/>
      </w:pPr>
      <w:rPr>
        <w:rFonts w:hint="default"/>
      </w:rPr>
    </w:lvl>
    <w:lvl w:ilvl="1">
      <w:start w:val="1"/>
      <w:numFmt w:val="lowerLetter"/>
      <w:pStyle w:val="IE2"/>
      <w:lvlText w:val="(%2)"/>
      <w:lvlJc w:val="left"/>
      <w:pPr>
        <w:tabs>
          <w:tab w:val="num" w:pos="1021"/>
        </w:tabs>
        <w:ind w:left="1020" w:hanging="510"/>
      </w:pPr>
      <w:rPr>
        <w:rFonts w:hint="default"/>
      </w:rPr>
    </w:lvl>
    <w:lvl w:ilvl="2">
      <w:start w:val="1"/>
      <w:numFmt w:val="lowerRoman"/>
      <w:pStyle w:val="IE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2"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3" w15:restartNumberingAfterBreak="0">
    <w:nsid w:val="30B55EFE"/>
    <w:multiLevelType w:val="multilevel"/>
    <w:tmpl w:val="3C8C2C30"/>
    <w:lvl w:ilvl="0">
      <w:start w:val="1"/>
      <w:numFmt w:val="decimal"/>
      <w:pStyle w:val="NumDPlain1"/>
      <w:lvlText w:val="D%1"/>
      <w:lvlJc w:val="left"/>
      <w:pPr>
        <w:tabs>
          <w:tab w:val="num" w:pos="782"/>
        </w:tabs>
        <w:ind w:left="782" w:hanging="782"/>
      </w:pPr>
      <w:rPr>
        <w:rFonts w:hint="default"/>
      </w:rPr>
    </w:lvl>
    <w:lvl w:ilvl="1">
      <w:start w:val="1"/>
      <w:numFmt w:val="lowerLetter"/>
      <w:pStyle w:val="NumDPlain2"/>
      <w:lvlText w:val="(%2)"/>
      <w:lvlJc w:val="left"/>
      <w:pPr>
        <w:ind w:left="782" w:firstLine="0"/>
      </w:pPr>
      <w:rPr>
        <w:rFonts w:hint="default"/>
      </w:rPr>
    </w:lvl>
    <w:lvl w:ilvl="2">
      <w:start w:val="1"/>
      <w:numFmt w:val="lowerRoman"/>
      <w:pStyle w:val="NumDPlain3"/>
      <w:lvlText w:val="(%3)"/>
      <w:lvlJc w:val="left"/>
      <w:pPr>
        <w:ind w:left="782" w:firstLine="7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333ABF"/>
    <w:multiLevelType w:val="multilevel"/>
    <w:tmpl w:val="EE9C98C8"/>
    <w:styleLink w:val="DNos"/>
    <w:lvl w:ilvl="0">
      <w:start w:val="1"/>
      <w:numFmt w:val="decimal"/>
      <w:pStyle w:val="DLevel1"/>
      <w:lvlText w:val="D%1"/>
      <w:lvlJc w:val="left"/>
      <w:pPr>
        <w:ind w:left="510" w:hanging="510"/>
      </w:pPr>
      <w:rPr>
        <w:rFonts w:hint="default"/>
      </w:rPr>
    </w:lvl>
    <w:lvl w:ilvl="1">
      <w:start w:val="1"/>
      <w:numFmt w:val="lowerLetter"/>
      <w:pStyle w:val="DLevel2"/>
      <w:lvlText w:val="(%2)"/>
      <w:lvlJc w:val="left"/>
      <w:pPr>
        <w:ind w:left="1020" w:hanging="510"/>
      </w:pPr>
      <w:rPr>
        <w:rFonts w:hint="default"/>
      </w:rPr>
    </w:lvl>
    <w:lvl w:ilvl="2">
      <w:start w:val="1"/>
      <w:numFmt w:val="lowerRoman"/>
      <w:pStyle w:val="DLevel3"/>
      <w:lvlText w:val="(%3)"/>
      <w:lvlJc w:val="lef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lef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left"/>
      <w:pPr>
        <w:ind w:left="4590" w:hanging="510"/>
      </w:pPr>
      <w:rPr>
        <w:rFonts w:hint="default"/>
      </w:rPr>
    </w:lvl>
  </w:abstractNum>
  <w:abstractNum w:abstractNumId="15"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D10E72"/>
    <w:multiLevelType w:val="multilevel"/>
    <w:tmpl w:val="55C27396"/>
    <w:lvl w:ilvl="0">
      <w:start w:val="1"/>
      <w:numFmt w:val="decimal"/>
      <w:pStyle w:val="NumFPlain1"/>
      <w:lvlText w:val="F%1"/>
      <w:lvlJc w:val="left"/>
      <w:pPr>
        <w:ind w:left="782" w:hanging="782"/>
      </w:pPr>
      <w:rPr>
        <w:rFonts w:hint="default"/>
      </w:rPr>
    </w:lvl>
    <w:lvl w:ilvl="1">
      <w:start w:val="1"/>
      <w:numFmt w:val="lowerLetter"/>
      <w:pStyle w:val="NumFPlain2"/>
      <w:lvlText w:val="(%2)"/>
      <w:lvlJc w:val="left"/>
      <w:pPr>
        <w:tabs>
          <w:tab w:val="num" w:pos="782"/>
        </w:tabs>
        <w:ind w:left="1565" w:hanging="783"/>
      </w:pPr>
      <w:rPr>
        <w:rFonts w:hint="default"/>
      </w:rPr>
    </w:lvl>
    <w:lvl w:ilvl="2">
      <w:start w:val="1"/>
      <w:numFmt w:val="lowerRoman"/>
      <w:pStyle w:val="NumFPlain3"/>
      <w:lvlText w:val="(%3)"/>
      <w:lvlJc w:val="left"/>
      <w:pPr>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A57C13"/>
    <w:multiLevelType w:val="multilevel"/>
    <w:tmpl w:val="9388362C"/>
    <w:lvl w:ilvl="0">
      <w:start w:val="1"/>
      <w:numFmt w:val="decimal"/>
      <w:pStyle w:val="Style1"/>
      <w:lvlText w:val="E%1"/>
      <w:lvlJc w:val="left"/>
      <w:pPr>
        <w:ind w:left="782" w:hanging="78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tyle3"/>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pStyle w:val="NumBold2"/>
      <w:lvlText w:val="o"/>
      <w:lvlJc w:val="left"/>
      <w:pPr>
        <w:tabs>
          <w:tab w:val="num" w:pos="1440"/>
        </w:tabs>
        <w:ind w:left="1440" w:hanging="360"/>
      </w:pPr>
      <w:rPr>
        <w:rFonts w:ascii="Courier New" w:hAnsi="Courier New" w:hint="default"/>
      </w:rPr>
    </w:lvl>
    <w:lvl w:ilvl="2" w:tplc="04090005" w:tentative="1">
      <w:start w:val="1"/>
      <w:numFmt w:val="bullet"/>
      <w:pStyle w:val="NumBold3"/>
      <w:lvlText w:val=""/>
      <w:lvlJc w:val="left"/>
      <w:pPr>
        <w:tabs>
          <w:tab w:val="num" w:pos="2160"/>
        </w:tabs>
        <w:ind w:left="2160" w:hanging="360"/>
      </w:pPr>
      <w:rPr>
        <w:rFonts w:ascii="Wingdings" w:hAnsi="Wingdings" w:hint="default"/>
      </w:rPr>
    </w:lvl>
    <w:lvl w:ilvl="3" w:tplc="04090001" w:tentative="1">
      <w:start w:val="1"/>
      <w:numFmt w:val="bullet"/>
      <w:pStyle w:val="NumBold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52957"/>
    <w:multiLevelType w:val="hybridMultilevel"/>
    <w:tmpl w:val="4ADC3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30812F3"/>
    <w:multiLevelType w:val="multilevel"/>
    <w:tmpl w:val="0B52A284"/>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1" w15:restartNumberingAfterBreak="0">
    <w:nsid w:val="60086057"/>
    <w:multiLevelType w:val="multilevel"/>
    <w:tmpl w:val="FEFCBC7E"/>
    <w:lvl w:ilvl="0">
      <w:start w:val="5"/>
      <w:numFmt w:val="decimal"/>
      <w:pStyle w:val="NumIEPlain1"/>
      <w:lvlText w:val="IE%1"/>
      <w:lvlJc w:val="left"/>
      <w:pPr>
        <w:ind w:left="782" w:hanging="782"/>
      </w:pPr>
      <w:rPr>
        <w:rFonts w:hint="default"/>
      </w:rPr>
    </w:lvl>
    <w:lvl w:ilvl="1">
      <w:start w:val="1"/>
      <w:numFmt w:val="lowerLetter"/>
      <w:pStyle w:val="NumIEPlain2"/>
      <w:lvlText w:val="(%2)"/>
      <w:lvlJc w:val="left"/>
      <w:pPr>
        <w:tabs>
          <w:tab w:val="num" w:pos="993"/>
        </w:tabs>
        <w:ind w:left="1776" w:hanging="783"/>
      </w:pPr>
      <w:rPr>
        <w:rFonts w:hint="default"/>
      </w:rPr>
    </w:lvl>
    <w:lvl w:ilvl="2">
      <w:start w:val="1"/>
      <w:numFmt w:val="lowerRoman"/>
      <w:pStyle w:val="NumIEPlain3"/>
      <w:lvlText w:val="(%3)"/>
      <w:lvlJc w:val="left"/>
      <w:pPr>
        <w:tabs>
          <w:tab w:val="num" w:pos="1565"/>
        </w:tabs>
        <w:ind w:left="2347" w:hanging="78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8A4BCE"/>
    <w:multiLevelType w:val="hybridMultilevel"/>
    <w:tmpl w:val="C7E2B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542243"/>
    <w:multiLevelType w:val="multilevel"/>
    <w:tmpl w:val="F65A6922"/>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i w:val="0"/>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4" w15:restartNumberingAfterBreak="0">
    <w:nsid w:val="629A02DC"/>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25" w15:restartNumberingAfterBreak="0">
    <w:nsid w:val="69327E80"/>
    <w:multiLevelType w:val="hybridMultilevel"/>
    <w:tmpl w:val="6234D5A2"/>
    <w:lvl w:ilvl="0" w:tplc="5C708D0E">
      <w:start w:val="1"/>
      <w:numFmt w:val="decimal"/>
      <w:pStyle w:val="AppendixBPara"/>
      <w:lvlText w:val="B%1"/>
      <w:lvlJc w:val="left"/>
      <w:pPr>
        <w:ind w:left="720" w:hanging="360"/>
      </w:pPr>
      <w:rPr>
        <w:rFonts w:ascii="Times New Roman" w:hAnsi="Times New Roman" w:hint="default"/>
        <w:b w:val="0"/>
        <w:i w:val="0"/>
        <w:sz w:val="19"/>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F71F4"/>
    <w:multiLevelType w:val="multilevel"/>
    <w:tmpl w:val="4AC27B8A"/>
    <w:numStyleLink w:val="IENos"/>
  </w:abstractNum>
  <w:abstractNum w:abstractNumId="29" w15:restartNumberingAfterBreak="0">
    <w:nsid w:val="7A881541"/>
    <w:multiLevelType w:val="hybridMultilevel"/>
    <w:tmpl w:val="EF3A2412"/>
    <w:lvl w:ilvl="0" w:tplc="739C81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3"/>
  </w:num>
  <w:num w:numId="3">
    <w:abstractNumId w:val="9"/>
  </w:num>
  <w:num w:numId="4">
    <w:abstractNumId w:val="15"/>
  </w:num>
  <w:num w:numId="5">
    <w:abstractNumId w:val="26"/>
  </w:num>
  <w:num w:numId="6">
    <w:abstractNumId w:val="18"/>
  </w:num>
  <w:num w:numId="7">
    <w:abstractNumId w:val="10"/>
  </w:num>
  <w:num w:numId="8">
    <w:abstractNumId w:val="27"/>
  </w:num>
  <w:num w:numId="9">
    <w:abstractNumId w:val="5"/>
  </w:num>
  <w:num w:numId="10">
    <w:abstractNumId w:val="8"/>
  </w:num>
  <w:num w:numId="11">
    <w:abstractNumId w:val="1"/>
  </w:num>
  <w:num w:numId="12">
    <w:abstractNumId w:val="12"/>
  </w:num>
  <w:num w:numId="13">
    <w:abstractNumId w:val="2"/>
  </w:num>
  <w:num w:numId="14">
    <w:abstractNumId w:val="7"/>
  </w:num>
  <w:num w:numId="15">
    <w:abstractNumId w:val="16"/>
  </w:num>
  <w:num w:numId="16">
    <w:abstractNumId w:val="21"/>
  </w:num>
  <w:num w:numId="17">
    <w:abstractNumId w:val="20"/>
  </w:num>
  <w:num w:numId="18">
    <w:abstractNumId w:val="14"/>
  </w:num>
  <w:num w:numId="19">
    <w:abstractNumId w:val="4"/>
  </w:num>
  <w:num w:numId="20">
    <w:abstractNumId w:val="25"/>
  </w:num>
  <w:num w:numId="21">
    <w:abstractNumId w:val="13"/>
  </w:num>
  <w:num w:numId="22">
    <w:abstractNumId w:val="11"/>
  </w:num>
  <w:num w:numId="23">
    <w:abstractNumId w:val="28"/>
  </w:num>
  <w:num w:numId="24">
    <w:abstractNumId w:val="17"/>
  </w:num>
  <w:num w:numId="25">
    <w:abstractNumId w:val="22"/>
  </w:num>
  <w:num w:numId="26">
    <w:abstractNumId w:val="29"/>
  </w:num>
  <w:num w:numId="27">
    <w:abstractNumId w:val="3"/>
  </w:num>
  <w:num w:numId="28">
    <w:abstractNumId w:val="6"/>
  </w:num>
  <w:num w:numId="29">
    <w:abstractNumId w:val="19"/>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AU" w:vendorID="64" w:dllVersion="0"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1MzUzMjY2sTQ2MDJS0lEKTi0uzszPAykwqwUA6pe5sCwAAAA="/>
  </w:docVars>
  <w:rsids>
    <w:rsidRoot w:val="009A1D2F"/>
    <w:rsid w:val="00005373"/>
    <w:rsid w:val="000167A7"/>
    <w:rsid w:val="00022550"/>
    <w:rsid w:val="00024709"/>
    <w:rsid w:val="00033978"/>
    <w:rsid w:val="00040DBE"/>
    <w:rsid w:val="00044104"/>
    <w:rsid w:val="00045130"/>
    <w:rsid w:val="00045471"/>
    <w:rsid w:val="00047B72"/>
    <w:rsid w:val="00053643"/>
    <w:rsid w:val="00054920"/>
    <w:rsid w:val="0005698C"/>
    <w:rsid w:val="0007578D"/>
    <w:rsid w:val="00080D5A"/>
    <w:rsid w:val="0009112D"/>
    <w:rsid w:val="00093F0F"/>
    <w:rsid w:val="00095F40"/>
    <w:rsid w:val="000B1AF6"/>
    <w:rsid w:val="000B4EC8"/>
    <w:rsid w:val="000C5A1C"/>
    <w:rsid w:val="000D15FB"/>
    <w:rsid w:val="000F428E"/>
    <w:rsid w:val="0010100C"/>
    <w:rsid w:val="0010476F"/>
    <w:rsid w:val="001052B8"/>
    <w:rsid w:val="00127791"/>
    <w:rsid w:val="0014755E"/>
    <w:rsid w:val="00156D8C"/>
    <w:rsid w:val="00164EC0"/>
    <w:rsid w:val="00183C27"/>
    <w:rsid w:val="00184221"/>
    <w:rsid w:val="00186F22"/>
    <w:rsid w:val="00190601"/>
    <w:rsid w:val="00193555"/>
    <w:rsid w:val="001A645E"/>
    <w:rsid w:val="001A73C1"/>
    <w:rsid w:val="001D6BEA"/>
    <w:rsid w:val="001D73A4"/>
    <w:rsid w:val="001F192A"/>
    <w:rsid w:val="001F25DE"/>
    <w:rsid w:val="002078BC"/>
    <w:rsid w:val="00213C6E"/>
    <w:rsid w:val="0023224A"/>
    <w:rsid w:val="002405FA"/>
    <w:rsid w:val="0024240A"/>
    <w:rsid w:val="00242B05"/>
    <w:rsid w:val="00253B44"/>
    <w:rsid w:val="0025590F"/>
    <w:rsid w:val="0025677D"/>
    <w:rsid w:val="0026379B"/>
    <w:rsid w:val="002750B5"/>
    <w:rsid w:val="002848C0"/>
    <w:rsid w:val="002B21DD"/>
    <w:rsid w:val="002B240B"/>
    <w:rsid w:val="002C7844"/>
    <w:rsid w:val="002D1C2A"/>
    <w:rsid w:val="002E4B51"/>
    <w:rsid w:val="002F0E2A"/>
    <w:rsid w:val="003066F0"/>
    <w:rsid w:val="00315D64"/>
    <w:rsid w:val="00317424"/>
    <w:rsid w:val="00324A7C"/>
    <w:rsid w:val="003415F9"/>
    <w:rsid w:val="003420A3"/>
    <w:rsid w:val="00347EC5"/>
    <w:rsid w:val="0035221F"/>
    <w:rsid w:val="00355676"/>
    <w:rsid w:val="00356836"/>
    <w:rsid w:val="00360F63"/>
    <w:rsid w:val="00367067"/>
    <w:rsid w:val="00372F63"/>
    <w:rsid w:val="00383A44"/>
    <w:rsid w:val="00383BC5"/>
    <w:rsid w:val="003878A5"/>
    <w:rsid w:val="00393688"/>
    <w:rsid w:val="003A31FE"/>
    <w:rsid w:val="003A699B"/>
    <w:rsid w:val="003A7737"/>
    <w:rsid w:val="003B2BA0"/>
    <w:rsid w:val="003B440D"/>
    <w:rsid w:val="003D035B"/>
    <w:rsid w:val="003D33F6"/>
    <w:rsid w:val="003D4E5A"/>
    <w:rsid w:val="003E27EE"/>
    <w:rsid w:val="003F2F4F"/>
    <w:rsid w:val="0041375C"/>
    <w:rsid w:val="004142D7"/>
    <w:rsid w:val="004152D3"/>
    <w:rsid w:val="00420555"/>
    <w:rsid w:val="00423C02"/>
    <w:rsid w:val="00425D7D"/>
    <w:rsid w:val="00425EC7"/>
    <w:rsid w:val="004329FE"/>
    <w:rsid w:val="00434266"/>
    <w:rsid w:val="00441BFF"/>
    <w:rsid w:val="004430D2"/>
    <w:rsid w:val="00461192"/>
    <w:rsid w:val="00473DAB"/>
    <w:rsid w:val="004866F1"/>
    <w:rsid w:val="00494A6D"/>
    <w:rsid w:val="00496C21"/>
    <w:rsid w:val="004B153E"/>
    <w:rsid w:val="004C403C"/>
    <w:rsid w:val="004C435F"/>
    <w:rsid w:val="004E5FB5"/>
    <w:rsid w:val="004E76B3"/>
    <w:rsid w:val="004F6C5E"/>
    <w:rsid w:val="005218F1"/>
    <w:rsid w:val="0053061A"/>
    <w:rsid w:val="005407C8"/>
    <w:rsid w:val="00547187"/>
    <w:rsid w:val="005512A5"/>
    <w:rsid w:val="00555EB0"/>
    <w:rsid w:val="00564F44"/>
    <w:rsid w:val="00587E14"/>
    <w:rsid w:val="0059152C"/>
    <w:rsid w:val="005A0148"/>
    <w:rsid w:val="005A09AB"/>
    <w:rsid w:val="005B4FC6"/>
    <w:rsid w:val="005C4E14"/>
    <w:rsid w:val="005E28B7"/>
    <w:rsid w:val="005E37A9"/>
    <w:rsid w:val="005F417C"/>
    <w:rsid w:val="005F7281"/>
    <w:rsid w:val="006025F3"/>
    <w:rsid w:val="0060425B"/>
    <w:rsid w:val="00604A0D"/>
    <w:rsid w:val="0063046D"/>
    <w:rsid w:val="00630BD1"/>
    <w:rsid w:val="006817A2"/>
    <w:rsid w:val="00684D1E"/>
    <w:rsid w:val="006A5213"/>
    <w:rsid w:val="006A5CB0"/>
    <w:rsid w:val="006A7D07"/>
    <w:rsid w:val="006B25C4"/>
    <w:rsid w:val="006B4005"/>
    <w:rsid w:val="006B4B75"/>
    <w:rsid w:val="006E5379"/>
    <w:rsid w:val="006E657F"/>
    <w:rsid w:val="006E7ACE"/>
    <w:rsid w:val="006F3741"/>
    <w:rsid w:val="00707FF0"/>
    <w:rsid w:val="007138DB"/>
    <w:rsid w:val="007144CE"/>
    <w:rsid w:val="00714583"/>
    <w:rsid w:val="00722909"/>
    <w:rsid w:val="00726C85"/>
    <w:rsid w:val="00726D1E"/>
    <w:rsid w:val="00736422"/>
    <w:rsid w:val="00752B4B"/>
    <w:rsid w:val="00757948"/>
    <w:rsid w:val="00763E53"/>
    <w:rsid w:val="007645CA"/>
    <w:rsid w:val="0076720C"/>
    <w:rsid w:val="007707E9"/>
    <w:rsid w:val="007724EB"/>
    <w:rsid w:val="007732E5"/>
    <w:rsid w:val="0077643F"/>
    <w:rsid w:val="00783D27"/>
    <w:rsid w:val="0078416E"/>
    <w:rsid w:val="00792EE2"/>
    <w:rsid w:val="007930F5"/>
    <w:rsid w:val="00794156"/>
    <w:rsid w:val="007951BD"/>
    <w:rsid w:val="0079797C"/>
    <w:rsid w:val="007A55FB"/>
    <w:rsid w:val="007C6D63"/>
    <w:rsid w:val="007E0947"/>
    <w:rsid w:val="008041C8"/>
    <w:rsid w:val="0081289C"/>
    <w:rsid w:val="008153D6"/>
    <w:rsid w:val="0082708A"/>
    <w:rsid w:val="00833B56"/>
    <w:rsid w:val="0084144C"/>
    <w:rsid w:val="00844FB5"/>
    <w:rsid w:val="00870A72"/>
    <w:rsid w:val="00871D02"/>
    <w:rsid w:val="00880D12"/>
    <w:rsid w:val="00887CC1"/>
    <w:rsid w:val="008A0094"/>
    <w:rsid w:val="008B3152"/>
    <w:rsid w:val="008C3420"/>
    <w:rsid w:val="008C5B03"/>
    <w:rsid w:val="008C718F"/>
    <w:rsid w:val="008D2251"/>
    <w:rsid w:val="008E146A"/>
    <w:rsid w:val="008F330E"/>
    <w:rsid w:val="008F469A"/>
    <w:rsid w:val="0090058E"/>
    <w:rsid w:val="0091547E"/>
    <w:rsid w:val="00923C3E"/>
    <w:rsid w:val="00924F25"/>
    <w:rsid w:val="00926C27"/>
    <w:rsid w:val="00932EE4"/>
    <w:rsid w:val="00933FA2"/>
    <w:rsid w:val="009342ED"/>
    <w:rsid w:val="0093522B"/>
    <w:rsid w:val="009416D6"/>
    <w:rsid w:val="00941A03"/>
    <w:rsid w:val="0094287A"/>
    <w:rsid w:val="00951297"/>
    <w:rsid w:val="00953315"/>
    <w:rsid w:val="009537A1"/>
    <w:rsid w:val="00963A85"/>
    <w:rsid w:val="0096534E"/>
    <w:rsid w:val="0096545E"/>
    <w:rsid w:val="0098706A"/>
    <w:rsid w:val="009A1D2F"/>
    <w:rsid w:val="009A233D"/>
    <w:rsid w:val="009C42F3"/>
    <w:rsid w:val="009C79E2"/>
    <w:rsid w:val="009E085F"/>
    <w:rsid w:val="009E1861"/>
    <w:rsid w:val="009E6C4A"/>
    <w:rsid w:val="009F2244"/>
    <w:rsid w:val="009F30C1"/>
    <w:rsid w:val="00A12F71"/>
    <w:rsid w:val="00A213B3"/>
    <w:rsid w:val="00A27219"/>
    <w:rsid w:val="00A34B25"/>
    <w:rsid w:val="00A407EE"/>
    <w:rsid w:val="00A4377A"/>
    <w:rsid w:val="00A449C1"/>
    <w:rsid w:val="00A45A55"/>
    <w:rsid w:val="00A51DA3"/>
    <w:rsid w:val="00A53B06"/>
    <w:rsid w:val="00A542ED"/>
    <w:rsid w:val="00A723D0"/>
    <w:rsid w:val="00A86B02"/>
    <w:rsid w:val="00A90363"/>
    <w:rsid w:val="00A95FD8"/>
    <w:rsid w:val="00A96F87"/>
    <w:rsid w:val="00AA30FD"/>
    <w:rsid w:val="00AA5F63"/>
    <w:rsid w:val="00AB3E94"/>
    <w:rsid w:val="00AB5902"/>
    <w:rsid w:val="00AC3CCB"/>
    <w:rsid w:val="00AC3D6D"/>
    <w:rsid w:val="00AC565B"/>
    <w:rsid w:val="00AE22E6"/>
    <w:rsid w:val="00AE4AB8"/>
    <w:rsid w:val="00AF0B8E"/>
    <w:rsid w:val="00AF3FB3"/>
    <w:rsid w:val="00B14EFE"/>
    <w:rsid w:val="00B22C54"/>
    <w:rsid w:val="00B35B83"/>
    <w:rsid w:val="00B35BDA"/>
    <w:rsid w:val="00B52423"/>
    <w:rsid w:val="00B6414F"/>
    <w:rsid w:val="00B863BF"/>
    <w:rsid w:val="00B92637"/>
    <w:rsid w:val="00B95EF6"/>
    <w:rsid w:val="00BA2518"/>
    <w:rsid w:val="00BB3A19"/>
    <w:rsid w:val="00BD7082"/>
    <w:rsid w:val="00BE46C9"/>
    <w:rsid w:val="00BF7F34"/>
    <w:rsid w:val="00C0258D"/>
    <w:rsid w:val="00C027D1"/>
    <w:rsid w:val="00C03377"/>
    <w:rsid w:val="00C16802"/>
    <w:rsid w:val="00C67DAC"/>
    <w:rsid w:val="00C77057"/>
    <w:rsid w:val="00C825DF"/>
    <w:rsid w:val="00C91C24"/>
    <w:rsid w:val="00C948FE"/>
    <w:rsid w:val="00CA198A"/>
    <w:rsid w:val="00CB18AB"/>
    <w:rsid w:val="00CB19AE"/>
    <w:rsid w:val="00CB1A75"/>
    <w:rsid w:val="00CB1E99"/>
    <w:rsid w:val="00CD23D5"/>
    <w:rsid w:val="00CD550C"/>
    <w:rsid w:val="00CE32A4"/>
    <w:rsid w:val="00CE4B6D"/>
    <w:rsid w:val="00CE4E14"/>
    <w:rsid w:val="00CE69A7"/>
    <w:rsid w:val="00CE72F9"/>
    <w:rsid w:val="00D01ABC"/>
    <w:rsid w:val="00D21034"/>
    <w:rsid w:val="00D22B74"/>
    <w:rsid w:val="00D23C3D"/>
    <w:rsid w:val="00D362EF"/>
    <w:rsid w:val="00D43F26"/>
    <w:rsid w:val="00D46DD5"/>
    <w:rsid w:val="00D470A2"/>
    <w:rsid w:val="00D52962"/>
    <w:rsid w:val="00D55926"/>
    <w:rsid w:val="00D61A78"/>
    <w:rsid w:val="00D651A6"/>
    <w:rsid w:val="00D676F8"/>
    <w:rsid w:val="00D77441"/>
    <w:rsid w:val="00D858E3"/>
    <w:rsid w:val="00D85BFA"/>
    <w:rsid w:val="00D91EED"/>
    <w:rsid w:val="00DA60EA"/>
    <w:rsid w:val="00DB6A48"/>
    <w:rsid w:val="00DD3629"/>
    <w:rsid w:val="00DD411B"/>
    <w:rsid w:val="00DF0433"/>
    <w:rsid w:val="00DF4D4C"/>
    <w:rsid w:val="00DF5499"/>
    <w:rsid w:val="00E0079A"/>
    <w:rsid w:val="00E01695"/>
    <w:rsid w:val="00E1054A"/>
    <w:rsid w:val="00E2098D"/>
    <w:rsid w:val="00E242F4"/>
    <w:rsid w:val="00E27198"/>
    <w:rsid w:val="00E44D52"/>
    <w:rsid w:val="00E45D8C"/>
    <w:rsid w:val="00E62B6B"/>
    <w:rsid w:val="00E76FC8"/>
    <w:rsid w:val="00E825BA"/>
    <w:rsid w:val="00E82D3F"/>
    <w:rsid w:val="00E91D8E"/>
    <w:rsid w:val="00E95740"/>
    <w:rsid w:val="00EA6201"/>
    <w:rsid w:val="00EB30CA"/>
    <w:rsid w:val="00EC3338"/>
    <w:rsid w:val="00EC6B09"/>
    <w:rsid w:val="00ED51CE"/>
    <w:rsid w:val="00ED73DA"/>
    <w:rsid w:val="00EE18FB"/>
    <w:rsid w:val="00EE618A"/>
    <w:rsid w:val="00F01C10"/>
    <w:rsid w:val="00F033F8"/>
    <w:rsid w:val="00F20AA3"/>
    <w:rsid w:val="00F2121B"/>
    <w:rsid w:val="00F3215D"/>
    <w:rsid w:val="00F34046"/>
    <w:rsid w:val="00F371F5"/>
    <w:rsid w:val="00F405ED"/>
    <w:rsid w:val="00F463F5"/>
    <w:rsid w:val="00F51BE6"/>
    <w:rsid w:val="00F6163B"/>
    <w:rsid w:val="00F76BCD"/>
    <w:rsid w:val="00F7754E"/>
    <w:rsid w:val="00F828B0"/>
    <w:rsid w:val="00F84865"/>
    <w:rsid w:val="00FC0C24"/>
    <w:rsid w:val="00FC3E7E"/>
    <w:rsid w:val="00FD1573"/>
    <w:rsid w:val="00FD4BA8"/>
    <w:rsid w:val="00FD6B03"/>
    <w:rsid w:val="00FD7782"/>
    <w:rsid w:val="00FE2F4E"/>
    <w:rsid w:val="00FE3AD5"/>
    <w:rsid w:val="00FF2113"/>
    <w:rsid w:val="00FF49BB"/>
    <w:rsid w:val="00FF6B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5D48E525"/>
  <w14:defaultImageDpi w14:val="96"/>
  <w15:docId w15:val="{E0009CF7-0006-46C3-9AB9-7AF4E820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iPriority="0"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5" w:unhideWhenUsed="1"/>
    <w:lsdException w:name="endnote text" w:semiHidden="1" w:uiPriority="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887CC1"/>
    <w:pPr>
      <w:spacing w:after="0" w:line="240" w:lineRule="auto"/>
    </w:pPr>
    <w:rPr>
      <w:sz w:val="19"/>
      <w:szCs w:val="24"/>
      <w:lang w:val="en-AU" w:eastAsia="en-US"/>
    </w:rPr>
  </w:style>
  <w:style w:type="paragraph" w:styleId="Heading1">
    <w:name w:val="heading 1"/>
    <w:basedOn w:val="Normal"/>
    <w:next w:val="Normal"/>
    <w:link w:val="Heading1Char"/>
    <w:qFormat/>
    <w:rsid w:val="00B926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B92637"/>
    <w:pPr>
      <w:keepLines w:val="0"/>
      <w:spacing w:before="0" w:after="200" w:line="280" w:lineRule="exact"/>
      <w:outlineLvl w:val="1"/>
    </w:pPr>
    <w:rPr>
      <w:rFonts w:ascii="Times New Roman" w:eastAsia="Times New Roman" w:hAnsi="Times New Roman" w:cs="Arial"/>
      <w:b/>
      <w:iCs/>
      <w:color w:val="auto"/>
      <w:sz w:val="28"/>
      <w:szCs w:val="28"/>
    </w:rPr>
  </w:style>
  <w:style w:type="paragraph" w:styleId="Heading3">
    <w:name w:val="heading 3"/>
    <w:basedOn w:val="Heading2"/>
    <w:next w:val="Normal"/>
    <w:link w:val="Heading3Char"/>
    <w:qFormat/>
    <w:rsid w:val="00A27219"/>
    <w:pPr>
      <w:spacing w:line="240" w:lineRule="exact"/>
      <w:outlineLvl w:val="2"/>
    </w:pPr>
    <w:rPr>
      <w:bCs/>
      <w:sz w:val="24"/>
      <w:szCs w:val="26"/>
    </w:rPr>
  </w:style>
  <w:style w:type="paragraph" w:styleId="Heading4">
    <w:name w:val="heading 4"/>
    <w:basedOn w:val="Heading3"/>
    <w:next w:val="Normal"/>
    <w:link w:val="Heading4Char"/>
    <w:qFormat/>
    <w:rsid w:val="00A27219"/>
    <w:pPr>
      <w:spacing w:line="200" w:lineRule="exact"/>
      <w:outlineLvl w:val="3"/>
    </w:pPr>
    <w:rPr>
      <w:bCs w:val="0"/>
      <w:sz w:val="20"/>
      <w:szCs w:val="28"/>
    </w:rPr>
  </w:style>
  <w:style w:type="paragraph" w:styleId="Heading5">
    <w:name w:val="heading 5"/>
    <w:basedOn w:val="Heading4"/>
    <w:next w:val="Normal"/>
    <w:link w:val="Heading5Char"/>
    <w:qFormat/>
    <w:rsid w:val="00A27219"/>
    <w:pPr>
      <w:outlineLvl w:val="4"/>
    </w:pPr>
    <w:rPr>
      <w:bCs/>
      <w:i/>
      <w:iCs w:val="0"/>
      <w:szCs w:val="26"/>
    </w:rPr>
  </w:style>
  <w:style w:type="paragraph" w:styleId="Heading6">
    <w:name w:val="heading 6"/>
    <w:basedOn w:val="Heading5"/>
    <w:next w:val="Normal"/>
    <w:link w:val="Heading6Char"/>
    <w:qFormat/>
    <w:rsid w:val="00A27219"/>
    <w:pPr>
      <w:outlineLvl w:val="5"/>
    </w:pPr>
    <w:rPr>
      <w:b w:val="0"/>
      <w:bCs w:val="0"/>
      <w:szCs w:val="22"/>
    </w:rPr>
  </w:style>
  <w:style w:type="paragraph" w:styleId="Heading7">
    <w:name w:val="heading 7"/>
    <w:basedOn w:val="Normal"/>
    <w:link w:val="Heading7Char"/>
    <w:semiHidden/>
    <w:rsid w:val="00A27219"/>
    <w:pPr>
      <w:tabs>
        <w:tab w:val="num" w:pos="4961"/>
      </w:tabs>
      <w:spacing w:before="240" w:after="60"/>
      <w:ind w:left="4961" w:hanging="709"/>
      <w:outlineLvl w:val="6"/>
    </w:pPr>
    <w:rPr>
      <w:sz w:val="24"/>
      <w:lang w:eastAsia="en-AU"/>
    </w:rPr>
  </w:style>
  <w:style w:type="paragraph" w:styleId="Heading8">
    <w:name w:val="heading 8"/>
    <w:basedOn w:val="Normal"/>
    <w:link w:val="Heading8Char"/>
    <w:semiHidden/>
    <w:rsid w:val="00A27219"/>
    <w:pPr>
      <w:tabs>
        <w:tab w:val="num" w:pos="5669"/>
      </w:tabs>
      <w:spacing w:before="240" w:after="60"/>
      <w:ind w:left="5669" w:hanging="708"/>
      <w:outlineLvl w:val="7"/>
    </w:pPr>
    <w:rPr>
      <w:iCs/>
      <w:sz w:val="24"/>
      <w:lang w:eastAsia="en-AU"/>
    </w:rPr>
  </w:style>
  <w:style w:type="paragraph" w:styleId="Heading9">
    <w:name w:val="heading 9"/>
    <w:basedOn w:val="Normal"/>
    <w:link w:val="Heading9Char"/>
    <w:semiHidden/>
    <w:rsid w:val="00A27219"/>
    <w:pPr>
      <w:tabs>
        <w:tab w:val="num" w:pos="6378"/>
      </w:tabs>
      <w:spacing w:before="240" w:after="60"/>
      <w:ind w:left="6378" w:hanging="709"/>
      <w:outlineLvl w:val="8"/>
    </w:pPr>
    <w:rPr>
      <w:rFonts w:cs="Arial"/>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link w:val="IASBNormalChar"/>
    <w:uiPriority w:val="8"/>
    <w:rsid w:val="004C403C"/>
    <w:pPr>
      <w:tabs>
        <w:tab w:val="left" w:pos="4253"/>
      </w:tabs>
      <w:spacing w:before="100" w:after="100" w:line="240" w:lineRule="auto"/>
      <w:jc w:val="both"/>
    </w:pPr>
    <w:rPr>
      <w:sz w:val="19"/>
      <w:szCs w:val="20"/>
      <w:lang w:val="en-AU" w:eastAsia="en-US"/>
    </w:rPr>
  </w:style>
  <w:style w:type="paragraph" w:customStyle="1" w:styleId="IASBNormalnpara">
    <w:name w:val="IASB Normal npara"/>
    <w:basedOn w:val="IASBNormal"/>
    <w:qFormat/>
    <w:rsid w:val="004C403C"/>
    <w:pPr>
      <w:tabs>
        <w:tab w:val="clear" w:pos="4253"/>
      </w:tabs>
      <w:spacing w:after="0"/>
      <w:ind w:left="782" w:hanging="782"/>
    </w:pPr>
  </w:style>
  <w:style w:type="paragraph" w:customStyle="1" w:styleId="IASBSectionTitle1Ind">
    <w:name w:val="IASB Section Title 1 Ind"/>
    <w:basedOn w:val="Normal"/>
    <w:uiPriority w:val="8"/>
    <w:rsid w:val="004C403C"/>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link w:val="IASBSectionTitle1NonIndChar"/>
    <w:rsid w:val="004C403C"/>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4C403C"/>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rsid w:val="004C403C"/>
    <w:pPr>
      <w:spacing w:before="240"/>
      <w:ind w:left="782"/>
    </w:pPr>
  </w:style>
  <w:style w:type="paragraph" w:customStyle="1" w:styleId="IASBSectionTitle3NonInd">
    <w:name w:val="IASB Section Title 3 NonInd"/>
    <w:basedOn w:val="Normal"/>
    <w:uiPriority w:val="8"/>
    <w:rsid w:val="004C403C"/>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4C403C"/>
    <w:pPr>
      <w:spacing w:before="240"/>
      <w:ind w:left="782"/>
    </w:pPr>
  </w:style>
  <w:style w:type="paragraph" w:customStyle="1" w:styleId="IASBSectionTitle4NonInd">
    <w:name w:val="IASB Section Title 4 NonInd"/>
    <w:basedOn w:val="Normal"/>
    <w:uiPriority w:val="8"/>
    <w:rsid w:val="004C403C"/>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4C403C"/>
    <w:pPr>
      <w:ind w:left="782"/>
    </w:pPr>
  </w:style>
  <w:style w:type="paragraph" w:customStyle="1" w:styleId="IASBSectionTitle5NonInd">
    <w:name w:val="IASB Section Title 5 NonInd"/>
    <w:basedOn w:val="Normal"/>
    <w:uiPriority w:val="8"/>
    <w:rsid w:val="004C403C"/>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4C403C"/>
    <w:pPr>
      <w:ind w:left="782"/>
    </w:pPr>
  </w:style>
  <w:style w:type="paragraph" w:customStyle="1" w:styleId="IASBSectionTitle6NonInd">
    <w:name w:val="IASB Section Title 6 NonInd"/>
    <w:basedOn w:val="IASBSectionTitle5NonInd"/>
    <w:uiPriority w:val="8"/>
    <w:rsid w:val="004C403C"/>
    <w:pPr>
      <w:outlineLvl w:val="5"/>
    </w:pPr>
    <w:rPr>
      <w:b w:val="0"/>
      <w:i/>
    </w:rPr>
  </w:style>
  <w:style w:type="paragraph" w:customStyle="1" w:styleId="IASBSectionTitle6Ind">
    <w:name w:val="IASB Section Title 6 Ind"/>
    <w:basedOn w:val="IASBSectionTitle6NonInd"/>
    <w:uiPriority w:val="8"/>
    <w:rsid w:val="004C403C"/>
    <w:pPr>
      <w:ind w:left="782"/>
    </w:pPr>
  </w:style>
  <w:style w:type="paragraph" w:customStyle="1" w:styleId="IASBTitle">
    <w:name w:val="IASB Title"/>
    <w:uiPriority w:val="8"/>
    <w:rsid w:val="004C403C"/>
    <w:pPr>
      <w:keepNext/>
      <w:keepLines/>
      <w:spacing w:before="300" w:after="400" w:line="240" w:lineRule="auto"/>
    </w:pPr>
    <w:rPr>
      <w:rFonts w:cs="Arial"/>
      <w:sz w:val="36"/>
      <w:szCs w:val="20"/>
      <w:lang w:val="en-AU" w:eastAsia="en-US"/>
    </w:rPr>
  </w:style>
  <w:style w:type="paragraph" w:customStyle="1" w:styleId="IASBNormalnparaL1">
    <w:name w:val="IASB Normal nparaL1"/>
    <w:basedOn w:val="IASBNormalnpara"/>
    <w:rsid w:val="004C403C"/>
    <w:pPr>
      <w:ind w:left="1564"/>
    </w:pPr>
  </w:style>
  <w:style w:type="paragraph" w:customStyle="1" w:styleId="IASBNormalnparaP">
    <w:name w:val="IASB Normal nparaP"/>
    <w:basedOn w:val="IASBNormal"/>
    <w:rsid w:val="004C403C"/>
    <w:pPr>
      <w:tabs>
        <w:tab w:val="clear" w:pos="4253"/>
      </w:tabs>
      <w:ind w:left="782"/>
    </w:pPr>
  </w:style>
  <w:style w:type="paragraph" w:customStyle="1" w:styleId="IASBIdentifier">
    <w:name w:val="IASB Identifier"/>
    <w:basedOn w:val="IASBTitle"/>
    <w:uiPriority w:val="8"/>
    <w:rsid w:val="004C403C"/>
    <w:pPr>
      <w:spacing w:after="200"/>
    </w:pPr>
    <w:rPr>
      <w:rFonts w:ascii="Arial" w:hAnsi="Arial"/>
      <w:b/>
      <w:sz w:val="23"/>
    </w:rPr>
  </w:style>
  <w:style w:type="paragraph" w:customStyle="1" w:styleId="IASBTOCPrimary">
    <w:name w:val="IASB TOC Primary"/>
    <w:basedOn w:val="Normal"/>
    <w:uiPriority w:val="8"/>
    <w:rsid w:val="004C403C"/>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4C403C"/>
    <w:pPr>
      <w:spacing w:before="30" w:after="30"/>
    </w:pPr>
    <w:rPr>
      <w:rFonts w:ascii="Arial" w:hAnsi="Arial" w:cs="Arial"/>
      <w:i/>
      <w:sz w:val="18"/>
      <w:szCs w:val="20"/>
    </w:rPr>
  </w:style>
  <w:style w:type="paragraph" w:customStyle="1" w:styleId="IASBTOCSecondary">
    <w:name w:val="IASB TOC Secondary"/>
    <w:basedOn w:val="Normal"/>
    <w:uiPriority w:val="8"/>
    <w:rsid w:val="004C403C"/>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4C403C"/>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4C403C"/>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4C403C"/>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4C403C"/>
    <w:rPr>
      <w:i/>
    </w:rPr>
  </w:style>
  <w:style w:type="paragraph" w:customStyle="1" w:styleId="IASBBlockquote">
    <w:name w:val="IASB Blockquote"/>
    <w:basedOn w:val="IASBNormal"/>
    <w:uiPriority w:val="8"/>
    <w:rsid w:val="004C403C"/>
    <w:pPr>
      <w:ind w:left="1565"/>
    </w:pPr>
    <w:rPr>
      <w:sz w:val="16"/>
    </w:rPr>
  </w:style>
  <w:style w:type="character" w:customStyle="1" w:styleId="IASBEduinsert">
    <w:name w:val="IASB Edu insert"/>
    <w:uiPriority w:val="8"/>
    <w:qFormat/>
    <w:rsid w:val="004C403C"/>
  </w:style>
  <w:style w:type="character" w:styleId="FootnoteReference">
    <w:name w:val="footnote reference"/>
    <w:uiPriority w:val="5"/>
    <w:unhideWhenUsed/>
    <w:rsid w:val="004C403C"/>
    <w:rPr>
      <w:vertAlign w:val="superscript"/>
    </w:rPr>
  </w:style>
  <w:style w:type="paragraph" w:styleId="FootnoteText">
    <w:name w:val="footnote text"/>
    <w:basedOn w:val="IASBSectionTitle2Ind"/>
    <w:next w:val="IASBBlockquote"/>
    <w:link w:val="FootnoteTextChar"/>
    <w:uiPriority w:val="5"/>
    <w:unhideWhenUsed/>
    <w:rsid w:val="004C403C"/>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5"/>
    <w:rsid w:val="004C403C"/>
    <w:rPr>
      <w:sz w:val="16"/>
      <w:szCs w:val="20"/>
      <w:lang w:val="en-AU" w:eastAsia="en-US"/>
    </w:rPr>
  </w:style>
  <w:style w:type="paragraph" w:customStyle="1" w:styleId="IASBNormalL1">
    <w:name w:val="IASB Normal L1"/>
    <w:basedOn w:val="IASBNormalnpara"/>
    <w:rsid w:val="004C403C"/>
  </w:style>
  <w:style w:type="paragraph" w:styleId="Header">
    <w:name w:val="header"/>
    <w:basedOn w:val="Normal"/>
    <w:link w:val="HeaderChar"/>
    <w:uiPriority w:val="99"/>
    <w:rsid w:val="004C403C"/>
    <w:pPr>
      <w:tabs>
        <w:tab w:val="center" w:pos="4536"/>
        <w:tab w:val="right" w:pos="9072"/>
      </w:tabs>
    </w:pPr>
    <w:rPr>
      <w:sz w:val="20"/>
    </w:rPr>
  </w:style>
  <w:style w:type="character" w:customStyle="1" w:styleId="HeaderChar">
    <w:name w:val="Header Char"/>
    <w:link w:val="Header"/>
    <w:uiPriority w:val="99"/>
    <w:rsid w:val="004C403C"/>
    <w:rPr>
      <w:sz w:val="20"/>
      <w:szCs w:val="24"/>
      <w:lang w:val="en-AU" w:eastAsia="en-US"/>
    </w:rPr>
  </w:style>
  <w:style w:type="paragraph" w:styleId="Footer">
    <w:name w:val="footer"/>
    <w:basedOn w:val="Normal"/>
    <w:link w:val="FooterChar"/>
    <w:rsid w:val="004C403C"/>
    <w:pPr>
      <w:tabs>
        <w:tab w:val="center" w:pos="4536"/>
        <w:tab w:val="right" w:pos="9072"/>
      </w:tabs>
    </w:pPr>
  </w:style>
  <w:style w:type="character" w:customStyle="1" w:styleId="FooterChar">
    <w:name w:val="Footer Char"/>
    <w:link w:val="Footer"/>
    <w:rsid w:val="004C403C"/>
    <w:rPr>
      <w:sz w:val="19"/>
      <w:szCs w:val="24"/>
      <w:lang w:val="en-AU" w:eastAsia="en-US"/>
    </w:rPr>
  </w:style>
  <w:style w:type="paragraph" w:customStyle="1" w:styleId="IASBRubricL1">
    <w:name w:val="IASB RubricL1"/>
    <w:basedOn w:val="IASBRubric"/>
    <w:uiPriority w:val="8"/>
    <w:rsid w:val="004C403C"/>
    <w:pPr>
      <w:ind w:left="782" w:hanging="782"/>
      <w:jc w:val="left"/>
    </w:pPr>
    <w:rPr>
      <w:lang w:eastAsia="en-GB"/>
    </w:rPr>
  </w:style>
  <w:style w:type="paragraph" w:customStyle="1" w:styleId="IASBRubricL2">
    <w:name w:val="IASB RubricL2"/>
    <w:basedOn w:val="IASBRubricL1"/>
    <w:uiPriority w:val="8"/>
    <w:rsid w:val="004C403C"/>
    <w:pPr>
      <w:tabs>
        <w:tab w:val="left" w:pos="782"/>
      </w:tabs>
      <w:ind w:left="1565" w:hanging="1565"/>
    </w:pPr>
  </w:style>
  <w:style w:type="paragraph" w:customStyle="1" w:styleId="IASBRubricL3">
    <w:name w:val="IASB RubricL3"/>
    <w:basedOn w:val="IASBRubricL2"/>
    <w:uiPriority w:val="8"/>
    <w:rsid w:val="004C403C"/>
    <w:pPr>
      <w:tabs>
        <w:tab w:val="clear" w:pos="782"/>
        <w:tab w:val="left" w:pos="1565"/>
      </w:tabs>
      <w:ind w:left="2347" w:hanging="2347"/>
    </w:pPr>
  </w:style>
  <w:style w:type="paragraph" w:customStyle="1" w:styleId="IASBNormalnparaL2">
    <w:name w:val="IASB Normal nparaL2"/>
    <w:basedOn w:val="IASBNormalnparaL1"/>
    <w:rsid w:val="004C403C"/>
    <w:pPr>
      <w:ind w:left="2347"/>
    </w:pPr>
  </w:style>
  <w:style w:type="paragraph" w:customStyle="1" w:styleId="IASBNormalnparaL3">
    <w:name w:val="IASB Normal nparaL3"/>
    <w:basedOn w:val="IASBNormalnparaL2"/>
    <w:uiPriority w:val="8"/>
    <w:rsid w:val="004C403C"/>
    <w:pPr>
      <w:ind w:left="3129"/>
    </w:pPr>
  </w:style>
  <w:style w:type="paragraph" w:customStyle="1" w:styleId="IASBNormalnparaL4">
    <w:name w:val="IASB Normal nparaL4"/>
    <w:basedOn w:val="IASBNormalnparaL3"/>
    <w:uiPriority w:val="8"/>
    <w:rsid w:val="004C403C"/>
    <w:pPr>
      <w:ind w:left="3912"/>
    </w:pPr>
  </w:style>
  <w:style w:type="paragraph" w:customStyle="1" w:styleId="IASBNormalnparaL5">
    <w:name w:val="IASB Normal nparaL5"/>
    <w:basedOn w:val="IASBNormalnparaL4"/>
    <w:uiPriority w:val="8"/>
    <w:rsid w:val="004C403C"/>
    <w:pPr>
      <w:ind w:left="4694"/>
    </w:pPr>
  </w:style>
  <w:style w:type="paragraph" w:customStyle="1" w:styleId="IASBNormalnparaL1P">
    <w:name w:val="IASB Normal nparaL1P"/>
    <w:basedOn w:val="IASBNormalnparaL2"/>
    <w:uiPriority w:val="8"/>
    <w:rsid w:val="004C403C"/>
    <w:pPr>
      <w:ind w:left="1565" w:firstLine="0"/>
    </w:pPr>
  </w:style>
  <w:style w:type="paragraph" w:customStyle="1" w:styleId="IASBNormalnparaL2P">
    <w:name w:val="IASB Normal nparaL2P"/>
    <w:basedOn w:val="IASBNormalnparaL1P"/>
    <w:uiPriority w:val="8"/>
    <w:rsid w:val="004C403C"/>
    <w:pPr>
      <w:ind w:left="2347"/>
    </w:pPr>
  </w:style>
  <w:style w:type="paragraph" w:customStyle="1" w:styleId="IASBNormalnparaL3P">
    <w:name w:val="IASB Normal nparaL3P"/>
    <w:basedOn w:val="IASBNormalnparaL2P"/>
    <w:uiPriority w:val="8"/>
    <w:rsid w:val="004C403C"/>
    <w:pPr>
      <w:ind w:left="3130"/>
    </w:pPr>
  </w:style>
  <w:style w:type="paragraph" w:customStyle="1" w:styleId="IASBNormalnparaL4P">
    <w:name w:val="IASB Normal nparaL4P"/>
    <w:basedOn w:val="IASBNormalnparaL3P"/>
    <w:uiPriority w:val="8"/>
    <w:rsid w:val="004C403C"/>
    <w:pPr>
      <w:ind w:left="3912"/>
    </w:pPr>
  </w:style>
  <w:style w:type="paragraph" w:customStyle="1" w:styleId="IASBNormalnparaL5P">
    <w:name w:val="IASB Normal nparaL5P"/>
    <w:basedOn w:val="IASBNormalnparaL4P"/>
    <w:uiPriority w:val="8"/>
    <w:rsid w:val="004C403C"/>
    <w:pPr>
      <w:ind w:left="4751"/>
    </w:pPr>
  </w:style>
  <w:style w:type="paragraph" w:customStyle="1" w:styleId="IASBBlockquoteL1">
    <w:name w:val="IASB BlockquoteL1"/>
    <w:basedOn w:val="IASBBlockquote"/>
    <w:uiPriority w:val="8"/>
    <w:rsid w:val="004C403C"/>
    <w:pPr>
      <w:ind w:left="2347" w:hanging="782"/>
    </w:pPr>
  </w:style>
  <w:style w:type="paragraph" w:customStyle="1" w:styleId="IASBBlockquoteL2">
    <w:name w:val="IASB BlockquoteL2"/>
    <w:basedOn w:val="IASBBlockquoteL1"/>
    <w:uiPriority w:val="8"/>
    <w:rsid w:val="004C403C"/>
    <w:pPr>
      <w:ind w:left="3129"/>
    </w:pPr>
  </w:style>
  <w:style w:type="paragraph" w:customStyle="1" w:styleId="IASBNormalL2">
    <w:name w:val="IASB Normal L2"/>
    <w:basedOn w:val="IASBNormalL1"/>
    <w:uiPriority w:val="8"/>
    <w:rsid w:val="004C403C"/>
    <w:pPr>
      <w:ind w:left="1564"/>
    </w:pPr>
  </w:style>
  <w:style w:type="paragraph" w:customStyle="1" w:styleId="IASBTOCQuartery">
    <w:name w:val="IASB TOC Quartery"/>
    <w:basedOn w:val="IASBTOCTertiary"/>
    <w:uiPriority w:val="8"/>
    <w:rsid w:val="004C403C"/>
    <w:pPr>
      <w:ind w:left="851"/>
    </w:pPr>
  </w:style>
  <w:style w:type="paragraph" w:customStyle="1" w:styleId="IASBNoteTitle">
    <w:name w:val="IASB Note Title"/>
    <w:basedOn w:val="IASBTOCPrimary"/>
    <w:uiPriority w:val="8"/>
    <w:rsid w:val="004C403C"/>
    <w:pPr>
      <w:jc w:val="center"/>
    </w:pPr>
    <w:rPr>
      <w:b w:val="0"/>
      <w:caps w:val="0"/>
      <w:sz w:val="24"/>
    </w:rPr>
  </w:style>
  <w:style w:type="paragraph" w:customStyle="1" w:styleId="IASBNormalL1P">
    <w:name w:val="IASB Normal L1P"/>
    <w:basedOn w:val="IASBNormalL1"/>
    <w:uiPriority w:val="8"/>
    <w:qFormat/>
    <w:rsid w:val="004C403C"/>
    <w:pPr>
      <w:ind w:firstLine="0"/>
    </w:pPr>
  </w:style>
  <w:style w:type="paragraph" w:customStyle="1" w:styleId="IASBNormalL2P">
    <w:name w:val="IASB Normal L2P"/>
    <w:basedOn w:val="IASBNormalL1P"/>
    <w:uiPriority w:val="8"/>
    <w:qFormat/>
    <w:rsid w:val="004C403C"/>
    <w:pPr>
      <w:ind w:left="1565"/>
    </w:pPr>
  </w:style>
  <w:style w:type="paragraph" w:customStyle="1" w:styleId="IASBNormalnparaC">
    <w:name w:val="IASB Normal nparaC"/>
    <w:basedOn w:val="IASBNormalnpara"/>
    <w:uiPriority w:val="8"/>
    <w:qFormat/>
    <w:rsid w:val="004C403C"/>
    <w:pPr>
      <w:spacing w:before="0"/>
    </w:pPr>
  </w:style>
  <w:style w:type="paragraph" w:customStyle="1" w:styleId="IASBEdupara">
    <w:name w:val="IASB Edu para"/>
    <w:basedOn w:val="IASBNormal"/>
    <w:uiPriority w:val="8"/>
    <w:qFormat/>
    <w:rsid w:val="004C403C"/>
  </w:style>
  <w:style w:type="paragraph" w:customStyle="1" w:styleId="IASBTableBoldTNR">
    <w:name w:val="IASB Table Bold TNR"/>
    <w:basedOn w:val="Normal"/>
    <w:uiPriority w:val="8"/>
    <w:qFormat/>
    <w:rsid w:val="004C403C"/>
    <w:pPr>
      <w:spacing w:before="120"/>
    </w:pPr>
    <w:rPr>
      <w:b/>
      <w:szCs w:val="20"/>
      <w:lang w:eastAsia="en-GB"/>
    </w:rPr>
  </w:style>
  <w:style w:type="paragraph" w:customStyle="1" w:styleId="IASBTableHeaderTNR">
    <w:name w:val="IASB Table Header TNR"/>
    <w:basedOn w:val="Normal"/>
    <w:uiPriority w:val="8"/>
    <w:qFormat/>
    <w:rsid w:val="004C403C"/>
    <w:pPr>
      <w:keepNext/>
      <w:spacing w:before="120" w:after="200" w:line="276" w:lineRule="auto"/>
    </w:pPr>
    <w:rPr>
      <w:szCs w:val="20"/>
      <w:lang w:eastAsia="en-GB"/>
    </w:rPr>
  </w:style>
  <w:style w:type="paragraph" w:customStyle="1" w:styleId="IASBTableTNR">
    <w:name w:val="IASB Table TNR"/>
    <w:basedOn w:val="Normal"/>
    <w:qFormat/>
    <w:rsid w:val="004C403C"/>
    <w:pPr>
      <w:spacing w:before="120"/>
    </w:pPr>
    <w:rPr>
      <w:szCs w:val="20"/>
      <w:lang w:eastAsia="en-GB"/>
    </w:rPr>
  </w:style>
  <w:style w:type="paragraph" w:customStyle="1" w:styleId="IASBTableArial">
    <w:name w:val="IASB Table Arial"/>
    <w:basedOn w:val="Normal"/>
    <w:uiPriority w:val="99"/>
    <w:rsid w:val="004C403C"/>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4C403C"/>
    <w:rPr>
      <w:b/>
    </w:rPr>
  </w:style>
  <w:style w:type="paragraph" w:customStyle="1" w:styleId="IASBTableHeaderArial">
    <w:name w:val="IASB Table Header Arial"/>
    <w:basedOn w:val="IASBTableArial"/>
    <w:qFormat/>
    <w:rsid w:val="004C403C"/>
    <w:pPr>
      <w:keepNext/>
      <w:spacing w:after="200" w:line="276" w:lineRule="auto"/>
    </w:pPr>
  </w:style>
  <w:style w:type="character" w:styleId="EndnoteReference">
    <w:name w:val="endnote reference"/>
    <w:uiPriority w:val="5"/>
    <w:semiHidden/>
    <w:unhideWhenUsed/>
    <w:rsid w:val="004C403C"/>
    <w:rPr>
      <w:vertAlign w:val="superscript"/>
    </w:rPr>
  </w:style>
  <w:style w:type="paragraph" w:styleId="BalloonText">
    <w:name w:val="Balloon Text"/>
    <w:basedOn w:val="Normal"/>
    <w:link w:val="BalloonTextChar"/>
    <w:unhideWhenUsed/>
    <w:rsid w:val="004C403C"/>
    <w:rPr>
      <w:rFonts w:ascii="Segoe UI" w:hAnsi="Segoe UI" w:cs="Segoe UI"/>
      <w:sz w:val="18"/>
      <w:szCs w:val="18"/>
    </w:rPr>
  </w:style>
  <w:style w:type="character" w:customStyle="1" w:styleId="BalloonTextChar">
    <w:name w:val="Balloon Text Char"/>
    <w:basedOn w:val="DefaultParagraphFont"/>
    <w:link w:val="BalloonText"/>
    <w:rsid w:val="004C403C"/>
    <w:rPr>
      <w:rFonts w:ascii="Segoe UI" w:hAnsi="Segoe UI" w:cs="Segoe UI"/>
      <w:sz w:val="18"/>
      <w:szCs w:val="18"/>
      <w:lang w:val="en-AU" w:eastAsia="en-US"/>
    </w:rPr>
  </w:style>
  <w:style w:type="paragraph" w:customStyle="1" w:styleId="ConvSectionTitle">
    <w:name w:val="Conv Section Title"/>
    <w:basedOn w:val="IASBSectionTitle1NonInd"/>
    <w:uiPriority w:val="9"/>
    <w:qFormat/>
    <w:rsid w:val="004C403C"/>
    <w:pPr>
      <w:pBdr>
        <w:bottom w:val="none" w:sz="0" w:space="0" w:color="auto"/>
      </w:pBdr>
    </w:pPr>
  </w:style>
  <w:style w:type="paragraph" w:customStyle="1" w:styleId="ConvStandardTitle1">
    <w:name w:val="Conv Standard Title 1"/>
    <w:basedOn w:val="Normal"/>
    <w:next w:val="ConvStandardTitle2"/>
    <w:uiPriority w:val="9"/>
    <w:qFormat/>
    <w:rsid w:val="004C403C"/>
    <w:pPr>
      <w:spacing w:before="300"/>
    </w:pPr>
    <w:rPr>
      <w:rFonts w:ascii="Arial" w:hAnsi="Arial"/>
      <w:b/>
      <w:sz w:val="26"/>
    </w:rPr>
  </w:style>
  <w:style w:type="paragraph" w:customStyle="1" w:styleId="ConvStandardTitle2">
    <w:name w:val="Conv Standard Title2"/>
    <w:basedOn w:val="ConvStandardTitle1"/>
    <w:uiPriority w:val="9"/>
    <w:qFormat/>
    <w:rsid w:val="004C403C"/>
    <w:pPr>
      <w:spacing w:before="0" w:after="200"/>
    </w:pPr>
    <w:rPr>
      <w:i/>
    </w:rPr>
  </w:style>
  <w:style w:type="paragraph" w:customStyle="1" w:styleId="AASBBase">
    <w:name w:val="AASB Base"/>
    <w:qFormat/>
    <w:rsid w:val="004C403C"/>
    <w:pPr>
      <w:spacing w:after="0" w:line="240" w:lineRule="auto"/>
      <w:jc w:val="both"/>
    </w:pPr>
    <w:rPr>
      <w:sz w:val="19"/>
      <w:szCs w:val="20"/>
      <w:lang w:val="en-AU" w:eastAsia="en-US"/>
    </w:rPr>
  </w:style>
  <w:style w:type="paragraph" w:customStyle="1" w:styleId="AASBPara">
    <w:name w:val="AASB Para"/>
    <w:basedOn w:val="AASBBase"/>
    <w:qFormat/>
    <w:rsid w:val="004C403C"/>
    <w:pPr>
      <w:spacing w:after="200"/>
    </w:pPr>
  </w:style>
  <w:style w:type="paragraph" w:customStyle="1" w:styleId="AASBStandardCover">
    <w:name w:val="AASB Standard Cover"/>
    <w:semiHidden/>
    <w:qFormat/>
    <w:rsid w:val="004C403C"/>
    <w:pPr>
      <w:spacing w:after="0" w:line="240" w:lineRule="auto"/>
    </w:pPr>
    <w:rPr>
      <w:rFonts w:ascii="HelveticaNeueLT Std" w:hAnsi="HelveticaNeueLT Std"/>
      <w:b/>
      <w:color w:val="25408F"/>
      <w:sz w:val="28"/>
      <w:szCs w:val="24"/>
      <w:lang w:val="en-AU" w:eastAsia="en-US"/>
    </w:rPr>
  </w:style>
  <w:style w:type="paragraph" w:customStyle="1" w:styleId="AASBStandardDate">
    <w:name w:val="AASB Standard Date"/>
    <w:basedOn w:val="AASBStandardCover"/>
    <w:semiHidden/>
    <w:qFormat/>
    <w:rsid w:val="004C403C"/>
    <w:pPr>
      <w:jc w:val="right"/>
    </w:pPr>
    <w:rPr>
      <w:b w:val="0"/>
      <w:sz w:val="24"/>
    </w:rPr>
  </w:style>
  <w:style w:type="paragraph" w:customStyle="1" w:styleId="AASBStandardNumber">
    <w:name w:val="AASB Standard Number"/>
    <w:basedOn w:val="AASBStandardCover"/>
    <w:semiHidden/>
    <w:qFormat/>
    <w:rsid w:val="004C403C"/>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4C403C"/>
    <w:pPr>
      <w:spacing w:before="800"/>
    </w:pPr>
    <w:rPr>
      <w:b w:val="0"/>
      <w:sz w:val="50"/>
    </w:rPr>
  </w:style>
  <w:style w:type="paragraph" w:customStyle="1" w:styleId="AASBInterpretationCover">
    <w:name w:val="AASB Interpretation Cover"/>
    <w:basedOn w:val="AASBStandardCover"/>
    <w:semiHidden/>
    <w:qFormat/>
    <w:rsid w:val="004C403C"/>
    <w:rPr>
      <w:color w:val="41AD49"/>
    </w:rPr>
  </w:style>
  <w:style w:type="paragraph" w:customStyle="1" w:styleId="AASBInterpretationDate">
    <w:name w:val="AASB Interpretation Date"/>
    <w:basedOn w:val="AASBStandardDate"/>
    <w:semiHidden/>
    <w:qFormat/>
    <w:rsid w:val="004C403C"/>
    <w:rPr>
      <w:color w:val="41AD49"/>
    </w:rPr>
  </w:style>
  <w:style w:type="paragraph" w:customStyle="1" w:styleId="AASBInterpretationNumber">
    <w:name w:val="AASB Interpretation Number"/>
    <w:basedOn w:val="AASBStandardNumber"/>
    <w:semiHidden/>
    <w:qFormat/>
    <w:rsid w:val="004C403C"/>
    <w:rPr>
      <w:color w:val="41AD49"/>
    </w:rPr>
  </w:style>
  <w:style w:type="paragraph" w:customStyle="1" w:styleId="AASBInterpretationTitle">
    <w:name w:val="AASB Interpretation Title"/>
    <w:basedOn w:val="AASBStandardTitle"/>
    <w:semiHidden/>
    <w:qFormat/>
    <w:rsid w:val="004C403C"/>
    <w:rPr>
      <w:color w:val="41AD49"/>
    </w:rPr>
  </w:style>
  <w:style w:type="table" w:styleId="TableGrid">
    <w:name w:val="Table Grid"/>
    <w:basedOn w:val="TableNormal"/>
    <w:uiPriority w:val="59"/>
    <w:rsid w:val="004C403C"/>
    <w:pPr>
      <w:spacing w:after="0" w:line="240" w:lineRule="auto"/>
    </w:pPr>
    <w:rPr>
      <w:sz w:val="20"/>
      <w:szCs w:val="20"/>
      <w:lang w:val="en-AU" w:eastAsia="en-AU"/>
    </w:rPr>
    <w:tblPr/>
  </w:style>
  <w:style w:type="paragraph" w:customStyle="1" w:styleId="ContentsHeading">
    <w:name w:val="Contents Heading"/>
    <w:basedOn w:val="AASBBase"/>
    <w:next w:val="ContentsLevel1"/>
    <w:qFormat/>
    <w:rsid w:val="004C403C"/>
    <w:pPr>
      <w:spacing w:after="60"/>
      <w:jc w:val="right"/>
    </w:pPr>
    <w:rPr>
      <w:i/>
    </w:rPr>
  </w:style>
  <w:style w:type="paragraph" w:customStyle="1" w:styleId="ContentsLevel1">
    <w:name w:val="Contents Level1"/>
    <w:basedOn w:val="AASBBase"/>
    <w:qFormat/>
    <w:rsid w:val="004C403C"/>
    <w:pPr>
      <w:tabs>
        <w:tab w:val="right" w:pos="9027"/>
      </w:tabs>
      <w:spacing w:after="60"/>
      <w:ind w:right="1134"/>
    </w:pPr>
    <w:rPr>
      <w:b/>
      <w:caps/>
    </w:rPr>
  </w:style>
  <w:style w:type="paragraph" w:customStyle="1" w:styleId="ContentsLevel2">
    <w:name w:val="Contents Level2"/>
    <w:basedOn w:val="ContentsLevel1"/>
    <w:qFormat/>
    <w:rsid w:val="004C403C"/>
    <w:rPr>
      <w:caps w:val="0"/>
    </w:rPr>
  </w:style>
  <w:style w:type="paragraph" w:customStyle="1" w:styleId="ContentsLevel3">
    <w:name w:val="Contents Level3"/>
    <w:basedOn w:val="ContentsLevel2"/>
    <w:qFormat/>
    <w:rsid w:val="004C403C"/>
    <w:pPr>
      <w:ind w:left="510"/>
    </w:pPr>
    <w:rPr>
      <w:b w:val="0"/>
    </w:rPr>
  </w:style>
  <w:style w:type="paragraph" w:customStyle="1" w:styleId="ContentsLevel4">
    <w:name w:val="Contents Level4"/>
    <w:basedOn w:val="ContentsLevel3"/>
    <w:qFormat/>
    <w:rsid w:val="004C403C"/>
    <w:pPr>
      <w:ind w:left="850"/>
    </w:pPr>
  </w:style>
  <w:style w:type="paragraph" w:customStyle="1" w:styleId="RDRM1">
    <w:name w:val="RDRM1"/>
    <w:basedOn w:val="IASBNormalnpara"/>
    <w:uiPriority w:val="5"/>
    <w:qFormat/>
    <w:rsid w:val="004C403C"/>
    <w:pPr>
      <w:shd w:val="pct15" w:color="auto" w:fill="auto"/>
    </w:pPr>
  </w:style>
  <w:style w:type="paragraph" w:customStyle="1" w:styleId="RDRM2">
    <w:name w:val="RDRM2"/>
    <w:basedOn w:val="RDRM1"/>
    <w:uiPriority w:val="5"/>
    <w:qFormat/>
    <w:rsid w:val="004C403C"/>
    <w:pPr>
      <w:tabs>
        <w:tab w:val="left" w:pos="782"/>
      </w:tabs>
      <w:ind w:left="1565" w:hanging="1565"/>
    </w:pPr>
  </w:style>
  <w:style w:type="paragraph" w:customStyle="1" w:styleId="RDRM3">
    <w:name w:val="RDRM3"/>
    <w:basedOn w:val="RDRM2"/>
    <w:uiPriority w:val="5"/>
    <w:qFormat/>
    <w:rsid w:val="004C403C"/>
    <w:pPr>
      <w:tabs>
        <w:tab w:val="clear" w:pos="782"/>
        <w:tab w:val="left" w:pos="1565"/>
      </w:tabs>
      <w:ind w:left="2347" w:hanging="2347"/>
    </w:pPr>
  </w:style>
  <w:style w:type="paragraph" w:customStyle="1" w:styleId="RDRM4">
    <w:name w:val="RDRM4"/>
    <w:basedOn w:val="RDRM3"/>
    <w:uiPriority w:val="5"/>
    <w:qFormat/>
    <w:rsid w:val="004C403C"/>
    <w:pPr>
      <w:tabs>
        <w:tab w:val="clear" w:pos="1565"/>
        <w:tab w:val="left" w:pos="2347"/>
      </w:tabs>
      <w:ind w:left="3130" w:hanging="3130"/>
    </w:pPr>
  </w:style>
  <w:style w:type="paragraph" w:customStyle="1" w:styleId="AusPlain">
    <w:name w:val="Aus Plain"/>
    <w:basedOn w:val="IASBNormalnpara"/>
    <w:uiPriority w:val="1"/>
    <w:qFormat/>
    <w:rsid w:val="004C403C"/>
    <w:pPr>
      <w:ind w:left="1565" w:hanging="1565"/>
    </w:pPr>
  </w:style>
  <w:style w:type="paragraph" w:customStyle="1" w:styleId="AusBold">
    <w:name w:val="Aus Bold"/>
    <w:basedOn w:val="AusPlain"/>
    <w:uiPriority w:val="2"/>
    <w:qFormat/>
    <w:rsid w:val="004C403C"/>
    <w:rPr>
      <w:b/>
    </w:rPr>
  </w:style>
  <w:style w:type="paragraph" w:customStyle="1" w:styleId="AusPlainRDR">
    <w:name w:val="Aus Plain RDR"/>
    <w:basedOn w:val="AusPlain"/>
    <w:uiPriority w:val="3"/>
    <w:qFormat/>
    <w:rsid w:val="004C403C"/>
    <w:pPr>
      <w:shd w:val="pct15" w:color="auto" w:fill="auto"/>
    </w:pPr>
  </w:style>
  <w:style w:type="paragraph" w:customStyle="1" w:styleId="AusBoldRDR">
    <w:name w:val="Aus Bold RDR"/>
    <w:basedOn w:val="AusBold"/>
    <w:uiPriority w:val="4"/>
    <w:qFormat/>
    <w:rsid w:val="004C403C"/>
    <w:pPr>
      <w:shd w:val="pct15" w:color="auto" w:fill="auto"/>
    </w:pPr>
  </w:style>
  <w:style w:type="paragraph" w:customStyle="1" w:styleId="RDR11">
    <w:name w:val="RDR11"/>
    <w:basedOn w:val="IASBNormalnparaL1"/>
    <w:uiPriority w:val="6"/>
    <w:qFormat/>
    <w:rsid w:val="004C403C"/>
    <w:pPr>
      <w:shd w:val="pct15" w:color="auto" w:fill="auto"/>
    </w:pPr>
  </w:style>
  <w:style w:type="paragraph" w:customStyle="1" w:styleId="RDR12">
    <w:name w:val="RDR12"/>
    <w:basedOn w:val="RDR11"/>
    <w:uiPriority w:val="6"/>
    <w:qFormat/>
    <w:rsid w:val="004C403C"/>
    <w:pPr>
      <w:tabs>
        <w:tab w:val="left" w:pos="1565"/>
      </w:tabs>
      <w:ind w:left="2347" w:hanging="1565"/>
    </w:pPr>
  </w:style>
  <w:style w:type="paragraph" w:customStyle="1" w:styleId="RDR13">
    <w:name w:val="RDR13"/>
    <w:basedOn w:val="RDR12"/>
    <w:uiPriority w:val="6"/>
    <w:qFormat/>
    <w:rsid w:val="004C403C"/>
    <w:pPr>
      <w:tabs>
        <w:tab w:val="clear" w:pos="1565"/>
        <w:tab w:val="left" w:pos="2347"/>
      </w:tabs>
      <w:ind w:left="3129" w:hanging="2347"/>
    </w:pPr>
  </w:style>
  <w:style w:type="paragraph" w:customStyle="1" w:styleId="RDR21">
    <w:name w:val="RDR21"/>
    <w:basedOn w:val="IASBNormalnparaL2"/>
    <w:uiPriority w:val="6"/>
    <w:qFormat/>
    <w:rsid w:val="004C403C"/>
    <w:pPr>
      <w:shd w:val="pct15" w:color="auto" w:fill="auto"/>
    </w:pPr>
  </w:style>
  <w:style w:type="paragraph" w:customStyle="1" w:styleId="RDR22">
    <w:name w:val="RDR22"/>
    <w:basedOn w:val="RDR21"/>
    <w:uiPriority w:val="6"/>
    <w:qFormat/>
    <w:rsid w:val="004C403C"/>
    <w:pPr>
      <w:tabs>
        <w:tab w:val="left" w:pos="2347"/>
      </w:tabs>
      <w:ind w:left="3130" w:hanging="1565"/>
    </w:pPr>
  </w:style>
  <w:style w:type="table" w:styleId="TableGrid1">
    <w:name w:val="Table Grid 1"/>
    <w:basedOn w:val="TableNormal"/>
    <w:uiPriority w:val="99"/>
    <w:semiHidden/>
    <w:unhideWhenUsed/>
    <w:rsid w:val="004C403C"/>
    <w:pPr>
      <w:spacing w:after="0" w:line="240" w:lineRule="auto"/>
    </w:pPr>
    <w:rPr>
      <w:sz w:val="20"/>
      <w:szCs w:val="20"/>
      <w:lang w:val="en-AU"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4C403C"/>
    <w:pPr>
      <w:tabs>
        <w:tab w:val="clear" w:pos="4253"/>
        <w:tab w:val="left" w:pos="782"/>
      </w:tabs>
    </w:pPr>
  </w:style>
  <w:style w:type="character" w:styleId="CommentReference">
    <w:name w:val="annotation reference"/>
    <w:basedOn w:val="DefaultParagraphFont"/>
    <w:uiPriority w:val="99"/>
    <w:unhideWhenUsed/>
    <w:rsid w:val="00E01695"/>
    <w:rPr>
      <w:sz w:val="16"/>
      <w:szCs w:val="16"/>
    </w:rPr>
  </w:style>
  <w:style w:type="paragraph" w:styleId="CommentText">
    <w:name w:val="annotation text"/>
    <w:basedOn w:val="Normal"/>
    <w:link w:val="CommentTextChar"/>
    <w:unhideWhenUsed/>
    <w:rsid w:val="00E01695"/>
    <w:rPr>
      <w:sz w:val="20"/>
      <w:szCs w:val="20"/>
    </w:rPr>
  </w:style>
  <w:style w:type="character" w:customStyle="1" w:styleId="CommentTextChar">
    <w:name w:val="Comment Text Char"/>
    <w:basedOn w:val="DefaultParagraphFont"/>
    <w:link w:val="CommentText"/>
    <w:rsid w:val="00E01695"/>
    <w:rPr>
      <w:sz w:val="20"/>
      <w:szCs w:val="20"/>
      <w:lang w:val="en-AU" w:eastAsia="en-US"/>
    </w:rPr>
  </w:style>
  <w:style w:type="paragraph" w:styleId="CommentSubject">
    <w:name w:val="annotation subject"/>
    <w:basedOn w:val="CommentText"/>
    <w:next w:val="CommentText"/>
    <w:link w:val="CommentSubjectChar"/>
    <w:unhideWhenUsed/>
    <w:rsid w:val="00E01695"/>
    <w:rPr>
      <w:b/>
      <w:bCs/>
    </w:rPr>
  </w:style>
  <w:style w:type="character" w:customStyle="1" w:styleId="CommentSubjectChar">
    <w:name w:val="Comment Subject Char"/>
    <w:basedOn w:val="CommentTextChar"/>
    <w:link w:val="CommentSubject"/>
    <w:rsid w:val="00E01695"/>
    <w:rPr>
      <w:b/>
      <w:bCs/>
      <w:sz w:val="20"/>
      <w:szCs w:val="20"/>
      <w:lang w:val="en-AU" w:eastAsia="en-US"/>
    </w:rPr>
  </w:style>
  <w:style w:type="paragraph" w:styleId="Revision">
    <w:name w:val="Revision"/>
    <w:hidden/>
    <w:uiPriority w:val="99"/>
    <w:semiHidden/>
    <w:rsid w:val="00547187"/>
    <w:pPr>
      <w:spacing w:after="0" w:line="240" w:lineRule="auto"/>
    </w:pPr>
    <w:rPr>
      <w:sz w:val="19"/>
      <w:szCs w:val="24"/>
      <w:lang w:val="en-AU" w:eastAsia="en-US"/>
    </w:rPr>
  </w:style>
  <w:style w:type="paragraph" w:styleId="NormalWeb">
    <w:name w:val="Normal (Web)"/>
    <w:basedOn w:val="Normal"/>
    <w:uiPriority w:val="99"/>
    <w:semiHidden/>
    <w:unhideWhenUsed/>
    <w:rsid w:val="001D73A4"/>
    <w:pPr>
      <w:spacing w:before="100" w:beforeAutospacing="1" w:after="100" w:afterAutospacing="1"/>
    </w:pPr>
    <w:rPr>
      <w:sz w:val="24"/>
      <w:lang w:val="en-GB" w:eastAsia="en-GB"/>
    </w:rPr>
  </w:style>
  <w:style w:type="paragraph" w:customStyle="1" w:styleId="CoverTitle">
    <w:name w:val="Cover Title"/>
    <w:basedOn w:val="Normal"/>
    <w:rsid w:val="00B92637"/>
    <w:pPr>
      <w:spacing w:line="500" w:lineRule="exact"/>
    </w:pPr>
    <w:rPr>
      <w:b/>
      <w:sz w:val="50"/>
      <w:szCs w:val="20"/>
    </w:rPr>
  </w:style>
  <w:style w:type="character" w:customStyle="1" w:styleId="Heading2Char">
    <w:name w:val="Heading 2 Char"/>
    <w:basedOn w:val="DefaultParagraphFont"/>
    <w:link w:val="Heading2"/>
    <w:rsid w:val="00B92637"/>
    <w:rPr>
      <w:rFonts w:cs="Arial"/>
      <w:b/>
      <w:iCs/>
      <w:sz w:val="28"/>
      <w:szCs w:val="28"/>
      <w:lang w:val="en-AU" w:eastAsia="en-US"/>
    </w:rPr>
  </w:style>
  <w:style w:type="paragraph" w:customStyle="1" w:styleId="CoverContact">
    <w:name w:val="Cover Contact"/>
    <w:basedOn w:val="Normal"/>
    <w:next w:val="Normal"/>
    <w:rsid w:val="00B92637"/>
    <w:pPr>
      <w:tabs>
        <w:tab w:val="left" w:pos="907"/>
      </w:tabs>
      <w:spacing w:line="200" w:lineRule="exact"/>
    </w:pPr>
    <w:rPr>
      <w:sz w:val="20"/>
      <w:szCs w:val="20"/>
    </w:rPr>
  </w:style>
  <w:style w:type="paragraph" w:customStyle="1" w:styleId="NoNumPlain1">
    <w:name w:val="NoNum Plain1"/>
    <w:basedOn w:val="Normal"/>
    <w:link w:val="NoNumPlain1Char"/>
    <w:uiPriority w:val="2"/>
    <w:qFormat/>
    <w:rsid w:val="00B92637"/>
    <w:pPr>
      <w:spacing w:after="200" w:line="200" w:lineRule="exact"/>
    </w:pPr>
    <w:rPr>
      <w:sz w:val="20"/>
      <w:szCs w:val="20"/>
    </w:rPr>
  </w:style>
  <w:style w:type="character" w:customStyle="1" w:styleId="Heading1Char">
    <w:name w:val="Heading 1 Char"/>
    <w:basedOn w:val="DefaultParagraphFont"/>
    <w:link w:val="Heading1"/>
    <w:rsid w:val="00B92637"/>
    <w:rPr>
      <w:rFonts w:asciiTheme="majorHAnsi" w:eastAsiaTheme="majorEastAsia" w:hAnsiTheme="majorHAnsi" w:cstheme="majorBidi"/>
      <w:color w:val="365F91" w:themeColor="accent1" w:themeShade="BF"/>
      <w:sz w:val="32"/>
      <w:szCs w:val="32"/>
      <w:lang w:val="en-AU" w:eastAsia="en-US"/>
    </w:rPr>
  </w:style>
  <w:style w:type="paragraph" w:customStyle="1" w:styleId="NoNumBold1">
    <w:name w:val="NoNum Bold1"/>
    <w:basedOn w:val="Normal"/>
    <w:qFormat/>
    <w:rsid w:val="00CB1E99"/>
    <w:pPr>
      <w:spacing w:after="200" w:line="200" w:lineRule="exact"/>
    </w:pPr>
    <w:rPr>
      <w:b/>
      <w:sz w:val="20"/>
      <w:szCs w:val="20"/>
    </w:rPr>
  </w:style>
  <w:style w:type="paragraph" w:customStyle="1" w:styleId="PlainNumHang1">
    <w:name w:val="Plain Num Hang 1"/>
    <w:basedOn w:val="Normal"/>
    <w:qFormat/>
    <w:rsid w:val="002848C0"/>
    <w:pPr>
      <w:spacing w:after="240"/>
      <w:ind w:left="782" w:hanging="782"/>
      <w:jc w:val="both"/>
    </w:pPr>
    <w:rPr>
      <w:szCs w:val="20"/>
    </w:rPr>
  </w:style>
  <w:style w:type="paragraph" w:customStyle="1" w:styleId="NumPlainA">
    <w:name w:val="Num PlainA"/>
    <w:basedOn w:val="Normal"/>
    <w:qFormat/>
    <w:rsid w:val="003B440D"/>
    <w:pPr>
      <w:numPr>
        <w:numId w:val="3"/>
      </w:numPr>
      <w:spacing w:before="100" w:after="100"/>
      <w:jc w:val="both"/>
    </w:pPr>
    <w:rPr>
      <w:szCs w:val="20"/>
    </w:rPr>
  </w:style>
  <w:style w:type="paragraph" w:customStyle="1" w:styleId="NumPlain1">
    <w:name w:val="Num Plain1"/>
    <w:basedOn w:val="Normal"/>
    <w:link w:val="NumPlain1Char"/>
    <w:uiPriority w:val="2"/>
    <w:qFormat/>
    <w:rsid w:val="003B440D"/>
    <w:pPr>
      <w:numPr>
        <w:numId w:val="2"/>
      </w:numPr>
      <w:spacing w:before="100" w:after="100"/>
      <w:jc w:val="both"/>
    </w:pPr>
    <w:rPr>
      <w:szCs w:val="20"/>
    </w:rPr>
  </w:style>
  <w:style w:type="paragraph" w:customStyle="1" w:styleId="NumPlain2">
    <w:name w:val="Num Plain2"/>
    <w:basedOn w:val="NumPlain1"/>
    <w:uiPriority w:val="2"/>
    <w:qFormat/>
    <w:rsid w:val="003B440D"/>
    <w:pPr>
      <w:numPr>
        <w:ilvl w:val="1"/>
      </w:numPr>
      <w:tabs>
        <w:tab w:val="clear" w:pos="1021"/>
      </w:tabs>
      <w:ind w:left="1440" w:hanging="360"/>
    </w:pPr>
  </w:style>
  <w:style w:type="paragraph" w:customStyle="1" w:styleId="NumPlain3">
    <w:name w:val="Num Plain3"/>
    <w:basedOn w:val="NumPlain2"/>
    <w:uiPriority w:val="2"/>
    <w:qFormat/>
    <w:rsid w:val="003B440D"/>
    <w:pPr>
      <w:numPr>
        <w:ilvl w:val="2"/>
      </w:numPr>
      <w:tabs>
        <w:tab w:val="clear" w:pos="1531"/>
      </w:tabs>
      <w:ind w:left="2160" w:hanging="360"/>
    </w:pPr>
  </w:style>
  <w:style w:type="paragraph" w:customStyle="1" w:styleId="NumPlain4">
    <w:name w:val="Num Plain4"/>
    <w:basedOn w:val="NumPlain3"/>
    <w:rsid w:val="003B440D"/>
    <w:pPr>
      <w:numPr>
        <w:ilvl w:val="3"/>
      </w:numPr>
      <w:tabs>
        <w:tab w:val="clear" w:pos="2041"/>
      </w:tabs>
      <w:ind w:left="2880" w:hanging="360"/>
    </w:pPr>
  </w:style>
  <w:style w:type="paragraph" w:customStyle="1" w:styleId="NumPlainA2">
    <w:name w:val="Num PlainA2"/>
    <w:basedOn w:val="NumPlainA"/>
    <w:rsid w:val="003B440D"/>
    <w:pPr>
      <w:numPr>
        <w:ilvl w:val="1"/>
      </w:numPr>
      <w:outlineLvl w:val="1"/>
    </w:pPr>
  </w:style>
  <w:style w:type="character" w:customStyle="1" w:styleId="NumPlain1Char">
    <w:name w:val="Num Plain1 Char"/>
    <w:basedOn w:val="DefaultParagraphFont"/>
    <w:link w:val="NumPlain1"/>
    <w:uiPriority w:val="2"/>
    <w:rsid w:val="003B440D"/>
    <w:rPr>
      <w:sz w:val="19"/>
      <w:szCs w:val="20"/>
      <w:lang w:val="en-AU" w:eastAsia="en-US"/>
    </w:rPr>
  </w:style>
  <w:style w:type="paragraph" w:customStyle="1" w:styleId="Default">
    <w:name w:val="Default"/>
    <w:rsid w:val="003B440D"/>
    <w:pPr>
      <w:autoSpaceDE w:val="0"/>
      <w:autoSpaceDN w:val="0"/>
      <w:adjustRightInd w:val="0"/>
      <w:spacing w:after="0" w:line="240" w:lineRule="auto"/>
    </w:pPr>
    <w:rPr>
      <w:color w:val="000000"/>
      <w:sz w:val="24"/>
      <w:szCs w:val="24"/>
      <w:lang w:val="en-AU" w:eastAsia="en-AU"/>
    </w:rPr>
  </w:style>
  <w:style w:type="character" w:styleId="PlaceholderText">
    <w:name w:val="Placeholder Text"/>
    <w:basedOn w:val="DefaultParagraphFont"/>
    <w:uiPriority w:val="99"/>
    <w:semiHidden/>
    <w:rsid w:val="00B863BF"/>
    <w:rPr>
      <w:color w:val="808080"/>
    </w:rPr>
  </w:style>
  <w:style w:type="character" w:customStyle="1" w:styleId="Heading3Char">
    <w:name w:val="Heading 3 Char"/>
    <w:basedOn w:val="DefaultParagraphFont"/>
    <w:link w:val="Heading3"/>
    <w:rsid w:val="00A27219"/>
    <w:rPr>
      <w:rFonts w:cs="Arial"/>
      <w:b/>
      <w:bCs/>
      <w:iCs/>
      <w:sz w:val="24"/>
      <w:szCs w:val="26"/>
      <w:lang w:val="en-AU" w:eastAsia="en-US"/>
    </w:rPr>
  </w:style>
  <w:style w:type="character" w:customStyle="1" w:styleId="Heading4Char">
    <w:name w:val="Heading 4 Char"/>
    <w:basedOn w:val="DefaultParagraphFont"/>
    <w:link w:val="Heading4"/>
    <w:rsid w:val="00A27219"/>
    <w:rPr>
      <w:rFonts w:cs="Arial"/>
      <w:b/>
      <w:iCs/>
      <w:sz w:val="20"/>
      <w:szCs w:val="28"/>
      <w:lang w:val="en-AU" w:eastAsia="en-US"/>
    </w:rPr>
  </w:style>
  <w:style w:type="character" w:customStyle="1" w:styleId="Heading5Char">
    <w:name w:val="Heading 5 Char"/>
    <w:basedOn w:val="DefaultParagraphFont"/>
    <w:link w:val="Heading5"/>
    <w:rsid w:val="00A27219"/>
    <w:rPr>
      <w:rFonts w:cs="Arial"/>
      <w:b/>
      <w:bCs/>
      <w:i/>
      <w:sz w:val="20"/>
      <w:szCs w:val="26"/>
      <w:lang w:val="en-AU" w:eastAsia="en-US"/>
    </w:rPr>
  </w:style>
  <w:style w:type="character" w:customStyle="1" w:styleId="Heading6Char">
    <w:name w:val="Heading 6 Char"/>
    <w:basedOn w:val="DefaultParagraphFont"/>
    <w:link w:val="Heading6"/>
    <w:rsid w:val="00A27219"/>
    <w:rPr>
      <w:rFonts w:cs="Arial"/>
      <w:i/>
      <w:sz w:val="20"/>
      <w:lang w:val="en-AU" w:eastAsia="en-US"/>
    </w:rPr>
  </w:style>
  <w:style w:type="character" w:customStyle="1" w:styleId="Heading7Char">
    <w:name w:val="Heading 7 Char"/>
    <w:basedOn w:val="DefaultParagraphFont"/>
    <w:link w:val="Heading7"/>
    <w:semiHidden/>
    <w:rsid w:val="00A27219"/>
    <w:rPr>
      <w:sz w:val="24"/>
      <w:szCs w:val="24"/>
      <w:lang w:val="en-AU" w:eastAsia="en-AU"/>
    </w:rPr>
  </w:style>
  <w:style w:type="character" w:customStyle="1" w:styleId="Heading8Char">
    <w:name w:val="Heading 8 Char"/>
    <w:basedOn w:val="DefaultParagraphFont"/>
    <w:link w:val="Heading8"/>
    <w:semiHidden/>
    <w:rsid w:val="00A27219"/>
    <w:rPr>
      <w:iCs/>
      <w:sz w:val="24"/>
      <w:szCs w:val="24"/>
      <w:lang w:val="en-AU" w:eastAsia="en-AU"/>
    </w:rPr>
  </w:style>
  <w:style w:type="character" w:customStyle="1" w:styleId="Heading9Char">
    <w:name w:val="Heading 9 Char"/>
    <w:basedOn w:val="DefaultParagraphFont"/>
    <w:link w:val="Heading9"/>
    <w:semiHidden/>
    <w:rsid w:val="00A27219"/>
    <w:rPr>
      <w:rFonts w:cs="Arial"/>
      <w:sz w:val="24"/>
      <w:lang w:val="en-AU" w:eastAsia="en-AU"/>
    </w:rPr>
  </w:style>
  <w:style w:type="numbering" w:customStyle="1" w:styleId="NoList1">
    <w:name w:val="No List1"/>
    <w:next w:val="NoList"/>
    <w:uiPriority w:val="99"/>
    <w:semiHidden/>
    <w:unhideWhenUsed/>
    <w:rsid w:val="00A27219"/>
  </w:style>
  <w:style w:type="paragraph" w:customStyle="1" w:styleId="Heading1Italic">
    <w:name w:val="Heading 1 Italic"/>
    <w:basedOn w:val="Heading1"/>
    <w:next w:val="Normal"/>
    <w:rsid w:val="00A27219"/>
    <w:pPr>
      <w:keepLines w:val="0"/>
      <w:spacing w:before="0" w:after="200" w:line="280" w:lineRule="exact"/>
      <w:jc w:val="center"/>
    </w:pPr>
    <w:rPr>
      <w:rFonts w:ascii="Times New Roman" w:eastAsia="Times New Roman" w:hAnsi="Times New Roman" w:cs="Arial"/>
      <w:b/>
      <w:bCs/>
      <w:i/>
      <w:caps/>
      <w:color w:val="auto"/>
      <w:sz w:val="28"/>
    </w:rPr>
  </w:style>
  <w:style w:type="paragraph" w:customStyle="1" w:styleId="Heading2Indent1">
    <w:name w:val="Heading 2 Indent1"/>
    <w:basedOn w:val="Heading2"/>
    <w:next w:val="Normal"/>
    <w:rsid w:val="00A27219"/>
    <w:pPr>
      <w:ind w:left="510"/>
    </w:pPr>
  </w:style>
  <w:style w:type="paragraph" w:customStyle="1" w:styleId="Heading3Indent1">
    <w:name w:val="Heading 3 Indent1"/>
    <w:basedOn w:val="Heading3"/>
    <w:next w:val="Normal"/>
    <w:rsid w:val="00A27219"/>
    <w:pPr>
      <w:ind w:left="510"/>
    </w:pPr>
  </w:style>
  <w:style w:type="paragraph" w:customStyle="1" w:styleId="Heading4Indent1">
    <w:name w:val="Heading 4 Indent1"/>
    <w:basedOn w:val="Heading4"/>
    <w:next w:val="Normal"/>
    <w:rsid w:val="00A27219"/>
    <w:pPr>
      <w:ind w:left="510"/>
    </w:pPr>
  </w:style>
  <w:style w:type="paragraph" w:customStyle="1" w:styleId="Heading5Indent1">
    <w:name w:val="Heading 5 Indent1"/>
    <w:basedOn w:val="Heading5"/>
    <w:next w:val="Normal"/>
    <w:rsid w:val="00A27219"/>
    <w:pPr>
      <w:ind w:left="510"/>
    </w:pPr>
  </w:style>
  <w:style w:type="paragraph" w:customStyle="1" w:styleId="Heading6Indent1">
    <w:name w:val="Heading 6 Indent1"/>
    <w:basedOn w:val="Heading6"/>
    <w:next w:val="Normal"/>
    <w:rsid w:val="00A27219"/>
    <w:pPr>
      <w:ind w:left="510"/>
    </w:pPr>
  </w:style>
  <w:style w:type="paragraph" w:customStyle="1" w:styleId="CoverStandard">
    <w:name w:val="Cover Standard"/>
    <w:basedOn w:val="Normal"/>
    <w:next w:val="Normal"/>
    <w:rsid w:val="00A27219"/>
    <w:rPr>
      <w:rFonts w:ascii="HelveticaNeueLT Std" w:hAnsi="HelveticaNeueLT Std"/>
      <w:b/>
      <w:color w:val="25408F"/>
      <w:sz w:val="24"/>
      <w:szCs w:val="20"/>
    </w:rPr>
  </w:style>
  <w:style w:type="paragraph" w:customStyle="1" w:styleId="CoverNumber">
    <w:name w:val="Cover Number"/>
    <w:basedOn w:val="Normal"/>
    <w:next w:val="Normal"/>
    <w:rsid w:val="00A27219"/>
    <w:pPr>
      <w:ind w:right="57"/>
      <w:jc w:val="right"/>
    </w:pPr>
    <w:rPr>
      <w:rFonts w:ascii="HelveticaNeueLT Std Blk" w:hAnsi="HelveticaNeueLT Std Blk"/>
      <w:b/>
      <w:caps/>
      <w:color w:val="25408F"/>
      <w:szCs w:val="20"/>
    </w:rPr>
  </w:style>
  <w:style w:type="paragraph" w:customStyle="1" w:styleId="CoverRelease">
    <w:name w:val="Cover Release"/>
    <w:basedOn w:val="Normal"/>
    <w:next w:val="Normal"/>
    <w:rsid w:val="00A27219"/>
    <w:pPr>
      <w:spacing w:line="240" w:lineRule="exact"/>
    </w:pPr>
    <w:rPr>
      <w:sz w:val="24"/>
      <w:szCs w:val="20"/>
    </w:rPr>
  </w:style>
  <w:style w:type="paragraph" w:customStyle="1" w:styleId="CoverDate">
    <w:name w:val="Cover Date"/>
    <w:basedOn w:val="Normal"/>
    <w:next w:val="Normal"/>
    <w:rsid w:val="00A27219"/>
    <w:pPr>
      <w:ind w:right="57"/>
      <w:jc w:val="right"/>
    </w:pPr>
    <w:rPr>
      <w:rFonts w:ascii="HelveticaNeueLT Std" w:hAnsi="HelveticaNeueLT Std"/>
      <w:color w:val="25408F"/>
      <w:szCs w:val="20"/>
    </w:rPr>
  </w:style>
  <w:style w:type="paragraph" w:customStyle="1" w:styleId="CoverBox">
    <w:name w:val="Cover Box"/>
    <w:basedOn w:val="Normal"/>
    <w:rsid w:val="00A27219"/>
    <w:pPr>
      <w:pBdr>
        <w:top w:val="double" w:sz="4" w:space="1" w:color="auto"/>
        <w:left w:val="double" w:sz="4" w:space="4" w:color="auto"/>
        <w:bottom w:val="double" w:sz="4" w:space="1" w:color="auto"/>
        <w:right w:val="double" w:sz="4" w:space="4" w:color="auto"/>
      </w:pBdr>
    </w:pPr>
    <w:rPr>
      <w:szCs w:val="20"/>
    </w:rPr>
  </w:style>
  <w:style w:type="paragraph" w:customStyle="1" w:styleId="CoverLeadPara">
    <w:name w:val="Cover LeadPara"/>
    <w:basedOn w:val="Normal"/>
    <w:next w:val="Normal"/>
    <w:rsid w:val="00A27219"/>
    <w:pPr>
      <w:spacing w:after="100"/>
    </w:pPr>
    <w:rPr>
      <w:szCs w:val="20"/>
    </w:rPr>
  </w:style>
  <w:style w:type="paragraph" w:customStyle="1" w:styleId="ContentsCapsPlainPg">
    <w:name w:val="Contents CapsPlainPg"/>
    <w:basedOn w:val="Normal"/>
    <w:next w:val="Normal"/>
    <w:rsid w:val="00A27219"/>
    <w:pPr>
      <w:tabs>
        <w:tab w:val="right" w:pos="6237"/>
      </w:tabs>
      <w:spacing w:after="200"/>
      <w:ind w:left="170" w:right="1134" w:hanging="170"/>
    </w:pPr>
    <w:rPr>
      <w:caps/>
      <w:szCs w:val="20"/>
    </w:rPr>
  </w:style>
  <w:style w:type="paragraph" w:customStyle="1" w:styleId="ContentsCapsBoldPg">
    <w:name w:val="Contents CapsBoldPg"/>
    <w:basedOn w:val="ContentsCapsPlainPg"/>
    <w:next w:val="Normal"/>
    <w:rsid w:val="00A27219"/>
    <w:rPr>
      <w:b/>
    </w:rPr>
  </w:style>
  <w:style w:type="paragraph" w:customStyle="1" w:styleId="ContentsBox">
    <w:name w:val="Contents Box"/>
    <w:basedOn w:val="Normal"/>
    <w:rsid w:val="00A27219"/>
    <w:pPr>
      <w:pBdr>
        <w:top w:val="single" w:sz="4" w:space="1" w:color="auto"/>
        <w:left w:val="single" w:sz="4" w:space="4" w:color="auto"/>
        <w:bottom w:val="single" w:sz="4" w:space="1" w:color="auto"/>
        <w:right w:val="single" w:sz="4" w:space="4" w:color="auto"/>
      </w:pBdr>
      <w:spacing w:after="100"/>
    </w:pPr>
    <w:rPr>
      <w:szCs w:val="20"/>
    </w:rPr>
  </w:style>
  <w:style w:type="paragraph" w:customStyle="1" w:styleId="Heading2IndentAus1">
    <w:name w:val="Heading 2 IndentAus1"/>
    <w:basedOn w:val="Heading2"/>
    <w:next w:val="Normal"/>
    <w:rsid w:val="00A27219"/>
    <w:pPr>
      <w:ind w:left="1077"/>
    </w:pPr>
  </w:style>
  <w:style w:type="paragraph" w:customStyle="1" w:styleId="AusBold1">
    <w:name w:val="Aus Bold1"/>
    <w:basedOn w:val="Normal"/>
    <w:rsid w:val="00A27219"/>
    <w:pPr>
      <w:numPr>
        <w:numId w:val="10"/>
      </w:numPr>
      <w:spacing w:before="100"/>
      <w:ind w:left="1565" w:hanging="1565"/>
      <w:outlineLvl w:val="0"/>
    </w:pPr>
    <w:rPr>
      <w:b/>
      <w:szCs w:val="20"/>
    </w:rPr>
  </w:style>
  <w:style w:type="paragraph" w:customStyle="1" w:styleId="NoNumPlain2">
    <w:name w:val="NoNum Plain2"/>
    <w:basedOn w:val="NoNumPlain1"/>
    <w:rsid w:val="00A27219"/>
    <w:pPr>
      <w:spacing w:line="240" w:lineRule="auto"/>
      <w:ind w:left="510"/>
    </w:pPr>
    <w:rPr>
      <w:sz w:val="19"/>
    </w:rPr>
  </w:style>
  <w:style w:type="paragraph" w:customStyle="1" w:styleId="NoNumPlain3">
    <w:name w:val="NoNum Plain3"/>
    <w:basedOn w:val="NoNumPlain2"/>
    <w:rsid w:val="00A27219"/>
    <w:pPr>
      <w:ind w:left="1021"/>
    </w:pPr>
  </w:style>
  <w:style w:type="paragraph" w:customStyle="1" w:styleId="NoNumPlain4">
    <w:name w:val="NoNum Plain4"/>
    <w:basedOn w:val="NoNumPlain3"/>
    <w:rsid w:val="00A27219"/>
    <w:pPr>
      <w:ind w:left="1531"/>
    </w:pPr>
  </w:style>
  <w:style w:type="paragraph" w:customStyle="1" w:styleId="NoNumBold2">
    <w:name w:val="NoNum Bold2"/>
    <w:basedOn w:val="NoNumBold1"/>
    <w:rsid w:val="00A27219"/>
    <w:pPr>
      <w:spacing w:line="240" w:lineRule="auto"/>
      <w:ind w:left="510"/>
    </w:pPr>
    <w:rPr>
      <w:sz w:val="19"/>
    </w:rPr>
  </w:style>
  <w:style w:type="paragraph" w:customStyle="1" w:styleId="NoNumBold3">
    <w:name w:val="NoNum Bold3"/>
    <w:basedOn w:val="NoNumBold2"/>
    <w:rsid w:val="00A27219"/>
    <w:pPr>
      <w:ind w:left="1021"/>
    </w:pPr>
  </w:style>
  <w:style w:type="paragraph" w:customStyle="1" w:styleId="NoNumBold4">
    <w:name w:val="NoNum Bold4"/>
    <w:basedOn w:val="NoNumBold3"/>
    <w:rsid w:val="00A27219"/>
    <w:pPr>
      <w:ind w:left="1531"/>
    </w:pPr>
  </w:style>
  <w:style w:type="paragraph" w:customStyle="1" w:styleId="NumBold1">
    <w:name w:val="Num Bold1"/>
    <w:basedOn w:val="NumPlain1"/>
    <w:qFormat/>
    <w:rsid w:val="00A27219"/>
    <w:pPr>
      <w:numPr>
        <w:numId w:val="0"/>
      </w:numPr>
      <w:tabs>
        <w:tab w:val="num" w:pos="510"/>
        <w:tab w:val="num" w:pos="1531"/>
      </w:tabs>
      <w:spacing w:before="0" w:after="200"/>
      <w:ind w:left="510" w:hanging="510"/>
      <w:jc w:val="left"/>
    </w:pPr>
    <w:rPr>
      <w:b/>
    </w:rPr>
  </w:style>
  <w:style w:type="paragraph" w:customStyle="1" w:styleId="NumBold2">
    <w:name w:val="Num Bold2"/>
    <w:basedOn w:val="NumPlain2"/>
    <w:rsid w:val="00A27219"/>
    <w:pPr>
      <w:numPr>
        <w:numId w:val="6"/>
      </w:numPr>
      <w:spacing w:before="0" w:after="200"/>
      <w:jc w:val="left"/>
    </w:pPr>
    <w:rPr>
      <w:b/>
    </w:rPr>
  </w:style>
  <w:style w:type="paragraph" w:customStyle="1" w:styleId="NumBold3">
    <w:name w:val="Num Bold3"/>
    <w:basedOn w:val="NumPlain3"/>
    <w:rsid w:val="00A27219"/>
    <w:pPr>
      <w:numPr>
        <w:numId w:val="6"/>
      </w:numPr>
      <w:spacing w:before="0" w:after="200"/>
      <w:jc w:val="left"/>
    </w:pPr>
    <w:rPr>
      <w:b/>
    </w:rPr>
  </w:style>
  <w:style w:type="paragraph" w:customStyle="1" w:styleId="NumBold4">
    <w:name w:val="Num Bold4"/>
    <w:basedOn w:val="NumPlain4"/>
    <w:rsid w:val="00A27219"/>
    <w:pPr>
      <w:numPr>
        <w:numId w:val="6"/>
      </w:numPr>
      <w:spacing w:before="0" w:after="200"/>
      <w:jc w:val="left"/>
    </w:pPr>
    <w:rPr>
      <w:b/>
    </w:rPr>
  </w:style>
  <w:style w:type="paragraph" w:customStyle="1" w:styleId="Bullet1">
    <w:name w:val="Bullet1"/>
    <w:basedOn w:val="Normal"/>
    <w:qFormat/>
    <w:rsid w:val="00A27219"/>
    <w:pPr>
      <w:numPr>
        <w:numId w:val="5"/>
      </w:numPr>
      <w:spacing w:after="200"/>
    </w:pPr>
    <w:rPr>
      <w:szCs w:val="20"/>
    </w:rPr>
  </w:style>
  <w:style w:type="paragraph" w:customStyle="1" w:styleId="Bullet2">
    <w:name w:val="Bullet2"/>
    <w:basedOn w:val="Normal"/>
    <w:rsid w:val="00A27219"/>
    <w:pPr>
      <w:numPr>
        <w:numId w:val="4"/>
      </w:numPr>
      <w:spacing w:after="200"/>
      <w:ind w:left="1020" w:hanging="510"/>
    </w:pPr>
    <w:rPr>
      <w:szCs w:val="20"/>
    </w:rPr>
  </w:style>
  <w:style w:type="paragraph" w:customStyle="1" w:styleId="Bullet3">
    <w:name w:val="Bullet3"/>
    <w:basedOn w:val="Normal"/>
    <w:rsid w:val="00A27219"/>
    <w:pPr>
      <w:numPr>
        <w:numId w:val="6"/>
      </w:numPr>
      <w:spacing w:after="200"/>
    </w:pPr>
    <w:rPr>
      <w:szCs w:val="20"/>
    </w:rPr>
  </w:style>
  <w:style w:type="paragraph" w:customStyle="1" w:styleId="CommentsPage">
    <w:name w:val="CommentsPage"/>
    <w:basedOn w:val="Normal"/>
    <w:next w:val="Normal"/>
    <w:rsid w:val="00A27219"/>
    <w:rPr>
      <w:szCs w:val="20"/>
    </w:rPr>
  </w:style>
  <w:style w:type="paragraph" w:customStyle="1" w:styleId="Bullet4">
    <w:name w:val="Bullet4"/>
    <w:basedOn w:val="Normal"/>
    <w:rsid w:val="00A27219"/>
    <w:pPr>
      <w:numPr>
        <w:numId w:val="7"/>
      </w:numPr>
      <w:spacing w:after="200"/>
    </w:pPr>
    <w:rPr>
      <w:szCs w:val="20"/>
    </w:rPr>
  </w:style>
  <w:style w:type="paragraph" w:customStyle="1" w:styleId="ContentsCapsPlain">
    <w:name w:val="Contents CapsPlain"/>
    <w:basedOn w:val="Normal"/>
    <w:next w:val="Normal"/>
    <w:rsid w:val="00A27219"/>
    <w:pPr>
      <w:spacing w:after="200"/>
    </w:pPr>
    <w:rPr>
      <w:caps/>
      <w:szCs w:val="20"/>
    </w:rPr>
  </w:style>
  <w:style w:type="paragraph" w:customStyle="1" w:styleId="ContentsCapsBold">
    <w:name w:val="Contents CapsBold"/>
    <w:basedOn w:val="ContentsCapsPlain"/>
    <w:next w:val="Normal"/>
    <w:rsid w:val="00A27219"/>
    <w:pPr>
      <w:spacing w:after="0"/>
    </w:pPr>
    <w:rPr>
      <w:b/>
    </w:rPr>
  </w:style>
  <w:style w:type="paragraph" w:customStyle="1" w:styleId="ContentsParaHead">
    <w:name w:val="Contents ParaHead"/>
    <w:basedOn w:val="Normal"/>
    <w:next w:val="Normal"/>
    <w:rsid w:val="00A27219"/>
    <w:pPr>
      <w:spacing w:after="60"/>
      <w:jc w:val="right"/>
    </w:pPr>
    <w:rPr>
      <w:i/>
      <w:szCs w:val="20"/>
    </w:rPr>
  </w:style>
  <w:style w:type="paragraph" w:styleId="DocumentMap">
    <w:name w:val="Document Map"/>
    <w:basedOn w:val="Normal"/>
    <w:link w:val="DocumentMapChar"/>
    <w:semiHidden/>
    <w:rsid w:val="00A27219"/>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A27219"/>
    <w:rPr>
      <w:rFonts w:ascii="Tahoma" w:hAnsi="Tahoma" w:cs="Tahoma"/>
      <w:sz w:val="19"/>
      <w:szCs w:val="20"/>
      <w:shd w:val="clear" w:color="auto" w:fill="000080"/>
      <w:lang w:val="en-AU" w:eastAsia="en-US"/>
    </w:rPr>
  </w:style>
  <w:style w:type="paragraph" w:customStyle="1" w:styleId="BCHanging0">
    <w:name w:val="BC Hanging0"/>
    <w:basedOn w:val="NoNumPlain1"/>
    <w:qFormat/>
    <w:rsid w:val="00A27219"/>
    <w:pPr>
      <w:spacing w:line="240" w:lineRule="auto"/>
      <w:ind w:left="624" w:hanging="624"/>
    </w:pPr>
    <w:rPr>
      <w:sz w:val="19"/>
    </w:rPr>
  </w:style>
  <w:style w:type="paragraph" w:customStyle="1" w:styleId="NoNumBC2">
    <w:name w:val="NoNum BC2"/>
    <w:basedOn w:val="NoNumPlain1"/>
    <w:rsid w:val="00A27219"/>
    <w:pPr>
      <w:spacing w:line="240" w:lineRule="auto"/>
      <w:ind w:left="624"/>
    </w:pPr>
    <w:rPr>
      <w:sz w:val="19"/>
    </w:rPr>
  </w:style>
  <w:style w:type="paragraph" w:customStyle="1" w:styleId="BCHanging1">
    <w:name w:val="BC Hanging1"/>
    <w:basedOn w:val="NoNumBC2"/>
    <w:rsid w:val="00A27219"/>
    <w:pPr>
      <w:ind w:left="1248" w:hanging="624"/>
    </w:pPr>
  </w:style>
  <w:style w:type="paragraph" w:customStyle="1" w:styleId="BCHanging2">
    <w:name w:val="BC Hanging2"/>
    <w:basedOn w:val="BCHanging1"/>
    <w:rsid w:val="00A27219"/>
    <w:pPr>
      <w:ind w:left="1871"/>
    </w:pPr>
  </w:style>
  <w:style w:type="paragraph" w:customStyle="1" w:styleId="ContentsLevel1NoIndent">
    <w:name w:val="Contents Level1 NoIndent"/>
    <w:basedOn w:val="Normal"/>
    <w:rsid w:val="00A27219"/>
    <w:pPr>
      <w:tabs>
        <w:tab w:val="right" w:pos="6237"/>
      </w:tabs>
      <w:spacing w:after="60"/>
      <w:ind w:right="1134"/>
    </w:pPr>
    <w:rPr>
      <w:szCs w:val="20"/>
    </w:rPr>
  </w:style>
  <w:style w:type="paragraph" w:customStyle="1" w:styleId="PlainHanging1">
    <w:name w:val="Plain Hanging1"/>
    <w:basedOn w:val="NoNumPlain2"/>
    <w:rsid w:val="00A27219"/>
    <w:pPr>
      <w:ind w:left="1020" w:hanging="510"/>
    </w:pPr>
  </w:style>
  <w:style w:type="paragraph" w:customStyle="1" w:styleId="PlainHanging2">
    <w:name w:val="Plain Hanging2"/>
    <w:basedOn w:val="PlainHanging1"/>
    <w:rsid w:val="00A27219"/>
    <w:pPr>
      <w:ind w:left="1531"/>
    </w:pPr>
  </w:style>
  <w:style w:type="paragraph" w:customStyle="1" w:styleId="PlainHanging3">
    <w:name w:val="Plain Hanging3"/>
    <w:basedOn w:val="PlainHanging1"/>
    <w:rsid w:val="00A27219"/>
    <w:pPr>
      <w:ind w:left="2041"/>
    </w:pPr>
  </w:style>
  <w:style w:type="paragraph" w:customStyle="1" w:styleId="PlainHanging4">
    <w:name w:val="Plain Hanging4"/>
    <w:basedOn w:val="PlainHanging1"/>
    <w:rsid w:val="00A27219"/>
    <w:pPr>
      <w:ind w:left="2551"/>
    </w:pPr>
  </w:style>
  <w:style w:type="paragraph" w:customStyle="1" w:styleId="BoldHanging1">
    <w:name w:val="Bold Hanging1"/>
    <w:basedOn w:val="PlainHanging1"/>
    <w:rsid w:val="00A27219"/>
    <w:rPr>
      <w:b/>
    </w:rPr>
  </w:style>
  <w:style w:type="paragraph" w:customStyle="1" w:styleId="BoldHanging2">
    <w:name w:val="Bold Hanging2"/>
    <w:basedOn w:val="PlainHanging2"/>
    <w:rsid w:val="00A27219"/>
    <w:rPr>
      <w:b/>
    </w:rPr>
  </w:style>
  <w:style w:type="paragraph" w:customStyle="1" w:styleId="BoldHanging3">
    <w:name w:val="Bold Hanging3"/>
    <w:basedOn w:val="PlainHanging3"/>
    <w:rsid w:val="00A27219"/>
    <w:rPr>
      <w:b/>
    </w:rPr>
  </w:style>
  <w:style w:type="paragraph" w:customStyle="1" w:styleId="BoldHanging4">
    <w:name w:val="Bold Hanging4"/>
    <w:basedOn w:val="PlainHanging4"/>
    <w:rsid w:val="00A27219"/>
    <w:rPr>
      <w:b/>
    </w:rPr>
  </w:style>
  <w:style w:type="paragraph" w:customStyle="1" w:styleId="NumberedList">
    <w:name w:val="NumberedList"/>
    <w:basedOn w:val="Normal"/>
    <w:qFormat/>
    <w:rsid w:val="00A27219"/>
    <w:pPr>
      <w:numPr>
        <w:numId w:val="8"/>
      </w:numPr>
      <w:spacing w:after="200"/>
    </w:pPr>
    <w:rPr>
      <w:szCs w:val="20"/>
    </w:rPr>
  </w:style>
  <w:style w:type="paragraph" w:customStyle="1" w:styleId="PlainHanging0">
    <w:name w:val="Plain Hanging0"/>
    <w:basedOn w:val="NoNumPlain1"/>
    <w:qFormat/>
    <w:rsid w:val="00A27219"/>
    <w:pPr>
      <w:spacing w:line="240" w:lineRule="auto"/>
      <w:ind w:left="510" w:hanging="510"/>
    </w:pPr>
    <w:rPr>
      <w:sz w:val="19"/>
    </w:rPr>
  </w:style>
  <w:style w:type="paragraph" w:customStyle="1" w:styleId="BoldHanging0">
    <w:name w:val="Bold Hanging0"/>
    <w:basedOn w:val="PlainHanging0"/>
    <w:qFormat/>
    <w:rsid w:val="00A27219"/>
    <w:rPr>
      <w:b/>
    </w:rPr>
  </w:style>
  <w:style w:type="paragraph" w:customStyle="1" w:styleId="BCHanging3">
    <w:name w:val="BC Hanging3"/>
    <w:basedOn w:val="BCHanging1"/>
    <w:rsid w:val="00A27219"/>
    <w:pPr>
      <w:ind w:left="2495"/>
    </w:pPr>
  </w:style>
  <w:style w:type="paragraph" w:customStyle="1" w:styleId="BCHanging4">
    <w:name w:val="BC Hanging4"/>
    <w:basedOn w:val="BCHanging1"/>
    <w:rsid w:val="00A27219"/>
    <w:pPr>
      <w:ind w:left="3119"/>
    </w:pPr>
  </w:style>
  <w:style w:type="paragraph" w:customStyle="1" w:styleId="NoNumBC3">
    <w:name w:val="NoNum BC3"/>
    <w:basedOn w:val="NoNumBC2"/>
    <w:rsid w:val="00A27219"/>
    <w:pPr>
      <w:ind w:left="1247"/>
    </w:pPr>
  </w:style>
  <w:style w:type="paragraph" w:customStyle="1" w:styleId="NoNumBC4">
    <w:name w:val="NoNum BC4"/>
    <w:basedOn w:val="NoNumBC3"/>
    <w:rsid w:val="00A27219"/>
    <w:pPr>
      <w:ind w:left="1871"/>
    </w:pPr>
  </w:style>
  <w:style w:type="paragraph" w:customStyle="1" w:styleId="NumBC1">
    <w:name w:val="Num BC1"/>
    <w:basedOn w:val="Normal"/>
    <w:qFormat/>
    <w:rsid w:val="00A27219"/>
    <w:pPr>
      <w:numPr>
        <w:numId w:val="9"/>
      </w:numPr>
      <w:spacing w:after="200"/>
    </w:pPr>
    <w:rPr>
      <w:szCs w:val="20"/>
    </w:rPr>
  </w:style>
  <w:style w:type="paragraph" w:customStyle="1" w:styleId="NumBC2">
    <w:name w:val="Num BC2"/>
    <w:basedOn w:val="NumBC1"/>
    <w:rsid w:val="00A27219"/>
    <w:pPr>
      <w:numPr>
        <w:ilvl w:val="1"/>
      </w:numPr>
    </w:pPr>
  </w:style>
  <w:style w:type="paragraph" w:customStyle="1" w:styleId="NumBC3">
    <w:name w:val="Num BC3"/>
    <w:basedOn w:val="NumBC2"/>
    <w:rsid w:val="00A27219"/>
    <w:pPr>
      <w:numPr>
        <w:ilvl w:val="2"/>
      </w:numPr>
    </w:pPr>
  </w:style>
  <w:style w:type="paragraph" w:customStyle="1" w:styleId="NumBC4">
    <w:name w:val="Num BC4"/>
    <w:basedOn w:val="NumBC3"/>
    <w:rsid w:val="00A27219"/>
    <w:pPr>
      <w:numPr>
        <w:ilvl w:val="3"/>
      </w:numPr>
    </w:pPr>
  </w:style>
  <w:style w:type="paragraph" w:customStyle="1" w:styleId="AusBold2">
    <w:name w:val="Aus Bold2"/>
    <w:basedOn w:val="Normal"/>
    <w:rsid w:val="00A27219"/>
    <w:pPr>
      <w:spacing w:before="100"/>
      <w:ind w:left="2347" w:hanging="782"/>
      <w:jc w:val="both"/>
      <w:outlineLvl w:val="1"/>
    </w:pPr>
    <w:rPr>
      <w:b/>
      <w:szCs w:val="20"/>
      <w:lang w:val="en-US"/>
    </w:rPr>
  </w:style>
  <w:style w:type="paragraph" w:customStyle="1" w:styleId="AusBold3">
    <w:name w:val="Aus Bold3"/>
    <w:basedOn w:val="Normal"/>
    <w:rsid w:val="00A27219"/>
    <w:pPr>
      <w:numPr>
        <w:ilvl w:val="2"/>
        <w:numId w:val="10"/>
      </w:numPr>
      <w:tabs>
        <w:tab w:val="clear" w:pos="2045"/>
      </w:tabs>
      <w:spacing w:before="100"/>
      <w:ind w:left="3129" w:hanging="782"/>
      <w:outlineLvl w:val="2"/>
    </w:pPr>
    <w:rPr>
      <w:b/>
      <w:szCs w:val="20"/>
    </w:rPr>
  </w:style>
  <w:style w:type="paragraph" w:customStyle="1" w:styleId="RDRPlain1">
    <w:name w:val="RDR Plain1"/>
    <w:basedOn w:val="Normal"/>
    <w:rsid w:val="00A27219"/>
    <w:pPr>
      <w:spacing w:after="200"/>
      <w:ind w:left="1022" w:hanging="1022"/>
      <w:outlineLvl w:val="0"/>
    </w:pPr>
    <w:rPr>
      <w:szCs w:val="20"/>
    </w:rPr>
  </w:style>
  <w:style w:type="paragraph" w:customStyle="1" w:styleId="RDRPlain2">
    <w:name w:val="RDR Plain2"/>
    <w:basedOn w:val="Normal"/>
    <w:rsid w:val="00A27219"/>
    <w:pPr>
      <w:spacing w:before="100"/>
      <w:ind w:left="2347" w:hanging="782"/>
      <w:jc w:val="both"/>
      <w:outlineLvl w:val="1"/>
    </w:pPr>
    <w:rPr>
      <w:szCs w:val="20"/>
      <w:lang w:val="en-US"/>
    </w:rPr>
  </w:style>
  <w:style w:type="paragraph" w:customStyle="1" w:styleId="RDRPlain3">
    <w:name w:val="RDR Plain3"/>
    <w:basedOn w:val="Normal"/>
    <w:rsid w:val="00A27219"/>
    <w:pPr>
      <w:tabs>
        <w:tab w:val="num" w:pos="2045"/>
      </w:tabs>
      <w:spacing w:after="200"/>
      <w:ind w:left="2045" w:hanging="519"/>
      <w:outlineLvl w:val="2"/>
    </w:pPr>
    <w:rPr>
      <w:szCs w:val="20"/>
    </w:rPr>
  </w:style>
  <w:style w:type="paragraph" w:customStyle="1" w:styleId="RDRBold1">
    <w:name w:val="RDR Bold1"/>
    <w:basedOn w:val="RDRPlain1"/>
    <w:rsid w:val="00A27219"/>
    <w:rPr>
      <w:b/>
    </w:rPr>
  </w:style>
  <w:style w:type="paragraph" w:customStyle="1" w:styleId="RDRBold2">
    <w:name w:val="RDR Bold2"/>
    <w:basedOn w:val="RDRPlain2"/>
    <w:rsid w:val="00A27219"/>
    <w:rPr>
      <w:b/>
    </w:rPr>
  </w:style>
  <w:style w:type="paragraph" w:customStyle="1" w:styleId="RDRBold3">
    <w:name w:val="RDR Bold3"/>
    <w:basedOn w:val="RDRPlain3"/>
    <w:rsid w:val="00A27219"/>
    <w:rPr>
      <w:b/>
    </w:rPr>
  </w:style>
  <w:style w:type="paragraph" w:customStyle="1" w:styleId="AppendixText">
    <w:name w:val="AppendixText"/>
    <w:basedOn w:val="Normal"/>
    <w:rsid w:val="00A27219"/>
    <w:pPr>
      <w:spacing w:after="200"/>
    </w:pPr>
    <w:rPr>
      <w:szCs w:val="20"/>
    </w:rPr>
  </w:style>
  <w:style w:type="table" w:customStyle="1" w:styleId="TableGrid10">
    <w:name w:val="Table Grid1"/>
    <w:basedOn w:val="TableNormal"/>
    <w:next w:val="TableGrid"/>
    <w:rsid w:val="00A27219"/>
    <w:pPr>
      <w:spacing w:after="0" w:line="200" w:lineRule="exact"/>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lain2RDR">
    <w:name w:val="Num Plain2 RDR"/>
    <w:basedOn w:val="Normal"/>
    <w:rsid w:val="00A27219"/>
    <w:pPr>
      <w:shd w:val="clear" w:color="auto" w:fill="D9D9D9"/>
      <w:tabs>
        <w:tab w:val="left" w:pos="510"/>
      </w:tabs>
      <w:spacing w:after="200"/>
      <w:ind w:left="1021" w:hanging="1021"/>
    </w:pPr>
    <w:rPr>
      <w:szCs w:val="20"/>
    </w:rPr>
  </w:style>
  <w:style w:type="character" w:styleId="Hyperlink">
    <w:name w:val="Hyperlink"/>
    <w:basedOn w:val="DefaultParagraphFont"/>
    <w:rsid w:val="00A27219"/>
    <w:rPr>
      <w:color w:val="0000FF" w:themeColor="hyperlink"/>
      <w:u w:val="single"/>
    </w:rPr>
  </w:style>
  <w:style w:type="paragraph" w:customStyle="1" w:styleId="AppendixNo">
    <w:name w:val="AppendixNo"/>
    <w:basedOn w:val="Normal"/>
    <w:next w:val="Normal"/>
    <w:link w:val="AppendixNoChar"/>
    <w:rsid w:val="00A27219"/>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A27219"/>
    <w:rPr>
      <w:b/>
      <w:caps/>
      <w:sz w:val="28"/>
      <w:szCs w:val="28"/>
      <w:lang w:val="en-AU" w:eastAsia="en-US"/>
    </w:rPr>
  </w:style>
  <w:style w:type="paragraph" w:customStyle="1" w:styleId="AppendixTitle">
    <w:name w:val="AppendixTitle"/>
    <w:basedOn w:val="Normal"/>
    <w:next w:val="AppendixNote"/>
    <w:rsid w:val="00A27219"/>
    <w:pPr>
      <w:keepNext/>
      <w:spacing w:after="200" w:line="280" w:lineRule="exact"/>
      <w:jc w:val="center"/>
      <w:outlineLvl w:val="0"/>
    </w:pPr>
    <w:rPr>
      <w:b/>
      <w:caps/>
      <w:sz w:val="28"/>
      <w:szCs w:val="28"/>
    </w:rPr>
  </w:style>
  <w:style w:type="paragraph" w:customStyle="1" w:styleId="AppendixNote">
    <w:name w:val="AppendixNote"/>
    <w:basedOn w:val="Normal"/>
    <w:next w:val="Normal"/>
    <w:rsid w:val="00A27219"/>
    <w:pPr>
      <w:spacing w:after="200" w:line="200" w:lineRule="exact"/>
    </w:pPr>
    <w:rPr>
      <w:i/>
      <w:iCs/>
      <w:sz w:val="20"/>
      <w:szCs w:val="20"/>
    </w:rPr>
  </w:style>
  <w:style w:type="character" w:customStyle="1" w:styleId="legsubtitle1">
    <w:name w:val="legsubtitle1"/>
    <w:basedOn w:val="DefaultParagraphFont"/>
    <w:rsid w:val="00A27219"/>
    <w:rPr>
      <w:rFonts w:ascii="Arial" w:hAnsi="Arial" w:cs="Arial" w:hint="default"/>
      <w:b/>
      <w:bCs/>
      <w:sz w:val="28"/>
      <w:szCs w:val="28"/>
    </w:rPr>
  </w:style>
  <w:style w:type="paragraph" w:customStyle="1" w:styleId="SubNumBold1">
    <w:name w:val="SubNum Bold1"/>
    <w:basedOn w:val="BoldHanging1"/>
    <w:qFormat/>
    <w:rsid w:val="00A27219"/>
    <w:pPr>
      <w:numPr>
        <w:numId w:val="11"/>
      </w:numPr>
      <w:spacing w:before="100" w:after="100"/>
      <w:jc w:val="both"/>
    </w:pPr>
  </w:style>
  <w:style w:type="paragraph" w:customStyle="1" w:styleId="SubNumBold2">
    <w:name w:val="SubNum Bold2"/>
    <w:basedOn w:val="BoldHanging2"/>
    <w:qFormat/>
    <w:rsid w:val="00A27219"/>
    <w:pPr>
      <w:numPr>
        <w:ilvl w:val="1"/>
        <w:numId w:val="11"/>
      </w:numPr>
      <w:spacing w:before="100" w:after="100"/>
      <w:jc w:val="both"/>
    </w:pPr>
  </w:style>
  <w:style w:type="paragraph" w:customStyle="1" w:styleId="SubNumBold3">
    <w:name w:val="SubNum Bold3"/>
    <w:basedOn w:val="BoldHanging3"/>
    <w:qFormat/>
    <w:rsid w:val="00A27219"/>
    <w:pPr>
      <w:numPr>
        <w:ilvl w:val="2"/>
        <w:numId w:val="11"/>
      </w:numPr>
      <w:spacing w:before="100" w:after="100"/>
      <w:jc w:val="both"/>
    </w:pPr>
  </w:style>
  <w:style w:type="paragraph" w:customStyle="1" w:styleId="SubNumBold4">
    <w:name w:val="SubNum Bold4"/>
    <w:basedOn w:val="BoldHanging4"/>
    <w:qFormat/>
    <w:rsid w:val="00A27219"/>
    <w:pPr>
      <w:numPr>
        <w:ilvl w:val="3"/>
        <w:numId w:val="11"/>
      </w:numPr>
      <w:spacing w:before="100" w:after="100"/>
      <w:jc w:val="both"/>
    </w:pPr>
  </w:style>
  <w:style w:type="numbering" w:customStyle="1" w:styleId="AASBSubNumbersBold">
    <w:name w:val="AASB SubNumbers Bold"/>
    <w:uiPriority w:val="99"/>
    <w:rsid w:val="00A27219"/>
    <w:pPr>
      <w:numPr>
        <w:numId w:val="11"/>
      </w:numPr>
    </w:pPr>
  </w:style>
  <w:style w:type="paragraph" w:styleId="ListParagraph">
    <w:name w:val="List Paragraph"/>
    <w:basedOn w:val="Normal"/>
    <w:uiPriority w:val="34"/>
    <w:rsid w:val="00A27219"/>
    <w:pPr>
      <w:ind w:left="720"/>
      <w:contextualSpacing/>
    </w:pPr>
    <w:rPr>
      <w:szCs w:val="20"/>
    </w:rPr>
  </w:style>
  <w:style w:type="table" w:customStyle="1" w:styleId="TableGrid11">
    <w:name w:val="Table Grid11"/>
    <w:basedOn w:val="TableNormal"/>
    <w:next w:val="TableGrid"/>
    <w:uiPriority w:val="59"/>
    <w:rsid w:val="00A27219"/>
    <w:pPr>
      <w:spacing w:after="0" w:line="240" w:lineRule="auto"/>
    </w:pPr>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27219"/>
    <w:pPr>
      <w:numPr>
        <w:numId w:val="13"/>
      </w:numPr>
      <w:spacing w:before="100" w:after="100"/>
      <w:jc w:val="both"/>
    </w:pPr>
  </w:style>
  <w:style w:type="paragraph" w:customStyle="1" w:styleId="SubNumPlain2">
    <w:name w:val="SubNum Plain2"/>
    <w:basedOn w:val="PlainHanging2"/>
    <w:qFormat/>
    <w:rsid w:val="00A27219"/>
    <w:pPr>
      <w:numPr>
        <w:ilvl w:val="1"/>
        <w:numId w:val="13"/>
      </w:numPr>
      <w:spacing w:before="100" w:after="100"/>
      <w:jc w:val="both"/>
    </w:pPr>
  </w:style>
  <w:style w:type="paragraph" w:customStyle="1" w:styleId="SubNumPlain3">
    <w:name w:val="SubNum Plain3"/>
    <w:basedOn w:val="PlainHanging3"/>
    <w:qFormat/>
    <w:rsid w:val="00A27219"/>
    <w:pPr>
      <w:numPr>
        <w:ilvl w:val="2"/>
        <w:numId w:val="13"/>
      </w:numPr>
      <w:spacing w:before="100" w:after="100"/>
      <w:jc w:val="both"/>
    </w:pPr>
  </w:style>
  <w:style w:type="paragraph" w:customStyle="1" w:styleId="SubNumPlain4">
    <w:name w:val="SubNum Plain4"/>
    <w:basedOn w:val="PlainHanging4"/>
    <w:qFormat/>
    <w:rsid w:val="00A27219"/>
    <w:pPr>
      <w:numPr>
        <w:ilvl w:val="3"/>
        <w:numId w:val="13"/>
      </w:numPr>
      <w:spacing w:before="100" w:after="100"/>
      <w:jc w:val="both"/>
    </w:pPr>
  </w:style>
  <w:style w:type="numbering" w:customStyle="1" w:styleId="AASBSubNumbers">
    <w:name w:val="AASB SubNumbers"/>
    <w:uiPriority w:val="99"/>
    <w:rsid w:val="00A27219"/>
    <w:pPr>
      <w:numPr>
        <w:numId w:val="12"/>
      </w:numPr>
    </w:pPr>
  </w:style>
  <w:style w:type="character" w:customStyle="1" w:styleId="IASBSectionTitle1NonIndChar">
    <w:name w:val="IASB Section Title 1 NonInd Char"/>
    <w:basedOn w:val="DefaultParagraphFont"/>
    <w:link w:val="IASBSectionTitle1NonInd"/>
    <w:uiPriority w:val="8"/>
    <w:rsid w:val="00A27219"/>
    <w:rPr>
      <w:rFonts w:ascii="Arial" w:hAnsi="Arial" w:cs="Arial"/>
      <w:b/>
      <w:sz w:val="26"/>
      <w:szCs w:val="20"/>
      <w:lang w:val="en-AU" w:eastAsia="en-US"/>
    </w:rPr>
  </w:style>
  <w:style w:type="paragraph" w:styleId="TOC1">
    <w:name w:val="toc 1"/>
    <w:basedOn w:val="Normal"/>
    <w:next w:val="Normal"/>
    <w:autoRedefine/>
    <w:semiHidden/>
    <w:rsid w:val="00A27219"/>
    <w:pPr>
      <w:jc w:val="both"/>
    </w:pPr>
    <w:rPr>
      <w:szCs w:val="20"/>
    </w:rPr>
  </w:style>
  <w:style w:type="paragraph" w:customStyle="1" w:styleId="CoverSubtitle">
    <w:name w:val="Cover Subtitle"/>
    <w:basedOn w:val="CoverTitle"/>
    <w:rsid w:val="00A27219"/>
    <w:pPr>
      <w:jc w:val="both"/>
    </w:pPr>
    <w:rPr>
      <w:sz w:val="40"/>
      <w:szCs w:val="40"/>
    </w:rPr>
  </w:style>
  <w:style w:type="numbering" w:customStyle="1" w:styleId="Bullets">
    <w:name w:val="Bullets"/>
    <w:uiPriority w:val="99"/>
    <w:rsid w:val="00A27219"/>
    <w:pPr>
      <w:numPr>
        <w:numId w:val="14"/>
      </w:numPr>
    </w:pPr>
  </w:style>
  <w:style w:type="paragraph" w:customStyle="1" w:styleId="NumFPlain1">
    <w:name w:val="Num F Plain1"/>
    <w:basedOn w:val="NumPlain1"/>
    <w:qFormat/>
    <w:rsid w:val="00A27219"/>
    <w:pPr>
      <w:numPr>
        <w:numId w:val="15"/>
      </w:numPr>
    </w:pPr>
  </w:style>
  <w:style w:type="paragraph" w:customStyle="1" w:styleId="NumFPlain2">
    <w:name w:val="Num F Plain2"/>
    <w:basedOn w:val="NumFPlain1"/>
    <w:qFormat/>
    <w:rsid w:val="00A27219"/>
    <w:pPr>
      <w:numPr>
        <w:ilvl w:val="1"/>
      </w:numPr>
    </w:pPr>
  </w:style>
  <w:style w:type="paragraph" w:customStyle="1" w:styleId="NumFPlain3">
    <w:name w:val="Num F Plain3"/>
    <w:basedOn w:val="NumFPlain2"/>
    <w:qFormat/>
    <w:rsid w:val="00A27219"/>
    <w:pPr>
      <w:numPr>
        <w:ilvl w:val="2"/>
      </w:numPr>
    </w:pPr>
  </w:style>
  <w:style w:type="paragraph" w:customStyle="1" w:styleId="NumBPlain1">
    <w:name w:val="Num B Plain 1"/>
    <w:basedOn w:val="Normal"/>
    <w:qFormat/>
    <w:rsid w:val="00A27219"/>
    <w:pPr>
      <w:spacing w:after="240"/>
      <w:jc w:val="both"/>
    </w:pPr>
    <w:rPr>
      <w:szCs w:val="20"/>
    </w:rPr>
  </w:style>
  <w:style w:type="paragraph" w:customStyle="1" w:styleId="NumBPlain2">
    <w:name w:val="Num B Plain 2"/>
    <w:basedOn w:val="NumBPlain1"/>
    <w:qFormat/>
    <w:rsid w:val="00A27219"/>
    <w:pPr>
      <w:numPr>
        <w:ilvl w:val="1"/>
      </w:numPr>
      <w:ind w:left="1564" w:hanging="782"/>
    </w:pPr>
  </w:style>
  <w:style w:type="paragraph" w:customStyle="1" w:styleId="NumBPlain3">
    <w:name w:val="Num B Plain 3"/>
    <w:basedOn w:val="NumBPlain2"/>
    <w:qFormat/>
    <w:rsid w:val="00A27219"/>
    <w:pPr>
      <w:numPr>
        <w:ilvl w:val="2"/>
      </w:numPr>
      <w:ind w:left="2347" w:hanging="782"/>
    </w:pPr>
  </w:style>
  <w:style w:type="table" w:customStyle="1" w:styleId="TableGrid110">
    <w:name w:val="Table Grid 11"/>
    <w:basedOn w:val="TableNormal"/>
    <w:next w:val="TableGrid1"/>
    <w:rsid w:val="00A27219"/>
    <w:pPr>
      <w:spacing w:after="0" w:line="240" w:lineRule="auto"/>
    </w:pPr>
    <w:rPr>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IEPlain1">
    <w:name w:val="Num IE Plain 1"/>
    <w:basedOn w:val="Normal"/>
    <w:qFormat/>
    <w:rsid w:val="00A27219"/>
    <w:pPr>
      <w:numPr>
        <w:numId w:val="16"/>
      </w:numPr>
      <w:spacing w:after="100"/>
      <w:jc w:val="both"/>
    </w:pPr>
    <w:rPr>
      <w:szCs w:val="20"/>
    </w:rPr>
  </w:style>
  <w:style w:type="paragraph" w:customStyle="1" w:styleId="NumIEPlain2">
    <w:name w:val="Num IE Plain 2"/>
    <w:basedOn w:val="NumIEPlain1"/>
    <w:qFormat/>
    <w:rsid w:val="00A27219"/>
    <w:pPr>
      <w:numPr>
        <w:ilvl w:val="1"/>
      </w:numPr>
    </w:pPr>
  </w:style>
  <w:style w:type="paragraph" w:customStyle="1" w:styleId="NumIEPlain3">
    <w:name w:val="Num IE Plain 3"/>
    <w:basedOn w:val="NumIEPlain2"/>
    <w:qFormat/>
    <w:rsid w:val="00A27219"/>
    <w:pPr>
      <w:numPr>
        <w:ilvl w:val="2"/>
      </w:numPr>
    </w:pPr>
  </w:style>
  <w:style w:type="character" w:customStyle="1" w:styleId="IASBNormalChar">
    <w:name w:val="IASB Normal Char"/>
    <w:basedOn w:val="DefaultParagraphFont"/>
    <w:link w:val="IASBNormal"/>
    <w:uiPriority w:val="8"/>
    <w:rsid w:val="00A27219"/>
    <w:rPr>
      <w:sz w:val="19"/>
      <w:szCs w:val="20"/>
      <w:lang w:val="en-AU" w:eastAsia="en-US"/>
    </w:rPr>
  </w:style>
  <w:style w:type="numbering" w:customStyle="1" w:styleId="AASBNumbers">
    <w:name w:val="AASB Numbers"/>
    <w:uiPriority w:val="99"/>
    <w:rsid w:val="00A27219"/>
    <w:pPr>
      <w:numPr>
        <w:numId w:val="17"/>
      </w:numPr>
    </w:pPr>
  </w:style>
  <w:style w:type="paragraph" w:customStyle="1" w:styleId="NumAG3">
    <w:name w:val="Num AG3"/>
    <w:basedOn w:val="Normal"/>
    <w:rsid w:val="00A27219"/>
    <w:pPr>
      <w:tabs>
        <w:tab w:val="num" w:pos="1871"/>
      </w:tabs>
      <w:spacing w:after="200" w:line="200" w:lineRule="exact"/>
      <w:ind w:left="1871" w:hanging="624"/>
    </w:pPr>
    <w:rPr>
      <w:sz w:val="20"/>
      <w:szCs w:val="20"/>
    </w:rPr>
  </w:style>
  <w:style w:type="paragraph" w:customStyle="1" w:styleId="NumCPlain1">
    <w:name w:val="Num C Plain 1"/>
    <w:basedOn w:val="Normal"/>
    <w:qFormat/>
    <w:rsid w:val="00A27219"/>
    <w:pPr>
      <w:spacing w:before="100" w:after="100"/>
      <w:ind w:left="782" w:hanging="782"/>
      <w:jc w:val="both"/>
    </w:pPr>
    <w:rPr>
      <w:szCs w:val="20"/>
    </w:rPr>
  </w:style>
  <w:style w:type="paragraph" w:customStyle="1" w:styleId="NumCPlain2">
    <w:name w:val="Num C Plain 2"/>
    <w:basedOn w:val="NumCPlain1"/>
    <w:qFormat/>
    <w:rsid w:val="00A27219"/>
    <w:pPr>
      <w:ind w:left="1565" w:hanging="783"/>
    </w:pPr>
  </w:style>
  <w:style w:type="paragraph" w:customStyle="1" w:styleId="NumCPlain3">
    <w:name w:val="Num C Plain 3"/>
    <w:basedOn w:val="NumCPlain2"/>
    <w:qFormat/>
    <w:rsid w:val="00A27219"/>
    <w:pPr>
      <w:ind w:left="2347" w:hanging="782"/>
    </w:pPr>
  </w:style>
  <w:style w:type="paragraph" w:customStyle="1" w:styleId="DLevel1">
    <w:name w:val="DLevel 1"/>
    <w:basedOn w:val="Normal"/>
    <w:uiPriority w:val="1"/>
    <w:qFormat/>
    <w:rsid w:val="00A27219"/>
    <w:pPr>
      <w:numPr>
        <w:numId w:val="19"/>
      </w:numPr>
      <w:spacing w:after="200" w:line="200" w:lineRule="exact"/>
    </w:pPr>
    <w:rPr>
      <w:sz w:val="20"/>
      <w:szCs w:val="20"/>
    </w:rPr>
  </w:style>
  <w:style w:type="paragraph" w:customStyle="1" w:styleId="DLevel2">
    <w:name w:val="DLevel 2"/>
    <w:basedOn w:val="Normal"/>
    <w:uiPriority w:val="1"/>
    <w:qFormat/>
    <w:rsid w:val="00A27219"/>
    <w:pPr>
      <w:numPr>
        <w:ilvl w:val="1"/>
        <w:numId w:val="19"/>
      </w:numPr>
      <w:spacing w:after="200" w:line="200" w:lineRule="exact"/>
    </w:pPr>
    <w:rPr>
      <w:sz w:val="20"/>
      <w:szCs w:val="20"/>
    </w:rPr>
  </w:style>
  <w:style w:type="paragraph" w:customStyle="1" w:styleId="DLevel3">
    <w:name w:val="DLevel 3"/>
    <w:basedOn w:val="Normal"/>
    <w:uiPriority w:val="1"/>
    <w:qFormat/>
    <w:rsid w:val="00A27219"/>
    <w:pPr>
      <w:numPr>
        <w:ilvl w:val="2"/>
        <w:numId w:val="19"/>
      </w:numPr>
      <w:spacing w:after="200" w:line="200" w:lineRule="exact"/>
    </w:pPr>
    <w:rPr>
      <w:sz w:val="20"/>
      <w:szCs w:val="20"/>
    </w:rPr>
  </w:style>
  <w:style w:type="numbering" w:customStyle="1" w:styleId="DNos">
    <w:name w:val="DNos"/>
    <w:uiPriority w:val="99"/>
    <w:rsid w:val="00A27219"/>
    <w:pPr>
      <w:numPr>
        <w:numId w:val="18"/>
      </w:numPr>
    </w:pPr>
  </w:style>
  <w:style w:type="paragraph" w:customStyle="1" w:styleId="AmendmentInstruction">
    <w:name w:val="AmendmentInstruction"/>
    <w:qFormat/>
    <w:rsid w:val="00A27219"/>
    <w:pPr>
      <w:keepNext/>
      <w:pBdr>
        <w:top w:val="single" w:sz="4" w:space="5" w:color="auto"/>
        <w:left w:val="single" w:sz="4" w:space="4" w:color="auto"/>
        <w:bottom w:val="single" w:sz="4" w:space="5" w:color="auto"/>
        <w:right w:val="single" w:sz="4" w:space="4" w:color="auto"/>
      </w:pBdr>
      <w:spacing w:before="120" w:after="240" w:line="240" w:lineRule="auto"/>
    </w:pPr>
    <w:rPr>
      <w:rFonts w:ascii="Arial" w:hAnsi="Arial"/>
      <w:sz w:val="18"/>
      <w:szCs w:val="20"/>
      <w:lang w:val="en-AU" w:eastAsia="en-US"/>
    </w:rPr>
  </w:style>
  <w:style w:type="paragraph" w:customStyle="1" w:styleId="AppendixBPara">
    <w:name w:val="AppendixB Para"/>
    <w:basedOn w:val="Normal"/>
    <w:qFormat/>
    <w:rsid w:val="00A27219"/>
    <w:pPr>
      <w:numPr>
        <w:numId w:val="20"/>
      </w:numPr>
      <w:spacing w:before="100"/>
      <w:ind w:left="782" w:hanging="782"/>
      <w:jc w:val="both"/>
    </w:pPr>
    <w:rPr>
      <w:szCs w:val="20"/>
    </w:rPr>
  </w:style>
  <w:style w:type="paragraph" w:customStyle="1" w:styleId="IEText">
    <w:name w:val="IE Text"/>
    <w:basedOn w:val="Normal"/>
    <w:qFormat/>
    <w:rsid w:val="00A27219"/>
    <w:pPr>
      <w:pBdr>
        <w:top w:val="single" w:sz="4" w:space="5" w:color="auto"/>
        <w:left w:val="single" w:sz="4" w:space="4" w:color="auto"/>
        <w:bottom w:val="single" w:sz="4" w:space="7" w:color="auto"/>
        <w:right w:val="single" w:sz="4" w:space="4" w:color="auto"/>
      </w:pBdr>
      <w:spacing w:after="100"/>
      <w:ind w:left="782"/>
    </w:pPr>
    <w:rPr>
      <w:szCs w:val="20"/>
    </w:rPr>
  </w:style>
  <w:style w:type="paragraph" w:customStyle="1" w:styleId="NumDPlain1">
    <w:name w:val="Num D Plain 1"/>
    <w:basedOn w:val="Normal"/>
    <w:qFormat/>
    <w:rsid w:val="00A27219"/>
    <w:pPr>
      <w:numPr>
        <w:numId w:val="21"/>
      </w:numPr>
      <w:spacing w:after="240"/>
    </w:pPr>
    <w:rPr>
      <w:szCs w:val="20"/>
    </w:rPr>
  </w:style>
  <w:style w:type="paragraph" w:customStyle="1" w:styleId="NumDPlain2">
    <w:name w:val="Num D Plain 2"/>
    <w:basedOn w:val="NumDPlain1"/>
    <w:qFormat/>
    <w:rsid w:val="00A27219"/>
    <w:pPr>
      <w:numPr>
        <w:ilvl w:val="1"/>
      </w:numPr>
      <w:ind w:left="1564" w:hanging="782"/>
    </w:pPr>
  </w:style>
  <w:style w:type="paragraph" w:customStyle="1" w:styleId="NumDPlain3">
    <w:name w:val="Num D Plain 3"/>
    <w:basedOn w:val="NumDPlain2"/>
    <w:qFormat/>
    <w:rsid w:val="00A27219"/>
    <w:pPr>
      <w:numPr>
        <w:ilvl w:val="2"/>
      </w:numPr>
      <w:ind w:left="2347" w:hanging="782"/>
    </w:pPr>
  </w:style>
  <w:style w:type="paragraph" w:customStyle="1" w:styleId="IE1">
    <w:name w:val="IE1"/>
    <w:basedOn w:val="Normal"/>
    <w:uiPriority w:val="1"/>
    <w:qFormat/>
    <w:rsid w:val="00A27219"/>
    <w:pPr>
      <w:numPr>
        <w:numId w:val="23"/>
      </w:numPr>
      <w:spacing w:after="200" w:line="200" w:lineRule="exact"/>
    </w:pPr>
    <w:rPr>
      <w:sz w:val="20"/>
      <w:szCs w:val="20"/>
    </w:rPr>
  </w:style>
  <w:style w:type="paragraph" w:customStyle="1" w:styleId="IE2">
    <w:name w:val="IE2"/>
    <w:basedOn w:val="Normal"/>
    <w:uiPriority w:val="1"/>
    <w:qFormat/>
    <w:rsid w:val="00A27219"/>
    <w:pPr>
      <w:numPr>
        <w:ilvl w:val="1"/>
        <w:numId w:val="23"/>
      </w:numPr>
      <w:spacing w:after="200" w:line="200" w:lineRule="exact"/>
    </w:pPr>
    <w:rPr>
      <w:sz w:val="20"/>
      <w:szCs w:val="20"/>
    </w:rPr>
  </w:style>
  <w:style w:type="paragraph" w:customStyle="1" w:styleId="IE3">
    <w:name w:val="IE3"/>
    <w:basedOn w:val="Normal"/>
    <w:uiPriority w:val="1"/>
    <w:qFormat/>
    <w:rsid w:val="00A27219"/>
    <w:pPr>
      <w:numPr>
        <w:ilvl w:val="2"/>
        <w:numId w:val="23"/>
      </w:numPr>
      <w:spacing w:after="200" w:line="200" w:lineRule="exact"/>
    </w:pPr>
    <w:rPr>
      <w:sz w:val="20"/>
      <w:szCs w:val="20"/>
    </w:rPr>
  </w:style>
  <w:style w:type="numbering" w:customStyle="1" w:styleId="IENos">
    <w:name w:val="IENos"/>
    <w:uiPriority w:val="99"/>
    <w:rsid w:val="00A27219"/>
    <w:pPr>
      <w:numPr>
        <w:numId w:val="22"/>
      </w:numPr>
    </w:pPr>
  </w:style>
  <w:style w:type="paragraph" w:customStyle="1" w:styleId="Ig">
    <w:name w:val="Ig"/>
    <w:basedOn w:val="NumFPlain1"/>
    <w:rsid w:val="00A27219"/>
  </w:style>
  <w:style w:type="paragraph" w:customStyle="1" w:styleId="NumBPlain10">
    <w:name w:val="Num B Plain1"/>
    <w:basedOn w:val="NumFPlain1"/>
    <w:rsid w:val="00A27219"/>
  </w:style>
  <w:style w:type="paragraph" w:customStyle="1" w:styleId="TableRow">
    <w:name w:val="TableRow"/>
    <w:basedOn w:val="Normal"/>
    <w:uiPriority w:val="5"/>
    <w:qFormat/>
    <w:rsid w:val="00A27219"/>
    <w:pPr>
      <w:spacing w:before="60" w:after="60"/>
    </w:pPr>
    <w:rPr>
      <w:sz w:val="24"/>
      <w:lang w:eastAsia="en-AU"/>
    </w:rPr>
  </w:style>
  <w:style w:type="paragraph" w:styleId="EndnoteText">
    <w:name w:val="endnote text"/>
    <w:basedOn w:val="Normal"/>
    <w:link w:val="EndnoteTextChar"/>
    <w:uiPriority w:val="5"/>
    <w:unhideWhenUsed/>
    <w:rsid w:val="00A27219"/>
    <w:rPr>
      <w:sz w:val="20"/>
      <w:szCs w:val="20"/>
    </w:rPr>
  </w:style>
  <w:style w:type="character" w:customStyle="1" w:styleId="EndnoteTextChar">
    <w:name w:val="Endnote Text Char"/>
    <w:basedOn w:val="DefaultParagraphFont"/>
    <w:link w:val="EndnoteText"/>
    <w:uiPriority w:val="5"/>
    <w:rsid w:val="00A27219"/>
    <w:rPr>
      <w:sz w:val="20"/>
      <w:szCs w:val="20"/>
      <w:lang w:val="en-AU" w:eastAsia="en-US"/>
    </w:rPr>
  </w:style>
  <w:style w:type="paragraph" w:customStyle="1" w:styleId="Style1">
    <w:name w:val="Style1"/>
    <w:basedOn w:val="Normal"/>
    <w:rsid w:val="00A27219"/>
    <w:pPr>
      <w:numPr>
        <w:numId w:val="24"/>
      </w:numPr>
      <w:spacing w:after="100"/>
      <w:jc w:val="both"/>
    </w:pPr>
    <w:rPr>
      <w:rFonts w:eastAsia="Arial Unicode MS" w:cs="Arial Unicode MS"/>
      <w:color w:val="000000"/>
      <w:szCs w:val="19"/>
      <w:u w:color="000000"/>
      <w:lang w:eastAsia="en-GB"/>
    </w:rPr>
  </w:style>
  <w:style w:type="paragraph" w:customStyle="1" w:styleId="Style3">
    <w:name w:val="Style3"/>
    <w:basedOn w:val="Style1"/>
    <w:rsid w:val="00A27219"/>
    <w:pPr>
      <w:numPr>
        <w:ilvl w:val="1"/>
      </w:numPr>
    </w:pPr>
    <w:rPr>
      <w:rFonts w:ascii="Times" w:hAnsi="Times" w:cs="Times"/>
    </w:rPr>
  </w:style>
  <w:style w:type="paragraph" w:customStyle="1" w:styleId="IEHeading">
    <w:name w:val="IE Heading"/>
    <w:basedOn w:val="Normal"/>
    <w:next w:val="IEText"/>
    <w:qFormat/>
    <w:rsid w:val="00A27219"/>
    <w:pPr>
      <w:keepNext/>
      <w:pBdr>
        <w:top w:val="single" w:sz="4" w:space="5" w:color="auto"/>
        <w:left w:val="single" w:sz="4" w:space="4" w:color="auto"/>
        <w:bottom w:val="single" w:sz="4" w:space="7" w:color="auto"/>
        <w:right w:val="single" w:sz="4" w:space="4" w:color="auto"/>
        <w:between w:val="single" w:sz="4" w:space="5" w:color="auto"/>
      </w:pBdr>
      <w:spacing w:after="60"/>
      <w:ind w:left="782"/>
      <w:jc w:val="both"/>
    </w:pPr>
    <w:rPr>
      <w:b/>
      <w:szCs w:val="20"/>
    </w:rPr>
  </w:style>
  <w:style w:type="paragraph" w:customStyle="1" w:styleId="JournalEntry">
    <w:name w:val="Journal Entry"/>
    <w:basedOn w:val="IEText"/>
    <w:rsid w:val="00A27219"/>
    <w:pPr>
      <w:keepNext/>
      <w:pBdr>
        <w:top w:val="none" w:sz="0" w:space="0" w:color="auto"/>
        <w:bottom w:val="none" w:sz="0" w:space="0" w:color="auto"/>
      </w:pBdr>
      <w:tabs>
        <w:tab w:val="left" w:pos="1134"/>
        <w:tab w:val="left" w:pos="1701"/>
        <w:tab w:val="right" w:pos="6804"/>
        <w:tab w:val="right" w:pos="8505"/>
      </w:tabs>
      <w:spacing w:after="0"/>
    </w:pPr>
    <w:rPr>
      <w:szCs w:val="19"/>
    </w:rPr>
  </w:style>
  <w:style w:type="paragraph" w:customStyle="1" w:styleId="JournalLastEntry">
    <w:name w:val="Journal Last Entry"/>
    <w:basedOn w:val="IEText"/>
    <w:rsid w:val="00A27219"/>
    <w:pPr>
      <w:pBdr>
        <w:top w:val="none" w:sz="0" w:space="0" w:color="auto"/>
        <w:bottom w:val="none" w:sz="0" w:space="0" w:color="auto"/>
      </w:pBdr>
      <w:tabs>
        <w:tab w:val="left" w:pos="1701"/>
        <w:tab w:val="right" w:pos="6804"/>
        <w:tab w:val="right" w:pos="8505"/>
      </w:tabs>
    </w:pPr>
  </w:style>
  <w:style w:type="paragraph" w:customStyle="1" w:styleId="JournalHeading">
    <w:name w:val="Journal Heading"/>
    <w:basedOn w:val="IEText"/>
    <w:rsid w:val="00A27219"/>
    <w:pPr>
      <w:keepNext/>
      <w:pBdr>
        <w:top w:val="none" w:sz="0" w:space="0" w:color="auto"/>
        <w:bottom w:val="none" w:sz="0" w:space="0" w:color="auto"/>
      </w:pBdr>
      <w:tabs>
        <w:tab w:val="left" w:pos="1134"/>
        <w:tab w:val="right" w:pos="6804"/>
        <w:tab w:val="right" w:pos="8505"/>
      </w:tabs>
    </w:pPr>
    <w:rPr>
      <w:b/>
      <w:szCs w:val="19"/>
    </w:rPr>
  </w:style>
  <w:style w:type="paragraph" w:customStyle="1" w:styleId="IGpara1">
    <w:name w:val="IG para 1"/>
    <w:basedOn w:val="Normal"/>
    <w:uiPriority w:val="9"/>
    <w:qFormat/>
    <w:rsid w:val="00A27219"/>
    <w:pPr>
      <w:numPr>
        <w:numId w:val="27"/>
      </w:numPr>
      <w:spacing w:after="100"/>
      <w:jc w:val="both"/>
    </w:pPr>
    <w:rPr>
      <w:szCs w:val="19"/>
    </w:rPr>
  </w:style>
  <w:style w:type="paragraph" w:customStyle="1" w:styleId="HeaderFooter">
    <w:name w:val="Header &amp; Footer"/>
    <w:rsid w:val="00A27219"/>
    <w:pPr>
      <w:tabs>
        <w:tab w:val="right" w:pos="9020"/>
      </w:tabs>
      <w:spacing w:after="0" w:line="240" w:lineRule="auto"/>
    </w:pPr>
    <w:rPr>
      <w:rFonts w:ascii="Helvetica Neue" w:eastAsia="Arial Unicode MS" w:hAnsi="Helvetica Neue" w:cs="Arial Unicode MS"/>
      <w:color w:val="000000"/>
      <w:sz w:val="24"/>
      <w:szCs w:val="24"/>
    </w:rPr>
  </w:style>
  <w:style w:type="paragraph" w:styleId="BodyText">
    <w:name w:val="Body Text"/>
    <w:basedOn w:val="Normal"/>
    <w:link w:val="BodyTextChar"/>
    <w:unhideWhenUsed/>
    <w:rsid w:val="00A27219"/>
    <w:pPr>
      <w:spacing w:after="120"/>
      <w:jc w:val="both"/>
    </w:pPr>
    <w:rPr>
      <w:szCs w:val="20"/>
    </w:rPr>
  </w:style>
  <w:style w:type="character" w:customStyle="1" w:styleId="BodyTextChar">
    <w:name w:val="Body Text Char"/>
    <w:basedOn w:val="DefaultParagraphFont"/>
    <w:link w:val="BodyText"/>
    <w:rsid w:val="00A27219"/>
    <w:rPr>
      <w:sz w:val="19"/>
      <w:szCs w:val="20"/>
      <w:lang w:val="en-AU" w:eastAsia="en-US"/>
    </w:rPr>
  </w:style>
  <w:style w:type="character" w:customStyle="1" w:styleId="NoNumPlain1Char">
    <w:name w:val="NoNum Plain1 Char"/>
    <w:link w:val="NoNumPlain1"/>
    <w:uiPriority w:val="2"/>
    <w:rsid w:val="00B14EFE"/>
    <w:rPr>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701">
      <w:bodyDiv w:val="1"/>
      <w:marLeft w:val="0"/>
      <w:marRight w:val="0"/>
      <w:marTop w:val="0"/>
      <w:marBottom w:val="0"/>
      <w:divBdr>
        <w:top w:val="none" w:sz="0" w:space="0" w:color="auto"/>
        <w:left w:val="none" w:sz="0" w:space="0" w:color="auto"/>
        <w:bottom w:val="none" w:sz="0" w:space="0" w:color="auto"/>
        <w:right w:val="none" w:sz="0" w:space="0" w:color="auto"/>
      </w:divBdr>
    </w:div>
    <w:div w:id="488637729">
      <w:bodyDiv w:val="1"/>
      <w:marLeft w:val="0"/>
      <w:marRight w:val="0"/>
      <w:marTop w:val="0"/>
      <w:marBottom w:val="0"/>
      <w:divBdr>
        <w:top w:val="none" w:sz="0" w:space="0" w:color="auto"/>
        <w:left w:val="none" w:sz="0" w:space="0" w:color="auto"/>
        <w:bottom w:val="none" w:sz="0" w:space="0" w:color="auto"/>
        <w:right w:val="none" w:sz="0" w:space="0" w:color="auto"/>
      </w:divBdr>
    </w:div>
    <w:div w:id="735132064">
      <w:bodyDiv w:val="1"/>
      <w:marLeft w:val="0"/>
      <w:marRight w:val="0"/>
      <w:marTop w:val="0"/>
      <w:marBottom w:val="0"/>
      <w:divBdr>
        <w:top w:val="none" w:sz="0" w:space="0" w:color="auto"/>
        <w:left w:val="none" w:sz="0" w:space="0" w:color="auto"/>
        <w:bottom w:val="none" w:sz="0" w:space="0" w:color="auto"/>
        <w:right w:val="none" w:sz="0" w:space="0" w:color="auto"/>
      </w:divBdr>
    </w:div>
    <w:div w:id="989600479">
      <w:bodyDiv w:val="1"/>
      <w:marLeft w:val="0"/>
      <w:marRight w:val="0"/>
      <w:marTop w:val="0"/>
      <w:marBottom w:val="0"/>
      <w:divBdr>
        <w:top w:val="none" w:sz="0" w:space="0" w:color="auto"/>
        <w:left w:val="none" w:sz="0" w:space="0" w:color="auto"/>
        <w:bottom w:val="none" w:sz="0" w:space="0" w:color="auto"/>
        <w:right w:val="none" w:sz="0" w:space="0" w:color="auto"/>
      </w:divBdr>
    </w:div>
    <w:div w:id="1846744964">
      <w:bodyDiv w:val="1"/>
      <w:marLeft w:val="0"/>
      <w:marRight w:val="0"/>
      <w:marTop w:val="0"/>
      <w:marBottom w:val="0"/>
      <w:divBdr>
        <w:top w:val="none" w:sz="0" w:space="0" w:color="auto"/>
        <w:left w:val="none" w:sz="0" w:space="0" w:color="auto"/>
        <w:bottom w:val="none" w:sz="0" w:space="0" w:color="auto"/>
        <w:right w:val="none" w:sz="0" w:space="0" w:color="auto"/>
      </w:divBdr>
    </w:div>
    <w:div w:id="20005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B311C59-CC62-41E9-A535-CA6C675347B0}"/>
      </w:docPartPr>
      <w:docPartBody>
        <w:p w:rsidR="000546D3" w:rsidRDefault="00646399">
          <w:r w:rsidRPr="003C2B1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Neue">
    <w:altName w:val="Times New Roman"/>
    <w:charset w:val="00"/>
    <w:family w:val="auto"/>
    <w:pitch w:val="variable"/>
    <w:sig w:usb0="E50002FF" w:usb1="500079DB" w:usb2="0000001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99"/>
    <w:rsid w:val="000420C9"/>
    <w:rsid w:val="000546D3"/>
    <w:rsid w:val="0016393D"/>
    <w:rsid w:val="00260C5F"/>
    <w:rsid w:val="0026196F"/>
    <w:rsid w:val="00463D04"/>
    <w:rsid w:val="005936DA"/>
    <w:rsid w:val="00642E8E"/>
    <w:rsid w:val="00646399"/>
    <w:rsid w:val="00740029"/>
    <w:rsid w:val="007B1A5F"/>
    <w:rsid w:val="00865C8A"/>
    <w:rsid w:val="00886063"/>
    <w:rsid w:val="008E2E19"/>
    <w:rsid w:val="009A3E63"/>
    <w:rsid w:val="00BE122F"/>
    <w:rsid w:val="00D52E1D"/>
    <w:rsid w:val="00EB32BB"/>
    <w:rsid w:val="00FA62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3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6A23-BE0B-4B8B-A61B-6E2F66EC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76</Pages>
  <Words>34836</Words>
  <Characters>184244</Characters>
  <Application>Microsoft Office Word</Application>
  <DocSecurity>0</DocSecurity>
  <Lines>1535</Lines>
  <Paragraphs>437</Paragraphs>
  <ScaleCrop>false</ScaleCrop>
  <HeadingPairs>
    <vt:vector size="2" baseType="variant">
      <vt:variant>
        <vt:lpstr>Title</vt:lpstr>
      </vt:variant>
      <vt:variant>
        <vt:i4>1</vt:i4>
      </vt:variant>
    </vt:vector>
  </HeadingPairs>
  <TitlesOfParts>
    <vt:vector size="1" baseType="lpstr">
      <vt:lpstr>Compiled AASB 16 (Apr 2021)</vt:lpstr>
    </vt:vector>
  </TitlesOfParts>
  <Manager/>
  <Company>IFRS</Company>
  <LinksUpToDate>false</LinksUpToDate>
  <CharactersWithSpaces>218643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16 (Apr 2021)</dc:title>
  <dc:subject/>
  <dc:creator>.</dc:creator>
  <cp:keywords/>
  <dc:description/>
  <cp:lastModifiedBy>Clark Anstis</cp:lastModifiedBy>
  <cp:revision>4</cp:revision>
  <cp:lastPrinted>2021-05-06T06:41:00Z</cp:lastPrinted>
  <dcterms:created xsi:type="dcterms:W3CDTF">2021-02-22T08:06:00Z</dcterms:created>
  <dcterms:modified xsi:type="dcterms:W3CDTF">2021-05-06T06:50:00Z</dcterms:modified>
  <cp:category/>
</cp:coreProperties>
</file>