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342E" w:rsidRDefault="00477FB8">
      <w:pPr>
        <w:pStyle w:val="sop"/>
        <w:spacing w:before="0"/>
        <w:ind w:left="0"/>
        <w:rPr>
          <w:rFonts w:ascii="Arial" w:hAnsi="Arial"/>
        </w:rPr>
      </w:pPr>
      <w:bookmarkStart w:id="0" w:name="_GoBack"/>
      <w:bookmarkEnd w:id="0"/>
      <w:r>
        <w:rPr>
          <w:noProof/>
          <w:lang w:val="en-AU" w:eastAsia="en-AU"/>
        </w:rPr>
        <w:drawing>
          <wp:inline distT="0" distB="0" distL="0" distR="0">
            <wp:extent cx="1752600" cy="939800"/>
            <wp:effectExtent l="0" t="0" r="0" b="0"/>
            <wp:docPr id="1" name="Picture 1"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6E342E" w:rsidRDefault="00477FB8">
      <w:pPr>
        <w:pStyle w:val="Heading1"/>
      </w:pPr>
      <w:r>
        <w:t xml:space="preserve">EXPLANATORY </w:t>
      </w:r>
      <w:r w:rsidR="005A0226">
        <w:t>STATEMENT</w:t>
      </w:r>
    </w:p>
    <w:p w:rsidR="007964CA" w:rsidRPr="00C571F9" w:rsidRDefault="007964CA" w:rsidP="007964CA"/>
    <w:p w:rsidR="004B4682" w:rsidRDefault="007964CA" w:rsidP="007964CA">
      <w:pPr>
        <w:pStyle w:val="Heading1"/>
        <w:rPr>
          <w:caps/>
        </w:rPr>
      </w:pPr>
      <w:r w:rsidRPr="00C571F9">
        <w:rPr>
          <w:caps/>
        </w:rPr>
        <w:t xml:space="preserve">Amendment Statement of Principles concerning </w:t>
      </w:r>
    </w:p>
    <w:p w:rsidR="004B4682" w:rsidRDefault="007964CA" w:rsidP="007964CA">
      <w:pPr>
        <w:pStyle w:val="Heading1"/>
        <w:rPr>
          <w:caps/>
        </w:rPr>
      </w:pPr>
      <w:r w:rsidRPr="007964CA">
        <w:rPr>
          <w:caps/>
        </w:rPr>
        <w:t>aplastic anaemia</w:t>
      </w:r>
      <w:r w:rsidR="00173585">
        <w:rPr>
          <w:caps/>
        </w:rPr>
        <w:t xml:space="preserve"> </w:t>
      </w:r>
    </w:p>
    <w:p w:rsidR="007964CA" w:rsidRPr="00C571F9" w:rsidRDefault="007964CA" w:rsidP="007964CA">
      <w:pPr>
        <w:pStyle w:val="Heading1"/>
      </w:pPr>
      <w:r w:rsidRPr="00C571F9">
        <w:t xml:space="preserve">NO. </w:t>
      </w:r>
      <w:r>
        <w:t>31</w:t>
      </w:r>
      <w:r w:rsidRPr="00C571F9">
        <w:t xml:space="preserve"> OF 2016</w:t>
      </w:r>
    </w:p>
    <w:p w:rsidR="006E342E" w:rsidRDefault="006E342E">
      <w:pPr>
        <w:jc w:val="center"/>
        <w:rPr>
          <w:rFonts w:ascii="Times New Roman" w:hAnsi="Times New Roman"/>
          <w:b/>
        </w:rPr>
      </w:pPr>
    </w:p>
    <w:p w:rsidR="00173585" w:rsidRDefault="00173585" w:rsidP="00173585">
      <w:pPr>
        <w:jc w:val="center"/>
        <w:rPr>
          <w:rFonts w:ascii="Times New Roman" w:hAnsi="Times New Roman"/>
          <w:b/>
          <w:i/>
        </w:rPr>
      </w:pPr>
      <w:r>
        <w:rPr>
          <w:rFonts w:ascii="Times New Roman" w:hAnsi="Times New Roman"/>
          <w:b/>
          <w:i/>
        </w:rPr>
        <w:t>VETERANS’ ENTITLEMENTS ACT 1986</w:t>
      </w:r>
    </w:p>
    <w:p w:rsidR="00173585" w:rsidRDefault="00173585" w:rsidP="00173585">
      <w:pPr>
        <w:jc w:val="center"/>
        <w:rPr>
          <w:rFonts w:ascii="Times New Roman" w:hAnsi="Times New Roman"/>
          <w:b/>
          <w:i/>
        </w:rPr>
      </w:pPr>
      <w:r>
        <w:rPr>
          <w:rFonts w:ascii="Times New Roman" w:hAnsi="Times New Roman"/>
          <w:b/>
          <w:i/>
        </w:rPr>
        <w:t>MILITARY REHABILITATION AND COMPENSATION ACT 2004</w:t>
      </w:r>
    </w:p>
    <w:p w:rsidR="00173585" w:rsidRDefault="00173585">
      <w:pPr>
        <w:jc w:val="center"/>
        <w:rPr>
          <w:rFonts w:ascii="Times New Roman" w:hAnsi="Times New Roman"/>
          <w:b/>
        </w:rPr>
      </w:pPr>
    </w:p>
    <w:p w:rsidR="007964CA" w:rsidRDefault="007964CA" w:rsidP="007964CA">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This is the Explanatory Statement to the </w:t>
      </w:r>
      <w:r w:rsidRPr="00C571F9">
        <w:rPr>
          <w:rFonts w:ascii="Times New Roman" w:hAnsi="Times New Roman"/>
          <w:i/>
        </w:rPr>
        <w:t xml:space="preserve">Amendment Statement of Principles concerning </w:t>
      </w:r>
      <w:r w:rsidRPr="007964CA">
        <w:rPr>
          <w:rFonts w:ascii="Times New Roman" w:hAnsi="Times New Roman"/>
          <w:b/>
          <w:i/>
        </w:rPr>
        <w:t>aplastic anaemia</w:t>
      </w:r>
      <w:r>
        <w:rPr>
          <w:rFonts w:ascii="Times New Roman" w:hAnsi="Times New Roman"/>
        </w:rPr>
        <w:t xml:space="preserve"> No. 31 of 2016.</w:t>
      </w:r>
    </w:p>
    <w:p w:rsidR="007964CA" w:rsidRDefault="007964CA" w:rsidP="007964CA">
      <w:pPr>
        <w:spacing w:after="120"/>
        <w:ind w:left="567"/>
        <w:jc w:val="both"/>
        <w:rPr>
          <w:rFonts w:ascii="Times New Roman" w:hAnsi="Times New Roman"/>
        </w:rPr>
      </w:pPr>
      <w:r w:rsidRPr="00C571F9">
        <w:rPr>
          <w:rFonts w:ascii="Times New Roman" w:hAnsi="Times New Roman"/>
          <w:b/>
        </w:rPr>
        <w:t>Background</w:t>
      </w:r>
    </w:p>
    <w:p w:rsidR="006E342E" w:rsidRDefault="00477FB8">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The Repatriation Medical Authority (the Authority) has determined, under subsection</w:t>
      </w:r>
      <w:r w:rsidR="00696F2C">
        <w:rPr>
          <w:rFonts w:ascii="Times New Roman" w:hAnsi="Times New Roman"/>
        </w:rPr>
        <w:t>s</w:t>
      </w:r>
      <w:r>
        <w:rPr>
          <w:rFonts w:ascii="Times New Roman" w:hAnsi="Times New Roman"/>
        </w:rPr>
        <w:t xml:space="preserve"> 196B(2) </w:t>
      </w:r>
      <w:r w:rsidR="00131371">
        <w:rPr>
          <w:rFonts w:ascii="Times New Roman" w:hAnsi="Times New Roman"/>
        </w:rPr>
        <w:t>and</w:t>
      </w:r>
      <w:r>
        <w:rPr>
          <w:rFonts w:ascii="Times New Roman" w:hAnsi="Times New Roman"/>
        </w:rPr>
        <w:t xml:space="preserve"> (8) of the </w:t>
      </w:r>
      <w:r>
        <w:rPr>
          <w:rFonts w:ascii="Times New Roman" w:hAnsi="Times New Roman"/>
          <w:i/>
        </w:rPr>
        <w:t>Veterans’ Entitlements Act 1986</w:t>
      </w:r>
      <w:r>
        <w:rPr>
          <w:rFonts w:ascii="Times New Roman" w:hAnsi="Times New Roman"/>
        </w:rPr>
        <w:t xml:space="preserve"> (the VEA) </w:t>
      </w:r>
      <w:r w:rsidR="00AB7114">
        <w:rPr>
          <w:rFonts w:ascii="Times New Roman" w:hAnsi="Times New Roman"/>
        </w:rPr>
        <w:t xml:space="preserve">Amendment Statement of </w:t>
      </w:r>
      <w:r w:rsidR="00AB7114" w:rsidRPr="00F7154B">
        <w:rPr>
          <w:rFonts w:ascii="Times New Roman" w:hAnsi="Times New Roman"/>
        </w:rPr>
        <w:t xml:space="preserve">Principles concerning </w:t>
      </w:r>
      <w:r w:rsidR="003741B2">
        <w:rPr>
          <w:rFonts w:ascii="Times New Roman" w:hAnsi="Times New Roman"/>
          <w:b/>
        </w:rPr>
        <w:t>aplastic anaemia</w:t>
      </w:r>
      <w:r w:rsidR="00F7154B" w:rsidRPr="00F7154B">
        <w:rPr>
          <w:rFonts w:ascii="Times New Roman" w:hAnsi="Times New Roman"/>
        </w:rPr>
        <w:t xml:space="preserve"> </w:t>
      </w:r>
      <w:r w:rsidR="00AB7114" w:rsidRPr="00F7154B">
        <w:rPr>
          <w:rFonts w:ascii="Times New Roman" w:hAnsi="Times New Roman"/>
        </w:rPr>
        <w:t>No</w:t>
      </w:r>
      <w:r w:rsidR="00AB7114">
        <w:rPr>
          <w:rFonts w:ascii="Times New Roman" w:hAnsi="Times New Roman"/>
        </w:rPr>
        <w:t xml:space="preserve">. </w:t>
      </w:r>
      <w:r w:rsidR="00696F2C">
        <w:rPr>
          <w:rFonts w:ascii="Times New Roman" w:hAnsi="Times New Roman"/>
        </w:rPr>
        <w:t>31</w:t>
      </w:r>
      <w:r w:rsidR="00AB7114">
        <w:rPr>
          <w:rFonts w:ascii="Times New Roman" w:hAnsi="Times New Roman"/>
        </w:rPr>
        <w:t xml:space="preserve"> of </w:t>
      </w:r>
      <w:r w:rsidR="003741B2">
        <w:rPr>
          <w:rFonts w:ascii="Times New Roman" w:hAnsi="Times New Roman"/>
        </w:rPr>
        <w:t>2016</w:t>
      </w:r>
      <w:r w:rsidR="00AB7114">
        <w:rPr>
          <w:rFonts w:ascii="Times New Roman" w:hAnsi="Times New Roman"/>
        </w:rPr>
        <w:t>.</w:t>
      </w:r>
    </w:p>
    <w:p w:rsidR="006E342E" w:rsidRDefault="00477FB8">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This Instrument amends </w:t>
      </w:r>
      <w:r w:rsidR="003C02B4">
        <w:rPr>
          <w:rFonts w:ascii="Times New Roman" w:hAnsi="Times New Roman"/>
        </w:rPr>
        <w:t xml:space="preserve">Statement of Principles concerning </w:t>
      </w:r>
      <w:r w:rsidR="003741B2">
        <w:rPr>
          <w:rFonts w:ascii="Times New Roman" w:hAnsi="Times New Roman"/>
          <w:b/>
        </w:rPr>
        <w:t>aplastic anaemia</w:t>
      </w:r>
      <w:r w:rsidR="003C02B4">
        <w:rPr>
          <w:rFonts w:ascii="Times New Roman" w:hAnsi="Times New Roman"/>
        </w:rPr>
        <w:t xml:space="preserve"> No. </w:t>
      </w:r>
      <w:r w:rsidR="003741B2">
        <w:rPr>
          <w:rFonts w:ascii="Times New Roman" w:hAnsi="Times New Roman"/>
        </w:rPr>
        <w:t>50</w:t>
      </w:r>
      <w:r w:rsidR="003C02B4">
        <w:rPr>
          <w:rFonts w:ascii="Times New Roman" w:hAnsi="Times New Roman"/>
        </w:rPr>
        <w:t xml:space="preserve"> of </w:t>
      </w:r>
      <w:r w:rsidR="003741B2">
        <w:rPr>
          <w:rFonts w:ascii="Times New Roman" w:hAnsi="Times New Roman"/>
        </w:rPr>
        <w:t>2012</w:t>
      </w:r>
      <w:r w:rsidR="00DE563A">
        <w:rPr>
          <w:rFonts w:ascii="Times New Roman" w:hAnsi="Times New Roman"/>
        </w:rPr>
        <w:t xml:space="preserve"> </w:t>
      </w:r>
      <w:r>
        <w:rPr>
          <w:rFonts w:ascii="Times New Roman" w:hAnsi="Times New Roman"/>
        </w:rPr>
        <w:t>by:</w:t>
      </w:r>
    </w:p>
    <w:p w:rsidR="003C02B4" w:rsidRPr="00E47695" w:rsidRDefault="003741B2" w:rsidP="003741B2">
      <w:pPr>
        <w:pStyle w:val="ListParagraph"/>
        <w:numPr>
          <w:ilvl w:val="0"/>
          <w:numId w:val="30"/>
        </w:numPr>
        <w:ind w:left="993" w:hanging="426"/>
        <w:jc w:val="both"/>
        <w:rPr>
          <w:rFonts w:ascii="Times New Roman" w:hAnsi="Times New Roman"/>
        </w:rPr>
      </w:pPr>
      <w:r>
        <w:rPr>
          <w:rFonts w:ascii="Times New Roman" w:hAnsi="Times New Roman"/>
        </w:rPr>
        <w:t xml:space="preserve">replacing </w:t>
      </w:r>
      <w:r w:rsidR="003A01D7">
        <w:rPr>
          <w:rFonts w:ascii="Times New Roman" w:hAnsi="Times New Roman"/>
        </w:rPr>
        <w:t xml:space="preserve">existing </w:t>
      </w:r>
      <w:r w:rsidR="003C02B4" w:rsidRPr="00E47695">
        <w:rPr>
          <w:rFonts w:ascii="Times New Roman" w:hAnsi="Times New Roman"/>
        </w:rPr>
        <w:t xml:space="preserve">factor </w:t>
      </w:r>
      <w:r>
        <w:rPr>
          <w:rFonts w:ascii="Times New Roman" w:hAnsi="Times New Roman"/>
        </w:rPr>
        <w:t xml:space="preserve">(g) </w:t>
      </w:r>
      <w:r w:rsidR="00CE49C7">
        <w:rPr>
          <w:rFonts w:ascii="Times New Roman" w:hAnsi="Times New Roman"/>
        </w:rPr>
        <w:t xml:space="preserve">in clause 6 </w:t>
      </w:r>
      <w:r w:rsidR="003C02B4" w:rsidRPr="00E47695">
        <w:rPr>
          <w:rFonts w:ascii="Times New Roman" w:hAnsi="Times New Roman"/>
        </w:rPr>
        <w:t>concerning</w:t>
      </w:r>
      <w:r w:rsidR="003C02B4" w:rsidRPr="00E47695">
        <w:rPr>
          <w:rFonts w:ascii="Times New Roman" w:hAnsi="Times New Roman"/>
          <w:szCs w:val="24"/>
        </w:rPr>
        <w:t xml:space="preserve"> '</w:t>
      </w:r>
      <w:r w:rsidR="006E6AA8">
        <w:rPr>
          <w:rFonts w:ascii="Times New Roman" w:hAnsi="Times New Roman"/>
          <w:szCs w:val="24"/>
        </w:rPr>
        <w:t xml:space="preserve">being exposed to </w:t>
      </w:r>
      <w:r>
        <w:rPr>
          <w:rFonts w:ascii="Times New Roman" w:hAnsi="Times New Roman"/>
          <w:szCs w:val="24"/>
        </w:rPr>
        <w:t>benzene</w:t>
      </w:r>
      <w:r w:rsidR="003C02B4" w:rsidRPr="00E47695">
        <w:rPr>
          <w:rFonts w:ascii="Times New Roman" w:hAnsi="Times New Roman"/>
          <w:szCs w:val="24"/>
        </w:rPr>
        <w:t>'</w:t>
      </w:r>
      <w:r w:rsidR="003C02B4" w:rsidRPr="00E47695">
        <w:rPr>
          <w:rFonts w:ascii="Times New Roman" w:hAnsi="Times New Roman"/>
        </w:rPr>
        <w:t>;</w:t>
      </w:r>
      <w:r>
        <w:rPr>
          <w:rFonts w:ascii="Times New Roman" w:hAnsi="Times New Roman"/>
        </w:rPr>
        <w:t xml:space="preserve"> and</w:t>
      </w:r>
    </w:p>
    <w:p w:rsidR="003741B2" w:rsidRPr="003741B2" w:rsidRDefault="003741B2" w:rsidP="003741B2">
      <w:pPr>
        <w:pStyle w:val="ListParagraph"/>
        <w:numPr>
          <w:ilvl w:val="0"/>
          <w:numId w:val="30"/>
        </w:numPr>
        <w:spacing w:after="120"/>
        <w:ind w:left="993" w:hanging="426"/>
        <w:jc w:val="both"/>
        <w:rPr>
          <w:rFonts w:ascii="Times New Roman" w:hAnsi="Times New Roman"/>
          <w:b/>
        </w:rPr>
      </w:pPr>
      <w:r w:rsidRPr="003741B2">
        <w:rPr>
          <w:rFonts w:ascii="Times New Roman" w:hAnsi="Times New Roman"/>
        </w:rPr>
        <w:t xml:space="preserve">replacing the definition of </w:t>
      </w:r>
      <w:r>
        <w:rPr>
          <w:rFonts w:ascii="Times New Roman" w:hAnsi="Times New Roman"/>
        </w:rPr>
        <w:t>'</w:t>
      </w:r>
      <w:r w:rsidRPr="003741B2">
        <w:rPr>
          <w:rFonts w:ascii="Times New Roman" w:hAnsi="Times New Roman"/>
        </w:rPr>
        <w:t>being exposed to benzene</w:t>
      </w:r>
      <w:r>
        <w:rPr>
          <w:rFonts w:ascii="Times New Roman" w:hAnsi="Times New Roman"/>
        </w:rPr>
        <w:t>'</w:t>
      </w:r>
      <w:r w:rsidRPr="003741B2">
        <w:rPr>
          <w:rFonts w:ascii="Times New Roman" w:hAnsi="Times New Roman"/>
        </w:rPr>
        <w:t xml:space="preserve"> in clause 9 with the definition of </w:t>
      </w:r>
      <w:r>
        <w:rPr>
          <w:rFonts w:ascii="Times New Roman" w:hAnsi="Times New Roman"/>
        </w:rPr>
        <w:t>'</w:t>
      </w:r>
      <w:r w:rsidRPr="003741B2">
        <w:rPr>
          <w:rFonts w:ascii="Times New Roman" w:hAnsi="Times New Roman"/>
        </w:rPr>
        <w:t>being exposed to benzene as specified</w:t>
      </w:r>
      <w:r>
        <w:rPr>
          <w:rFonts w:ascii="Times New Roman" w:hAnsi="Times New Roman"/>
        </w:rPr>
        <w:t>'</w:t>
      </w:r>
      <w:r w:rsidRPr="003741B2">
        <w:rPr>
          <w:rFonts w:ascii="Times New Roman" w:hAnsi="Times New Roman"/>
        </w:rPr>
        <w:t>.</w:t>
      </w:r>
    </w:p>
    <w:p w:rsidR="00835635" w:rsidRDefault="00835635" w:rsidP="00835635">
      <w:pPr>
        <w:spacing w:after="120"/>
        <w:ind w:left="567"/>
        <w:jc w:val="both"/>
        <w:rPr>
          <w:rFonts w:ascii="Times New Roman" w:hAnsi="Times New Roman"/>
        </w:rPr>
      </w:pPr>
      <w:r>
        <w:rPr>
          <w:rFonts w:ascii="Times New Roman" w:hAnsi="Times New Roman"/>
          <w:b/>
        </w:rPr>
        <w:t xml:space="preserve">Day of </w:t>
      </w:r>
      <w:r w:rsidRPr="00051A01">
        <w:rPr>
          <w:rFonts w:ascii="Times New Roman" w:hAnsi="Times New Roman"/>
          <w:b/>
        </w:rPr>
        <w:t>Commenc</w:t>
      </w:r>
      <w:r>
        <w:rPr>
          <w:rFonts w:ascii="Times New Roman" w:hAnsi="Times New Roman"/>
          <w:b/>
        </w:rPr>
        <w:t>ement</w:t>
      </w:r>
    </w:p>
    <w:p w:rsidR="006E342E" w:rsidRDefault="00477FB8">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This Instrument also specifies a da</w:t>
      </w:r>
      <w:r w:rsidR="00835635">
        <w:rPr>
          <w:rFonts w:ascii="Times New Roman" w:hAnsi="Times New Roman"/>
        </w:rPr>
        <w:t>y</w:t>
      </w:r>
      <w:r>
        <w:rPr>
          <w:rFonts w:ascii="Times New Roman" w:hAnsi="Times New Roman"/>
        </w:rPr>
        <w:t xml:space="preserve"> of </w:t>
      </w:r>
      <w:r w:rsidR="00835635">
        <w:rPr>
          <w:rFonts w:ascii="Times New Roman" w:hAnsi="Times New Roman"/>
        </w:rPr>
        <w:t>commencement</w:t>
      </w:r>
      <w:r>
        <w:rPr>
          <w:rFonts w:ascii="Times New Roman" w:hAnsi="Times New Roman"/>
        </w:rPr>
        <w:t xml:space="preserve"> for the amendment in accordance with subsection 12(1)(a) of the </w:t>
      </w:r>
      <w:r w:rsidR="000225F8">
        <w:rPr>
          <w:rFonts w:ascii="Times New Roman" w:hAnsi="Times New Roman"/>
          <w:i/>
        </w:rPr>
        <w:t>Legislative Instruments Act 2003</w:t>
      </w:r>
      <w:r>
        <w:rPr>
          <w:rFonts w:ascii="Times New Roman" w:hAnsi="Times New Roman"/>
        </w:rPr>
        <w:t>.</w:t>
      </w:r>
    </w:p>
    <w:p w:rsidR="00835635" w:rsidRDefault="00835635" w:rsidP="00835635">
      <w:pPr>
        <w:spacing w:after="120"/>
        <w:ind w:left="567"/>
        <w:jc w:val="both"/>
        <w:rPr>
          <w:rFonts w:ascii="Times New Roman" w:hAnsi="Times New Roman"/>
        </w:rPr>
      </w:pPr>
      <w:r w:rsidRPr="00051A01">
        <w:rPr>
          <w:rFonts w:ascii="Times New Roman" w:hAnsi="Times New Roman"/>
          <w:b/>
        </w:rPr>
        <w:t>Consultation</w:t>
      </w:r>
    </w:p>
    <w:p w:rsidR="006E342E" w:rsidRDefault="00CE49C7">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Prior to determining this Instrument, the Authority advertised its intention to undertake an investigation in relation to the definition of </w:t>
      </w:r>
      <w:r w:rsidR="006E6AA8" w:rsidRPr="00E47695">
        <w:rPr>
          <w:rFonts w:ascii="Times New Roman" w:hAnsi="Times New Roman"/>
          <w:szCs w:val="24"/>
        </w:rPr>
        <w:t>'</w:t>
      </w:r>
      <w:r>
        <w:rPr>
          <w:rFonts w:ascii="Times New Roman" w:hAnsi="Times New Roman"/>
        </w:rPr>
        <w:t>being exposed to benzene</w:t>
      </w:r>
      <w:r w:rsidR="006E6AA8" w:rsidRPr="00E47695">
        <w:rPr>
          <w:rFonts w:ascii="Times New Roman" w:hAnsi="Times New Roman"/>
          <w:szCs w:val="24"/>
        </w:rPr>
        <w:t>'</w:t>
      </w:r>
      <w:r>
        <w:rPr>
          <w:rFonts w:ascii="Times New Roman" w:hAnsi="Times New Roman"/>
        </w:rPr>
        <w:t xml:space="preserve"> in aplastic anaemia in the Government Notices Gazette of 1 September 2015.  This investigation was broadened to benzene and re-advertised in the Government Notices Gazette of 9 December 2015.  Copies of the notices of intention to investigate were circulated to a wide range of organisations representing veterans, service personnel and their dependants.  The Authority invited submissions from the Repatriation Commission, organisations and persons referred to in section 196E of the VEA, and any person having expertise in the field.  Three submissions were received for consideration by the Authority during the investigation.</w:t>
      </w:r>
    </w:p>
    <w:p w:rsidR="00835635" w:rsidRDefault="00835635" w:rsidP="00326904">
      <w:pPr>
        <w:keepNext/>
        <w:spacing w:after="120"/>
        <w:ind w:left="567"/>
        <w:jc w:val="both"/>
        <w:rPr>
          <w:rFonts w:ascii="Times New Roman" w:hAnsi="Times New Roman"/>
        </w:rPr>
      </w:pPr>
      <w:r w:rsidRPr="00051A01">
        <w:rPr>
          <w:rFonts w:ascii="Times New Roman" w:hAnsi="Times New Roman"/>
          <w:b/>
        </w:rPr>
        <w:t>Human Rights</w:t>
      </w:r>
    </w:p>
    <w:p w:rsidR="006E342E" w:rsidRDefault="00477FB8">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This instrument is compatible with the Human Rights and Freedoms recognised or declared in the International Instruments listed in Section 3 of the </w:t>
      </w:r>
      <w:r>
        <w:rPr>
          <w:rFonts w:ascii="Times New Roman" w:hAnsi="Times New Roman"/>
          <w:i/>
        </w:rPr>
        <w:t>Human Rights (Parliamentary Scrutiny) Act 2011</w:t>
      </w:r>
      <w:r>
        <w:rPr>
          <w:rFonts w:ascii="Times New Roman" w:hAnsi="Times New Roman"/>
        </w:rPr>
        <w:t>. A Statement of Compatibility with Human Rights follows.</w:t>
      </w:r>
    </w:p>
    <w:p w:rsidR="00835635" w:rsidRPr="00337342" w:rsidRDefault="00835635" w:rsidP="003A01D7">
      <w:pPr>
        <w:keepNext/>
        <w:spacing w:after="120"/>
        <w:ind w:left="567"/>
        <w:jc w:val="both"/>
        <w:rPr>
          <w:rFonts w:ascii="Times New Roman" w:hAnsi="Times New Roman"/>
        </w:rPr>
      </w:pPr>
      <w:r w:rsidRPr="00337342">
        <w:rPr>
          <w:rFonts w:ascii="Times New Roman" w:hAnsi="Times New Roman"/>
          <w:b/>
        </w:rPr>
        <w:lastRenderedPageBreak/>
        <w:t>Finalisation of Investigation</w:t>
      </w:r>
    </w:p>
    <w:p w:rsidR="006E342E" w:rsidRDefault="00477FB8">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The determining of this Instrument finalises the investigation in relation to </w:t>
      </w:r>
      <w:r w:rsidR="003741B2">
        <w:rPr>
          <w:rFonts w:ascii="Times New Roman" w:hAnsi="Times New Roman"/>
        </w:rPr>
        <w:t>aplastic anaemia</w:t>
      </w:r>
      <w:r>
        <w:rPr>
          <w:rFonts w:ascii="Times New Roman" w:hAnsi="Times New Roman"/>
        </w:rPr>
        <w:t xml:space="preserve"> as advertised in the Government Notices Gazette</w:t>
      </w:r>
      <w:r w:rsidR="003741B2">
        <w:rPr>
          <w:rFonts w:ascii="Times New Roman" w:hAnsi="Times New Roman"/>
        </w:rPr>
        <w:t>s</w:t>
      </w:r>
      <w:r>
        <w:rPr>
          <w:rFonts w:ascii="Times New Roman" w:hAnsi="Times New Roman"/>
        </w:rPr>
        <w:t xml:space="preserve"> of </w:t>
      </w:r>
      <w:r w:rsidR="003741B2">
        <w:rPr>
          <w:rFonts w:ascii="Times New Roman" w:hAnsi="Times New Roman"/>
        </w:rPr>
        <w:t>1 September 2015 and 9 December 2015</w:t>
      </w:r>
      <w:r>
        <w:rPr>
          <w:rFonts w:ascii="Times New Roman" w:hAnsi="Times New Roman"/>
        </w:rPr>
        <w:t>.</w:t>
      </w:r>
    </w:p>
    <w:p w:rsidR="00835635" w:rsidRDefault="00835635" w:rsidP="00835635">
      <w:pPr>
        <w:spacing w:after="120"/>
        <w:ind w:left="567"/>
        <w:jc w:val="both"/>
        <w:rPr>
          <w:rFonts w:ascii="Times New Roman" w:hAnsi="Times New Roman"/>
        </w:rPr>
      </w:pPr>
      <w:r w:rsidRPr="005C0158">
        <w:rPr>
          <w:rFonts w:ascii="Times New Roman" w:hAnsi="Times New Roman"/>
          <w:b/>
        </w:rPr>
        <w:t>References</w:t>
      </w:r>
    </w:p>
    <w:p w:rsidR="006E342E" w:rsidRDefault="00477FB8">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A list of references relating to the above condition is available to any person or organisation referred to in subsection 196E(1)(a) to (c) of the VEA.  Any such request must be made in writing to the Repatriation Medical Authority at the following address:</w:t>
      </w:r>
    </w:p>
    <w:p w:rsidR="006E342E" w:rsidRDefault="00477FB8">
      <w:pPr>
        <w:pStyle w:val="BodyText"/>
        <w:ind w:left="2880"/>
      </w:pPr>
      <w:r>
        <w:t>The Registrar</w:t>
      </w:r>
    </w:p>
    <w:p w:rsidR="006E342E" w:rsidRDefault="00477FB8">
      <w:pPr>
        <w:pStyle w:val="BodyText"/>
        <w:ind w:left="2880"/>
      </w:pPr>
      <w:r>
        <w:t xml:space="preserve">Repatriation Medical Authority </w:t>
      </w:r>
    </w:p>
    <w:p w:rsidR="006E342E" w:rsidRDefault="00477FB8">
      <w:pPr>
        <w:pStyle w:val="BodyText"/>
        <w:ind w:left="2880"/>
      </w:pPr>
      <w:r>
        <w:t xml:space="preserve">GPO </w:t>
      </w:r>
      <w:smartTag w:uri="urn:schemas-microsoft-com:office:smarttags" w:element="address">
        <w:smartTag w:uri="urn:schemas-microsoft-com:office:smarttags" w:element="Street">
          <w:r>
            <w:t>Box</w:t>
          </w:r>
        </w:smartTag>
        <w:r>
          <w:t xml:space="preserve"> 1014</w:t>
        </w:r>
      </w:smartTag>
    </w:p>
    <w:p w:rsidR="006E342E" w:rsidRDefault="00477FB8">
      <w:pPr>
        <w:pStyle w:val="BodyText"/>
        <w:ind w:left="2880"/>
        <w:jc w:val="left"/>
      </w:pPr>
      <w:smartTag w:uri="urn:schemas-microsoft-com:office:smarttags" w:element="place">
        <w:smartTag w:uri="urn:schemas-microsoft-com:office:smarttags" w:element="City">
          <w:r>
            <w:t>BRISBANE</w:t>
          </w:r>
        </w:smartTag>
      </w:smartTag>
      <w:r>
        <w:t xml:space="preserve">    QLD    4001</w:t>
      </w:r>
    </w:p>
    <w:p w:rsidR="006E342E" w:rsidRDefault="006E342E">
      <w:pPr>
        <w:pStyle w:val="BodyText"/>
        <w:ind w:left="2880"/>
        <w:jc w:val="left"/>
      </w:pPr>
    </w:p>
    <w:p w:rsidR="006E342E" w:rsidRDefault="00477FB8">
      <w:pPr>
        <w:pStyle w:val="BodyText"/>
        <w:ind w:left="2880"/>
        <w:jc w:val="left"/>
        <w:rPr>
          <w:b/>
          <w:sz w:val="28"/>
          <w:szCs w:val="28"/>
        </w:rPr>
      </w:pPr>
      <w:r>
        <w:br w:type="page"/>
      </w:r>
      <w:bookmarkStart w:id="1" w:name="_Toc290210739"/>
      <w:r>
        <w:rPr>
          <w:noProof/>
          <w:lang w:val="en-AU"/>
        </w:rPr>
        <w:lastRenderedPageBreak/>
        <w:drawing>
          <wp:inline distT="0" distB="0" distL="0" distR="0">
            <wp:extent cx="1752600" cy="93980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6E342E" w:rsidRDefault="00477FB8">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rsidR="006E342E" w:rsidRDefault="00477FB8">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rsidR="006E342E" w:rsidRDefault="006E342E">
      <w:pPr>
        <w:spacing w:before="120" w:after="120"/>
        <w:jc w:val="center"/>
        <w:rPr>
          <w:rFonts w:ascii="Times New Roman" w:hAnsi="Times New Roman"/>
          <w:szCs w:val="24"/>
        </w:rPr>
      </w:pPr>
    </w:p>
    <w:p w:rsidR="006E342E" w:rsidRDefault="00477FB8">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Amendment Statement of Principles No. </w:t>
      </w:r>
      <w:r w:rsidR="00696F2C">
        <w:rPr>
          <w:rFonts w:ascii="Times New Roman" w:hAnsi="Times New Roman"/>
          <w:b/>
          <w:szCs w:val="24"/>
        </w:rPr>
        <w:t>31</w:t>
      </w:r>
      <w:r>
        <w:rPr>
          <w:rFonts w:ascii="Times New Roman" w:hAnsi="Times New Roman"/>
          <w:b/>
          <w:szCs w:val="24"/>
        </w:rPr>
        <w:t xml:space="preserve"> of </w:t>
      </w:r>
      <w:r w:rsidR="003741B2">
        <w:rPr>
          <w:rFonts w:ascii="Times New Roman" w:hAnsi="Times New Roman"/>
          <w:b/>
          <w:szCs w:val="24"/>
        </w:rPr>
        <w:t>2016</w:t>
      </w:r>
    </w:p>
    <w:p w:rsidR="006E342E" w:rsidRDefault="00477FB8">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3741B2">
        <w:rPr>
          <w:rFonts w:ascii="Times New Roman" w:hAnsi="Times New Roman"/>
          <w:b/>
          <w:szCs w:val="24"/>
        </w:rPr>
        <w:t>Aplastic anaemia</w:t>
      </w:r>
    </w:p>
    <w:p w:rsidR="006E342E" w:rsidRDefault="006E342E">
      <w:pPr>
        <w:spacing w:before="120" w:after="120"/>
        <w:jc w:val="both"/>
        <w:rPr>
          <w:rFonts w:ascii="Times New Roman" w:hAnsi="Times New Roman"/>
          <w:szCs w:val="24"/>
        </w:rPr>
      </w:pPr>
    </w:p>
    <w:p w:rsidR="006E342E" w:rsidRDefault="00477FB8">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rsidR="006E342E" w:rsidRDefault="00477FB8">
      <w:pPr>
        <w:spacing w:before="120" w:after="120"/>
        <w:jc w:val="both"/>
        <w:rPr>
          <w:rFonts w:ascii="Times New Roman" w:hAnsi="Times New Roman"/>
          <w:b/>
          <w:szCs w:val="24"/>
        </w:rPr>
      </w:pPr>
      <w:r>
        <w:rPr>
          <w:rFonts w:ascii="Times New Roman" w:hAnsi="Times New Roman"/>
          <w:b/>
          <w:szCs w:val="24"/>
        </w:rPr>
        <w:t>Overview of the Legislative Instrument</w:t>
      </w:r>
    </w:p>
    <w:p w:rsidR="006E342E" w:rsidRDefault="00477FB8">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 xml:space="preserve">This Legislative Instrument is determined pursuant to subsection 196B(8)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sidR="000F01DC">
        <w:rPr>
          <w:rFonts w:ascii="Times New Roman" w:hAnsi="Times New Roman"/>
          <w:szCs w:val="24"/>
        </w:rPr>
        <w:t xml:space="preserve">.  </w:t>
      </w:r>
      <w:r w:rsidR="000F01DC" w:rsidRPr="000F01DC">
        <w:rPr>
          <w:rFonts w:ascii="Times New Roman" w:hAnsi="Times New Roman"/>
          <w:szCs w:val="24"/>
        </w:rPr>
        <w:t>Part XIA of the VEA requires the determination of these instruments outlining the factors linking particular kinds of injury, disease or death with service such being determined solely on the available sound medical-scientific evidence.</w:t>
      </w:r>
      <w:r>
        <w:rPr>
          <w:rFonts w:ascii="Times New Roman" w:hAnsi="Times New Roman"/>
          <w:i/>
          <w:szCs w:val="24"/>
        </w:rPr>
        <w:t xml:space="preserve"> </w:t>
      </w:r>
    </w:p>
    <w:p w:rsidR="006E342E" w:rsidRDefault="00477FB8">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This Legislative Instrument:-</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 xml:space="preserve">facilitates claimants in making, and the Repatriation Commission in assessing, claims under the VEA and the MRCA respectively, by specifying the circumstances in which medical treatment and compensation can be extended to eligible persons who have </w:t>
      </w:r>
      <w:r w:rsidR="003741B2">
        <w:rPr>
          <w:rFonts w:ascii="Times New Roman" w:hAnsi="Times New Roman"/>
          <w:szCs w:val="24"/>
        </w:rPr>
        <w:t>aplastic anaemia</w:t>
      </w:r>
      <w:r>
        <w:rPr>
          <w:rFonts w:ascii="Times New Roman" w:hAnsi="Times New Roman"/>
          <w:szCs w:val="24"/>
        </w:rPr>
        <w:t>;</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facilitates the review of such decisions by the Veterans' Review Board and the Administrative Appeals Tribunal;</w:t>
      </w:r>
    </w:p>
    <w:p w:rsidR="006E342E" w:rsidRDefault="00D254F6">
      <w:pPr>
        <w:numPr>
          <w:ilvl w:val="0"/>
          <w:numId w:val="24"/>
        </w:numPr>
        <w:spacing w:before="120" w:after="120"/>
        <w:jc w:val="both"/>
        <w:rPr>
          <w:rFonts w:ascii="Times New Roman" w:hAnsi="Times New Roman"/>
          <w:szCs w:val="24"/>
        </w:rPr>
      </w:pPr>
      <w:r>
        <w:rPr>
          <w:rFonts w:ascii="Times New Roman" w:hAnsi="Times New Roman"/>
          <w:szCs w:val="24"/>
        </w:rPr>
        <w:t xml:space="preserve">includes a revised </w:t>
      </w:r>
      <w:r w:rsidRPr="003A7C65">
        <w:rPr>
          <w:rFonts w:ascii="Times New Roman" w:hAnsi="Times New Roman"/>
          <w:szCs w:val="24"/>
        </w:rPr>
        <w:t xml:space="preserve">factor </w:t>
      </w:r>
      <w:r w:rsidR="00477FB8">
        <w:rPr>
          <w:rFonts w:ascii="Times New Roman" w:hAnsi="Times New Roman"/>
          <w:szCs w:val="24"/>
        </w:rPr>
        <w:t xml:space="preserve">which the current sound medical-scientific evidence indicates must as a minimum exist, before it can be said that a reasonable hypothesis has been raised, connecting </w:t>
      </w:r>
      <w:r w:rsidR="003741B2">
        <w:rPr>
          <w:rFonts w:ascii="Times New Roman" w:hAnsi="Times New Roman"/>
          <w:szCs w:val="24"/>
        </w:rPr>
        <w:t>aplastic anaemia</w:t>
      </w:r>
      <w:r w:rsidR="00477FB8">
        <w:rPr>
          <w:rFonts w:ascii="Times New Roman" w:hAnsi="Times New Roman"/>
          <w:szCs w:val="24"/>
        </w:rPr>
        <w:t xml:space="preserve"> with the circumstances of eligible service rendered by a person;</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 xml:space="preserve">amends Instrument No. </w:t>
      </w:r>
      <w:r w:rsidR="003741B2">
        <w:rPr>
          <w:rFonts w:ascii="Times New Roman" w:hAnsi="Times New Roman"/>
          <w:szCs w:val="24"/>
        </w:rPr>
        <w:t>50</w:t>
      </w:r>
      <w:r>
        <w:rPr>
          <w:rFonts w:ascii="Times New Roman" w:hAnsi="Times New Roman"/>
          <w:szCs w:val="24"/>
        </w:rPr>
        <w:t xml:space="preserve"> of </w:t>
      </w:r>
      <w:r w:rsidR="003741B2">
        <w:rPr>
          <w:rFonts w:ascii="Times New Roman" w:hAnsi="Times New Roman"/>
          <w:szCs w:val="24"/>
        </w:rPr>
        <w:t>2012</w:t>
      </w:r>
      <w:r>
        <w:rPr>
          <w:rFonts w:ascii="Times New Roman" w:hAnsi="Times New Roman"/>
          <w:szCs w:val="24"/>
        </w:rPr>
        <w:t xml:space="preserve">; and </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 xml:space="preserve">reflects developments in the available sound medical-scientific evidence concerning </w:t>
      </w:r>
      <w:r w:rsidR="003741B2">
        <w:rPr>
          <w:rFonts w:ascii="Times New Roman" w:hAnsi="Times New Roman"/>
          <w:szCs w:val="24"/>
        </w:rPr>
        <w:t>aplastic anaemia</w:t>
      </w:r>
      <w:r>
        <w:rPr>
          <w:rFonts w:ascii="Times New Roman" w:hAnsi="Times New Roman"/>
          <w:szCs w:val="24"/>
        </w:rPr>
        <w:t xml:space="preserve"> which have occurred since that earlier instrument was determined.  </w:t>
      </w:r>
    </w:p>
    <w:p w:rsidR="006E342E" w:rsidRDefault="00477FB8">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rsidR="006E342E" w:rsidRDefault="00477FB8" w:rsidP="000F01DC">
      <w:pPr>
        <w:keepNext/>
        <w:spacing w:before="120" w:after="120"/>
        <w:jc w:val="both"/>
        <w:rPr>
          <w:rFonts w:ascii="Times New Roman" w:hAnsi="Times New Roman"/>
          <w:b/>
          <w:szCs w:val="24"/>
        </w:rPr>
      </w:pPr>
      <w:r>
        <w:rPr>
          <w:rFonts w:ascii="Times New Roman" w:hAnsi="Times New Roman"/>
          <w:b/>
          <w:szCs w:val="24"/>
        </w:rPr>
        <w:t>Human Rights Implications</w:t>
      </w:r>
    </w:p>
    <w:p w:rsidR="006E342E" w:rsidRDefault="00477FB8">
      <w:pPr>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lastRenderedPageBreak/>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the right to an adequate standard of living (Art 11, ICSECR; Art 27, CRC and Art 28, CRPD) by facilitating the assessment and determination of social security benefits;</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 xml:space="preserve">the right to the enjoyment of the highest attainable standard of physical and mental health (Art 12, ICSECR and Art 25, CRPD), by facilitating the assessment and determination of compensation and benefits in relation to the treatment and rehabilitation of veterans and Defence Force members; </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r w:rsidR="000F01DC">
        <w:rPr>
          <w:rFonts w:ascii="Times New Roman" w:hAnsi="Times New Roman"/>
          <w:szCs w:val="24"/>
        </w:rPr>
        <w:t>; and</w:t>
      </w:r>
    </w:p>
    <w:p w:rsidR="000F01DC" w:rsidRDefault="000F01DC" w:rsidP="000F01DC">
      <w:pPr>
        <w:numPr>
          <w:ilvl w:val="0"/>
          <w:numId w:val="24"/>
        </w:numPr>
        <w:spacing w:before="120" w:after="120"/>
        <w:jc w:val="both"/>
        <w:rPr>
          <w:rFonts w:ascii="Times New Roman" w:hAnsi="Times New Roman"/>
          <w:szCs w:val="24"/>
        </w:rPr>
      </w:pPr>
      <w:r w:rsidRPr="000F01DC">
        <w:rPr>
          <w:rFonts w:ascii="Times New Roman" w:hAnsi="Times New Roman"/>
          <w:szCs w:val="24"/>
        </w:rPr>
        <w:t>ensuring that those rights "will be exercised without discrimination of any kind as to race, colour, sex, language, religion, political or other opinion, national or social origin, property, birth or other status" (Art 2, ICESCR).</w:t>
      </w:r>
    </w:p>
    <w:p w:rsidR="006E342E" w:rsidRDefault="00477FB8">
      <w:pPr>
        <w:spacing w:before="120" w:after="120"/>
        <w:jc w:val="both"/>
        <w:rPr>
          <w:rFonts w:ascii="Times New Roman" w:hAnsi="Times New Roman"/>
          <w:b/>
          <w:szCs w:val="24"/>
        </w:rPr>
      </w:pPr>
      <w:r>
        <w:rPr>
          <w:rFonts w:ascii="Times New Roman" w:hAnsi="Times New Roman"/>
          <w:b/>
          <w:szCs w:val="24"/>
        </w:rPr>
        <w:t>Conclusion</w:t>
      </w:r>
    </w:p>
    <w:p w:rsidR="006E342E" w:rsidRDefault="00477FB8">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1"/>
    <w:p w:rsidR="006E342E" w:rsidRDefault="006E342E">
      <w:pPr>
        <w:spacing w:before="120" w:after="120"/>
        <w:jc w:val="both"/>
        <w:rPr>
          <w:rFonts w:ascii="Times New Roman" w:hAnsi="Times New Roman"/>
          <w:szCs w:val="24"/>
        </w:rPr>
      </w:pPr>
    </w:p>
    <w:p w:rsidR="006E342E" w:rsidRDefault="00477FB8">
      <w:pPr>
        <w:spacing w:before="120" w:after="120"/>
        <w:jc w:val="both"/>
        <w:rPr>
          <w:szCs w:val="24"/>
        </w:rPr>
      </w:pPr>
      <w:r>
        <w:rPr>
          <w:rFonts w:ascii="Times New Roman" w:hAnsi="Times New Roman"/>
          <w:szCs w:val="24"/>
        </w:rPr>
        <w:t>Repatriation Medical Authority</w:t>
      </w:r>
    </w:p>
    <w:p w:rsidR="006E342E" w:rsidRDefault="006E342E">
      <w:pPr>
        <w:spacing w:before="120" w:after="120"/>
        <w:jc w:val="both"/>
        <w:rPr>
          <w:szCs w:val="24"/>
        </w:rPr>
      </w:pPr>
    </w:p>
    <w:p w:rsidR="006E342E" w:rsidRDefault="006E342E">
      <w:pPr>
        <w:pStyle w:val="BodyText"/>
        <w:ind w:left="2880"/>
      </w:pPr>
    </w:p>
    <w:p w:rsidR="006E342E" w:rsidRDefault="006E342E">
      <w:pPr>
        <w:pStyle w:val="BodyText"/>
        <w:ind w:left="2880"/>
      </w:pPr>
    </w:p>
    <w:p w:rsidR="006E342E" w:rsidRDefault="006E342E">
      <w:pPr>
        <w:pStyle w:val="BodyText"/>
        <w:ind w:left="2880"/>
      </w:pPr>
    </w:p>
    <w:p w:rsidR="006E342E" w:rsidRDefault="006E342E">
      <w:pPr>
        <w:pStyle w:val="BodyText"/>
        <w:ind w:left="2880"/>
      </w:pPr>
    </w:p>
    <w:p w:rsidR="006E342E" w:rsidRDefault="006E342E">
      <w:pPr>
        <w:pStyle w:val="BodyText"/>
        <w:ind w:left="2880"/>
        <w:jc w:val="left"/>
      </w:pPr>
    </w:p>
    <w:sectPr w:rsidR="006E342E">
      <w:headerReference w:type="even" r:id="rId8"/>
      <w:headerReference w:type="default" r:id="rId9"/>
      <w:footerReference w:type="even" r:id="rId10"/>
      <w:footerReference w:type="default" r:id="rId11"/>
      <w:headerReference w:type="first" r:id="rId12"/>
      <w:footerReference w:type="first" r:id="rId13"/>
      <w:pgSz w:w="11907" w:h="16840" w:code="9"/>
      <w:pgMar w:top="1440" w:right="1531" w:bottom="1440" w:left="1531" w:header="720" w:footer="720"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342E" w:rsidRDefault="00477FB8">
      <w:r>
        <w:separator/>
      </w:r>
    </w:p>
  </w:endnote>
  <w:endnote w:type="continuationSeparator" w:id="0">
    <w:p w:rsidR="006E342E" w:rsidRDefault="00477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W1)">
    <w:altName w:val="Times New Roman"/>
    <w:charset w:val="00"/>
    <w:family w:val="roman"/>
    <w:pitch w:val="variable"/>
    <w:sig w:usb0="00000000" w:usb1="80000000" w:usb2="00000008"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N Helvetica Narrow">
    <w:altName w:val="Times New Roman"/>
    <w:charset w:val="4D"/>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42E" w:rsidRDefault="006E342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42E" w:rsidRDefault="00477FB8">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2340FB">
      <w:rPr>
        <w:noProof/>
        <w:snapToGrid w:val="0"/>
        <w:sz w:val="20"/>
        <w:lang w:eastAsia="en-US"/>
      </w:rPr>
      <w:t>1</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2340FB">
      <w:rPr>
        <w:noProof/>
        <w:snapToGrid w:val="0"/>
        <w:sz w:val="20"/>
        <w:lang w:eastAsia="en-US"/>
      </w:rPr>
      <w:t>4</w:t>
    </w:r>
    <w:r>
      <w:rPr>
        <w:snapToGrid w:val="0"/>
        <w:sz w:val="20"/>
        <w:lang w:eastAsia="en-U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42E" w:rsidRDefault="006E34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342E" w:rsidRDefault="00477FB8">
      <w:r>
        <w:separator/>
      </w:r>
    </w:p>
  </w:footnote>
  <w:footnote w:type="continuationSeparator" w:id="0">
    <w:p w:rsidR="006E342E" w:rsidRDefault="00477FB8">
      <w:r>
        <w:continuationSeparator/>
      </w:r>
    </w:p>
  </w:footnote>
  <w:footnote w:id="1">
    <w:p w:rsidR="006E342E" w:rsidRDefault="00477FB8">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42E" w:rsidRDefault="006E342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42E" w:rsidRDefault="006E342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42E" w:rsidRDefault="006E34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16787F"/>
    <w:multiLevelType w:val="singleLevel"/>
    <w:tmpl w:val="E4C01D2A"/>
    <w:lvl w:ilvl="0">
      <w:start w:val="5"/>
      <w:numFmt w:val="decimal"/>
      <w:lvlText w:val="%1."/>
      <w:lvlJc w:val="left"/>
      <w:pPr>
        <w:tabs>
          <w:tab w:val="num" w:pos="360"/>
        </w:tabs>
        <w:ind w:left="360" w:hanging="360"/>
      </w:pPr>
    </w:lvl>
  </w:abstractNum>
  <w:abstractNum w:abstractNumId="2" w15:restartNumberingAfterBreak="0">
    <w:nsid w:val="017E79B2"/>
    <w:multiLevelType w:val="singleLevel"/>
    <w:tmpl w:val="CCBE4552"/>
    <w:lvl w:ilvl="0">
      <w:start w:val="1"/>
      <w:numFmt w:val="upperLetter"/>
      <w:lvlText w:val="%1."/>
      <w:lvlJc w:val="left"/>
      <w:pPr>
        <w:tabs>
          <w:tab w:val="num" w:pos="1429"/>
        </w:tabs>
        <w:ind w:left="1429" w:hanging="720"/>
      </w:pPr>
      <w:rPr>
        <w:rFonts w:hint="default"/>
      </w:rPr>
    </w:lvl>
  </w:abstractNum>
  <w:abstractNum w:abstractNumId="3"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C60369"/>
    <w:multiLevelType w:val="hybridMultilevel"/>
    <w:tmpl w:val="276CB630"/>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D3321D"/>
    <w:multiLevelType w:val="hybridMultilevel"/>
    <w:tmpl w:val="95F8EEA0"/>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E664AC"/>
    <w:multiLevelType w:val="singleLevel"/>
    <w:tmpl w:val="25B288B6"/>
    <w:lvl w:ilvl="0">
      <w:start w:val="5"/>
      <w:numFmt w:val="decimal"/>
      <w:lvlText w:val="%1."/>
      <w:lvlJc w:val="left"/>
      <w:pPr>
        <w:tabs>
          <w:tab w:val="num" w:pos="360"/>
        </w:tabs>
        <w:ind w:left="360" w:hanging="360"/>
      </w:pPr>
    </w:lvl>
  </w:abstractNum>
  <w:abstractNum w:abstractNumId="7" w15:restartNumberingAfterBreak="0">
    <w:nsid w:val="1F4D753D"/>
    <w:multiLevelType w:val="singleLevel"/>
    <w:tmpl w:val="203015E4"/>
    <w:lvl w:ilvl="0">
      <w:start w:val="1"/>
      <w:numFmt w:val="lowerRoman"/>
      <w:lvlText w:val="(%1)"/>
      <w:lvlJc w:val="left"/>
      <w:pPr>
        <w:tabs>
          <w:tab w:val="num" w:pos="2138"/>
        </w:tabs>
        <w:ind w:left="2138" w:hanging="720"/>
      </w:pPr>
      <w:rPr>
        <w:rFonts w:hint="default"/>
      </w:rPr>
    </w:lvl>
  </w:abstractNum>
  <w:abstractNum w:abstractNumId="8" w15:restartNumberingAfterBreak="0">
    <w:nsid w:val="2079017D"/>
    <w:multiLevelType w:val="singleLevel"/>
    <w:tmpl w:val="6F1260CA"/>
    <w:lvl w:ilvl="0">
      <w:start w:val="1"/>
      <w:numFmt w:val="upperLetter"/>
      <w:lvlText w:val="%1."/>
      <w:lvlJc w:val="left"/>
      <w:pPr>
        <w:tabs>
          <w:tab w:val="num" w:pos="1429"/>
        </w:tabs>
        <w:ind w:left="1429" w:hanging="720"/>
      </w:pPr>
      <w:rPr>
        <w:rFonts w:hint="default"/>
      </w:rPr>
    </w:lvl>
  </w:abstractNum>
  <w:abstractNum w:abstractNumId="9" w15:restartNumberingAfterBreak="0">
    <w:nsid w:val="22D9090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744162"/>
    <w:multiLevelType w:val="singleLevel"/>
    <w:tmpl w:val="E4C01D2A"/>
    <w:lvl w:ilvl="0">
      <w:start w:val="5"/>
      <w:numFmt w:val="decimal"/>
      <w:lvlText w:val="%1."/>
      <w:lvlJc w:val="left"/>
      <w:pPr>
        <w:tabs>
          <w:tab w:val="num" w:pos="360"/>
        </w:tabs>
        <w:ind w:left="360" w:hanging="360"/>
      </w:pPr>
      <w:rPr>
        <w:rFonts w:hint="default"/>
      </w:rPr>
    </w:lvl>
  </w:abstractNum>
  <w:abstractNum w:abstractNumId="12" w15:restartNumberingAfterBreak="0">
    <w:nsid w:val="281444D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95F6989"/>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00C700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29B2EAA"/>
    <w:multiLevelType w:val="singleLevel"/>
    <w:tmpl w:val="C0168D36"/>
    <w:lvl w:ilvl="0">
      <w:start w:val="1"/>
      <w:numFmt w:val="lowerRoman"/>
      <w:lvlText w:val="(%1)"/>
      <w:lvlJc w:val="left"/>
      <w:pPr>
        <w:tabs>
          <w:tab w:val="num" w:pos="720"/>
        </w:tabs>
        <w:ind w:left="720" w:hanging="720"/>
      </w:pPr>
      <w:rPr>
        <w:rFonts w:hint="default"/>
      </w:rPr>
    </w:lvl>
  </w:abstractNum>
  <w:abstractNum w:abstractNumId="16" w15:restartNumberingAfterBreak="0">
    <w:nsid w:val="32FC3C9B"/>
    <w:multiLevelType w:val="singleLevel"/>
    <w:tmpl w:val="745C478A"/>
    <w:lvl w:ilvl="0">
      <w:start w:val="2"/>
      <w:numFmt w:val="decimal"/>
      <w:lvlText w:val="%1."/>
      <w:lvlJc w:val="left"/>
      <w:pPr>
        <w:tabs>
          <w:tab w:val="num" w:pos="720"/>
        </w:tabs>
        <w:ind w:left="720" w:hanging="720"/>
      </w:pPr>
      <w:rPr>
        <w:rFonts w:ascii="Times New Roman" w:hAnsi="Times New Roman" w:hint="default"/>
      </w:rPr>
    </w:lvl>
  </w:abstractNum>
  <w:abstractNum w:abstractNumId="17" w15:restartNumberingAfterBreak="0">
    <w:nsid w:val="42CE204C"/>
    <w:multiLevelType w:val="hybridMultilevel"/>
    <w:tmpl w:val="55D2CD30"/>
    <w:lvl w:ilvl="0" w:tplc="5C104D7A">
      <w:start w:val="1"/>
      <w:numFmt w:val="bullet"/>
      <w:lvlText w:val=""/>
      <w:lvlJc w:val="left"/>
      <w:pPr>
        <w:tabs>
          <w:tab w:val="num" w:pos="1287"/>
        </w:tabs>
        <w:ind w:left="1287" w:hanging="720"/>
      </w:pPr>
      <w:rPr>
        <w:rFonts w:ascii="Wingdings" w:hAnsi="Wingdings" w:hint="default"/>
        <w:sz w:val="20"/>
      </w:rPr>
    </w:lvl>
    <w:lvl w:ilvl="1" w:tplc="0C090003">
      <w:start w:val="1"/>
      <w:numFmt w:val="bullet"/>
      <w:lvlText w:val="o"/>
      <w:lvlJc w:val="left"/>
      <w:pPr>
        <w:tabs>
          <w:tab w:val="num" w:pos="2007"/>
        </w:tabs>
        <w:ind w:left="2007" w:hanging="360"/>
      </w:pPr>
      <w:rPr>
        <w:rFonts w:ascii="Courier New" w:hAnsi="Courier New" w:cs="Courier New" w:hint="default"/>
      </w:rPr>
    </w:lvl>
    <w:lvl w:ilvl="2" w:tplc="0C090005" w:tentative="1">
      <w:start w:val="1"/>
      <w:numFmt w:val="bullet"/>
      <w:lvlText w:val=""/>
      <w:lvlJc w:val="left"/>
      <w:pPr>
        <w:tabs>
          <w:tab w:val="num" w:pos="2727"/>
        </w:tabs>
        <w:ind w:left="2727" w:hanging="360"/>
      </w:pPr>
      <w:rPr>
        <w:rFonts w:ascii="Wingdings" w:hAnsi="Wingdings"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cs="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cs="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44FD67C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DEA44B1"/>
    <w:multiLevelType w:val="singleLevel"/>
    <w:tmpl w:val="76867DFA"/>
    <w:lvl w:ilvl="0">
      <w:start w:val="5"/>
      <w:numFmt w:val="decimal"/>
      <w:lvlText w:val="%1."/>
      <w:lvlJc w:val="left"/>
      <w:pPr>
        <w:tabs>
          <w:tab w:val="num" w:pos="360"/>
        </w:tabs>
        <w:ind w:left="360" w:hanging="360"/>
      </w:pPr>
      <w:rPr>
        <w:rFonts w:hint="default"/>
      </w:rPr>
    </w:lvl>
  </w:abstractNum>
  <w:abstractNum w:abstractNumId="20"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21" w15:restartNumberingAfterBreak="0">
    <w:nsid w:val="54AE5F46"/>
    <w:multiLevelType w:val="singleLevel"/>
    <w:tmpl w:val="76867DFA"/>
    <w:lvl w:ilvl="0">
      <w:start w:val="4"/>
      <w:numFmt w:val="decimal"/>
      <w:lvlText w:val="%1."/>
      <w:lvlJc w:val="left"/>
      <w:pPr>
        <w:tabs>
          <w:tab w:val="num" w:pos="360"/>
        </w:tabs>
        <w:ind w:left="360" w:hanging="360"/>
      </w:pPr>
      <w:rPr>
        <w:rFonts w:hint="default"/>
      </w:rPr>
    </w:lvl>
  </w:abstractNum>
  <w:abstractNum w:abstractNumId="22" w15:restartNumberingAfterBreak="0">
    <w:nsid w:val="560A1058"/>
    <w:multiLevelType w:val="singleLevel"/>
    <w:tmpl w:val="25B288B6"/>
    <w:lvl w:ilvl="0">
      <w:start w:val="5"/>
      <w:numFmt w:val="decimal"/>
      <w:lvlText w:val="%1."/>
      <w:lvlJc w:val="left"/>
      <w:pPr>
        <w:tabs>
          <w:tab w:val="num" w:pos="360"/>
        </w:tabs>
        <w:ind w:left="360" w:hanging="360"/>
      </w:pPr>
      <w:rPr>
        <w:rFonts w:hint="default"/>
      </w:rPr>
    </w:lvl>
  </w:abstractNum>
  <w:abstractNum w:abstractNumId="23"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24" w15:restartNumberingAfterBreak="0">
    <w:nsid w:val="62FE66C2"/>
    <w:multiLevelType w:val="hybridMultilevel"/>
    <w:tmpl w:val="E88610B2"/>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5" w15:restartNumberingAfterBreak="0">
    <w:nsid w:val="6FED1DA4"/>
    <w:multiLevelType w:val="hybridMultilevel"/>
    <w:tmpl w:val="AABA148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499631C"/>
    <w:multiLevelType w:val="hybridMultilevel"/>
    <w:tmpl w:val="FDEE6230"/>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7" w15:restartNumberingAfterBreak="0">
    <w:nsid w:val="77AA0225"/>
    <w:multiLevelType w:val="singleLevel"/>
    <w:tmpl w:val="0AACE404"/>
    <w:lvl w:ilvl="0">
      <w:start w:val="6"/>
      <w:numFmt w:val="decimal"/>
      <w:lvlText w:val="%1."/>
      <w:lvlJc w:val="left"/>
      <w:pPr>
        <w:tabs>
          <w:tab w:val="num" w:pos="724"/>
        </w:tabs>
        <w:ind w:left="724" w:hanging="735"/>
      </w:pPr>
      <w:rPr>
        <w:rFonts w:hint="default"/>
      </w:rPr>
    </w:lvl>
  </w:abstractNum>
  <w:abstractNum w:abstractNumId="28" w15:restartNumberingAfterBreak="0">
    <w:nsid w:val="7AF5595A"/>
    <w:multiLevelType w:val="singleLevel"/>
    <w:tmpl w:val="43BE3F1E"/>
    <w:lvl w:ilvl="0">
      <w:start w:val="3"/>
      <w:numFmt w:val="decimal"/>
      <w:lvlText w:val="%1."/>
      <w:lvlJc w:val="left"/>
      <w:pPr>
        <w:tabs>
          <w:tab w:val="num" w:pos="724"/>
        </w:tabs>
        <w:ind w:left="724" w:hanging="735"/>
      </w:pPr>
      <w:rPr>
        <w:rFonts w:hint="default"/>
      </w:rPr>
    </w:lvl>
  </w:abstractNum>
  <w:abstractNum w:abstractNumId="29" w15:restartNumberingAfterBreak="0">
    <w:nsid w:val="7EAA1D38"/>
    <w:multiLevelType w:val="singleLevel"/>
    <w:tmpl w:val="2B72104A"/>
    <w:lvl w:ilvl="0">
      <w:start w:val="1"/>
      <w:numFmt w:val="lowerRoman"/>
      <w:lvlText w:val="(%1)"/>
      <w:lvlJc w:val="left"/>
      <w:pPr>
        <w:tabs>
          <w:tab w:val="num" w:pos="2149"/>
        </w:tabs>
        <w:ind w:left="2149" w:hanging="720"/>
      </w:pPr>
      <w:rPr>
        <w:rFont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27"/>
  </w:num>
  <w:num w:numId="3">
    <w:abstractNumId w:val="16"/>
  </w:num>
  <w:num w:numId="4">
    <w:abstractNumId w:val="28"/>
  </w:num>
  <w:num w:numId="5">
    <w:abstractNumId w:val="3"/>
  </w:num>
  <w:num w:numId="6">
    <w:abstractNumId w:val="14"/>
  </w:num>
  <w:num w:numId="7">
    <w:abstractNumId w:val="18"/>
  </w:num>
  <w:num w:numId="8">
    <w:abstractNumId w:val="2"/>
  </w:num>
  <w:num w:numId="9">
    <w:abstractNumId w:val="29"/>
  </w:num>
  <w:num w:numId="10">
    <w:abstractNumId w:val="12"/>
  </w:num>
  <w:num w:numId="11">
    <w:abstractNumId w:val="20"/>
  </w:num>
  <w:num w:numId="12">
    <w:abstractNumId w:val="8"/>
  </w:num>
  <w:num w:numId="13">
    <w:abstractNumId w:val="7"/>
  </w:num>
  <w:num w:numId="14">
    <w:abstractNumId w:val="13"/>
  </w:num>
  <w:num w:numId="15">
    <w:abstractNumId w:val="15"/>
  </w:num>
  <w:num w:numId="16">
    <w:abstractNumId w:val="9"/>
  </w:num>
  <w:num w:numId="17">
    <w:abstractNumId w:val="21"/>
  </w:num>
  <w:num w:numId="18">
    <w:abstractNumId w:val="19"/>
  </w:num>
  <w:num w:numId="19">
    <w:abstractNumId w:val="1"/>
  </w:num>
  <w:num w:numId="20">
    <w:abstractNumId w:val="11"/>
  </w:num>
  <w:num w:numId="21">
    <w:abstractNumId w:val="6"/>
  </w:num>
  <w:num w:numId="22">
    <w:abstractNumId w:val="22"/>
  </w:num>
  <w:num w:numId="23">
    <w:abstractNumId w:val="23"/>
  </w:num>
  <w:num w:numId="24">
    <w:abstractNumId w:val="10"/>
  </w:num>
  <w:num w:numId="25">
    <w:abstractNumId w:val="5"/>
  </w:num>
  <w:num w:numId="26">
    <w:abstractNumId w:val="4"/>
  </w:num>
  <w:num w:numId="27">
    <w:abstractNumId w:val="25"/>
  </w:num>
  <w:num w:numId="28">
    <w:abstractNumId w:val="17"/>
  </w:num>
  <w:num w:numId="29">
    <w:abstractNumId w:val="26"/>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intFractionalCharacterWidth/>
  <w:hideGrammaticalErrors/>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FB8"/>
    <w:rsid w:val="00016AFB"/>
    <w:rsid w:val="000225F8"/>
    <w:rsid w:val="000F01DC"/>
    <w:rsid w:val="00131371"/>
    <w:rsid w:val="00173585"/>
    <w:rsid w:val="001C45A9"/>
    <w:rsid w:val="002340FB"/>
    <w:rsid w:val="00326904"/>
    <w:rsid w:val="00337342"/>
    <w:rsid w:val="003741B2"/>
    <w:rsid w:val="003A01D7"/>
    <w:rsid w:val="003C02B4"/>
    <w:rsid w:val="00477FB8"/>
    <w:rsid w:val="004B4682"/>
    <w:rsid w:val="004C3817"/>
    <w:rsid w:val="005A0226"/>
    <w:rsid w:val="00696F2C"/>
    <w:rsid w:val="006E342E"/>
    <w:rsid w:val="006E6AA8"/>
    <w:rsid w:val="007964CA"/>
    <w:rsid w:val="00835635"/>
    <w:rsid w:val="00AB7114"/>
    <w:rsid w:val="00CE49C7"/>
    <w:rsid w:val="00D254F6"/>
    <w:rsid w:val="00DE563A"/>
    <w:rsid w:val="00F7154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Street"/>
  <w:smartTagType w:namespaceuri="urn:schemas-microsoft-com:office:smarttags" w:name="addres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idehead">
    <w:name w:val="sidehead"/>
    <w:pPr>
      <w:keepNext/>
      <w:framePr w:w="1560" w:hSpace="240" w:vSpace="240" w:wrap="auto" w:vAnchor="page" w:hAnchor="page"/>
      <w:tabs>
        <w:tab w:val="left" w:pos="280"/>
      </w:tabs>
      <w:spacing w:after="60" w:line="260" w:lineRule="exact"/>
    </w:pPr>
    <w:rPr>
      <w:rFonts w:ascii="N Helvetica Narrow" w:hAnsi="N Helvetica Narrow"/>
      <w:b/>
      <w:sz w:val="24"/>
    </w:rPr>
  </w:style>
  <w:style w:type="paragraph" w:styleId="Title">
    <w:name w:val="Title"/>
    <w:basedOn w:val="Normal"/>
    <w:qFormat/>
    <w:pPr>
      <w:jc w:val="center"/>
    </w:pPr>
    <w:rPr>
      <w:rFonts w:ascii="Times New Roman" w:hAnsi="Times New Roman"/>
      <w:b/>
    </w:rPr>
  </w:style>
  <w:style w:type="paragraph" w:styleId="BodyText">
    <w:name w:val="Body Text"/>
    <w:basedOn w:val="Normal"/>
    <w:pPr>
      <w:jc w:val="both"/>
    </w:pPr>
    <w:rPr>
      <w:rFonts w:ascii="Times New Roman" w:hAnsi="Times New Roman"/>
    </w:rPr>
  </w:style>
  <w:style w:type="paragraph" w:styleId="BodyTextIndent">
    <w:name w:val="Body Text Indent"/>
    <w:basedOn w:val="Normal"/>
    <w:pPr>
      <w:tabs>
        <w:tab w:val="left" w:pos="0"/>
      </w:tabs>
      <w:spacing w:line="240" w:lineRule="atLeast"/>
      <w:ind w:left="1440" w:hanging="731"/>
      <w:jc w:val="both"/>
    </w:pPr>
    <w:rPr>
      <w:rFonts w:ascii="Times New Roman" w:hAnsi="Times New Roman"/>
      <w:sz w:val="26"/>
    </w:rPr>
  </w:style>
  <w:style w:type="paragraph" w:customStyle="1" w:styleId="NormalIndent2">
    <w:name w:val="Normal Indent2"/>
    <w:basedOn w:val="Normal"/>
    <w:pPr>
      <w:spacing w:line="240" w:lineRule="atLeast"/>
      <w:ind w:left="720"/>
      <w:jc w:val="both"/>
    </w:pPr>
    <w:rPr>
      <w:rFonts w:ascii="Times New Roman" w:hAnsi="Times New Roman"/>
      <w:sz w:val="26"/>
    </w:rPr>
  </w:style>
  <w:style w:type="paragraph" w:styleId="BodyTextIndent2">
    <w:name w:val="Body Text Indent 2"/>
    <w:basedOn w:val="Normal"/>
    <w:pPr>
      <w:ind w:left="1440"/>
    </w:pPr>
    <w:rPr>
      <w:rFonts w:ascii="Times New Roman" w:hAnsi="Times New Roman"/>
      <w:snapToGrid w:val="0"/>
      <w:lang w:eastAsia="en-US"/>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paragraph" w:styleId="ListParagraph">
    <w:name w:val="List Paragraph"/>
    <w:basedOn w:val="Normal"/>
    <w:uiPriority w:val="34"/>
    <w:qFormat/>
    <w:rsid w:val="003C02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939</Words>
  <Characters>5331</Characters>
  <Application>Microsoft Office Word</Application>
  <DocSecurity>0</DocSecurity>
  <Lines>44</Lines>
  <Paragraphs>12</Paragraphs>
  <ScaleCrop>false</ScaleCrop>
  <LinksUpToDate>false</LinksUpToDate>
  <CharactersWithSpaces>6258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2016-03-01T04:03:00Z</dcterms:created>
  <dcterms:modified xsi:type="dcterms:W3CDTF">2016-03-01T04:04:00Z</dcterms:modified>
</cp:coreProperties>
</file>