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72" w:rsidRPr="00E06862" w:rsidRDefault="00F15472" w:rsidP="00F15472">
      <w:pPr>
        <w:pStyle w:val="LDClauseHeading"/>
        <w:spacing w:before="0"/>
        <w:rPr>
          <w:rFonts w:cs="Arial"/>
        </w:rPr>
      </w:pPr>
      <w:r w:rsidRPr="00E06862">
        <w:rPr>
          <w:rFonts w:cs="Arial"/>
        </w:rPr>
        <w:t>Explanatory Statement</w:t>
      </w:r>
    </w:p>
    <w:p w:rsidR="00F15472" w:rsidRPr="00E06862" w:rsidRDefault="00F15472" w:rsidP="00F15472">
      <w:pPr>
        <w:pStyle w:val="LDClauseHeading"/>
        <w:rPr>
          <w:rFonts w:cs="Arial"/>
        </w:rPr>
      </w:pPr>
      <w:r w:rsidRPr="00E06862">
        <w:rPr>
          <w:rFonts w:cs="Arial"/>
        </w:rPr>
        <w:t>Civil Aviation Safety Regulations 1998</w:t>
      </w:r>
    </w:p>
    <w:p w:rsidR="00F15472" w:rsidRPr="00E06862" w:rsidRDefault="00F15472" w:rsidP="00F15472">
      <w:pPr>
        <w:pStyle w:val="LDClauseHeading"/>
        <w:ind w:left="0" w:firstLine="0"/>
        <w:rPr>
          <w:rFonts w:cs="Arial"/>
        </w:rPr>
      </w:pPr>
      <w:r w:rsidRPr="00E06862">
        <w:rPr>
          <w:rFonts w:cs="Arial"/>
        </w:rPr>
        <w:t xml:space="preserve">Exemption — </w:t>
      </w:r>
      <w:r w:rsidR="00D61ED8" w:rsidRPr="00E06862">
        <w:rPr>
          <w:rFonts w:cs="Arial"/>
        </w:rPr>
        <w:t xml:space="preserve">instrument proficiency check for </w:t>
      </w:r>
      <w:r w:rsidR="00004406">
        <w:rPr>
          <w:rFonts w:cs="Arial"/>
        </w:rPr>
        <w:t>single-pilot</w:t>
      </w:r>
      <w:r w:rsidR="00D61ED8" w:rsidRPr="00E06862">
        <w:rPr>
          <w:rFonts w:cs="Arial"/>
        </w:rPr>
        <w:t xml:space="preserve"> turbojet aeroplane type rating</w:t>
      </w:r>
    </w:p>
    <w:p w:rsidR="00F15472" w:rsidRPr="00A623C3" w:rsidRDefault="00F15472" w:rsidP="00F15472">
      <w:pPr>
        <w:rPr>
          <w:rFonts w:ascii="Times New Roman" w:hAnsi="Times New Roman"/>
        </w:rPr>
      </w:pPr>
    </w:p>
    <w:p w:rsidR="00F15472" w:rsidRPr="00A623C3" w:rsidRDefault="00F15472" w:rsidP="00F15472">
      <w:pPr>
        <w:pStyle w:val="BodyText"/>
        <w:rPr>
          <w:rFonts w:ascii="Times New Roman" w:hAnsi="Times New Roman"/>
          <w:b/>
        </w:rPr>
      </w:pPr>
      <w:r w:rsidRPr="00A623C3">
        <w:rPr>
          <w:rFonts w:ascii="Times New Roman" w:hAnsi="Times New Roman"/>
          <w:b/>
        </w:rPr>
        <w:t>Purpose</w:t>
      </w:r>
    </w:p>
    <w:p w:rsidR="00B90FCD" w:rsidRDefault="00D61ED8" w:rsidP="00F15472">
      <w:pPr>
        <w:pStyle w:val="BodyText"/>
        <w:rPr>
          <w:rFonts w:ascii="Times New Roman" w:hAnsi="Times New Roman"/>
        </w:rPr>
      </w:pPr>
      <w:r w:rsidRPr="00A623C3">
        <w:rPr>
          <w:rFonts w:ascii="Times New Roman" w:hAnsi="Times New Roman"/>
        </w:rPr>
        <w:t xml:space="preserve">The purpose of this instrument is to exempt </w:t>
      </w:r>
      <w:r w:rsidR="00B90FCD">
        <w:rPr>
          <w:rFonts w:ascii="Times New Roman" w:hAnsi="Times New Roman"/>
        </w:rPr>
        <w:t xml:space="preserve">the holder of a </w:t>
      </w:r>
      <w:r w:rsidR="00004406">
        <w:rPr>
          <w:rFonts w:ascii="Times New Roman" w:hAnsi="Times New Roman"/>
        </w:rPr>
        <w:t>single-pilot</w:t>
      </w:r>
      <w:r w:rsidR="00B90FCD">
        <w:rPr>
          <w:rFonts w:ascii="Times New Roman" w:hAnsi="Times New Roman"/>
        </w:rPr>
        <w:t xml:space="preserve"> turbojet aeroplane</w:t>
      </w:r>
      <w:r w:rsidR="00004406">
        <w:rPr>
          <w:rFonts w:ascii="Times New Roman" w:hAnsi="Times New Roman"/>
        </w:rPr>
        <w:t xml:space="preserve"> type</w:t>
      </w:r>
      <w:r w:rsidR="00B90FCD">
        <w:rPr>
          <w:rFonts w:ascii="Times New Roman" w:hAnsi="Times New Roman"/>
        </w:rPr>
        <w:t xml:space="preserve"> rating from the requirement to</w:t>
      </w:r>
      <w:r w:rsidR="00A47524">
        <w:rPr>
          <w:rFonts w:ascii="Times New Roman" w:hAnsi="Times New Roman"/>
        </w:rPr>
        <w:t xml:space="preserve"> have</w:t>
      </w:r>
      <w:r w:rsidR="00B90FCD">
        <w:rPr>
          <w:rFonts w:ascii="Times New Roman" w:hAnsi="Times New Roman"/>
        </w:rPr>
        <w:t xml:space="preserve"> successfully complete</w:t>
      </w:r>
      <w:r w:rsidR="00A47524">
        <w:rPr>
          <w:rFonts w:ascii="Times New Roman" w:hAnsi="Times New Roman"/>
        </w:rPr>
        <w:t>d</w:t>
      </w:r>
      <w:r w:rsidR="00B90FCD">
        <w:rPr>
          <w:rFonts w:ascii="Times New Roman" w:hAnsi="Times New Roman"/>
        </w:rPr>
        <w:t xml:space="preserve"> an annual instrument proficiency check in </w:t>
      </w:r>
      <w:r w:rsidR="00A47524">
        <w:rPr>
          <w:rFonts w:ascii="Times New Roman" w:hAnsi="Times New Roman"/>
        </w:rPr>
        <w:t>an</w:t>
      </w:r>
      <w:r w:rsidR="00B90FCD">
        <w:rPr>
          <w:rFonts w:ascii="Times New Roman" w:hAnsi="Times New Roman"/>
        </w:rPr>
        <w:t xml:space="preserve"> aeroplane type covered by the rating and that is to be flown under the </w:t>
      </w:r>
      <w:r w:rsidR="00ED38A8" w:rsidRPr="00A623C3">
        <w:rPr>
          <w:rFonts w:ascii="Times New Roman" w:hAnsi="Times New Roman"/>
        </w:rPr>
        <w:t xml:space="preserve">instrument fight rules (the </w:t>
      </w:r>
      <w:r w:rsidR="00ED38A8" w:rsidRPr="00A623C3">
        <w:rPr>
          <w:rFonts w:ascii="Times New Roman" w:hAnsi="Times New Roman"/>
          <w:b/>
          <w:i/>
        </w:rPr>
        <w:t>IFR</w:t>
      </w:r>
      <w:r w:rsidR="00ED38A8" w:rsidRPr="00A623C3">
        <w:rPr>
          <w:rFonts w:ascii="Times New Roman" w:hAnsi="Times New Roman"/>
        </w:rPr>
        <w:t>)</w:t>
      </w:r>
      <w:r w:rsidR="00B90FCD">
        <w:rPr>
          <w:rFonts w:ascii="Times New Roman" w:hAnsi="Times New Roman"/>
        </w:rPr>
        <w:t xml:space="preserve">, provided the holder </w:t>
      </w:r>
      <w:r w:rsidR="00A47524">
        <w:rPr>
          <w:rFonts w:ascii="Times New Roman" w:hAnsi="Times New Roman"/>
        </w:rPr>
        <w:t xml:space="preserve">has </w:t>
      </w:r>
      <w:r w:rsidR="00B90FCD">
        <w:rPr>
          <w:rFonts w:ascii="Times New Roman" w:hAnsi="Times New Roman"/>
        </w:rPr>
        <w:t>successfully complete</w:t>
      </w:r>
      <w:r w:rsidR="00A47524">
        <w:rPr>
          <w:rFonts w:ascii="Times New Roman" w:hAnsi="Times New Roman"/>
        </w:rPr>
        <w:t>d</w:t>
      </w:r>
      <w:r w:rsidR="00B90FCD">
        <w:rPr>
          <w:rFonts w:ascii="Times New Roman" w:hAnsi="Times New Roman"/>
        </w:rPr>
        <w:t xml:space="preserve"> an annual proficiency check in </w:t>
      </w:r>
      <w:r w:rsidR="00B90FCD" w:rsidRPr="00B90FCD">
        <w:rPr>
          <w:rFonts w:ascii="Times New Roman" w:hAnsi="Times New Roman"/>
          <w:b/>
        </w:rPr>
        <w:t>any</w:t>
      </w:r>
      <w:r w:rsidR="00B90FCD">
        <w:rPr>
          <w:rFonts w:ascii="Times New Roman" w:hAnsi="Times New Roman"/>
        </w:rPr>
        <w:t xml:space="preserve"> </w:t>
      </w:r>
      <w:r w:rsidR="00004406">
        <w:rPr>
          <w:rFonts w:ascii="Times New Roman" w:hAnsi="Times New Roman"/>
        </w:rPr>
        <w:t>single-pilot</w:t>
      </w:r>
      <w:r w:rsidR="00B90FCD">
        <w:rPr>
          <w:rFonts w:ascii="Times New Roman" w:hAnsi="Times New Roman"/>
        </w:rPr>
        <w:t xml:space="preserve"> turbojet aeroplane.</w:t>
      </w:r>
    </w:p>
    <w:p w:rsidR="00B90FCD" w:rsidRDefault="00B90FCD" w:rsidP="00F15472">
      <w:pPr>
        <w:pStyle w:val="BodyText"/>
        <w:rPr>
          <w:rFonts w:ascii="Times New Roman" w:hAnsi="Times New Roman"/>
        </w:rPr>
      </w:pPr>
    </w:p>
    <w:p w:rsidR="002113D6" w:rsidRPr="00A623C3" w:rsidRDefault="00B90FCD" w:rsidP="00F15472">
      <w:pPr>
        <w:pStyle w:val="BodyText"/>
        <w:rPr>
          <w:rFonts w:ascii="Times New Roman" w:hAnsi="Times New Roman"/>
        </w:rPr>
      </w:pPr>
      <w:r>
        <w:rPr>
          <w:rFonts w:ascii="Times New Roman" w:hAnsi="Times New Roman"/>
        </w:rPr>
        <w:t xml:space="preserve">As a condition of this exemption, the holder of a </w:t>
      </w:r>
      <w:r w:rsidR="00004406">
        <w:rPr>
          <w:rFonts w:ascii="Times New Roman" w:hAnsi="Times New Roman"/>
        </w:rPr>
        <w:t>single-pilot</w:t>
      </w:r>
      <w:r>
        <w:rPr>
          <w:rFonts w:ascii="Times New Roman" w:hAnsi="Times New Roman"/>
        </w:rPr>
        <w:t xml:space="preserve"> turbojet aeroplane rating is required to </w:t>
      </w:r>
      <w:r w:rsidR="00A47524">
        <w:rPr>
          <w:rFonts w:ascii="Times New Roman" w:hAnsi="Times New Roman"/>
        </w:rPr>
        <w:t xml:space="preserve">have </w:t>
      </w:r>
      <w:r>
        <w:rPr>
          <w:rFonts w:ascii="Times New Roman" w:hAnsi="Times New Roman"/>
        </w:rPr>
        <w:t>successfully complete</w:t>
      </w:r>
      <w:r w:rsidR="00A47524">
        <w:rPr>
          <w:rFonts w:ascii="Times New Roman" w:hAnsi="Times New Roman"/>
        </w:rPr>
        <w:t>d a</w:t>
      </w:r>
      <w:r>
        <w:rPr>
          <w:rFonts w:ascii="Times New Roman" w:hAnsi="Times New Roman"/>
        </w:rPr>
        <w:t xml:space="preserve"> bi-annual instrument proficiency check in </w:t>
      </w:r>
      <w:r w:rsidR="00A47524">
        <w:rPr>
          <w:rFonts w:ascii="Times New Roman" w:hAnsi="Times New Roman"/>
          <w:b/>
        </w:rPr>
        <w:t>an</w:t>
      </w:r>
      <w:r w:rsidR="00A47524">
        <w:rPr>
          <w:rFonts w:ascii="Times New Roman" w:hAnsi="Times New Roman"/>
        </w:rPr>
        <w:t xml:space="preserve"> </w:t>
      </w:r>
      <w:r>
        <w:rPr>
          <w:rFonts w:ascii="Times New Roman" w:hAnsi="Times New Roman"/>
        </w:rPr>
        <w:t>aeroplane type covered by the rating and that is to be flown under the IFR.</w:t>
      </w:r>
    </w:p>
    <w:p w:rsidR="00F15472" w:rsidRPr="00A623C3" w:rsidRDefault="00F15472" w:rsidP="00F15472">
      <w:pPr>
        <w:pStyle w:val="BodyText"/>
        <w:rPr>
          <w:rFonts w:ascii="Times New Roman" w:hAnsi="Times New Roman"/>
        </w:rPr>
      </w:pPr>
    </w:p>
    <w:p w:rsidR="00F15472" w:rsidRPr="00A623C3" w:rsidRDefault="00F15472" w:rsidP="00F15472">
      <w:pPr>
        <w:pStyle w:val="BodyText"/>
        <w:rPr>
          <w:rFonts w:ascii="Times New Roman" w:hAnsi="Times New Roman"/>
          <w:b/>
        </w:rPr>
      </w:pPr>
      <w:r w:rsidRPr="00A623C3">
        <w:rPr>
          <w:rFonts w:ascii="Times New Roman" w:hAnsi="Times New Roman"/>
          <w:b/>
        </w:rPr>
        <w:t>Legislation</w:t>
      </w:r>
      <w:r w:rsidR="00041C40" w:rsidRPr="00A623C3">
        <w:rPr>
          <w:rFonts w:ascii="Times New Roman" w:hAnsi="Times New Roman"/>
          <w:b/>
        </w:rPr>
        <w:t> — CASR Part 61</w:t>
      </w:r>
    </w:p>
    <w:p w:rsidR="00F15472" w:rsidRPr="00A623C3" w:rsidRDefault="00F15472" w:rsidP="00F15472">
      <w:pPr>
        <w:pStyle w:val="BodyText"/>
        <w:rPr>
          <w:rFonts w:ascii="Times New Roman" w:hAnsi="Times New Roman"/>
        </w:rPr>
      </w:pPr>
      <w:r w:rsidRPr="00A623C3">
        <w:rPr>
          <w:rFonts w:ascii="Times New Roman" w:hAnsi="Times New Roman"/>
        </w:rPr>
        <w:t xml:space="preserve">Section 98 of the </w:t>
      </w:r>
      <w:r w:rsidRPr="00A623C3">
        <w:rPr>
          <w:rFonts w:ascii="Times New Roman" w:hAnsi="Times New Roman"/>
          <w:i/>
        </w:rPr>
        <w:t>Civil Aviation Act 1988</w:t>
      </w:r>
      <w:r w:rsidRPr="00A623C3">
        <w:rPr>
          <w:rFonts w:ascii="Times New Roman" w:hAnsi="Times New Roman"/>
        </w:rPr>
        <w:t xml:space="preserve"> (the </w:t>
      </w:r>
      <w:r w:rsidRPr="00A623C3">
        <w:rPr>
          <w:rFonts w:ascii="Times New Roman" w:hAnsi="Times New Roman"/>
          <w:b/>
          <w:i/>
        </w:rPr>
        <w:t>Act</w:t>
      </w:r>
      <w:r w:rsidRPr="00A623C3">
        <w:rPr>
          <w:rFonts w:ascii="Times New Roman" w:hAnsi="Times New Roman"/>
        </w:rPr>
        <w:t>) empowers the Governor-General to make regulations for the Act and the safety of air navigation.</w:t>
      </w:r>
    </w:p>
    <w:p w:rsidR="00F15472" w:rsidRPr="00A623C3" w:rsidRDefault="00F15472" w:rsidP="00F15472">
      <w:pPr>
        <w:pStyle w:val="BodyText"/>
        <w:rPr>
          <w:rFonts w:ascii="Times New Roman" w:hAnsi="Times New Roman"/>
        </w:rPr>
      </w:pPr>
    </w:p>
    <w:p w:rsidR="00F15472" w:rsidRPr="00A623C3" w:rsidRDefault="00F15472" w:rsidP="00F15472">
      <w:pPr>
        <w:pStyle w:val="BodyText"/>
        <w:rPr>
          <w:rFonts w:ascii="Times New Roman" w:hAnsi="Times New Roman"/>
        </w:rPr>
      </w:pPr>
      <w:r w:rsidRPr="00A623C3">
        <w:rPr>
          <w:rFonts w:ascii="Times New Roman" w:hAnsi="Times New Roman"/>
        </w:rPr>
        <w:t xml:space="preserve">Part 61 of the </w:t>
      </w:r>
      <w:r w:rsidRPr="00A623C3">
        <w:rPr>
          <w:rFonts w:ascii="Times New Roman" w:hAnsi="Times New Roman"/>
          <w:i/>
        </w:rPr>
        <w:t>Civil Aviation Safety Regulations 1998</w:t>
      </w:r>
      <w:r w:rsidRPr="00A623C3">
        <w:rPr>
          <w:rFonts w:ascii="Times New Roman" w:hAnsi="Times New Roman"/>
        </w:rPr>
        <w:t xml:space="preserve"> (</w:t>
      </w:r>
      <w:r w:rsidRPr="00A623C3">
        <w:rPr>
          <w:rFonts w:ascii="Times New Roman" w:hAnsi="Times New Roman"/>
          <w:b/>
          <w:i/>
        </w:rPr>
        <w:t>CASR 1998</w:t>
      </w:r>
      <w:r w:rsidRPr="00A623C3">
        <w:rPr>
          <w:rFonts w:ascii="Times New Roman" w:hAnsi="Times New Roman"/>
        </w:rPr>
        <w:t>) sets out flig</w:t>
      </w:r>
      <w:r w:rsidR="00B0578D" w:rsidRPr="00A623C3">
        <w:rPr>
          <w:rFonts w:ascii="Times New Roman" w:hAnsi="Times New Roman"/>
        </w:rPr>
        <w:t>ht crew licensing requirements.</w:t>
      </w:r>
      <w:r w:rsidR="00D61ED8" w:rsidRPr="00A623C3">
        <w:rPr>
          <w:rFonts w:ascii="Times New Roman" w:hAnsi="Times New Roman"/>
        </w:rPr>
        <w:t xml:space="preserve"> </w:t>
      </w:r>
      <w:proofErr w:type="gramStart"/>
      <w:r w:rsidR="00D61ED8" w:rsidRPr="00A623C3">
        <w:rPr>
          <w:rFonts w:ascii="Times New Roman" w:hAnsi="Times New Roman"/>
        </w:rPr>
        <w:t>(References below to provisions that commence with the numerals “61” are to Part 61 of CASR 1998.)</w:t>
      </w:r>
      <w:proofErr w:type="gramEnd"/>
    </w:p>
    <w:p w:rsidR="00D61ED8" w:rsidRPr="00A623C3" w:rsidRDefault="00D61ED8" w:rsidP="00F15472">
      <w:pPr>
        <w:pStyle w:val="BodyText"/>
        <w:rPr>
          <w:rFonts w:ascii="Times New Roman" w:hAnsi="Times New Roman"/>
        </w:rPr>
      </w:pPr>
    </w:p>
    <w:p w:rsidR="00C62571" w:rsidRPr="00A623C3" w:rsidRDefault="0055487B" w:rsidP="0055487B">
      <w:pPr>
        <w:pStyle w:val="BodyText"/>
        <w:rPr>
          <w:rFonts w:ascii="Times New Roman" w:hAnsi="Times New Roman"/>
        </w:rPr>
      </w:pPr>
      <w:r w:rsidRPr="00A623C3">
        <w:rPr>
          <w:rFonts w:ascii="Times New Roman" w:hAnsi="Times New Roman"/>
        </w:rPr>
        <w:t xml:space="preserve">Regulation 61.805 deals with </w:t>
      </w:r>
      <w:bookmarkStart w:id="0" w:name="_Toc438542228"/>
      <w:r w:rsidRPr="00A623C3">
        <w:rPr>
          <w:rFonts w:ascii="Times New Roman" w:hAnsi="Times New Roman"/>
        </w:rPr>
        <w:t>l</w:t>
      </w:r>
      <w:r w:rsidR="00C62571" w:rsidRPr="00A623C3">
        <w:rPr>
          <w:rFonts w:ascii="Times New Roman" w:hAnsi="Times New Roman"/>
        </w:rPr>
        <w:t xml:space="preserve">imitations on </w:t>
      </w:r>
      <w:r w:rsidRPr="00A623C3">
        <w:rPr>
          <w:rFonts w:ascii="Times New Roman" w:hAnsi="Times New Roman"/>
        </w:rPr>
        <w:t xml:space="preserve">the </w:t>
      </w:r>
      <w:r w:rsidR="00C62571" w:rsidRPr="00A623C3">
        <w:rPr>
          <w:rFonts w:ascii="Times New Roman" w:hAnsi="Times New Roman"/>
        </w:rPr>
        <w:t xml:space="preserve">exercise of </w:t>
      </w:r>
      <w:r w:rsidRPr="00A623C3">
        <w:rPr>
          <w:rFonts w:ascii="Times New Roman" w:hAnsi="Times New Roman"/>
        </w:rPr>
        <w:t xml:space="preserve">the </w:t>
      </w:r>
      <w:r w:rsidR="00C62571" w:rsidRPr="00A623C3">
        <w:rPr>
          <w:rFonts w:ascii="Times New Roman" w:hAnsi="Times New Roman"/>
        </w:rPr>
        <w:t>privileges of pilot type ratings</w:t>
      </w:r>
      <w:r w:rsidRPr="00A623C3">
        <w:rPr>
          <w:rFonts w:ascii="Times New Roman" w:hAnsi="Times New Roman"/>
        </w:rPr>
        <w:t xml:space="preserve">, in particular concerning the requirement to have </w:t>
      </w:r>
      <w:r w:rsidR="00C62571" w:rsidRPr="00A623C3">
        <w:rPr>
          <w:rFonts w:ascii="Times New Roman" w:hAnsi="Times New Roman"/>
        </w:rPr>
        <w:t>instrument proficiency check</w:t>
      </w:r>
      <w:bookmarkEnd w:id="0"/>
      <w:r w:rsidR="002113D6" w:rsidRPr="00A623C3">
        <w:rPr>
          <w:rFonts w:ascii="Times New Roman" w:hAnsi="Times New Roman"/>
        </w:rPr>
        <w:t xml:space="preserve">s for flight under the </w:t>
      </w:r>
      <w:r w:rsidR="00ED38A8">
        <w:rPr>
          <w:rFonts w:ascii="Times New Roman" w:hAnsi="Times New Roman"/>
        </w:rPr>
        <w:t>IFR</w:t>
      </w:r>
      <w:r w:rsidR="002113D6" w:rsidRPr="00A623C3">
        <w:rPr>
          <w:rFonts w:ascii="Times New Roman" w:hAnsi="Times New Roman"/>
        </w:rPr>
        <w:t>.</w:t>
      </w:r>
    </w:p>
    <w:p w:rsidR="002113D6" w:rsidRPr="00A623C3" w:rsidRDefault="002113D6" w:rsidP="0055487B">
      <w:pPr>
        <w:pStyle w:val="BodyText"/>
        <w:rPr>
          <w:rFonts w:ascii="Times New Roman" w:hAnsi="Times New Roman"/>
        </w:rPr>
      </w:pPr>
    </w:p>
    <w:p w:rsidR="002113D6" w:rsidRPr="00A623C3" w:rsidRDefault="002113D6" w:rsidP="002113D6">
      <w:pPr>
        <w:pStyle w:val="BodyText"/>
        <w:rPr>
          <w:rFonts w:ascii="Times New Roman" w:hAnsi="Times New Roman"/>
        </w:rPr>
      </w:pPr>
      <w:r w:rsidRPr="00A623C3">
        <w:rPr>
          <w:rFonts w:ascii="Times New Roman" w:hAnsi="Times New Roman"/>
        </w:rPr>
        <w:t xml:space="preserve">Under </w:t>
      </w:r>
      <w:proofErr w:type="spellStart"/>
      <w:r w:rsidRPr="00A623C3">
        <w:rPr>
          <w:rFonts w:ascii="Times New Roman" w:hAnsi="Times New Roman"/>
        </w:rPr>
        <w:t>subregulation</w:t>
      </w:r>
      <w:proofErr w:type="spellEnd"/>
      <w:r w:rsidRPr="00A623C3">
        <w:rPr>
          <w:rFonts w:ascii="Times New Roman" w:hAnsi="Times New Roman"/>
        </w:rPr>
        <w:t xml:space="preserve"> 61.805</w:t>
      </w:r>
      <w:r w:rsidR="00ED38A8">
        <w:rPr>
          <w:rFonts w:ascii="Times New Roman" w:hAnsi="Times New Roman"/>
        </w:rPr>
        <w:t> </w:t>
      </w:r>
      <w:r w:rsidRPr="00A623C3">
        <w:rPr>
          <w:rFonts w:ascii="Times New Roman" w:hAnsi="Times New Roman"/>
        </w:rPr>
        <w:t>(1), t</w:t>
      </w:r>
      <w:r w:rsidR="00C62571" w:rsidRPr="00A623C3">
        <w:rPr>
          <w:rFonts w:ascii="Times New Roman" w:hAnsi="Times New Roman"/>
        </w:rPr>
        <w:t>he holder of a pilot type rating is authorised to exercise the privileges of the rating under the IFR</w:t>
      </w:r>
      <w:r w:rsidRPr="00A623C3">
        <w:rPr>
          <w:rFonts w:ascii="Times New Roman" w:hAnsi="Times New Roman"/>
        </w:rPr>
        <w:t>,</w:t>
      </w:r>
      <w:r w:rsidR="00C62571" w:rsidRPr="00A623C3">
        <w:rPr>
          <w:rFonts w:ascii="Times New Roman" w:hAnsi="Times New Roman"/>
        </w:rPr>
        <w:t xml:space="preserve"> </w:t>
      </w:r>
      <w:r w:rsidRPr="00A623C3">
        <w:rPr>
          <w:rFonts w:ascii="Times New Roman" w:hAnsi="Times New Roman"/>
        </w:rPr>
        <w:t xml:space="preserve">but </w:t>
      </w:r>
      <w:r w:rsidR="00C62571" w:rsidRPr="00A623C3">
        <w:rPr>
          <w:rFonts w:ascii="Times New Roman" w:hAnsi="Times New Roman"/>
        </w:rPr>
        <w:t xml:space="preserve">only if the holder has a valid instrument proficiency check for </w:t>
      </w:r>
      <w:r w:rsidR="00004406">
        <w:rPr>
          <w:rFonts w:ascii="Times New Roman" w:hAnsi="Times New Roman"/>
        </w:rPr>
        <w:t>an</w:t>
      </w:r>
      <w:r w:rsidR="00C62571" w:rsidRPr="00A623C3">
        <w:rPr>
          <w:rFonts w:ascii="Times New Roman" w:hAnsi="Times New Roman"/>
        </w:rPr>
        <w:t xml:space="preserve"> aircraft type covered by the rating.</w:t>
      </w:r>
      <w:r w:rsidRPr="00A623C3">
        <w:rPr>
          <w:rFonts w:ascii="Times New Roman" w:hAnsi="Times New Roman"/>
        </w:rPr>
        <w:t xml:space="preserve"> A </w:t>
      </w:r>
      <w:r w:rsidR="00004406">
        <w:rPr>
          <w:rFonts w:ascii="Times New Roman" w:hAnsi="Times New Roman"/>
        </w:rPr>
        <w:t>single-pilot</w:t>
      </w:r>
      <w:r w:rsidRPr="00A623C3">
        <w:rPr>
          <w:rFonts w:ascii="Times New Roman" w:hAnsi="Times New Roman"/>
        </w:rPr>
        <w:t xml:space="preserve"> type rating can cover a number of different aircraft types.</w:t>
      </w:r>
    </w:p>
    <w:p w:rsidR="002113D6" w:rsidRPr="00A623C3" w:rsidRDefault="002113D6" w:rsidP="002113D6">
      <w:pPr>
        <w:pStyle w:val="BodyText"/>
        <w:rPr>
          <w:rFonts w:ascii="Times New Roman" w:hAnsi="Times New Roman"/>
        </w:rPr>
      </w:pPr>
    </w:p>
    <w:p w:rsidR="003E0426" w:rsidRPr="00ED38A8" w:rsidRDefault="003E0426" w:rsidP="002113D6">
      <w:pPr>
        <w:pStyle w:val="BodyText"/>
        <w:rPr>
          <w:rFonts w:ascii="Arial" w:hAnsi="Arial" w:cs="Arial"/>
          <w:sz w:val="22"/>
          <w:szCs w:val="22"/>
        </w:rPr>
      </w:pPr>
      <w:r w:rsidRPr="00ED38A8">
        <w:rPr>
          <w:rFonts w:ascii="Arial" w:hAnsi="Arial" w:cs="Arial"/>
          <w:sz w:val="22"/>
          <w:szCs w:val="22"/>
        </w:rPr>
        <w:t>Bi-annual instrument proficiency check for the aircraft type covered by a type rating</w:t>
      </w:r>
    </w:p>
    <w:p w:rsidR="003E0426" w:rsidRPr="00A623C3" w:rsidRDefault="003E0426" w:rsidP="002113D6">
      <w:pPr>
        <w:pStyle w:val="BodyText"/>
        <w:rPr>
          <w:rFonts w:ascii="Times New Roman" w:hAnsi="Times New Roman"/>
        </w:rPr>
      </w:pPr>
    </w:p>
    <w:p w:rsidR="002113D6" w:rsidRPr="00A623C3" w:rsidRDefault="002113D6" w:rsidP="002113D6">
      <w:pPr>
        <w:pStyle w:val="BodyText"/>
        <w:rPr>
          <w:rFonts w:ascii="Times New Roman" w:hAnsi="Times New Roman"/>
        </w:rPr>
      </w:pPr>
      <w:r w:rsidRPr="00A623C3">
        <w:rPr>
          <w:rFonts w:ascii="Times New Roman" w:hAnsi="Times New Roman"/>
        </w:rPr>
        <w:t>Under subregulation 61.805</w:t>
      </w:r>
      <w:r w:rsidR="00ED38A8">
        <w:rPr>
          <w:rFonts w:ascii="Times New Roman" w:hAnsi="Times New Roman"/>
        </w:rPr>
        <w:t> </w:t>
      </w:r>
      <w:r w:rsidRPr="00A623C3">
        <w:rPr>
          <w:rFonts w:ascii="Times New Roman" w:hAnsi="Times New Roman"/>
        </w:rPr>
        <w:t xml:space="preserve">(2), the holder of a pilot type rating </w:t>
      </w:r>
      <w:r w:rsidR="00C62571" w:rsidRPr="00A623C3">
        <w:rPr>
          <w:rFonts w:ascii="Times New Roman" w:hAnsi="Times New Roman"/>
        </w:rPr>
        <w:t xml:space="preserve">is taken to have a valid instrument proficiency check for an aircraft type, </w:t>
      </w:r>
      <w:r w:rsidR="00C62571" w:rsidRPr="00A623C3">
        <w:rPr>
          <w:rFonts w:ascii="Times New Roman" w:hAnsi="Times New Roman"/>
          <w:i/>
        </w:rPr>
        <w:t>other than a single</w:t>
      </w:r>
      <w:r w:rsidRPr="00A623C3">
        <w:rPr>
          <w:rFonts w:ascii="Times New Roman" w:hAnsi="Times New Roman"/>
          <w:i/>
        </w:rPr>
        <w:t>-</w:t>
      </w:r>
      <w:r w:rsidR="00C62571" w:rsidRPr="00A623C3">
        <w:rPr>
          <w:rFonts w:ascii="Times New Roman" w:hAnsi="Times New Roman"/>
          <w:i/>
        </w:rPr>
        <w:t>pilot turbojet aeroplane type</w:t>
      </w:r>
      <w:r w:rsidR="00C62571" w:rsidRPr="00A623C3">
        <w:rPr>
          <w:rFonts w:ascii="Times New Roman" w:hAnsi="Times New Roman"/>
        </w:rPr>
        <w:t xml:space="preserve">, </w:t>
      </w:r>
      <w:r w:rsidRPr="00A623C3">
        <w:rPr>
          <w:rFonts w:ascii="Times New Roman" w:hAnsi="Times New Roman"/>
        </w:rPr>
        <w:t>in certain circumstances.</w:t>
      </w:r>
    </w:p>
    <w:p w:rsidR="002113D6" w:rsidRPr="00A623C3" w:rsidRDefault="002113D6" w:rsidP="002113D6">
      <w:pPr>
        <w:pStyle w:val="BodyText"/>
        <w:rPr>
          <w:rFonts w:ascii="Times New Roman" w:hAnsi="Times New Roman"/>
        </w:rPr>
      </w:pPr>
    </w:p>
    <w:p w:rsidR="002113D6" w:rsidRPr="00A623C3" w:rsidRDefault="00E12F38" w:rsidP="002113D6">
      <w:pPr>
        <w:pStyle w:val="BodyText"/>
        <w:rPr>
          <w:rFonts w:ascii="Times New Roman" w:hAnsi="Times New Roman"/>
        </w:rPr>
      </w:pPr>
      <w:r w:rsidRPr="00A623C3">
        <w:rPr>
          <w:rFonts w:ascii="Times New Roman" w:hAnsi="Times New Roman"/>
        </w:rPr>
        <w:t>Thus, under paragraph 61.805</w:t>
      </w:r>
      <w:r w:rsidR="00ED38A8">
        <w:rPr>
          <w:rFonts w:ascii="Times New Roman" w:hAnsi="Times New Roman"/>
        </w:rPr>
        <w:t> </w:t>
      </w:r>
      <w:r w:rsidRPr="00A623C3">
        <w:rPr>
          <w:rFonts w:ascii="Times New Roman" w:hAnsi="Times New Roman"/>
        </w:rPr>
        <w:t>(2)</w:t>
      </w:r>
      <w:r w:rsidR="00ED38A8">
        <w:rPr>
          <w:rFonts w:ascii="Times New Roman" w:hAnsi="Times New Roman"/>
        </w:rPr>
        <w:t> </w:t>
      </w:r>
      <w:r w:rsidRPr="00A623C3">
        <w:rPr>
          <w:rFonts w:ascii="Times New Roman" w:hAnsi="Times New Roman"/>
        </w:rPr>
        <w:t xml:space="preserve">(a), </w:t>
      </w:r>
      <w:r w:rsidR="002113D6" w:rsidRPr="00A623C3">
        <w:rPr>
          <w:rFonts w:ascii="Times New Roman" w:hAnsi="Times New Roman"/>
        </w:rPr>
        <w:t>the holder of a pilot type rating is taken to have a valid instrument proficiency check for an aircraft type</w:t>
      </w:r>
      <w:r w:rsidR="00A47524">
        <w:rPr>
          <w:rFonts w:ascii="Times New Roman" w:hAnsi="Times New Roman"/>
        </w:rPr>
        <w:t xml:space="preserve"> covered by the rating</w:t>
      </w:r>
      <w:r w:rsidR="002113D6" w:rsidRPr="00A623C3">
        <w:rPr>
          <w:rFonts w:ascii="Times New Roman" w:hAnsi="Times New Roman"/>
        </w:rPr>
        <w:t xml:space="preserve">, </w:t>
      </w:r>
      <w:r w:rsidR="002113D6" w:rsidRPr="00A623C3">
        <w:rPr>
          <w:rFonts w:ascii="Times New Roman" w:hAnsi="Times New Roman"/>
          <w:i/>
        </w:rPr>
        <w:t>other than a single-pilot turbojet aeroplane type</w:t>
      </w:r>
      <w:r w:rsidR="002113D6" w:rsidRPr="00A623C3">
        <w:rPr>
          <w:rFonts w:ascii="Times New Roman" w:hAnsi="Times New Roman"/>
        </w:rPr>
        <w:t xml:space="preserve">, during the 24 months from when </w:t>
      </w:r>
      <w:r w:rsidR="00C62571" w:rsidRPr="00A623C3">
        <w:rPr>
          <w:rFonts w:ascii="Times New Roman" w:hAnsi="Times New Roman"/>
        </w:rPr>
        <w:t xml:space="preserve">the holder passes </w:t>
      </w:r>
      <w:r w:rsidR="002113D6" w:rsidRPr="00A623C3">
        <w:rPr>
          <w:rFonts w:ascii="Times New Roman" w:hAnsi="Times New Roman"/>
        </w:rPr>
        <w:t>the flight test for</w:t>
      </w:r>
      <w:r w:rsidRPr="00A623C3">
        <w:rPr>
          <w:rFonts w:ascii="Times New Roman" w:hAnsi="Times New Roman"/>
        </w:rPr>
        <w:t xml:space="preserve"> (among other things)</w:t>
      </w:r>
      <w:r w:rsidR="002113D6" w:rsidRPr="00A623C3">
        <w:rPr>
          <w:rFonts w:ascii="Times New Roman" w:hAnsi="Times New Roman"/>
        </w:rPr>
        <w:t xml:space="preserve"> an instrument rating, in an aircraft of that type</w:t>
      </w:r>
      <w:r w:rsidR="00A47524">
        <w:rPr>
          <w:rFonts w:ascii="Times New Roman" w:hAnsi="Times New Roman"/>
        </w:rPr>
        <w:t xml:space="preserve"> (</w:t>
      </w:r>
      <w:r w:rsidR="002113D6" w:rsidRPr="00A623C3">
        <w:rPr>
          <w:rFonts w:ascii="Times New Roman" w:hAnsi="Times New Roman"/>
          <w:i/>
        </w:rPr>
        <w:t>that is,</w:t>
      </w:r>
      <w:r w:rsidRPr="00A623C3">
        <w:rPr>
          <w:rFonts w:ascii="Times New Roman" w:hAnsi="Times New Roman"/>
          <w:i/>
        </w:rPr>
        <w:t xml:space="preserve"> </w:t>
      </w:r>
      <w:r w:rsidR="002113D6" w:rsidRPr="00A623C3">
        <w:rPr>
          <w:rFonts w:ascii="Times New Roman" w:hAnsi="Times New Roman"/>
          <w:i/>
        </w:rPr>
        <w:t xml:space="preserve">of the type </w:t>
      </w:r>
      <w:r w:rsidR="00004406">
        <w:rPr>
          <w:rFonts w:ascii="Times New Roman" w:hAnsi="Times New Roman"/>
          <w:i/>
        </w:rPr>
        <w:t>which is covered by a type rating that the holder holds</w:t>
      </w:r>
      <w:r w:rsidR="00A47524">
        <w:rPr>
          <w:rFonts w:ascii="Times New Roman" w:hAnsi="Times New Roman"/>
          <w:i/>
        </w:rPr>
        <w:t>)</w:t>
      </w:r>
      <w:r w:rsidR="002113D6" w:rsidRPr="00A623C3">
        <w:rPr>
          <w:rFonts w:ascii="Times New Roman" w:hAnsi="Times New Roman"/>
          <w:i/>
        </w:rPr>
        <w:t>.</w:t>
      </w:r>
    </w:p>
    <w:p w:rsidR="00E12F38" w:rsidRPr="00A623C3" w:rsidRDefault="00E12F38" w:rsidP="002113D6">
      <w:pPr>
        <w:pStyle w:val="BodyText"/>
        <w:rPr>
          <w:rFonts w:ascii="Times New Roman" w:hAnsi="Times New Roman"/>
        </w:rPr>
      </w:pPr>
    </w:p>
    <w:p w:rsidR="00E12F38" w:rsidRPr="00A623C3" w:rsidRDefault="00E12F38" w:rsidP="00E12F38">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(2)</w:t>
      </w:r>
      <w:r w:rsidR="00ED38A8">
        <w:rPr>
          <w:rFonts w:ascii="Times New Roman" w:hAnsi="Times New Roman"/>
        </w:rPr>
        <w:t> </w:t>
      </w:r>
      <w:r w:rsidRPr="00A623C3">
        <w:rPr>
          <w:rFonts w:ascii="Times New Roman" w:hAnsi="Times New Roman"/>
        </w:rPr>
        <w:t xml:space="preserve">(aa), the holder of a pilot type rating is taken to have a valid instrument proficiency check for an aircraft type, </w:t>
      </w:r>
      <w:r w:rsidRPr="00A623C3">
        <w:rPr>
          <w:rFonts w:ascii="Times New Roman" w:hAnsi="Times New Roman"/>
          <w:i/>
        </w:rPr>
        <w:t>other than a single-pilot turbojet aeroplane type</w:t>
      </w:r>
      <w:r w:rsidRPr="00A623C3">
        <w:rPr>
          <w:rFonts w:ascii="Times New Roman" w:hAnsi="Times New Roman"/>
        </w:rPr>
        <w:t xml:space="preserve">, during the 24 months from when the holder passes the flight test for </w:t>
      </w:r>
      <w:r w:rsidR="00C62571" w:rsidRPr="00A623C3">
        <w:rPr>
          <w:rFonts w:ascii="Times New Roman" w:hAnsi="Times New Roman"/>
        </w:rPr>
        <w:t>the pilot type rating in an aircraft under the IFR</w:t>
      </w:r>
      <w:r w:rsidRPr="00A623C3">
        <w:rPr>
          <w:rFonts w:ascii="Times New Roman" w:hAnsi="Times New Roman"/>
        </w:rPr>
        <w:t>.</w:t>
      </w:r>
    </w:p>
    <w:p w:rsidR="00E12F38" w:rsidRPr="00A623C3" w:rsidRDefault="00E12F38" w:rsidP="00E12F38">
      <w:pPr>
        <w:pStyle w:val="BodyText"/>
        <w:rPr>
          <w:rFonts w:ascii="Times New Roman" w:hAnsi="Times New Roman"/>
        </w:rPr>
      </w:pPr>
    </w:p>
    <w:p w:rsidR="00E12F38" w:rsidRPr="00A623C3" w:rsidRDefault="00E12F38" w:rsidP="00E12F38">
      <w:pPr>
        <w:pStyle w:val="BodyText"/>
        <w:rPr>
          <w:rFonts w:ascii="Times New Roman" w:hAnsi="Times New Roman"/>
        </w:rPr>
      </w:pPr>
      <w:r w:rsidRPr="00A623C3">
        <w:rPr>
          <w:rFonts w:ascii="Times New Roman" w:hAnsi="Times New Roman"/>
        </w:rPr>
        <w:lastRenderedPageBreak/>
        <w:t>Under paragraph 61.805</w:t>
      </w:r>
      <w:r w:rsidR="00ED38A8">
        <w:rPr>
          <w:rFonts w:ascii="Times New Roman" w:hAnsi="Times New Roman"/>
        </w:rPr>
        <w:t> </w:t>
      </w:r>
      <w:r w:rsidRPr="00A623C3">
        <w:rPr>
          <w:rFonts w:ascii="Times New Roman" w:hAnsi="Times New Roman"/>
        </w:rPr>
        <w:t>(2)</w:t>
      </w:r>
      <w:r w:rsidR="00ED38A8">
        <w:rPr>
          <w:rFonts w:ascii="Times New Roman" w:hAnsi="Times New Roman"/>
        </w:rPr>
        <w:t> </w:t>
      </w:r>
      <w:r w:rsidRPr="00A623C3">
        <w:rPr>
          <w:rFonts w:ascii="Times New Roman" w:hAnsi="Times New Roman"/>
        </w:rPr>
        <w:t xml:space="preserve">(b), the holder of a pilot type rating is taken to have a valid instrument proficiency check for an aircraft type, </w:t>
      </w:r>
      <w:r w:rsidRPr="00A623C3">
        <w:rPr>
          <w:rFonts w:ascii="Times New Roman" w:hAnsi="Times New Roman"/>
          <w:i/>
        </w:rPr>
        <w:t>other than a single-pilot turbojet aeroplane type</w:t>
      </w:r>
      <w:r w:rsidRPr="00A623C3">
        <w:rPr>
          <w:rFonts w:ascii="Times New Roman" w:hAnsi="Times New Roman"/>
        </w:rPr>
        <w:t xml:space="preserve">, during the 24 months from when the holder (among other things) </w:t>
      </w:r>
      <w:r w:rsidR="00C62571" w:rsidRPr="00A623C3">
        <w:rPr>
          <w:rFonts w:ascii="Times New Roman" w:hAnsi="Times New Roman"/>
        </w:rPr>
        <w:t>passes the flight test for an instrument endorsement in an aircraft of that type</w:t>
      </w:r>
      <w:r w:rsidRPr="00A623C3">
        <w:rPr>
          <w:rFonts w:ascii="Times New Roman" w:hAnsi="Times New Roman"/>
        </w:rPr>
        <w:t>.</w:t>
      </w:r>
    </w:p>
    <w:p w:rsidR="00E12F38" w:rsidRPr="00A623C3" w:rsidRDefault="00E12F38" w:rsidP="00E12F38">
      <w:pPr>
        <w:pStyle w:val="BodyText"/>
        <w:rPr>
          <w:rFonts w:ascii="Times New Roman" w:hAnsi="Times New Roman"/>
        </w:rPr>
      </w:pPr>
    </w:p>
    <w:p w:rsidR="00E12F38" w:rsidRPr="00A623C3" w:rsidRDefault="00E12F38" w:rsidP="00E12F38">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(2)</w:t>
      </w:r>
      <w:r w:rsidR="00ED38A8">
        <w:rPr>
          <w:rFonts w:ascii="Times New Roman" w:hAnsi="Times New Roman"/>
        </w:rPr>
        <w:t> </w:t>
      </w:r>
      <w:r w:rsidRPr="00A623C3">
        <w:rPr>
          <w:rFonts w:ascii="Times New Roman" w:hAnsi="Times New Roman"/>
        </w:rPr>
        <w:t xml:space="preserve">(c), the holder of a pilot type rating is taken to have a valid instrument proficiency check for an aircraft type, </w:t>
      </w:r>
      <w:r w:rsidRPr="00A623C3">
        <w:rPr>
          <w:rFonts w:ascii="Times New Roman" w:hAnsi="Times New Roman"/>
          <w:i/>
        </w:rPr>
        <w:t>other than a single-pilot turbojet aeroplane type</w:t>
      </w:r>
      <w:r w:rsidRPr="00A623C3">
        <w:rPr>
          <w:rFonts w:ascii="Times New Roman" w:hAnsi="Times New Roman"/>
        </w:rPr>
        <w:t xml:space="preserve">, during the 24 months from when </w:t>
      </w:r>
      <w:r w:rsidR="00C62571" w:rsidRPr="00A623C3">
        <w:rPr>
          <w:rFonts w:ascii="Times New Roman" w:hAnsi="Times New Roman"/>
        </w:rPr>
        <w:t>the holder successfully completes an operator proficiency check that covers</w:t>
      </w:r>
      <w:r w:rsidR="0056477D" w:rsidRPr="00A623C3">
        <w:rPr>
          <w:rFonts w:ascii="Times New Roman" w:hAnsi="Times New Roman"/>
        </w:rPr>
        <w:t xml:space="preserve"> certain</w:t>
      </w:r>
      <w:r w:rsidR="00C62571" w:rsidRPr="00A623C3">
        <w:rPr>
          <w:rFonts w:ascii="Times New Roman" w:hAnsi="Times New Roman"/>
        </w:rPr>
        <w:t xml:space="preserve"> IFR operations in an aircraft of that type</w:t>
      </w:r>
      <w:r w:rsidRPr="00A623C3">
        <w:rPr>
          <w:rFonts w:ascii="Times New Roman" w:hAnsi="Times New Roman"/>
        </w:rPr>
        <w:t>.</w:t>
      </w:r>
    </w:p>
    <w:p w:rsidR="0056477D" w:rsidRPr="00A623C3" w:rsidRDefault="0056477D" w:rsidP="00E12F38">
      <w:pPr>
        <w:pStyle w:val="BodyText"/>
        <w:rPr>
          <w:rFonts w:ascii="Times New Roman" w:hAnsi="Times New Roman"/>
        </w:rPr>
      </w:pPr>
    </w:p>
    <w:p w:rsidR="0056477D" w:rsidRPr="00A623C3" w:rsidRDefault="0056477D" w:rsidP="0056477D">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(2)</w:t>
      </w:r>
      <w:r w:rsidR="00ED38A8">
        <w:rPr>
          <w:rFonts w:ascii="Times New Roman" w:hAnsi="Times New Roman"/>
        </w:rPr>
        <w:t> </w:t>
      </w:r>
      <w:r w:rsidRPr="00A623C3">
        <w:rPr>
          <w:rFonts w:ascii="Times New Roman" w:hAnsi="Times New Roman"/>
        </w:rPr>
        <w:t xml:space="preserve">(d), the holder of a pilot type rating is taken to have a valid instrument proficiency check for an aircraft type, </w:t>
      </w:r>
      <w:r w:rsidRPr="00A623C3">
        <w:rPr>
          <w:rFonts w:ascii="Times New Roman" w:hAnsi="Times New Roman"/>
          <w:i/>
        </w:rPr>
        <w:t>other than a single-pilot turbojet aeroplane type</w:t>
      </w:r>
      <w:r w:rsidRPr="00A623C3">
        <w:rPr>
          <w:rFonts w:ascii="Times New Roman" w:hAnsi="Times New Roman"/>
        </w:rPr>
        <w:t xml:space="preserve">, during the </w:t>
      </w:r>
      <w:r w:rsidR="00AA0A0C" w:rsidRPr="00A623C3">
        <w:rPr>
          <w:rFonts w:ascii="Times New Roman" w:hAnsi="Times New Roman"/>
        </w:rPr>
        <w:t>period when the holder is</w:t>
      </w:r>
      <w:r w:rsidR="00C62571" w:rsidRPr="00A623C3">
        <w:rPr>
          <w:rFonts w:ascii="Times New Roman" w:hAnsi="Times New Roman"/>
        </w:rPr>
        <w:t xml:space="preserve"> successfully participating in </w:t>
      </w:r>
      <w:r w:rsidRPr="00A623C3">
        <w:rPr>
          <w:rFonts w:ascii="Times New Roman" w:hAnsi="Times New Roman"/>
        </w:rPr>
        <w:t>certain</w:t>
      </w:r>
      <w:r w:rsidR="00C62571" w:rsidRPr="00A623C3">
        <w:rPr>
          <w:rFonts w:ascii="Times New Roman" w:hAnsi="Times New Roman"/>
        </w:rPr>
        <w:t xml:space="preserve"> operators</w:t>
      </w:r>
      <w:r w:rsidRPr="00A623C3">
        <w:rPr>
          <w:rFonts w:ascii="Times New Roman" w:hAnsi="Times New Roman"/>
        </w:rPr>
        <w:t>’</w:t>
      </w:r>
      <w:r w:rsidR="00C62571" w:rsidRPr="00A623C3">
        <w:rPr>
          <w:rFonts w:ascii="Times New Roman" w:hAnsi="Times New Roman"/>
        </w:rPr>
        <w:t xml:space="preserve"> training and checking for an IFR operation in an aircraft of that type</w:t>
      </w:r>
      <w:r w:rsidRPr="00A623C3">
        <w:rPr>
          <w:rFonts w:ascii="Times New Roman" w:hAnsi="Times New Roman"/>
        </w:rPr>
        <w:t>.</w:t>
      </w:r>
    </w:p>
    <w:p w:rsidR="0056477D" w:rsidRPr="00A623C3" w:rsidRDefault="0056477D" w:rsidP="0056477D">
      <w:pPr>
        <w:pStyle w:val="BodyText"/>
        <w:rPr>
          <w:rFonts w:ascii="Times New Roman" w:hAnsi="Times New Roman"/>
        </w:rPr>
      </w:pPr>
    </w:p>
    <w:p w:rsidR="0056477D" w:rsidRPr="00A623C3" w:rsidRDefault="0056477D" w:rsidP="0056477D">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(2)</w:t>
      </w:r>
      <w:r w:rsidR="00ED38A8">
        <w:rPr>
          <w:rFonts w:ascii="Times New Roman" w:hAnsi="Times New Roman"/>
        </w:rPr>
        <w:t> </w:t>
      </w:r>
      <w:r w:rsidRPr="00A623C3">
        <w:rPr>
          <w:rFonts w:ascii="Times New Roman" w:hAnsi="Times New Roman"/>
        </w:rPr>
        <w:t xml:space="preserve">(e), the holder of a pilot type rating is taken to have a valid instrument proficiency check for an aircraft type, </w:t>
      </w:r>
      <w:r w:rsidRPr="00A623C3">
        <w:rPr>
          <w:rFonts w:ascii="Times New Roman" w:hAnsi="Times New Roman"/>
          <w:i/>
        </w:rPr>
        <w:t>other than a single-pilot turbojet aeroplane type</w:t>
      </w:r>
      <w:r w:rsidRPr="00A623C3">
        <w:rPr>
          <w:rFonts w:ascii="Times New Roman" w:hAnsi="Times New Roman"/>
        </w:rPr>
        <w:t xml:space="preserve">, during the 24 months from when the holder </w:t>
      </w:r>
      <w:r w:rsidR="00C62571" w:rsidRPr="00A623C3">
        <w:rPr>
          <w:rFonts w:ascii="Times New Roman" w:hAnsi="Times New Roman"/>
        </w:rPr>
        <w:t>completes an instrument proficiency check for the aircraft type</w:t>
      </w:r>
      <w:r w:rsidRPr="00A623C3">
        <w:rPr>
          <w:rFonts w:ascii="Times New Roman" w:hAnsi="Times New Roman"/>
        </w:rPr>
        <w:t>.</w:t>
      </w:r>
    </w:p>
    <w:p w:rsidR="0056477D" w:rsidRPr="00A623C3" w:rsidRDefault="0056477D" w:rsidP="0056477D">
      <w:pPr>
        <w:pStyle w:val="BodyText"/>
        <w:rPr>
          <w:rFonts w:ascii="Times New Roman" w:hAnsi="Times New Roman"/>
        </w:rPr>
      </w:pPr>
    </w:p>
    <w:p w:rsidR="0056477D" w:rsidRPr="00A623C3" w:rsidRDefault="0056477D" w:rsidP="0056477D">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(2)</w:t>
      </w:r>
      <w:r w:rsidR="00ED38A8">
        <w:rPr>
          <w:rFonts w:ascii="Times New Roman" w:hAnsi="Times New Roman"/>
        </w:rPr>
        <w:t> </w:t>
      </w:r>
      <w:r w:rsidRPr="00A623C3">
        <w:rPr>
          <w:rFonts w:ascii="Times New Roman" w:hAnsi="Times New Roman"/>
        </w:rPr>
        <w:t xml:space="preserve">(f), the holder of a pilot type rating is taken to have a valid instrument proficiency check for an aircraft type, </w:t>
      </w:r>
      <w:r w:rsidRPr="00A623C3">
        <w:rPr>
          <w:rFonts w:ascii="Times New Roman" w:hAnsi="Times New Roman"/>
          <w:i/>
        </w:rPr>
        <w:t>other than a single-pilot turbojet aeroplane type</w:t>
      </w:r>
      <w:r w:rsidRPr="00A623C3">
        <w:rPr>
          <w:rFonts w:ascii="Times New Roman" w:hAnsi="Times New Roman"/>
        </w:rPr>
        <w:t xml:space="preserve">, during the 24 months from expiry of an </w:t>
      </w:r>
      <w:r w:rsidR="00C62571" w:rsidRPr="00A623C3">
        <w:rPr>
          <w:rFonts w:ascii="Times New Roman" w:hAnsi="Times New Roman"/>
        </w:rPr>
        <w:t xml:space="preserve">existing check </w:t>
      </w:r>
      <w:r w:rsidRPr="00A623C3">
        <w:rPr>
          <w:rFonts w:ascii="Times New Roman" w:hAnsi="Times New Roman"/>
        </w:rPr>
        <w:t>provided that in the 3 months before expiry</w:t>
      </w:r>
      <w:r w:rsidR="00C62571" w:rsidRPr="00A623C3">
        <w:rPr>
          <w:rFonts w:ascii="Times New Roman" w:hAnsi="Times New Roman"/>
        </w:rPr>
        <w:t xml:space="preserve"> the holder </w:t>
      </w:r>
      <w:r w:rsidRPr="00A623C3">
        <w:rPr>
          <w:rFonts w:ascii="Times New Roman" w:hAnsi="Times New Roman"/>
        </w:rPr>
        <w:t xml:space="preserve">has </w:t>
      </w:r>
      <w:r w:rsidR="00C62571" w:rsidRPr="00A623C3">
        <w:rPr>
          <w:rFonts w:ascii="Times New Roman" w:hAnsi="Times New Roman"/>
        </w:rPr>
        <w:t>successfully complete</w:t>
      </w:r>
      <w:r w:rsidRPr="00A623C3">
        <w:rPr>
          <w:rFonts w:ascii="Times New Roman" w:hAnsi="Times New Roman"/>
        </w:rPr>
        <w:t>d</w:t>
      </w:r>
      <w:r w:rsidR="00C62571" w:rsidRPr="00A623C3">
        <w:rPr>
          <w:rFonts w:ascii="Times New Roman" w:hAnsi="Times New Roman"/>
        </w:rPr>
        <w:t xml:space="preserve"> an instrument proficiency check for the aircraft type</w:t>
      </w:r>
      <w:r w:rsidRPr="00A623C3">
        <w:rPr>
          <w:rFonts w:ascii="Times New Roman" w:hAnsi="Times New Roman"/>
        </w:rPr>
        <w:t>.</w:t>
      </w:r>
    </w:p>
    <w:p w:rsidR="003E0426" w:rsidRPr="00A623C3" w:rsidRDefault="003E0426" w:rsidP="0056477D">
      <w:pPr>
        <w:pStyle w:val="BodyText"/>
        <w:rPr>
          <w:rFonts w:ascii="Times New Roman" w:hAnsi="Times New Roman"/>
        </w:rPr>
      </w:pPr>
    </w:p>
    <w:p w:rsidR="003E0426" w:rsidRPr="00ED38A8" w:rsidRDefault="003E0426" w:rsidP="003E0426">
      <w:pPr>
        <w:pStyle w:val="BodyText"/>
        <w:rPr>
          <w:rFonts w:ascii="Arial" w:hAnsi="Arial" w:cs="Arial"/>
          <w:sz w:val="22"/>
          <w:szCs w:val="22"/>
        </w:rPr>
      </w:pPr>
      <w:r w:rsidRPr="001040D9">
        <w:rPr>
          <w:rFonts w:ascii="Arial" w:hAnsi="Arial" w:cs="Arial"/>
          <w:sz w:val="22"/>
          <w:szCs w:val="22"/>
        </w:rPr>
        <w:t xml:space="preserve">Annual instrument proficiency check for </w:t>
      </w:r>
      <w:r w:rsidR="00004406" w:rsidRPr="001040D9">
        <w:rPr>
          <w:rFonts w:ascii="Arial" w:hAnsi="Arial" w:cs="Arial"/>
          <w:sz w:val="22"/>
          <w:szCs w:val="22"/>
        </w:rPr>
        <w:t>single-pilot</w:t>
      </w:r>
      <w:r w:rsidRPr="001040D9">
        <w:rPr>
          <w:rFonts w:ascii="Arial" w:hAnsi="Arial" w:cs="Arial"/>
          <w:sz w:val="22"/>
          <w:szCs w:val="22"/>
        </w:rPr>
        <w:t xml:space="preserve"> turbojet aeroplanes covered by a type rating</w:t>
      </w:r>
    </w:p>
    <w:p w:rsidR="003E0426" w:rsidRPr="00F52DEF" w:rsidRDefault="003E0426" w:rsidP="0056477D">
      <w:pPr>
        <w:pStyle w:val="BodyText"/>
        <w:rPr>
          <w:rFonts w:ascii="Times New Roman" w:hAnsi="Times New Roman"/>
        </w:rPr>
      </w:pPr>
    </w:p>
    <w:p w:rsidR="003E0426" w:rsidRPr="00A623C3" w:rsidRDefault="003E0426" w:rsidP="003E0426">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(3)</w:t>
      </w:r>
      <w:r w:rsidR="00ED38A8">
        <w:rPr>
          <w:rFonts w:ascii="Times New Roman" w:hAnsi="Times New Roman"/>
        </w:rPr>
        <w:t> </w:t>
      </w:r>
      <w:r w:rsidRPr="00A623C3">
        <w:rPr>
          <w:rFonts w:ascii="Times New Roman" w:hAnsi="Times New Roman"/>
        </w:rPr>
        <w:t xml:space="preserve">(a), the holder of a pilot type rating is taken to have a valid instrument proficiency check </w:t>
      </w:r>
      <w:r w:rsidRPr="00A623C3">
        <w:rPr>
          <w:rFonts w:ascii="Times New Roman" w:hAnsi="Times New Roman"/>
          <w:i/>
        </w:rPr>
        <w:t>for a single-pilot turbojet aeroplane type</w:t>
      </w:r>
      <w:r w:rsidRPr="00A623C3">
        <w:rPr>
          <w:rFonts w:ascii="Times New Roman" w:hAnsi="Times New Roman"/>
        </w:rPr>
        <w:t>, during the 12</w:t>
      </w:r>
      <w:r w:rsidR="008E708F">
        <w:rPr>
          <w:rFonts w:ascii="Times New Roman" w:hAnsi="Times New Roman"/>
        </w:rPr>
        <w:t> </w:t>
      </w:r>
      <w:r w:rsidRPr="00A623C3">
        <w:rPr>
          <w:rFonts w:ascii="Times New Roman" w:hAnsi="Times New Roman"/>
        </w:rPr>
        <w:t xml:space="preserve">months from when the holder passes the flight test for (among other things) an instrument rating, in an aircraft of that type, </w:t>
      </w:r>
      <w:r w:rsidRPr="00A623C3">
        <w:rPr>
          <w:rFonts w:ascii="Times New Roman" w:hAnsi="Times New Roman"/>
          <w:i/>
        </w:rPr>
        <w:t>that is, a single-pilot turbojet aeroplane type for which the holder holds a type rating.</w:t>
      </w:r>
      <w:r w:rsidRPr="00A623C3">
        <w:rPr>
          <w:rFonts w:ascii="Times New Roman" w:hAnsi="Times New Roman"/>
        </w:rPr>
        <w:t xml:space="preserve"> </w:t>
      </w:r>
    </w:p>
    <w:p w:rsidR="00AA0A0C" w:rsidRPr="00A623C3" w:rsidRDefault="00AA0A0C" w:rsidP="003E0426">
      <w:pPr>
        <w:pStyle w:val="BodyText"/>
        <w:rPr>
          <w:rFonts w:ascii="Times New Roman" w:hAnsi="Times New Roman"/>
        </w:rPr>
      </w:pPr>
    </w:p>
    <w:p w:rsidR="00AA0A0C" w:rsidRPr="00A623C3" w:rsidRDefault="00AA0A0C" w:rsidP="00AA0A0C">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(3)</w:t>
      </w:r>
      <w:r w:rsidR="00ED38A8">
        <w:rPr>
          <w:rFonts w:ascii="Times New Roman" w:hAnsi="Times New Roman"/>
        </w:rPr>
        <w:t> </w:t>
      </w:r>
      <w:r w:rsidRPr="00A623C3">
        <w:rPr>
          <w:rFonts w:ascii="Times New Roman" w:hAnsi="Times New Roman"/>
        </w:rPr>
        <w:t xml:space="preserve">(b), the holder of a pilot type rating is taken to have a valid instrument proficiency check </w:t>
      </w:r>
      <w:r w:rsidRPr="00A623C3">
        <w:rPr>
          <w:rFonts w:ascii="Times New Roman" w:hAnsi="Times New Roman"/>
          <w:i/>
        </w:rPr>
        <w:t>for a single-pilot turbojet aeroplane type</w:t>
      </w:r>
      <w:r w:rsidRPr="00A623C3">
        <w:rPr>
          <w:rFonts w:ascii="Times New Roman" w:hAnsi="Times New Roman"/>
        </w:rPr>
        <w:t>, during the 12</w:t>
      </w:r>
      <w:r w:rsidR="008E708F">
        <w:rPr>
          <w:rFonts w:ascii="Times New Roman" w:hAnsi="Times New Roman"/>
        </w:rPr>
        <w:t> </w:t>
      </w:r>
      <w:r w:rsidRPr="00A623C3">
        <w:rPr>
          <w:rFonts w:ascii="Times New Roman" w:hAnsi="Times New Roman"/>
        </w:rPr>
        <w:t>months from when the holder (among other things) passes the flight test for an instrument endorsement in an aircraft of that type.</w:t>
      </w:r>
    </w:p>
    <w:p w:rsidR="00AA0A0C" w:rsidRPr="00A623C3" w:rsidRDefault="00AA0A0C" w:rsidP="00AA0A0C">
      <w:pPr>
        <w:pStyle w:val="BodyText"/>
        <w:rPr>
          <w:rFonts w:ascii="Times New Roman" w:hAnsi="Times New Roman"/>
        </w:rPr>
      </w:pPr>
    </w:p>
    <w:p w:rsidR="00AA0A0C" w:rsidRPr="00A623C3" w:rsidRDefault="00AA0A0C" w:rsidP="00AA0A0C">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(3)</w:t>
      </w:r>
      <w:r w:rsidR="00ED38A8">
        <w:rPr>
          <w:rFonts w:ascii="Times New Roman" w:hAnsi="Times New Roman"/>
        </w:rPr>
        <w:t> </w:t>
      </w:r>
      <w:r w:rsidRPr="00A623C3">
        <w:rPr>
          <w:rFonts w:ascii="Times New Roman" w:hAnsi="Times New Roman"/>
        </w:rPr>
        <w:t xml:space="preserve">(c), the holder of a pilot type rating is taken to have a valid instrument proficiency check </w:t>
      </w:r>
      <w:r w:rsidRPr="00A623C3">
        <w:rPr>
          <w:rFonts w:ascii="Times New Roman" w:hAnsi="Times New Roman"/>
          <w:i/>
        </w:rPr>
        <w:t>for a single-pilot turbojet aeroplane type</w:t>
      </w:r>
      <w:r w:rsidRPr="00A623C3">
        <w:rPr>
          <w:rFonts w:ascii="Times New Roman" w:hAnsi="Times New Roman"/>
        </w:rPr>
        <w:t>, during the 12</w:t>
      </w:r>
      <w:r w:rsidR="00F52DEF">
        <w:rPr>
          <w:rFonts w:ascii="Times New Roman" w:hAnsi="Times New Roman"/>
        </w:rPr>
        <w:t> </w:t>
      </w:r>
      <w:r w:rsidRPr="00A623C3">
        <w:rPr>
          <w:rFonts w:ascii="Times New Roman" w:hAnsi="Times New Roman"/>
        </w:rPr>
        <w:t>months from when the holder successfully completes an operator proficiency check that covers certain IFR operations in an aircraft of that type.</w:t>
      </w:r>
    </w:p>
    <w:p w:rsidR="00AA0A0C" w:rsidRPr="00A623C3" w:rsidRDefault="00AA0A0C" w:rsidP="00AA0A0C">
      <w:pPr>
        <w:pStyle w:val="BodyText"/>
        <w:rPr>
          <w:rFonts w:ascii="Times New Roman" w:hAnsi="Times New Roman"/>
        </w:rPr>
      </w:pPr>
    </w:p>
    <w:p w:rsidR="00AA0A0C" w:rsidRPr="00A623C3" w:rsidRDefault="00AA0A0C" w:rsidP="00AA0A0C">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(3)</w:t>
      </w:r>
      <w:r w:rsidR="00ED38A8">
        <w:rPr>
          <w:rFonts w:ascii="Times New Roman" w:hAnsi="Times New Roman"/>
        </w:rPr>
        <w:t> </w:t>
      </w:r>
      <w:r w:rsidRPr="00A623C3">
        <w:rPr>
          <w:rFonts w:ascii="Times New Roman" w:hAnsi="Times New Roman"/>
        </w:rPr>
        <w:t xml:space="preserve">(d), the holder of a pilot type rating is taken to have a valid instrument proficiency check </w:t>
      </w:r>
      <w:r w:rsidRPr="00A623C3">
        <w:rPr>
          <w:rFonts w:ascii="Times New Roman" w:hAnsi="Times New Roman"/>
          <w:i/>
        </w:rPr>
        <w:t>for a single-pilot turbojet aeroplane type</w:t>
      </w:r>
      <w:r w:rsidRPr="00A623C3">
        <w:rPr>
          <w:rFonts w:ascii="Times New Roman" w:hAnsi="Times New Roman"/>
        </w:rPr>
        <w:t>, during the period when the holder is successfully participating in certain operators’ training and checking for an IFR operation in an aircraft of that type.</w:t>
      </w:r>
    </w:p>
    <w:p w:rsidR="00AA0A0C" w:rsidRPr="00A623C3" w:rsidRDefault="00AA0A0C" w:rsidP="00AA0A0C">
      <w:pPr>
        <w:pStyle w:val="BodyText"/>
        <w:rPr>
          <w:rFonts w:ascii="Times New Roman" w:hAnsi="Times New Roman"/>
        </w:rPr>
      </w:pPr>
    </w:p>
    <w:p w:rsidR="00AA0A0C" w:rsidRPr="00A623C3" w:rsidRDefault="00AA0A0C" w:rsidP="00AA0A0C">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(3)</w:t>
      </w:r>
      <w:r w:rsidR="00ED38A8">
        <w:rPr>
          <w:rFonts w:ascii="Times New Roman" w:hAnsi="Times New Roman"/>
        </w:rPr>
        <w:t> </w:t>
      </w:r>
      <w:r w:rsidRPr="00A623C3">
        <w:rPr>
          <w:rFonts w:ascii="Times New Roman" w:hAnsi="Times New Roman"/>
        </w:rPr>
        <w:t xml:space="preserve">(e), the holder of a pilot type rating is taken to have a valid instrument proficiency check </w:t>
      </w:r>
      <w:r w:rsidRPr="00A623C3">
        <w:rPr>
          <w:rFonts w:ascii="Times New Roman" w:hAnsi="Times New Roman"/>
          <w:i/>
        </w:rPr>
        <w:t>for a single-pilot turbojet aeroplane type</w:t>
      </w:r>
      <w:r w:rsidRPr="00A623C3">
        <w:rPr>
          <w:rFonts w:ascii="Times New Roman" w:hAnsi="Times New Roman"/>
        </w:rPr>
        <w:t xml:space="preserve">, during the </w:t>
      </w:r>
      <w:r w:rsidRPr="00A623C3">
        <w:rPr>
          <w:rFonts w:ascii="Times New Roman" w:hAnsi="Times New Roman"/>
        </w:rPr>
        <w:lastRenderedPageBreak/>
        <w:t>12</w:t>
      </w:r>
      <w:r w:rsidR="001040D9">
        <w:rPr>
          <w:rFonts w:ascii="Times New Roman" w:hAnsi="Times New Roman"/>
        </w:rPr>
        <w:t> </w:t>
      </w:r>
      <w:r w:rsidRPr="00A623C3">
        <w:rPr>
          <w:rFonts w:ascii="Times New Roman" w:hAnsi="Times New Roman"/>
        </w:rPr>
        <w:t>months from when the holder completes an instrument proficiency check for the aircraft type.</w:t>
      </w:r>
    </w:p>
    <w:p w:rsidR="00AA0A0C" w:rsidRPr="00A623C3" w:rsidRDefault="00AA0A0C" w:rsidP="00AA0A0C">
      <w:pPr>
        <w:pStyle w:val="BodyText"/>
        <w:rPr>
          <w:rFonts w:ascii="Times New Roman" w:hAnsi="Times New Roman"/>
        </w:rPr>
      </w:pPr>
    </w:p>
    <w:p w:rsidR="00AA0A0C" w:rsidRPr="00A623C3" w:rsidRDefault="00AA0A0C" w:rsidP="00AA0A0C">
      <w:pPr>
        <w:pStyle w:val="BodyText"/>
        <w:rPr>
          <w:rFonts w:ascii="Times New Roman" w:hAnsi="Times New Roman"/>
        </w:rPr>
      </w:pPr>
      <w:r w:rsidRPr="00A623C3">
        <w:rPr>
          <w:rFonts w:ascii="Times New Roman" w:hAnsi="Times New Roman"/>
        </w:rPr>
        <w:t>Under paragraph 61.805</w:t>
      </w:r>
      <w:r w:rsidR="00ED38A8">
        <w:rPr>
          <w:rFonts w:ascii="Times New Roman" w:hAnsi="Times New Roman"/>
        </w:rPr>
        <w:t> </w:t>
      </w:r>
      <w:r w:rsidRPr="00A623C3">
        <w:rPr>
          <w:rFonts w:ascii="Times New Roman" w:hAnsi="Times New Roman"/>
        </w:rPr>
        <w:t>(3)</w:t>
      </w:r>
      <w:r w:rsidR="00ED38A8">
        <w:rPr>
          <w:rFonts w:ascii="Times New Roman" w:hAnsi="Times New Roman"/>
        </w:rPr>
        <w:t> </w:t>
      </w:r>
      <w:r w:rsidRPr="00A623C3">
        <w:rPr>
          <w:rFonts w:ascii="Times New Roman" w:hAnsi="Times New Roman"/>
        </w:rPr>
        <w:t xml:space="preserve">(f), the holder of a pilot type rating is taken to have a valid instrument proficiency check </w:t>
      </w:r>
      <w:r w:rsidRPr="00A623C3">
        <w:rPr>
          <w:rFonts w:ascii="Times New Roman" w:hAnsi="Times New Roman"/>
          <w:i/>
        </w:rPr>
        <w:t>for a single-pilot turbojet aeroplane type</w:t>
      </w:r>
      <w:r w:rsidRPr="00A623C3">
        <w:rPr>
          <w:rFonts w:ascii="Times New Roman" w:hAnsi="Times New Roman"/>
        </w:rPr>
        <w:t>, during the 12</w:t>
      </w:r>
      <w:r w:rsidR="001040D9">
        <w:rPr>
          <w:rFonts w:ascii="Times New Roman" w:hAnsi="Times New Roman"/>
        </w:rPr>
        <w:t> </w:t>
      </w:r>
      <w:r w:rsidRPr="00A623C3">
        <w:rPr>
          <w:rFonts w:ascii="Times New Roman" w:hAnsi="Times New Roman"/>
        </w:rPr>
        <w:t>months from expiry of an existing check provided that in the 3 months before expiry the holder has successfully completed an instrument proficiency check for the aircraft type.</w:t>
      </w:r>
    </w:p>
    <w:p w:rsidR="00AA0A0C" w:rsidRDefault="00AA0A0C" w:rsidP="003E0426">
      <w:pPr>
        <w:pStyle w:val="BodyText"/>
        <w:rPr>
          <w:rFonts w:ascii="Times New Roman" w:hAnsi="Times New Roman"/>
        </w:rPr>
      </w:pPr>
    </w:p>
    <w:p w:rsidR="00664B8C" w:rsidRPr="00ED38A8" w:rsidRDefault="00664B8C" w:rsidP="003E0426">
      <w:pPr>
        <w:pStyle w:val="BodyText"/>
        <w:rPr>
          <w:rFonts w:ascii="Arial" w:hAnsi="Arial" w:cs="Arial"/>
          <w:sz w:val="22"/>
          <w:szCs w:val="22"/>
        </w:rPr>
      </w:pPr>
      <w:r w:rsidRPr="00ED38A8">
        <w:rPr>
          <w:rFonts w:ascii="Arial" w:hAnsi="Arial" w:cs="Arial"/>
          <w:sz w:val="22"/>
          <w:szCs w:val="22"/>
        </w:rPr>
        <w:t>Relevant ancillary provisions</w:t>
      </w:r>
    </w:p>
    <w:p w:rsidR="00664B8C" w:rsidRDefault="00664B8C" w:rsidP="00664B8C">
      <w:pPr>
        <w:pStyle w:val="BodyText"/>
        <w:rPr>
          <w:rFonts w:ascii="Times New Roman" w:hAnsi="Times New Roman"/>
        </w:rPr>
      </w:pPr>
      <w:r>
        <w:rPr>
          <w:rFonts w:ascii="Times New Roman" w:hAnsi="Times New Roman"/>
        </w:rPr>
        <w:t xml:space="preserve">Under </w:t>
      </w:r>
      <w:proofErr w:type="spellStart"/>
      <w:r>
        <w:rPr>
          <w:rFonts w:ascii="Times New Roman" w:hAnsi="Times New Roman"/>
        </w:rPr>
        <w:t>subregulation</w:t>
      </w:r>
      <w:proofErr w:type="spellEnd"/>
      <w:r>
        <w:rPr>
          <w:rFonts w:ascii="Times New Roman" w:hAnsi="Times New Roman"/>
        </w:rPr>
        <w:t xml:space="preserve"> 61.805</w:t>
      </w:r>
      <w:r w:rsidR="00ED38A8">
        <w:rPr>
          <w:rFonts w:ascii="Times New Roman" w:hAnsi="Times New Roman"/>
        </w:rPr>
        <w:t> </w:t>
      </w:r>
      <w:r>
        <w:rPr>
          <w:rFonts w:ascii="Times New Roman" w:hAnsi="Times New Roman"/>
        </w:rPr>
        <w:t>(5), f</w:t>
      </w:r>
      <w:r w:rsidRPr="00F8739B">
        <w:t xml:space="preserve">or </w:t>
      </w:r>
      <w:r>
        <w:t>paragraphs 61.805</w:t>
      </w:r>
      <w:r w:rsidR="00ED38A8">
        <w:t> </w:t>
      </w:r>
      <w:r w:rsidRPr="00F8739B">
        <w:t>(3)</w:t>
      </w:r>
      <w:r w:rsidR="00ED38A8">
        <w:t> </w:t>
      </w:r>
      <w:r w:rsidRPr="00F8739B">
        <w:t>(e) and (f)</w:t>
      </w:r>
      <w:r>
        <w:t xml:space="preserve"> described above</w:t>
      </w:r>
      <w:r w:rsidRPr="00F8739B">
        <w:t xml:space="preserve">, the holder </w:t>
      </w:r>
      <w:r>
        <w:t xml:space="preserve">of a pilot type rating for </w:t>
      </w:r>
      <w:r w:rsidRPr="00664B8C">
        <w:rPr>
          <w:rFonts w:ascii="Times New Roman" w:hAnsi="Times New Roman"/>
        </w:rPr>
        <w:t>a single-pilot turbojet aeroplane type</w:t>
      </w:r>
      <w:r w:rsidRPr="00A623C3">
        <w:rPr>
          <w:rFonts w:ascii="Times New Roman" w:hAnsi="Times New Roman"/>
        </w:rPr>
        <w:t xml:space="preserve">, </w:t>
      </w:r>
      <w:r w:rsidRPr="00F8739B">
        <w:t xml:space="preserve">successfully completes an instrument proficiency check for </w:t>
      </w:r>
      <w:r w:rsidRPr="00664B8C">
        <w:rPr>
          <w:i/>
        </w:rPr>
        <w:t>the relevant aircraft</w:t>
      </w:r>
      <w:r w:rsidRPr="00F8739B">
        <w:t xml:space="preserve"> if</w:t>
      </w:r>
      <w:r>
        <w:t xml:space="preserve">, among other things, a particular assessment of the holder’s competency is carried out by CASA or an approved person. The relevant aircraft is the </w:t>
      </w:r>
      <w:r w:rsidRPr="00664B8C">
        <w:rPr>
          <w:rFonts w:ascii="Times New Roman" w:hAnsi="Times New Roman"/>
        </w:rPr>
        <w:t>single-pilot turbojet aeroplane type</w:t>
      </w:r>
      <w:r>
        <w:rPr>
          <w:rFonts w:ascii="Times New Roman" w:hAnsi="Times New Roman"/>
        </w:rPr>
        <w:t xml:space="preserve"> covered by the rating.</w:t>
      </w:r>
    </w:p>
    <w:p w:rsidR="00664B8C" w:rsidRDefault="00664B8C" w:rsidP="00664B8C">
      <w:pPr>
        <w:pStyle w:val="BodyText"/>
        <w:rPr>
          <w:rFonts w:ascii="Times New Roman" w:hAnsi="Times New Roman"/>
        </w:rPr>
      </w:pPr>
    </w:p>
    <w:p w:rsidR="00F00E34" w:rsidRDefault="00664B8C" w:rsidP="00F00E34">
      <w:pPr>
        <w:pStyle w:val="BodyText"/>
        <w:rPr>
          <w:rFonts w:ascii="Times New Roman" w:hAnsi="Times New Roman"/>
        </w:rPr>
      </w:pPr>
      <w:r>
        <w:rPr>
          <w:rFonts w:ascii="Times New Roman" w:hAnsi="Times New Roman"/>
        </w:rPr>
        <w:t xml:space="preserve">Under </w:t>
      </w:r>
      <w:proofErr w:type="spellStart"/>
      <w:r>
        <w:rPr>
          <w:rFonts w:ascii="Times New Roman" w:hAnsi="Times New Roman"/>
        </w:rPr>
        <w:t>subregulation</w:t>
      </w:r>
      <w:proofErr w:type="spellEnd"/>
      <w:r>
        <w:rPr>
          <w:rFonts w:ascii="Times New Roman" w:hAnsi="Times New Roman"/>
        </w:rPr>
        <w:t xml:space="preserve"> 61.805</w:t>
      </w:r>
      <w:r w:rsidR="00ED38A8">
        <w:rPr>
          <w:rFonts w:ascii="Times New Roman" w:hAnsi="Times New Roman"/>
        </w:rPr>
        <w:t> </w:t>
      </w:r>
      <w:r>
        <w:rPr>
          <w:rFonts w:ascii="Times New Roman" w:hAnsi="Times New Roman"/>
        </w:rPr>
        <w:t>(6), f</w:t>
      </w:r>
      <w:r w:rsidRPr="00F8739B">
        <w:t xml:space="preserve">or </w:t>
      </w:r>
      <w:r>
        <w:t>paragraphs 61.805</w:t>
      </w:r>
      <w:r w:rsidR="00ED38A8">
        <w:t> </w:t>
      </w:r>
      <w:r w:rsidRPr="00F8739B">
        <w:t>(3)</w:t>
      </w:r>
      <w:r w:rsidR="00ED38A8">
        <w:t> </w:t>
      </w:r>
      <w:r w:rsidRPr="00F8739B">
        <w:t>(e) and (f)</w:t>
      </w:r>
      <w:r w:rsidR="0071261B">
        <w:t xml:space="preserve"> described above</w:t>
      </w:r>
      <w:r w:rsidRPr="00F8739B">
        <w:t>, the instrument proficiency check must be conducted in a relevant aircraft or an approved flight simulation training device for the proficiency check.</w:t>
      </w:r>
      <w:r w:rsidR="00F00E34">
        <w:t xml:space="preserve"> Once again, the relevant aircraft is the </w:t>
      </w:r>
      <w:r w:rsidR="00F00E34" w:rsidRPr="00664B8C">
        <w:rPr>
          <w:rFonts w:ascii="Times New Roman" w:hAnsi="Times New Roman"/>
        </w:rPr>
        <w:t>single-pilot turbojet aeroplane type</w:t>
      </w:r>
      <w:r w:rsidR="00F00E34">
        <w:rPr>
          <w:rFonts w:ascii="Times New Roman" w:hAnsi="Times New Roman"/>
        </w:rPr>
        <w:t xml:space="preserve"> covered by the rating; and the </w:t>
      </w:r>
      <w:r w:rsidR="00F00E34" w:rsidRPr="00F8739B">
        <w:t>approved flight simulation training device</w:t>
      </w:r>
      <w:r w:rsidR="00F00E34">
        <w:t xml:space="preserve"> is a device for the </w:t>
      </w:r>
      <w:r w:rsidR="00F00E34" w:rsidRPr="00664B8C">
        <w:rPr>
          <w:rFonts w:ascii="Times New Roman" w:hAnsi="Times New Roman"/>
        </w:rPr>
        <w:t>single-pilot turbojet aeroplane type</w:t>
      </w:r>
      <w:r w:rsidR="00F00E34">
        <w:rPr>
          <w:rFonts w:ascii="Times New Roman" w:hAnsi="Times New Roman"/>
        </w:rPr>
        <w:t xml:space="preserve"> covered by the rating.</w:t>
      </w:r>
    </w:p>
    <w:p w:rsidR="00664B8C" w:rsidRPr="00F8739B" w:rsidRDefault="00664B8C" w:rsidP="00664B8C">
      <w:pPr>
        <w:pStyle w:val="BodyText"/>
      </w:pPr>
    </w:p>
    <w:p w:rsidR="00F15472" w:rsidRPr="00A623C3" w:rsidRDefault="00F15472" w:rsidP="00F15472">
      <w:pPr>
        <w:pStyle w:val="BodyText"/>
        <w:rPr>
          <w:rFonts w:ascii="Times New Roman" w:hAnsi="Times New Roman"/>
          <w:b/>
        </w:rPr>
      </w:pPr>
      <w:r w:rsidRPr="00A623C3">
        <w:rPr>
          <w:rFonts w:ascii="Times New Roman" w:hAnsi="Times New Roman"/>
          <w:b/>
        </w:rPr>
        <w:t>Legislation — exemptions</w:t>
      </w:r>
    </w:p>
    <w:p w:rsidR="00F15472" w:rsidRPr="00A623C3" w:rsidRDefault="00F15472" w:rsidP="00F15472">
      <w:pPr>
        <w:rPr>
          <w:rFonts w:ascii="Times New Roman" w:hAnsi="Times New Roman"/>
        </w:rPr>
      </w:pPr>
      <w:r w:rsidRPr="00A623C3">
        <w:rPr>
          <w:rFonts w:ascii="Times New Roman" w:hAnsi="Times New Roman"/>
        </w:rPr>
        <w:t>Subpart 11.F of CASR 1998 deals with exemptions. Under subregulation 11.160 (1), and for subsection 98</w:t>
      </w:r>
      <w:r w:rsidR="0087565B" w:rsidRPr="00A623C3">
        <w:rPr>
          <w:rFonts w:ascii="Times New Roman" w:hAnsi="Times New Roman"/>
        </w:rPr>
        <w:t> </w:t>
      </w:r>
      <w:r w:rsidRPr="00A623C3">
        <w:rPr>
          <w:rFonts w:ascii="Times New Roman" w:hAnsi="Times New Roman"/>
        </w:rPr>
        <w:t>(5A) of the Act, CASA may, by instrument, grant an exemption from a provision of CASR 1998 in relation to a matter mentioned in subsection 98</w:t>
      </w:r>
      <w:r w:rsidR="003F6830" w:rsidRPr="00A623C3">
        <w:rPr>
          <w:rFonts w:ascii="Times New Roman" w:hAnsi="Times New Roman"/>
        </w:rPr>
        <w:t> </w:t>
      </w:r>
      <w:r w:rsidRPr="00A623C3">
        <w:rPr>
          <w:rFonts w:ascii="Times New Roman" w:hAnsi="Times New Roman"/>
        </w:rPr>
        <w:t xml:space="preserve">(5A). </w:t>
      </w:r>
      <w:r w:rsidR="00E16CFE" w:rsidRPr="00A623C3">
        <w:rPr>
          <w:rFonts w:ascii="Times New Roman" w:hAnsi="Times New Roman"/>
        </w:rPr>
        <w:t>Subsection 98</w:t>
      </w:r>
      <w:r w:rsidR="003F6830" w:rsidRPr="00A623C3">
        <w:rPr>
          <w:rFonts w:ascii="Times New Roman" w:hAnsi="Times New Roman"/>
        </w:rPr>
        <w:t> </w:t>
      </w:r>
      <w:r w:rsidR="00E16CFE" w:rsidRPr="00A623C3">
        <w:rPr>
          <w:rFonts w:ascii="Times New Roman" w:hAnsi="Times New Roman"/>
        </w:rPr>
        <w:t>(5A) matters are, in effect, those affecting the safety, airworthiness or design of aircraft.</w:t>
      </w:r>
    </w:p>
    <w:p w:rsidR="00F15472" w:rsidRPr="00A623C3" w:rsidRDefault="00F15472" w:rsidP="00F15472">
      <w:pPr>
        <w:pStyle w:val="LDBodytext"/>
      </w:pPr>
    </w:p>
    <w:p w:rsidR="00F15472" w:rsidRPr="00A623C3" w:rsidRDefault="00F15472" w:rsidP="00F15472">
      <w:pPr>
        <w:pStyle w:val="LDBodytext"/>
      </w:pPr>
      <w:r w:rsidRPr="00A623C3">
        <w:t>Under subregulation 11.160</w:t>
      </w:r>
      <w:r w:rsidR="0087565B" w:rsidRPr="00A623C3">
        <w:t> </w:t>
      </w:r>
      <w:r w:rsidRPr="00A623C3">
        <w:t>(2), an exemption may be granted to a person or a class of persons. Under subregulation 11.160 (3), CASA may grant an exemption on application, or on its own initiative. For an application for an exemption, CASA must regard as paramount the preservation of</w:t>
      </w:r>
      <w:r w:rsidR="00695F02" w:rsidRPr="00A623C3">
        <w:t xml:space="preserve"> an acceptable level of safety.</w:t>
      </w:r>
    </w:p>
    <w:p w:rsidR="00F15472" w:rsidRPr="00A623C3" w:rsidRDefault="00F15472" w:rsidP="00F15472">
      <w:pPr>
        <w:pStyle w:val="LDBodytext"/>
      </w:pPr>
    </w:p>
    <w:p w:rsidR="00F15472" w:rsidRPr="00A623C3" w:rsidRDefault="00F15472" w:rsidP="00F15472">
      <w:pPr>
        <w:pStyle w:val="LDBodytext"/>
      </w:pPr>
      <w:r w:rsidRPr="00A623C3">
        <w:t>For making a decision on its own initiative, CASA is guided by the requirement in subsection 9A</w:t>
      </w:r>
      <w:r w:rsidR="0087565B" w:rsidRPr="00A623C3">
        <w:t> </w:t>
      </w:r>
      <w:r w:rsidRPr="00A623C3">
        <w:t>(1) of the Act that in exercising its powers and functions CASA must regard the safety of air navigation as the most important consideration.</w:t>
      </w:r>
    </w:p>
    <w:p w:rsidR="00F15472" w:rsidRPr="00A623C3" w:rsidRDefault="00F15472" w:rsidP="00F15472">
      <w:pPr>
        <w:rPr>
          <w:rFonts w:ascii="Times New Roman" w:hAnsi="Times New Roman"/>
        </w:rPr>
      </w:pPr>
    </w:p>
    <w:p w:rsidR="00F15472" w:rsidRPr="00A623C3" w:rsidRDefault="00F15472" w:rsidP="00F15472">
      <w:pPr>
        <w:rPr>
          <w:rFonts w:ascii="Times New Roman" w:hAnsi="Times New Roman"/>
        </w:rPr>
      </w:pPr>
      <w:r w:rsidRPr="00A623C3">
        <w:rPr>
          <w:rFonts w:ascii="Times New Roman" w:hAnsi="Times New Roman"/>
        </w:rPr>
        <w:t>Under regulation 11.205, CASA may impose conditions on an exemption if necessary in the interests of the safety of air navigation. Under regulation 11.210, it is a strict liability offence not to comply with the obligations imposed by a condition. Under regulation 11.225, CASA must, as soon as practicable, publish on the Internet details of all</w:t>
      </w:r>
      <w:r w:rsidR="001040D9">
        <w:rPr>
          <w:rFonts w:ascii="Times New Roman" w:hAnsi="Times New Roman"/>
        </w:rPr>
        <w:t xml:space="preserve"> exemptions under Subpart 11.F.</w:t>
      </w:r>
    </w:p>
    <w:p w:rsidR="00F15472" w:rsidRPr="00A623C3" w:rsidRDefault="00F15472" w:rsidP="00F15472">
      <w:pPr>
        <w:rPr>
          <w:rFonts w:ascii="Times New Roman" w:hAnsi="Times New Roman"/>
        </w:rPr>
      </w:pPr>
    </w:p>
    <w:p w:rsidR="00F15472" w:rsidRPr="00A623C3" w:rsidRDefault="00F15472" w:rsidP="00F15472">
      <w:pPr>
        <w:rPr>
          <w:rFonts w:ascii="Times New Roman" w:hAnsi="Times New Roman"/>
        </w:rPr>
      </w:pPr>
      <w:r w:rsidRPr="00A623C3">
        <w:rPr>
          <w:rFonts w:ascii="Times New Roman" w:hAnsi="Times New Roman"/>
        </w:rPr>
        <w:t>Under subregulation 11.230</w:t>
      </w:r>
      <w:r w:rsidR="0087565B" w:rsidRPr="00A623C3">
        <w:rPr>
          <w:rFonts w:ascii="Times New Roman" w:hAnsi="Times New Roman"/>
        </w:rPr>
        <w:t> </w:t>
      </w:r>
      <w:r w:rsidRPr="00A623C3">
        <w:rPr>
          <w:rFonts w:ascii="Times New Roman" w:hAnsi="Times New Roman"/>
        </w:rPr>
        <w:t>(1), an exemption (but not an exceptional circumstances exemption for regulation 11.185 about major emergencies) may remain in force for 3</w:t>
      </w:r>
      <w:r w:rsidR="0087565B" w:rsidRPr="00A623C3">
        <w:rPr>
          <w:rFonts w:ascii="Times New Roman" w:hAnsi="Times New Roman"/>
        </w:rPr>
        <w:t> </w:t>
      </w:r>
      <w:r w:rsidRPr="00A623C3">
        <w:rPr>
          <w:rFonts w:ascii="Times New Roman" w:hAnsi="Times New Roman"/>
        </w:rPr>
        <w:t>years or for a shorter peri</w:t>
      </w:r>
      <w:r w:rsidR="001040D9">
        <w:rPr>
          <w:rFonts w:ascii="Times New Roman" w:hAnsi="Times New Roman"/>
        </w:rPr>
        <w:t>od specified in the instrument.</w:t>
      </w:r>
    </w:p>
    <w:p w:rsidR="00F15472" w:rsidRPr="00A623C3" w:rsidRDefault="00F15472" w:rsidP="00F15472">
      <w:pPr>
        <w:rPr>
          <w:rFonts w:ascii="Times New Roman" w:hAnsi="Times New Roman"/>
        </w:rPr>
      </w:pPr>
    </w:p>
    <w:p w:rsidR="00A623C3" w:rsidRDefault="00F15472" w:rsidP="00A623C3">
      <w:pPr>
        <w:rPr>
          <w:rFonts w:ascii="Times New Roman" w:hAnsi="Times New Roman"/>
        </w:rPr>
      </w:pPr>
      <w:r w:rsidRPr="00A623C3">
        <w:rPr>
          <w:rFonts w:ascii="Times New Roman" w:hAnsi="Times New Roman"/>
        </w:rPr>
        <w:t>Under subregulation 11.230</w:t>
      </w:r>
      <w:r w:rsidR="0087565B" w:rsidRPr="00A623C3">
        <w:rPr>
          <w:rFonts w:ascii="Times New Roman" w:hAnsi="Times New Roman"/>
        </w:rPr>
        <w:t> </w:t>
      </w:r>
      <w:r w:rsidRPr="00A623C3">
        <w:rPr>
          <w:rFonts w:ascii="Times New Roman" w:hAnsi="Times New Roman"/>
        </w:rPr>
        <w:t>(3), an exemption in force in relation to a particular aircraft owned by a particular person, ceases to be in force when the aircraft ceases to be owned by that person. Under regulation 11.235, an exemption is not transferable (as between operators, aircraft etc.).</w:t>
      </w:r>
    </w:p>
    <w:p w:rsidR="00A623C3" w:rsidRDefault="00A623C3" w:rsidP="00A623C3">
      <w:pPr>
        <w:rPr>
          <w:rFonts w:ascii="Times New Roman" w:hAnsi="Times New Roman"/>
        </w:rPr>
      </w:pPr>
    </w:p>
    <w:p w:rsidR="00A623C3" w:rsidRDefault="00E16CFE" w:rsidP="00A623C3">
      <w:pPr>
        <w:rPr>
          <w:rFonts w:ascii="Times New Roman" w:hAnsi="Times New Roman"/>
          <w:b/>
        </w:rPr>
      </w:pPr>
      <w:r w:rsidRPr="00A623C3">
        <w:rPr>
          <w:rFonts w:ascii="Times New Roman" w:hAnsi="Times New Roman"/>
          <w:b/>
        </w:rPr>
        <w:t>Background</w:t>
      </w:r>
    </w:p>
    <w:p w:rsidR="00BD60B7" w:rsidRDefault="00A623C3" w:rsidP="00BD60B7">
      <w:pPr>
        <w:rPr>
          <w:rFonts w:ascii="Times New Roman" w:eastAsiaTheme="minorHAnsi" w:hAnsi="Times New Roman"/>
        </w:rPr>
      </w:pPr>
      <w:proofErr w:type="gramStart"/>
      <w:r>
        <w:rPr>
          <w:rFonts w:ascii="Times New Roman" w:hAnsi="Times New Roman"/>
        </w:rPr>
        <w:t xml:space="preserve">Regulation </w:t>
      </w:r>
      <w:r w:rsidR="007472C1" w:rsidRPr="00A623C3">
        <w:rPr>
          <w:rFonts w:ascii="Times New Roman" w:hAnsi="Times New Roman"/>
        </w:rPr>
        <w:t>61</w:t>
      </w:r>
      <w:r>
        <w:rPr>
          <w:rFonts w:ascii="Times New Roman" w:hAnsi="Times New Roman"/>
        </w:rPr>
        <w:t>.805</w:t>
      </w:r>
      <w:r w:rsidR="007472C1" w:rsidRPr="00A623C3">
        <w:rPr>
          <w:rFonts w:ascii="Times New Roman" w:hAnsi="Times New Roman"/>
        </w:rPr>
        <w:t xml:space="preserve"> commenced on 1 September 2014.</w:t>
      </w:r>
      <w:proofErr w:type="gramEnd"/>
      <w:r w:rsidR="007472C1" w:rsidRPr="00A623C3">
        <w:rPr>
          <w:rFonts w:ascii="Times New Roman" w:hAnsi="Times New Roman"/>
        </w:rPr>
        <w:t xml:space="preserve"> </w:t>
      </w:r>
      <w:r w:rsidRPr="00A623C3">
        <w:rPr>
          <w:rFonts w:ascii="Times New Roman" w:eastAsiaTheme="minorHAnsi" w:hAnsi="Times New Roman"/>
        </w:rPr>
        <w:t xml:space="preserve">Under the </w:t>
      </w:r>
      <w:r>
        <w:rPr>
          <w:rFonts w:ascii="Times New Roman" w:eastAsiaTheme="minorHAnsi" w:hAnsi="Times New Roman"/>
        </w:rPr>
        <w:t xml:space="preserve">previous licensing rules, </w:t>
      </w:r>
      <w:r w:rsidRPr="00A623C3">
        <w:rPr>
          <w:rFonts w:ascii="Times New Roman" w:eastAsiaTheme="minorHAnsi" w:hAnsi="Times New Roman"/>
        </w:rPr>
        <w:t xml:space="preserve">pilots </w:t>
      </w:r>
      <w:r w:rsidRPr="00B66A5E">
        <w:rPr>
          <w:rFonts w:ascii="Times New Roman" w:hAnsi="Times New Roman"/>
        </w:rPr>
        <w:t>conducting</w:t>
      </w:r>
      <w:r w:rsidRPr="00B66A5E">
        <w:rPr>
          <w:rFonts w:ascii="Times New Roman" w:eastAsiaTheme="minorHAnsi" w:hAnsi="Times New Roman"/>
        </w:rPr>
        <w:t xml:space="preserve"> </w:t>
      </w:r>
      <w:r w:rsidRPr="00A623C3">
        <w:rPr>
          <w:rFonts w:ascii="Times New Roman" w:eastAsiaTheme="minorHAnsi" w:hAnsi="Times New Roman"/>
        </w:rPr>
        <w:t>IFR operations as pilot</w:t>
      </w:r>
      <w:r w:rsidR="00AC0919">
        <w:rPr>
          <w:rFonts w:ascii="Times New Roman" w:eastAsiaTheme="minorHAnsi" w:hAnsi="Times New Roman"/>
        </w:rPr>
        <w:t xml:space="preserve"> in </w:t>
      </w:r>
      <w:r w:rsidRPr="00A623C3">
        <w:rPr>
          <w:rFonts w:ascii="Times New Roman" w:eastAsiaTheme="minorHAnsi" w:hAnsi="Times New Roman"/>
        </w:rPr>
        <w:t xml:space="preserve">command only needed to complete an instrument rating renewal in </w:t>
      </w:r>
      <w:r w:rsidRPr="00A623C3">
        <w:rPr>
          <w:rFonts w:ascii="Times New Roman" w:eastAsiaTheme="minorHAnsi" w:hAnsi="Times New Roman"/>
          <w:i/>
        </w:rPr>
        <w:t>an aircraft</w:t>
      </w:r>
      <w:r w:rsidRPr="00A623C3">
        <w:rPr>
          <w:rFonts w:ascii="Times New Roman" w:eastAsiaTheme="minorHAnsi" w:hAnsi="Times New Roman"/>
        </w:rPr>
        <w:t xml:space="preserve"> covered by the instrument rating. For example, to operate a multi-engine aeroplane</w:t>
      </w:r>
      <w:r>
        <w:rPr>
          <w:rFonts w:ascii="Times New Roman" w:eastAsiaTheme="minorHAnsi" w:hAnsi="Times New Roman"/>
        </w:rPr>
        <w:t xml:space="preserve"> under the</w:t>
      </w:r>
      <w:r w:rsidRPr="00A623C3">
        <w:rPr>
          <w:rFonts w:ascii="Times New Roman" w:eastAsiaTheme="minorHAnsi" w:hAnsi="Times New Roman"/>
        </w:rPr>
        <w:t xml:space="preserve"> IFR, the pilot </w:t>
      </w:r>
      <w:r>
        <w:rPr>
          <w:rFonts w:ascii="Times New Roman" w:eastAsiaTheme="minorHAnsi" w:hAnsi="Times New Roman"/>
        </w:rPr>
        <w:t>was required</w:t>
      </w:r>
      <w:r w:rsidRPr="00A623C3">
        <w:rPr>
          <w:rFonts w:ascii="Times New Roman" w:eastAsiaTheme="minorHAnsi" w:hAnsi="Times New Roman"/>
        </w:rPr>
        <w:t xml:space="preserve"> to have a current command (multi-engine aeroplane) grade of instrument rating. There were no </w:t>
      </w:r>
      <w:r w:rsidRPr="00A623C3">
        <w:rPr>
          <w:rFonts w:ascii="Times New Roman" w:eastAsiaTheme="minorHAnsi" w:hAnsi="Times New Roman"/>
          <w:i/>
        </w:rPr>
        <w:t>type-specific</w:t>
      </w:r>
      <w:r w:rsidRPr="00A623C3">
        <w:rPr>
          <w:rFonts w:ascii="Times New Roman" w:eastAsiaTheme="minorHAnsi" w:hAnsi="Times New Roman"/>
        </w:rPr>
        <w:t xml:space="preserve"> renewals required.</w:t>
      </w:r>
      <w:r w:rsidR="00A47524">
        <w:rPr>
          <w:rFonts w:ascii="Times New Roman" w:eastAsiaTheme="minorHAnsi" w:hAnsi="Times New Roman"/>
        </w:rPr>
        <w:t xml:space="preserve"> The rating authorised the holder to conduct a flight under the IFR in any multi-engine or single engine aeroplane.</w:t>
      </w:r>
    </w:p>
    <w:p w:rsidR="00BD60B7" w:rsidRDefault="00BD60B7" w:rsidP="00BD60B7">
      <w:pPr>
        <w:rPr>
          <w:rFonts w:ascii="Times New Roman" w:eastAsiaTheme="minorHAnsi" w:hAnsi="Times New Roman"/>
        </w:rPr>
      </w:pPr>
    </w:p>
    <w:p w:rsidR="00A623C3" w:rsidRDefault="00A623C3" w:rsidP="00BD60B7">
      <w:pPr>
        <w:rPr>
          <w:rFonts w:ascii="Times New Roman" w:eastAsiaTheme="minorHAnsi" w:hAnsi="Times New Roman"/>
        </w:rPr>
      </w:pPr>
      <w:r>
        <w:rPr>
          <w:rFonts w:ascii="Times New Roman" w:eastAsiaTheme="minorHAnsi" w:hAnsi="Times New Roman"/>
        </w:rPr>
        <w:t xml:space="preserve">As set out in detail above, </w:t>
      </w:r>
      <w:r w:rsidRPr="00A623C3">
        <w:rPr>
          <w:rFonts w:ascii="Times New Roman" w:eastAsiaTheme="minorHAnsi" w:hAnsi="Times New Roman"/>
        </w:rPr>
        <w:t>Part 61 introduced new requirements for pilots operating type-rated aircraft under the IFR. Th</w:t>
      </w:r>
      <w:r>
        <w:rPr>
          <w:rFonts w:ascii="Times New Roman" w:eastAsiaTheme="minorHAnsi" w:hAnsi="Times New Roman"/>
        </w:rPr>
        <w:t>ose</w:t>
      </w:r>
      <w:r w:rsidRPr="00A623C3">
        <w:rPr>
          <w:rFonts w:ascii="Times New Roman" w:eastAsiaTheme="minorHAnsi" w:hAnsi="Times New Roman"/>
        </w:rPr>
        <w:t xml:space="preserve"> requirements mean</w:t>
      </w:r>
      <w:r>
        <w:rPr>
          <w:rFonts w:ascii="Times New Roman" w:eastAsiaTheme="minorHAnsi" w:hAnsi="Times New Roman"/>
        </w:rPr>
        <w:t>t that</w:t>
      </w:r>
      <w:r w:rsidRPr="00A623C3">
        <w:rPr>
          <w:rFonts w:ascii="Times New Roman" w:eastAsiaTheme="minorHAnsi" w:hAnsi="Times New Roman"/>
        </w:rPr>
        <w:t>:</w:t>
      </w:r>
    </w:p>
    <w:p w:rsidR="00A623C3" w:rsidRPr="00A623C3" w:rsidRDefault="00A623C3" w:rsidP="00BD60B7">
      <w:pPr>
        <w:pStyle w:val="ListParagraph"/>
        <w:numPr>
          <w:ilvl w:val="0"/>
          <w:numId w:val="6"/>
        </w:numPr>
        <w:tabs>
          <w:tab w:val="clear" w:pos="567"/>
        </w:tabs>
        <w:overflowPunct/>
        <w:spacing w:before="200"/>
        <w:textAlignment w:val="auto"/>
        <w:rPr>
          <w:rFonts w:ascii="Times New Roman" w:eastAsiaTheme="minorHAnsi" w:hAnsi="Times New Roman"/>
        </w:rPr>
      </w:pPr>
      <w:r w:rsidRPr="00A623C3">
        <w:rPr>
          <w:rFonts w:ascii="Times New Roman" w:eastAsiaTheme="minorHAnsi" w:hAnsi="Times New Roman"/>
        </w:rPr>
        <w:t xml:space="preserve">the pilot must have completed, within the previous 24 months, an instrument proficiency check conducted in an aircraft covered by the type rating (see </w:t>
      </w:r>
      <w:proofErr w:type="spellStart"/>
      <w:r w:rsidRPr="00A623C3">
        <w:rPr>
          <w:rFonts w:ascii="Times New Roman" w:eastAsiaTheme="minorHAnsi" w:hAnsi="Times New Roman"/>
        </w:rPr>
        <w:t>subregulation</w:t>
      </w:r>
      <w:proofErr w:type="spellEnd"/>
      <w:r w:rsidRPr="00A623C3">
        <w:rPr>
          <w:rFonts w:ascii="Times New Roman" w:eastAsiaTheme="minorHAnsi" w:hAnsi="Times New Roman"/>
        </w:rPr>
        <w:t xml:space="preserve"> 61.805</w:t>
      </w:r>
      <w:r w:rsidR="00ED38A8">
        <w:rPr>
          <w:rFonts w:ascii="Times New Roman" w:eastAsiaTheme="minorHAnsi" w:hAnsi="Times New Roman"/>
        </w:rPr>
        <w:t> </w:t>
      </w:r>
      <w:r w:rsidR="00800D7E">
        <w:rPr>
          <w:rFonts w:ascii="Times New Roman" w:eastAsiaTheme="minorHAnsi" w:hAnsi="Times New Roman"/>
        </w:rPr>
        <w:t>(2)); and</w:t>
      </w:r>
    </w:p>
    <w:p w:rsidR="00BD60B7" w:rsidRDefault="00A623C3" w:rsidP="00BD60B7">
      <w:pPr>
        <w:pStyle w:val="ListParagraph"/>
        <w:numPr>
          <w:ilvl w:val="0"/>
          <w:numId w:val="6"/>
        </w:numPr>
        <w:tabs>
          <w:tab w:val="clear" w:pos="567"/>
        </w:tabs>
        <w:overflowPunct/>
        <w:spacing w:before="200"/>
        <w:textAlignment w:val="auto"/>
        <w:rPr>
          <w:rFonts w:ascii="Times New Roman" w:eastAsiaTheme="minorHAnsi" w:hAnsi="Times New Roman"/>
        </w:rPr>
      </w:pPr>
      <w:r w:rsidRPr="00BD60B7">
        <w:rPr>
          <w:rFonts w:ascii="Times New Roman" w:eastAsiaTheme="minorHAnsi" w:hAnsi="Times New Roman"/>
        </w:rPr>
        <w:t>for single-pilot turbojet aeroplanes, the pilot must have completed, within the previous 12 months, an</w:t>
      </w:r>
      <w:r w:rsidR="00BD60B7" w:rsidRPr="00BD60B7">
        <w:rPr>
          <w:rFonts w:ascii="Times New Roman" w:eastAsiaTheme="minorHAnsi" w:hAnsi="Times New Roman"/>
        </w:rPr>
        <w:t xml:space="preserve"> instrument proficiency check</w:t>
      </w:r>
      <w:r w:rsidRPr="00BD60B7">
        <w:rPr>
          <w:rFonts w:ascii="Times New Roman" w:eastAsiaTheme="minorHAnsi" w:hAnsi="Times New Roman"/>
        </w:rPr>
        <w:t xml:space="preserve"> in </w:t>
      </w:r>
      <w:r w:rsidRPr="00BD60B7">
        <w:rPr>
          <w:rFonts w:ascii="Times New Roman" w:eastAsiaTheme="minorHAnsi" w:hAnsi="Times New Roman"/>
          <w:i/>
        </w:rPr>
        <w:t>an aircraft covered by the type rating</w:t>
      </w:r>
      <w:r w:rsidRPr="00BD60B7">
        <w:rPr>
          <w:rFonts w:ascii="Times New Roman" w:eastAsiaTheme="minorHAnsi" w:hAnsi="Times New Roman"/>
        </w:rPr>
        <w:t xml:space="preserve"> (see subregulation 61.805</w:t>
      </w:r>
      <w:r w:rsidR="00ED38A8">
        <w:rPr>
          <w:rFonts w:ascii="Times New Roman" w:eastAsiaTheme="minorHAnsi" w:hAnsi="Times New Roman"/>
        </w:rPr>
        <w:t> </w:t>
      </w:r>
      <w:r w:rsidRPr="00BD60B7">
        <w:rPr>
          <w:rFonts w:ascii="Times New Roman" w:eastAsiaTheme="minorHAnsi" w:hAnsi="Times New Roman"/>
        </w:rPr>
        <w:t>(3)</w:t>
      </w:r>
      <w:r w:rsidR="00F74035" w:rsidRPr="00BD60B7">
        <w:rPr>
          <w:rFonts w:ascii="Times New Roman" w:eastAsiaTheme="minorHAnsi" w:hAnsi="Times New Roman"/>
        </w:rPr>
        <w:t>)</w:t>
      </w:r>
      <w:r w:rsidRPr="00BD60B7">
        <w:rPr>
          <w:rFonts w:ascii="Times New Roman" w:eastAsiaTheme="minorHAnsi" w:hAnsi="Times New Roman"/>
        </w:rPr>
        <w:t>.</w:t>
      </w:r>
    </w:p>
    <w:p w:rsidR="00BD60B7" w:rsidRDefault="00BD60B7" w:rsidP="00A623C3">
      <w:pPr>
        <w:tabs>
          <w:tab w:val="clear" w:pos="567"/>
        </w:tabs>
        <w:overflowPunct/>
        <w:spacing w:before="200"/>
        <w:textAlignment w:val="auto"/>
        <w:rPr>
          <w:rFonts w:ascii="Times New Roman" w:eastAsiaTheme="minorHAnsi" w:hAnsi="Times New Roman"/>
        </w:rPr>
      </w:pPr>
      <w:r w:rsidRPr="00BD60B7">
        <w:rPr>
          <w:rFonts w:ascii="Times New Roman" w:eastAsiaTheme="minorHAnsi" w:hAnsi="Times New Roman"/>
        </w:rPr>
        <w:t>Subregulation 61.805</w:t>
      </w:r>
      <w:r w:rsidR="00ED38A8">
        <w:rPr>
          <w:rFonts w:ascii="Times New Roman" w:eastAsiaTheme="minorHAnsi" w:hAnsi="Times New Roman"/>
        </w:rPr>
        <w:t> </w:t>
      </w:r>
      <w:r w:rsidRPr="00BD60B7">
        <w:rPr>
          <w:rFonts w:ascii="Times New Roman" w:eastAsiaTheme="minorHAnsi" w:hAnsi="Times New Roman"/>
        </w:rPr>
        <w:t>(3) aimed to address the safety concerns associated with operating complex, high performance aeroplanes under the IFR. These aircraft typically have complex systems and in certain circumstances high workload situations can arise for the pilot. The purpose of the 12</w:t>
      </w:r>
      <w:r w:rsidR="007C3996">
        <w:rPr>
          <w:rFonts w:ascii="Times New Roman" w:eastAsiaTheme="minorHAnsi" w:hAnsi="Times New Roman"/>
        </w:rPr>
        <w:t>-m</w:t>
      </w:r>
      <w:r w:rsidRPr="00BD60B7">
        <w:rPr>
          <w:rFonts w:ascii="Times New Roman" w:eastAsiaTheme="minorHAnsi" w:hAnsi="Times New Roman"/>
        </w:rPr>
        <w:t xml:space="preserve">onthly instrument proficiency in </w:t>
      </w:r>
      <w:r w:rsidRPr="00BD60B7">
        <w:rPr>
          <w:rFonts w:ascii="Times New Roman" w:eastAsiaTheme="minorHAnsi" w:hAnsi="Times New Roman"/>
          <w:i/>
        </w:rPr>
        <w:t>an aircraft covered by the type rating</w:t>
      </w:r>
      <w:r w:rsidRPr="00BD60B7">
        <w:rPr>
          <w:rFonts w:ascii="Times New Roman" w:eastAsiaTheme="minorHAnsi" w:hAnsi="Times New Roman"/>
        </w:rPr>
        <w:t xml:space="preserve"> was to provide an acceptable level of assurance that pilots would be competent operating these kinds of aircraft </w:t>
      </w:r>
      <w:r w:rsidR="00A47524">
        <w:rPr>
          <w:rFonts w:ascii="Times New Roman" w:eastAsiaTheme="minorHAnsi" w:hAnsi="Times New Roman"/>
        </w:rPr>
        <w:t xml:space="preserve">that have higher cognitive workloads </w:t>
      </w:r>
      <w:r w:rsidR="00767F43">
        <w:rPr>
          <w:rFonts w:ascii="Times New Roman" w:eastAsiaTheme="minorHAnsi" w:hAnsi="Times New Roman"/>
        </w:rPr>
        <w:t xml:space="preserve">without the assistance of a </w:t>
      </w:r>
      <w:r w:rsidR="00A47524">
        <w:rPr>
          <w:rFonts w:ascii="Times New Roman" w:eastAsiaTheme="minorHAnsi" w:hAnsi="Times New Roman"/>
        </w:rPr>
        <w:t>co-pilot</w:t>
      </w:r>
      <w:r w:rsidRPr="00BD60B7">
        <w:rPr>
          <w:rFonts w:ascii="Times New Roman" w:eastAsiaTheme="minorHAnsi" w:hAnsi="Times New Roman"/>
        </w:rPr>
        <w:t>.</w:t>
      </w:r>
    </w:p>
    <w:p w:rsidR="00A623C3" w:rsidRDefault="00F74035" w:rsidP="00A623C3">
      <w:pPr>
        <w:tabs>
          <w:tab w:val="clear" w:pos="567"/>
        </w:tabs>
        <w:overflowPunct/>
        <w:spacing w:before="200"/>
        <w:textAlignment w:val="auto"/>
        <w:rPr>
          <w:rFonts w:ascii="Times New Roman" w:eastAsiaTheme="minorHAnsi" w:hAnsi="Times New Roman"/>
        </w:rPr>
      </w:pPr>
      <w:r>
        <w:rPr>
          <w:rFonts w:ascii="Times New Roman" w:eastAsiaTheme="minorHAnsi" w:hAnsi="Times New Roman"/>
        </w:rPr>
        <w:t>In the light of experience,</w:t>
      </w:r>
      <w:r w:rsidR="00BD60B7">
        <w:rPr>
          <w:rFonts w:ascii="Times New Roman" w:eastAsiaTheme="minorHAnsi" w:hAnsi="Times New Roman"/>
        </w:rPr>
        <w:t xml:space="preserve"> however,</w:t>
      </w:r>
      <w:r>
        <w:rPr>
          <w:rFonts w:ascii="Times New Roman" w:eastAsiaTheme="minorHAnsi" w:hAnsi="Times New Roman"/>
        </w:rPr>
        <w:t xml:space="preserve"> </w:t>
      </w:r>
      <w:r w:rsidR="00BD60B7">
        <w:rPr>
          <w:rFonts w:ascii="Times New Roman" w:eastAsiaTheme="minorHAnsi" w:hAnsi="Times New Roman"/>
        </w:rPr>
        <w:t>including discussions with the Flight Crew Licensing (</w:t>
      </w:r>
      <w:r w:rsidR="00BD60B7" w:rsidRPr="00BD60B7">
        <w:rPr>
          <w:rFonts w:ascii="Times New Roman" w:eastAsiaTheme="minorHAnsi" w:hAnsi="Times New Roman"/>
          <w:b/>
          <w:i/>
        </w:rPr>
        <w:t>FCL</w:t>
      </w:r>
      <w:r w:rsidR="00BD60B7">
        <w:rPr>
          <w:rFonts w:ascii="Times New Roman" w:eastAsiaTheme="minorHAnsi" w:hAnsi="Times New Roman"/>
        </w:rPr>
        <w:t>) Subcommittee of the Standards Consultative Committee (</w:t>
      </w:r>
      <w:r w:rsidR="00BD60B7" w:rsidRPr="00BD60B7">
        <w:rPr>
          <w:rFonts w:ascii="Times New Roman" w:eastAsiaTheme="minorHAnsi" w:hAnsi="Times New Roman"/>
          <w:b/>
          <w:i/>
        </w:rPr>
        <w:t>SCC</w:t>
      </w:r>
      <w:r w:rsidR="00BD60B7">
        <w:rPr>
          <w:rFonts w:ascii="Times New Roman" w:eastAsiaTheme="minorHAnsi" w:hAnsi="Times New Roman"/>
        </w:rPr>
        <w:t xml:space="preserve">), </w:t>
      </w:r>
      <w:r>
        <w:rPr>
          <w:rFonts w:ascii="Times New Roman" w:eastAsiaTheme="minorHAnsi" w:hAnsi="Times New Roman"/>
        </w:rPr>
        <w:t>CASA now considers that, relative to the interests of aviation safety, this second requirement</w:t>
      </w:r>
      <w:r w:rsidR="00BD60B7">
        <w:rPr>
          <w:rFonts w:ascii="Times New Roman" w:eastAsiaTheme="minorHAnsi" w:hAnsi="Times New Roman"/>
        </w:rPr>
        <w:t xml:space="preserve">, insisting on </w:t>
      </w:r>
      <w:r w:rsidR="00BD60B7" w:rsidRPr="00BD60B7">
        <w:rPr>
          <w:rFonts w:ascii="Times New Roman" w:eastAsiaTheme="minorHAnsi" w:hAnsi="Times New Roman"/>
        </w:rPr>
        <w:t>12</w:t>
      </w:r>
      <w:r w:rsidR="007C3996">
        <w:rPr>
          <w:rFonts w:ascii="Times New Roman" w:eastAsiaTheme="minorHAnsi" w:hAnsi="Times New Roman"/>
        </w:rPr>
        <w:t>-</w:t>
      </w:r>
      <w:r w:rsidR="00BD60B7" w:rsidRPr="00BD60B7">
        <w:rPr>
          <w:rFonts w:ascii="Times New Roman" w:eastAsiaTheme="minorHAnsi" w:hAnsi="Times New Roman"/>
        </w:rPr>
        <w:t xml:space="preserve">monthly instrument proficiency in </w:t>
      </w:r>
      <w:r w:rsidR="00BD60B7" w:rsidRPr="00BD60B7">
        <w:rPr>
          <w:rFonts w:ascii="Times New Roman" w:eastAsiaTheme="minorHAnsi" w:hAnsi="Times New Roman"/>
          <w:i/>
        </w:rPr>
        <w:t>an aircraft covered by the type rating</w:t>
      </w:r>
      <w:r w:rsidR="00BD60B7">
        <w:rPr>
          <w:rFonts w:ascii="Times New Roman" w:eastAsiaTheme="minorHAnsi" w:hAnsi="Times New Roman"/>
          <w:i/>
        </w:rPr>
        <w:t>,</w:t>
      </w:r>
      <w:r>
        <w:rPr>
          <w:rFonts w:ascii="Times New Roman" w:eastAsiaTheme="minorHAnsi" w:hAnsi="Times New Roman"/>
        </w:rPr>
        <w:t xml:space="preserve"> is </w:t>
      </w:r>
      <w:r w:rsidR="00A623C3" w:rsidRPr="00A623C3">
        <w:rPr>
          <w:rFonts w:ascii="Times New Roman" w:eastAsiaTheme="minorHAnsi" w:hAnsi="Times New Roman"/>
        </w:rPr>
        <w:t>too onerous and could be relaxed</w:t>
      </w:r>
      <w:r>
        <w:rPr>
          <w:rFonts w:ascii="Times New Roman" w:eastAsiaTheme="minorHAnsi" w:hAnsi="Times New Roman"/>
        </w:rPr>
        <w:t xml:space="preserve"> without prejudicing aviation safety</w:t>
      </w:r>
      <w:r w:rsidR="00A623C3" w:rsidRPr="00A623C3">
        <w:rPr>
          <w:rFonts w:ascii="Times New Roman" w:eastAsiaTheme="minorHAnsi" w:hAnsi="Times New Roman"/>
        </w:rPr>
        <w:t>.</w:t>
      </w:r>
    </w:p>
    <w:p w:rsidR="00BD60B7" w:rsidRDefault="00BD60B7" w:rsidP="00BD60B7">
      <w:pPr>
        <w:pStyle w:val="LDBodytext"/>
        <w:rPr>
          <w:rFonts w:eastAsiaTheme="minorHAnsi"/>
        </w:rPr>
      </w:pPr>
    </w:p>
    <w:p w:rsidR="0007169F" w:rsidRDefault="00642009" w:rsidP="0007169F">
      <w:pPr>
        <w:pStyle w:val="LDBodytext"/>
        <w:rPr>
          <w:rFonts w:eastAsiaTheme="minorHAnsi"/>
        </w:rPr>
      </w:pPr>
      <w:r>
        <w:rPr>
          <w:rFonts w:eastAsiaTheme="minorHAnsi"/>
        </w:rPr>
        <w:t>Before reaching a decision, CASA also considered t</w:t>
      </w:r>
      <w:r w:rsidR="0007169F">
        <w:rPr>
          <w:rFonts w:eastAsiaTheme="minorHAnsi"/>
        </w:rPr>
        <w:t xml:space="preserve">he United States Federal Aviation </w:t>
      </w:r>
      <w:r>
        <w:rPr>
          <w:rFonts w:eastAsiaTheme="minorHAnsi"/>
        </w:rPr>
        <w:t>Administration’s</w:t>
      </w:r>
      <w:r w:rsidR="0007169F">
        <w:rPr>
          <w:rFonts w:eastAsiaTheme="minorHAnsi"/>
        </w:rPr>
        <w:t xml:space="preserve"> regulation 61.58 for single-pilot turbojet operation</w:t>
      </w:r>
      <w:r>
        <w:rPr>
          <w:rFonts w:eastAsiaTheme="minorHAnsi"/>
        </w:rPr>
        <w:t>s</w:t>
      </w:r>
      <w:r w:rsidR="0007169F">
        <w:rPr>
          <w:rFonts w:eastAsiaTheme="minorHAnsi"/>
        </w:rPr>
        <w:t xml:space="preserve"> </w:t>
      </w:r>
      <w:r>
        <w:rPr>
          <w:rFonts w:eastAsiaTheme="minorHAnsi"/>
        </w:rPr>
        <w:t>under which</w:t>
      </w:r>
      <w:r w:rsidR="0007169F">
        <w:rPr>
          <w:rFonts w:eastAsiaTheme="minorHAnsi"/>
        </w:rPr>
        <w:t xml:space="preserve"> pilots are required to have an annual proficiency check in any single-pilot turbojet aeroplane and a bi-annual check in the specific type.</w:t>
      </w:r>
    </w:p>
    <w:p w:rsidR="0007169F" w:rsidRDefault="0007169F" w:rsidP="0007169F">
      <w:pPr>
        <w:pStyle w:val="LDBodytext"/>
        <w:rPr>
          <w:rFonts w:eastAsiaTheme="minorHAnsi"/>
        </w:rPr>
      </w:pPr>
    </w:p>
    <w:p w:rsidR="00A623C3" w:rsidRDefault="00BD60B7" w:rsidP="00BD60B7">
      <w:pPr>
        <w:pStyle w:val="LDBodytext"/>
        <w:rPr>
          <w:rFonts w:eastAsiaTheme="minorHAnsi"/>
        </w:rPr>
      </w:pPr>
      <w:r>
        <w:rPr>
          <w:rFonts w:eastAsiaTheme="minorHAnsi"/>
        </w:rPr>
        <w:t>It is, therefore</w:t>
      </w:r>
      <w:r w:rsidR="00F125C3">
        <w:rPr>
          <w:rFonts w:eastAsiaTheme="minorHAnsi"/>
        </w:rPr>
        <w:t xml:space="preserve">, </w:t>
      </w:r>
      <w:r>
        <w:rPr>
          <w:rFonts w:eastAsiaTheme="minorHAnsi"/>
        </w:rPr>
        <w:t xml:space="preserve">proposed to </w:t>
      </w:r>
      <w:r w:rsidR="00A623C3" w:rsidRPr="00A623C3">
        <w:rPr>
          <w:rFonts w:eastAsiaTheme="minorHAnsi"/>
        </w:rPr>
        <w:t>relax the requirements so that a pilot wishing to operate a single-pilot turbojet aeroplane must have completed an</w:t>
      </w:r>
      <w:r>
        <w:rPr>
          <w:rFonts w:eastAsiaTheme="minorHAnsi"/>
        </w:rPr>
        <w:t xml:space="preserve"> instrument proficiency check</w:t>
      </w:r>
      <w:r w:rsidR="00A623C3" w:rsidRPr="00A623C3">
        <w:rPr>
          <w:rFonts w:eastAsiaTheme="minorHAnsi"/>
        </w:rPr>
        <w:t xml:space="preserve"> in </w:t>
      </w:r>
      <w:r w:rsidR="00A623C3" w:rsidRPr="00BD60B7">
        <w:rPr>
          <w:rFonts w:eastAsiaTheme="minorHAnsi"/>
          <w:i/>
        </w:rPr>
        <w:t>any single-pilot turbojet aeroplane</w:t>
      </w:r>
      <w:r w:rsidR="00A623C3" w:rsidRPr="00A623C3">
        <w:rPr>
          <w:rFonts w:eastAsiaTheme="minorHAnsi"/>
        </w:rPr>
        <w:t xml:space="preserve"> within the previous 12 months.</w:t>
      </w:r>
    </w:p>
    <w:p w:rsidR="00F125C3" w:rsidRDefault="00F125C3" w:rsidP="00BD60B7">
      <w:pPr>
        <w:pStyle w:val="LDBodytext"/>
        <w:rPr>
          <w:rFonts w:eastAsiaTheme="minorHAnsi"/>
        </w:rPr>
      </w:pPr>
    </w:p>
    <w:p w:rsidR="00F125C3" w:rsidRPr="00F125C3" w:rsidRDefault="00F125C3" w:rsidP="00BD60B7">
      <w:pPr>
        <w:pStyle w:val="LDBodytext"/>
        <w:rPr>
          <w:rFonts w:eastAsiaTheme="minorHAnsi"/>
        </w:rPr>
      </w:pPr>
      <w:r>
        <w:rPr>
          <w:rFonts w:eastAsiaTheme="minorHAnsi"/>
        </w:rPr>
        <w:t xml:space="preserve">However, in the interests of aviation safety, </w:t>
      </w:r>
      <w:r w:rsidR="00A47524">
        <w:rPr>
          <w:rFonts w:eastAsiaTheme="minorHAnsi"/>
        </w:rPr>
        <w:t xml:space="preserve">the requirement to have successfully completed </w:t>
      </w:r>
      <w:r>
        <w:rPr>
          <w:rFonts w:eastAsiaTheme="minorHAnsi"/>
        </w:rPr>
        <w:t>the bi-annual instrument proficiency check under subregulations 61.805</w:t>
      </w:r>
      <w:r w:rsidR="00ED38A8">
        <w:rPr>
          <w:rFonts w:eastAsiaTheme="minorHAnsi"/>
        </w:rPr>
        <w:t> </w:t>
      </w:r>
      <w:r>
        <w:rPr>
          <w:rFonts w:eastAsiaTheme="minorHAnsi"/>
        </w:rPr>
        <w:t xml:space="preserve">(1) and (2) for </w:t>
      </w:r>
      <w:r w:rsidR="00A47524">
        <w:rPr>
          <w:rFonts w:eastAsiaTheme="minorHAnsi"/>
        </w:rPr>
        <w:t xml:space="preserve">an </w:t>
      </w:r>
      <w:r>
        <w:rPr>
          <w:rFonts w:eastAsiaTheme="minorHAnsi"/>
        </w:rPr>
        <w:t xml:space="preserve">aircraft type covered by a pilot type rating, other </w:t>
      </w:r>
      <w:r w:rsidRPr="00F125C3">
        <w:rPr>
          <w:rFonts w:eastAsiaTheme="minorHAnsi"/>
        </w:rPr>
        <w:t xml:space="preserve">than </w:t>
      </w:r>
      <w:r w:rsidRPr="00F125C3">
        <w:t>a single-pilot turbojet aeroplane type</w:t>
      </w:r>
      <w:r>
        <w:t xml:space="preserve">, should be extended to include </w:t>
      </w:r>
      <w:r w:rsidRPr="00F125C3">
        <w:t>single-pilot turbojet aeroplane type</w:t>
      </w:r>
      <w:r w:rsidR="00A47524">
        <w:t>s</w:t>
      </w:r>
      <w:r>
        <w:t xml:space="preserve"> covered by the pilot type rating.</w:t>
      </w:r>
    </w:p>
    <w:p w:rsidR="007472C1" w:rsidRPr="00A623C3" w:rsidRDefault="007472C1" w:rsidP="00E16CFE">
      <w:pPr>
        <w:pStyle w:val="LDBodytext"/>
      </w:pPr>
    </w:p>
    <w:p w:rsidR="00F15472" w:rsidRPr="00A623C3" w:rsidRDefault="00F15472" w:rsidP="00800D7E">
      <w:pPr>
        <w:pStyle w:val="LDBodytext"/>
        <w:keepNext/>
        <w:rPr>
          <w:b/>
        </w:rPr>
      </w:pPr>
      <w:r w:rsidRPr="00A623C3">
        <w:rPr>
          <w:b/>
        </w:rPr>
        <w:t>The exemption</w:t>
      </w:r>
    </w:p>
    <w:p w:rsidR="00B93DF9" w:rsidRDefault="00B93DF9" w:rsidP="00F125C3">
      <w:pPr>
        <w:pStyle w:val="LDBodytext"/>
      </w:pPr>
      <w:r>
        <w:t>The effects of the exemption must be understood in the context that, for the purposes of flying under the IFR, the holder of a pilot type rating must have successfully completed a relevant instrument proficiency check within the prescribed preceding period.</w:t>
      </w:r>
    </w:p>
    <w:p w:rsidR="00B93DF9" w:rsidRDefault="00B93DF9" w:rsidP="00F125C3">
      <w:pPr>
        <w:pStyle w:val="LDBodytext"/>
      </w:pPr>
    </w:p>
    <w:p w:rsidR="00706280" w:rsidRPr="00A623C3" w:rsidRDefault="00B93DF9" w:rsidP="00F125C3">
      <w:pPr>
        <w:pStyle w:val="LDBodytext"/>
      </w:pPr>
      <w:r>
        <w:t>Thus, t</w:t>
      </w:r>
      <w:r w:rsidR="00F3061F" w:rsidRPr="00A623C3">
        <w:t>he exemption</w:t>
      </w:r>
      <w:r w:rsidR="005F24D7" w:rsidRPr="00A623C3">
        <w:t xml:space="preserve"> exempt</w:t>
      </w:r>
      <w:r>
        <w:t xml:space="preserve">s the holder of a </w:t>
      </w:r>
      <w:r w:rsidR="00004406">
        <w:t>single-pilot</w:t>
      </w:r>
      <w:r>
        <w:t xml:space="preserve"> turbojet aeroplane type rating from, in effect, the obligation to have </w:t>
      </w:r>
      <w:r w:rsidRPr="00B93DF9">
        <w:rPr>
          <w:b/>
        </w:rPr>
        <w:t>an annual</w:t>
      </w:r>
      <w:r>
        <w:t xml:space="preserve"> instrument proficiency check for the </w:t>
      </w:r>
      <w:r w:rsidR="00004406">
        <w:t>single-pilot</w:t>
      </w:r>
      <w:r>
        <w:t xml:space="preserve"> turbojet aeroplane type covered by the rating, and that the holder intends to fly</w:t>
      </w:r>
      <w:r w:rsidR="004642DB">
        <w:t xml:space="preserve"> under the IFR</w:t>
      </w:r>
      <w:r>
        <w:t xml:space="preserve">. Instead, an instrument proficiency check in </w:t>
      </w:r>
      <w:r w:rsidRPr="00B93DF9">
        <w:rPr>
          <w:b/>
        </w:rPr>
        <w:t xml:space="preserve">any </w:t>
      </w:r>
      <w:r w:rsidR="00004406">
        <w:t>single-pilot</w:t>
      </w:r>
      <w:r>
        <w:t xml:space="preserve"> turbojet aeroplane type will suffice. At the same time, a requirement is added for a </w:t>
      </w:r>
      <w:r w:rsidRPr="00B93DF9">
        <w:rPr>
          <w:b/>
        </w:rPr>
        <w:t>bi-annual</w:t>
      </w:r>
      <w:r>
        <w:t xml:space="preserve"> instrument proficiency check for </w:t>
      </w:r>
      <w:r w:rsidR="00A47524">
        <w:t>a</w:t>
      </w:r>
      <w:r w:rsidRPr="00B93DF9">
        <w:rPr>
          <w:b/>
        </w:rPr>
        <w:t xml:space="preserve"> </w:t>
      </w:r>
      <w:r w:rsidR="00004406">
        <w:t>single-pilot</w:t>
      </w:r>
      <w:r>
        <w:t xml:space="preserve"> turbojet aeroplane type covered by the rating.</w:t>
      </w:r>
    </w:p>
    <w:p w:rsidR="0016073F" w:rsidRPr="00A623C3" w:rsidRDefault="0016073F" w:rsidP="00F15472">
      <w:pPr>
        <w:pStyle w:val="LDBodytext"/>
      </w:pPr>
    </w:p>
    <w:p w:rsidR="00F31D77" w:rsidRDefault="00F31D77" w:rsidP="0016073F">
      <w:pPr>
        <w:pStyle w:val="LDBodytext"/>
      </w:pPr>
      <w:r>
        <w:t>There are 2 consequential machinery exemptions and a related condition to make the exemption operate without ambiguity in relation to what is “the relevant aircraft” for the conduct of an IPC, or for the use of an approved flight simulation training device for an IPC</w:t>
      </w:r>
      <w:r w:rsidR="00812257">
        <w:t>.</w:t>
      </w:r>
    </w:p>
    <w:p w:rsidR="00F31D77" w:rsidRDefault="00F31D77" w:rsidP="0016073F">
      <w:pPr>
        <w:pStyle w:val="LDBodytext"/>
      </w:pPr>
    </w:p>
    <w:p w:rsidR="00F15472" w:rsidRPr="00A623C3" w:rsidRDefault="00F15472" w:rsidP="0016073F">
      <w:pPr>
        <w:pStyle w:val="LDBodytext"/>
      </w:pPr>
      <w:r w:rsidRPr="00A623C3">
        <w:t>The details of the</w:t>
      </w:r>
      <w:r w:rsidR="00194C1C">
        <w:t xml:space="preserve"> provisions of the</w:t>
      </w:r>
      <w:r w:rsidRPr="00A623C3">
        <w:t xml:space="preserve"> exemption are set out in Appendix 1.</w:t>
      </w:r>
    </w:p>
    <w:p w:rsidR="00F15472" w:rsidRPr="00A623C3" w:rsidRDefault="00F15472" w:rsidP="0016073F">
      <w:pPr>
        <w:pStyle w:val="LDBodytext"/>
      </w:pPr>
    </w:p>
    <w:p w:rsidR="00F15472" w:rsidRPr="00A623C3" w:rsidRDefault="00F15472" w:rsidP="0016073F">
      <w:pPr>
        <w:pStyle w:val="LDBodytext"/>
        <w:rPr>
          <w:b/>
        </w:rPr>
      </w:pPr>
      <w:r w:rsidRPr="00A623C3">
        <w:rPr>
          <w:b/>
        </w:rPr>
        <w:t>Duration</w:t>
      </w:r>
    </w:p>
    <w:p w:rsidR="00F15472" w:rsidRPr="00A623C3" w:rsidRDefault="00F15472" w:rsidP="0016073F">
      <w:pPr>
        <w:rPr>
          <w:rFonts w:ascii="Times New Roman" w:hAnsi="Times New Roman"/>
        </w:rPr>
      </w:pPr>
      <w:r w:rsidRPr="00A623C3">
        <w:rPr>
          <w:rFonts w:ascii="Times New Roman" w:hAnsi="Times New Roman"/>
        </w:rPr>
        <w:t xml:space="preserve">The exemption is expressed to operate </w:t>
      </w:r>
      <w:r w:rsidR="00BF6839" w:rsidRPr="00A623C3">
        <w:rPr>
          <w:rFonts w:ascii="Times New Roman" w:hAnsi="Times New Roman"/>
        </w:rPr>
        <w:t>until expiry</w:t>
      </w:r>
      <w:r w:rsidR="0016073F" w:rsidRPr="00A623C3">
        <w:rPr>
          <w:rFonts w:ascii="Times New Roman" w:hAnsi="Times New Roman"/>
        </w:rPr>
        <w:t xml:space="preserve"> at the end of </w:t>
      </w:r>
      <w:r w:rsidR="00F5444A">
        <w:rPr>
          <w:rFonts w:ascii="Times New Roman" w:hAnsi="Times New Roman"/>
        </w:rPr>
        <w:t xml:space="preserve">28 February </w:t>
      </w:r>
      <w:r w:rsidR="00F125C3">
        <w:rPr>
          <w:rFonts w:ascii="Times New Roman" w:hAnsi="Times New Roman"/>
        </w:rPr>
        <w:t>2018</w:t>
      </w:r>
      <w:r w:rsidR="0016073F" w:rsidRPr="00A623C3">
        <w:rPr>
          <w:rFonts w:ascii="Times New Roman" w:hAnsi="Times New Roman"/>
        </w:rPr>
        <w:t>, as if it had been repealed by another instrument</w:t>
      </w:r>
      <w:r w:rsidRPr="00A623C3">
        <w:rPr>
          <w:rFonts w:ascii="Times New Roman" w:hAnsi="Times New Roman"/>
        </w:rPr>
        <w:t>. It is expected that before the exemption expires appropriate amendments will be made to Part 61 of CASR 1998 to reflect the intent of the exemption and</w:t>
      </w:r>
      <w:r w:rsidR="00D5321F" w:rsidRPr="00A623C3">
        <w:rPr>
          <w:rFonts w:ascii="Times New Roman" w:hAnsi="Times New Roman"/>
        </w:rPr>
        <w:t>,</w:t>
      </w:r>
      <w:r w:rsidRPr="00A623C3">
        <w:rPr>
          <w:rFonts w:ascii="Times New Roman" w:hAnsi="Times New Roman"/>
        </w:rPr>
        <w:t xml:space="preserve"> thereby</w:t>
      </w:r>
      <w:r w:rsidR="00D5321F" w:rsidRPr="00A623C3">
        <w:rPr>
          <w:rFonts w:ascii="Times New Roman" w:hAnsi="Times New Roman"/>
        </w:rPr>
        <w:t>,</w:t>
      </w:r>
      <w:r w:rsidRPr="00A623C3">
        <w:rPr>
          <w:rFonts w:ascii="Times New Roman" w:hAnsi="Times New Roman"/>
        </w:rPr>
        <w:t xml:space="preserve"> make its continuation unnecessary.</w:t>
      </w:r>
    </w:p>
    <w:p w:rsidR="00F15472" w:rsidRPr="00A623C3" w:rsidRDefault="00F15472" w:rsidP="00561037">
      <w:pPr>
        <w:rPr>
          <w:rFonts w:ascii="Times New Roman" w:hAnsi="Times New Roman"/>
        </w:rPr>
      </w:pPr>
    </w:p>
    <w:p w:rsidR="00F15472" w:rsidRPr="00A623C3" w:rsidRDefault="00F15472" w:rsidP="00F15472">
      <w:pPr>
        <w:rPr>
          <w:rFonts w:ascii="Times New Roman" w:hAnsi="Times New Roman"/>
          <w:b/>
        </w:rPr>
      </w:pPr>
      <w:r w:rsidRPr="007C3996">
        <w:rPr>
          <w:rFonts w:ascii="Times New Roman" w:hAnsi="Times New Roman"/>
          <w:b/>
          <w:i/>
        </w:rPr>
        <w:t>Legislative Instruments Act 2003</w:t>
      </w:r>
      <w:r w:rsidRPr="00A623C3">
        <w:rPr>
          <w:rFonts w:ascii="Times New Roman" w:hAnsi="Times New Roman"/>
          <w:b/>
        </w:rPr>
        <w:t xml:space="preserve"> (</w:t>
      </w:r>
      <w:r w:rsidR="00A5335F" w:rsidRPr="00A623C3">
        <w:rPr>
          <w:rFonts w:ascii="Times New Roman" w:hAnsi="Times New Roman"/>
          <w:b/>
        </w:rPr>
        <w:t xml:space="preserve">the </w:t>
      </w:r>
      <w:r w:rsidRPr="00A623C3">
        <w:rPr>
          <w:rFonts w:ascii="Times New Roman" w:hAnsi="Times New Roman"/>
          <w:b/>
          <w:i/>
        </w:rPr>
        <w:t>LIA</w:t>
      </w:r>
      <w:r w:rsidRPr="00A623C3">
        <w:rPr>
          <w:rFonts w:ascii="Times New Roman" w:hAnsi="Times New Roman"/>
          <w:b/>
        </w:rPr>
        <w:t>)</w:t>
      </w:r>
    </w:p>
    <w:p w:rsidR="00F15472" w:rsidRPr="00A623C3" w:rsidRDefault="00F15472" w:rsidP="00F15472">
      <w:pPr>
        <w:rPr>
          <w:rFonts w:ascii="Times New Roman" w:hAnsi="Times New Roman"/>
        </w:rPr>
      </w:pPr>
      <w:r w:rsidRPr="00A623C3">
        <w:rPr>
          <w:rFonts w:ascii="Times New Roman" w:hAnsi="Times New Roman"/>
        </w:rPr>
        <w:t>As noted above, exemptions under Subpart 11.F of CASR 1998 are “for subsection</w:t>
      </w:r>
      <w:r w:rsidR="0087565B" w:rsidRPr="00A623C3">
        <w:rPr>
          <w:rFonts w:ascii="Times New Roman" w:hAnsi="Times New Roman"/>
        </w:rPr>
        <w:t> </w:t>
      </w:r>
      <w:r w:rsidRPr="00A623C3">
        <w:rPr>
          <w:rFonts w:ascii="Times New Roman" w:hAnsi="Times New Roman"/>
        </w:rPr>
        <w:t>98</w:t>
      </w:r>
      <w:r w:rsidR="0087565B" w:rsidRPr="00A623C3">
        <w:rPr>
          <w:rFonts w:ascii="Times New Roman" w:hAnsi="Times New Roman"/>
        </w:rPr>
        <w:t> </w:t>
      </w:r>
      <w:r w:rsidRPr="00A623C3">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rsidR="00F15472" w:rsidRPr="00A623C3" w:rsidRDefault="00F15472" w:rsidP="00F15472">
      <w:pPr>
        <w:rPr>
          <w:rFonts w:ascii="Times New Roman" w:hAnsi="Times New Roman"/>
        </w:rPr>
      </w:pPr>
    </w:p>
    <w:p w:rsidR="00F15472" w:rsidRPr="00A623C3" w:rsidRDefault="00F15472" w:rsidP="00F15472">
      <w:pPr>
        <w:rPr>
          <w:rFonts w:ascii="Times New Roman" w:hAnsi="Times New Roman"/>
        </w:rPr>
      </w:pPr>
      <w:r w:rsidRPr="00A623C3">
        <w:rPr>
          <w:rFonts w:ascii="Times New Roman" w:hAnsi="Times New Roman"/>
        </w:rPr>
        <w:t>The exemption is clearly one in relation to matters affecting the safe navigation and operation of aircraft. Under subsection 98</w:t>
      </w:r>
      <w:r w:rsidR="003F6830" w:rsidRPr="00A623C3">
        <w:rPr>
          <w:rFonts w:ascii="Times New Roman" w:hAnsi="Times New Roman"/>
        </w:rPr>
        <w:t> </w:t>
      </w:r>
      <w:r w:rsidRPr="00A623C3">
        <w:rPr>
          <w:rFonts w:ascii="Times New Roman" w:hAnsi="Times New Roman"/>
        </w:rPr>
        <w:t>(5AA) of the Act, an exemption issued under paragraph 98</w:t>
      </w:r>
      <w:r w:rsidR="003F6830" w:rsidRPr="00A623C3">
        <w:rPr>
          <w:rFonts w:ascii="Times New Roman" w:hAnsi="Times New Roman"/>
        </w:rPr>
        <w:t> </w:t>
      </w:r>
      <w:r w:rsidRPr="00A623C3">
        <w:rPr>
          <w:rFonts w:ascii="Times New Roman" w:hAnsi="Times New Roman"/>
        </w:rPr>
        <w:t>(5A)</w:t>
      </w:r>
      <w:r w:rsidR="003F6830" w:rsidRPr="00A623C3">
        <w:rPr>
          <w:rFonts w:ascii="Times New Roman" w:hAnsi="Times New Roman"/>
        </w:rPr>
        <w:t> </w:t>
      </w:r>
      <w:r w:rsidRPr="00A623C3">
        <w:rPr>
          <w:rFonts w:ascii="Times New Roman" w:hAnsi="Times New Roman"/>
        </w:rPr>
        <w:t>(a), for such matters, is a legislative instrument if expressed to apply in relation to a class of persons, a class of aircraft or a class of aeronautical products (as distinct f</w:t>
      </w:r>
      <w:r w:rsidR="0016073F" w:rsidRPr="00A623C3">
        <w:rPr>
          <w:rFonts w:ascii="Times New Roman" w:hAnsi="Times New Roman"/>
        </w:rPr>
        <w:t>r</w:t>
      </w:r>
      <w:r w:rsidRPr="00A623C3">
        <w:rPr>
          <w:rFonts w:ascii="Times New Roman" w:hAnsi="Times New Roman"/>
        </w:rPr>
        <w:t>om a particula</w:t>
      </w:r>
      <w:r w:rsidR="00F5444A">
        <w:rPr>
          <w:rFonts w:ascii="Times New Roman" w:hAnsi="Times New Roman"/>
        </w:rPr>
        <w:t>r person, aircraft or product).</w:t>
      </w:r>
    </w:p>
    <w:p w:rsidR="00F15472" w:rsidRPr="00A623C3" w:rsidRDefault="00F15472" w:rsidP="00F15472">
      <w:pPr>
        <w:rPr>
          <w:rFonts w:ascii="Times New Roman" w:hAnsi="Times New Roman"/>
        </w:rPr>
      </w:pPr>
    </w:p>
    <w:p w:rsidR="00F15472" w:rsidRPr="00A623C3" w:rsidRDefault="00F15472" w:rsidP="00F15472">
      <w:pPr>
        <w:rPr>
          <w:rFonts w:ascii="Times New Roman" w:hAnsi="Times New Roman"/>
        </w:rPr>
      </w:pPr>
      <w:r w:rsidRPr="00A623C3">
        <w:rPr>
          <w:rFonts w:ascii="Times New Roman" w:hAnsi="Times New Roman"/>
        </w:rPr>
        <w:t>The exemption applies to a class of persons (</w:t>
      </w:r>
      <w:r w:rsidR="00593649" w:rsidRPr="00A623C3">
        <w:rPr>
          <w:rFonts w:ascii="Times New Roman" w:hAnsi="Times New Roman"/>
        </w:rPr>
        <w:t>holders o</w:t>
      </w:r>
      <w:r w:rsidR="004D2ED2" w:rsidRPr="00A623C3">
        <w:rPr>
          <w:rFonts w:ascii="Times New Roman" w:hAnsi="Times New Roman"/>
        </w:rPr>
        <w:t>f</w:t>
      </w:r>
      <w:r w:rsidR="00593649" w:rsidRPr="00A623C3">
        <w:rPr>
          <w:rFonts w:ascii="Times New Roman" w:hAnsi="Times New Roman"/>
        </w:rPr>
        <w:t xml:space="preserve"> </w:t>
      </w:r>
      <w:r w:rsidR="00F125C3">
        <w:rPr>
          <w:rFonts w:ascii="Times New Roman" w:hAnsi="Times New Roman"/>
        </w:rPr>
        <w:t>pilot type ratings</w:t>
      </w:r>
      <w:r w:rsidRPr="00A623C3">
        <w:rPr>
          <w:rFonts w:ascii="Times New Roman" w:hAnsi="Times New Roman"/>
        </w:rPr>
        <w:t xml:space="preserve">) and is, therefore, a legislative instrument </w:t>
      </w:r>
      <w:r w:rsidRPr="00A623C3">
        <w:rPr>
          <w:rFonts w:ascii="Times New Roman" w:hAnsi="Times New Roman"/>
          <w:iCs/>
        </w:rPr>
        <w:t>subject to registration, and tabling and disallowance in the Parliament, under sections 24, and 38 and 42 of the</w:t>
      </w:r>
      <w:r w:rsidR="007C3996">
        <w:rPr>
          <w:rFonts w:ascii="Times New Roman" w:hAnsi="Times New Roman"/>
          <w:iCs/>
        </w:rPr>
        <w:t xml:space="preserve"> LIA</w:t>
      </w:r>
      <w:r w:rsidRPr="00A623C3">
        <w:rPr>
          <w:rFonts w:ascii="Times New Roman" w:hAnsi="Times New Roman"/>
        </w:rPr>
        <w:t>.</w:t>
      </w:r>
    </w:p>
    <w:p w:rsidR="00F15472" w:rsidRPr="00A623C3" w:rsidRDefault="00F15472" w:rsidP="00F15472">
      <w:pPr>
        <w:rPr>
          <w:rFonts w:ascii="Times New Roman" w:hAnsi="Times New Roman"/>
        </w:rPr>
      </w:pPr>
    </w:p>
    <w:p w:rsidR="00F15472" w:rsidRPr="00A623C3" w:rsidRDefault="00F15472" w:rsidP="00F15472">
      <w:pPr>
        <w:rPr>
          <w:rFonts w:ascii="Times New Roman" w:hAnsi="Times New Roman"/>
          <w:b/>
        </w:rPr>
      </w:pPr>
      <w:r w:rsidRPr="00A623C3">
        <w:rPr>
          <w:rFonts w:ascii="Times New Roman" w:hAnsi="Times New Roman"/>
          <w:b/>
        </w:rPr>
        <w:t>Consultation</w:t>
      </w:r>
    </w:p>
    <w:p w:rsidR="00F15472" w:rsidRPr="00A623C3" w:rsidRDefault="00B37E23" w:rsidP="00F15472">
      <w:pPr>
        <w:rPr>
          <w:rFonts w:ascii="Times New Roman" w:hAnsi="Times New Roman"/>
        </w:rPr>
      </w:pPr>
      <w:r>
        <w:rPr>
          <w:rFonts w:ascii="Times New Roman" w:hAnsi="Times New Roman"/>
        </w:rPr>
        <w:t>F</w:t>
      </w:r>
      <w:r w:rsidR="00F15472" w:rsidRPr="00A623C3">
        <w:rPr>
          <w:rFonts w:ascii="Times New Roman" w:hAnsi="Times New Roman"/>
        </w:rPr>
        <w:t>or section</w:t>
      </w:r>
      <w:r w:rsidR="0087565B" w:rsidRPr="00A623C3">
        <w:rPr>
          <w:rFonts w:ascii="Times New Roman" w:hAnsi="Times New Roman"/>
        </w:rPr>
        <w:t> </w:t>
      </w:r>
      <w:r w:rsidR="00F15472" w:rsidRPr="00A623C3">
        <w:rPr>
          <w:rFonts w:ascii="Times New Roman" w:hAnsi="Times New Roman"/>
        </w:rPr>
        <w:t xml:space="preserve">17 of the LIA, </w:t>
      </w:r>
      <w:r w:rsidR="00F125C3">
        <w:rPr>
          <w:rFonts w:ascii="Times New Roman" w:hAnsi="Times New Roman"/>
        </w:rPr>
        <w:t xml:space="preserve">in May 2015 </w:t>
      </w:r>
      <w:r w:rsidR="00F15472" w:rsidRPr="00A623C3">
        <w:rPr>
          <w:rFonts w:ascii="Times New Roman" w:hAnsi="Times New Roman"/>
        </w:rPr>
        <w:t>CASA</w:t>
      </w:r>
      <w:r w:rsidR="003F6A81" w:rsidRPr="00A623C3">
        <w:rPr>
          <w:rFonts w:ascii="Times New Roman" w:hAnsi="Times New Roman"/>
        </w:rPr>
        <w:t xml:space="preserve"> </w:t>
      </w:r>
      <w:r w:rsidR="00016A72" w:rsidRPr="00A623C3">
        <w:rPr>
          <w:rFonts w:ascii="Times New Roman" w:hAnsi="Times New Roman"/>
        </w:rPr>
        <w:t>consult</w:t>
      </w:r>
      <w:r w:rsidR="00567E05">
        <w:rPr>
          <w:rFonts w:ascii="Times New Roman" w:hAnsi="Times New Roman"/>
        </w:rPr>
        <w:t>ed</w:t>
      </w:r>
      <w:r w:rsidR="00016A72" w:rsidRPr="00A623C3">
        <w:rPr>
          <w:rFonts w:ascii="Times New Roman" w:hAnsi="Times New Roman"/>
        </w:rPr>
        <w:t xml:space="preserve"> </w:t>
      </w:r>
      <w:r w:rsidR="003F6A81" w:rsidRPr="00A623C3">
        <w:rPr>
          <w:rFonts w:ascii="Times New Roman" w:hAnsi="Times New Roman"/>
        </w:rPr>
        <w:t>the F</w:t>
      </w:r>
      <w:r w:rsidR="00F125C3">
        <w:rPr>
          <w:rFonts w:ascii="Times New Roman" w:hAnsi="Times New Roman"/>
        </w:rPr>
        <w:t>CL</w:t>
      </w:r>
      <w:r w:rsidR="003F6A81" w:rsidRPr="00A623C3">
        <w:rPr>
          <w:rFonts w:ascii="Times New Roman" w:hAnsi="Times New Roman"/>
        </w:rPr>
        <w:t xml:space="preserve"> Subcommittee</w:t>
      </w:r>
      <w:r w:rsidR="00F15472" w:rsidRPr="00A623C3">
        <w:rPr>
          <w:rFonts w:ascii="Times New Roman" w:hAnsi="Times New Roman"/>
        </w:rPr>
        <w:t xml:space="preserve"> </w:t>
      </w:r>
      <w:r w:rsidR="003F6A81" w:rsidRPr="00A623C3">
        <w:rPr>
          <w:rFonts w:ascii="Times New Roman" w:hAnsi="Times New Roman"/>
        </w:rPr>
        <w:t>of the S</w:t>
      </w:r>
      <w:r w:rsidR="007C3996">
        <w:rPr>
          <w:rFonts w:ascii="Times New Roman" w:hAnsi="Times New Roman"/>
        </w:rPr>
        <w:t>CC</w:t>
      </w:r>
      <w:r w:rsidR="003F6A81" w:rsidRPr="00A623C3">
        <w:rPr>
          <w:rFonts w:ascii="Times New Roman" w:hAnsi="Times New Roman"/>
        </w:rPr>
        <w:t>, a CASA/Industry consultation forum</w:t>
      </w:r>
      <w:r w:rsidR="00567E05">
        <w:rPr>
          <w:rFonts w:ascii="Times New Roman" w:hAnsi="Times New Roman"/>
        </w:rPr>
        <w:t>, which supported the proposal</w:t>
      </w:r>
      <w:r w:rsidR="003F6A81" w:rsidRPr="00A623C3">
        <w:rPr>
          <w:rFonts w:ascii="Times New Roman" w:hAnsi="Times New Roman"/>
        </w:rPr>
        <w:t>.</w:t>
      </w:r>
      <w:r w:rsidR="00016A72" w:rsidRPr="00A623C3">
        <w:rPr>
          <w:rFonts w:ascii="Times New Roman" w:hAnsi="Times New Roman"/>
        </w:rPr>
        <w:t xml:space="preserve"> Following on from th</w:t>
      </w:r>
      <w:r w:rsidR="00F125C3">
        <w:rPr>
          <w:rFonts w:ascii="Times New Roman" w:hAnsi="Times New Roman"/>
        </w:rPr>
        <w:t>is</w:t>
      </w:r>
      <w:r w:rsidR="00016A72" w:rsidRPr="00A623C3">
        <w:rPr>
          <w:rFonts w:ascii="Times New Roman" w:hAnsi="Times New Roman"/>
        </w:rPr>
        <w:t xml:space="preserve"> meeting, and taking </w:t>
      </w:r>
      <w:bookmarkStart w:id="1" w:name="_GoBack"/>
      <w:bookmarkEnd w:id="1"/>
      <w:r w:rsidR="00016A72" w:rsidRPr="00A623C3">
        <w:rPr>
          <w:rFonts w:ascii="Times New Roman" w:hAnsi="Times New Roman"/>
        </w:rPr>
        <w:t xml:space="preserve">into account representations made </w:t>
      </w:r>
      <w:r w:rsidR="00F125C3">
        <w:rPr>
          <w:rFonts w:ascii="Times New Roman" w:hAnsi="Times New Roman"/>
        </w:rPr>
        <w:t xml:space="preserve">and CASA’s own assessment of implications arising, </w:t>
      </w:r>
      <w:r w:rsidR="00016A72" w:rsidRPr="00A623C3">
        <w:rPr>
          <w:rFonts w:ascii="Times New Roman" w:hAnsi="Times New Roman"/>
        </w:rPr>
        <w:t>CASA decided</w:t>
      </w:r>
      <w:r w:rsidR="003F6A81" w:rsidRPr="00A623C3">
        <w:rPr>
          <w:rFonts w:ascii="Times New Roman" w:hAnsi="Times New Roman"/>
        </w:rPr>
        <w:t xml:space="preserve"> </w:t>
      </w:r>
      <w:r w:rsidR="00016A72" w:rsidRPr="00A623C3">
        <w:rPr>
          <w:rFonts w:ascii="Times New Roman" w:hAnsi="Times New Roman"/>
        </w:rPr>
        <w:t>to formulate the proposals now embodied in the exemption.</w:t>
      </w:r>
    </w:p>
    <w:p w:rsidR="00F15472" w:rsidRDefault="00F15472" w:rsidP="00F15472">
      <w:pPr>
        <w:rPr>
          <w:rFonts w:ascii="Times New Roman" w:hAnsi="Times New Roman"/>
        </w:rPr>
      </w:pPr>
    </w:p>
    <w:p w:rsidR="00196951" w:rsidRPr="00196951" w:rsidRDefault="00196951" w:rsidP="00F31D77">
      <w:pPr>
        <w:keepNext/>
        <w:rPr>
          <w:rFonts w:ascii="Times New Roman" w:hAnsi="Times New Roman"/>
          <w:b/>
        </w:rPr>
      </w:pPr>
      <w:r w:rsidRPr="00196951">
        <w:rPr>
          <w:rFonts w:ascii="Times New Roman" w:hAnsi="Times New Roman"/>
          <w:b/>
        </w:rPr>
        <w:t>Office of Best Practice Regulation (</w:t>
      </w:r>
      <w:r w:rsidRPr="00196951">
        <w:rPr>
          <w:rFonts w:ascii="Times New Roman" w:hAnsi="Times New Roman"/>
          <w:b/>
          <w:i/>
        </w:rPr>
        <w:t>OBPR</w:t>
      </w:r>
      <w:r w:rsidRPr="00196951">
        <w:rPr>
          <w:rFonts w:ascii="Times New Roman" w:hAnsi="Times New Roman"/>
          <w:b/>
        </w:rPr>
        <w:t>)</w:t>
      </w:r>
    </w:p>
    <w:p w:rsidR="00196951" w:rsidRPr="00196951" w:rsidRDefault="00196951" w:rsidP="00196951">
      <w:pPr>
        <w:pStyle w:val="LDBodytext"/>
      </w:pPr>
      <w:r w:rsidRPr="00196951">
        <w:t>A Regulation Impact Statement (</w:t>
      </w:r>
      <w:r w:rsidRPr="007C3996">
        <w:rPr>
          <w:b/>
          <w:i/>
        </w:rPr>
        <w:t>RIS</w:t>
      </w:r>
      <w:r w:rsidRPr="00196951">
        <w:t>) is not required because the exemption instrument is covered by a standing agreement between CASA and OBPR under which a RIS is not required for an exemption (OBPR id: 14507).</w:t>
      </w:r>
    </w:p>
    <w:p w:rsidR="00196951" w:rsidRPr="00196951" w:rsidRDefault="00196951" w:rsidP="00196951">
      <w:pPr>
        <w:pStyle w:val="LDBodytext"/>
      </w:pPr>
    </w:p>
    <w:p w:rsidR="00F15472" w:rsidRPr="00A623C3" w:rsidRDefault="00F15472" w:rsidP="00F5444A">
      <w:pPr>
        <w:pStyle w:val="Default"/>
        <w:keepNext/>
        <w:rPr>
          <w:b/>
          <w:bCs/>
          <w:color w:val="auto"/>
        </w:rPr>
      </w:pPr>
      <w:r w:rsidRPr="00A623C3">
        <w:rPr>
          <w:b/>
          <w:bCs/>
          <w:color w:val="auto"/>
        </w:rPr>
        <w:t xml:space="preserve">Statement of Compatibility with Human Rights </w:t>
      </w:r>
    </w:p>
    <w:p w:rsidR="00F15472" w:rsidRPr="00A623C3" w:rsidRDefault="00F15472" w:rsidP="00F15472">
      <w:pPr>
        <w:pStyle w:val="Default"/>
      </w:pPr>
      <w:r w:rsidRPr="00A623C3">
        <w:rPr>
          <w:iCs/>
        </w:rPr>
        <w:t xml:space="preserve">The Statement in Appendix 2 is prepared in accordance with Part 3 of the </w:t>
      </w:r>
      <w:r w:rsidRPr="00A623C3">
        <w:rPr>
          <w:i/>
          <w:iCs/>
        </w:rPr>
        <w:t>Human Rights (Parliamentary Scrutiny) Act 2011</w:t>
      </w:r>
      <w:r w:rsidRPr="00A623C3">
        <w:rPr>
          <w:iCs/>
        </w:rPr>
        <w:t xml:space="preserve">. </w:t>
      </w:r>
      <w:r w:rsidRPr="00A623C3">
        <w:t>The instrument does not engage any of the applicable rights or freedoms, and is compatible with human rights, as it does not raise any human rights issues.</w:t>
      </w:r>
    </w:p>
    <w:p w:rsidR="00F15472" w:rsidRPr="00A623C3" w:rsidRDefault="00F15472" w:rsidP="00F15472">
      <w:pPr>
        <w:pStyle w:val="LDBodytext"/>
        <w:rPr>
          <w:b/>
          <w:lang w:eastAsia="en-AU"/>
        </w:rPr>
      </w:pPr>
    </w:p>
    <w:p w:rsidR="00F15472" w:rsidRPr="00A623C3" w:rsidRDefault="00F15472" w:rsidP="0016073F">
      <w:pPr>
        <w:pStyle w:val="LDMinuteParagraph"/>
        <w:keepNext/>
        <w:spacing w:after="0"/>
        <w:rPr>
          <w:rFonts w:ascii="Times New Roman" w:hAnsi="Times New Roman"/>
          <w:b/>
          <w:szCs w:val="24"/>
        </w:rPr>
      </w:pPr>
      <w:r w:rsidRPr="00A623C3">
        <w:rPr>
          <w:rFonts w:ascii="Times New Roman" w:hAnsi="Times New Roman"/>
          <w:b/>
          <w:szCs w:val="24"/>
        </w:rPr>
        <w:t>Commencement and making</w:t>
      </w:r>
    </w:p>
    <w:p w:rsidR="00F15472" w:rsidRPr="00A623C3" w:rsidRDefault="00F15472" w:rsidP="00F15472">
      <w:pPr>
        <w:pStyle w:val="LDMinuteParagraph"/>
        <w:spacing w:after="0"/>
        <w:rPr>
          <w:rFonts w:ascii="Times New Roman" w:hAnsi="Times New Roman"/>
          <w:szCs w:val="24"/>
        </w:rPr>
      </w:pPr>
      <w:r w:rsidRPr="00A623C3">
        <w:rPr>
          <w:rFonts w:ascii="Times New Roman" w:hAnsi="Times New Roman"/>
          <w:szCs w:val="24"/>
        </w:rPr>
        <w:t>The exemption commences on the day after regist</w:t>
      </w:r>
      <w:r w:rsidR="003118B6" w:rsidRPr="00A623C3">
        <w:rPr>
          <w:rFonts w:ascii="Times New Roman" w:hAnsi="Times New Roman"/>
          <w:szCs w:val="24"/>
        </w:rPr>
        <w:t>ration</w:t>
      </w:r>
      <w:r w:rsidRPr="00A623C3">
        <w:rPr>
          <w:rFonts w:ascii="Times New Roman" w:hAnsi="Times New Roman"/>
          <w:szCs w:val="24"/>
        </w:rPr>
        <w:t xml:space="preserve"> and </w:t>
      </w:r>
      <w:r w:rsidR="003118B6" w:rsidRPr="00A623C3">
        <w:rPr>
          <w:rFonts w:ascii="Times New Roman" w:hAnsi="Times New Roman"/>
          <w:szCs w:val="24"/>
        </w:rPr>
        <w:t xml:space="preserve">expires </w:t>
      </w:r>
      <w:r w:rsidRPr="00A623C3">
        <w:rPr>
          <w:rFonts w:ascii="Times New Roman" w:hAnsi="Times New Roman"/>
          <w:szCs w:val="24"/>
        </w:rPr>
        <w:t xml:space="preserve">at the end of </w:t>
      </w:r>
      <w:r w:rsidR="007C3996">
        <w:rPr>
          <w:rFonts w:ascii="Times New Roman" w:hAnsi="Times New Roman"/>
          <w:szCs w:val="24"/>
        </w:rPr>
        <w:t>28</w:t>
      </w:r>
      <w:r w:rsidR="00F5444A">
        <w:rPr>
          <w:rFonts w:ascii="Times New Roman" w:hAnsi="Times New Roman"/>
          <w:szCs w:val="24"/>
        </w:rPr>
        <w:t> </w:t>
      </w:r>
      <w:r w:rsidR="007C3996">
        <w:rPr>
          <w:rFonts w:ascii="Times New Roman" w:hAnsi="Times New Roman"/>
          <w:szCs w:val="24"/>
        </w:rPr>
        <w:t xml:space="preserve">February </w:t>
      </w:r>
      <w:r w:rsidR="00A35842">
        <w:rPr>
          <w:rFonts w:ascii="Times New Roman" w:hAnsi="Times New Roman"/>
          <w:szCs w:val="24"/>
        </w:rPr>
        <w:t>2018</w:t>
      </w:r>
      <w:r w:rsidR="003118B6" w:rsidRPr="00A623C3">
        <w:rPr>
          <w:rFonts w:ascii="Times New Roman" w:hAnsi="Times New Roman"/>
          <w:szCs w:val="24"/>
        </w:rPr>
        <w:t>,</w:t>
      </w:r>
      <w:r w:rsidRPr="00A623C3">
        <w:rPr>
          <w:rFonts w:ascii="Times New Roman" w:hAnsi="Times New Roman"/>
          <w:szCs w:val="24"/>
        </w:rPr>
        <w:t xml:space="preserve"> as if it had been repealed by another instrument.</w:t>
      </w:r>
    </w:p>
    <w:p w:rsidR="00F15472" w:rsidRPr="00A623C3" w:rsidRDefault="00F15472" w:rsidP="00F15472">
      <w:pPr>
        <w:pStyle w:val="LDMinuteParagraph"/>
        <w:spacing w:after="0"/>
        <w:rPr>
          <w:rFonts w:ascii="Times New Roman" w:hAnsi="Times New Roman"/>
          <w:szCs w:val="24"/>
        </w:rPr>
      </w:pPr>
    </w:p>
    <w:p w:rsidR="00F15472" w:rsidRPr="00A623C3" w:rsidRDefault="00F15472" w:rsidP="0016073F">
      <w:pPr>
        <w:ind w:right="-1"/>
        <w:rPr>
          <w:rFonts w:ascii="Times New Roman" w:hAnsi="Times New Roman"/>
        </w:rPr>
      </w:pPr>
      <w:r w:rsidRPr="00A623C3">
        <w:rPr>
          <w:rFonts w:ascii="Times New Roman" w:hAnsi="Times New Roman"/>
        </w:rPr>
        <w:t>The exemption has been made by the Director of Aviation Safety, on behalf of CASA, in accordance with subsection 73 (2) of the Act.</w:t>
      </w:r>
    </w:p>
    <w:p w:rsidR="00F15472" w:rsidRPr="00A623C3" w:rsidRDefault="00F15472" w:rsidP="0016073F">
      <w:pPr>
        <w:pStyle w:val="LDMinuteParagraph"/>
        <w:spacing w:after="0"/>
        <w:rPr>
          <w:rFonts w:ascii="Times New Roman" w:hAnsi="Times New Roman"/>
          <w:szCs w:val="24"/>
        </w:rPr>
      </w:pPr>
    </w:p>
    <w:p w:rsidR="00F15472" w:rsidRPr="007C3996" w:rsidRDefault="00F15472" w:rsidP="0087565B">
      <w:pPr>
        <w:spacing w:before="120"/>
        <w:rPr>
          <w:rFonts w:ascii="Times New Roman" w:hAnsi="Times New Roman"/>
          <w:sz w:val="20"/>
          <w:szCs w:val="20"/>
        </w:rPr>
      </w:pPr>
      <w:r w:rsidRPr="007C3996">
        <w:rPr>
          <w:rFonts w:ascii="Times New Roman" w:hAnsi="Times New Roman"/>
          <w:sz w:val="20"/>
          <w:szCs w:val="20"/>
        </w:rPr>
        <w:t>[Instrument number CASA EX</w:t>
      </w:r>
      <w:r w:rsidR="00196951" w:rsidRPr="007C3996">
        <w:rPr>
          <w:rFonts w:ascii="Times New Roman" w:hAnsi="Times New Roman"/>
          <w:sz w:val="20"/>
          <w:szCs w:val="20"/>
        </w:rPr>
        <w:t>41</w:t>
      </w:r>
      <w:r w:rsidRPr="007C3996">
        <w:rPr>
          <w:rFonts w:ascii="Times New Roman" w:hAnsi="Times New Roman"/>
          <w:sz w:val="20"/>
          <w:szCs w:val="20"/>
        </w:rPr>
        <w:t>/1</w:t>
      </w:r>
      <w:r w:rsidR="00A35842" w:rsidRPr="007C3996">
        <w:rPr>
          <w:rFonts w:ascii="Times New Roman" w:hAnsi="Times New Roman"/>
          <w:sz w:val="20"/>
          <w:szCs w:val="20"/>
        </w:rPr>
        <w:t>6</w:t>
      </w:r>
      <w:r w:rsidRPr="007C3996">
        <w:rPr>
          <w:rFonts w:ascii="Times New Roman" w:hAnsi="Times New Roman"/>
          <w:sz w:val="20"/>
          <w:szCs w:val="20"/>
        </w:rPr>
        <w:t>]</w:t>
      </w:r>
    </w:p>
    <w:p w:rsidR="00E92877" w:rsidRPr="002B6535" w:rsidRDefault="00E92877" w:rsidP="003118B6">
      <w:pPr>
        <w:pStyle w:val="LDClauseHeading"/>
        <w:pageBreakBefore/>
        <w:tabs>
          <w:tab w:val="clear" w:pos="737"/>
        </w:tabs>
        <w:spacing w:before="0" w:after="0"/>
        <w:ind w:left="0" w:firstLine="0"/>
        <w:jc w:val="right"/>
        <w:rPr>
          <w:rFonts w:cs="Arial"/>
        </w:rPr>
      </w:pPr>
      <w:r w:rsidRPr="002B6535">
        <w:rPr>
          <w:rFonts w:cs="Arial"/>
        </w:rPr>
        <w:t>Appendix 1</w:t>
      </w:r>
    </w:p>
    <w:p w:rsidR="007C233D" w:rsidRDefault="007C233D" w:rsidP="007C233D">
      <w:pPr>
        <w:pStyle w:val="LDDescription"/>
      </w:pPr>
      <w:r w:rsidRPr="00381C44">
        <w:t>Exemption</w:t>
      </w:r>
      <w:r>
        <w:t> —</w:t>
      </w:r>
      <w:r w:rsidR="00F5444A">
        <w:t xml:space="preserve"> </w:t>
      </w:r>
      <w:r>
        <w:t>instrument proficiency check for single-pilot turbojet aeroplane type rating</w:t>
      </w:r>
    </w:p>
    <w:p w:rsidR="007C233D" w:rsidRPr="00381C44" w:rsidRDefault="007C233D" w:rsidP="007C233D">
      <w:pPr>
        <w:pStyle w:val="LDClauseHeading"/>
        <w:outlineLvl w:val="0"/>
      </w:pPr>
      <w:r w:rsidRPr="00381C44">
        <w:t>1</w:t>
      </w:r>
      <w:r w:rsidRPr="00381C44">
        <w:tab/>
      </w:r>
      <w:r>
        <w:t>Duration</w:t>
      </w:r>
    </w:p>
    <w:p w:rsidR="007C233D" w:rsidRDefault="007C233D" w:rsidP="007C233D">
      <w:pPr>
        <w:pStyle w:val="LDClause"/>
      </w:pPr>
      <w:r w:rsidRPr="00381C44">
        <w:tab/>
      </w:r>
      <w:r w:rsidRPr="00381C44">
        <w:tab/>
      </w:r>
      <w:r>
        <w:t xml:space="preserve">Under this section, the exemption instrument </w:t>
      </w:r>
      <w:r w:rsidRPr="00381C44">
        <w:t>commences on</w:t>
      </w:r>
      <w:r>
        <w:t xml:space="preserve"> the day after </w:t>
      </w:r>
      <w:proofErr w:type="gramStart"/>
      <w:r>
        <w:t>registration</w:t>
      </w:r>
      <w:r w:rsidR="00F5444A">
        <w:t xml:space="preserve"> </w:t>
      </w:r>
      <w:r>
        <w:t xml:space="preserve"> and</w:t>
      </w:r>
      <w:proofErr w:type="gramEnd"/>
      <w:r>
        <w:t xml:space="preserve"> expires at the end of </w:t>
      </w:r>
      <w:r w:rsidR="00F5444A">
        <w:t xml:space="preserve">28 February </w:t>
      </w:r>
      <w:r>
        <w:t>2018, as if it had been repealed by another instrument.</w:t>
      </w:r>
    </w:p>
    <w:p w:rsidR="007C233D" w:rsidRPr="00381C44" w:rsidRDefault="007C233D" w:rsidP="007C233D">
      <w:pPr>
        <w:pStyle w:val="LDClauseHeading"/>
        <w:outlineLvl w:val="0"/>
      </w:pPr>
      <w:r>
        <w:t>2</w:t>
      </w:r>
      <w:r>
        <w:tab/>
        <w:t>Definitions</w:t>
      </w:r>
    </w:p>
    <w:p w:rsidR="007C233D" w:rsidRDefault="007C233D" w:rsidP="007C233D">
      <w:pPr>
        <w:pStyle w:val="LDClause"/>
      </w:pPr>
      <w:r w:rsidRPr="00381C44">
        <w:tab/>
      </w:r>
      <w:r w:rsidRPr="00381C44">
        <w:tab/>
      </w:r>
      <w:r>
        <w:t>This section provides some basic definitions.</w:t>
      </w:r>
    </w:p>
    <w:p w:rsidR="007C233D" w:rsidRPr="00173D40" w:rsidRDefault="007C233D" w:rsidP="007C233D">
      <w:pPr>
        <w:pStyle w:val="LDClauseHeading"/>
        <w:outlineLvl w:val="0"/>
      </w:pPr>
      <w:r>
        <w:t>3</w:t>
      </w:r>
      <w:r w:rsidRPr="00381C44">
        <w:tab/>
        <w:t>Application</w:t>
      </w:r>
    </w:p>
    <w:p w:rsidR="007C233D" w:rsidRPr="005D5378" w:rsidRDefault="007C233D" w:rsidP="007C233D">
      <w:pPr>
        <w:pStyle w:val="LDClause"/>
      </w:pPr>
      <w:r w:rsidRPr="00381C44">
        <w:tab/>
      </w:r>
      <w:r w:rsidRPr="00381C44">
        <w:tab/>
      </w:r>
      <w:r>
        <w:t>This section provides that the exemption instrument applies to the holder of a single-pilot turbojet aeroplane type rating for the exercise of privileges under the IFR.</w:t>
      </w:r>
    </w:p>
    <w:p w:rsidR="007C233D" w:rsidRPr="00381C44" w:rsidRDefault="007C233D" w:rsidP="007C233D">
      <w:pPr>
        <w:pStyle w:val="LDClauseHeading"/>
      </w:pPr>
      <w:r>
        <w:t>4</w:t>
      </w:r>
      <w:r w:rsidRPr="00381C44">
        <w:tab/>
        <w:t>Exemption</w:t>
      </w:r>
      <w:r>
        <w:t>s</w:t>
      </w:r>
    </w:p>
    <w:p w:rsidR="007C233D" w:rsidRDefault="007C233D" w:rsidP="007C233D">
      <w:pPr>
        <w:pStyle w:val="LDClause"/>
      </w:pPr>
      <w:r w:rsidRPr="00381C44">
        <w:tab/>
      </w:r>
      <w:r>
        <w:t>(1)</w:t>
      </w:r>
      <w:r w:rsidRPr="00381C44">
        <w:tab/>
      </w:r>
      <w:r>
        <w:t xml:space="preserve">Under this subsection, the holder of a </w:t>
      </w:r>
      <w:r w:rsidR="00004406">
        <w:t>single-pilot</w:t>
      </w:r>
      <w:r>
        <w:t xml:space="preserve"> aeroplane type rating (the </w:t>
      </w:r>
      <w:r w:rsidRPr="007C233D">
        <w:rPr>
          <w:b/>
          <w:i/>
        </w:rPr>
        <w:t>SP type rating holder</w:t>
      </w:r>
      <w:r>
        <w:t xml:space="preserve">) is exempted from </w:t>
      </w:r>
      <w:proofErr w:type="spellStart"/>
      <w:r>
        <w:t>subregulation</w:t>
      </w:r>
      <w:proofErr w:type="spellEnd"/>
      <w:r>
        <w:t xml:space="preserve"> 61.805</w:t>
      </w:r>
      <w:r w:rsidR="00ED38A8">
        <w:t> </w:t>
      </w:r>
      <w:r>
        <w:t>(1), to the extent of the requirement to have a valid instrument proficiency check (</w:t>
      </w:r>
      <w:r w:rsidRPr="0066707D">
        <w:rPr>
          <w:b/>
          <w:i/>
        </w:rPr>
        <w:t>IPC</w:t>
      </w:r>
      <w:r>
        <w:t xml:space="preserve">) for the aeroplane type in accordance with the options provided for under </w:t>
      </w:r>
      <w:proofErr w:type="spellStart"/>
      <w:r>
        <w:t>subregulation</w:t>
      </w:r>
      <w:proofErr w:type="spellEnd"/>
      <w:r w:rsidR="008E708F">
        <w:t> </w:t>
      </w:r>
      <w:r>
        <w:t>61.805</w:t>
      </w:r>
      <w:r w:rsidR="00ED38A8">
        <w:t> </w:t>
      </w:r>
      <w:r>
        <w:t>(3).</w:t>
      </w:r>
    </w:p>
    <w:p w:rsidR="007C233D" w:rsidRDefault="007C233D" w:rsidP="007C233D">
      <w:pPr>
        <w:pStyle w:val="LDClause"/>
      </w:pPr>
      <w:r>
        <w:tab/>
        <w:t>(2)</w:t>
      </w:r>
      <w:r>
        <w:tab/>
      </w:r>
      <w:r w:rsidR="00F00E34">
        <w:t>Under this subsection, t</w:t>
      </w:r>
      <w:r>
        <w:t>he SP type rating holder is also exempted from subregulations 61.805</w:t>
      </w:r>
      <w:r w:rsidR="00ED38A8">
        <w:t> </w:t>
      </w:r>
      <w:r>
        <w:t>(5) and (6).</w:t>
      </w:r>
    </w:p>
    <w:p w:rsidR="007C233D" w:rsidRDefault="007C233D" w:rsidP="007C233D">
      <w:pPr>
        <w:pStyle w:val="LDClause"/>
      </w:pPr>
      <w:r>
        <w:tab/>
        <w:t>(3)</w:t>
      </w:r>
      <w:r>
        <w:tab/>
      </w:r>
      <w:r w:rsidR="00F00E34">
        <w:t>Under this subsection, t</w:t>
      </w:r>
      <w:r>
        <w:t>he exemptions in subsections (1) and (2) are subject to the conditions in section 5.</w:t>
      </w:r>
    </w:p>
    <w:p w:rsidR="007C233D" w:rsidRDefault="007C233D" w:rsidP="007C233D">
      <w:pPr>
        <w:pStyle w:val="LDClauseHeading"/>
        <w:outlineLvl w:val="0"/>
      </w:pPr>
      <w:r>
        <w:t>5</w:t>
      </w:r>
      <w:r w:rsidRPr="00381C44">
        <w:tab/>
        <w:t>Condition</w:t>
      </w:r>
      <w:r>
        <w:t>s</w:t>
      </w:r>
    </w:p>
    <w:p w:rsidR="00E67D1C" w:rsidRDefault="00F00E34" w:rsidP="00F00E34">
      <w:pPr>
        <w:pStyle w:val="LDClause"/>
      </w:pPr>
      <w:r>
        <w:tab/>
      </w:r>
      <w:r>
        <w:tab/>
        <w:t>Section 5 contains the 3 relevant conditions to which the exemptions mentioned in section 4 are subject.</w:t>
      </w:r>
    </w:p>
    <w:p w:rsidR="007C233D" w:rsidRDefault="00F00E34" w:rsidP="007C233D">
      <w:pPr>
        <w:pStyle w:val="LDClause"/>
      </w:pPr>
      <w:r>
        <w:tab/>
      </w:r>
      <w:r>
        <w:tab/>
        <w:t>Under the first condition, t</w:t>
      </w:r>
      <w:r w:rsidR="007C233D">
        <w:t xml:space="preserve">he SP type rating holder must have a valid IPC for </w:t>
      </w:r>
      <w:r w:rsidR="007C233D" w:rsidRPr="00F00E34">
        <w:rPr>
          <w:b/>
        </w:rPr>
        <w:t xml:space="preserve">any </w:t>
      </w:r>
      <w:r w:rsidR="007C233D" w:rsidRPr="00F00E34">
        <w:t>single-pilot turbojet aeroplane type</w:t>
      </w:r>
      <w:r w:rsidR="007C233D">
        <w:t>, as if</w:t>
      </w:r>
      <w:r>
        <w:t xml:space="preserve"> (despite the exemption)</w:t>
      </w:r>
      <w:r w:rsidR="007C233D">
        <w:t xml:space="preserve"> the requirement under subregulations 61.805</w:t>
      </w:r>
      <w:r w:rsidR="00ED38A8">
        <w:t> </w:t>
      </w:r>
      <w:r w:rsidR="007C233D">
        <w:t>(1) and (3), to have</w:t>
      </w:r>
      <w:r w:rsidR="00E67D1C">
        <w:t xml:space="preserve"> successfully completed</w:t>
      </w:r>
      <w:r w:rsidR="007C233D">
        <w:t xml:space="preserve"> a valid IPC </w:t>
      </w:r>
      <w:r w:rsidR="007C233D" w:rsidRPr="00F00E34">
        <w:rPr>
          <w:b/>
        </w:rPr>
        <w:t>for the aeroplane type covered by the rating</w:t>
      </w:r>
      <w:r>
        <w:t>,</w:t>
      </w:r>
      <w:r w:rsidR="007C233D">
        <w:t xml:space="preserve"> applied as a requirement to have</w:t>
      </w:r>
      <w:r w:rsidR="00E67D1C">
        <w:t xml:space="preserve"> successfully completed</w:t>
      </w:r>
      <w:r w:rsidR="007C233D">
        <w:t xml:space="preserve"> a valid IPC for </w:t>
      </w:r>
      <w:r w:rsidR="007C233D" w:rsidRPr="00F00E34">
        <w:rPr>
          <w:b/>
        </w:rPr>
        <w:t>any</w:t>
      </w:r>
      <w:r w:rsidR="007C233D">
        <w:t xml:space="preserve"> single-pilot turbojet aeroplane type.</w:t>
      </w:r>
    </w:p>
    <w:p w:rsidR="007C233D" w:rsidRDefault="00F00E34" w:rsidP="00F00E34">
      <w:pPr>
        <w:pStyle w:val="LDClause"/>
      </w:pPr>
      <w:r>
        <w:tab/>
      </w:r>
      <w:r>
        <w:tab/>
        <w:t>A Note explains that the effect of this condition is that f</w:t>
      </w:r>
      <w:r w:rsidR="007C233D">
        <w:t>or a</w:t>
      </w:r>
      <w:r w:rsidR="00F5444A">
        <w:t>n</w:t>
      </w:r>
      <w:r w:rsidR="007C233D">
        <w:t xml:space="preserve"> SP type rating holder, the 12</w:t>
      </w:r>
      <w:r w:rsidR="00F5444A">
        <w:t>-</w:t>
      </w:r>
      <w:r w:rsidR="007C233D">
        <w:t>monthly IPC requirement under subregulations 61.805</w:t>
      </w:r>
      <w:r w:rsidR="00ED38A8">
        <w:t> </w:t>
      </w:r>
      <w:r w:rsidR="007C233D">
        <w:t>(1) and (3) may</w:t>
      </w:r>
      <w:r>
        <w:t xml:space="preserve"> now</w:t>
      </w:r>
      <w:r w:rsidR="007C233D">
        <w:t xml:space="preserve"> be satisfied by an IPC in </w:t>
      </w:r>
      <w:r w:rsidR="007C233D" w:rsidRPr="0033439D">
        <w:rPr>
          <w:b/>
        </w:rPr>
        <w:t>any</w:t>
      </w:r>
      <w:r w:rsidR="007C233D">
        <w:t xml:space="preserve"> single-pilot turbojet aeroplane type.</w:t>
      </w:r>
    </w:p>
    <w:p w:rsidR="007C233D" w:rsidRDefault="00F00E34" w:rsidP="007C233D">
      <w:pPr>
        <w:pStyle w:val="LDClause"/>
      </w:pPr>
      <w:r>
        <w:tab/>
      </w:r>
      <w:r>
        <w:tab/>
        <w:t>Under the second condition, t</w:t>
      </w:r>
      <w:r w:rsidR="007C233D">
        <w:t>he SP type rating holder must have a valid IPC for the aeroplane type covered by the rating, as if the requirements under subregulations 61.805</w:t>
      </w:r>
      <w:r w:rsidR="00ED38A8">
        <w:t> </w:t>
      </w:r>
      <w:r w:rsidR="007C233D">
        <w:t>(1) and (2)</w:t>
      </w:r>
      <w:r>
        <w:t xml:space="preserve"> </w:t>
      </w:r>
      <w:r w:rsidR="007C233D">
        <w:t>for the holder of a pilot type rating</w:t>
      </w:r>
      <w:r w:rsidR="006D7D0C">
        <w:t xml:space="preserve"> other than a single-pilot turbojet aeroplane type rating</w:t>
      </w:r>
      <w:r w:rsidR="00E67D1C">
        <w:t>,</w:t>
      </w:r>
      <w:r w:rsidR="007C233D">
        <w:t xml:space="preserve"> to have</w:t>
      </w:r>
      <w:r w:rsidR="00E67D1C">
        <w:t xml:space="preserve"> successfully completed</w:t>
      </w:r>
      <w:r w:rsidR="007C233D">
        <w:t xml:space="preserve"> a valid IPC for </w:t>
      </w:r>
      <w:r w:rsidR="00E67D1C">
        <w:t>any</w:t>
      </w:r>
      <w:r w:rsidR="007C233D">
        <w:t xml:space="preserve"> aircraft type covered by the rating, </w:t>
      </w:r>
      <w:r w:rsidR="007C233D" w:rsidRPr="006D7D0C">
        <w:rPr>
          <w:b/>
        </w:rPr>
        <w:t>also</w:t>
      </w:r>
      <w:r w:rsidR="007C233D">
        <w:t xml:space="preserve"> applied to </w:t>
      </w:r>
      <w:r w:rsidR="006D7D0C">
        <w:t xml:space="preserve">the holder of </w:t>
      </w:r>
      <w:r w:rsidR="007C233D">
        <w:t>a</w:t>
      </w:r>
      <w:r w:rsidR="006D7D0C">
        <w:t xml:space="preserve"> single-pilot turbojet aeroplane type rating.</w:t>
      </w:r>
    </w:p>
    <w:p w:rsidR="007C233D" w:rsidRDefault="006D7D0C" w:rsidP="006D7D0C">
      <w:pPr>
        <w:pStyle w:val="LDClause"/>
      </w:pPr>
      <w:r>
        <w:tab/>
      </w:r>
      <w:r>
        <w:tab/>
        <w:t>A Note explains that the effect of this condition is that a</w:t>
      </w:r>
      <w:r w:rsidR="00F5444A">
        <w:t>n</w:t>
      </w:r>
      <w:r>
        <w:t xml:space="preserve"> </w:t>
      </w:r>
      <w:r w:rsidR="007C233D">
        <w:t xml:space="preserve">SP type rating holder must </w:t>
      </w:r>
      <w:r w:rsidR="00E67D1C">
        <w:t xml:space="preserve">have </w:t>
      </w:r>
      <w:r w:rsidR="007C233D">
        <w:t>successfully complete</w:t>
      </w:r>
      <w:r w:rsidR="00E67D1C">
        <w:t>d</w:t>
      </w:r>
      <w:r w:rsidR="007C233D">
        <w:t xml:space="preserve"> a 24</w:t>
      </w:r>
      <w:r w:rsidR="00A575EB">
        <w:t>-</w:t>
      </w:r>
      <w:r w:rsidR="007C233D">
        <w:t xml:space="preserve">monthly IPC for </w:t>
      </w:r>
      <w:r w:rsidR="00E67D1C">
        <w:rPr>
          <w:b/>
        </w:rPr>
        <w:t>any</w:t>
      </w:r>
      <w:r w:rsidR="007C233D" w:rsidRPr="006D7D0C">
        <w:rPr>
          <w:b/>
        </w:rPr>
        <w:t xml:space="preserve"> single-pilot turbojet aeroplane type</w:t>
      </w:r>
      <w:r w:rsidR="007C233D">
        <w:t xml:space="preserve"> </w:t>
      </w:r>
      <w:r>
        <w:t xml:space="preserve">covered by the </w:t>
      </w:r>
      <w:r w:rsidR="007C233D">
        <w:t xml:space="preserve">rating held, in order to be authorised to pilot </w:t>
      </w:r>
      <w:r w:rsidR="00036A46">
        <w:t>any aircraft</w:t>
      </w:r>
      <w:r w:rsidR="007C233D">
        <w:t xml:space="preserve"> type </w:t>
      </w:r>
      <w:r w:rsidR="00036A46">
        <w:t>covered by the rating,</w:t>
      </w:r>
      <w:r w:rsidR="007C233D">
        <w:t xml:space="preserve"> under the IFR.</w:t>
      </w:r>
    </w:p>
    <w:p w:rsidR="007C233D" w:rsidRDefault="006D7D0C" w:rsidP="007C3996">
      <w:pPr>
        <w:pStyle w:val="LDClause"/>
        <w:ind w:right="-284"/>
      </w:pPr>
      <w:r>
        <w:tab/>
      </w:r>
      <w:r>
        <w:tab/>
        <w:t>Under the third condition, s</w:t>
      </w:r>
      <w:r w:rsidR="007C233D">
        <w:t>ubregulations 61.805</w:t>
      </w:r>
      <w:r w:rsidR="00ED38A8">
        <w:t> </w:t>
      </w:r>
      <w:r w:rsidR="007C233D">
        <w:t>(5) and (6) must be complied</w:t>
      </w:r>
      <w:r>
        <w:t xml:space="preserve"> with</w:t>
      </w:r>
      <w:r w:rsidR="007C233D">
        <w:t xml:space="preserve"> </w:t>
      </w:r>
      <w:r w:rsidR="007C233D" w:rsidRPr="006D7D0C">
        <w:rPr>
          <w:b/>
        </w:rPr>
        <w:t>as if they applied despite the exemption</w:t>
      </w:r>
      <w:r w:rsidR="007C233D">
        <w:t xml:space="preserve"> in subsection 4</w:t>
      </w:r>
      <w:r w:rsidR="00ED38A8">
        <w:t> </w:t>
      </w:r>
      <w:r w:rsidR="007C233D">
        <w:t>(2) of this instrument, except that references to “relevant aircraft” for paragraphs 61.805</w:t>
      </w:r>
      <w:r w:rsidR="00ED38A8">
        <w:t> </w:t>
      </w:r>
      <w:r w:rsidR="007C233D">
        <w:t>(3)</w:t>
      </w:r>
      <w:r w:rsidR="00ED38A8">
        <w:t> </w:t>
      </w:r>
      <w:r w:rsidR="007C233D">
        <w:t xml:space="preserve">(e) and (f) must be taken to be references to </w:t>
      </w:r>
      <w:r w:rsidR="007C233D" w:rsidRPr="006D7D0C">
        <w:rPr>
          <w:b/>
        </w:rPr>
        <w:t xml:space="preserve">any </w:t>
      </w:r>
      <w:r w:rsidR="007C233D">
        <w:t xml:space="preserve">single-pilot turbojet aeroplane type </w:t>
      </w:r>
      <w:r>
        <w:t>(rather than the particular single-pilot turbojet aeroplane type covered by the holders rating</w:t>
      </w:r>
      <w:r w:rsidR="007C233D">
        <w:t>.</w:t>
      </w:r>
    </w:p>
    <w:p w:rsidR="007C233D" w:rsidRDefault="006D7D0C" w:rsidP="006D7D0C">
      <w:pPr>
        <w:pStyle w:val="LDClause"/>
      </w:pPr>
      <w:r>
        <w:tab/>
      </w:r>
      <w:r>
        <w:tab/>
        <w:t>A Note explains that, therefore,</w:t>
      </w:r>
      <w:r w:rsidR="007C233D">
        <w:t xml:space="preserve"> it is a condition of the exemption from the requirements in subregulations 61.805</w:t>
      </w:r>
      <w:r w:rsidR="00ED38A8">
        <w:t> </w:t>
      </w:r>
      <w:r w:rsidR="007C233D">
        <w:t xml:space="preserve">(5) and (6), that </w:t>
      </w:r>
      <w:proofErr w:type="spellStart"/>
      <w:r w:rsidR="007C233D">
        <w:t>subregulations</w:t>
      </w:r>
      <w:proofErr w:type="spellEnd"/>
      <w:r w:rsidR="00ED38A8">
        <w:t> </w:t>
      </w:r>
      <w:r w:rsidR="007C233D">
        <w:t>61.805</w:t>
      </w:r>
      <w:r w:rsidR="00ED38A8">
        <w:t> </w:t>
      </w:r>
      <w:r w:rsidR="007C233D">
        <w:t xml:space="preserve">(5) and (6) be complied with, but </w:t>
      </w:r>
      <w:r w:rsidR="007C233D" w:rsidRPr="006D7D0C">
        <w:rPr>
          <w:b/>
        </w:rPr>
        <w:t>in the particular context of the operation of the exemption</w:t>
      </w:r>
      <w:r w:rsidR="007C233D">
        <w:t>.</w:t>
      </w:r>
    </w:p>
    <w:p w:rsidR="00F15472" w:rsidRPr="007C233D" w:rsidRDefault="00F15472" w:rsidP="00D46070">
      <w:pPr>
        <w:pStyle w:val="LDClauseHeading"/>
        <w:pageBreakBefore/>
        <w:tabs>
          <w:tab w:val="clear" w:pos="737"/>
        </w:tabs>
        <w:spacing w:before="0"/>
        <w:ind w:left="0" w:firstLine="0"/>
        <w:jc w:val="right"/>
        <w:rPr>
          <w:rFonts w:cs="Arial"/>
        </w:rPr>
      </w:pPr>
      <w:r w:rsidRPr="007C233D">
        <w:rPr>
          <w:rFonts w:cs="Arial"/>
        </w:rPr>
        <w:t>Appendix 2</w:t>
      </w:r>
    </w:p>
    <w:p w:rsidR="00F15472" w:rsidRPr="00004406" w:rsidRDefault="00F15472" w:rsidP="00F15472">
      <w:pPr>
        <w:spacing w:before="360" w:after="120"/>
        <w:jc w:val="center"/>
        <w:rPr>
          <w:rFonts w:ascii="Arial" w:hAnsi="Arial" w:cs="Arial"/>
          <w:b/>
        </w:rPr>
      </w:pPr>
      <w:r w:rsidRPr="00004406">
        <w:rPr>
          <w:rFonts w:ascii="Arial" w:hAnsi="Arial" w:cs="Arial"/>
          <w:b/>
        </w:rPr>
        <w:t>Statement of Compatibility with Human Rights</w:t>
      </w:r>
    </w:p>
    <w:p w:rsidR="00F15472" w:rsidRPr="00E67D1C" w:rsidRDefault="00F15472" w:rsidP="007C3996">
      <w:pPr>
        <w:spacing w:before="120" w:after="180"/>
        <w:jc w:val="center"/>
        <w:rPr>
          <w:rFonts w:ascii="Times New Roman" w:hAnsi="Times New Roman"/>
        </w:rPr>
      </w:pPr>
      <w:r w:rsidRPr="00935C5F">
        <w:rPr>
          <w:rFonts w:ascii="Times New Roman" w:hAnsi="Times New Roman"/>
          <w:i/>
        </w:rPr>
        <w:t>Prepared in accordance with Part 3 of the</w:t>
      </w:r>
      <w:r w:rsidRPr="00935C5F">
        <w:rPr>
          <w:rFonts w:ascii="Times New Roman" w:hAnsi="Times New Roman"/>
          <w:i/>
        </w:rPr>
        <w:br/>
        <w:t>Human Rights (Parliamentary Scrutiny) Act 2011</w:t>
      </w:r>
    </w:p>
    <w:p w:rsidR="00F15472" w:rsidRPr="007C3996" w:rsidRDefault="00F15472" w:rsidP="00D46070">
      <w:pPr>
        <w:pStyle w:val="LDClauseHeading"/>
        <w:spacing w:before="360" w:after="360"/>
        <w:jc w:val="center"/>
        <w:rPr>
          <w:rFonts w:cs="Arial"/>
          <w:i/>
        </w:rPr>
      </w:pPr>
      <w:r w:rsidRPr="007C3996">
        <w:rPr>
          <w:rFonts w:cs="Arial"/>
          <w:i/>
        </w:rPr>
        <w:t>Civil Aviation Safety Regulations 1998</w:t>
      </w:r>
    </w:p>
    <w:p w:rsidR="00935C5F" w:rsidRPr="00E67D1C" w:rsidRDefault="00935C5F" w:rsidP="00406E53">
      <w:pPr>
        <w:pStyle w:val="LDClauseHeading"/>
        <w:ind w:left="0" w:firstLine="0"/>
        <w:jc w:val="center"/>
        <w:rPr>
          <w:rFonts w:cs="Arial"/>
        </w:rPr>
      </w:pPr>
      <w:r w:rsidRPr="00935C5F">
        <w:rPr>
          <w:rFonts w:cs="Arial"/>
        </w:rPr>
        <w:t xml:space="preserve">Exemption — instrument proficiency check for </w:t>
      </w:r>
      <w:r w:rsidR="00004406">
        <w:rPr>
          <w:rFonts w:cs="Arial"/>
        </w:rPr>
        <w:t>single-pilot</w:t>
      </w:r>
      <w:r w:rsidRPr="00935C5F">
        <w:rPr>
          <w:rFonts w:cs="Arial"/>
        </w:rPr>
        <w:t xml:space="preserve"> turbojet aeroplane type rating</w:t>
      </w:r>
    </w:p>
    <w:p w:rsidR="00F15472" w:rsidRPr="00A623C3" w:rsidRDefault="00F15472" w:rsidP="00406E53">
      <w:pPr>
        <w:spacing w:before="360" w:after="480"/>
        <w:jc w:val="center"/>
        <w:rPr>
          <w:rFonts w:ascii="Times New Roman" w:hAnsi="Times New Roman"/>
        </w:rPr>
      </w:pPr>
      <w:r w:rsidRPr="00A623C3">
        <w:rPr>
          <w:rFonts w:ascii="Times New Roman" w:hAnsi="Times New Roman"/>
        </w:rPr>
        <w:t xml:space="preserve">This legislative instrument is compatible with the human rights and freedoms recognised or declared in the international instruments listed in section 3 of the </w:t>
      </w:r>
      <w:r w:rsidRPr="00A623C3">
        <w:rPr>
          <w:rFonts w:ascii="Times New Roman" w:hAnsi="Times New Roman"/>
          <w:i/>
        </w:rPr>
        <w:t>Human Rights (Parliamentary Scrutiny) Act 2011</w:t>
      </w:r>
      <w:r w:rsidRPr="00A623C3">
        <w:rPr>
          <w:rFonts w:ascii="Times New Roman" w:hAnsi="Times New Roman"/>
        </w:rPr>
        <w:t>.</w:t>
      </w:r>
    </w:p>
    <w:p w:rsidR="00F15472" w:rsidRPr="00A623C3" w:rsidRDefault="00F15472" w:rsidP="00F15472">
      <w:pPr>
        <w:jc w:val="both"/>
        <w:rPr>
          <w:rFonts w:ascii="Times New Roman" w:hAnsi="Times New Roman"/>
          <w:b/>
        </w:rPr>
      </w:pPr>
      <w:r w:rsidRPr="00A623C3">
        <w:rPr>
          <w:rFonts w:ascii="Times New Roman" w:hAnsi="Times New Roman"/>
          <w:b/>
        </w:rPr>
        <w:t>Overview of the legislative instrument</w:t>
      </w:r>
    </w:p>
    <w:p w:rsidR="002E292F" w:rsidRDefault="002E292F" w:rsidP="002E292F">
      <w:pPr>
        <w:pStyle w:val="BodyText"/>
        <w:rPr>
          <w:rFonts w:ascii="Times New Roman" w:hAnsi="Times New Roman"/>
        </w:rPr>
      </w:pPr>
      <w:r w:rsidRPr="00A623C3">
        <w:rPr>
          <w:rFonts w:ascii="Times New Roman" w:hAnsi="Times New Roman"/>
        </w:rPr>
        <w:t xml:space="preserve">The purpose of this instrument is to exempt </w:t>
      </w:r>
      <w:r>
        <w:rPr>
          <w:rFonts w:ascii="Times New Roman" w:hAnsi="Times New Roman"/>
        </w:rPr>
        <w:t xml:space="preserve">the holder of a </w:t>
      </w:r>
      <w:r w:rsidR="00004406">
        <w:rPr>
          <w:rFonts w:ascii="Times New Roman" w:hAnsi="Times New Roman"/>
        </w:rPr>
        <w:t>single-pilot</w:t>
      </w:r>
      <w:r>
        <w:rPr>
          <w:rFonts w:ascii="Times New Roman" w:hAnsi="Times New Roman"/>
        </w:rPr>
        <w:t xml:space="preserve"> turbojet aeroplane rating from the requirement to have successfully completed an annual instrument proficiency check in an aeroplane type covered by the rating and that is to be flown under the IFR, provided the holder has successfully completed an annual proficiency check in </w:t>
      </w:r>
      <w:r w:rsidRPr="00B90FCD">
        <w:rPr>
          <w:rFonts w:ascii="Times New Roman" w:hAnsi="Times New Roman"/>
          <w:b/>
        </w:rPr>
        <w:t>any</w:t>
      </w:r>
      <w:r>
        <w:rPr>
          <w:rFonts w:ascii="Times New Roman" w:hAnsi="Times New Roman"/>
        </w:rPr>
        <w:t xml:space="preserve"> </w:t>
      </w:r>
      <w:r w:rsidR="00004406">
        <w:rPr>
          <w:rFonts w:ascii="Times New Roman" w:hAnsi="Times New Roman"/>
        </w:rPr>
        <w:t>single-pilot</w:t>
      </w:r>
      <w:r>
        <w:rPr>
          <w:rFonts w:ascii="Times New Roman" w:hAnsi="Times New Roman"/>
        </w:rPr>
        <w:t xml:space="preserve"> turbojet aeroplane.</w:t>
      </w:r>
    </w:p>
    <w:p w:rsidR="002E292F" w:rsidRDefault="002E292F" w:rsidP="002E292F">
      <w:pPr>
        <w:pStyle w:val="BodyText"/>
        <w:rPr>
          <w:rFonts w:ascii="Times New Roman" w:hAnsi="Times New Roman"/>
        </w:rPr>
      </w:pPr>
    </w:p>
    <w:p w:rsidR="002E292F" w:rsidRPr="00A623C3" w:rsidRDefault="002E292F" w:rsidP="002E292F">
      <w:pPr>
        <w:pStyle w:val="BodyText"/>
        <w:rPr>
          <w:rFonts w:ascii="Times New Roman" w:hAnsi="Times New Roman"/>
        </w:rPr>
      </w:pPr>
      <w:r>
        <w:rPr>
          <w:rFonts w:ascii="Times New Roman" w:hAnsi="Times New Roman"/>
        </w:rPr>
        <w:t xml:space="preserve">As a condition of this exemption, the holder of a </w:t>
      </w:r>
      <w:r w:rsidR="00004406">
        <w:rPr>
          <w:rFonts w:ascii="Times New Roman" w:hAnsi="Times New Roman"/>
        </w:rPr>
        <w:t>single-pilot</w:t>
      </w:r>
      <w:r>
        <w:rPr>
          <w:rFonts w:ascii="Times New Roman" w:hAnsi="Times New Roman"/>
        </w:rPr>
        <w:t xml:space="preserve"> turbojet aeroplane rating is required to have successfully completed a bi-annual instrument proficiency check in </w:t>
      </w:r>
      <w:r w:rsidRPr="00D91A18">
        <w:rPr>
          <w:rFonts w:ascii="Times New Roman" w:hAnsi="Times New Roman"/>
          <w:b/>
        </w:rPr>
        <w:t>an</w:t>
      </w:r>
      <w:r>
        <w:rPr>
          <w:rFonts w:ascii="Times New Roman" w:hAnsi="Times New Roman"/>
        </w:rPr>
        <w:t xml:space="preserve"> aeroplane type covered by the rating and that is to be flown under the IFR.</w:t>
      </w:r>
    </w:p>
    <w:p w:rsidR="002E292F" w:rsidRPr="00A623C3" w:rsidRDefault="002E292F" w:rsidP="002E292F">
      <w:pPr>
        <w:pStyle w:val="BodyText"/>
        <w:rPr>
          <w:rFonts w:ascii="Times New Roman" w:hAnsi="Times New Roman"/>
        </w:rPr>
      </w:pPr>
    </w:p>
    <w:p w:rsidR="00F15472" w:rsidRPr="00A623C3" w:rsidRDefault="00F15472" w:rsidP="00F15472">
      <w:pPr>
        <w:jc w:val="both"/>
        <w:rPr>
          <w:rFonts w:ascii="Times New Roman" w:hAnsi="Times New Roman"/>
          <w:b/>
        </w:rPr>
      </w:pPr>
      <w:r w:rsidRPr="00A623C3">
        <w:rPr>
          <w:rFonts w:ascii="Times New Roman" w:hAnsi="Times New Roman"/>
          <w:b/>
        </w:rPr>
        <w:t>Human rights implications</w:t>
      </w:r>
    </w:p>
    <w:p w:rsidR="00F15472" w:rsidRPr="00A623C3" w:rsidRDefault="00F15472" w:rsidP="00F15472">
      <w:pPr>
        <w:pStyle w:val="BodyText"/>
        <w:rPr>
          <w:rFonts w:ascii="Times New Roman" w:hAnsi="Times New Roman"/>
        </w:rPr>
      </w:pPr>
      <w:r w:rsidRPr="00A623C3">
        <w:rPr>
          <w:rFonts w:ascii="Times New Roman" w:hAnsi="Times New Roman"/>
        </w:rPr>
        <w:t xml:space="preserve">The exemption in the legislative instrument </w:t>
      </w:r>
      <w:r w:rsidR="006827C8" w:rsidRPr="00A623C3">
        <w:rPr>
          <w:rFonts w:ascii="Times New Roman" w:hAnsi="Times New Roman"/>
        </w:rPr>
        <w:t>is</w:t>
      </w:r>
      <w:r w:rsidRPr="00A623C3">
        <w:rPr>
          <w:rFonts w:ascii="Times New Roman" w:hAnsi="Times New Roman"/>
        </w:rPr>
        <w:t xml:space="preserve"> compatible with the human rights and freedoms recognised or declared in the international instruments listed in section 3 of the </w:t>
      </w:r>
      <w:r w:rsidRPr="00A623C3">
        <w:rPr>
          <w:rFonts w:ascii="Times New Roman" w:hAnsi="Times New Roman"/>
          <w:i/>
          <w:iCs/>
        </w:rPr>
        <w:t>Human Rights (Parliamentary Scrutiny) Act 2011</w:t>
      </w:r>
      <w:r w:rsidRPr="00A623C3">
        <w:rPr>
          <w:rFonts w:ascii="Times New Roman" w:hAnsi="Times New Roman"/>
        </w:rPr>
        <w:t>. The instrument does not engage any of the applicable rights or freedoms.</w:t>
      </w:r>
    </w:p>
    <w:p w:rsidR="00F15472" w:rsidRPr="00A623C3" w:rsidRDefault="00F15472" w:rsidP="00F15472">
      <w:pPr>
        <w:pStyle w:val="BodyText"/>
        <w:rPr>
          <w:rFonts w:ascii="Times New Roman" w:hAnsi="Times New Roman"/>
        </w:rPr>
      </w:pPr>
    </w:p>
    <w:p w:rsidR="00F15472" w:rsidRPr="00A623C3" w:rsidRDefault="00F15472" w:rsidP="00F15472">
      <w:pPr>
        <w:jc w:val="both"/>
        <w:rPr>
          <w:rFonts w:ascii="Times New Roman" w:hAnsi="Times New Roman"/>
          <w:b/>
        </w:rPr>
      </w:pPr>
      <w:r w:rsidRPr="00A623C3">
        <w:rPr>
          <w:rFonts w:ascii="Times New Roman" w:hAnsi="Times New Roman"/>
          <w:b/>
        </w:rPr>
        <w:t>Conclusion</w:t>
      </w:r>
    </w:p>
    <w:p w:rsidR="00F15472" w:rsidRPr="00A623C3" w:rsidRDefault="00F15472" w:rsidP="00F15472">
      <w:pPr>
        <w:pStyle w:val="BodyText"/>
        <w:rPr>
          <w:rFonts w:ascii="Times New Roman" w:hAnsi="Times New Roman"/>
        </w:rPr>
      </w:pPr>
      <w:r w:rsidRPr="00A623C3">
        <w:rPr>
          <w:rFonts w:ascii="Times New Roman" w:hAnsi="Times New Roman"/>
        </w:rPr>
        <w:t>This legislative instrument is compatible with human rights as it does not raise any human rights issues.</w:t>
      </w:r>
    </w:p>
    <w:p w:rsidR="00F15472" w:rsidRPr="00A623C3" w:rsidRDefault="00F15472" w:rsidP="00F15472">
      <w:pPr>
        <w:pStyle w:val="BodyText"/>
        <w:rPr>
          <w:rFonts w:ascii="Times New Roman" w:hAnsi="Times New Roman"/>
        </w:rPr>
      </w:pPr>
    </w:p>
    <w:p w:rsidR="00F15472" w:rsidRPr="00A623C3" w:rsidRDefault="00F15472" w:rsidP="00F15472">
      <w:pPr>
        <w:spacing w:before="240" w:after="120"/>
        <w:jc w:val="center"/>
        <w:rPr>
          <w:rFonts w:ascii="Times New Roman" w:hAnsi="Times New Roman"/>
        </w:rPr>
      </w:pPr>
      <w:r w:rsidRPr="00A623C3">
        <w:rPr>
          <w:rFonts w:ascii="Times New Roman" w:hAnsi="Times New Roman"/>
          <w:b/>
          <w:bCs/>
        </w:rPr>
        <w:t>Civil Aviation Safety Authority</w:t>
      </w:r>
    </w:p>
    <w:sectPr w:rsidR="00F15472" w:rsidRPr="00A623C3" w:rsidSect="0087565B">
      <w:headerReference w:type="even" r:id="rId8"/>
      <w:headerReference w:type="default" r:id="rId9"/>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71" w:rsidRDefault="00480771">
      <w:r>
        <w:separator/>
      </w:r>
    </w:p>
  </w:endnote>
  <w:endnote w:type="continuationSeparator" w:id="0">
    <w:p w:rsidR="00480771" w:rsidRDefault="0048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71" w:rsidRDefault="00480771">
      <w:r>
        <w:separator/>
      </w:r>
    </w:p>
  </w:footnote>
  <w:footnote w:type="continuationSeparator" w:id="0">
    <w:p w:rsidR="00480771" w:rsidRDefault="0048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8C" w:rsidRDefault="00664B8C"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3D22">
      <w:rPr>
        <w:rStyle w:val="PageNumber"/>
        <w:noProof/>
      </w:rPr>
      <w:t>9</w:t>
    </w:r>
    <w:r>
      <w:rPr>
        <w:rStyle w:val="PageNumber"/>
      </w:rPr>
      <w:fldChar w:fldCharType="end"/>
    </w:r>
  </w:p>
  <w:p w:rsidR="00664B8C" w:rsidRDefault="00664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8C" w:rsidRDefault="00664B8C"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3D22">
      <w:rPr>
        <w:rStyle w:val="PageNumber"/>
        <w:noProof/>
      </w:rPr>
      <w:t>9</w:t>
    </w:r>
    <w:r>
      <w:rPr>
        <w:rStyle w:val="PageNumber"/>
      </w:rPr>
      <w:fldChar w:fldCharType="end"/>
    </w:r>
  </w:p>
  <w:p w:rsidR="00664B8C" w:rsidRDefault="00664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2"/>
    <w:rsid w:val="00004406"/>
    <w:rsid w:val="00011C42"/>
    <w:rsid w:val="00015467"/>
    <w:rsid w:val="00016A72"/>
    <w:rsid w:val="0001723C"/>
    <w:rsid w:val="00036A46"/>
    <w:rsid w:val="00041C40"/>
    <w:rsid w:val="00053356"/>
    <w:rsid w:val="0007169F"/>
    <w:rsid w:val="000753DC"/>
    <w:rsid w:val="000B7CE3"/>
    <w:rsid w:val="000C398B"/>
    <w:rsid w:val="000F1625"/>
    <w:rsid w:val="001040D9"/>
    <w:rsid w:val="0013404B"/>
    <w:rsid w:val="0016073F"/>
    <w:rsid w:val="00167F3C"/>
    <w:rsid w:val="00175C40"/>
    <w:rsid w:val="00194C1C"/>
    <w:rsid w:val="00196951"/>
    <w:rsid w:val="001A04AD"/>
    <w:rsid w:val="002113D6"/>
    <w:rsid w:val="0026718E"/>
    <w:rsid w:val="002B6535"/>
    <w:rsid w:val="002D5C0E"/>
    <w:rsid w:val="002E292F"/>
    <w:rsid w:val="003068D0"/>
    <w:rsid w:val="003118B6"/>
    <w:rsid w:val="00336E3A"/>
    <w:rsid w:val="003625B5"/>
    <w:rsid w:val="003E0426"/>
    <w:rsid w:val="003F1CE7"/>
    <w:rsid w:val="003F6830"/>
    <w:rsid w:val="003F6A81"/>
    <w:rsid w:val="00406E53"/>
    <w:rsid w:val="004144E5"/>
    <w:rsid w:val="00444508"/>
    <w:rsid w:val="00456059"/>
    <w:rsid w:val="004642DB"/>
    <w:rsid w:val="00480771"/>
    <w:rsid w:val="00485920"/>
    <w:rsid w:val="004C146B"/>
    <w:rsid w:val="004D2ED2"/>
    <w:rsid w:val="00517C49"/>
    <w:rsid w:val="00530009"/>
    <w:rsid w:val="00552BE3"/>
    <w:rsid w:val="0055487B"/>
    <w:rsid w:val="00561037"/>
    <w:rsid w:val="00562C0B"/>
    <w:rsid w:val="0056477D"/>
    <w:rsid w:val="00567E05"/>
    <w:rsid w:val="00577D54"/>
    <w:rsid w:val="00591F19"/>
    <w:rsid w:val="00593649"/>
    <w:rsid w:val="005C2285"/>
    <w:rsid w:val="005D0C6B"/>
    <w:rsid w:val="005D196C"/>
    <w:rsid w:val="005F24D7"/>
    <w:rsid w:val="00610E66"/>
    <w:rsid w:val="00642009"/>
    <w:rsid w:val="00657652"/>
    <w:rsid w:val="0065771E"/>
    <w:rsid w:val="00664B8C"/>
    <w:rsid w:val="00677897"/>
    <w:rsid w:val="00681E76"/>
    <w:rsid w:val="006827C8"/>
    <w:rsid w:val="00695F02"/>
    <w:rsid w:val="006D7D0C"/>
    <w:rsid w:val="007004BB"/>
    <w:rsid w:val="00706280"/>
    <w:rsid w:val="0071261B"/>
    <w:rsid w:val="007465DA"/>
    <w:rsid w:val="007472C1"/>
    <w:rsid w:val="00767F43"/>
    <w:rsid w:val="007770A5"/>
    <w:rsid w:val="007A1161"/>
    <w:rsid w:val="007B30C7"/>
    <w:rsid w:val="007C233D"/>
    <w:rsid w:val="007C3996"/>
    <w:rsid w:val="007C58FF"/>
    <w:rsid w:val="007F1BC6"/>
    <w:rsid w:val="00800D7E"/>
    <w:rsid w:val="0080539E"/>
    <w:rsid w:val="00812257"/>
    <w:rsid w:val="008141E8"/>
    <w:rsid w:val="008344FB"/>
    <w:rsid w:val="00847E5C"/>
    <w:rsid w:val="008521DC"/>
    <w:rsid w:val="00864CC1"/>
    <w:rsid w:val="0087565B"/>
    <w:rsid w:val="00893D88"/>
    <w:rsid w:val="008A6853"/>
    <w:rsid w:val="008B5640"/>
    <w:rsid w:val="008E708F"/>
    <w:rsid w:val="00906644"/>
    <w:rsid w:val="00935C5F"/>
    <w:rsid w:val="009950C9"/>
    <w:rsid w:val="009A20E4"/>
    <w:rsid w:val="009C1C50"/>
    <w:rsid w:val="009F3823"/>
    <w:rsid w:val="00A15CF4"/>
    <w:rsid w:val="00A21B0B"/>
    <w:rsid w:val="00A30989"/>
    <w:rsid w:val="00A35842"/>
    <w:rsid w:val="00A47524"/>
    <w:rsid w:val="00A5335F"/>
    <w:rsid w:val="00A575EB"/>
    <w:rsid w:val="00A623C3"/>
    <w:rsid w:val="00A81DA4"/>
    <w:rsid w:val="00AA0A0C"/>
    <w:rsid w:val="00AB0410"/>
    <w:rsid w:val="00AB4998"/>
    <w:rsid w:val="00AC0919"/>
    <w:rsid w:val="00B03D22"/>
    <w:rsid w:val="00B0578D"/>
    <w:rsid w:val="00B11BC6"/>
    <w:rsid w:val="00B37E23"/>
    <w:rsid w:val="00B44C86"/>
    <w:rsid w:val="00B66A5E"/>
    <w:rsid w:val="00B90FCD"/>
    <w:rsid w:val="00B93DF9"/>
    <w:rsid w:val="00BA3090"/>
    <w:rsid w:val="00BA79D6"/>
    <w:rsid w:val="00BC68DC"/>
    <w:rsid w:val="00BD60B7"/>
    <w:rsid w:val="00BE18F4"/>
    <w:rsid w:val="00BF6839"/>
    <w:rsid w:val="00C14058"/>
    <w:rsid w:val="00C62571"/>
    <w:rsid w:val="00CF337F"/>
    <w:rsid w:val="00D0736B"/>
    <w:rsid w:val="00D13BA6"/>
    <w:rsid w:val="00D46070"/>
    <w:rsid w:val="00D5321F"/>
    <w:rsid w:val="00D5369E"/>
    <w:rsid w:val="00D54FC1"/>
    <w:rsid w:val="00D61ED8"/>
    <w:rsid w:val="00D91A18"/>
    <w:rsid w:val="00D95397"/>
    <w:rsid w:val="00DA27E3"/>
    <w:rsid w:val="00DD5E59"/>
    <w:rsid w:val="00E06862"/>
    <w:rsid w:val="00E12F38"/>
    <w:rsid w:val="00E16CFE"/>
    <w:rsid w:val="00E67D1C"/>
    <w:rsid w:val="00E92877"/>
    <w:rsid w:val="00EC5D18"/>
    <w:rsid w:val="00ED38A8"/>
    <w:rsid w:val="00EF7DF2"/>
    <w:rsid w:val="00F00E34"/>
    <w:rsid w:val="00F125C3"/>
    <w:rsid w:val="00F15472"/>
    <w:rsid w:val="00F3061F"/>
    <w:rsid w:val="00F31D77"/>
    <w:rsid w:val="00F367A8"/>
    <w:rsid w:val="00F50D31"/>
    <w:rsid w:val="00F52DEF"/>
    <w:rsid w:val="00F5444A"/>
    <w:rsid w:val="00F74035"/>
    <w:rsid w:val="00FE5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rsid w:val="007C233D"/>
    <w:pPr>
      <w:ind w:firstLine="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
    <w:basedOn w:val="Normal"/>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semiHidden/>
    <w:unhideWhenUsed/>
    <w:rsid w:val="003F6A81"/>
    <w:rPr>
      <w:sz w:val="20"/>
      <w:szCs w:val="20"/>
    </w:rPr>
  </w:style>
  <w:style w:type="character" w:customStyle="1" w:styleId="CommentTextChar">
    <w:name w:val="Comment Text Char"/>
    <w:basedOn w:val="DefaultParagraphFont"/>
    <w:link w:val="CommentText"/>
    <w:semiHidden/>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rsid w:val="007C233D"/>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CASA EX92/15 - Explanatory Statement</vt:lpstr>
    </vt:vector>
  </TitlesOfParts>
  <Company>Civil Aviation Safety Authority</Company>
  <LinksUpToDate>false</LinksUpToDate>
  <CharactersWithSpaces>21177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EX92/15 - Explanatory Statement</dc:title>
  <dc:subject>Exemption — from certain low-level rating requirements</dc:subject>
  <dc:creator>Civil Aviation Safety Authority</dc:creator>
  <cp:lastModifiedBy>Nadia Spesyvy</cp:lastModifiedBy>
  <cp:revision>14</cp:revision>
  <cp:lastPrinted>2016-03-03T04:09:00Z</cp:lastPrinted>
  <dcterms:created xsi:type="dcterms:W3CDTF">2016-02-28T23:58:00Z</dcterms:created>
  <dcterms:modified xsi:type="dcterms:W3CDTF">2016-03-03T04:09:00Z</dcterms:modified>
  <cp:category>Exemptions</cp:category>
</cp:coreProperties>
</file>