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59385" w14:textId="77777777" w:rsidR="00AC02C2" w:rsidRPr="003F71DE" w:rsidRDefault="00AC02C2" w:rsidP="0092104E">
      <w:pPr>
        <w:pStyle w:val="Title"/>
        <w:spacing w:after="0"/>
        <w:jc w:val="left"/>
      </w:pPr>
    </w:p>
    <w:p w14:paraId="7CED7369" w14:textId="03FCFF72" w:rsidR="0092104E" w:rsidRPr="003F71DE" w:rsidRDefault="005B0E3A" w:rsidP="00D70A47">
      <w:pPr>
        <w:spacing w:after="0"/>
        <w:jc w:val="center"/>
        <w:rPr>
          <w:b/>
          <w:color w:val="000000"/>
          <w:spacing w:val="-1"/>
          <w:sz w:val="28"/>
        </w:rPr>
      </w:pPr>
      <w:r w:rsidRPr="003F71DE">
        <w:rPr>
          <w:b/>
          <w:color w:val="000000"/>
          <w:sz w:val="28"/>
        </w:rPr>
        <w:t>EXPLANATORY</w:t>
      </w:r>
      <w:r w:rsidRPr="003F71DE">
        <w:rPr>
          <w:b/>
          <w:color w:val="000000"/>
          <w:spacing w:val="-39"/>
          <w:sz w:val="28"/>
        </w:rPr>
        <w:t xml:space="preserve"> </w:t>
      </w:r>
      <w:r w:rsidRPr="003F71DE">
        <w:rPr>
          <w:b/>
          <w:color w:val="000000"/>
          <w:spacing w:val="-1"/>
          <w:sz w:val="28"/>
        </w:rPr>
        <w:t>STATEMENT for</w:t>
      </w:r>
    </w:p>
    <w:p w14:paraId="5AD59386" w14:textId="367A7AD1" w:rsidR="005B0E3A" w:rsidRPr="003F71DE" w:rsidRDefault="005B0E3A" w:rsidP="00D70A47">
      <w:pPr>
        <w:spacing w:after="0"/>
        <w:jc w:val="center"/>
        <w:rPr>
          <w:b/>
          <w:color w:val="000000"/>
          <w:spacing w:val="-1"/>
          <w:sz w:val="28"/>
        </w:rPr>
      </w:pPr>
      <w:r w:rsidRPr="003F71DE">
        <w:rPr>
          <w:b/>
          <w:color w:val="000000"/>
          <w:spacing w:val="-1"/>
          <w:sz w:val="28"/>
        </w:rPr>
        <w:br/>
      </w:r>
      <w:r w:rsidR="0092104E" w:rsidRPr="003F71DE">
        <w:rPr>
          <w:b/>
          <w:color w:val="000000"/>
          <w:spacing w:val="-1"/>
          <w:sz w:val="28"/>
        </w:rPr>
        <w:t>ASIC CORPORATIONS (</w:t>
      </w:r>
      <w:r w:rsidR="0061046E" w:rsidRPr="003F71DE">
        <w:rPr>
          <w:b/>
          <w:color w:val="000000"/>
          <w:spacing w:val="-1"/>
          <w:sz w:val="28"/>
        </w:rPr>
        <w:t>REGULATORY CAPITAL SECURITIES</w:t>
      </w:r>
      <w:r w:rsidR="0092104E" w:rsidRPr="003F71DE">
        <w:rPr>
          <w:b/>
          <w:color w:val="000000"/>
          <w:spacing w:val="-1"/>
          <w:sz w:val="28"/>
        </w:rPr>
        <w:t>) INSTRUMENT 2016/7</w:t>
      </w:r>
      <w:r w:rsidR="0061046E" w:rsidRPr="003F71DE">
        <w:rPr>
          <w:b/>
          <w:color w:val="000000"/>
          <w:spacing w:val="-1"/>
          <w:sz w:val="28"/>
        </w:rPr>
        <w:t>1</w:t>
      </w:r>
    </w:p>
    <w:p w14:paraId="6B7ACBA0" w14:textId="77777777" w:rsidR="0092104E" w:rsidRPr="003F71DE" w:rsidRDefault="0092104E" w:rsidP="0092104E">
      <w:pPr>
        <w:spacing w:after="0"/>
        <w:rPr>
          <w:sz w:val="28"/>
          <w:szCs w:val="28"/>
        </w:rPr>
      </w:pPr>
    </w:p>
    <w:p w14:paraId="5AD59387" w14:textId="77777777" w:rsidR="005B0E3A" w:rsidRPr="003F71DE" w:rsidRDefault="005B0E3A" w:rsidP="00D70A47">
      <w:pPr>
        <w:pStyle w:val="BodyText"/>
        <w:spacing w:before="0" w:line="240" w:lineRule="auto"/>
        <w:jc w:val="center"/>
      </w:pPr>
      <w:r w:rsidRPr="003F71DE">
        <w:t>Prepared by the Australian Securities and Investments Commission</w:t>
      </w:r>
    </w:p>
    <w:p w14:paraId="5AD59388" w14:textId="77777777" w:rsidR="005B0E3A" w:rsidRPr="003F71DE" w:rsidRDefault="005B0E3A" w:rsidP="00D70A47">
      <w:pPr>
        <w:spacing w:after="0"/>
        <w:jc w:val="center"/>
      </w:pPr>
    </w:p>
    <w:p w14:paraId="5AD59389" w14:textId="77777777" w:rsidR="005B0E3A" w:rsidRPr="003F71DE" w:rsidRDefault="005B0E3A" w:rsidP="00D70A47">
      <w:pPr>
        <w:spacing w:after="0"/>
        <w:jc w:val="center"/>
        <w:rPr>
          <w:sz w:val="24"/>
          <w:szCs w:val="24"/>
        </w:rPr>
      </w:pPr>
      <w:r w:rsidRPr="003F71DE">
        <w:rPr>
          <w:i/>
          <w:sz w:val="24"/>
        </w:rPr>
        <w:t>Corporations Act 2001</w:t>
      </w:r>
    </w:p>
    <w:p w14:paraId="5AD5938A" w14:textId="77777777" w:rsidR="00DB6845" w:rsidRPr="003F71DE" w:rsidRDefault="00DB6845" w:rsidP="0092104E">
      <w:pPr>
        <w:pStyle w:val="BodyText"/>
        <w:spacing w:before="0" w:line="240" w:lineRule="auto"/>
      </w:pPr>
    </w:p>
    <w:p w14:paraId="78B30A45" w14:textId="665F5021" w:rsidR="004C4D62" w:rsidRPr="003F71DE" w:rsidRDefault="005B0E3A" w:rsidP="0092104E">
      <w:pPr>
        <w:pStyle w:val="BodyText"/>
        <w:spacing w:before="0" w:line="240" w:lineRule="auto"/>
        <w:rPr>
          <w:szCs w:val="24"/>
        </w:rPr>
      </w:pPr>
      <w:r w:rsidRPr="003F71DE">
        <w:t xml:space="preserve">The Australian Securities and </w:t>
      </w:r>
      <w:r w:rsidRPr="003F71DE">
        <w:rPr>
          <w:spacing w:val="-1"/>
        </w:rPr>
        <w:t>Investments</w:t>
      </w:r>
      <w:r w:rsidRPr="003F71DE">
        <w:t xml:space="preserve"> </w:t>
      </w:r>
      <w:r w:rsidRPr="003F71DE">
        <w:rPr>
          <w:spacing w:val="-1"/>
        </w:rPr>
        <w:t>Commission</w:t>
      </w:r>
      <w:r w:rsidRPr="003F71DE">
        <w:t xml:space="preserve"> (</w:t>
      </w:r>
      <w:r w:rsidRPr="003F71DE">
        <w:rPr>
          <w:b/>
          <w:i/>
        </w:rPr>
        <w:t>ASIC</w:t>
      </w:r>
      <w:r w:rsidRPr="003F71DE">
        <w:t xml:space="preserve">) </w:t>
      </w:r>
      <w:r w:rsidRPr="003F71DE">
        <w:rPr>
          <w:spacing w:val="-1"/>
        </w:rPr>
        <w:t>makes</w:t>
      </w:r>
      <w:r w:rsidRPr="003F71DE">
        <w:t xml:space="preserve"> </w:t>
      </w:r>
      <w:r w:rsidR="00271E30" w:rsidRPr="003F71DE">
        <w:t>ASIC Corporations (</w:t>
      </w:r>
      <w:r w:rsidR="0061046E" w:rsidRPr="003F71DE">
        <w:t>Regulatory Capital Securities</w:t>
      </w:r>
      <w:r w:rsidR="009D34D0" w:rsidRPr="003F71DE">
        <w:t>) Instrument 2016</w:t>
      </w:r>
      <w:r w:rsidR="0092104E" w:rsidRPr="003F71DE">
        <w:t>/7</w:t>
      </w:r>
      <w:r w:rsidR="0061046E" w:rsidRPr="003F71DE">
        <w:t>1</w:t>
      </w:r>
      <w:r w:rsidRPr="003F71DE">
        <w:rPr>
          <w:spacing w:val="-1"/>
        </w:rPr>
        <w:t xml:space="preserve"> under </w:t>
      </w:r>
      <w:r w:rsidR="00271E30" w:rsidRPr="003F71DE">
        <w:rPr>
          <w:szCs w:val="24"/>
        </w:rPr>
        <w:t xml:space="preserve">section 741 of the </w:t>
      </w:r>
      <w:r w:rsidR="00271E30" w:rsidRPr="003F71DE">
        <w:rPr>
          <w:i/>
          <w:szCs w:val="24"/>
        </w:rPr>
        <w:t>Corporations Act 2001</w:t>
      </w:r>
      <w:r w:rsidR="00271E30" w:rsidRPr="003F71DE">
        <w:rPr>
          <w:szCs w:val="24"/>
        </w:rPr>
        <w:t xml:space="preserve"> (the </w:t>
      </w:r>
      <w:r w:rsidR="00271E30" w:rsidRPr="003F71DE">
        <w:rPr>
          <w:b/>
          <w:i/>
          <w:szCs w:val="24"/>
        </w:rPr>
        <w:t>Act</w:t>
      </w:r>
      <w:r w:rsidR="00271E30" w:rsidRPr="003F71DE">
        <w:rPr>
          <w:szCs w:val="24"/>
        </w:rPr>
        <w:t>).</w:t>
      </w:r>
    </w:p>
    <w:p w14:paraId="60FBBC62" w14:textId="44B8EADD" w:rsidR="00907183" w:rsidRPr="003F71DE" w:rsidRDefault="00907183" w:rsidP="0092104E">
      <w:pPr>
        <w:pStyle w:val="BodyText"/>
        <w:spacing w:before="0" w:line="240" w:lineRule="auto"/>
        <w:rPr>
          <w:szCs w:val="24"/>
        </w:rPr>
      </w:pPr>
    </w:p>
    <w:p w14:paraId="6ADD6411" w14:textId="39CB7477" w:rsidR="00907183" w:rsidRPr="003F71DE" w:rsidRDefault="00A55C01" w:rsidP="0092104E">
      <w:pPr>
        <w:pStyle w:val="BodyText"/>
        <w:spacing w:before="0" w:line="240" w:lineRule="auto"/>
        <w:rPr>
          <w:szCs w:val="24"/>
        </w:rPr>
      </w:pPr>
      <w:r w:rsidRPr="003F71DE">
        <w:rPr>
          <w:szCs w:val="24"/>
        </w:rPr>
        <w:t>Subsection 741(1) of the Act provides that ASIC may exempt a person from a provision of Chapter 6D of the Act or declare that the Chapter applies to a person as if specified provisions were omitted, modified or varied as specified in the declaration.</w:t>
      </w:r>
      <w:r w:rsidR="00907183" w:rsidRPr="003F71DE">
        <w:rPr>
          <w:spacing w:val="-1"/>
        </w:rPr>
        <w:t xml:space="preserve"> </w:t>
      </w:r>
    </w:p>
    <w:p w14:paraId="5AD5939D" w14:textId="77777777" w:rsidR="009D73CD" w:rsidRPr="003F71DE" w:rsidRDefault="009D73CD" w:rsidP="0092104E">
      <w:pPr>
        <w:pStyle w:val="BodyText"/>
        <w:spacing w:before="0" w:line="240" w:lineRule="auto"/>
        <w:rPr>
          <w:highlight w:val="yellow"/>
        </w:rPr>
      </w:pPr>
    </w:p>
    <w:p w14:paraId="5AD5939F" w14:textId="09A65B26" w:rsidR="00566718" w:rsidRPr="003F71DE" w:rsidRDefault="005B0E3A" w:rsidP="00FE41BD">
      <w:pPr>
        <w:widowControl w:val="0"/>
        <w:numPr>
          <w:ilvl w:val="0"/>
          <w:numId w:val="3"/>
        </w:numPr>
        <w:tabs>
          <w:tab w:val="left" w:pos="567"/>
        </w:tabs>
        <w:spacing w:after="0"/>
        <w:ind w:left="0" w:firstLine="0"/>
        <w:rPr>
          <w:rFonts w:ascii="Arial" w:eastAsia="Arial" w:hAnsi="Arial" w:cs="Arial"/>
          <w:sz w:val="24"/>
          <w:szCs w:val="24"/>
        </w:rPr>
      </w:pPr>
      <w:bookmarkStart w:id="0" w:name="1._Background"/>
      <w:bookmarkEnd w:id="0"/>
      <w:r w:rsidRPr="003F71DE">
        <w:rPr>
          <w:rFonts w:ascii="Arial"/>
          <w:b/>
          <w:spacing w:val="-1"/>
          <w:sz w:val="24"/>
        </w:rPr>
        <w:t>Background</w:t>
      </w:r>
    </w:p>
    <w:p w14:paraId="5AD593A3" w14:textId="77777777" w:rsidR="006D1C5B" w:rsidRPr="003F71DE" w:rsidRDefault="006D1C5B" w:rsidP="0092104E">
      <w:pPr>
        <w:spacing w:after="0"/>
        <w:rPr>
          <w:sz w:val="24"/>
          <w:szCs w:val="24"/>
        </w:rPr>
      </w:pPr>
    </w:p>
    <w:p w14:paraId="559472B4" w14:textId="77777777" w:rsidR="0061046E" w:rsidRPr="003F71DE" w:rsidRDefault="0061046E" w:rsidP="0061046E">
      <w:pPr>
        <w:spacing w:after="0"/>
        <w:rPr>
          <w:sz w:val="24"/>
          <w:szCs w:val="24"/>
        </w:rPr>
      </w:pPr>
      <w:r w:rsidRPr="003F71DE">
        <w:rPr>
          <w:sz w:val="24"/>
          <w:szCs w:val="24"/>
        </w:rPr>
        <w:t xml:space="preserve">Chapter 6D of the Act sets out the legislative framework for the offer of securities for issue or sale under a disclosure document. Within that framework, an offer of securities will require disclosure unless a specific exemption applies, and an offer for sale will only require disclosure in specific circumstances. </w:t>
      </w:r>
    </w:p>
    <w:p w14:paraId="2F5AB5A0" w14:textId="77777777" w:rsidR="0061046E" w:rsidRPr="003F71DE" w:rsidRDefault="0061046E" w:rsidP="0061046E">
      <w:pPr>
        <w:spacing w:after="0"/>
        <w:rPr>
          <w:sz w:val="24"/>
          <w:szCs w:val="24"/>
        </w:rPr>
      </w:pPr>
    </w:p>
    <w:p w14:paraId="3B0155C5" w14:textId="77777777" w:rsidR="0061046E" w:rsidRPr="003F71DE" w:rsidRDefault="0061046E" w:rsidP="0061046E">
      <w:pPr>
        <w:spacing w:after="0"/>
        <w:rPr>
          <w:sz w:val="24"/>
          <w:szCs w:val="24"/>
        </w:rPr>
      </w:pPr>
      <w:r w:rsidRPr="003F71DE">
        <w:rPr>
          <w:sz w:val="24"/>
          <w:szCs w:val="24"/>
        </w:rPr>
        <w:t>In relation to convertible securities, ASIC relevantly provides the following minor and technical class order relief (</w:t>
      </w:r>
      <w:r w:rsidRPr="003F71DE">
        <w:rPr>
          <w:b/>
          <w:i/>
          <w:sz w:val="24"/>
          <w:szCs w:val="24"/>
        </w:rPr>
        <w:t>existing class orders</w:t>
      </w:r>
      <w:r w:rsidRPr="003F71DE">
        <w:rPr>
          <w:sz w:val="24"/>
          <w:szCs w:val="24"/>
        </w:rPr>
        <w:t xml:space="preserve">): </w:t>
      </w:r>
    </w:p>
    <w:p w14:paraId="5C141077" w14:textId="77777777" w:rsidR="0061046E" w:rsidRPr="003F71DE" w:rsidRDefault="0061046E" w:rsidP="0061046E">
      <w:pPr>
        <w:spacing w:after="0"/>
        <w:rPr>
          <w:sz w:val="24"/>
          <w:szCs w:val="24"/>
        </w:rPr>
      </w:pPr>
    </w:p>
    <w:p w14:paraId="3D4437CA" w14:textId="5553BB26" w:rsidR="0061046E" w:rsidRPr="003F71DE" w:rsidRDefault="0061046E" w:rsidP="0061046E">
      <w:pPr>
        <w:spacing w:after="0"/>
        <w:ind w:left="720" w:hanging="720"/>
        <w:rPr>
          <w:sz w:val="24"/>
          <w:szCs w:val="24"/>
        </w:rPr>
      </w:pPr>
      <w:r w:rsidRPr="003F71DE">
        <w:rPr>
          <w:sz w:val="24"/>
          <w:szCs w:val="24"/>
        </w:rPr>
        <w:t>(a)</w:t>
      </w:r>
      <w:r w:rsidRPr="003F71DE">
        <w:rPr>
          <w:sz w:val="24"/>
          <w:szCs w:val="24"/>
        </w:rPr>
        <w:tab/>
      </w:r>
      <w:r w:rsidR="002F74A3" w:rsidRPr="003F71DE">
        <w:rPr>
          <w:sz w:val="24"/>
          <w:szCs w:val="24"/>
        </w:rPr>
        <w:t xml:space="preserve">Class Order </w:t>
      </w:r>
      <w:r w:rsidRPr="003F71DE">
        <w:rPr>
          <w:sz w:val="24"/>
          <w:szCs w:val="24"/>
        </w:rPr>
        <w:t xml:space="preserve">[CO 00/195] </w:t>
      </w:r>
      <w:r w:rsidRPr="003F71DE">
        <w:rPr>
          <w:i/>
          <w:sz w:val="24"/>
          <w:szCs w:val="24"/>
        </w:rPr>
        <w:t>Offer of convertible securities under s713</w:t>
      </w:r>
      <w:r w:rsidRPr="003F71DE">
        <w:rPr>
          <w:sz w:val="24"/>
          <w:szCs w:val="24"/>
        </w:rPr>
        <w:t xml:space="preserve"> to allow an entity to use a transaction-specific prospectus when offering convertible notes or convertible</w:t>
      </w:r>
      <w:r w:rsidR="00764B66" w:rsidRPr="003F71DE">
        <w:rPr>
          <w:sz w:val="24"/>
          <w:szCs w:val="24"/>
        </w:rPr>
        <w:t xml:space="preserve"> preference shares (</w:t>
      </w:r>
      <w:r w:rsidR="00764B66" w:rsidRPr="003F71DE">
        <w:rPr>
          <w:b/>
          <w:i/>
          <w:sz w:val="24"/>
          <w:szCs w:val="24"/>
        </w:rPr>
        <w:t>convertible securities</w:t>
      </w:r>
      <w:r w:rsidRPr="003F71DE">
        <w:rPr>
          <w:sz w:val="24"/>
          <w:szCs w:val="24"/>
        </w:rPr>
        <w:t>), where the underlying securities into which the convertible</w:t>
      </w:r>
      <w:r w:rsidR="002F74A3" w:rsidRPr="003F71DE">
        <w:rPr>
          <w:sz w:val="24"/>
          <w:szCs w:val="24"/>
        </w:rPr>
        <w:t xml:space="preserve"> securities</w:t>
      </w:r>
      <w:r w:rsidRPr="003F71DE">
        <w:rPr>
          <w:sz w:val="24"/>
          <w:szCs w:val="24"/>
        </w:rPr>
        <w:t xml:space="preserve"> will convert are continuously quoted securities;</w:t>
      </w:r>
    </w:p>
    <w:p w14:paraId="79DA88BD" w14:textId="77777777" w:rsidR="002F74A3" w:rsidRPr="003F71DE" w:rsidRDefault="002F74A3" w:rsidP="0061046E">
      <w:pPr>
        <w:spacing w:after="0"/>
        <w:ind w:left="720" w:hanging="720"/>
        <w:rPr>
          <w:sz w:val="24"/>
          <w:szCs w:val="24"/>
        </w:rPr>
      </w:pPr>
    </w:p>
    <w:p w14:paraId="7D1D1652" w14:textId="494D87B4" w:rsidR="0061046E" w:rsidRPr="003F71DE" w:rsidRDefault="0061046E" w:rsidP="0061046E">
      <w:pPr>
        <w:spacing w:after="0"/>
        <w:ind w:left="720" w:hanging="720"/>
        <w:rPr>
          <w:rFonts w:ascii="MS Mincho" w:eastAsia="MS Mincho" w:hAnsi="MS Mincho" w:cs="MS Mincho"/>
          <w:sz w:val="24"/>
          <w:szCs w:val="24"/>
        </w:rPr>
      </w:pPr>
      <w:r w:rsidRPr="003F71DE">
        <w:rPr>
          <w:sz w:val="24"/>
          <w:szCs w:val="24"/>
        </w:rPr>
        <w:t>(b)</w:t>
      </w:r>
      <w:r w:rsidRPr="003F71DE">
        <w:rPr>
          <w:sz w:val="24"/>
          <w:szCs w:val="24"/>
        </w:rPr>
        <w:tab/>
      </w:r>
      <w:r w:rsidR="002F74A3" w:rsidRPr="003F71DE">
        <w:rPr>
          <w:sz w:val="24"/>
          <w:szCs w:val="24"/>
        </w:rPr>
        <w:t xml:space="preserve">Class Order </w:t>
      </w:r>
      <w:r w:rsidRPr="003F71DE">
        <w:rPr>
          <w:sz w:val="24"/>
          <w:szCs w:val="24"/>
        </w:rPr>
        <w:t xml:space="preserve">[CO 04/671] </w:t>
      </w:r>
      <w:r w:rsidRPr="003F71DE">
        <w:rPr>
          <w:i/>
          <w:sz w:val="24"/>
          <w:szCs w:val="24"/>
        </w:rPr>
        <w:t>Disclosure for on-sale of securities and other financial products</w:t>
      </w:r>
      <w:r w:rsidRPr="003F71DE">
        <w:rPr>
          <w:sz w:val="24"/>
          <w:szCs w:val="24"/>
        </w:rPr>
        <w:t xml:space="preserve"> (in particular, Category 3) to permit securities that are issued on conversion of convertible securities to be freely on-sold (that is, without further disclosure being </w:t>
      </w:r>
      <w:r w:rsidR="002F74A3" w:rsidRPr="003F71DE">
        <w:rPr>
          <w:sz w:val="24"/>
          <w:szCs w:val="24"/>
        </w:rPr>
        <w:t xml:space="preserve">required </w:t>
      </w:r>
      <w:r w:rsidRPr="003F71DE">
        <w:rPr>
          <w:sz w:val="24"/>
          <w:szCs w:val="24"/>
        </w:rPr>
        <w:t xml:space="preserve">at the time the </w:t>
      </w:r>
      <w:r w:rsidR="002F74A3" w:rsidRPr="003F71DE">
        <w:rPr>
          <w:sz w:val="24"/>
          <w:szCs w:val="24"/>
        </w:rPr>
        <w:t xml:space="preserve">convertible </w:t>
      </w:r>
      <w:r w:rsidRPr="003F71DE">
        <w:rPr>
          <w:sz w:val="24"/>
          <w:szCs w:val="24"/>
        </w:rPr>
        <w:t xml:space="preserve">security converts), provided the convertible security itself was issued with disclosure; and </w:t>
      </w:r>
    </w:p>
    <w:p w14:paraId="7B9F9E17" w14:textId="77777777" w:rsidR="002F74A3" w:rsidRPr="003F71DE" w:rsidRDefault="002F74A3" w:rsidP="0061046E">
      <w:pPr>
        <w:spacing w:after="0"/>
        <w:ind w:left="720" w:hanging="720"/>
        <w:rPr>
          <w:sz w:val="24"/>
          <w:szCs w:val="24"/>
        </w:rPr>
      </w:pPr>
    </w:p>
    <w:p w14:paraId="5543B650" w14:textId="08564657" w:rsidR="0061046E" w:rsidRPr="003F71DE" w:rsidRDefault="0061046E" w:rsidP="0061046E">
      <w:pPr>
        <w:spacing w:after="0"/>
        <w:ind w:left="720" w:hanging="720"/>
        <w:rPr>
          <w:sz w:val="24"/>
          <w:szCs w:val="24"/>
        </w:rPr>
      </w:pPr>
      <w:r w:rsidRPr="003F71DE">
        <w:rPr>
          <w:sz w:val="24"/>
          <w:szCs w:val="24"/>
        </w:rPr>
        <w:t>(c)</w:t>
      </w:r>
      <w:r w:rsidRPr="003F71DE">
        <w:rPr>
          <w:sz w:val="24"/>
          <w:szCs w:val="24"/>
        </w:rPr>
        <w:tab/>
      </w:r>
      <w:r w:rsidR="002F74A3" w:rsidRPr="003F71DE">
        <w:rPr>
          <w:sz w:val="24"/>
          <w:szCs w:val="24"/>
        </w:rPr>
        <w:t xml:space="preserve">Class Order </w:t>
      </w:r>
      <w:r w:rsidRPr="003F71DE">
        <w:rPr>
          <w:sz w:val="24"/>
          <w:szCs w:val="24"/>
        </w:rPr>
        <w:t xml:space="preserve">[CO 10/322] </w:t>
      </w:r>
      <w:r w:rsidRPr="003F71DE">
        <w:rPr>
          <w:i/>
          <w:sz w:val="24"/>
          <w:szCs w:val="24"/>
        </w:rPr>
        <w:t>On-sale for convertible notes issued to wholesale investors</w:t>
      </w:r>
      <w:r w:rsidRPr="003F71DE">
        <w:rPr>
          <w:sz w:val="24"/>
          <w:szCs w:val="24"/>
        </w:rPr>
        <w:t xml:space="preserve"> to permit the use of an </w:t>
      </w:r>
      <w:r w:rsidR="005B26D9">
        <w:rPr>
          <w:sz w:val="24"/>
          <w:szCs w:val="24"/>
        </w:rPr>
        <w:t>‘</w:t>
      </w:r>
      <w:r w:rsidRPr="003F71DE">
        <w:rPr>
          <w:sz w:val="24"/>
          <w:szCs w:val="24"/>
        </w:rPr>
        <w:t>enhanced cleansing notice</w:t>
      </w:r>
      <w:r w:rsidR="005B26D9">
        <w:rPr>
          <w:sz w:val="24"/>
          <w:szCs w:val="24"/>
        </w:rPr>
        <w:t>’</w:t>
      </w:r>
      <w:r w:rsidRPr="003F71DE">
        <w:rPr>
          <w:sz w:val="24"/>
          <w:szCs w:val="24"/>
        </w:rPr>
        <w:t xml:space="preserve"> for offers of convertible notes to wholesale investors (or otherwise without disclosure under Part 6D.2 of the Act—for example, to foreign retail investors under a disclosure document which complies with the laws of that jurisdiction), in order to permit the securities issued on conversion of those notes to be freely on-sold (that is, without further disclosure being required at the time the </w:t>
      </w:r>
      <w:r w:rsidR="002F74A3" w:rsidRPr="003F71DE">
        <w:rPr>
          <w:sz w:val="24"/>
          <w:szCs w:val="24"/>
        </w:rPr>
        <w:t xml:space="preserve">convertible </w:t>
      </w:r>
      <w:r w:rsidRPr="003F71DE">
        <w:rPr>
          <w:sz w:val="24"/>
          <w:szCs w:val="24"/>
        </w:rPr>
        <w:t xml:space="preserve">security converts). </w:t>
      </w:r>
    </w:p>
    <w:p w14:paraId="2D2598E2" w14:textId="77777777" w:rsidR="0061046E" w:rsidRPr="003F71DE" w:rsidRDefault="0061046E" w:rsidP="0061046E">
      <w:pPr>
        <w:spacing w:after="0"/>
        <w:ind w:left="720" w:hanging="720"/>
        <w:rPr>
          <w:sz w:val="24"/>
          <w:szCs w:val="24"/>
        </w:rPr>
      </w:pPr>
    </w:p>
    <w:p w14:paraId="21B5FC2C" w14:textId="269AEB1B" w:rsidR="0061046E" w:rsidRPr="003F71DE" w:rsidRDefault="0061046E" w:rsidP="0061046E">
      <w:pPr>
        <w:spacing w:after="0"/>
        <w:rPr>
          <w:sz w:val="24"/>
          <w:szCs w:val="24"/>
        </w:rPr>
      </w:pPr>
      <w:r w:rsidRPr="003F71DE">
        <w:rPr>
          <w:sz w:val="24"/>
          <w:szCs w:val="24"/>
        </w:rPr>
        <w:t xml:space="preserve">ASIC has recently reviewed the policy underlying Class Orders [CO 00/195], [CO 04/671] and [CO 10/322] as part of wider review of class orders relating to the fundraising provisions </w:t>
      </w:r>
      <w:r w:rsidRPr="003F71DE">
        <w:rPr>
          <w:sz w:val="24"/>
          <w:szCs w:val="24"/>
        </w:rPr>
        <w:lastRenderedPageBreak/>
        <w:t>in Chapter 6D and considers that the relief in these class orders is still both necessary and appropriate.</w:t>
      </w:r>
    </w:p>
    <w:p w14:paraId="203A3F68" w14:textId="77777777" w:rsidR="0061046E" w:rsidRPr="003F71DE" w:rsidRDefault="0061046E" w:rsidP="0061046E">
      <w:pPr>
        <w:spacing w:after="0"/>
        <w:rPr>
          <w:sz w:val="24"/>
          <w:szCs w:val="24"/>
        </w:rPr>
      </w:pPr>
    </w:p>
    <w:p w14:paraId="7003D2DD" w14:textId="69A8A247" w:rsidR="002F74A3" w:rsidRPr="003F71DE" w:rsidRDefault="0061046E" w:rsidP="0061046E">
      <w:pPr>
        <w:spacing w:after="0"/>
        <w:rPr>
          <w:sz w:val="24"/>
          <w:szCs w:val="24"/>
        </w:rPr>
      </w:pPr>
      <w:r w:rsidRPr="003F71DE">
        <w:rPr>
          <w:sz w:val="24"/>
          <w:szCs w:val="24"/>
        </w:rPr>
        <w:t xml:space="preserve">ASIC has therefore decided to reissue </w:t>
      </w:r>
      <w:r w:rsidR="002F74A3" w:rsidRPr="003F71DE">
        <w:rPr>
          <w:sz w:val="24"/>
          <w:szCs w:val="24"/>
        </w:rPr>
        <w:t xml:space="preserve">substantially the same </w:t>
      </w:r>
      <w:r w:rsidRPr="003F71DE">
        <w:rPr>
          <w:sz w:val="24"/>
          <w:szCs w:val="24"/>
        </w:rPr>
        <w:t>relief underlying</w:t>
      </w:r>
      <w:r w:rsidR="002F74A3" w:rsidRPr="003F71DE">
        <w:rPr>
          <w:sz w:val="24"/>
          <w:szCs w:val="24"/>
        </w:rPr>
        <w:t>:</w:t>
      </w:r>
    </w:p>
    <w:p w14:paraId="446D0B75" w14:textId="77777777" w:rsidR="002F74A3" w:rsidRPr="003F71DE" w:rsidRDefault="002F74A3" w:rsidP="0061046E">
      <w:pPr>
        <w:spacing w:after="0"/>
        <w:rPr>
          <w:sz w:val="24"/>
          <w:szCs w:val="24"/>
        </w:rPr>
      </w:pPr>
    </w:p>
    <w:p w14:paraId="6A8AF6C5" w14:textId="02D24D08" w:rsidR="002F74A3" w:rsidRPr="003F71DE" w:rsidRDefault="002F74A3" w:rsidP="002F74A3">
      <w:pPr>
        <w:spacing w:after="0"/>
        <w:ind w:left="720" w:hanging="720"/>
        <w:rPr>
          <w:sz w:val="24"/>
          <w:szCs w:val="24"/>
        </w:rPr>
      </w:pPr>
      <w:r w:rsidRPr="003F71DE">
        <w:rPr>
          <w:sz w:val="24"/>
          <w:szCs w:val="24"/>
        </w:rPr>
        <w:t>(a)</w:t>
      </w:r>
      <w:r w:rsidRPr="003F71DE">
        <w:rPr>
          <w:sz w:val="24"/>
          <w:szCs w:val="24"/>
        </w:rPr>
        <w:tab/>
      </w:r>
      <w:r w:rsidR="0061046E" w:rsidRPr="003F71DE">
        <w:rPr>
          <w:sz w:val="24"/>
          <w:szCs w:val="24"/>
        </w:rPr>
        <w:t>Class Order [CO 00/195]</w:t>
      </w:r>
      <w:r w:rsidRPr="003F71DE">
        <w:rPr>
          <w:sz w:val="24"/>
          <w:szCs w:val="24"/>
        </w:rPr>
        <w:t xml:space="preserve"> in ASIC Corporations (Offers of Convertibles) Instrument 2016/83;</w:t>
      </w:r>
    </w:p>
    <w:p w14:paraId="61B6A368" w14:textId="77777777" w:rsidR="002F74A3" w:rsidRPr="003F71DE" w:rsidRDefault="002F74A3" w:rsidP="002F74A3">
      <w:pPr>
        <w:spacing w:after="0"/>
        <w:ind w:left="720" w:hanging="720"/>
        <w:rPr>
          <w:sz w:val="24"/>
          <w:szCs w:val="24"/>
        </w:rPr>
      </w:pPr>
    </w:p>
    <w:p w14:paraId="75300DDD" w14:textId="77777777" w:rsidR="002F74A3" w:rsidRPr="003F71DE" w:rsidRDefault="002F74A3" w:rsidP="002F74A3">
      <w:pPr>
        <w:spacing w:after="0"/>
        <w:ind w:left="720" w:hanging="720"/>
        <w:rPr>
          <w:sz w:val="24"/>
          <w:szCs w:val="24"/>
        </w:rPr>
      </w:pPr>
      <w:r w:rsidRPr="003F71DE">
        <w:rPr>
          <w:sz w:val="24"/>
          <w:szCs w:val="24"/>
        </w:rPr>
        <w:t>(b)</w:t>
      </w:r>
      <w:r w:rsidRPr="003F71DE">
        <w:rPr>
          <w:sz w:val="24"/>
          <w:szCs w:val="24"/>
        </w:rPr>
        <w:tab/>
        <w:t xml:space="preserve">Class Order </w:t>
      </w:r>
      <w:r w:rsidR="0061046E" w:rsidRPr="003F71DE">
        <w:rPr>
          <w:sz w:val="24"/>
          <w:szCs w:val="24"/>
        </w:rPr>
        <w:t xml:space="preserve">[CO 04/671] </w:t>
      </w:r>
      <w:r w:rsidRPr="003F71DE">
        <w:rPr>
          <w:sz w:val="24"/>
          <w:szCs w:val="24"/>
        </w:rPr>
        <w:t xml:space="preserve">in ASIC Corporations (Sale Offers That Do Not Need Disclosure) Instrument 2016/80; </w:t>
      </w:r>
      <w:r w:rsidR="0061046E" w:rsidRPr="003F71DE">
        <w:rPr>
          <w:sz w:val="24"/>
          <w:szCs w:val="24"/>
        </w:rPr>
        <w:t xml:space="preserve">and </w:t>
      </w:r>
    </w:p>
    <w:p w14:paraId="02E9C51D" w14:textId="77777777" w:rsidR="002F74A3" w:rsidRPr="003F71DE" w:rsidRDefault="002F74A3" w:rsidP="002F74A3">
      <w:pPr>
        <w:spacing w:after="0"/>
        <w:ind w:left="720" w:hanging="720"/>
        <w:rPr>
          <w:sz w:val="24"/>
          <w:szCs w:val="24"/>
        </w:rPr>
      </w:pPr>
    </w:p>
    <w:p w14:paraId="09ADCDF7" w14:textId="77777777" w:rsidR="002F74A3" w:rsidRPr="003F71DE" w:rsidRDefault="002F74A3" w:rsidP="002F74A3">
      <w:pPr>
        <w:spacing w:after="0"/>
        <w:ind w:left="720" w:hanging="720"/>
        <w:rPr>
          <w:sz w:val="24"/>
          <w:szCs w:val="24"/>
        </w:rPr>
      </w:pPr>
      <w:r w:rsidRPr="003F71DE">
        <w:rPr>
          <w:sz w:val="24"/>
          <w:szCs w:val="24"/>
        </w:rPr>
        <w:t>(c)</w:t>
      </w:r>
      <w:r w:rsidRPr="003F71DE">
        <w:rPr>
          <w:sz w:val="24"/>
          <w:szCs w:val="24"/>
        </w:rPr>
        <w:tab/>
        <w:t xml:space="preserve">Class Order </w:t>
      </w:r>
      <w:r w:rsidR="0061046E" w:rsidRPr="003F71DE">
        <w:rPr>
          <w:sz w:val="24"/>
          <w:szCs w:val="24"/>
        </w:rPr>
        <w:t>[CO 10/322] in ASIC Corporations (Sale Offers: Securities Issued on Conversion of Convertible Notes) Instrument 2016/82</w:t>
      </w:r>
      <w:r w:rsidRPr="003F71DE">
        <w:rPr>
          <w:sz w:val="24"/>
          <w:szCs w:val="24"/>
        </w:rPr>
        <w:t>,</w:t>
      </w:r>
    </w:p>
    <w:p w14:paraId="387F458D" w14:textId="77777777" w:rsidR="002F74A3" w:rsidRPr="003F71DE" w:rsidRDefault="002F74A3" w:rsidP="002F74A3">
      <w:pPr>
        <w:spacing w:after="0"/>
        <w:ind w:left="720" w:hanging="720"/>
        <w:rPr>
          <w:sz w:val="24"/>
          <w:szCs w:val="24"/>
        </w:rPr>
      </w:pPr>
    </w:p>
    <w:p w14:paraId="43506379" w14:textId="77777777" w:rsidR="00BD1426" w:rsidRDefault="0061046E" w:rsidP="00BD1426">
      <w:pPr>
        <w:spacing w:after="0"/>
        <w:rPr>
          <w:sz w:val="24"/>
          <w:szCs w:val="24"/>
        </w:rPr>
      </w:pPr>
      <w:r w:rsidRPr="003F71DE">
        <w:rPr>
          <w:sz w:val="24"/>
          <w:szCs w:val="24"/>
        </w:rPr>
        <w:t>on the terms and for the reasons set out in the explanatory statements to those instruments</w:t>
      </w:r>
      <w:r w:rsidR="002F74A3" w:rsidRPr="003F71DE">
        <w:rPr>
          <w:sz w:val="24"/>
          <w:szCs w:val="24"/>
        </w:rPr>
        <w:t xml:space="preserve"> (the </w:t>
      </w:r>
      <w:r w:rsidR="002F74A3" w:rsidRPr="003F71DE">
        <w:rPr>
          <w:b/>
          <w:i/>
          <w:sz w:val="24"/>
          <w:szCs w:val="24"/>
        </w:rPr>
        <w:t>remade relief</w:t>
      </w:r>
      <w:r w:rsidR="002F74A3" w:rsidRPr="003F71DE">
        <w:rPr>
          <w:sz w:val="24"/>
          <w:szCs w:val="24"/>
        </w:rPr>
        <w:t>)</w:t>
      </w:r>
      <w:r w:rsidRPr="003F71DE">
        <w:rPr>
          <w:sz w:val="24"/>
          <w:szCs w:val="24"/>
        </w:rPr>
        <w:t>.</w:t>
      </w:r>
    </w:p>
    <w:p w14:paraId="1FEEA1C2" w14:textId="77777777" w:rsidR="00BD1426" w:rsidRDefault="00BD1426" w:rsidP="00BD1426">
      <w:pPr>
        <w:spacing w:after="0"/>
        <w:rPr>
          <w:sz w:val="24"/>
          <w:szCs w:val="24"/>
        </w:rPr>
      </w:pPr>
    </w:p>
    <w:p w14:paraId="5A7F95F3" w14:textId="2155080B" w:rsidR="00BD1426" w:rsidRDefault="005B26D9" w:rsidP="00BD1426">
      <w:pPr>
        <w:spacing w:after="0"/>
        <w:rPr>
          <w:sz w:val="24"/>
          <w:szCs w:val="24"/>
        </w:rPr>
      </w:pPr>
      <w:r>
        <w:rPr>
          <w:sz w:val="24"/>
          <w:szCs w:val="24"/>
        </w:rPr>
        <w:t>In</w:t>
      </w:r>
      <w:r w:rsidRPr="003F71DE">
        <w:rPr>
          <w:sz w:val="24"/>
          <w:szCs w:val="24"/>
        </w:rPr>
        <w:t xml:space="preserve"> </w:t>
      </w:r>
      <w:r w:rsidR="0061046E" w:rsidRPr="00BD1426">
        <w:rPr>
          <w:sz w:val="24"/>
          <w:szCs w:val="24"/>
        </w:rPr>
        <w:t>review</w:t>
      </w:r>
      <w:r w:rsidRPr="00BD1426">
        <w:rPr>
          <w:sz w:val="24"/>
          <w:szCs w:val="24"/>
        </w:rPr>
        <w:t>ing</w:t>
      </w:r>
      <w:r w:rsidR="0061046E" w:rsidRPr="00BD1426">
        <w:rPr>
          <w:sz w:val="24"/>
          <w:szCs w:val="24"/>
        </w:rPr>
        <w:t xml:space="preserve"> the existing class orders, ASIC identified a significant number of applications for </w:t>
      </w:r>
      <w:r w:rsidR="008F1EFA">
        <w:rPr>
          <w:sz w:val="24"/>
          <w:szCs w:val="24"/>
        </w:rPr>
        <w:t xml:space="preserve">individual relief </w:t>
      </w:r>
      <w:r w:rsidR="00C6011A">
        <w:rPr>
          <w:sz w:val="24"/>
          <w:szCs w:val="24"/>
        </w:rPr>
        <w:t>made by banks or other prudentially regulated bodies. These applications sought relief to permit the use of a transaction-specific prospectus for offers of convertible securities</w:t>
      </w:r>
      <w:r w:rsidR="005B30BC">
        <w:rPr>
          <w:sz w:val="24"/>
          <w:szCs w:val="24"/>
        </w:rPr>
        <w:t xml:space="preserve">, in circumstances </w:t>
      </w:r>
      <w:r w:rsidR="00977514" w:rsidRPr="00BD1426">
        <w:rPr>
          <w:sz w:val="24"/>
          <w:szCs w:val="24"/>
        </w:rPr>
        <w:t>where relief under the existing class orders was not available due primarily to current or proposed holding company structures.</w:t>
      </w:r>
      <w:r w:rsidRPr="00BD1426">
        <w:rPr>
          <w:sz w:val="24"/>
          <w:szCs w:val="24"/>
        </w:rPr>
        <w:t xml:space="preserve"> </w:t>
      </w:r>
      <w:r w:rsidR="00977514" w:rsidRPr="00BD1426">
        <w:rPr>
          <w:sz w:val="24"/>
          <w:szCs w:val="24"/>
        </w:rPr>
        <w:t xml:space="preserve">This </w:t>
      </w:r>
      <w:r w:rsidR="0061046E" w:rsidRPr="00BD1426">
        <w:rPr>
          <w:sz w:val="24"/>
          <w:szCs w:val="24"/>
        </w:rPr>
        <w:t xml:space="preserve">individual relief has been granted </w:t>
      </w:r>
      <w:r w:rsidR="002F74A3" w:rsidRPr="00BD1426">
        <w:rPr>
          <w:sz w:val="24"/>
          <w:szCs w:val="24"/>
        </w:rPr>
        <w:t>routinely for many years</w:t>
      </w:r>
      <w:r w:rsidR="0061046E" w:rsidRPr="00BD1426">
        <w:rPr>
          <w:sz w:val="24"/>
          <w:szCs w:val="24"/>
        </w:rPr>
        <w:t>, and approximately 10</w:t>
      </w:r>
      <w:r w:rsidRPr="00BD1426">
        <w:rPr>
          <w:sz w:val="24"/>
          <w:szCs w:val="24"/>
        </w:rPr>
        <w:t xml:space="preserve"> to</w:t>
      </w:r>
      <w:r w:rsidR="0061046E" w:rsidRPr="00BD1426">
        <w:rPr>
          <w:sz w:val="24"/>
          <w:szCs w:val="24"/>
        </w:rPr>
        <w:t>15 individual applications are received and considered each year</w:t>
      </w:r>
      <w:r w:rsidR="002F74A3" w:rsidRPr="00BD1426">
        <w:rPr>
          <w:sz w:val="24"/>
          <w:szCs w:val="24"/>
        </w:rPr>
        <w:t xml:space="preserve"> (</w:t>
      </w:r>
      <w:r w:rsidR="002F74A3" w:rsidRPr="00BD1426">
        <w:rPr>
          <w:b/>
          <w:i/>
          <w:sz w:val="24"/>
          <w:szCs w:val="24"/>
        </w:rPr>
        <w:t>individual relief</w:t>
      </w:r>
      <w:r w:rsidR="002F74A3" w:rsidRPr="00BD1426">
        <w:rPr>
          <w:sz w:val="24"/>
          <w:szCs w:val="24"/>
        </w:rPr>
        <w:t>)</w:t>
      </w:r>
      <w:r w:rsidR="0061046E" w:rsidRPr="00BD1426">
        <w:rPr>
          <w:sz w:val="24"/>
          <w:szCs w:val="24"/>
        </w:rPr>
        <w:t xml:space="preserve">. </w:t>
      </w:r>
    </w:p>
    <w:p w14:paraId="44E0AAAF" w14:textId="77777777" w:rsidR="00F178A9" w:rsidRPr="00BD1426" w:rsidRDefault="00F178A9" w:rsidP="00BD1426">
      <w:pPr>
        <w:spacing w:after="0"/>
        <w:rPr>
          <w:sz w:val="24"/>
          <w:szCs w:val="24"/>
        </w:rPr>
      </w:pPr>
    </w:p>
    <w:p w14:paraId="38951DDC" w14:textId="4E58DB0E" w:rsidR="00F178A9" w:rsidRDefault="005D37B8" w:rsidP="00F178A9">
      <w:pPr>
        <w:spacing w:after="0"/>
        <w:rPr>
          <w:iCs/>
          <w:sz w:val="24"/>
          <w:szCs w:val="24"/>
        </w:rPr>
      </w:pPr>
      <w:r w:rsidRPr="00BD1426">
        <w:rPr>
          <w:iCs/>
          <w:sz w:val="24"/>
          <w:szCs w:val="24"/>
        </w:rPr>
        <w:t xml:space="preserve">ASIC considers such relief for offers of bank hybrids is appropriate because, broadly speaking: </w:t>
      </w:r>
    </w:p>
    <w:p w14:paraId="2A670C8A" w14:textId="77777777" w:rsidR="00F178A9" w:rsidRDefault="00F178A9" w:rsidP="00F178A9">
      <w:pPr>
        <w:spacing w:after="0"/>
        <w:rPr>
          <w:sz w:val="24"/>
          <w:szCs w:val="24"/>
        </w:rPr>
      </w:pPr>
    </w:p>
    <w:p w14:paraId="0E0F2F21" w14:textId="77777777" w:rsidR="005D37B8" w:rsidRDefault="005D37B8" w:rsidP="00F178A9">
      <w:pPr>
        <w:pStyle w:val="BodyText"/>
        <w:spacing w:before="0" w:line="240" w:lineRule="auto"/>
        <w:ind w:left="567" w:hanging="567"/>
        <w:rPr>
          <w:iCs/>
          <w:szCs w:val="24"/>
        </w:rPr>
      </w:pPr>
      <w:r w:rsidRPr="00BD1426">
        <w:rPr>
          <w:iCs/>
          <w:szCs w:val="24"/>
        </w:rPr>
        <w:t>(a)</w:t>
      </w:r>
      <w:r w:rsidRPr="00BD1426">
        <w:rPr>
          <w:iCs/>
          <w:szCs w:val="24"/>
        </w:rPr>
        <w:tab/>
        <w:t xml:space="preserve">given the features and risks of bank hybrids, and the way in which these determine the expected return to investors, prospectus disclosure needs to be focused to a great degree on the terms of the bank hybrids; and </w:t>
      </w:r>
    </w:p>
    <w:p w14:paraId="197B7F13" w14:textId="77777777" w:rsidR="00F178A9" w:rsidRPr="00BD1426" w:rsidRDefault="00F178A9" w:rsidP="00F178A9">
      <w:pPr>
        <w:pStyle w:val="BodyText"/>
        <w:spacing w:before="0" w:line="240" w:lineRule="auto"/>
        <w:ind w:left="567" w:hanging="567"/>
        <w:rPr>
          <w:iCs/>
          <w:szCs w:val="24"/>
        </w:rPr>
      </w:pPr>
    </w:p>
    <w:p w14:paraId="778FCCEB" w14:textId="77777777" w:rsidR="005D37B8" w:rsidRPr="00BD1426" w:rsidRDefault="005D37B8" w:rsidP="00F178A9">
      <w:pPr>
        <w:pStyle w:val="BodyText"/>
        <w:spacing w:before="0" w:line="240" w:lineRule="auto"/>
        <w:ind w:left="567" w:hanging="567"/>
        <w:rPr>
          <w:iCs/>
          <w:szCs w:val="24"/>
        </w:rPr>
      </w:pPr>
      <w:r w:rsidRPr="00BD1426">
        <w:rPr>
          <w:iCs/>
          <w:szCs w:val="24"/>
        </w:rPr>
        <w:t>(b)</w:t>
      </w:r>
      <w:r w:rsidRPr="00BD1426">
        <w:rPr>
          <w:iCs/>
          <w:szCs w:val="24"/>
        </w:rPr>
        <w:tab/>
        <w:t xml:space="preserve">issuers of bank hybrids (or their listed parent company) are subject to the continuous disclosure regime, compliance with which is informed by ongoing entity or group-level disclosure requirements regarding capital adequacy, capital instruments and risk exposure (required by the relevant prudential standards). Accordingly, investors in bank hybrids are able to access sufficient information to make an informed investment decision in relation to ordinary shares in the issuer (or its listed parent company where current or proposed holding structures are involved). </w:t>
      </w:r>
    </w:p>
    <w:p w14:paraId="653B5CB7" w14:textId="77777777" w:rsidR="0061046E" w:rsidRPr="00BD1426" w:rsidRDefault="0061046E" w:rsidP="00F178A9">
      <w:pPr>
        <w:spacing w:after="0"/>
        <w:rPr>
          <w:sz w:val="24"/>
          <w:szCs w:val="24"/>
        </w:rPr>
      </w:pPr>
    </w:p>
    <w:p w14:paraId="4CD652F4" w14:textId="2DC0085F" w:rsidR="0061046E" w:rsidRPr="00BD1426" w:rsidRDefault="005B26D9" w:rsidP="00F178A9">
      <w:pPr>
        <w:spacing w:after="0"/>
        <w:rPr>
          <w:sz w:val="24"/>
          <w:szCs w:val="24"/>
        </w:rPr>
      </w:pPr>
      <w:r w:rsidRPr="00BD1426">
        <w:rPr>
          <w:sz w:val="24"/>
          <w:szCs w:val="24"/>
        </w:rPr>
        <w:t xml:space="preserve">As was the case </w:t>
      </w:r>
      <w:r w:rsidR="0061046E" w:rsidRPr="00BD1426">
        <w:rPr>
          <w:sz w:val="24"/>
          <w:szCs w:val="24"/>
        </w:rPr>
        <w:t>with the existing class orders</w:t>
      </w:r>
      <w:r w:rsidRPr="00BD1426">
        <w:rPr>
          <w:sz w:val="24"/>
          <w:szCs w:val="24"/>
        </w:rPr>
        <w:t xml:space="preserve">, </w:t>
      </w:r>
      <w:r w:rsidR="0061046E" w:rsidRPr="00BD1426">
        <w:rPr>
          <w:sz w:val="24"/>
          <w:szCs w:val="24"/>
        </w:rPr>
        <w:t xml:space="preserve">the remade relief would continue to be unavailable for many offers of </w:t>
      </w:r>
      <w:r w:rsidR="00977514" w:rsidRPr="00BD1426">
        <w:rPr>
          <w:sz w:val="24"/>
          <w:szCs w:val="24"/>
        </w:rPr>
        <w:t>convertible securities by banks and other prudentially regulated bodies</w:t>
      </w:r>
      <w:r w:rsidRPr="00BD1426">
        <w:rPr>
          <w:sz w:val="24"/>
          <w:szCs w:val="24"/>
        </w:rPr>
        <w:t>.</w:t>
      </w:r>
      <w:r w:rsidR="004A5A9E" w:rsidRPr="00BD1426">
        <w:rPr>
          <w:sz w:val="24"/>
          <w:szCs w:val="24"/>
        </w:rPr>
        <w:t xml:space="preserve"> To remove the need for this routine individual relief</w:t>
      </w:r>
      <w:r w:rsidRPr="00BD1426">
        <w:rPr>
          <w:sz w:val="24"/>
          <w:szCs w:val="24"/>
        </w:rPr>
        <w:t xml:space="preserve">, </w:t>
      </w:r>
      <w:r w:rsidR="0061046E" w:rsidRPr="00BD1426">
        <w:rPr>
          <w:sz w:val="24"/>
          <w:szCs w:val="24"/>
        </w:rPr>
        <w:t>ASIC Corporations (Regulatory Capital Securities) Instrument</w:t>
      </w:r>
      <w:r w:rsidR="00977514" w:rsidRPr="00BD1426">
        <w:rPr>
          <w:sz w:val="24"/>
          <w:szCs w:val="24"/>
        </w:rPr>
        <w:t> </w:t>
      </w:r>
      <w:r w:rsidR="0061046E" w:rsidRPr="00BD1426">
        <w:rPr>
          <w:sz w:val="24"/>
          <w:szCs w:val="24"/>
        </w:rPr>
        <w:t>2016/71 provide</w:t>
      </w:r>
      <w:r w:rsidR="004A5A9E" w:rsidRPr="00BD1426">
        <w:rPr>
          <w:sz w:val="24"/>
          <w:szCs w:val="24"/>
        </w:rPr>
        <w:t>s</w:t>
      </w:r>
      <w:r w:rsidR="0061046E" w:rsidRPr="00BD1426">
        <w:rPr>
          <w:sz w:val="24"/>
          <w:szCs w:val="24"/>
        </w:rPr>
        <w:t xml:space="preserve"> relief on similar terms </w:t>
      </w:r>
      <w:r w:rsidR="002F74A3" w:rsidRPr="00BD1426">
        <w:rPr>
          <w:sz w:val="24"/>
          <w:szCs w:val="24"/>
        </w:rPr>
        <w:t xml:space="preserve">to </w:t>
      </w:r>
      <w:r w:rsidR="0061046E" w:rsidRPr="00BD1426">
        <w:rPr>
          <w:sz w:val="24"/>
          <w:szCs w:val="24"/>
        </w:rPr>
        <w:t>the existing class orders and the remade relief.</w:t>
      </w:r>
    </w:p>
    <w:p w14:paraId="033808FB" w14:textId="77777777" w:rsidR="0061046E" w:rsidRPr="00BD1426" w:rsidRDefault="0061046E" w:rsidP="0061046E">
      <w:pPr>
        <w:spacing w:after="0"/>
        <w:rPr>
          <w:sz w:val="24"/>
          <w:szCs w:val="24"/>
        </w:rPr>
      </w:pPr>
    </w:p>
    <w:p w14:paraId="620904D0" w14:textId="77777777" w:rsidR="00012162" w:rsidRDefault="00012162">
      <w:pPr>
        <w:spacing w:after="0"/>
        <w:rPr>
          <w:rFonts w:ascii="Arial" w:hAnsi="Arial" w:cs="Arial"/>
          <w:b/>
          <w:spacing w:val="-1"/>
          <w:sz w:val="24"/>
          <w:szCs w:val="24"/>
        </w:rPr>
      </w:pPr>
      <w:bookmarkStart w:id="1" w:name="2._Purpose_of_the_class_order_"/>
      <w:bookmarkEnd w:id="1"/>
      <w:r>
        <w:rPr>
          <w:rFonts w:ascii="Arial" w:hAnsi="Arial" w:cs="Arial"/>
          <w:b/>
          <w:spacing w:val="-1"/>
          <w:sz w:val="24"/>
          <w:szCs w:val="24"/>
        </w:rPr>
        <w:br w:type="page"/>
      </w:r>
    </w:p>
    <w:p w14:paraId="69F06800" w14:textId="66839C1D" w:rsidR="004B625F" w:rsidRPr="00972FBB" w:rsidRDefault="005B0E3A" w:rsidP="00FE41BD">
      <w:pPr>
        <w:pStyle w:val="Heading3"/>
        <w:keepNext w:val="0"/>
        <w:widowControl w:val="0"/>
        <w:numPr>
          <w:ilvl w:val="0"/>
          <w:numId w:val="3"/>
        </w:numPr>
        <w:tabs>
          <w:tab w:val="left" w:pos="567"/>
        </w:tabs>
        <w:spacing w:after="0" w:line="240" w:lineRule="auto"/>
        <w:ind w:left="0" w:firstLine="0"/>
        <w:jc w:val="left"/>
        <w:rPr>
          <w:iCs/>
        </w:rPr>
      </w:pPr>
      <w:bookmarkStart w:id="2" w:name="_GoBack"/>
      <w:bookmarkEnd w:id="2"/>
      <w:r w:rsidRPr="00972FBB">
        <w:rPr>
          <w:rFonts w:ascii="Arial" w:hAnsi="Arial" w:cs="Arial"/>
          <w:b/>
          <w:spacing w:val="-1"/>
          <w:sz w:val="24"/>
          <w:szCs w:val="24"/>
        </w:rPr>
        <w:t>Purpose</w:t>
      </w:r>
      <w:r w:rsidRPr="00972FBB">
        <w:rPr>
          <w:rFonts w:ascii="Arial" w:hAnsi="Arial" w:cs="Arial"/>
          <w:b/>
          <w:sz w:val="24"/>
          <w:szCs w:val="24"/>
        </w:rPr>
        <w:t xml:space="preserve"> of </w:t>
      </w:r>
      <w:r w:rsidRPr="00972FBB">
        <w:rPr>
          <w:rFonts w:ascii="Arial" w:hAnsi="Arial" w:cs="Arial"/>
          <w:b/>
          <w:spacing w:val="-1"/>
          <w:sz w:val="24"/>
          <w:szCs w:val="24"/>
        </w:rPr>
        <w:t>the</w:t>
      </w:r>
      <w:r w:rsidRPr="00972FBB">
        <w:rPr>
          <w:rFonts w:ascii="Arial" w:hAnsi="Arial" w:cs="Arial"/>
          <w:b/>
          <w:sz w:val="24"/>
          <w:szCs w:val="24"/>
        </w:rPr>
        <w:t xml:space="preserve"> </w:t>
      </w:r>
      <w:r w:rsidRPr="00972FBB">
        <w:rPr>
          <w:rFonts w:ascii="Arial" w:hAnsi="Arial" w:cs="Arial"/>
          <w:b/>
          <w:spacing w:val="-1"/>
          <w:sz w:val="24"/>
          <w:szCs w:val="24"/>
        </w:rPr>
        <w:t>instrument</w:t>
      </w:r>
    </w:p>
    <w:p w14:paraId="4D141514" w14:textId="77777777" w:rsidR="002D63CA" w:rsidRDefault="002D63CA" w:rsidP="002D63CA">
      <w:pPr>
        <w:pStyle w:val="BodyText"/>
        <w:spacing w:before="0" w:line="240" w:lineRule="auto"/>
        <w:rPr>
          <w:iCs/>
        </w:rPr>
      </w:pPr>
    </w:p>
    <w:p w14:paraId="68E1ACC1" w14:textId="4B3A9929" w:rsidR="0061046E" w:rsidRDefault="0061046E" w:rsidP="002D63CA">
      <w:pPr>
        <w:pStyle w:val="BodyText"/>
        <w:spacing w:before="0" w:line="240" w:lineRule="auto"/>
        <w:rPr>
          <w:iCs/>
        </w:rPr>
      </w:pPr>
      <w:r w:rsidRPr="00972FBB">
        <w:rPr>
          <w:iCs/>
        </w:rPr>
        <w:lastRenderedPageBreak/>
        <w:t>Authorised deposit-taking institutions, general insurers and life insurers (i.e. banks and other prudentially regulated bodies) are regular issuers of convertible securities in the form of ‘capital instruments’, more commonly known as hybrid securities or bank hybrids</w:t>
      </w:r>
      <w:r w:rsidR="00977514" w:rsidRPr="00972FBB">
        <w:rPr>
          <w:iCs/>
        </w:rPr>
        <w:t xml:space="preserve"> (</w:t>
      </w:r>
      <w:r w:rsidR="00977514" w:rsidRPr="00972FBB">
        <w:rPr>
          <w:b/>
          <w:i/>
          <w:iCs/>
        </w:rPr>
        <w:t>bank hybrids</w:t>
      </w:r>
      <w:r w:rsidR="00977514" w:rsidRPr="003F71DE">
        <w:rPr>
          <w:iCs/>
        </w:rPr>
        <w:t>)</w:t>
      </w:r>
      <w:r w:rsidRPr="00972FBB">
        <w:rPr>
          <w:iCs/>
        </w:rPr>
        <w:t xml:space="preserve">, which are used to meet the issuer’s regulatory capital requirements under the relevant prudential standards. </w:t>
      </w:r>
    </w:p>
    <w:p w14:paraId="60C55127" w14:textId="77777777" w:rsidR="002D63CA" w:rsidRPr="00972FBB" w:rsidRDefault="002D63CA" w:rsidP="002D63CA">
      <w:pPr>
        <w:pStyle w:val="BodyText"/>
        <w:spacing w:before="0" w:line="240" w:lineRule="auto"/>
        <w:rPr>
          <w:iCs/>
        </w:rPr>
      </w:pPr>
    </w:p>
    <w:p w14:paraId="11118441" w14:textId="371D7C08" w:rsidR="0061046E" w:rsidRDefault="0061046E" w:rsidP="002D63CA">
      <w:pPr>
        <w:pStyle w:val="BodyText"/>
        <w:spacing w:before="0" w:line="240" w:lineRule="auto"/>
        <w:rPr>
          <w:iCs/>
        </w:rPr>
      </w:pPr>
      <w:r w:rsidRPr="00972FBB">
        <w:rPr>
          <w:iCs/>
        </w:rPr>
        <w:t>Those prudential standards prescribe that, in order to qualify as regulatory capital, bank hybrids must include a number of features; for example, the standards require that on the occurrence of certain trigger events, the bank hybrids must be written-off or converted into ordinary shares.</w:t>
      </w:r>
    </w:p>
    <w:p w14:paraId="75BD1547" w14:textId="77777777" w:rsidR="002D63CA" w:rsidRPr="00972FBB" w:rsidRDefault="002D63CA" w:rsidP="002D63CA">
      <w:pPr>
        <w:pStyle w:val="BodyText"/>
        <w:spacing w:before="0" w:line="240" w:lineRule="auto"/>
        <w:rPr>
          <w:iCs/>
        </w:rPr>
      </w:pPr>
    </w:p>
    <w:p w14:paraId="79EA9B46" w14:textId="77777777" w:rsidR="0061046E" w:rsidRDefault="0061046E" w:rsidP="002D63CA">
      <w:pPr>
        <w:pStyle w:val="BodyText"/>
        <w:spacing w:before="0" w:line="240" w:lineRule="auto"/>
        <w:rPr>
          <w:b/>
          <w:i/>
          <w:iCs/>
        </w:rPr>
      </w:pPr>
      <w:r w:rsidRPr="002D63CA">
        <w:rPr>
          <w:b/>
          <w:i/>
          <w:iCs/>
        </w:rPr>
        <w:t xml:space="preserve">Transaction-specific disclosure and on-sale relief for retail offers of bank hybrids </w:t>
      </w:r>
    </w:p>
    <w:p w14:paraId="78A32FC9" w14:textId="77777777" w:rsidR="002D63CA" w:rsidRPr="002D63CA" w:rsidRDefault="002D63CA" w:rsidP="002D63CA">
      <w:pPr>
        <w:pStyle w:val="BodyText"/>
        <w:spacing w:before="0" w:line="240" w:lineRule="auto"/>
        <w:rPr>
          <w:b/>
          <w:i/>
          <w:iCs/>
        </w:rPr>
      </w:pPr>
    </w:p>
    <w:p w14:paraId="3853BCD3" w14:textId="77777777" w:rsidR="0061046E" w:rsidRDefault="0061046E" w:rsidP="002D63CA">
      <w:pPr>
        <w:pStyle w:val="BodyText"/>
        <w:spacing w:before="0" w:line="240" w:lineRule="auto"/>
        <w:rPr>
          <w:iCs/>
        </w:rPr>
      </w:pPr>
      <w:r w:rsidRPr="003F71DE">
        <w:rPr>
          <w:iCs/>
        </w:rPr>
        <w:t>Where bank hybrids are convertible into continuously quoted securities of the issuer, they could be offered to retail investors using a transaction-specific prospectus (in reliance</w:t>
      </w:r>
      <w:r w:rsidRPr="00972FBB">
        <w:rPr>
          <w:iCs/>
        </w:rPr>
        <w:t xml:space="preserve"> on a broad reading of [CO 00/195]), and the securities issued on conversion then be freely on-sold without further disclosure (in reliance on Category 3 of [CO 04/671]). </w:t>
      </w:r>
    </w:p>
    <w:p w14:paraId="2F1A01CB" w14:textId="77777777" w:rsidR="002D63CA" w:rsidRPr="00972FBB" w:rsidRDefault="002D63CA" w:rsidP="002D63CA">
      <w:pPr>
        <w:pStyle w:val="BodyText"/>
        <w:spacing w:before="0" w:line="240" w:lineRule="auto"/>
        <w:rPr>
          <w:iCs/>
        </w:rPr>
      </w:pPr>
    </w:p>
    <w:p w14:paraId="7F7FAFCF" w14:textId="77777777" w:rsidR="0061046E" w:rsidRDefault="0061046E" w:rsidP="002D63CA">
      <w:pPr>
        <w:pStyle w:val="BodyText"/>
        <w:spacing w:before="0" w:line="240" w:lineRule="auto"/>
        <w:rPr>
          <w:iCs/>
        </w:rPr>
      </w:pPr>
      <w:r w:rsidRPr="00972FBB">
        <w:rPr>
          <w:iCs/>
        </w:rPr>
        <w:t xml:space="preserve">In practice, however, this class order relief has not been available to banks and other prudentially regulated bodies because: </w:t>
      </w:r>
    </w:p>
    <w:p w14:paraId="6E12CD73" w14:textId="77777777" w:rsidR="002D63CA" w:rsidRPr="00972FBB" w:rsidRDefault="002D63CA" w:rsidP="002D63CA">
      <w:pPr>
        <w:pStyle w:val="BodyText"/>
        <w:spacing w:before="0" w:line="240" w:lineRule="auto"/>
        <w:rPr>
          <w:iCs/>
        </w:rPr>
      </w:pPr>
    </w:p>
    <w:p w14:paraId="60888B23" w14:textId="20C51467" w:rsidR="0061046E" w:rsidRDefault="0061046E" w:rsidP="002D63CA">
      <w:pPr>
        <w:pStyle w:val="BodyText"/>
        <w:spacing w:before="0" w:line="240" w:lineRule="auto"/>
        <w:ind w:left="567" w:hanging="567"/>
        <w:rPr>
          <w:rFonts w:ascii="MS Mincho" w:eastAsia="MS Mincho" w:hAnsi="MS Mincho" w:cs="MS Mincho"/>
          <w:iCs/>
        </w:rPr>
      </w:pPr>
      <w:r w:rsidRPr="00972FBB">
        <w:rPr>
          <w:iCs/>
        </w:rPr>
        <w:t>(a)</w:t>
      </w:r>
      <w:r w:rsidRPr="00972FBB">
        <w:rPr>
          <w:iCs/>
        </w:rPr>
        <w:tab/>
        <w:t xml:space="preserve">in many cases, the potential interposition of a non-operating holding company (which would become the listed parent </w:t>
      </w:r>
      <w:r w:rsidR="000E6BB7" w:rsidRPr="00972FBB">
        <w:rPr>
          <w:iCs/>
        </w:rPr>
        <w:t xml:space="preserve">company </w:t>
      </w:r>
      <w:r w:rsidRPr="00972FBB">
        <w:rPr>
          <w:iCs/>
        </w:rPr>
        <w:t xml:space="preserve">of the issuer) means the securities to be issued on conversion may be those of a non-operating holding company, rather than the issuer; and </w:t>
      </w:r>
      <w:r w:rsidRPr="00972FBB">
        <w:rPr>
          <w:rFonts w:ascii="MS Mincho" w:eastAsia="MS Mincho" w:hAnsi="MS Mincho" w:cs="MS Mincho"/>
          <w:iCs/>
        </w:rPr>
        <w:t> </w:t>
      </w:r>
    </w:p>
    <w:p w14:paraId="481EADF7" w14:textId="77777777" w:rsidR="002D63CA" w:rsidRPr="00972FBB" w:rsidRDefault="002D63CA" w:rsidP="002D63CA">
      <w:pPr>
        <w:pStyle w:val="BodyText"/>
        <w:spacing w:before="0" w:line="240" w:lineRule="auto"/>
        <w:ind w:left="567" w:hanging="567"/>
        <w:rPr>
          <w:iCs/>
        </w:rPr>
      </w:pPr>
    </w:p>
    <w:p w14:paraId="35EBEE30" w14:textId="5A73F697" w:rsidR="0061046E" w:rsidRDefault="0061046E" w:rsidP="002D63CA">
      <w:pPr>
        <w:pStyle w:val="BodyText"/>
        <w:spacing w:before="0" w:line="240" w:lineRule="auto"/>
        <w:ind w:left="567" w:hanging="567"/>
        <w:rPr>
          <w:iCs/>
        </w:rPr>
      </w:pPr>
      <w:r w:rsidRPr="00972FBB">
        <w:rPr>
          <w:iCs/>
        </w:rPr>
        <w:t>(b)</w:t>
      </w:r>
      <w:r w:rsidRPr="00972FBB">
        <w:rPr>
          <w:iCs/>
        </w:rPr>
        <w:tab/>
        <w:t xml:space="preserve">in other cases, typically where such a holding company has already been established, it may be optimal from a capital management perspective for particular operating companies to issue bank hybrids directly, where those instruments are required to convert into securities in the listed </w:t>
      </w:r>
      <w:r w:rsidR="000E6BB7" w:rsidRPr="00972FBB">
        <w:rPr>
          <w:iCs/>
        </w:rPr>
        <w:t xml:space="preserve">parent </w:t>
      </w:r>
      <w:r w:rsidRPr="00972FBB">
        <w:rPr>
          <w:iCs/>
        </w:rPr>
        <w:t>company.</w:t>
      </w:r>
    </w:p>
    <w:p w14:paraId="36B75FAC" w14:textId="77777777" w:rsidR="002D63CA" w:rsidRPr="00972FBB" w:rsidRDefault="002D63CA" w:rsidP="002D63CA">
      <w:pPr>
        <w:pStyle w:val="BodyText"/>
        <w:spacing w:before="0" w:line="240" w:lineRule="auto"/>
        <w:ind w:left="567" w:hanging="567"/>
        <w:rPr>
          <w:iCs/>
        </w:rPr>
      </w:pPr>
    </w:p>
    <w:p w14:paraId="6B0AB127" w14:textId="57A6EC8C" w:rsidR="00977514" w:rsidRDefault="000E6BB7" w:rsidP="002D63CA">
      <w:pPr>
        <w:pStyle w:val="BodyText"/>
        <w:spacing w:before="0" w:line="240" w:lineRule="auto"/>
        <w:rPr>
          <w:iCs/>
        </w:rPr>
      </w:pPr>
      <w:r w:rsidRPr="00972FBB">
        <w:rPr>
          <w:iCs/>
        </w:rPr>
        <w:t xml:space="preserve">For many years, </w:t>
      </w:r>
      <w:r w:rsidR="00977514" w:rsidRPr="00972FBB">
        <w:rPr>
          <w:iCs/>
        </w:rPr>
        <w:t xml:space="preserve">we have routinely granted relief to permit the use of a transaction-specific prospectus for offers of bank hybrids, which was considered to be broadly consistent with the policy underlying [CO 00/195] (on which the drafting of the individual instruments was based) and [CO 04/671] (on which the individual instruments relied to permit subsequent on-sale of the securities issued on conversion). </w:t>
      </w:r>
    </w:p>
    <w:p w14:paraId="3ABDA759" w14:textId="77777777" w:rsidR="002D63CA" w:rsidRPr="00972FBB" w:rsidRDefault="002D63CA" w:rsidP="002D63CA">
      <w:pPr>
        <w:pStyle w:val="BodyText"/>
        <w:spacing w:before="0" w:line="240" w:lineRule="auto"/>
        <w:rPr>
          <w:iCs/>
        </w:rPr>
      </w:pPr>
    </w:p>
    <w:p w14:paraId="43EE8270" w14:textId="67FDD5BA" w:rsidR="00C36E89" w:rsidRDefault="00C36E89" w:rsidP="002D63CA">
      <w:pPr>
        <w:pStyle w:val="BodyText"/>
        <w:spacing w:before="0" w:line="240" w:lineRule="auto"/>
        <w:rPr>
          <w:iCs/>
        </w:rPr>
      </w:pPr>
      <w:r>
        <w:rPr>
          <w:szCs w:val="24"/>
        </w:rPr>
        <w:t xml:space="preserve">To remove the need for this routine relief, </w:t>
      </w:r>
      <w:r w:rsidR="00977514" w:rsidRPr="00972FBB">
        <w:rPr>
          <w:szCs w:val="24"/>
        </w:rPr>
        <w:t>ASIC Corporations (Regulatory Capital Securities) Instrument 2016/71</w:t>
      </w:r>
      <w:r w:rsidR="00977514" w:rsidRPr="00972FBB">
        <w:rPr>
          <w:iCs/>
        </w:rPr>
        <w:t xml:space="preserve"> provides </w:t>
      </w:r>
      <w:r w:rsidR="0029697D">
        <w:rPr>
          <w:iCs/>
        </w:rPr>
        <w:t xml:space="preserve">disclosure </w:t>
      </w:r>
      <w:r w:rsidR="00977514" w:rsidRPr="00972FBB">
        <w:rPr>
          <w:iCs/>
        </w:rPr>
        <w:t xml:space="preserve">relief for retail offers </w:t>
      </w:r>
      <w:r>
        <w:rPr>
          <w:iCs/>
        </w:rPr>
        <w:t>of bank hybrids</w:t>
      </w:r>
      <w:r w:rsidR="0029697D">
        <w:rPr>
          <w:iCs/>
        </w:rPr>
        <w:t xml:space="preserve"> by</w:t>
      </w:r>
      <w:r>
        <w:rPr>
          <w:iCs/>
        </w:rPr>
        <w:t xml:space="preserve"> </w:t>
      </w:r>
      <w:r w:rsidR="00977514" w:rsidRPr="00972FBB">
        <w:rPr>
          <w:iCs/>
        </w:rPr>
        <w:t xml:space="preserve">permitting the use of a transaction-specific prospectus, </w:t>
      </w:r>
      <w:r w:rsidR="0029697D">
        <w:rPr>
          <w:iCs/>
        </w:rPr>
        <w:t xml:space="preserve">and </w:t>
      </w:r>
      <w:r w:rsidR="000E6BB7" w:rsidRPr="00972FBB">
        <w:rPr>
          <w:iCs/>
        </w:rPr>
        <w:t xml:space="preserve">on-sale relief for the </w:t>
      </w:r>
      <w:r w:rsidR="0029697D">
        <w:rPr>
          <w:iCs/>
        </w:rPr>
        <w:t xml:space="preserve">underlying </w:t>
      </w:r>
      <w:r w:rsidR="000E6BB7" w:rsidRPr="00972FBB">
        <w:rPr>
          <w:iCs/>
        </w:rPr>
        <w:t>securities issued on conversion</w:t>
      </w:r>
      <w:r w:rsidR="0029697D">
        <w:rPr>
          <w:iCs/>
        </w:rPr>
        <w:t>.</w:t>
      </w:r>
      <w:r w:rsidR="0029697D" w:rsidRPr="00972FBB" w:rsidDel="0029697D">
        <w:rPr>
          <w:iCs/>
        </w:rPr>
        <w:t xml:space="preserve"> </w:t>
      </w:r>
    </w:p>
    <w:p w14:paraId="017105F2" w14:textId="77777777" w:rsidR="002D63CA" w:rsidRPr="00972FBB" w:rsidRDefault="002D63CA" w:rsidP="002D63CA">
      <w:pPr>
        <w:pStyle w:val="BodyText"/>
        <w:spacing w:before="0" w:line="240" w:lineRule="auto"/>
        <w:rPr>
          <w:iCs/>
        </w:rPr>
      </w:pPr>
    </w:p>
    <w:p w14:paraId="4C2B17C4" w14:textId="77777777" w:rsidR="0061046E" w:rsidRDefault="0061046E" w:rsidP="002D63CA">
      <w:pPr>
        <w:pStyle w:val="BodyText"/>
        <w:spacing w:before="0" w:line="240" w:lineRule="auto"/>
        <w:ind w:left="567" w:hanging="567"/>
        <w:rPr>
          <w:b/>
          <w:i/>
          <w:iCs/>
        </w:rPr>
      </w:pPr>
      <w:r w:rsidRPr="00972FBB">
        <w:rPr>
          <w:b/>
          <w:i/>
          <w:iCs/>
        </w:rPr>
        <w:t xml:space="preserve">On-sale relief for offers of bank hybrids made without prospectus disclosure </w:t>
      </w:r>
    </w:p>
    <w:p w14:paraId="4B3596DA" w14:textId="77777777" w:rsidR="002D63CA" w:rsidRPr="00972FBB" w:rsidRDefault="002D63CA" w:rsidP="002D63CA">
      <w:pPr>
        <w:pStyle w:val="BodyText"/>
        <w:spacing w:before="0" w:line="240" w:lineRule="auto"/>
        <w:ind w:left="567" w:hanging="567"/>
        <w:rPr>
          <w:b/>
          <w:i/>
          <w:iCs/>
        </w:rPr>
      </w:pPr>
    </w:p>
    <w:p w14:paraId="08C7D489" w14:textId="5E461C05" w:rsidR="00C36E89" w:rsidRPr="00972FBB" w:rsidRDefault="00C36E89" w:rsidP="002D63CA">
      <w:pPr>
        <w:pStyle w:val="BodyText"/>
        <w:spacing w:before="0" w:line="240" w:lineRule="auto"/>
        <w:rPr>
          <w:iCs/>
        </w:rPr>
      </w:pPr>
      <w:r>
        <w:rPr>
          <w:iCs/>
        </w:rPr>
        <w:t>For offers of bank hybrids made without prospectus disclosure, s</w:t>
      </w:r>
      <w:r w:rsidR="0061046E" w:rsidRPr="003F71DE">
        <w:rPr>
          <w:iCs/>
        </w:rPr>
        <w:t xml:space="preserve">imilar structural issues </w:t>
      </w:r>
      <w:r>
        <w:rPr>
          <w:iCs/>
        </w:rPr>
        <w:t xml:space="preserve">prevent </w:t>
      </w:r>
      <w:r w:rsidR="005D37B8">
        <w:rPr>
          <w:iCs/>
        </w:rPr>
        <w:t>reliance on</w:t>
      </w:r>
      <w:r w:rsidR="0061046E" w:rsidRPr="003F71DE">
        <w:rPr>
          <w:iCs/>
        </w:rPr>
        <w:t xml:space="preserve"> [CO 10/322]. While offers of b</w:t>
      </w:r>
      <w:r w:rsidR="0061046E" w:rsidRPr="00972FBB">
        <w:rPr>
          <w:iCs/>
        </w:rPr>
        <w:t xml:space="preserve">ank hybrids to wholesale investors (or foreign retail investors) do not require prospectus disclosure, in the absence of an exception or relief, the on-sale of securities issued on conversion of those </w:t>
      </w:r>
      <w:r w:rsidR="000E6BB7" w:rsidRPr="00972FBB">
        <w:rPr>
          <w:iCs/>
        </w:rPr>
        <w:t xml:space="preserve">bank </w:t>
      </w:r>
      <w:r w:rsidR="0061046E" w:rsidRPr="00972FBB">
        <w:rPr>
          <w:iCs/>
        </w:rPr>
        <w:t>hybrids will require disclosure.</w:t>
      </w:r>
    </w:p>
    <w:p w14:paraId="42ADDFBB" w14:textId="77777777" w:rsidR="00C36E89" w:rsidRDefault="00C36E89" w:rsidP="002D63CA">
      <w:pPr>
        <w:pStyle w:val="BodyText"/>
        <w:spacing w:before="0" w:line="240" w:lineRule="auto"/>
        <w:rPr>
          <w:iCs/>
        </w:rPr>
      </w:pPr>
    </w:p>
    <w:p w14:paraId="4FF6DC26" w14:textId="150BCCB5" w:rsidR="000E6BB7" w:rsidRDefault="000E6BB7" w:rsidP="002D63CA">
      <w:pPr>
        <w:pStyle w:val="BodyText"/>
        <w:spacing w:before="0" w:line="240" w:lineRule="auto"/>
        <w:rPr>
          <w:iCs/>
        </w:rPr>
      </w:pPr>
      <w:r w:rsidRPr="00972FBB">
        <w:rPr>
          <w:iCs/>
        </w:rPr>
        <w:t xml:space="preserve">Since early 2014, </w:t>
      </w:r>
      <w:r w:rsidR="005D37B8">
        <w:rPr>
          <w:iCs/>
        </w:rPr>
        <w:t xml:space="preserve">ASIC has </w:t>
      </w:r>
      <w:r w:rsidRPr="00972FBB">
        <w:rPr>
          <w:iCs/>
        </w:rPr>
        <w:t xml:space="preserve">routinely granted individual relief based on the principles in [CO 10/322] for offers of bank hybrids where that class order was not available because of the position of the issuing bank within current or proposed holding structures. </w:t>
      </w:r>
    </w:p>
    <w:p w14:paraId="70B97008" w14:textId="77777777" w:rsidR="002D63CA" w:rsidRPr="00972FBB" w:rsidRDefault="002D63CA" w:rsidP="002D63CA">
      <w:pPr>
        <w:pStyle w:val="BodyText"/>
        <w:spacing w:before="0" w:line="240" w:lineRule="auto"/>
        <w:rPr>
          <w:iCs/>
        </w:rPr>
      </w:pPr>
    </w:p>
    <w:p w14:paraId="4C6871CD" w14:textId="28A56DC7" w:rsidR="000E6BB7" w:rsidRDefault="005D37B8" w:rsidP="002D63CA">
      <w:pPr>
        <w:pStyle w:val="BodyText"/>
        <w:spacing w:before="0" w:line="240" w:lineRule="auto"/>
        <w:rPr>
          <w:iCs/>
        </w:rPr>
      </w:pPr>
      <w:r>
        <w:rPr>
          <w:iCs/>
        </w:rPr>
        <w:t>ASIC has</w:t>
      </w:r>
      <w:r w:rsidR="000E6BB7" w:rsidRPr="00972FBB">
        <w:rPr>
          <w:iCs/>
        </w:rPr>
        <w:t xml:space="preserve"> also granted relief on similar terms to facilitate offers of bank hybrids by the New Zealand subsidiaries of Australian banks, where those offers are made to investors in New Zealand with disclosure under New Zealand law, and where the securities issued on conversion of the bank hybrids are those of the Australian </w:t>
      </w:r>
      <w:r w:rsidR="00C36E89">
        <w:rPr>
          <w:iCs/>
        </w:rPr>
        <w:t xml:space="preserve">listed </w:t>
      </w:r>
      <w:r w:rsidR="000E6BB7" w:rsidRPr="00972FBB">
        <w:rPr>
          <w:iCs/>
        </w:rPr>
        <w:t>parent company.</w:t>
      </w:r>
    </w:p>
    <w:p w14:paraId="0C836AD0" w14:textId="77777777" w:rsidR="002D63CA" w:rsidRPr="00972FBB" w:rsidRDefault="002D63CA" w:rsidP="002D63CA">
      <w:pPr>
        <w:pStyle w:val="BodyText"/>
        <w:spacing w:before="0" w:line="240" w:lineRule="auto"/>
        <w:rPr>
          <w:iCs/>
        </w:rPr>
      </w:pPr>
    </w:p>
    <w:p w14:paraId="5F9A35D5" w14:textId="7876ADF4" w:rsidR="00C36E89" w:rsidRDefault="0029697D" w:rsidP="002D63CA">
      <w:pPr>
        <w:pStyle w:val="BodyText"/>
        <w:spacing w:before="0" w:line="240" w:lineRule="auto"/>
        <w:rPr>
          <w:iCs/>
        </w:rPr>
      </w:pPr>
      <w:r>
        <w:rPr>
          <w:szCs w:val="24"/>
        </w:rPr>
        <w:t xml:space="preserve">To remove the need for this routine relief, </w:t>
      </w:r>
      <w:r w:rsidR="000E6BB7" w:rsidRPr="00972FBB">
        <w:rPr>
          <w:szCs w:val="24"/>
        </w:rPr>
        <w:t>ASIC Corporations (Regulatory Capital Securities) Instrument 2016/71</w:t>
      </w:r>
      <w:r w:rsidR="000E6BB7" w:rsidRPr="00972FBB">
        <w:rPr>
          <w:iCs/>
        </w:rPr>
        <w:t xml:space="preserve"> provides relief </w:t>
      </w:r>
      <w:r w:rsidR="00C36E89">
        <w:rPr>
          <w:iCs/>
        </w:rPr>
        <w:t xml:space="preserve">comparable to [CO 10/322] and ASIC Corporations (Sale Offers: Securities Issued on Conversion of Convertible Notes) 2016/82 to facilitate the use of an </w:t>
      </w:r>
      <w:r w:rsidR="005D37B8">
        <w:rPr>
          <w:iCs/>
        </w:rPr>
        <w:t>‘</w:t>
      </w:r>
      <w:r w:rsidR="000E6BB7" w:rsidRPr="00972FBB">
        <w:rPr>
          <w:iCs/>
        </w:rPr>
        <w:t>enhanced cleansing notice</w:t>
      </w:r>
      <w:r w:rsidR="005D37B8">
        <w:rPr>
          <w:iCs/>
        </w:rPr>
        <w:t>’</w:t>
      </w:r>
      <w:r w:rsidR="000E6BB7" w:rsidRPr="00972FBB">
        <w:rPr>
          <w:iCs/>
        </w:rPr>
        <w:t xml:space="preserve"> </w:t>
      </w:r>
      <w:r w:rsidR="00C36E89">
        <w:rPr>
          <w:iCs/>
        </w:rPr>
        <w:t>to permit the subsequent on-sale of the underlying securities issued on conversion.</w:t>
      </w:r>
    </w:p>
    <w:p w14:paraId="1C6E304E" w14:textId="02EB9314" w:rsidR="00454469" w:rsidRPr="00972FBB" w:rsidRDefault="00454469" w:rsidP="002D63CA">
      <w:pPr>
        <w:pStyle w:val="BodyText"/>
        <w:spacing w:before="0" w:line="240" w:lineRule="auto"/>
        <w:rPr>
          <w:iCs/>
        </w:rPr>
      </w:pPr>
    </w:p>
    <w:p w14:paraId="1165196E" w14:textId="367CE586" w:rsidR="00454469" w:rsidRDefault="002D33E2" w:rsidP="002D63CA">
      <w:pPr>
        <w:pStyle w:val="BodyText"/>
        <w:spacing w:before="0" w:line="240" w:lineRule="auto"/>
        <w:rPr>
          <w:b/>
          <w:i/>
          <w:iCs/>
        </w:rPr>
      </w:pPr>
      <w:r w:rsidRPr="00F178A9">
        <w:rPr>
          <w:b/>
          <w:i/>
          <w:iCs/>
        </w:rPr>
        <w:t>Third</w:t>
      </w:r>
      <w:r w:rsidR="00796528">
        <w:rPr>
          <w:b/>
          <w:i/>
          <w:iCs/>
        </w:rPr>
        <w:t>-</w:t>
      </w:r>
      <w:r w:rsidRPr="00F178A9">
        <w:rPr>
          <w:b/>
          <w:i/>
          <w:iCs/>
        </w:rPr>
        <w:t>party acquisition scenarios</w:t>
      </w:r>
      <w:r w:rsidR="0048337A" w:rsidRPr="00F178A9">
        <w:rPr>
          <w:b/>
          <w:i/>
          <w:iCs/>
        </w:rPr>
        <w:t xml:space="preserve"> </w:t>
      </w:r>
    </w:p>
    <w:p w14:paraId="24178CAF" w14:textId="77777777" w:rsidR="002D63CA" w:rsidRPr="00F178A9" w:rsidRDefault="002D63CA" w:rsidP="002D63CA">
      <w:pPr>
        <w:pStyle w:val="BodyText"/>
        <w:spacing w:before="0" w:line="240" w:lineRule="auto"/>
        <w:rPr>
          <w:b/>
          <w:i/>
          <w:iCs/>
        </w:rPr>
      </w:pPr>
    </w:p>
    <w:p w14:paraId="0BDB45F9" w14:textId="619D349E" w:rsidR="00796528" w:rsidRDefault="00EA64FE" w:rsidP="002D63CA">
      <w:pPr>
        <w:pStyle w:val="BodyText"/>
        <w:spacing w:before="0" w:line="240" w:lineRule="auto"/>
        <w:rPr>
          <w:szCs w:val="24"/>
        </w:rPr>
      </w:pPr>
      <w:r>
        <w:rPr>
          <w:iCs/>
        </w:rPr>
        <w:t>Broadly speaking, ASIC considers providing disclosure and on-sale relief for retail offers of bank hybrids</w:t>
      </w:r>
      <w:r w:rsidR="00796528">
        <w:rPr>
          <w:iCs/>
        </w:rPr>
        <w:t>—</w:t>
      </w:r>
      <w:r>
        <w:rPr>
          <w:iCs/>
        </w:rPr>
        <w:t xml:space="preserve"> in circumstances where the issuer of the ordinary shares</w:t>
      </w:r>
      <w:r w:rsidR="00796528">
        <w:rPr>
          <w:iCs/>
        </w:rPr>
        <w:t xml:space="preserve"> on conversion may ultimately be a non-operating holding company of the issuer, interposed after the bank hybrids are issued—to be appropriate on the basis that any non-operating holding company so interposed would </w:t>
      </w:r>
      <w:r w:rsidR="00796528" w:rsidRPr="00972FBB">
        <w:rPr>
          <w:szCs w:val="24"/>
        </w:rPr>
        <w:t>‘</w:t>
      </w:r>
      <w:r w:rsidR="00796528">
        <w:rPr>
          <w:szCs w:val="24"/>
        </w:rPr>
        <w:t>be</w:t>
      </w:r>
      <w:r w:rsidR="00796528" w:rsidRPr="00972FBB">
        <w:rPr>
          <w:szCs w:val="24"/>
        </w:rPr>
        <w:t>’</w:t>
      </w:r>
      <w:r w:rsidR="00796528">
        <w:rPr>
          <w:szCs w:val="24"/>
        </w:rPr>
        <w:t xml:space="preserve"> the issuer in a substantive sense. </w:t>
      </w:r>
    </w:p>
    <w:p w14:paraId="6737C569" w14:textId="77777777" w:rsidR="002D63CA" w:rsidRDefault="002D63CA" w:rsidP="002D63CA">
      <w:pPr>
        <w:pStyle w:val="BodyText"/>
        <w:spacing w:before="0" w:line="240" w:lineRule="auto"/>
        <w:rPr>
          <w:szCs w:val="24"/>
        </w:rPr>
      </w:pPr>
    </w:p>
    <w:p w14:paraId="6912AB16" w14:textId="77777777" w:rsidR="00F178A9" w:rsidRDefault="00796528" w:rsidP="002D63CA">
      <w:pPr>
        <w:pStyle w:val="BodyText"/>
        <w:spacing w:before="0" w:line="240" w:lineRule="auto"/>
        <w:rPr>
          <w:iCs/>
        </w:rPr>
      </w:pPr>
      <w:r>
        <w:rPr>
          <w:iCs/>
        </w:rPr>
        <w:t xml:space="preserve">Where the terms of bank hybrids permit the issuer of ordinary shares on conversion to be substituted not only </w:t>
      </w:r>
      <w:r w:rsidR="00F178A9">
        <w:rPr>
          <w:iCs/>
        </w:rPr>
        <w:t xml:space="preserve">with </w:t>
      </w:r>
      <w:r>
        <w:rPr>
          <w:iCs/>
        </w:rPr>
        <w:t xml:space="preserve">a potential non-operating holding company, but also </w:t>
      </w:r>
      <w:r w:rsidR="00F178A9">
        <w:rPr>
          <w:iCs/>
        </w:rPr>
        <w:t>with a third-party acquirer following a change of control transaction, the policy basis for providing disclosure relief and related on-sale relief is no longer satisfied.</w:t>
      </w:r>
    </w:p>
    <w:p w14:paraId="5576BF5F" w14:textId="77777777" w:rsidR="002D63CA" w:rsidRDefault="002D63CA" w:rsidP="002D63CA">
      <w:pPr>
        <w:pStyle w:val="BodyText"/>
        <w:spacing w:before="0" w:line="240" w:lineRule="auto"/>
        <w:rPr>
          <w:iCs/>
        </w:rPr>
      </w:pPr>
    </w:p>
    <w:p w14:paraId="2B26418C" w14:textId="05DF8B39" w:rsidR="004E7C48" w:rsidRPr="0085393A" w:rsidRDefault="004E7C48" w:rsidP="002D63CA">
      <w:pPr>
        <w:pStyle w:val="BodyText"/>
        <w:spacing w:before="0" w:line="240" w:lineRule="auto"/>
        <w:rPr>
          <w:iCs/>
        </w:rPr>
      </w:pPr>
      <w:r w:rsidRPr="004E7C48">
        <w:rPr>
          <w:iCs/>
        </w:rPr>
        <w:t>Therefore, the disclosure and on-sale relief for retail offers of bank hybrids in ASIC Corporations (Regulatory Capital Securities) Instrument 2016/71 is not available where the terms of the bank hybrids contemplate such a third-party acquisition scenario.'</w:t>
      </w:r>
    </w:p>
    <w:p w14:paraId="5922F76D" w14:textId="51542AE5" w:rsidR="00EA64FE" w:rsidRPr="00972FBB" w:rsidRDefault="00EA64FE" w:rsidP="002D63CA">
      <w:pPr>
        <w:pStyle w:val="BodyText"/>
        <w:spacing w:before="0" w:line="240" w:lineRule="auto"/>
        <w:rPr>
          <w:iCs/>
        </w:rPr>
      </w:pPr>
    </w:p>
    <w:p w14:paraId="1EE86807" w14:textId="1D69CEFC" w:rsidR="00D025D0" w:rsidRPr="00972FBB" w:rsidRDefault="005B0E3A" w:rsidP="00FE41BD">
      <w:pPr>
        <w:pStyle w:val="Heading3"/>
        <w:keepNext w:val="0"/>
        <w:widowControl w:val="0"/>
        <w:numPr>
          <w:ilvl w:val="0"/>
          <w:numId w:val="3"/>
        </w:numPr>
        <w:tabs>
          <w:tab w:val="left" w:pos="567"/>
        </w:tabs>
        <w:spacing w:after="0" w:line="240" w:lineRule="auto"/>
        <w:ind w:left="0" w:firstLine="0"/>
        <w:jc w:val="left"/>
        <w:rPr>
          <w:rFonts w:ascii="Arial" w:hAnsi="Arial" w:cs="Arial"/>
          <w:b/>
          <w:sz w:val="24"/>
          <w:szCs w:val="24"/>
        </w:rPr>
      </w:pPr>
      <w:bookmarkStart w:id="3" w:name="Insert_a_level_3_heading_"/>
      <w:bookmarkStart w:id="4" w:name="3._Operation_of_the_class_order_"/>
      <w:bookmarkEnd w:id="3"/>
      <w:bookmarkEnd w:id="4"/>
      <w:r w:rsidRPr="00972FBB">
        <w:rPr>
          <w:rFonts w:ascii="Arial" w:hAnsi="Arial" w:cs="Arial"/>
          <w:b/>
          <w:spacing w:val="-1"/>
          <w:sz w:val="24"/>
          <w:szCs w:val="24"/>
        </w:rPr>
        <w:t>Operation</w:t>
      </w:r>
      <w:r w:rsidRPr="00972FBB">
        <w:rPr>
          <w:rFonts w:ascii="Arial" w:hAnsi="Arial" w:cs="Arial"/>
          <w:b/>
          <w:sz w:val="24"/>
          <w:szCs w:val="24"/>
        </w:rPr>
        <w:t xml:space="preserve"> </w:t>
      </w:r>
      <w:r w:rsidRPr="00972FBB">
        <w:rPr>
          <w:rFonts w:ascii="Arial" w:hAnsi="Arial" w:cs="Arial"/>
          <w:b/>
          <w:spacing w:val="-1"/>
          <w:sz w:val="24"/>
          <w:szCs w:val="24"/>
        </w:rPr>
        <w:t>of</w:t>
      </w:r>
      <w:r w:rsidRPr="00972FBB">
        <w:rPr>
          <w:rFonts w:ascii="Arial" w:hAnsi="Arial" w:cs="Arial"/>
          <w:b/>
          <w:sz w:val="24"/>
          <w:szCs w:val="24"/>
        </w:rPr>
        <w:t xml:space="preserve"> </w:t>
      </w:r>
      <w:r w:rsidRPr="00972FBB">
        <w:rPr>
          <w:rFonts w:ascii="Arial" w:hAnsi="Arial" w:cs="Arial"/>
          <w:b/>
          <w:spacing w:val="-1"/>
          <w:sz w:val="24"/>
          <w:szCs w:val="24"/>
        </w:rPr>
        <w:t>the</w:t>
      </w:r>
      <w:r w:rsidRPr="00972FBB">
        <w:rPr>
          <w:rFonts w:ascii="Arial" w:hAnsi="Arial" w:cs="Arial"/>
          <w:b/>
          <w:sz w:val="24"/>
          <w:szCs w:val="24"/>
        </w:rPr>
        <w:t xml:space="preserve"> instrument</w:t>
      </w:r>
    </w:p>
    <w:p w14:paraId="4A9C0CA0" w14:textId="77777777" w:rsidR="006E701C" w:rsidRPr="00972FBB" w:rsidRDefault="006E701C" w:rsidP="0092104E">
      <w:pPr>
        <w:pStyle w:val="BodyText"/>
        <w:spacing w:before="0" w:line="240" w:lineRule="auto"/>
        <w:rPr>
          <w:b/>
          <w:i/>
          <w:iCs/>
        </w:rPr>
      </w:pPr>
    </w:p>
    <w:p w14:paraId="30CF7DC6" w14:textId="6862E543" w:rsidR="00D410AC" w:rsidRPr="00972FBB" w:rsidRDefault="00D410AC" w:rsidP="00D410AC">
      <w:pPr>
        <w:spacing w:after="0"/>
        <w:rPr>
          <w:b/>
          <w:i/>
          <w:sz w:val="24"/>
          <w:szCs w:val="24"/>
        </w:rPr>
      </w:pPr>
      <w:r w:rsidRPr="00972FBB">
        <w:rPr>
          <w:b/>
          <w:i/>
          <w:sz w:val="24"/>
          <w:szCs w:val="24"/>
        </w:rPr>
        <w:t xml:space="preserve">Definition of regulatory capital security </w:t>
      </w:r>
    </w:p>
    <w:p w14:paraId="4A30EF4D" w14:textId="77777777" w:rsidR="00D410AC" w:rsidRPr="00972FBB" w:rsidRDefault="00D410AC" w:rsidP="00D410AC">
      <w:pPr>
        <w:spacing w:after="0"/>
        <w:rPr>
          <w:sz w:val="24"/>
          <w:szCs w:val="24"/>
        </w:rPr>
      </w:pPr>
    </w:p>
    <w:p w14:paraId="2318E601" w14:textId="108929FA" w:rsidR="00D410AC" w:rsidRPr="00972FBB" w:rsidRDefault="00D410AC" w:rsidP="00D410AC">
      <w:pPr>
        <w:spacing w:after="0"/>
        <w:rPr>
          <w:sz w:val="24"/>
          <w:szCs w:val="24"/>
        </w:rPr>
      </w:pPr>
      <w:r w:rsidRPr="00972FBB">
        <w:rPr>
          <w:sz w:val="24"/>
          <w:szCs w:val="24"/>
        </w:rPr>
        <w:t>ASIC Corporations (Regulatory Capital Securities) Instrument 2016/71 inserts a definition of ‘regulatory capital securit</w:t>
      </w:r>
      <w:r w:rsidR="00D67225" w:rsidRPr="00972FBB">
        <w:rPr>
          <w:sz w:val="24"/>
          <w:szCs w:val="24"/>
        </w:rPr>
        <w:t>y</w:t>
      </w:r>
      <w:r w:rsidRPr="00972FBB">
        <w:rPr>
          <w:sz w:val="24"/>
          <w:szCs w:val="24"/>
        </w:rPr>
        <w:t xml:space="preserve">’ into s9, </w:t>
      </w:r>
      <w:r w:rsidR="003D2D30">
        <w:rPr>
          <w:sz w:val="24"/>
          <w:szCs w:val="24"/>
        </w:rPr>
        <w:t>to</w:t>
      </w:r>
      <w:r w:rsidR="003D2D30" w:rsidRPr="00972FBB">
        <w:rPr>
          <w:sz w:val="24"/>
          <w:szCs w:val="24"/>
        </w:rPr>
        <w:t xml:space="preserve"> </w:t>
      </w:r>
      <w:r w:rsidRPr="00972FBB">
        <w:rPr>
          <w:sz w:val="24"/>
          <w:szCs w:val="24"/>
        </w:rPr>
        <w:t xml:space="preserve">mean a security that satisfies all of the following: </w:t>
      </w:r>
    </w:p>
    <w:p w14:paraId="525944AC" w14:textId="77777777" w:rsidR="00D410AC" w:rsidRPr="00972FBB" w:rsidRDefault="00D410AC" w:rsidP="00D410AC">
      <w:pPr>
        <w:spacing w:after="0"/>
        <w:rPr>
          <w:sz w:val="24"/>
          <w:szCs w:val="24"/>
        </w:rPr>
      </w:pPr>
    </w:p>
    <w:p w14:paraId="2F3B53B8" w14:textId="43AEA0CE" w:rsidR="003F71DE" w:rsidRPr="00972FBB" w:rsidRDefault="00D410AC" w:rsidP="00D410AC">
      <w:pPr>
        <w:spacing w:after="0"/>
        <w:ind w:left="720" w:hanging="720"/>
        <w:rPr>
          <w:sz w:val="24"/>
          <w:szCs w:val="24"/>
        </w:rPr>
      </w:pPr>
      <w:r w:rsidRPr="00972FBB">
        <w:rPr>
          <w:sz w:val="24"/>
          <w:szCs w:val="24"/>
        </w:rPr>
        <w:t>(a)</w:t>
      </w:r>
      <w:r w:rsidRPr="00972FBB">
        <w:rPr>
          <w:sz w:val="24"/>
          <w:szCs w:val="24"/>
        </w:rPr>
        <w:tab/>
        <w:t xml:space="preserve">the security is issued by </w:t>
      </w:r>
      <w:r w:rsidR="003F71DE" w:rsidRPr="00972FBB">
        <w:rPr>
          <w:sz w:val="24"/>
          <w:szCs w:val="24"/>
        </w:rPr>
        <w:t>any of the following entities:</w:t>
      </w:r>
    </w:p>
    <w:p w14:paraId="4E3BD12A" w14:textId="19B77DEF" w:rsidR="003F71DE" w:rsidRDefault="003F71DE" w:rsidP="003F71DE">
      <w:pPr>
        <w:spacing w:after="0"/>
        <w:ind w:left="1440" w:hanging="720"/>
        <w:rPr>
          <w:sz w:val="24"/>
          <w:szCs w:val="24"/>
        </w:rPr>
      </w:pPr>
      <w:r w:rsidRPr="00972FBB" w:rsidDel="003F71DE">
        <w:rPr>
          <w:sz w:val="24"/>
          <w:szCs w:val="24"/>
        </w:rPr>
        <w:t xml:space="preserve"> </w:t>
      </w:r>
    </w:p>
    <w:p w14:paraId="6E388617" w14:textId="2F66EF06" w:rsidR="003F71DE" w:rsidRPr="003F71DE" w:rsidRDefault="003F71DE" w:rsidP="003F71DE">
      <w:pPr>
        <w:spacing w:after="0"/>
        <w:ind w:left="1440" w:hanging="720"/>
        <w:rPr>
          <w:sz w:val="24"/>
          <w:szCs w:val="24"/>
        </w:rPr>
      </w:pPr>
      <w:r w:rsidRPr="003F71DE">
        <w:rPr>
          <w:sz w:val="24"/>
          <w:szCs w:val="24"/>
        </w:rPr>
        <w:t>(i)</w:t>
      </w:r>
      <w:r w:rsidRPr="003F71DE">
        <w:rPr>
          <w:sz w:val="24"/>
          <w:szCs w:val="24"/>
        </w:rPr>
        <w:tab/>
        <w:t xml:space="preserve">an authorised deposit-taking institution, a subsidiary of an authorised deposit-taking institution or an authorised NOHC for the purposes of the </w:t>
      </w:r>
      <w:r w:rsidRPr="00972FBB">
        <w:rPr>
          <w:i/>
          <w:sz w:val="24"/>
          <w:szCs w:val="24"/>
        </w:rPr>
        <w:t>Banking Act 1959</w:t>
      </w:r>
      <w:r w:rsidRPr="003F71DE">
        <w:rPr>
          <w:sz w:val="24"/>
          <w:szCs w:val="24"/>
        </w:rPr>
        <w:t xml:space="preserve">; </w:t>
      </w:r>
    </w:p>
    <w:p w14:paraId="097D256F" w14:textId="77777777" w:rsidR="003F71DE" w:rsidRPr="003F71DE" w:rsidRDefault="003F71DE" w:rsidP="003F71DE">
      <w:pPr>
        <w:spacing w:after="0"/>
        <w:ind w:left="1440" w:hanging="720"/>
        <w:rPr>
          <w:sz w:val="24"/>
          <w:szCs w:val="24"/>
        </w:rPr>
      </w:pPr>
    </w:p>
    <w:p w14:paraId="2111B738" w14:textId="0A9E144D" w:rsidR="003F71DE" w:rsidRPr="003F71DE" w:rsidRDefault="003F71DE" w:rsidP="003F71DE">
      <w:pPr>
        <w:spacing w:after="0"/>
        <w:ind w:left="1440" w:hanging="720"/>
        <w:rPr>
          <w:sz w:val="24"/>
          <w:szCs w:val="24"/>
        </w:rPr>
      </w:pPr>
      <w:r w:rsidRPr="003F71DE">
        <w:rPr>
          <w:sz w:val="24"/>
          <w:szCs w:val="24"/>
        </w:rPr>
        <w:t>(ii)</w:t>
      </w:r>
      <w:r w:rsidRPr="003F71DE">
        <w:rPr>
          <w:sz w:val="24"/>
          <w:szCs w:val="24"/>
        </w:rPr>
        <w:tab/>
        <w:t xml:space="preserve">a general insurer, a subsidiary of a general insurer or an authorised NOHC for the purposes of the </w:t>
      </w:r>
      <w:r w:rsidRPr="00972FBB">
        <w:rPr>
          <w:i/>
          <w:sz w:val="24"/>
          <w:szCs w:val="24"/>
        </w:rPr>
        <w:t>Insurance Act 1973</w:t>
      </w:r>
      <w:r w:rsidRPr="003F71DE">
        <w:rPr>
          <w:sz w:val="24"/>
          <w:szCs w:val="24"/>
        </w:rPr>
        <w:t>;</w:t>
      </w:r>
      <w:r>
        <w:rPr>
          <w:sz w:val="24"/>
          <w:szCs w:val="24"/>
        </w:rPr>
        <w:t xml:space="preserve"> or</w:t>
      </w:r>
    </w:p>
    <w:p w14:paraId="3FAE930B" w14:textId="77777777" w:rsidR="003F71DE" w:rsidRPr="003F71DE" w:rsidRDefault="003F71DE" w:rsidP="003F71DE">
      <w:pPr>
        <w:spacing w:after="0"/>
        <w:ind w:left="1440" w:hanging="720"/>
        <w:rPr>
          <w:sz w:val="24"/>
          <w:szCs w:val="24"/>
        </w:rPr>
      </w:pPr>
    </w:p>
    <w:p w14:paraId="3B514862" w14:textId="05B03729" w:rsidR="003F71DE" w:rsidRPr="00972FBB" w:rsidRDefault="003F71DE" w:rsidP="00972FBB">
      <w:pPr>
        <w:spacing w:after="0"/>
        <w:ind w:left="1440" w:hanging="720"/>
        <w:rPr>
          <w:sz w:val="24"/>
          <w:szCs w:val="24"/>
        </w:rPr>
      </w:pPr>
      <w:r w:rsidRPr="003F71DE">
        <w:rPr>
          <w:sz w:val="24"/>
          <w:szCs w:val="24"/>
        </w:rPr>
        <w:lastRenderedPageBreak/>
        <w:t>(iii)</w:t>
      </w:r>
      <w:r w:rsidRPr="003F71DE">
        <w:rPr>
          <w:sz w:val="24"/>
          <w:szCs w:val="24"/>
        </w:rPr>
        <w:tab/>
        <w:t xml:space="preserve">a life company, a subsidiary of a life company or a registered NOHC for the purposes of the </w:t>
      </w:r>
      <w:r w:rsidRPr="00972FBB">
        <w:rPr>
          <w:i/>
          <w:sz w:val="24"/>
          <w:szCs w:val="24"/>
        </w:rPr>
        <w:t>Life Insurance Act 1995</w:t>
      </w:r>
      <w:r w:rsidRPr="003F71DE">
        <w:rPr>
          <w:sz w:val="24"/>
          <w:szCs w:val="24"/>
        </w:rPr>
        <w:t>;</w:t>
      </w:r>
      <w:r w:rsidR="003D2D30">
        <w:rPr>
          <w:sz w:val="24"/>
          <w:szCs w:val="24"/>
        </w:rPr>
        <w:t xml:space="preserve"> </w:t>
      </w:r>
    </w:p>
    <w:p w14:paraId="765C4B8B" w14:textId="77777777" w:rsidR="003F71DE" w:rsidRPr="00972FBB" w:rsidRDefault="003F71DE" w:rsidP="00D410AC">
      <w:pPr>
        <w:spacing w:after="0"/>
        <w:ind w:left="720" w:hanging="720"/>
        <w:rPr>
          <w:sz w:val="24"/>
          <w:szCs w:val="24"/>
        </w:rPr>
      </w:pPr>
    </w:p>
    <w:p w14:paraId="54404AEE" w14:textId="0A2DF299" w:rsidR="00B77CEE" w:rsidRDefault="00B77CEE" w:rsidP="00972FBB">
      <w:pPr>
        <w:pStyle w:val="LI-BodyTextParaa"/>
        <w:spacing w:before="0"/>
        <w:ind w:left="567"/>
      </w:pPr>
      <w:r w:rsidRPr="00044145">
        <w:t>(b)</w:t>
      </w:r>
      <w:r w:rsidRPr="00044145">
        <w:tab/>
      </w:r>
      <w:r>
        <w:t>either:</w:t>
      </w:r>
    </w:p>
    <w:p w14:paraId="418773B6" w14:textId="77777777" w:rsidR="00B77CEE" w:rsidRDefault="00B77CEE" w:rsidP="00972FBB">
      <w:pPr>
        <w:pStyle w:val="LI-BodyTextParaa"/>
        <w:spacing w:before="0"/>
        <w:ind w:left="1134"/>
      </w:pPr>
    </w:p>
    <w:p w14:paraId="046EF280" w14:textId="77777777" w:rsidR="00B77CEE" w:rsidRDefault="00B77CEE" w:rsidP="00972FBB">
      <w:pPr>
        <w:pStyle w:val="LI-BodyTextParaa"/>
        <w:spacing w:before="0"/>
        <w:ind w:left="1134"/>
      </w:pPr>
      <w:r>
        <w:t>(i)</w:t>
      </w:r>
      <w:r>
        <w:tab/>
        <w:t xml:space="preserve">under </w:t>
      </w:r>
      <w:r w:rsidRPr="00044145">
        <w:t>the terms of the security</w:t>
      </w:r>
      <w:r>
        <w:t xml:space="preserve">, it must or may be </w:t>
      </w:r>
      <w:r w:rsidRPr="00044145">
        <w:t>convert</w:t>
      </w:r>
      <w:r>
        <w:t>ed</w:t>
      </w:r>
      <w:r w:rsidRPr="00044145">
        <w:t xml:space="preserve"> into, or exchanged for, ordinary</w:t>
      </w:r>
      <w:r>
        <w:t> </w:t>
      </w:r>
      <w:r w:rsidRPr="00044145">
        <w:t>shares</w:t>
      </w:r>
      <w:r>
        <w:t xml:space="preserve"> in:</w:t>
      </w:r>
    </w:p>
    <w:p w14:paraId="2F59C2C3" w14:textId="77777777" w:rsidR="00B77CEE" w:rsidRDefault="00B77CEE" w:rsidP="00972FBB">
      <w:pPr>
        <w:pStyle w:val="LI-BodyTextParaa"/>
        <w:spacing w:before="0"/>
        <w:ind w:left="1134"/>
      </w:pPr>
    </w:p>
    <w:p w14:paraId="21917767" w14:textId="77777777" w:rsidR="00B77CEE" w:rsidRDefault="00B77CEE" w:rsidP="00972FBB">
      <w:pPr>
        <w:pStyle w:val="LI-BodyTextParaa"/>
        <w:spacing w:before="0"/>
      </w:pPr>
      <w:r>
        <w:t>(A)</w:t>
      </w:r>
      <w:r>
        <w:tab/>
      </w:r>
      <w:r w:rsidRPr="00044145">
        <w:t>the issuer of the security</w:t>
      </w:r>
      <w:r>
        <w:t>;</w:t>
      </w:r>
      <w:r w:rsidRPr="00044145">
        <w:t xml:space="preserve"> or</w:t>
      </w:r>
    </w:p>
    <w:p w14:paraId="649E659C" w14:textId="77777777" w:rsidR="00B77CEE" w:rsidRDefault="00B77CEE" w:rsidP="00972FBB">
      <w:pPr>
        <w:pStyle w:val="LI-BodyTextParaa"/>
        <w:spacing w:before="0"/>
      </w:pPr>
    </w:p>
    <w:p w14:paraId="2BACFE8B" w14:textId="77777777" w:rsidR="00B77CEE" w:rsidRDefault="00B77CEE" w:rsidP="00972FBB">
      <w:pPr>
        <w:pStyle w:val="LI-BodyTextParaa"/>
        <w:spacing w:before="0"/>
      </w:pPr>
      <w:r>
        <w:t>(B)</w:t>
      </w:r>
      <w:r>
        <w:tab/>
        <w:t>an entity that is both:</w:t>
      </w:r>
    </w:p>
    <w:p w14:paraId="26ADF16A" w14:textId="77777777" w:rsidR="00B77CEE" w:rsidRDefault="00B77CEE" w:rsidP="00972FBB">
      <w:pPr>
        <w:pStyle w:val="LI-BodyTextParaa"/>
        <w:spacing w:before="0"/>
      </w:pPr>
    </w:p>
    <w:p w14:paraId="7A133DF4" w14:textId="4B96F454" w:rsidR="00B77CEE" w:rsidRDefault="00B77CEE" w:rsidP="00972FBB">
      <w:pPr>
        <w:pStyle w:val="LI-BodyTextParaa"/>
        <w:spacing w:before="0"/>
        <w:ind w:left="2268"/>
      </w:pPr>
      <w:r>
        <w:t>(I)</w:t>
      </w:r>
      <w:r>
        <w:tab/>
        <w:t>an authorised deposit-taking institution, a general insurer, a life company, an authorised NOHC or a registered NOHC for the purposes of any of those Acts; and</w:t>
      </w:r>
    </w:p>
    <w:p w14:paraId="4F3CC0A9" w14:textId="77777777" w:rsidR="00B77CEE" w:rsidRDefault="00B77CEE" w:rsidP="00972FBB">
      <w:pPr>
        <w:pStyle w:val="LI-BodyTextParaa"/>
        <w:spacing w:before="0"/>
        <w:ind w:left="2268"/>
      </w:pPr>
    </w:p>
    <w:p w14:paraId="68B7F95F" w14:textId="77777777" w:rsidR="00B77CEE" w:rsidRDefault="00B77CEE" w:rsidP="00972FBB">
      <w:pPr>
        <w:pStyle w:val="LI-BodyTextParaa"/>
        <w:spacing w:before="0"/>
        <w:ind w:left="2268"/>
      </w:pPr>
      <w:r>
        <w:t>(II)</w:t>
      </w:r>
      <w:r>
        <w:tab/>
        <w:t>the ultimate holding company of the issuer; or</w:t>
      </w:r>
    </w:p>
    <w:p w14:paraId="74E69384" w14:textId="77777777" w:rsidR="00B77CEE" w:rsidRDefault="00B77CEE" w:rsidP="00972FBB">
      <w:pPr>
        <w:pStyle w:val="LI-BodyTextParaa"/>
        <w:spacing w:before="0"/>
      </w:pPr>
    </w:p>
    <w:p w14:paraId="4CB61F45" w14:textId="77777777" w:rsidR="00B77CEE" w:rsidRDefault="00B77CEE" w:rsidP="00972FBB">
      <w:pPr>
        <w:pStyle w:val="LI-BodyTextParaa"/>
        <w:spacing w:before="0"/>
      </w:pPr>
      <w:r>
        <w:t>(C)</w:t>
      </w:r>
      <w:r>
        <w:tab/>
        <w:t>an entity (including an entity that, at the time the security is issued, does not exist) that, as a result of a restructure (however described) will be, at the time of conversion or exchange, both:</w:t>
      </w:r>
    </w:p>
    <w:p w14:paraId="01DA7EB3" w14:textId="77777777" w:rsidR="00B77CEE" w:rsidRDefault="00B77CEE" w:rsidP="00972FBB">
      <w:pPr>
        <w:pStyle w:val="LI-BodyTextParaa"/>
        <w:spacing w:before="0"/>
      </w:pPr>
    </w:p>
    <w:p w14:paraId="363B4A55" w14:textId="77777777" w:rsidR="00B77CEE" w:rsidRDefault="00B77CEE" w:rsidP="00972FBB">
      <w:pPr>
        <w:pStyle w:val="LI-BodyTextParaa"/>
        <w:spacing w:before="0"/>
        <w:ind w:left="2268"/>
      </w:pPr>
      <w:r>
        <w:t>(I)</w:t>
      </w:r>
      <w:r>
        <w:tab/>
        <w:t>an authorised NOHC or a registered NOHC for the purposes of any of those Acts; and</w:t>
      </w:r>
    </w:p>
    <w:p w14:paraId="1B9F664A" w14:textId="77777777" w:rsidR="00B77CEE" w:rsidRDefault="00B77CEE" w:rsidP="00972FBB">
      <w:pPr>
        <w:pStyle w:val="LI-BodyTextParaa"/>
        <w:spacing w:before="0"/>
        <w:ind w:left="2268"/>
      </w:pPr>
    </w:p>
    <w:p w14:paraId="4D23F355" w14:textId="77777777" w:rsidR="00B77CEE" w:rsidRDefault="00B77CEE" w:rsidP="00972FBB">
      <w:pPr>
        <w:pStyle w:val="LI-BodyTextParaa"/>
        <w:spacing w:before="0"/>
        <w:ind w:left="2268"/>
      </w:pPr>
      <w:r>
        <w:t>(II)</w:t>
      </w:r>
      <w:r>
        <w:tab/>
        <w:t>the ultimate holding company of the issuer;</w:t>
      </w:r>
    </w:p>
    <w:p w14:paraId="773AE489" w14:textId="77777777" w:rsidR="00B77CEE" w:rsidRDefault="00B77CEE" w:rsidP="00972FBB">
      <w:pPr>
        <w:pStyle w:val="LI-BodyTextParaa"/>
        <w:spacing w:before="0"/>
      </w:pPr>
    </w:p>
    <w:p w14:paraId="295E41C0" w14:textId="77777777" w:rsidR="00B77CEE" w:rsidRDefault="00B77CEE" w:rsidP="00972FBB">
      <w:pPr>
        <w:pStyle w:val="LI-BodyTextParaa"/>
        <w:spacing w:before="0"/>
        <w:ind w:left="1134" w:firstLine="0"/>
      </w:pPr>
      <w:r>
        <w:t xml:space="preserve">in the </w:t>
      </w:r>
      <w:r w:rsidRPr="00044145">
        <w:t>circumstances permitted or required by</w:t>
      </w:r>
      <w:r>
        <w:t xml:space="preserve"> prudential standards made </w:t>
      </w:r>
      <w:r w:rsidRPr="00044145">
        <w:t xml:space="preserve">for the purposes of </w:t>
      </w:r>
      <w:r>
        <w:t xml:space="preserve">any of </w:t>
      </w:r>
      <w:r w:rsidRPr="00044145">
        <w:t>th</w:t>
      </w:r>
      <w:r>
        <w:t>os</w:t>
      </w:r>
      <w:r w:rsidRPr="00044145">
        <w:t xml:space="preserve">e </w:t>
      </w:r>
      <w:r>
        <w:t>Acts</w:t>
      </w:r>
      <w:r w:rsidRPr="00044145">
        <w:t>;</w:t>
      </w:r>
      <w:r>
        <w:t xml:space="preserve"> or</w:t>
      </w:r>
    </w:p>
    <w:p w14:paraId="200D1E78" w14:textId="77777777" w:rsidR="00B77CEE" w:rsidRDefault="00B77CEE" w:rsidP="00972FBB">
      <w:pPr>
        <w:pStyle w:val="LI-BodyTextParaa"/>
        <w:spacing w:before="0"/>
        <w:ind w:left="1134"/>
      </w:pPr>
    </w:p>
    <w:p w14:paraId="3256B284" w14:textId="77777777" w:rsidR="00B77CEE" w:rsidRDefault="00B77CEE" w:rsidP="00972FBB">
      <w:pPr>
        <w:pStyle w:val="LI-BodyTextParaa"/>
        <w:spacing w:before="0"/>
        <w:ind w:left="1134"/>
      </w:pPr>
      <w:r>
        <w:t>(ii)</w:t>
      </w:r>
      <w:r>
        <w:tab/>
        <w:t xml:space="preserve">under </w:t>
      </w:r>
      <w:r w:rsidRPr="00044145">
        <w:t>the terms of the security</w:t>
      </w:r>
      <w:r>
        <w:t xml:space="preserve">, it must or may be </w:t>
      </w:r>
      <w:r w:rsidRPr="00044145">
        <w:t>convert</w:t>
      </w:r>
      <w:r>
        <w:t>ed</w:t>
      </w:r>
      <w:r w:rsidRPr="00044145">
        <w:t xml:space="preserve"> into, or exchanged for, ordinary</w:t>
      </w:r>
      <w:r>
        <w:t> </w:t>
      </w:r>
      <w:r w:rsidRPr="00044145">
        <w:t>shares</w:t>
      </w:r>
      <w:r>
        <w:t xml:space="preserve"> in any of the entities referred to in subparagraph (i), where the proceeds from the issue of the security is to be used to acquire a regulatory capital security of a subsidiary of the issuer the terms of which satisfy subparagraph (i);</w:t>
      </w:r>
    </w:p>
    <w:p w14:paraId="430B5263" w14:textId="77777777" w:rsidR="00B77CEE" w:rsidRPr="00CF4219" w:rsidRDefault="00B77CEE" w:rsidP="00B77CEE">
      <w:pPr>
        <w:pStyle w:val="LI-BodyTextParaa"/>
        <w:spacing w:before="0"/>
        <w:ind w:left="2268"/>
        <w:rPr>
          <w:sz w:val="20"/>
          <w:szCs w:val="20"/>
        </w:rPr>
      </w:pPr>
    </w:p>
    <w:p w14:paraId="402A28A2" w14:textId="77777777" w:rsidR="00B77CEE" w:rsidRPr="003D2D30" w:rsidRDefault="00B77CEE" w:rsidP="00B77CEE">
      <w:pPr>
        <w:spacing w:after="0"/>
        <w:ind w:left="720" w:hanging="720"/>
        <w:rPr>
          <w:sz w:val="24"/>
          <w:szCs w:val="24"/>
        </w:rPr>
      </w:pPr>
      <w:r w:rsidRPr="00044145">
        <w:t>(</w:t>
      </w:r>
      <w:r>
        <w:t>c</w:t>
      </w:r>
      <w:r w:rsidRPr="00044145">
        <w:t>)</w:t>
      </w:r>
      <w:r w:rsidRPr="00044145">
        <w:tab/>
      </w:r>
      <w:r w:rsidRPr="00F178A9">
        <w:rPr>
          <w:sz w:val="24"/>
          <w:szCs w:val="24"/>
        </w:rPr>
        <w:t>if, at the time the security is issued, the conversion or exchange occurred, the ordinary shares to be issued on conversion or exchange would be in a class of continuously quoted securities.</w:t>
      </w:r>
      <w:r w:rsidRPr="003D2D30">
        <w:rPr>
          <w:sz w:val="24"/>
          <w:szCs w:val="24"/>
        </w:rPr>
        <w:t xml:space="preserve"> </w:t>
      </w:r>
    </w:p>
    <w:p w14:paraId="53501C9C" w14:textId="77777777" w:rsidR="00B77CEE" w:rsidRDefault="00B77CEE" w:rsidP="00B77CEE">
      <w:pPr>
        <w:spacing w:after="0"/>
        <w:ind w:left="720" w:hanging="720"/>
        <w:rPr>
          <w:sz w:val="24"/>
          <w:szCs w:val="24"/>
        </w:rPr>
      </w:pPr>
    </w:p>
    <w:p w14:paraId="0248B0F4" w14:textId="4D425DF7" w:rsidR="00CF6C61" w:rsidRDefault="00B77CEE" w:rsidP="00D410AC">
      <w:pPr>
        <w:spacing w:after="0"/>
        <w:rPr>
          <w:sz w:val="24"/>
          <w:szCs w:val="24"/>
        </w:rPr>
      </w:pPr>
      <w:r>
        <w:rPr>
          <w:sz w:val="24"/>
          <w:szCs w:val="24"/>
        </w:rPr>
        <w:t xml:space="preserve">For example, </w:t>
      </w:r>
      <w:r w:rsidR="00CF6C61">
        <w:rPr>
          <w:sz w:val="24"/>
          <w:szCs w:val="24"/>
        </w:rPr>
        <w:t xml:space="preserve">and at a high level omitting technical details, </w:t>
      </w:r>
      <w:r>
        <w:rPr>
          <w:sz w:val="24"/>
          <w:szCs w:val="24"/>
        </w:rPr>
        <w:t xml:space="preserve">this definition of </w:t>
      </w:r>
      <w:r w:rsidRPr="009A675D">
        <w:rPr>
          <w:sz w:val="24"/>
          <w:szCs w:val="24"/>
        </w:rPr>
        <w:t>‘</w:t>
      </w:r>
      <w:r>
        <w:rPr>
          <w:sz w:val="24"/>
          <w:szCs w:val="24"/>
        </w:rPr>
        <w:t>regulatory capital security</w:t>
      </w:r>
      <w:r w:rsidRPr="009A675D">
        <w:rPr>
          <w:sz w:val="24"/>
          <w:szCs w:val="24"/>
        </w:rPr>
        <w:t>’</w:t>
      </w:r>
      <w:r>
        <w:rPr>
          <w:sz w:val="24"/>
          <w:szCs w:val="24"/>
        </w:rPr>
        <w:t xml:space="preserve"> would </w:t>
      </w:r>
      <w:r w:rsidR="00965F28">
        <w:rPr>
          <w:sz w:val="24"/>
          <w:szCs w:val="24"/>
        </w:rPr>
        <w:t xml:space="preserve">likely </w:t>
      </w:r>
      <w:r>
        <w:rPr>
          <w:sz w:val="24"/>
          <w:szCs w:val="24"/>
        </w:rPr>
        <w:t xml:space="preserve">apply to the </w:t>
      </w:r>
      <w:r w:rsidR="00CF6C61">
        <w:rPr>
          <w:sz w:val="24"/>
          <w:szCs w:val="24"/>
        </w:rPr>
        <w:t>bank hybrids offered in the following scenarios:</w:t>
      </w:r>
    </w:p>
    <w:p w14:paraId="2D1F13B9" w14:textId="77777777" w:rsidR="00CF6C61" w:rsidRDefault="00CF6C61" w:rsidP="00D410AC">
      <w:pPr>
        <w:spacing w:after="0"/>
        <w:rPr>
          <w:sz w:val="24"/>
          <w:szCs w:val="24"/>
        </w:rPr>
      </w:pPr>
    </w:p>
    <w:p w14:paraId="3543E1F9" w14:textId="53A3C3BC" w:rsidR="00CF6C61" w:rsidRPr="00F178A9" w:rsidRDefault="00CF6C61" w:rsidP="00972FBB">
      <w:pPr>
        <w:spacing w:after="0"/>
        <w:ind w:left="720" w:hanging="720"/>
        <w:rPr>
          <w:sz w:val="24"/>
          <w:szCs w:val="24"/>
        </w:rPr>
      </w:pPr>
      <w:r>
        <w:rPr>
          <w:sz w:val="24"/>
          <w:szCs w:val="24"/>
        </w:rPr>
        <w:t>(a)</w:t>
      </w:r>
      <w:r>
        <w:rPr>
          <w:sz w:val="24"/>
          <w:szCs w:val="24"/>
        </w:rPr>
        <w:tab/>
      </w:r>
      <w:r w:rsidRPr="003D2D30">
        <w:rPr>
          <w:sz w:val="24"/>
          <w:szCs w:val="24"/>
        </w:rPr>
        <w:t xml:space="preserve">a listed Australian bank </w:t>
      </w:r>
      <w:r w:rsidRPr="00F178A9">
        <w:rPr>
          <w:sz w:val="24"/>
          <w:szCs w:val="24"/>
        </w:rPr>
        <w:t xml:space="preserve">offers a bank hybrid that is convertible into ordinary shares in the bank, or a </w:t>
      </w:r>
      <w:r w:rsidR="008F1EFA">
        <w:rPr>
          <w:sz w:val="24"/>
          <w:szCs w:val="24"/>
        </w:rPr>
        <w:t xml:space="preserve">listed </w:t>
      </w:r>
      <w:r w:rsidRPr="00F178A9">
        <w:rPr>
          <w:sz w:val="24"/>
          <w:szCs w:val="24"/>
        </w:rPr>
        <w:t>non-operating holding company if one is subsequently interposed;</w:t>
      </w:r>
    </w:p>
    <w:p w14:paraId="4A69E910" w14:textId="77777777" w:rsidR="00CF6C61" w:rsidRPr="00F178A9" w:rsidRDefault="00CF6C61" w:rsidP="00972FBB">
      <w:pPr>
        <w:spacing w:after="0"/>
        <w:ind w:left="720" w:hanging="720"/>
        <w:rPr>
          <w:sz w:val="24"/>
          <w:szCs w:val="24"/>
        </w:rPr>
      </w:pPr>
    </w:p>
    <w:p w14:paraId="5F96BF1D" w14:textId="51AC550C" w:rsidR="00CF6C61" w:rsidRPr="00F178A9" w:rsidRDefault="00CF6C61" w:rsidP="00972FBB">
      <w:pPr>
        <w:spacing w:after="0"/>
        <w:ind w:left="720" w:hanging="720"/>
        <w:rPr>
          <w:sz w:val="24"/>
          <w:szCs w:val="24"/>
        </w:rPr>
      </w:pPr>
      <w:r w:rsidRPr="00F178A9">
        <w:rPr>
          <w:sz w:val="24"/>
          <w:szCs w:val="24"/>
        </w:rPr>
        <w:t>(b)</w:t>
      </w:r>
      <w:r w:rsidRPr="00F178A9">
        <w:rPr>
          <w:sz w:val="24"/>
          <w:szCs w:val="24"/>
        </w:rPr>
        <w:tab/>
        <w:t>an Australian bank, which is a subsidiary of a listed non-operating holding company, offers a bank hybrid that is convertible into ordinary shares in the listed non-operating holding company</w:t>
      </w:r>
      <w:r w:rsidR="00FB3DD4" w:rsidRPr="00F178A9">
        <w:rPr>
          <w:sz w:val="24"/>
          <w:szCs w:val="24"/>
        </w:rPr>
        <w:t>;</w:t>
      </w:r>
    </w:p>
    <w:p w14:paraId="6A346FA6" w14:textId="77777777" w:rsidR="00FB3DD4" w:rsidRPr="00F178A9" w:rsidRDefault="00FB3DD4" w:rsidP="00972FBB">
      <w:pPr>
        <w:spacing w:after="0"/>
        <w:ind w:left="720" w:hanging="720"/>
        <w:rPr>
          <w:sz w:val="24"/>
          <w:szCs w:val="24"/>
        </w:rPr>
      </w:pPr>
    </w:p>
    <w:p w14:paraId="4661AAE9" w14:textId="032A442D" w:rsidR="00965F28" w:rsidRPr="00F178A9" w:rsidRDefault="00FB3DD4" w:rsidP="00972FBB">
      <w:pPr>
        <w:spacing w:after="0"/>
        <w:ind w:left="720" w:hanging="720"/>
        <w:rPr>
          <w:sz w:val="24"/>
          <w:szCs w:val="24"/>
        </w:rPr>
      </w:pPr>
      <w:r w:rsidRPr="00F178A9">
        <w:rPr>
          <w:sz w:val="24"/>
          <w:szCs w:val="24"/>
        </w:rPr>
        <w:lastRenderedPageBreak/>
        <w:t>(c)</w:t>
      </w:r>
      <w:r w:rsidRPr="00F178A9">
        <w:rPr>
          <w:sz w:val="24"/>
          <w:szCs w:val="24"/>
        </w:rPr>
        <w:tab/>
      </w:r>
      <w:r w:rsidR="00965F28" w:rsidRPr="00F178A9">
        <w:rPr>
          <w:sz w:val="24"/>
          <w:szCs w:val="24"/>
        </w:rPr>
        <w:t xml:space="preserve">a New Zealand bank, which is a subsidiary of a listed Australian bank, offers a bank hybrid that is convertible into ordinary shares in the listed Australian bank, or a </w:t>
      </w:r>
      <w:r w:rsidR="008F1EFA">
        <w:rPr>
          <w:sz w:val="24"/>
          <w:szCs w:val="24"/>
        </w:rPr>
        <w:t xml:space="preserve">listed </w:t>
      </w:r>
      <w:r w:rsidR="00965F28" w:rsidRPr="00F178A9">
        <w:rPr>
          <w:sz w:val="24"/>
          <w:szCs w:val="24"/>
        </w:rPr>
        <w:t>non-operating holding company if one is subsequently interposed; and</w:t>
      </w:r>
    </w:p>
    <w:p w14:paraId="4412E81E" w14:textId="77777777" w:rsidR="00965F28" w:rsidRPr="00F178A9" w:rsidRDefault="00965F28" w:rsidP="00972FBB">
      <w:pPr>
        <w:spacing w:after="0"/>
        <w:ind w:left="720" w:hanging="720"/>
        <w:rPr>
          <w:sz w:val="24"/>
          <w:szCs w:val="24"/>
        </w:rPr>
      </w:pPr>
    </w:p>
    <w:p w14:paraId="7E07D903" w14:textId="19E88C2E" w:rsidR="00FB3DD4" w:rsidRPr="00F178A9" w:rsidRDefault="00965F28" w:rsidP="00972FBB">
      <w:pPr>
        <w:spacing w:after="0"/>
        <w:ind w:left="720" w:hanging="720"/>
        <w:rPr>
          <w:sz w:val="24"/>
          <w:szCs w:val="24"/>
        </w:rPr>
      </w:pPr>
      <w:r w:rsidRPr="00F178A9">
        <w:rPr>
          <w:sz w:val="24"/>
          <w:szCs w:val="24"/>
        </w:rPr>
        <w:t>(d)</w:t>
      </w:r>
      <w:r w:rsidRPr="00F178A9">
        <w:rPr>
          <w:sz w:val="24"/>
          <w:szCs w:val="24"/>
        </w:rPr>
        <w:tab/>
      </w:r>
      <w:r w:rsidR="00C117E5" w:rsidRPr="00F178A9">
        <w:rPr>
          <w:sz w:val="24"/>
          <w:szCs w:val="24"/>
        </w:rPr>
        <w:t xml:space="preserve">a listed Australian bank, acting through its London branch, offers a bank hybrid that is convertible into ordinary shares </w:t>
      </w:r>
      <w:r w:rsidR="003D2D30">
        <w:rPr>
          <w:sz w:val="24"/>
          <w:szCs w:val="24"/>
        </w:rPr>
        <w:t xml:space="preserve">in </w:t>
      </w:r>
      <w:r w:rsidR="00C117E5" w:rsidRPr="00F178A9">
        <w:rPr>
          <w:sz w:val="24"/>
          <w:szCs w:val="24"/>
        </w:rPr>
        <w:t xml:space="preserve">the bank, or a </w:t>
      </w:r>
      <w:r w:rsidR="008F1EFA">
        <w:rPr>
          <w:sz w:val="24"/>
          <w:szCs w:val="24"/>
        </w:rPr>
        <w:t xml:space="preserve">listed </w:t>
      </w:r>
      <w:r w:rsidR="00C117E5" w:rsidRPr="00F178A9">
        <w:rPr>
          <w:sz w:val="24"/>
          <w:szCs w:val="24"/>
        </w:rPr>
        <w:t>non-operating holding company if one is subsequently interposed.</w:t>
      </w:r>
    </w:p>
    <w:p w14:paraId="769EF9AA" w14:textId="77777777" w:rsidR="00CF6C61" w:rsidRPr="00F178A9" w:rsidRDefault="00CF6C61" w:rsidP="00972FBB">
      <w:pPr>
        <w:spacing w:after="0"/>
        <w:ind w:left="720" w:hanging="720"/>
        <w:rPr>
          <w:sz w:val="24"/>
          <w:szCs w:val="24"/>
        </w:rPr>
      </w:pPr>
    </w:p>
    <w:p w14:paraId="785355AA" w14:textId="45A0CE55" w:rsidR="00C117E5" w:rsidRPr="0085393A" w:rsidRDefault="0085393A" w:rsidP="00972FBB">
      <w:pPr>
        <w:spacing w:after="0"/>
        <w:rPr>
          <w:sz w:val="24"/>
          <w:szCs w:val="24"/>
        </w:rPr>
      </w:pPr>
      <w:r>
        <w:rPr>
          <w:sz w:val="24"/>
          <w:szCs w:val="24"/>
        </w:rPr>
        <w:t>I</w:t>
      </w:r>
      <w:r w:rsidR="00032140">
        <w:rPr>
          <w:sz w:val="24"/>
          <w:szCs w:val="24"/>
        </w:rPr>
        <w:t>n addition to meeting</w:t>
      </w:r>
      <w:r w:rsidR="00C117E5" w:rsidRPr="0085393A">
        <w:rPr>
          <w:sz w:val="24"/>
          <w:szCs w:val="24"/>
        </w:rPr>
        <w:t xml:space="preserve"> the definition of </w:t>
      </w:r>
      <w:r w:rsidRPr="009A675D">
        <w:rPr>
          <w:sz w:val="24"/>
          <w:szCs w:val="24"/>
        </w:rPr>
        <w:t>‘</w:t>
      </w:r>
      <w:r>
        <w:rPr>
          <w:sz w:val="24"/>
          <w:szCs w:val="24"/>
        </w:rPr>
        <w:t>regulatory capital security</w:t>
      </w:r>
      <w:r w:rsidRPr="009A675D">
        <w:rPr>
          <w:sz w:val="24"/>
          <w:szCs w:val="24"/>
        </w:rPr>
        <w:t>’</w:t>
      </w:r>
      <w:r w:rsidR="00C117E5" w:rsidRPr="0085393A">
        <w:rPr>
          <w:sz w:val="24"/>
          <w:szCs w:val="24"/>
        </w:rPr>
        <w:t xml:space="preserve">, </w:t>
      </w:r>
      <w:r w:rsidR="00032140">
        <w:rPr>
          <w:sz w:val="24"/>
          <w:szCs w:val="24"/>
        </w:rPr>
        <w:t xml:space="preserve">the offer of bank hybrids must </w:t>
      </w:r>
      <w:r>
        <w:rPr>
          <w:sz w:val="24"/>
          <w:szCs w:val="24"/>
        </w:rPr>
        <w:t xml:space="preserve">also </w:t>
      </w:r>
      <w:r w:rsidR="00032140">
        <w:rPr>
          <w:sz w:val="24"/>
          <w:szCs w:val="24"/>
        </w:rPr>
        <w:t xml:space="preserve">meet certain </w:t>
      </w:r>
      <w:r>
        <w:rPr>
          <w:sz w:val="24"/>
          <w:szCs w:val="24"/>
        </w:rPr>
        <w:t xml:space="preserve">other </w:t>
      </w:r>
      <w:r w:rsidR="00032140">
        <w:rPr>
          <w:sz w:val="24"/>
          <w:szCs w:val="24"/>
        </w:rPr>
        <w:t xml:space="preserve">conditions for the </w:t>
      </w:r>
      <w:r w:rsidR="00C117E5" w:rsidRPr="0085393A">
        <w:rPr>
          <w:sz w:val="24"/>
          <w:szCs w:val="24"/>
        </w:rPr>
        <w:t xml:space="preserve">disclosure and on-sale relief provided by this instrument </w:t>
      </w:r>
      <w:r w:rsidR="00032140">
        <w:rPr>
          <w:sz w:val="24"/>
          <w:szCs w:val="24"/>
        </w:rPr>
        <w:t xml:space="preserve">to </w:t>
      </w:r>
      <w:r w:rsidR="00C117E5" w:rsidRPr="0085393A">
        <w:rPr>
          <w:sz w:val="24"/>
          <w:szCs w:val="24"/>
        </w:rPr>
        <w:t>be available.</w:t>
      </w:r>
    </w:p>
    <w:p w14:paraId="665F5B7A" w14:textId="270BADE1" w:rsidR="00B77CEE" w:rsidRPr="00972FBB" w:rsidRDefault="00B77CEE" w:rsidP="00D410AC">
      <w:pPr>
        <w:spacing w:after="0"/>
        <w:rPr>
          <w:sz w:val="24"/>
          <w:szCs w:val="24"/>
        </w:rPr>
      </w:pPr>
    </w:p>
    <w:p w14:paraId="2341C317" w14:textId="73F5B1B9" w:rsidR="00E100C2" w:rsidRDefault="00E100C2" w:rsidP="00D410AC">
      <w:pPr>
        <w:spacing w:after="0"/>
        <w:rPr>
          <w:sz w:val="24"/>
          <w:szCs w:val="24"/>
        </w:rPr>
      </w:pPr>
      <w:r w:rsidRPr="009A675D">
        <w:rPr>
          <w:sz w:val="24"/>
          <w:szCs w:val="24"/>
        </w:rPr>
        <w:t xml:space="preserve">ASIC Corporations (Regulatory Capital Securities) Instrument 2016/71 </w:t>
      </w:r>
      <w:r w:rsidR="00032140">
        <w:rPr>
          <w:sz w:val="24"/>
          <w:szCs w:val="24"/>
        </w:rPr>
        <w:t xml:space="preserve">modifies </w:t>
      </w:r>
      <w:r>
        <w:rPr>
          <w:sz w:val="24"/>
          <w:szCs w:val="24"/>
        </w:rPr>
        <w:t>two further definitions in s9:</w:t>
      </w:r>
    </w:p>
    <w:p w14:paraId="0E9A039F" w14:textId="77777777" w:rsidR="00E100C2" w:rsidRDefault="00E100C2" w:rsidP="00D410AC">
      <w:pPr>
        <w:spacing w:after="0"/>
        <w:rPr>
          <w:sz w:val="24"/>
          <w:szCs w:val="24"/>
        </w:rPr>
      </w:pPr>
    </w:p>
    <w:p w14:paraId="22887AD8" w14:textId="3DD6A51D" w:rsidR="00E100C2" w:rsidRDefault="00E100C2" w:rsidP="00972FBB">
      <w:pPr>
        <w:spacing w:after="0"/>
        <w:ind w:left="720" w:hanging="720"/>
        <w:rPr>
          <w:sz w:val="24"/>
          <w:szCs w:val="24"/>
        </w:rPr>
      </w:pPr>
      <w:r>
        <w:rPr>
          <w:sz w:val="24"/>
          <w:szCs w:val="24"/>
        </w:rPr>
        <w:t>(a)</w:t>
      </w:r>
      <w:r>
        <w:rPr>
          <w:sz w:val="24"/>
          <w:szCs w:val="24"/>
        </w:rPr>
        <w:tab/>
        <w:t xml:space="preserve">the definition of </w:t>
      </w:r>
      <w:r w:rsidRPr="009A675D">
        <w:rPr>
          <w:sz w:val="24"/>
          <w:szCs w:val="24"/>
        </w:rPr>
        <w:t>‘</w:t>
      </w:r>
      <w:r>
        <w:rPr>
          <w:sz w:val="24"/>
          <w:szCs w:val="24"/>
        </w:rPr>
        <w:t>underlying securities</w:t>
      </w:r>
      <w:r w:rsidRPr="009A675D">
        <w:rPr>
          <w:sz w:val="24"/>
          <w:szCs w:val="24"/>
        </w:rPr>
        <w:t xml:space="preserve">’ </w:t>
      </w:r>
      <w:r>
        <w:rPr>
          <w:sz w:val="24"/>
          <w:szCs w:val="24"/>
        </w:rPr>
        <w:t>is amended to mean, in relation to regulatory capital securities, the securities that are issued on conversion or exchange of the regulatory capital securities; and</w:t>
      </w:r>
    </w:p>
    <w:p w14:paraId="39DBBC61" w14:textId="77777777" w:rsidR="00E100C2" w:rsidRDefault="00E100C2" w:rsidP="00972FBB">
      <w:pPr>
        <w:spacing w:after="0"/>
        <w:ind w:left="720" w:hanging="720"/>
        <w:rPr>
          <w:sz w:val="24"/>
          <w:szCs w:val="24"/>
        </w:rPr>
      </w:pPr>
    </w:p>
    <w:p w14:paraId="5762FF34" w14:textId="2D320BA6" w:rsidR="00E100C2" w:rsidRDefault="00E100C2" w:rsidP="00972FBB">
      <w:pPr>
        <w:spacing w:after="0"/>
        <w:ind w:left="720" w:hanging="720"/>
        <w:rPr>
          <w:sz w:val="24"/>
          <w:szCs w:val="24"/>
        </w:rPr>
      </w:pPr>
      <w:r>
        <w:rPr>
          <w:sz w:val="24"/>
          <w:szCs w:val="24"/>
        </w:rPr>
        <w:t>(b)</w:t>
      </w:r>
      <w:r>
        <w:rPr>
          <w:sz w:val="24"/>
          <w:szCs w:val="24"/>
        </w:rPr>
        <w:tab/>
        <w:t xml:space="preserve">a new </w:t>
      </w:r>
      <w:r w:rsidRPr="009A675D">
        <w:rPr>
          <w:sz w:val="24"/>
          <w:szCs w:val="24"/>
        </w:rPr>
        <w:t>definition of ‘</w:t>
      </w:r>
      <w:r>
        <w:rPr>
          <w:sz w:val="24"/>
          <w:szCs w:val="24"/>
        </w:rPr>
        <w:t>notional underlying securities</w:t>
      </w:r>
      <w:r w:rsidRPr="009A675D">
        <w:rPr>
          <w:sz w:val="24"/>
          <w:szCs w:val="24"/>
        </w:rPr>
        <w:t xml:space="preserve">’ </w:t>
      </w:r>
      <w:r>
        <w:rPr>
          <w:sz w:val="24"/>
          <w:szCs w:val="24"/>
        </w:rPr>
        <w:t xml:space="preserve">is inserted, </w:t>
      </w:r>
      <w:r w:rsidR="0085393A">
        <w:rPr>
          <w:sz w:val="24"/>
          <w:szCs w:val="24"/>
        </w:rPr>
        <w:t xml:space="preserve">to mean </w:t>
      </w:r>
      <w:r>
        <w:rPr>
          <w:sz w:val="24"/>
          <w:szCs w:val="24"/>
        </w:rPr>
        <w:t xml:space="preserve">the securities that would be issued on conversion or exchange of a regulatory capital security </w:t>
      </w:r>
      <w:r w:rsidRPr="00972FBB">
        <w:rPr>
          <w:i/>
          <w:sz w:val="24"/>
          <w:szCs w:val="24"/>
        </w:rPr>
        <w:t>if that conversion or exchange occurred at the time the regulatory capital security is issued</w:t>
      </w:r>
      <w:r>
        <w:rPr>
          <w:sz w:val="24"/>
          <w:szCs w:val="24"/>
        </w:rPr>
        <w:t>.</w:t>
      </w:r>
    </w:p>
    <w:p w14:paraId="1D2D4BCE" w14:textId="77777777" w:rsidR="00E100C2" w:rsidRDefault="00E100C2" w:rsidP="00D410AC">
      <w:pPr>
        <w:spacing w:after="0"/>
        <w:rPr>
          <w:sz w:val="24"/>
          <w:szCs w:val="24"/>
        </w:rPr>
      </w:pPr>
    </w:p>
    <w:p w14:paraId="721EBF72" w14:textId="288190F4" w:rsidR="00D410AC" w:rsidRPr="00972FBB" w:rsidRDefault="00032140" w:rsidP="00D410AC">
      <w:pPr>
        <w:spacing w:after="0"/>
        <w:rPr>
          <w:b/>
          <w:i/>
          <w:sz w:val="24"/>
          <w:szCs w:val="24"/>
        </w:rPr>
      </w:pPr>
      <w:r w:rsidRPr="00EA64FE">
        <w:rPr>
          <w:b/>
          <w:i/>
          <w:sz w:val="24"/>
          <w:szCs w:val="24"/>
        </w:rPr>
        <w:t>Relief to permit t</w:t>
      </w:r>
      <w:r w:rsidR="00D410AC" w:rsidRPr="00EA64FE">
        <w:rPr>
          <w:b/>
          <w:i/>
          <w:sz w:val="24"/>
          <w:szCs w:val="24"/>
        </w:rPr>
        <w:t>ransaction-specific disclosure</w:t>
      </w:r>
      <w:r w:rsidR="00D410AC" w:rsidRPr="00032140">
        <w:rPr>
          <w:b/>
          <w:i/>
          <w:sz w:val="24"/>
          <w:szCs w:val="24"/>
        </w:rPr>
        <w:t xml:space="preserve"> </w:t>
      </w:r>
    </w:p>
    <w:p w14:paraId="2B1FCC80" w14:textId="77777777" w:rsidR="00D410AC" w:rsidRPr="00972FBB" w:rsidRDefault="00D410AC" w:rsidP="00D410AC">
      <w:pPr>
        <w:spacing w:after="0"/>
        <w:rPr>
          <w:sz w:val="24"/>
          <w:szCs w:val="24"/>
        </w:rPr>
      </w:pPr>
    </w:p>
    <w:p w14:paraId="20A3624A" w14:textId="10D49FE8" w:rsidR="00D410AC" w:rsidRPr="00972FBB" w:rsidRDefault="00D410AC" w:rsidP="00D410AC">
      <w:pPr>
        <w:spacing w:after="0"/>
        <w:rPr>
          <w:sz w:val="24"/>
          <w:szCs w:val="24"/>
        </w:rPr>
      </w:pPr>
      <w:r w:rsidRPr="00972FBB">
        <w:rPr>
          <w:sz w:val="24"/>
          <w:szCs w:val="24"/>
        </w:rPr>
        <w:t>ASIC Corporations (Regulatory Capital Securities) Instrument 2016/71 modifies s713</w:t>
      </w:r>
      <w:r w:rsidR="00AA4F48">
        <w:rPr>
          <w:sz w:val="24"/>
          <w:szCs w:val="24"/>
        </w:rPr>
        <w:t xml:space="preserve"> by inserting new paragraphs s713(1)(ab) and 713(2)(cb)</w:t>
      </w:r>
      <w:r w:rsidRPr="00972FBB">
        <w:rPr>
          <w:sz w:val="24"/>
          <w:szCs w:val="24"/>
        </w:rPr>
        <w:t xml:space="preserve">, to permit the use of a transaction-specific prospectus for offers of </w:t>
      </w:r>
      <w:r w:rsidR="00AA4F48">
        <w:rPr>
          <w:sz w:val="24"/>
          <w:szCs w:val="24"/>
        </w:rPr>
        <w:t xml:space="preserve">regulatory capital securities </w:t>
      </w:r>
      <w:r w:rsidRPr="00972FBB">
        <w:rPr>
          <w:sz w:val="24"/>
          <w:szCs w:val="24"/>
        </w:rPr>
        <w:t>where that prospectus:</w:t>
      </w:r>
    </w:p>
    <w:p w14:paraId="5E21B1FC" w14:textId="77777777" w:rsidR="00D410AC" w:rsidRPr="00972FBB" w:rsidRDefault="00D410AC" w:rsidP="00D410AC">
      <w:pPr>
        <w:spacing w:after="0"/>
        <w:rPr>
          <w:sz w:val="24"/>
          <w:szCs w:val="24"/>
        </w:rPr>
      </w:pPr>
    </w:p>
    <w:p w14:paraId="36FE7DAF" w14:textId="32F3E12D" w:rsidR="00D410AC" w:rsidRDefault="00D410AC" w:rsidP="00D410AC">
      <w:pPr>
        <w:spacing w:after="0"/>
        <w:ind w:left="720" w:hanging="720"/>
        <w:rPr>
          <w:sz w:val="24"/>
          <w:szCs w:val="24"/>
        </w:rPr>
      </w:pPr>
      <w:r w:rsidRPr="00972FBB">
        <w:rPr>
          <w:sz w:val="24"/>
          <w:szCs w:val="24"/>
        </w:rPr>
        <w:t>(a)</w:t>
      </w:r>
      <w:r w:rsidRPr="00972FBB">
        <w:rPr>
          <w:sz w:val="24"/>
          <w:szCs w:val="24"/>
        </w:rPr>
        <w:tab/>
        <w:t xml:space="preserve">meets the requirements in s713 for the </w:t>
      </w:r>
      <w:r w:rsidR="00AA4F48">
        <w:rPr>
          <w:sz w:val="24"/>
          <w:szCs w:val="24"/>
        </w:rPr>
        <w:t xml:space="preserve">underlying securities </w:t>
      </w:r>
      <w:r w:rsidRPr="00972FBB">
        <w:rPr>
          <w:sz w:val="24"/>
          <w:szCs w:val="24"/>
        </w:rPr>
        <w:t>that will be issued on conversion</w:t>
      </w:r>
      <w:r w:rsidR="003603EB">
        <w:rPr>
          <w:sz w:val="24"/>
          <w:szCs w:val="24"/>
        </w:rPr>
        <w:t xml:space="preserve"> or exchange</w:t>
      </w:r>
      <w:r w:rsidRPr="00972FBB">
        <w:rPr>
          <w:sz w:val="24"/>
          <w:szCs w:val="24"/>
        </w:rPr>
        <w:t>; and</w:t>
      </w:r>
    </w:p>
    <w:p w14:paraId="1088AD0E" w14:textId="77777777" w:rsidR="00032140" w:rsidRPr="00972FBB" w:rsidRDefault="00032140" w:rsidP="00EA64FE">
      <w:pPr>
        <w:spacing w:after="0"/>
        <w:rPr>
          <w:sz w:val="24"/>
          <w:szCs w:val="24"/>
        </w:rPr>
      </w:pPr>
    </w:p>
    <w:p w14:paraId="5C288361" w14:textId="51124D52" w:rsidR="00D410AC" w:rsidRPr="00972FBB" w:rsidRDefault="00D410AC" w:rsidP="00D410AC">
      <w:pPr>
        <w:spacing w:after="0"/>
        <w:rPr>
          <w:sz w:val="24"/>
          <w:szCs w:val="24"/>
        </w:rPr>
      </w:pPr>
      <w:r w:rsidRPr="00972FBB">
        <w:rPr>
          <w:sz w:val="24"/>
          <w:szCs w:val="24"/>
        </w:rPr>
        <w:t>(b)</w:t>
      </w:r>
      <w:r w:rsidRPr="00972FBB">
        <w:rPr>
          <w:sz w:val="24"/>
          <w:szCs w:val="24"/>
        </w:rPr>
        <w:tab/>
        <w:t xml:space="preserve">discloses the information required by s713(2) for the </w:t>
      </w:r>
      <w:r w:rsidR="00AA4F48">
        <w:rPr>
          <w:sz w:val="24"/>
          <w:szCs w:val="24"/>
        </w:rPr>
        <w:t>regulatory capital securities</w:t>
      </w:r>
      <w:r w:rsidRPr="00972FBB">
        <w:rPr>
          <w:sz w:val="24"/>
          <w:szCs w:val="24"/>
        </w:rPr>
        <w:t>.</w:t>
      </w:r>
    </w:p>
    <w:p w14:paraId="317B2EDA" w14:textId="77777777" w:rsidR="00D410AC" w:rsidRDefault="00D410AC" w:rsidP="00D410AC">
      <w:pPr>
        <w:spacing w:after="0"/>
        <w:rPr>
          <w:sz w:val="24"/>
          <w:szCs w:val="24"/>
        </w:rPr>
      </w:pPr>
    </w:p>
    <w:p w14:paraId="2D7773CC" w14:textId="26237D96" w:rsidR="00AA4F48" w:rsidRDefault="00AA4F48" w:rsidP="00D410AC">
      <w:pPr>
        <w:spacing w:after="0"/>
        <w:rPr>
          <w:sz w:val="24"/>
          <w:szCs w:val="24"/>
        </w:rPr>
      </w:pPr>
      <w:r>
        <w:rPr>
          <w:sz w:val="24"/>
          <w:szCs w:val="24"/>
        </w:rPr>
        <w:t xml:space="preserve">The instrument </w:t>
      </w:r>
      <w:r w:rsidR="00032140">
        <w:rPr>
          <w:sz w:val="24"/>
          <w:szCs w:val="24"/>
        </w:rPr>
        <w:t xml:space="preserve">further </w:t>
      </w:r>
      <w:r>
        <w:rPr>
          <w:sz w:val="24"/>
          <w:szCs w:val="24"/>
        </w:rPr>
        <w:t>modifies s713 by inserting new subsection s713(2A), to clarify that:</w:t>
      </w:r>
    </w:p>
    <w:p w14:paraId="1AB78F64" w14:textId="77777777" w:rsidR="00AA4F48" w:rsidRDefault="00AA4F48" w:rsidP="00D410AC">
      <w:pPr>
        <w:spacing w:after="0"/>
        <w:rPr>
          <w:sz w:val="24"/>
          <w:szCs w:val="24"/>
        </w:rPr>
      </w:pPr>
    </w:p>
    <w:p w14:paraId="21EF52F1" w14:textId="520896D7" w:rsidR="00AA4F48" w:rsidRDefault="00AA4F48" w:rsidP="00972FBB">
      <w:pPr>
        <w:spacing w:after="0"/>
        <w:ind w:left="720" w:hanging="720"/>
        <w:rPr>
          <w:sz w:val="24"/>
          <w:szCs w:val="24"/>
        </w:rPr>
      </w:pPr>
      <w:r>
        <w:rPr>
          <w:sz w:val="24"/>
          <w:szCs w:val="24"/>
        </w:rPr>
        <w:t>(a)</w:t>
      </w:r>
      <w:r>
        <w:rPr>
          <w:sz w:val="24"/>
          <w:szCs w:val="24"/>
        </w:rPr>
        <w:tab/>
        <w:t>i</w:t>
      </w:r>
      <w:r w:rsidRPr="009A675D">
        <w:rPr>
          <w:sz w:val="24"/>
          <w:szCs w:val="24"/>
        </w:rPr>
        <w:t>f the issuer of</w:t>
      </w:r>
      <w:r>
        <w:rPr>
          <w:sz w:val="24"/>
          <w:szCs w:val="24"/>
        </w:rPr>
        <w:t xml:space="preserve"> the underlying securities </w:t>
      </w:r>
      <w:r w:rsidRPr="009A675D">
        <w:rPr>
          <w:sz w:val="24"/>
          <w:szCs w:val="24"/>
        </w:rPr>
        <w:t xml:space="preserve">is not the same as the issuer of the </w:t>
      </w:r>
      <w:r>
        <w:rPr>
          <w:sz w:val="24"/>
          <w:szCs w:val="24"/>
        </w:rPr>
        <w:t xml:space="preserve">regulatory capital securities </w:t>
      </w:r>
      <w:r w:rsidRPr="009A675D">
        <w:rPr>
          <w:sz w:val="24"/>
          <w:szCs w:val="24"/>
        </w:rPr>
        <w:t>(</w:t>
      </w:r>
      <w:r>
        <w:rPr>
          <w:sz w:val="24"/>
          <w:szCs w:val="24"/>
        </w:rPr>
        <w:t xml:space="preserve">for example, </w:t>
      </w:r>
      <w:r w:rsidRPr="009A675D">
        <w:rPr>
          <w:sz w:val="24"/>
          <w:szCs w:val="24"/>
        </w:rPr>
        <w:t xml:space="preserve">where the </w:t>
      </w:r>
      <w:r>
        <w:rPr>
          <w:sz w:val="24"/>
          <w:szCs w:val="24"/>
        </w:rPr>
        <w:t xml:space="preserve">regulatory capital securities are being issued by </w:t>
      </w:r>
      <w:r w:rsidRPr="009A675D">
        <w:rPr>
          <w:sz w:val="24"/>
          <w:szCs w:val="24"/>
        </w:rPr>
        <w:t xml:space="preserve">an operating subsidiary of a listed </w:t>
      </w:r>
      <w:r>
        <w:rPr>
          <w:sz w:val="24"/>
          <w:szCs w:val="24"/>
        </w:rPr>
        <w:t xml:space="preserve">non-operating </w:t>
      </w:r>
      <w:r w:rsidRPr="009A675D">
        <w:rPr>
          <w:sz w:val="24"/>
          <w:szCs w:val="24"/>
        </w:rPr>
        <w:t xml:space="preserve">holding company), the issuer of the </w:t>
      </w:r>
      <w:r>
        <w:rPr>
          <w:sz w:val="24"/>
          <w:szCs w:val="24"/>
        </w:rPr>
        <w:t xml:space="preserve">underlying securities </w:t>
      </w:r>
      <w:r w:rsidRPr="009A675D">
        <w:rPr>
          <w:sz w:val="24"/>
          <w:szCs w:val="24"/>
        </w:rPr>
        <w:t xml:space="preserve">must consent to all statements in the prospectus about that body and the </w:t>
      </w:r>
      <w:r>
        <w:rPr>
          <w:sz w:val="24"/>
          <w:szCs w:val="24"/>
        </w:rPr>
        <w:t xml:space="preserve">underlying securities; and </w:t>
      </w:r>
    </w:p>
    <w:p w14:paraId="31B765F7" w14:textId="77777777" w:rsidR="00AA4F48" w:rsidRPr="00972FBB" w:rsidRDefault="00AA4F48" w:rsidP="00D410AC">
      <w:pPr>
        <w:spacing w:after="0"/>
        <w:rPr>
          <w:sz w:val="24"/>
          <w:szCs w:val="24"/>
        </w:rPr>
      </w:pPr>
    </w:p>
    <w:p w14:paraId="19451428" w14:textId="267F0E13" w:rsidR="00D410AC" w:rsidRPr="00972FBB" w:rsidRDefault="00AA4F48" w:rsidP="00972FBB">
      <w:pPr>
        <w:spacing w:after="0"/>
        <w:ind w:left="720" w:hanging="720"/>
        <w:rPr>
          <w:sz w:val="24"/>
          <w:szCs w:val="24"/>
        </w:rPr>
      </w:pPr>
      <w:r>
        <w:rPr>
          <w:sz w:val="24"/>
          <w:szCs w:val="24"/>
        </w:rPr>
        <w:t>(b)</w:t>
      </w:r>
      <w:r>
        <w:rPr>
          <w:sz w:val="24"/>
          <w:szCs w:val="24"/>
        </w:rPr>
        <w:tab/>
        <w:t>i</w:t>
      </w:r>
      <w:r w:rsidR="00D410AC" w:rsidRPr="00972FBB">
        <w:rPr>
          <w:sz w:val="24"/>
          <w:szCs w:val="24"/>
        </w:rPr>
        <w:t xml:space="preserve">f the terms of the </w:t>
      </w:r>
      <w:r>
        <w:rPr>
          <w:sz w:val="24"/>
          <w:szCs w:val="24"/>
        </w:rPr>
        <w:t xml:space="preserve">regulatory capital securities </w:t>
      </w:r>
      <w:r w:rsidR="00D410AC" w:rsidRPr="00972FBB">
        <w:rPr>
          <w:sz w:val="24"/>
          <w:szCs w:val="24"/>
        </w:rPr>
        <w:t xml:space="preserve">contemplate the potential interposition of a non-operating holding company as the issuer of </w:t>
      </w:r>
      <w:r>
        <w:rPr>
          <w:sz w:val="24"/>
          <w:szCs w:val="24"/>
        </w:rPr>
        <w:t xml:space="preserve">underlying securities </w:t>
      </w:r>
      <w:r w:rsidR="00D410AC" w:rsidRPr="00972FBB">
        <w:rPr>
          <w:sz w:val="24"/>
          <w:szCs w:val="24"/>
        </w:rPr>
        <w:t>on conversion</w:t>
      </w:r>
      <w:r>
        <w:rPr>
          <w:sz w:val="24"/>
          <w:szCs w:val="24"/>
        </w:rPr>
        <w:t xml:space="preserve"> or exchange</w:t>
      </w:r>
      <w:r w:rsidR="00D410AC" w:rsidRPr="00972FBB">
        <w:rPr>
          <w:sz w:val="24"/>
          <w:szCs w:val="24"/>
        </w:rPr>
        <w:t xml:space="preserve">, but at the time </w:t>
      </w:r>
      <w:r>
        <w:rPr>
          <w:sz w:val="24"/>
          <w:szCs w:val="24"/>
        </w:rPr>
        <w:t xml:space="preserve">the regulatory capital securities are issued, </w:t>
      </w:r>
      <w:r w:rsidR="00D410AC" w:rsidRPr="00972FBB">
        <w:rPr>
          <w:sz w:val="24"/>
          <w:szCs w:val="24"/>
        </w:rPr>
        <w:t xml:space="preserve">no such holding company has been established, </w:t>
      </w:r>
      <w:r>
        <w:rPr>
          <w:sz w:val="24"/>
          <w:szCs w:val="24"/>
        </w:rPr>
        <w:t xml:space="preserve">the issuer of the notional underlying securities is the body that must </w:t>
      </w:r>
      <w:r w:rsidRPr="009A675D">
        <w:rPr>
          <w:sz w:val="24"/>
          <w:szCs w:val="24"/>
        </w:rPr>
        <w:t xml:space="preserve">consent to all statements in the prospectus about that body and the </w:t>
      </w:r>
      <w:r w:rsidR="00BE540B">
        <w:rPr>
          <w:sz w:val="24"/>
          <w:szCs w:val="24"/>
        </w:rPr>
        <w:t xml:space="preserve">notional </w:t>
      </w:r>
      <w:r>
        <w:rPr>
          <w:sz w:val="24"/>
          <w:szCs w:val="24"/>
        </w:rPr>
        <w:t>underlying securities</w:t>
      </w:r>
      <w:r w:rsidR="00BE540B">
        <w:rPr>
          <w:sz w:val="24"/>
          <w:szCs w:val="24"/>
        </w:rPr>
        <w:t>.</w:t>
      </w:r>
    </w:p>
    <w:p w14:paraId="769BE4E0" w14:textId="77777777" w:rsidR="00032140" w:rsidRDefault="00032140" w:rsidP="00D410AC">
      <w:pPr>
        <w:spacing w:after="0"/>
        <w:rPr>
          <w:b/>
          <w:i/>
          <w:sz w:val="24"/>
          <w:szCs w:val="24"/>
        </w:rPr>
      </w:pPr>
    </w:p>
    <w:p w14:paraId="5DC13AF5" w14:textId="129EB374" w:rsidR="00D410AC" w:rsidRPr="00EA64FE" w:rsidRDefault="00032140" w:rsidP="00D410AC">
      <w:pPr>
        <w:spacing w:after="0"/>
        <w:rPr>
          <w:b/>
          <w:i/>
          <w:sz w:val="24"/>
          <w:szCs w:val="24"/>
        </w:rPr>
      </w:pPr>
      <w:r>
        <w:rPr>
          <w:b/>
          <w:i/>
          <w:sz w:val="24"/>
          <w:szCs w:val="24"/>
        </w:rPr>
        <w:lastRenderedPageBreak/>
        <w:t>Relief to permit on-sale of underlying securities</w:t>
      </w:r>
    </w:p>
    <w:p w14:paraId="1B436143" w14:textId="77777777" w:rsidR="00032140" w:rsidRDefault="00032140" w:rsidP="00D410AC">
      <w:pPr>
        <w:spacing w:after="0"/>
        <w:rPr>
          <w:sz w:val="24"/>
          <w:szCs w:val="24"/>
        </w:rPr>
      </w:pPr>
    </w:p>
    <w:p w14:paraId="0A22F5F0" w14:textId="18EA974B" w:rsidR="00D410AC" w:rsidRDefault="00D410AC" w:rsidP="00D410AC">
      <w:pPr>
        <w:spacing w:after="0"/>
        <w:rPr>
          <w:sz w:val="24"/>
          <w:szCs w:val="24"/>
        </w:rPr>
      </w:pPr>
      <w:r w:rsidRPr="00972FBB">
        <w:rPr>
          <w:sz w:val="24"/>
          <w:szCs w:val="24"/>
        </w:rPr>
        <w:t>ASIC Corporations (Regulatory Capital Securities) Instrument 2016/71 modifies s708A</w:t>
      </w:r>
      <w:r w:rsidR="00BE540B">
        <w:rPr>
          <w:sz w:val="24"/>
          <w:szCs w:val="24"/>
        </w:rPr>
        <w:t xml:space="preserve"> by inserting new subsection s708A(12G), which </w:t>
      </w:r>
      <w:r w:rsidRPr="00972FBB">
        <w:rPr>
          <w:sz w:val="24"/>
          <w:szCs w:val="24"/>
        </w:rPr>
        <w:t>provide</w:t>
      </w:r>
      <w:r w:rsidR="00BE540B">
        <w:rPr>
          <w:sz w:val="24"/>
          <w:szCs w:val="24"/>
        </w:rPr>
        <w:t>s</w:t>
      </w:r>
      <w:r w:rsidRPr="00972FBB">
        <w:rPr>
          <w:sz w:val="24"/>
          <w:szCs w:val="24"/>
        </w:rPr>
        <w:t xml:space="preserve"> </w:t>
      </w:r>
      <w:r w:rsidR="00BE540B">
        <w:rPr>
          <w:sz w:val="24"/>
          <w:szCs w:val="24"/>
        </w:rPr>
        <w:t xml:space="preserve">on-sale relief for the underlying securities issued on conversion or exchange of regulatory capital securities, where the regulatory capital securities were issued under a prospectus, </w:t>
      </w:r>
      <w:r w:rsidRPr="00972FBB">
        <w:rPr>
          <w:sz w:val="24"/>
          <w:szCs w:val="24"/>
        </w:rPr>
        <w:t xml:space="preserve">and the conversion </w:t>
      </w:r>
      <w:r w:rsidR="00BE540B">
        <w:rPr>
          <w:sz w:val="24"/>
          <w:szCs w:val="24"/>
        </w:rPr>
        <w:t xml:space="preserve">or exchange </w:t>
      </w:r>
      <w:r w:rsidRPr="00972FBB">
        <w:rPr>
          <w:sz w:val="24"/>
          <w:szCs w:val="24"/>
        </w:rPr>
        <w:t>did not involve any further offer.</w:t>
      </w:r>
    </w:p>
    <w:p w14:paraId="1F51F4DB" w14:textId="77777777" w:rsidR="00BE540B" w:rsidRDefault="00BE540B" w:rsidP="00D410AC">
      <w:pPr>
        <w:spacing w:after="0"/>
        <w:rPr>
          <w:sz w:val="24"/>
          <w:szCs w:val="24"/>
        </w:rPr>
      </w:pPr>
    </w:p>
    <w:p w14:paraId="1EC722DD" w14:textId="17860C34" w:rsidR="00BE540B" w:rsidRDefault="00BE540B" w:rsidP="00D410AC">
      <w:pPr>
        <w:spacing w:after="0"/>
        <w:rPr>
          <w:sz w:val="24"/>
          <w:szCs w:val="24"/>
        </w:rPr>
      </w:pPr>
      <w:r>
        <w:rPr>
          <w:sz w:val="24"/>
          <w:szCs w:val="24"/>
        </w:rPr>
        <w:t>This on-sale relief is available where the regulatory capital securities were issued under either a s713 prospectus (relying on the disclosure relief provided by this instrument), or a s710 prospectus (without relying on the disclosure relief provided by this instrument).</w:t>
      </w:r>
    </w:p>
    <w:p w14:paraId="55373EC7" w14:textId="77777777" w:rsidR="00BE540B" w:rsidRDefault="00BE540B" w:rsidP="00D410AC">
      <w:pPr>
        <w:spacing w:after="0"/>
        <w:rPr>
          <w:sz w:val="24"/>
          <w:szCs w:val="24"/>
        </w:rPr>
      </w:pPr>
    </w:p>
    <w:p w14:paraId="15AC6F18" w14:textId="19A2EFF5" w:rsidR="00BE540B" w:rsidRPr="00F178A9" w:rsidRDefault="00BE540B" w:rsidP="00D410AC">
      <w:pPr>
        <w:spacing w:after="0"/>
        <w:rPr>
          <w:i/>
          <w:iCs/>
          <w:sz w:val="24"/>
          <w:szCs w:val="24"/>
          <w:u w:val="single"/>
        </w:rPr>
      </w:pPr>
      <w:r w:rsidRPr="00F178A9">
        <w:rPr>
          <w:i/>
          <w:iCs/>
          <w:sz w:val="24"/>
          <w:szCs w:val="24"/>
          <w:u w:val="single"/>
        </w:rPr>
        <w:t>Third</w:t>
      </w:r>
      <w:r w:rsidR="00F178A9">
        <w:rPr>
          <w:i/>
          <w:iCs/>
          <w:sz w:val="24"/>
          <w:szCs w:val="24"/>
          <w:u w:val="single"/>
        </w:rPr>
        <w:t>-</w:t>
      </w:r>
      <w:r w:rsidRPr="00F178A9">
        <w:rPr>
          <w:i/>
          <w:iCs/>
          <w:sz w:val="24"/>
          <w:szCs w:val="24"/>
          <w:u w:val="single"/>
        </w:rPr>
        <w:t>party acquisition scenarios</w:t>
      </w:r>
    </w:p>
    <w:p w14:paraId="740EB169" w14:textId="77777777" w:rsidR="00BE540B" w:rsidRDefault="00BE540B" w:rsidP="00D410AC">
      <w:pPr>
        <w:spacing w:after="0"/>
        <w:rPr>
          <w:sz w:val="24"/>
          <w:szCs w:val="24"/>
        </w:rPr>
      </w:pPr>
    </w:p>
    <w:p w14:paraId="35ED2B10" w14:textId="49496D49" w:rsidR="00E73870" w:rsidRDefault="00E73870" w:rsidP="00D410AC">
      <w:pPr>
        <w:spacing w:after="0"/>
        <w:rPr>
          <w:sz w:val="24"/>
          <w:szCs w:val="24"/>
        </w:rPr>
      </w:pPr>
      <w:r w:rsidRPr="009A675D">
        <w:rPr>
          <w:sz w:val="24"/>
          <w:szCs w:val="24"/>
        </w:rPr>
        <w:t xml:space="preserve">ASIC Corporations (Regulatory Capital Securities) Instrument 2016/71 </w:t>
      </w:r>
      <w:r>
        <w:rPr>
          <w:sz w:val="24"/>
          <w:szCs w:val="24"/>
        </w:rPr>
        <w:t xml:space="preserve">further </w:t>
      </w:r>
      <w:r w:rsidRPr="009A675D">
        <w:rPr>
          <w:sz w:val="24"/>
          <w:szCs w:val="24"/>
        </w:rPr>
        <w:t xml:space="preserve">modifies </w:t>
      </w:r>
      <w:r>
        <w:rPr>
          <w:sz w:val="24"/>
          <w:szCs w:val="24"/>
        </w:rPr>
        <w:t xml:space="preserve">s713 and </w:t>
      </w:r>
      <w:r w:rsidRPr="009A675D">
        <w:rPr>
          <w:sz w:val="24"/>
          <w:szCs w:val="24"/>
        </w:rPr>
        <w:t>708A</w:t>
      </w:r>
      <w:r>
        <w:rPr>
          <w:sz w:val="24"/>
          <w:szCs w:val="24"/>
        </w:rPr>
        <w:t>, by inserting new subsections s713(8) and 708A(12GA), to limit the disclosure and on-sale relief provided so that it is not available where certain third-party acquisition scenarios are contemplated.</w:t>
      </w:r>
    </w:p>
    <w:p w14:paraId="38167D4E" w14:textId="77777777" w:rsidR="00E73870" w:rsidRDefault="00E73870" w:rsidP="00D410AC">
      <w:pPr>
        <w:spacing w:after="0"/>
        <w:rPr>
          <w:sz w:val="24"/>
          <w:szCs w:val="24"/>
        </w:rPr>
      </w:pPr>
    </w:p>
    <w:p w14:paraId="7A419C86" w14:textId="24CF08FD" w:rsidR="00D410AC" w:rsidRPr="00972FBB" w:rsidRDefault="00E73870" w:rsidP="00D410AC">
      <w:pPr>
        <w:spacing w:after="0"/>
        <w:rPr>
          <w:sz w:val="24"/>
          <w:szCs w:val="24"/>
        </w:rPr>
      </w:pPr>
      <w:r>
        <w:rPr>
          <w:sz w:val="24"/>
          <w:szCs w:val="24"/>
        </w:rPr>
        <w:t>T</w:t>
      </w:r>
      <w:r w:rsidR="00D410AC" w:rsidRPr="00972FBB">
        <w:rPr>
          <w:sz w:val="24"/>
          <w:szCs w:val="24"/>
        </w:rPr>
        <w:t>h</w:t>
      </w:r>
      <w:r>
        <w:rPr>
          <w:sz w:val="24"/>
          <w:szCs w:val="24"/>
        </w:rPr>
        <w:t>e</w:t>
      </w:r>
      <w:r w:rsidR="00D410AC" w:rsidRPr="00972FBB">
        <w:rPr>
          <w:sz w:val="24"/>
          <w:szCs w:val="24"/>
        </w:rPr>
        <w:t xml:space="preserve"> </w:t>
      </w:r>
      <w:r>
        <w:rPr>
          <w:sz w:val="24"/>
          <w:szCs w:val="24"/>
        </w:rPr>
        <w:t xml:space="preserve">transaction-specific </w:t>
      </w:r>
      <w:r w:rsidR="00D410AC" w:rsidRPr="00972FBB">
        <w:rPr>
          <w:sz w:val="24"/>
          <w:szCs w:val="24"/>
        </w:rPr>
        <w:t xml:space="preserve">disclosure and on-sale relief for </w:t>
      </w:r>
      <w:r>
        <w:rPr>
          <w:sz w:val="24"/>
          <w:szCs w:val="24"/>
        </w:rPr>
        <w:t>offers of regulatory capital securities under a prospectus does not apply where t</w:t>
      </w:r>
      <w:r w:rsidR="00D410AC" w:rsidRPr="00972FBB">
        <w:rPr>
          <w:sz w:val="24"/>
          <w:szCs w:val="24"/>
        </w:rPr>
        <w:t xml:space="preserve">he terms of the </w:t>
      </w:r>
      <w:r>
        <w:rPr>
          <w:sz w:val="24"/>
          <w:szCs w:val="24"/>
        </w:rPr>
        <w:t xml:space="preserve">regulatory capital securities </w:t>
      </w:r>
      <w:r w:rsidR="00D410AC" w:rsidRPr="00972FBB">
        <w:rPr>
          <w:sz w:val="24"/>
          <w:szCs w:val="24"/>
        </w:rPr>
        <w:t xml:space="preserve">permit, following a change of control involving a third-party acquirer, that third-party acquirer being substituted as the issuer of </w:t>
      </w:r>
      <w:r>
        <w:rPr>
          <w:sz w:val="24"/>
          <w:szCs w:val="24"/>
        </w:rPr>
        <w:t xml:space="preserve">underlying securities </w:t>
      </w:r>
      <w:r w:rsidR="00D410AC" w:rsidRPr="00972FBB">
        <w:rPr>
          <w:sz w:val="24"/>
          <w:szCs w:val="24"/>
        </w:rPr>
        <w:t xml:space="preserve">on conversion or exchange of the </w:t>
      </w:r>
      <w:r>
        <w:rPr>
          <w:sz w:val="24"/>
          <w:szCs w:val="24"/>
        </w:rPr>
        <w:t>regulatory capital securities</w:t>
      </w:r>
      <w:r w:rsidR="00D410AC" w:rsidRPr="00972FBB">
        <w:rPr>
          <w:sz w:val="24"/>
          <w:szCs w:val="24"/>
        </w:rPr>
        <w:t>: s713(8)</w:t>
      </w:r>
      <w:r>
        <w:rPr>
          <w:sz w:val="24"/>
          <w:szCs w:val="24"/>
        </w:rPr>
        <w:t xml:space="preserve"> and </w:t>
      </w:r>
      <w:r w:rsidRPr="009A675D">
        <w:rPr>
          <w:sz w:val="24"/>
          <w:szCs w:val="24"/>
        </w:rPr>
        <w:t>708A(12GA)</w:t>
      </w:r>
      <w:r w:rsidR="00D410AC" w:rsidRPr="00972FBB">
        <w:rPr>
          <w:sz w:val="24"/>
          <w:szCs w:val="24"/>
        </w:rPr>
        <w:t>.</w:t>
      </w:r>
    </w:p>
    <w:p w14:paraId="6592220C" w14:textId="77777777" w:rsidR="00D410AC" w:rsidRDefault="00D410AC" w:rsidP="00D410AC">
      <w:pPr>
        <w:spacing w:after="0"/>
        <w:rPr>
          <w:sz w:val="24"/>
          <w:szCs w:val="24"/>
        </w:rPr>
      </w:pPr>
    </w:p>
    <w:p w14:paraId="1CE0DC0E" w14:textId="233EA0DF" w:rsidR="00EC5C51" w:rsidRDefault="00DE5925" w:rsidP="00D410AC">
      <w:pPr>
        <w:spacing w:after="0"/>
        <w:rPr>
          <w:sz w:val="24"/>
          <w:szCs w:val="24"/>
        </w:rPr>
      </w:pPr>
      <w:r>
        <w:rPr>
          <w:sz w:val="24"/>
          <w:szCs w:val="24"/>
        </w:rPr>
        <w:t>More specifically, w</w:t>
      </w:r>
      <w:r w:rsidR="00E73870">
        <w:rPr>
          <w:sz w:val="24"/>
          <w:szCs w:val="24"/>
        </w:rPr>
        <w:t xml:space="preserve">hile </w:t>
      </w:r>
      <w:r w:rsidR="00032140">
        <w:rPr>
          <w:sz w:val="24"/>
          <w:szCs w:val="24"/>
        </w:rPr>
        <w:t>a ‘</w:t>
      </w:r>
      <w:r w:rsidR="00E73870">
        <w:rPr>
          <w:sz w:val="24"/>
          <w:szCs w:val="24"/>
        </w:rPr>
        <w:t>third-party acquisition scenario</w:t>
      </w:r>
      <w:r w:rsidR="00032140">
        <w:rPr>
          <w:sz w:val="24"/>
          <w:szCs w:val="24"/>
        </w:rPr>
        <w:t>’</w:t>
      </w:r>
      <w:r w:rsidR="00E73870">
        <w:rPr>
          <w:sz w:val="24"/>
          <w:szCs w:val="24"/>
        </w:rPr>
        <w:t xml:space="preserve"> is not specifically defined in the instrument, s713(8) and 708A(12GA) disapply the relief in s713 and 708A(12G) where</w:t>
      </w:r>
      <w:r>
        <w:rPr>
          <w:sz w:val="24"/>
          <w:szCs w:val="24"/>
        </w:rPr>
        <w:t xml:space="preserve"> the terms of the regulatory capital securities permit the issuer of the underlying securities to be substituted for another entity, where that substitution is the result of a restructure (however described) </w:t>
      </w:r>
      <w:r w:rsidRPr="00972FBB">
        <w:rPr>
          <w:i/>
          <w:sz w:val="24"/>
          <w:szCs w:val="24"/>
        </w:rPr>
        <w:t>initiated by persons other than the directors</w:t>
      </w:r>
      <w:r>
        <w:rPr>
          <w:sz w:val="24"/>
          <w:szCs w:val="24"/>
        </w:rPr>
        <w:t xml:space="preserve"> of the issuer of the regulatory capital securities or the ultimate holding company of the issuer.</w:t>
      </w:r>
      <w:r w:rsidR="00EC5C51">
        <w:rPr>
          <w:sz w:val="24"/>
          <w:szCs w:val="24"/>
        </w:rPr>
        <w:t xml:space="preserve"> </w:t>
      </w:r>
    </w:p>
    <w:p w14:paraId="74E5BC6E" w14:textId="77777777" w:rsidR="00EC5C51" w:rsidRDefault="00EC5C51" w:rsidP="00D410AC">
      <w:pPr>
        <w:spacing w:after="0"/>
        <w:rPr>
          <w:sz w:val="24"/>
          <w:szCs w:val="24"/>
        </w:rPr>
      </w:pPr>
    </w:p>
    <w:p w14:paraId="03A8993C" w14:textId="2E1F795B" w:rsidR="00EC5C51" w:rsidRDefault="00032140" w:rsidP="00D410AC">
      <w:pPr>
        <w:spacing w:after="0"/>
        <w:rPr>
          <w:sz w:val="24"/>
          <w:szCs w:val="24"/>
        </w:rPr>
      </w:pPr>
      <w:r>
        <w:rPr>
          <w:sz w:val="24"/>
          <w:szCs w:val="24"/>
        </w:rPr>
        <w:t>Subsections</w:t>
      </w:r>
      <w:r w:rsidR="00EC5C51">
        <w:rPr>
          <w:sz w:val="24"/>
          <w:szCs w:val="24"/>
        </w:rPr>
        <w:t xml:space="preserve"> 713(8) and 708A(12GA) </w:t>
      </w:r>
      <w:r>
        <w:rPr>
          <w:sz w:val="24"/>
          <w:szCs w:val="24"/>
        </w:rPr>
        <w:t xml:space="preserve">are </w:t>
      </w:r>
      <w:r w:rsidR="00EC5C51">
        <w:rPr>
          <w:sz w:val="24"/>
          <w:szCs w:val="24"/>
        </w:rPr>
        <w:t>intended to accommodate, to the extent possible, the terms of many regulatory capital securities which typically:</w:t>
      </w:r>
    </w:p>
    <w:p w14:paraId="2AC74F44" w14:textId="77777777" w:rsidR="00EC5C51" w:rsidRDefault="00EC5C51" w:rsidP="00D410AC">
      <w:pPr>
        <w:spacing w:after="0"/>
        <w:rPr>
          <w:sz w:val="24"/>
          <w:szCs w:val="24"/>
        </w:rPr>
      </w:pPr>
    </w:p>
    <w:p w14:paraId="2F58558F" w14:textId="5126DEC4" w:rsidR="00EC5C51" w:rsidRDefault="00EC5C51" w:rsidP="00972FBB">
      <w:pPr>
        <w:spacing w:after="0"/>
        <w:ind w:left="720" w:hanging="720"/>
        <w:rPr>
          <w:sz w:val="24"/>
          <w:szCs w:val="24"/>
        </w:rPr>
      </w:pPr>
      <w:r>
        <w:rPr>
          <w:sz w:val="24"/>
          <w:szCs w:val="24"/>
        </w:rPr>
        <w:t>(a)</w:t>
      </w:r>
      <w:r>
        <w:rPr>
          <w:sz w:val="24"/>
          <w:szCs w:val="24"/>
        </w:rPr>
        <w:tab/>
        <w:t xml:space="preserve">define a broad </w:t>
      </w:r>
      <w:r w:rsidR="00EA64FE">
        <w:rPr>
          <w:sz w:val="24"/>
          <w:szCs w:val="24"/>
        </w:rPr>
        <w:t>‘</w:t>
      </w:r>
      <w:r>
        <w:rPr>
          <w:sz w:val="24"/>
          <w:szCs w:val="24"/>
        </w:rPr>
        <w:t>change of control event</w:t>
      </w:r>
      <w:r w:rsidR="00EA64FE">
        <w:rPr>
          <w:sz w:val="24"/>
          <w:szCs w:val="24"/>
        </w:rPr>
        <w:t>’</w:t>
      </w:r>
      <w:r>
        <w:rPr>
          <w:sz w:val="24"/>
          <w:szCs w:val="24"/>
        </w:rPr>
        <w:t xml:space="preserve"> (which will trigger a conversion or exchange of the regulatory capital securities, so that holders may participate in any control transaction as holders of the underlying securities); and</w:t>
      </w:r>
    </w:p>
    <w:p w14:paraId="592AAE53" w14:textId="77777777" w:rsidR="00EC5C51" w:rsidRDefault="00EC5C51" w:rsidP="00972FBB">
      <w:pPr>
        <w:spacing w:after="0"/>
        <w:ind w:left="720" w:hanging="720"/>
        <w:rPr>
          <w:sz w:val="24"/>
          <w:szCs w:val="24"/>
        </w:rPr>
      </w:pPr>
    </w:p>
    <w:p w14:paraId="3AFFE48F" w14:textId="02C24A17" w:rsidR="00EC5C51" w:rsidRDefault="00EC5C51" w:rsidP="00972FBB">
      <w:pPr>
        <w:spacing w:after="0"/>
        <w:ind w:left="720" w:hanging="720"/>
        <w:rPr>
          <w:sz w:val="24"/>
          <w:szCs w:val="24"/>
        </w:rPr>
      </w:pPr>
      <w:r>
        <w:rPr>
          <w:sz w:val="24"/>
          <w:szCs w:val="24"/>
        </w:rPr>
        <w:t>(b)</w:t>
      </w:r>
      <w:r>
        <w:rPr>
          <w:sz w:val="24"/>
          <w:szCs w:val="24"/>
        </w:rPr>
        <w:tab/>
        <w:t xml:space="preserve">carve-out from this definition—by reference to whether or not the change of control event was </w:t>
      </w:r>
      <w:r>
        <w:rPr>
          <w:i/>
          <w:sz w:val="24"/>
          <w:szCs w:val="24"/>
        </w:rPr>
        <w:t>initiated by the directors</w:t>
      </w:r>
      <w:r w:rsidR="003603EB">
        <w:rPr>
          <w:sz w:val="24"/>
          <w:szCs w:val="24"/>
        </w:rPr>
        <w:t>—</w:t>
      </w:r>
      <w:r>
        <w:rPr>
          <w:sz w:val="24"/>
          <w:szCs w:val="24"/>
        </w:rPr>
        <w:t xml:space="preserve"> a </w:t>
      </w:r>
      <w:r w:rsidR="00032140">
        <w:rPr>
          <w:sz w:val="24"/>
          <w:szCs w:val="24"/>
        </w:rPr>
        <w:t>‘</w:t>
      </w:r>
      <w:r>
        <w:rPr>
          <w:sz w:val="24"/>
          <w:szCs w:val="24"/>
        </w:rPr>
        <w:t>NOHC event</w:t>
      </w:r>
      <w:r w:rsidR="00032140">
        <w:rPr>
          <w:sz w:val="24"/>
          <w:szCs w:val="24"/>
        </w:rPr>
        <w:t>’</w:t>
      </w:r>
      <w:r>
        <w:rPr>
          <w:sz w:val="24"/>
          <w:szCs w:val="24"/>
        </w:rPr>
        <w:t xml:space="preserve"> which relates to the potential interposition of a non-operating holding company</w:t>
      </w:r>
      <w:r w:rsidR="00EA64FE">
        <w:rPr>
          <w:sz w:val="24"/>
          <w:szCs w:val="24"/>
        </w:rPr>
        <w:t xml:space="preserve"> </w:t>
      </w:r>
      <w:r w:rsidR="003603EB">
        <w:rPr>
          <w:sz w:val="24"/>
          <w:szCs w:val="24"/>
        </w:rPr>
        <w:t>(but which does not result in the transfer of control to a third party).</w:t>
      </w:r>
    </w:p>
    <w:p w14:paraId="67E5605D" w14:textId="77777777" w:rsidR="00EC5C51" w:rsidRDefault="00EC5C51" w:rsidP="00D410AC">
      <w:pPr>
        <w:spacing w:after="0"/>
        <w:rPr>
          <w:sz w:val="24"/>
          <w:szCs w:val="24"/>
        </w:rPr>
      </w:pPr>
    </w:p>
    <w:p w14:paraId="421EC48E" w14:textId="50F018CA" w:rsidR="00D410AC" w:rsidRPr="00972FBB" w:rsidRDefault="00D410AC" w:rsidP="00D410AC">
      <w:pPr>
        <w:spacing w:after="0"/>
        <w:rPr>
          <w:b/>
          <w:i/>
          <w:sz w:val="24"/>
          <w:szCs w:val="24"/>
        </w:rPr>
      </w:pPr>
      <w:r w:rsidRPr="00972FBB">
        <w:rPr>
          <w:b/>
          <w:i/>
          <w:sz w:val="24"/>
          <w:szCs w:val="24"/>
        </w:rPr>
        <w:t xml:space="preserve">On-sale relief for offers of </w:t>
      </w:r>
      <w:r w:rsidR="003603EB">
        <w:rPr>
          <w:b/>
          <w:i/>
          <w:sz w:val="24"/>
          <w:szCs w:val="24"/>
        </w:rPr>
        <w:t xml:space="preserve">regulatory capital securities </w:t>
      </w:r>
      <w:r w:rsidRPr="00972FBB">
        <w:rPr>
          <w:b/>
          <w:i/>
          <w:sz w:val="24"/>
          <w:szCs w:val="24"/>
        </w:rPr>
        <w:t xml:space="preserve">made without prospectus disclosure </w:t>
      </w:r>
    </w:p>
    <w:p w14:paraId="32311A93" w14:textId="77777777" w:rsidR="00D410AC" w:rsidRPr="00972FBB" w:rsidRDefault="00D410AC" w:rsidP="00D410AC">
      <w:pPr>
        <w:spacing w:after="0"/>
        <w:rPr>
          <w:sz w:val="24"/>
          <w:szCs w:val="24"/>
        </w:rPr>
      </w:pPr>
    </w:p>
    <w:p w14:paraId="31674970" w14:textId="4A7F4439" w:rsidR="00D410AC" w:rsidRPr="00972FBB" w:rsidRDefault="00D410AC" w:rsidP="00D410AC">
      <w:pPr>
        <w:spacing w:after="0"/>
        <w:rPr>
          <w:sz w:val="24"/>
          <w:szCs w:val="24"/>
        </w:rPr>
      </w:pPr>
      <w:r w:rsidRPr="00972FBB">
        <w:rPr>
          <w:sz w:val="24"/>
          <w:szCs w:val="24"/>
        </w:rPr>
        <w:t>ASIC Corporations (Regulatory Capital Securities) Instrument 2016/71 further modifies s708A</w:t>
      </w:r>
      <w:r w:rsidR="003603EB">
        <w:rPr>
          <w:sz w:val="24"/>
          <w:szCs w:val="24"/>
        </w:rPr>
        <w:t xml:space="preserve"> by inserting s708A(12H) and (12I)</w:t>
      </w:r>
      <w:r w:rsidRPr="00972FBB">
        <w:rPr>
          <w:sz w:val="24"/>
          <w:szCs w:val="24"/>
        </w:rPr>
        <w:t xml:space="preserve">, to provide relief to facilitate the use of an enhanced cleansing notice for offers of </w:t>
      </w:r>
      <w:r w:rsidR="003603EB">
        <w:rPr>
          <w:sz w:val="24"/>
          <w:szCs w:val="24"/>
        </w:rPr>
        <w:t xml:space="preserve">regulatory capital securities </w:t>
      </w:r>
      <w:r w:rsidRPr="00972FBB">
        <w:rPr>
          <w:sz w:val="24"/>
          <w:szCs w:val="24"/>
        </w:rPr>
        <w:t xml:space="preserve">made without prospectus </w:t>
      </w:r>
      <w:r w:rsidRPr="00972FBB">
        <w:rPr>
          <w:sz w:val="24"/>
          <w:szCs w:val="24"/>
        </w:rPr>
        <w:lastRenderedPageBreak/>
        <w:t>disclosure</w:t>
      </w:r>
      <w:r w:rsidR="00032140">
        <w:rPr>
          <w:sz w:val="24"/>
          <w:szCs w:val="24"/>
        </w:rPr>
        <w:t xml:space="preserve"> (for example, where offers are made </w:t>
      </w:r>
      <w:r w:rsidR="00EA64FE">
        <w:rPr>
          <w:sz w:val="24"/>
          <w:szCs w:val="24"/>
        </w:rPr>
        <w:t xml:space="preserve">only </w:t>
      </w:r>
      <w:r w:rsidR="00032140">
        <w:rPr>
          <w:sz w:val="24"/>
          <w:szCs w:val="24"/>
        </w:rPr>
        <w:t>to wholesale investors)</w:t>
      </w:r>
      <w:r w:rsidRPr="00972FBB">
        <w:rPr>
          <w:sz w:val="24"/>
          <w:szCs w:val="24"/>
        </w:rPr>
        <w:t>, to permit the subsequent on-sale of the underlying securities issued on conversion</w:t>
      </w:r>
      <w:r w:rsidR="003603EB">
        <w:rPr>
          <w:sz w:val="24"/>
          <w:szCs w:val="24"/>
        </w:rPr>
        <w:t xml:space="preserve"> or exchange</w:t>
      </w:r>
      <w:r w:rsidRPr="00972FBB">
        <w:rPr>
          <w:sz w:val="24"/>
          <w:szCs w:val="24"/>
        </w:rPr>
        <w:t xml:space="preserve">. </w:t>
      </w:r>
    </w:p>
    <w:p w14:paraId="20D548AE" w14:textId="77777777" w:rsidR="00D410AC" w:rsidRPr="00972FBB" w:rsidRDefault="00D410AC" w:rsidP="00D410AC">
      <w:pPr>
        <w:spacing w:after="0"/>
        <w:rPr>
          <w:sz w:val="24"/>
          <w:szCs w:val="24"/>
        </w:rPr>
      </w:pPr>
    </w:p>
    <w:p w14:paraId="62791CF6" w14:textId="3B63D954" w:rsidR="00D410AC" w:rsidRPr="00972FBB" w:rsidRDefault="003603EB" w:rsidP="00D410AC">
      <w:pPr>
        <w:spacing w:after="0"/>
        <w:rPr>
          <w:sz w:val="24"/>
          <w:szCs w:val="24"/>
        </w:rPr>
      </w:pPr>
      <w:r>
        <w:rPr>
          <w:sz w:val="24"/>
          <w:szCs w:val="24"/>
        </w:rPr>
        <w:t>Under new s708A(12I)(a)</w:t>
      </w:r>
      <w:r w:rsidR="008F2595">
        <w:rPr>
          <w:sz w:val="24"/>
          <w:szCs w:val="24"/>
        </w:rPr>
        <w:t xml:space="preserve"> and (b)</w:t>
      </w:r>
      <w:r>
        <w:rPr>
          <w:sz w:val="24"/>
          <w:szCs w:val="24"/>
        </w:rPr>
        <w:t>, t</w:t>
      </w:r>
      <w:r w:rsidR="00D410AC" w:rsidRPr="00972FBB">
        <w:rPr>
          <w:sz w:val="24"/>
          <w:szCs w:val="24"/>
        </w:rPr>
        <w:t>he notice must:</w:t>
      </w:r>
    </w:p>
    <w:p w14:paraId="3151F56E" w14:textId="77777777" w:rsidR="00D410AC" w:rsidRPr="00972FBB" w:rsidRDefault="00D410AC" w:rsidP="00D410AC">
      <w:pPr>
        <w:spacing w:after="0"/>
        <w:rPr>
          <w:sz w:val="24"/>
          <w:szCs w:val="24"/>
        </w:rPr>
      </w:pPr>
    </w:p>
    <w:p w14:paraId="5B58E9F3" w14:textId="75FAAF1D" w:rsidR="00D410AC" w:rsidRPr="00972FBB" w:rsidRDefault="00D410AC" w:rsidP="00D410AC">
      <w:pPr>
        <w:spacing w:after="0"/>
        <w:ind w:left="720" w:hanging="720"/>
        <w:rPr>
          <w:sz w:val="24"/>
          <w:szCs w:val="24"/>
        </w:rPr>
      </w:pPr>
      <w:r w:rsidRPr="00972FBB">
        <w:rPr>
          <w:sz w:val="24"/>
          <w:szCs w:val="24"/>
        </w:rPr>
        <w:t>(a)</w:t>
      </w:r>
      <w:r w:rsidRPr="00972FBB">
        <w:rPr>
          <w:sz w:val="24"/>
          <w:szCs w:val="24"/>
        </w:rPr>
        <w:tab/>
      </w:r>
      <w:r w:rsidR="008F2595">
        <w:rPr>
          <w:sz w:val="24"/>
          <w:szCs w:val="24"/>
        </w:rPr>
        <w:t xml:space="preserve">contain </w:t>
      </w:r>
      <w:r w:rsidRPr="00972FBB">
        <w:rPr>
          <w:sz w:val="24"/>
          <w:szCs w:val="24"/>
        </w:rPr>
        <w:t xml:space="preserve">the information required by s713(2)–(5) for the </w:t>
      </w:r>
      <w:r w:rsidR="003603EB">
        <w:rPr>
          <w:sz w:val="24"/>
          <w:szCs w:val="24"/>
        </w:rPr>
        <w:t xml:space="preserve">underlying securities </w:t>
      </w:r>
      <w:r w:rsidRPr="00972FBB">
        <w:rPr>
          <w:sz w:val="24"/>
          <w:szCs w:val="24"/>
        </w:rPr>
        <w:t>that will be issued on conversion</w:t>
      </w:r>
      <w:r w:rsidR="003603EB">
        <w:rPr>
          <w:sz w:val="24"/>
          <w:szCs w:val="24"/>
        </w:rPr>
        <w:t xml:space="preserve"> or exchange</w:t>
      </w:r>
      <w:r w:rsidRPr="00972FBB">
        <w:rPr>
          <w:sz w:val="24"/>
          <w:szCs w:val="24"/>
        </w:rPr>
        <w:t xml:space="preserve">; </w:t>
      </w:r>
    </w:p>
    <w:p w14:paraId="00D83BF0" w14:textId="77777777" w:rsidR="008F2595" w:rsidRDefault="008F2595" w:rsidP="00D410AC">
      <w:pPr>
        <w:spacing w:after="0"/>
        <w:rPr>
          <w:sz w:val="24"/>
          <w:szCs w:val="24"/>
        </w:rPr>
      </w:pPr>
    </w:p>
    <w:p w14:paraId="39778F90" w14:textId="2D1CD350" w:rsidR="008F2595" w:rsidRDefault="00D410AC" w:rsidP="00D410AC">
      <w:pPr>
        <w:spacing w:after="0"/>
        <w:rPr>
          <w:sz w:val="24"/>
          <w:szCs w:val="24"/>
        </w:rPr>
      </w:pPr>
      <w:r w:rsidRPr="00972FBB">
        <w:rPr>
          <w:sz w:val="24"/>
          <w:szCs w:val="24"/>
        </w:rPr>
        <w:t>(b)</w:t>
      </w:r>
      <w:r w:rsidRPr="00972FBB">
        <w:rPr>
          <w:sz w:val="24"/>
          <w:szCs w:val="24"/>
        </w:rPr>
        <w:tab/>
      </w:r>
      <w:r w:rsidR="008F2595">
        <w:rPr>
          <w:sz w:val="24"/>
          <w:szCs w:val="24"/>
        </w:rPr>
        <w:t xml:space="preserve">contain </w:t>
      </w:r>
      <w:r w:rsidRPr="00972FBB">
        <w:rPr>
          <w:sz w:val="24"/>
          <w:szCs w:val="24"/>
        </w:rPr>
        <w:t xml:space="preserve">the information required by s713(2) for the </w:t>
      </w:r>
      <w:r w:rsidR="003603EB">
        <w:rPr>
          <w:sz w:val="24"/>
          <w:szCs w:val="24"/>
        </w:rPr>
        <w:t>regulatory capital securities</w:t>
      </w:r>
      <w:r w:rsidR="008F2595">
        <w:rPr>
          <w:sz w:val="24"/>
          <w:szCs w:val="24"/>
        </w:rPr>
        <w:t>; and</w:t>
      </w:r>
    </w:p>
    <w:p w14:paraId="063A6DE2" w14:textId="77777777" w:rsidR="008F2595" w:rsidRDefault="008F2595" w:rsidP="00D410AC">
      <w:pPr>
        <w:spacing w:after="0"/>
        <w:rPr>
          <w:sz w:val="24"/>
          <w:szCs w:val="24"/>
        </w:rPr>
      </w:pPr>
    </w:p>
    <w:p w14:paraId="529C425F" w14:textId="2E3D4DA3" w:rsidR="008F2595" w:rsidRDefault="008F2595" w:rsidP="00D410AC">
      <w:pPr>
        <w:spacing w:after="0"/>
        <w:rPr>
          <w:sz w:val="24"/>
          <w:szCs w:val="24"/>
        </w:rPr>
      </w:pPr>
      <w:r>
        <w:rPr>
          <w:sz w:val="24"/>
          <w:szCs w:val="24"/>
        </w:rPr>
        <w:t>(c)</w:t>
      </w:r>
      <w:r>
        <w:rPr>
          <w:sz w:val="24"/>
          <w:szCs w:val="24"/>
        </w:rPr>
        <w:tab/>
        <w:t>be worded and presented in a clear, concise and effective manner.</w:t>
      </w:r>
    </w:p>
    <w:p w14:paraId="7D13EE48" w14:textId="42A42120" w:rsidR="00D410AC" w:rsidRPr="00972FBB" w:rsidRDefault="00D410AC" w:rsidP="00D410AC">
      <w:pPr>
        <w:spacing w:after="0"/>
        <w:rPr>
          <w:sz w:val="24"/>
          <w:szCs w:val="24"/>
        </w:rPr>
      </w:pPr>
    </w:p>
    <w:p w14:paraId="00A94CA7" w14:textId="3D8BBDC7" w:rsidR="00D410AC" w:rsidRPr="00972FBB" w:rsidRDefault="003603EB" w:rsidP="00D410AC">
      <w:pPr>
        <w:spacing w:after="0"/>
        <w:rPr>
          <w:sz w:val="24"/>
          <w:szCs w:val="24"/>
        </w:rPr>
      </w:pPr>
      <w:r>
        <w:rPr>
          <w:sz w:val="24"/>
          <w:szCs w:val="24"/>
        </w:rPr>
        <w:t>Under new s708A(12H)(e), w</w:t>
      </w:r>
      <w:r w:rsidR="00D410AC" w:rsidRPr="00972FBB">
        <w:rPr>
          <w:sz w:val="24"/>
          <w:szCs w:val="24"/>
        </w:rPr>
        <w:t xml:space="preserve">here the issuer of the </w:t>
      </w:r>
      <w:r>
        <w:rPr>
          <w:sz w:val="24"/>
          <w:szCs w:val="24"/>
        </w:rPr>
        <w:t xml:space="preserve">underlying securities </w:t>
      </w:r>
      <w:r w:rsidR="00D410AC" w:rsidRPr="00972FBB">
        <w:rPr>
          <w:sz w:val="24"/>
          <w:szCs w:val="24"/>
        </w:rPr>
        <w:t>is:</w:t>
      </w:r>
    </w:p>
    <w:p w14:paraId="5DCCB398" w14:textId="77777777" w:rsidR="00D410AC" w:rsidRPr="00972FBB" w:rsidRDefault="00D410AC" w:rsidP="00D410AC">
      <w:pPr>
        <w:spacing w:after="0"/>
        <w:rPr>
          <w:sz w:val="24"/>
          <w:szCs w:val="24"/>
        </w:rPr>
      </w:pPr>
    </w:p>
    <w:p w14:paraId="79EE45F5" w14:textId="16FF799D" w:rsidR="00D410AC" w:rsidRPr="00972FBB" w:rsidRDefault="00D410AC" w:rsidP="00D410AC">
      <w:pPr>
        <w:spacing w:after="0"/>
        <w:ind w:left="720" w:hanging="720"/>
        <w:rPr>
          <w:sz w:val="24"/>
          <w:szCs w:val="24"/>
        </w:rPr>
      </w:pPr>
      <w:r w:rsidRPr="00972FBB">
        <w:rPr>
          <w:sz w:val="24"/>
          <w:szCs w:val="24"/>
        </w:rPr>
        <w:t>(a)</w:t>
      </w:r>
      <w:r w:rsidRPr="00972FBB">
        <w:rPr>
          <w:sz w:val="24"/>
          <w:szCs w:val="24"/>
        </w:rPr>
        <w:tab/>
        <w:t xml:space="preserve">the same as the issuer of the </w:t>
      </w:r>
      <w:r w:rsidR="003603EB">
        <w:rPr>
          <w:sz w:val="24"/>
          <w:szCs w:val="24"/>
        </w:rPr>
        <w:t>underlying securities</w:t>
      </w:r>
      <w:r w:rsidRPr="00972FBB">
        <w:rPr>
          <w:sz w:val="24"/>
          <w:szCs w:val="24"/>
        </w:rPr>
        <w:t xml:space="preserve">, the notice must be given to the relevant market operator for the issuer of the </w:t>
      </w:r>
      <w:r w:rsidR="003603EB">
        <w:rPr>
          <w:sz w:val="24"/>
          <w:szCs w:val="24"/>
        </w:rPr>
        <w:t>regulatory capital securities</w:t>
      </w:r>
      <w:r w:rsidRPr="00972FBB">
        <w:rPr>
          <w:sz w:val="24"/>
          <w:szCs w:val="24"/>
        </w:rPr>
        <w:t>; and</w:t>
      </w:r>
    </w:p>
    <w:p w14:paraId="425B6706" w14:textId="77777777" w:rsidR="003603EB" w:rsidRDefault="003603EB" w:rsidP="00D410AC">
      <w:pPr>
        <w:spacing w:after="0"/>
        <w:ind w:left="720" w:hanging="720"/>
        <w:rPr>
          <w:sz w:val="24"/>
          <w:szCs w:val="24"/>
        </w:rPr>
      </w:pPr>
    </w:p>
    <w:p w14:paraId="44FEB70D" w14:textId="40A9683E" w:rsidR="00D410AC" w:rsidRPr="00972FBB" w:rsidRDefault="00D410AC" w:rsidP="00D410AC">
      <w:pPr>
        <w:spacing w:after="0"/>
        <w:ind w:left="720" w:hanging="720"/>
        <w:rPr>
          <w:sz w:val="24"/>
          <w:szCs w:val="24"/>
        </w:rPr>
      </w:pPr>
      <w:r w:rsidRPr="00972FBB">
        <w:rPr>
          <w:sz w:val="24"/>
          <w:szCs w:val="24"/>
        </w:rPr>
        <w:t>(b)</w:t>
      </w:r>
      <w:r w:rsidRPr="00972FBB">
        <w:rPr>
          <w:sz w:val="24"/>
          <w:szCs w:val="24"/>
        </w:rPr>
        <w:tab/>
        <w:t xml:space="preserve">not the same as the issuer of the </w:t>
      </w:r>
      <w:r w:rsidR="003603EB">
        <w:rPr>
          <w:sz w:val="24"/>
          <w:szCs w:val="24"/>
        </w:rPr>
        <w:t xml:space="preserve">regulatory capital securities </w:t>
      </w:r>
      <w:r w:rsidRPr="00972FBB">
        <w:rPr>
          <w:sz w:val="24"/>
          <w:szCs w:val="24"/>
        </w:rPr>
        <w:t>(</w:t>
      </w:r>
      <w:r w:rsidR="003603EB">
        <w:rPr>
          <w:sz w:val="24"/>
          <w:szCs w:val="24"/>
        </w:rPr>
        <w:t xml:space="preserve">for example, </w:t>
      </w:r>
      <w:r w:rsidRPr="00972FBB">
        <w:rPr>
          <w:sz w:val="24"/>
          <w:szCs w:val="24"/>
        </w:rPr>
        <w:t xml:space="preserve">where the </w:t>
      </w:r>
      <w:r w:rsidR="003603EB">
        <w:rPr>
          <w:sz w:val="24"/>
          <w:szCs w:val="24"/>
        </w:rPr>
        <w:t xml:space="preserve">regulatory capital securities are being </w:t>
      </w:r>
      <w:r w:rsidRPr="00972FBB">
        <w:rPr>
          <w:sz w:val="24"/>
          <w:szCs w:val="24"/>
        </w:rPr>
        <w:t xml:space="preserve">issued by an operating subsidiary of a listed </w:t>
      </w:r>
      <w:r w:rsidR="003603EB">
        <w:rPr>
          <w:sz w:val="24"/>
          <w:szCs w:val="24"/>
        </w:rPr>
        <w:t xml:space="preserve">non-operating </w:t>
      </w:r>
      <w:r w:rsidRPr="00972FBB">
        <w:rPr>
          <w:sz w:val="24"/>
          <w:szCs w:val="24"/>
        </w:rPr>
        <w:t xml:space="preserve">holding company), the notice must be given jointly by the issuer of the </w:t>
      </w:r>
      <w:r w:rsidR="003603EB">
        <w:rPr>
          <w:sz w:val="24"/>
          <w:szCs w:val="24"/>
        </w:rPr>
        <w:t xml:space="preserve">notional underlying securities </w:t>
      </w:r>
      <w:r w:rsidRPr="00972FBB">
        <w:rPr>
          <w:sz w:val="24"/>
          <w:szCs w:val="24"/>
        </w:rPr>
        <w:t xml:space="preserve">and the issuer of the </w:t>
      </w:r>
      <w:r w:rsidR="003603EB">
        <w:rPr>
          <w:sz w:val="24"/>
          <w:szCs w:val="24"/>
        </w:rPr>
        <w:t xml:space="preserve">regulatory capital securities </w:t>
      </w:r>
      <w:r w:rsidRPr="00972FBB">
        <w:rPr>
          <w:sz w:val="24"/>
          <w:szCs w:val="24"/>
        </w:rPr>
        <w:t xml:space="preserve">to the relevant market operator for the issuer of the </w:t>
      </w:r>
      <w:r w:rsidR="003603EB">
        <w:rPr>
          <w:sz w:val="24"/>
          <w:szCs w:val="24"/>
        </w:rPr>
        <w:t>notional underlying securities.</w:t>
      </w:r>
    </w:p>
    <w:p w14:paraId="004F1AC6" w14:textId="77777777" w:rsidR="00D410AC" w:rsidRDefault="00D410AC" w:rsidP="00D410AC">
      <w:pPr>
        <w:spacing w:after="0"/>
        <w:rPr>
          <w:sz w:val="24"/>
          <w:szCs w:val="24"/>
        </w:rPr>
      </w:pPr>
    </w:p>
    <w:p w14:paraId="039D3901" w14:textId="77777777" w:rsidR="008F2595" w:rsidRDefault="008F2595" w:rsidP="008F2595">
      <w:pPr>
        <w:spacing w:after="0"/>
        <w:rPr>
          <w:sz w:val="24"/>
          <w:szCs w:val="24"/>
        </w:rPr>
      </w:pPr>
      <w:r>
        <w:rPr>
          <w:sz w:val="24"/>
          <w:szCs w:val="24"/>
        </w:rPr>
        <w:t>Under new s708A(12I)(c), including in the notice any statement by a person requires the consent of that person, which must not be withdrawn before the notice is given to the relevant market operator.</w:t>
      </w:r>
    </w:p>
    <w:p w14:paraId="41A091FC" w14:textId="77777777" w:rsidR="008F2595" w:rsidRDefault="008F2595" w:rsidP="008F2595">
      <w:pPr>
        <w:spacing w:after="0"/>
        <w:rPr>
          <w:sz w:val="24"/>
          <w:szCs w:val="24"/>
        </w:rPr>
      </w:pPr>
    </w:p>
    <w:p w14:paraId="503CDF02" w14:textId="0FAD0C44" w:rsidR="008F2595" w:rsidRDefault="00F501B1" w:rsidP="00D410AC">
      <w:pPr>
        <w:spacing w:after="0"/>
        <w:rPr>
          <w:sz w:val="24"/>
          <w:szCs w:val="24"/>
        </w:rPr>
      </w:pPr>
      <w:r>
        <w:rPr>
          <w:sz w:val="24"/>
          <w:szCs w:val="24"/>
        </w:rPr>
        <w:t>Unlike the disclosure and on-sale relief provided for offers of regulatory capital securities made under a prospectus, the on-sale relief provided by this instrument in new s708A(12H) and (12I) also applies where the terms of the regulatory capital securities contemplate a third-party acquisition scenario.</w:t>
      </w:r>
    </w:p>
    <w:p w14:paraId="3BFC3104" w14:textId="77777777" w:rsidR="008F2595" w:rsidRPr="00972FBB" w:rsidRDefault="008F2595" w:rsidP="00D410AC">
      <w:pPr>
        <w:spacing w:after="0"/>
        <w:rPr>
          <w:sz w:val="24"/>
          <w:szCs w:val="24"/>
        </w:rPr>
      </w:pPr>
    </w:p>
    <w:p w14:paraId="5AD593FB" w14:textId="77407699" w:rsidR="005B0E3A" w:rsidRPr="00972FBB" w:rsidRDefault="005B0E3A" w:rsidP="00FE41BD">
      <w:pPr>
        <w:pStyle w:val="Heading3"/>
        <w:keepNext w:val="0"/>
        <w:widowControl w:val="0"/>
        <w:numPr>
          <w:ilvl w:val="0"/>
          <w:numId w:val="3"/>
        </w:numPr>
        <w:tabs>
          <w:tab w:val="left" w:pos="567"/>
        </w:tabs>
        <w:spacing w:after="0" w:line="240" w:lineRule="auto"/>
        <w:ind w:left="0" w:firstLine="0"/>
        <w:jc w:val="left"/>
        <w:rPr>
          <w:rFonts w:ascii="Arial" w:eastAsia="Arial" w:hAnsi="Arial" w:cs="Arial"/>
          <w:b/>
          <w:bCs/>
          <w:sz w:val="24"/>
          <w:szCs w:val="24"/>
        </w:rPr>
      </w:pPr>
      <w:bookmarkStart w:id="5" w:name="4._Documents_incorporated_by_reference"/>
      <w:bookmarkStart w:id="6" w:name="5._Consultation"/>
      <w:bookmarkEnd w:id="5"/>
      <w:bookmarkEnd w:id="6"/>
      <w:r w:rsidRPr="003F71DE">
        <w:rPr>
          <w:rFonts w:ascii="Arial" w:hAnsi="Arial" w:cs="Arial"/>
          <w:b/>
          <w:sz w:val="24"/>
          <w:szCs w:val="24"/>
        </w:rPr>
        <w:t>Consultation</w:t>
      </w:r>
    </w:p>
    <w:p w14:paraId="5AD593FC" w14:textId="77777777" w:rsidR="004C1951" w:rsidRPr="00972FBB" w:rsidRDefault="004C1951" w:rsidP="00E51043">
      <w:pPr>
        <w:pStyle w:val="BodyText"/>
        <w:tabs>
          <w:tab w:val="left" w:pos="0"/>
        </w:tabs>
        <w:spacing w:before="0" w:line="240" w:lineRule="auto"/>
        <w:rPr>
          <w:szCs w:val="24"/>
        </w:rPr>
      </w:pPr>
    </w:p>
    <w:p w14:paraId="7B63DD89" w14:textId="3767F191" w:rsidR="00E51043" w:rsidRPr="00972FBB" w:rsidRDefault="00E51043" w:rsidP="00E51043">
      <w:pPr>
        <w:pStyle w:val="BodyText"/>
        <w:tabs>
          <w:tab w:val="left" w:pos="0"/>
        </w:tabs>
        <w:spacing w:before="0" w:line="240" w:lineRule="auto"/>
        <w:rPr>
          <w:szCs w:val="24"/>
        </w:rPr>
      </w:pPr>
      <w:r w:rsidRPr="00972FBB">
        <w:rPr>
          <w:szCs w:val="24"/>
        </w:rPr>
        <w:t xml:space="preserve">On 17 September 2015 ASIC released CP 239 </w:t>
      </w:r>
      <w:r w:rsidRPr="00972FBB">
        <w:rPr>
          <w:i/>
          <w:szCs w:val="24"/>
        </w:rPr>
        <w:t>Disclosure documents: Update to ASIC instruments and guidance</w:t>
      </w:r>
      <w:r w:rsidRPr="00972FBB">
        <w:rPr>
          <w:szCs w:val="24"/>
        </w:rPr>
        <w:t xml:space="preserve"> (</w:t>
      </w:r>
      <w:r w:rsidRPr="00972FBB">
        <w:rPr>
          <w:b/>
          <w:i/>
          <w:szCs w:val="24"/>
        </w:rPr>
        <w:t>CP 239</w:t>
      </w:r>
      <w:r w:rsidRPr="00972FBB">
        <w:rPr>
          <w:szCs w:val="24"/>
        </w:rPr>
        <w:t>) seeking feedback on proposals to update and consolidate a number of regulatory guides relating to Ch 6D of the Act. CP 239 also sought feedback on proposals to reissue the legislative instruments associated with ASIC’s updated guidance</w:t>
      </w:r>
      <w:r w:rsidR="00230D39" w:rsidRPr="00972FBB">
        <w:rPr>
          <w:szCs w:val="24"/>
        </w:rPr>
        <w:t xml:space="preserve">, </w:t>
      </w:r>
      <w:r w:rsidRPr="00972FBB">
        <w:rPr>
          <w:szCs w:val="24"/>
        </w:rPr>
        <w:t>and to make legislative instruments addressing some discrete policy issues</w:t>
      </w:r>
      <w:r w:rsidR="00230D39" w:rsidRPr="00972FBB">
        <w:rPr>
          <w:szCs w:val="24"/>
        </w:rPr>
        <w:t xml:space="preserve"> (including </w:t>
      </w:r>
      <w:r w:rsidR="00D410AC" w:rsidRPr="00972FBB">
        <w:rPr>
          <w:szCs w:val="24"/>
        </w:rPr>
        <w:t>ASIC Corporations (Regulatory Capital Securities) Instrument 2016/71</w:t>
      </w:r>
      <w:r w:rsidR="00230D39" w:rsidRPr="00972FBB">
        <w:rPr>
          <w:szCs w:val="24"/>
        </w:rPr>
        <w:t>)</w:t>
      </w:r>
      <w:r w:rsidRPr="00972FBB">
        <w:rPr>
          <w:szCs w:val="24"/>
        </w:rPr>
        <w:t>. The consultation period closed on 27 November 2015.</w:t>
      </w:r>
    </w:p>
    <w:p w14:paraId="1003B751" w14:textId="77777777" w:rsidR="00E51043" w:rsidRPr="00972FBB" w:rsidRDefault="00E51043" w:rsidP="00E51043">
      <w:pPr>
        <w:pStyle w:val="BodyText"/>
        <w:tabs>
          <w:tab w:val="left" w:pos="0"/>
        </w:tabs>
        <w:spacing w:before="0" w:line="240" w:lineRule="auto"/>
        <w:rPr>
          <w:szCs w:val="24"/>
        </w:rPr>
      </w:pPr>
    </w:p>
    <w:p w14:paraId="74D79520" w14:textId="3E1E9A1E" w:rsidR="00E51043" w:rsidRPr="00972FBB" w:rsidRDefault="00E51043" w:rsidP="00E51043">
      <w:pPr>
        <w:pStyle w:val="BodyText"/>
        <w:tabs>
          <w:tab w:val="left" w:pos="0"/>
        </w:tabs>
        <w:spacing w:before="0" w:line="240" w:lineRule="auto"/>
        <w:rPr>
          <w:szCs w:val="24"/>
        </w:rPr>
      </w:pPr>
      <w:r w:rsidRPr="00972FBB">
        <w:rPr>
          <w:szCs w:val="24"/>
        </w:rPr>
        <w:t xml:space="preserve">ASIC received four submissions in response to CP 239. Details of the submissions are contained in REP 473 </w:t>
      </w:r>
      <w:r w:rsidRPr="00972FBB">
        <w:rPr>
          <w:i/>
          <w:szCs w:val="24"/>
        </w:rPr>
        <w:t>Response to submissions on CP 239 Disclosure documents: updates to ASIC instruments and guidance</w:t>
      </w:r>
      <w:r w:rsidRPr="00972FBB">
        <w:rPr>
          <w:szCs w:val="24"/>
        </w:rPr>
        <w:t xml:space="preserve"> which is available on ASIC’s website at </w:t>
      </w:r>
      <w:hyperlink r:id="rId13" w:history="1">
        <w:r w:rsidRPr="00972FBB">
          <w:rPr>
            <w:rStyle w:val="Hyperlink"/>
            <w:szCs w:val="24"/>
          </w:rPr>
          <w:t>www.asic.gov.au</w:t>
        </w:r>
      </w:hyperlink>
      <w:r w:rsidRPr="00972FBB">
        <w:rPr>
          <w:szCs w:val="24"/>
        </w:rPr>
        <w:t>.</w:t>
      </w:r>
    </w:p>
    <w:p w14:paraId="08C13C6C" w14:textId="77777777" w:rsidR="00E51043" w:rsidRPr="00972FBB" w:rsidRDefault="00E51043" w:rsidP="00E51043">
      <w:pPr>
        <w:pStyle w:val="BodyText"/>
        <w:tabs>
          <w:tab w:val="left" w:pos="0"/>
        </w:tabs>
        <w:spacing w:before="0" w:line="240" w:lineRule="auto"/>
        <w:rPr>
          <w:szCs w:val="24"/>
        </w:rPr>
      </w:pPr>
    </w:p>
    <w:p w14:paraId="5AD593FE" w14:textId="5C706BB0" w:rsidR="005B0E3A" w:rsidRPr="00972FBB" w:rsidRDefault="00E51043" w:rsidP="00E51043">
      <w:pPr>
        <w:pStyle w:val="BodyText"/>
        <w:tabs>
          <w:tab w:val="left" w:pos="0"/>
        </w:tabs>
        <w:spacing w:before="0" w:line="240" w:lineRule="auto"/>
        <w:sectPr w:rsidR="005B0E3A" w:rsidRPr="00972FBB" w:rsidSect="002C0CBB">
          <w:headerReference w:type="even" r:id="rId14"/>
          <w:headerReference w:type="default" r:id="rId15"/>
          <w:footerReference w:type="even" r:id="rId16"/>
          <w:headerReference w:type="first" r:id="rId17"/>
          <w:pgSz w:w="11906" w:h="16838" w:code="9"/>
          <w:pgMar w:top="1644" w:right="1418" w:bottom="1418" w:left="1418" w:header="567" w:footer="567" w:gutter="0"/>
          <w:cols w:space="720"/>
          <w:titlePg/>
          <w:docGrid w:linePitch="299"/>
        </w:sectPr>
      </w:pPr>
      <w:r w:rsidRPr="00972FBB">
        <w:rPr>
          <w:szCs w:val="24"/>
        </w:rPr>
        <w:t xml:space="preserve">Notwithstanding ASIC’s consultation, ASIC considers that </w:t>
      </w:r>
      <w:r w:rsidR="00D410AC" w:rsidRPr="00972FBB">
        <w:rPr>
          <w:szCs w:val="24"/>
        </w:rPr>
        <w:t xml:space="preserve">ASIC Corporations (Regulatory Capital Securities) Instrument 2016/71 </w:t>
      </w:r>
      <w:r w:rsidRPr="00972FBB">
        <w:rPr>
          <w:szCs w:val="24"/>
        </w:rPr>
        <w:t>is of a minor or machinery nature and does not substantially alter existing arrangements.</w:t>
      </w:r>
    </w:p>
    <w:p w14:paraId="5AD593FF" w14:textId="77777777" w:rsidR="000076D6" w:rsidRPr="003F71DE" w:rsidRDefault="000076D6" w:rsidP="0092104E">
      <w:pPr>
        <w:spacing w:after="0"/>
      </w:pPr>
      <w:r w:rsidRPr="003F71DE">
        <w:rPr>
          <w:noProof/>
        </w:rPr>
        <w:lastRenderedPageBreak/>
        <mc:AlternateContent>
          <mc:Choice Requires="wps">
            <w:drawing>
              <wp:anchor distT="0" distB="0" distL="114300" distR="114300" simplePos="0" relativeHeight="251658240" behindDoc="0" locked="0" layoutInCell="1" allowOverlap="1" wp14:anchorId="5AD59400" wp14:editId="5AD59401">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14:paraId="5AD5941C" w14:textId="77777777" w:rsidR="00F501B1" w:rsidRPr="00834797" w:rsidRDefault="00F501B1" w:rsidP="000076D6">
                            <w:pPr>
                              <w:spacing w:before="360" w:after="120"/>
                              <w:jc w:val="center"/>
                              <w:rPr>
                                <w:b/>
                              </w:rPr>
                            </w:pPr>
                            <w:r w:rsidRPr="00834797">
                              <w:rPr>
                                <w:b/>
                              </w:rPr>
                              <w:t>Statement of Compatibility with Human Rights</w:t>
                            </w:r>
                          </w:p>
                          <w:p w14:paraId="5AD5941D" w14:textId="77777777" w:rsidR="00F501B1" w:rsidRPr="00247F54" w:rsidRDefault="00F501B1" w:rsidP="000076D6">
                            <w:pPr>
                              <w:spacing w:before="120" w:after="120"/>
                              <w:jc w:val="center"/>
                            </w:pPr>
                            <w:r w:rsidRPr="00247F54">
                              <w:rPr>
                                <w:i/>
                              </w:rPr>
                              <w:t>Prepared in accordance with Part 3 of the Human Rights (Parliamentary Scrutiny) Act 2011</w:t>
                            </w:r>
                          </w:p>
                          <w:p w14:paraId="5AD5941E" w14:textId="77777777" w:rsidR="00F501B1" w:rsidRDefault="00F501B1" w:rsidP="000076D6">
                            <w:pPr>
                              <w:spacing w:before="120" w:after="120"/>
                              <w:jc w:val="center"/>
                              <w:rPr>
                                <w:b/>
                              </w:rPr>
                            </w:pPr>
                          </w:p>
                          <w:p w14:paraId="5AD5941F" w14:textId="5A623401" w:rsidR="00F501B1" w:rsidRPr="00870F73" w:rsidRDefault="00F501B1" w:rsidP="000076D6">
                            <w:pPr>
                              <w:spacing w:before="120" w:after="120"/>
                              <w:jc w:val="center"/>
                              <w:rPr>
                                <w:b/>
                              </w:rPr>
                            </w:pPr>
                            <w:r w:rsidRPr="00D410AC">
                              <w:rPr>
                                <w:b/>
                              </w:rPr>
                              <w:t>ASIC Corporations (Regulatory Capital Securities) Instrument 2016/71</w:t>
                            </w:r>
                          </w:p>
                          <w:p w14:paraId="5AD59420" w14:textId="77777777" w:rsidR="00F501B1" w:rsidRDefault="00F501B1" w:rsidP="000076D6">
                            <w:pPr>
                              <w:spacing w:before="120" w:after="120"/>
                              <w:jc w:val="center"/>
                            </w:pPr>
                          </w:p>
                          <w:p w14:paraId="5AD59421" w14:textId="2C61551A" w:rsidR="00F501B1" w:rsidRPr="00247F54" w:rsidRDefault="00F501B1" w:rsidP="00D410AC">
                            <w:pPr>
                              <w:spacing w:before="120" w:after="120"/>
                              <w:jc w:val="both"/>
                            </w:pPr>
                            <w:r w:rsidRPr="00D410AC">
                              <w:t>ASIC Corporations (Regulatory Capital Securities) Instrument 2016/71</w:t>
                            </w:r>
                            <w:r>
                              <w:t xml:space="preserve"> </w:t>
                            </w:r>
                            <w:r w:rsidRPr="00247F54">
                              <w:t xml:space="preserve">is compatible with the human rights and freedoms recognised or declared in the international instruments listed in section 3 of the </w:t>
                            </w:r>
                            <w:r w:rsidRPr="00247F54">
                              <w:rPr>
                                <w:i/>
                              </w:rPr>
                              <w:t>Human Rights (Parliamentary Scrutiny) Act 2011</w:t>
                            </w:r>
                            <w:r w:rsidRPr="00247F54">
                              <w:t>.</w:t>
                            </w:r>
                          </w:p>
                          <w:p w14:paraId="5AD59422" w14:textId="77777777" w:rsidR="00F501B1" w:rsidRPr="00247F54" w:rsidRDefault="00F501B1" w:rsidP="000076D6">
                            <w:pPr>
                              <w:spacing w:before="120" w:after="120"/>
                              <w:jc w:val="center"/>
                            </w:pPr>
                          </w:p>
                          <w:p w14:paraId="5AD59423" w14:textId="77777777" w:rsidR="00F501B1" w:rsidRPr="00972FBB" w:rsidRDefault="00F501B1" w:rsidP="000076D6">
                            <w:pPr>
                              <w:spacing w:before="120" w:after="120"/>
                              <w:jc w:val="both"/>
                              <w:rPr>
                                <w:b/>
                              </w:rPr>
                            </w:pPr>
                            <w:r w:rsidRPr="00972FBB">
                              <w:rPr>
                                <w:b/>
                              </w:rPr>
                              <w:t>Overview</w:t>
                            </w:r>
                          </w:p>
                          <w:p w14:paraId="33144412" w14:textId="6902EC97" w:rsidR="00F501B1" w:rsidRPr="00972FBB" w:rsidRDefault="00F501B1" w:rsidP="00FE41BD">
                            <w:pPr>
                              <w:spacing w:before="120" w:after="120"/>
                              <w:jc w:val="both"/>
                            </w:pPr>
                            <w:r w:rsidRPr="00972FBB">
                              <w:t>This legislative instrument modifies s9, 708A and 713 of the Act to allow the offer of regulatory capital securities (being certain types of convertible or converting notes or convertible or converting preference shares of a body, which if converted or exchanged at the time they are issued, would convert into or be exchanged for continuously quoted securities) to be made using a prospectus that complies with s</w:t>
                            </w:r>
                            <w:r w:rsidR="00972FBB" w:rsidRPr="00972FBB">
                              <w:t>713 of the Act rather than s710, and provides on-sale relief for the underlying securities issued on conversion or exchange.</w:t>
                            </w:r>
                            <w:r w:rsidRPr="00972FBB">
                              <w:t xml:space="preserve"> </w:t>
                            </w:r>
                          </w:p>
                          <w:p w14:paraId="36177D74" w14:textId="0B959C3E" w:rsidR="00972FBB" w:rsidRPr="00972FBB" w:rsidRDefault="00972FBB" w:rsidP="00972FBB">
                            <w:pPr>
                              <w:spacing w:before="120" w:after="120"/>
                              <w:jc w:val="both"/>
                            </w:pPr>
                            <w:r w:rsidRPr="00972FBB">
                              <w:t>This legislative instrument also modifies s9 and 708A of the Act to provide on-sale relief for the underlying securities issued on conversion or exchange of regulatory capital securities which were offered without disclosure under Part 6D.2 of the Act, where a notice containing prospectus-like disclosures was provided at the time the regulatory capital securities were issued.</w:t>
                            </w:r>
                          </w:p>
                          <w:p w14:paraId="5AD59429" w14:textId="77777777" w:rsidR="00F501B1" w:rsidRPr="00247F54" w:rsidRDefault="00F501B1" w:rsidP="000076D6">
                            <w:pPr>
                              <w:spacing w:before="120" w:after="120"/>
                              <w:rPr>
                                <w:b/>
                              </w:rPr>
                            </w:pPr>
                            <w:r w:rsidRPr="00247F54">
                              <w:rPr>
                                <w:b/>
                              </w:rPr>
                              <w:t>Human rights implications</w:t>
                            </w:r>
                          </w:p>
                          <w:p w14:paraId="5AD5942A" w14:textId="77777777" w:rsidR="00F501B1" w:rsidRDefault="00F501B1" w:rsidP="00CD092B">
                            <w:pPr>
                              <w:spacing w:before="120" w:after="0"/>
                            </w:pPr>
                            <w:r w:rsidRPr="00247F54">
                              <w:t xml:space="preserve">This </w:t>
                            </w:r>
                            <w:r>
                              <w:t>l</w:t>
                            </w:r>
                            <w:r w:rsidRPr="00247F54">
                              <w:t xml:space="preserve">egislative </w:t>
                            </w:r>
                            <w:r>
                              <w:t>i</w:t>
                            </w:r>
                            <w:r w:rsidRPr="00247F54">
                              <w:t>nstrument does not engage any of the applicable rights or freedoms.</w:t>
                            </w:r>
                          </w:p>
                          <w:p w14:paraId="5AD5942B" w14:textId="77777777" w:rsidR="00F501B1" w:rsidRPr="00247F54" w:rsidRDefault="00F501B1" w:rsidP="000076D6">
                            <w:pPr>
                              <w:spacing w:before="120" w:after="120"/>
                              <w:rPr>
                                <w:b/>
                              </w:rPr>
                            </w:pPr>
                            <w:r w:rsidRPr="00247F54">
                              <w:rPr>
                                <w:b/>
                              </w:rPr>
                              <w:t>Conclusion</w:t>
                            </w:r>
                          </w:p>
                          <w:p w14:paraId="5AD5942C" w14:textId="77777777" w:rsidR="00F501B1" w:rsidRDefault="00F501B1" w:rsidP="00CD092B">
                            <w:pPr>
                              <w:spacing w:before="120" w:after="0"/>
                            </w:pPr>
                            <w:r w:rsidRPr="00247F54">
                              <w:t xml:space="preserve">This </w:t>
                            </w:r>
                            <w:r>
                              <w:t>l</w:t>
                            </w:r>
                            <w:r w:rsidRPr="00247F54">
                              <w:t xml:space="preserve">egislative </w:t>
                            </w:r>
                            <w:r>
                              <w:t>i</w:t>
                            </w:r>
                            <w:r w:rsidRPr="00247F54">
                              <w:t>nstrument is compatible with human rights as it does not raise any human rights issues.</w:t>
                            </w:r>
                          </w:p>
                          <w:p w14:paraId="5AD5942D" w14:textId="77777777" w:rsidR="00F501B1" w:rsidRPr="00870F73" w:rsidRDefault="00F501B1" w:rsidP="00870F73">
                            <w:pPr>
                              <w:spacing w:before="120" w:after="120"/>
                              <w:jc w:val="center"/>
                              <w:rPr>
                                <w:b/>
                              </w:rPr>
                            </w:pPr>
                            <w:r w:rsidRPr="00870F73">
                              <w:rPr>
                                <w:b/>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14:paraId="5AD5941C" w14:textId="77777777" w:rsidR="00F501B1" w:rsidRPr="00834797" w:rsidRDefault="00F501B1" w:rsidP="000076D6">
                      <w:pPr>
                        <w:spacing w:before="360" w:after="120"/>
                        <w:jc w:val="center"/>
                        <w:rPr>
                          <w:b/>
                        </w:rPr>
                      </w:pPr>
                      <w:r w:rsidRPr="00834797">
                        <w:rPr>
                          <w:b/>
                        </w:rPr>
                        <w:t>Statement of Compatibility with Human Rights</w:t>
                      </w:r>
                    </w:p>
                    <w:p w14:paraId="5AD5941D" w14:textId="77777777" w:rsidR="00F501B1" w:rsidRPr="00247F54" w:rsidRDefault="00F501B1" w:rsidP="000076D6">
                      <w:pPr>
                        <w:spacing w:before="120" w:after="120"/>
                        <w:jc w:val="center"/>
                      </w:pPr>
                      <w:r w:rsidRPr="00247F54">
                        <w:rPr>
                          <w:i/>
                        </w:rPr>
                        <w:t>Prepared in accordance with Part 3 of the Human Rights (Parliamentary Scrutiny) Act 2011</w:t>
                      </w:r>
                    </w:p>
                    <w:p w14:paraId="5AD5941E" w14:textId="77777777" w:rsidR="00F501B1" w:rsidRDefault="00F501B1" w:rsidP="000076D6">
                      <w:pPr>
                        <w:spacing w:before="120" w:after="120"/>
                        <w:jc w:val="center"/>
                        <w:rPr>
                          <w:b/>
                        </w:rPr>
                      </w:pPr>
                    </w:p>
                    <w:p w14:paraId="5AD5941F" w14:textId="5A623401" w:rsidR="00F501B1" w:rsidRPr="00870F73" w:rsidRDefault="00F501B1" w:rsidP="000076D6">
                      <w:pPr>
                        <w:spacing w:before="120" w:after="120"/>
                        <w:jc w:val="center"/>
                        <w:rPr>
                          <w:b/>
                        </w:rPr>
                      </w:pPr>
                      <w:r w:rsidRPr="00D410AC">
                        <w:rPr>
                          <w:b/>
                        </w:rPr>
                        <w:t>ASIC Corporations (Regulatory Capital Securities) Instrument 2016/71</w:t>
                      </w:r>
                    </w:p>
                    <w:p w14:paraId="5AD59420" w14:textId="77777777" w:rsidR="00F501B1" w:rsidRDefault="00F501B1" w:rsidP="000076D6">
                      <w:pPr>
                        <w:spacing w:before="120" w:after="120"/>
                        <w:jc w:val="center"/>
                      </w:pPr>
                    </w:p>
                    <w:p w14:paraId="5AD59421" w14:textId="2C61551A" w:rsidR="00F501B1" w:rsidRPr="00247F54" w:rsidRDefault="00F501B1" w:rsidP="00D410AC">
                      <w:pPr>
                        <w:spacing w:before="120" w:after="120"/>
                        <w:jc w:val="both"/>
                      </w:pPr>
                      <w:r w:rsidRPr="00D410AC">
                        <w:t>ASIC Corporations (Regulatory Capital Securities) Instrument 2016/71</w:t>
                      </w:r>
                      <w:r>
                        <w:t xml:space="preserve"> </w:t>
                      </w:r>
                      <w:r w:rsidRPr="00247F54">
                        <w:t xml:space="preserve">is compatible with the human rights and freedoms recognised or declared in the international instruments listed in section 3 of the </w:t>
                      </w:r>
                      <w:r w:rsidRPr="00247F54">
                        <w:rPr>
                          <w:i/>
                        </w:rPr>
                        <w:t>Human Rights (Parliamentary Scrutiny) Act 2011</w:t>
                      </w:r>
                      <w:r w:rsidRPr="00247F54">
                        <w:t>.</w:t>
                      </w:r>
                    </w:p>
                    <w:p w14:paraId="5AD59422" w14:textId="77777777" w:rsidR="00F501B1" w:rsidRPr="00247F54" w:rsidRDefault="00F501B1" w:rsidP="000076D6">
                      <w:pPr>
                        <w:spacing w:before="120" w:after="120"/>
                        <w:jc w:val="center"/>
                      </w:pPr>
                    </w:p>
                    <w:p w14:paraId="5AD59423" w14:textId="77777777" w:rsidR="00F501B1" w:rsidRPr="00972FBB" w:rsidRDefault="00F501B1" w:rsidP="000076D6">
                      <w:pPr>
                        <w:spacing w:before="120" w:after="120"/>
                        <w:jc w:val="both"/>
                        <w:rPr>
                          <w:b/>
                        </w:rPr>
                      </w:pPr>
                      <w:r w:rsidRPr="00972FBB">
                        <w:rPr>
                          <w:b/>
                        </w:rPr>
                        <w:t>Overview</w:t>
                      </w:r>
                    </w:p>
                    <w:p w14:paraId="33144412" w14:textId="6902EC97" w:rsidR="00F501B1" w:rsidRPr="00972FBB" w:rsidRDefault="00F501B1" w:rsidP="00FE41BD">
                      <w:pPr>
                        <w:spacing w:before="120" w:after="120"/>
                        <w:jc w:val="both"/>
                      </w:pPr>
                      <w:r w:rsidRPr="00972FBB">
                        <w:t>This legislative instrument modifies s9, 708A and 713 of the Act to allow the offer of regulatory capital securities (being certain types of convertible or converting notes or convertible or converting preference shares of a body, which if converted or exchanged at the time they are issued, would convert into or be exchanged for continuously quoted securities) to be made using a prospectus that complies with s</w:t>
                      </w:r>
                      <w:r w:rsidR="00972FBB" w:rsidRPr="00972FBB">
                        <w:t>713 of the Act rather than s710, and provides on-sale relief for the underlying securities issued on conversion or exchange.</w:t>
                      </w:r>
                      <w:r w:rsidRPr="00972FBB">
                        <w:t xml:space="preserve"> </w:t>
                      </w:r>
                    </w:p>
                    <w:p w14:paraId="36177D74" w14:textId="0B959C3E" w:rsidR="00972FBB" w:rsidRPr="00972FBB" w:rsidRDefault="00972FBB" w:rsidP="00972FBB">
                      <w:pPr>
                        <w:spacing w:before="120" w:after="120"/>
                        <w:jc w:val="both"/>
                      </w:pPr>
                      <w:r w:rsidRPr="00972FBB">
                        <w:t>This legislative instrument also modifies s9 and 708A of the Act to provide on-sale relief for the underlying securities issued on conversion or exchange of regulatory capital securities which were offered without disclosure under Part 6D.2 of the Act, where a notice containing prospectus-like disclosures was provided at the time the regulatory capital securities were issued.</w:t>
                      </w:r>
                    </w:p>
                    <w:p w14:paraId="5AD59429" w14:textId="77777777" w:rsidR="00F501B1" w:rsidRPr="00247F54" w:rsidRDefault="00F501B1" w:rsidP="000076D6">
                      <w:pPr>
                        <w:spacing w:before="120" w:after="120"/>
                        <w:rPr>
                          <w:b/>
                        </w:rPr>
                      </w:pPr>
                      <w:r w:rsidRPr="00247F54">
                        <w:rPr>
                          <w:b/>
                        </w:rPr>
                        <w:t>Human rights implications</w:t>
                      </w:r>
                    </w:p>
                    <w:p w14:paraId="5AD5942A" w14:textId="77777777" w:rsidR="00F501B1" w:rsidRDefault="00F501B1" w:rsidP="00CD092B">
                      <w:pPr>
                        <w:spacing w:before="120" w:after="0"/>
                      </w:pPr>
                      <w:r w:rsidRPr="00247F54">
                        <w:t xml:space="preserve">This </w:t>
                      </w:r>
                      <w:r>
                        <w:t>l</w:t>
                      </w:r>
                      <w:r w:rsidRPr="00247F54">
                        <w:t xml:space="preserve">egislative </w:t>
                      </w:r>
                      <w:r>
                        <w:t>i</w:t>
                      </w:r>
                      <w:r w:rsidRPr="00247F54">
                        <w:t>nstrument does not engage any of the applicable rights or freedoms.</w:t>
                      </w:r>
                    </w:p>
                    <w:p w14:paraId="5AD5942B" w14:textId="77777777" w:rsidR="00F501B1" w:rsidRPr="00247F54" w:rsidRDefault="00F501B1" w:rsidP="000076D6">
                      <w:pPr>
                        <w:spacing w:before="120" w:after="120"/>
                        <w:rPr>
                          <w:b/>
                        </w:rPr>
                      </w:pPr>
                      <w:r w:rsidRPr="00247F54">
                        <w:rPr>
                          <w:b/>
                        </w:rPr>
                        <w:t>Conclusion</w:t>
                      </w:r>
                    </w:p>
                    <w:p w14:paraId="5AD5942C" w14:textId="77777777" w:rsidR="00F501B1" w:rsidRDefault="00F501B1" w:rsidP="00CD092B">
                      <w:pPr>
                        <w:spacing w:before="120" w:after="0"/>
                      </w:pPr>
                      <w:r w:rsidRPr="00247F54">
                        <w:t xml:space="preserve">This </w:t>
                      </w:r>
                      <w:r>
                        <w:t>l</w:t>
                      </w:r>
                      <w:r w:rsidRPr="00247F54">
                        <w:t xml:space="preserve">egislative </w:t>
                      </w:r>
                      <w:r>
                        <w:t>i</w:t>
                      </w:r>
                      <w:r w:rsidRPr="00247F54">
                        <w:t>nstrument is compatible with human rights as it does not raise any human rights issues.</w:t>
                      </w:r>
                    </w:p>
                    <w:p w14:paraId="5AD5942D" w14:textId="77777777" w:rsidR="00F501B1" w:rsidRPr="00870F73" w:rsidRDefault="00F501B1" w:rsidP="00870F73">
                      <w:pPr>
                        <w:spacing w:before="120" w:after="120"/>
                        <w:jc w:val="center"/>
                        <w:rPr>
                          <w:b/>
                        </w:rPr>
                      </w:pPr>
                      <w:r w:rsidRPr="00870F73">
                        <w:rPr>
                          <w:b/>
                        </w:rPr>
                        <w:t>Australian Securities and Investments Commission</w:t>
                      </w:r>
                    </w:p>
                  </w:txbxContent>
                </v:textbox>
              </v:rect>
            </w:pict>
          </mc:Fallback>
        </mc:AlternateContent>
      </w:r>
    </w:p>
    <w:sectPr w:rsidR="000076D6" w:rsidRPr="003F71D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59406" w14:textId="77777777" w:rsidR="00F501B1" w:rsidRDefault="00F501B1">
      <w:pPr>
        <w:spacing w:after="0"/>
      </w:pPr>
      <w:r>
        <w:separator/>
      </w:r>
    </w:p>
  </w:endnote>
  <w:endnote w:type="continuationSeparator" w:id="0">
    <w:p w14:paraId="5AD59407" w14:textId="77777777" w:rsidR="00F501B1" w:rsidRDefault="00F501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5940C" w14:textId="77777777" w:rsidR="00F501B1" w:rsidRDefault="00F501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5732">
      <w:rPr>
        <w:rStyle w:val="PageNumber"/>
        <w:noProof/>
      </w:rPr>
      <w:t>6</w:t>
    </w:r>
    <w:r>
      <w:rPr>
        <w:rStyle w:val="PageNumber"/>
      </w:rPr>
      <w:fldChar w:fldCharType="end"/>
    </w:r>
  </w:p>
  <w:p w14:paraId="5AD5940D" w14:textId="77777777" w:rsidR="00F501B1" w:rsidRDefault="00F501B1">
    <w:pPr>
      <w:pStyle w:val="Footer"/>
      <w:ind w:right="360"/>
    </w:pPr>
  </w:p>
  <w:p w14:paraId="5AD5940E" w14:textId="77777777" w:rsidR="00F501B1" w:rsidRDefault="00F501B1"/>
  <w:p w14:paraId="5AD5940F" w14:textId="77777777" w:rsidR="00F501B1" w:rsidRDefault="00F501B1"/>
  <w:p w14:paraId="5AD59410" w14:textId="77777777" w:rsidR="00F501B1" w:rsidRDefault="00F501B1"/>
  <w:p w14:paraId="5AD59411" w14:textId="77777777" w:rsidR="00F501B1" w:rsidRDefault="00F501B1"/>
  <w:p w14:paraId="5AD59412" w14:textId="77777777" w:rsidR="00F501B1" w:rsidRDefault="00F501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59404" w14:textId="77777777" w:rsidR="00F501B1" w:rsidRDefault="00F501B1">
      <w:pPr>
        <w:spacing w:after="0"/>
      </w:pPr>
      <w:r>
        <w:separator/>
      </w:r>
    </w:p>
  </w:footnote>
  <w:footnote w:type="continuationSeparator" w:id="0">
    <w:p w14:paraId="5AD59405" w14:textId="77777777" w:rsidR="00F501B1" w:rsidRDefault="00F501B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59408" w14:textId="77777777" w:rsidR="00F501B1" w:rsidRDefault="00F501B1"/>
  <w:p w14:paraId="5AD59409" w14:textId="77777777" w:rsidR="00F501B1" w:rsidRDefault="00F501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5940B" w14:textId="0BEA9A0D" w:rsidR="00F501B1" w:rsidRPr="005A7DE5" w:rsidRDefault="00F501B1" w:rsidP="002C0CBB">
    <w:pPr>
      <w:pStyle w:val="sub3paraA"/>
      <w:tabs>
        <w:tab w:val="clear" w:pos="3544"/>
      </w:tabs>
      <w:ind w:left="0" w:firstLine="1"/>
      <w:jc w:val="center"/>
      <w:rPr>
        <w:sz w:val="24"/>
        <w:szCs w:val="24"/>
      </w:rPr>
    </w:pPr>
    <w:r w:rsidRPr="005A7DE5">
      <w:rPr>
        <w:sz w:val="24"/>
        <w:szCs w:val="24"/>
      </w:rPr>
      <w:fldChar w:fldCharType="begin"/>
    </w:r>
    <w:r w:rsidRPr="005A7DE5">
      <w:rPr>
        <w:sz w:val="24"/>
        <w:szCs w:val="24"/>
      </w:rPr>
      <w:instrText xml:space="preserve"> PAGE   \* MERGEFORMAT </w:instrText>
    </w:r>
    <w:r w:rsidRPr="005A7DE5">
      <w:rPr>
        <w:sz w:val="24"/>
        <w:szCs w:val="24"/>
      </w:rPr>
      <w:fldChar w:fldCharType="separate"/>
    </w:r>
    <w:r w:rsidR="00012162">
      <w:rPr>
        <w:noProof/>
        <w:sz w:val="24"/>
        <w:szCs w:val="24"/>
      </w:rPr>
      <w:t>3</w:t>
    </w:r>
    <w:r w:rsidRPr="005A7DE5">
      <w:rPr>
        <w:noProof/>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59414" w14:textId="72F93326" w:rsidR="00F501B1" w:rsidRDefault="00F501B1">
    <w:pPr>
      <w:pStyle w:val="Header"/>
      <w:pBdr>
        <w:bottom w:val="none" w:sz="0" w:space="0" w:color="auto"/>
      </w:pBdr>
      <w:jc w:val="center"/>
      <w:rPr>
        <w:b/>
        <w:bCs/>
        <w:color w:val="C0C0C0"/>
        <w:sz w:val="4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2">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A822140"/>
    <w:multiLevelType w:val="hybridMultilevel"/>
    <w:tmpl w:val="A308083C"/>
    <w:lvl w:ilvl="0" w:tplc="4DAE7A48">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ECD6307"/>
    <w:multiLevelType w:val="hybridMultilevel"/>
    <w:tmpl w:val="A308083C"/>
    <w:lvl w:ilvl="0" w:tplc="4DAE7A48">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7257704"/>
    <w:multiLevelType w:val="hybridMultilevel"/>
    <w:tmpl w:val="D3421BFE"/>
    <w:lvl w:ilvl="0" w:tplc="E34EA4D4">
      <w:start w:val="1"/>
      <w:numFmt w:val="upp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nsid w:val="65CF081A"/>
    <w:multiLevelType w:val="hybridMultilevel"/>
    <w:tmpl w:val="A308083C"/>
    <w:lvl w:ilvl="0" w:tplc="4DAE7A48">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8">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1"/>
  </w:num>
  <w:num w:numId="4">
    <w:abstractNumId w:val="3"/>
  </w:num>
  <w:num w:numId="5">
    <w:abstractNumId w:val="4"/>
  </w:num>
  <w:num w:numId="6">
    <w:abstractNumId w:val="6"/>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6D3"/>
    <w:rsid w:val="00002860"/>
    <w:rsid w:val="00007375"/>
    <w:rsid w:val="000076D6"/>
    <w:rsid w:val="000108AB"/>
    <w:rsid w:val="00012162"/>
    <w:rsid w:val="000127C1"/>
    <w:rsid w:val="00012867"/>
    <w:rsid w:val="00012E0C"/>
    <w:rsid w:val="00014BFE"/>
    <w:rsid w:val="00016563"/>
    <w:rsid w:val="00032140"/>
    <w:rsid w:val="00034ECF"/>
    <w:rsid w:val="00037FC8"/>
    <w:rsid w:val="000550F3"/>
    <w:rsid w:val="000555CA"/>
    <w:rsid w:val="00062184"/>
    <w:rsid w:val="00063F45"/>
    <w:rsid w:val="00064A0A"/>
    <w:rsid w:val="00074391"/>
    <w:rsid w:val="0007491E"/>
    <w:rsid w:val="000A16D3"/>
    <w:rsid w:val="000B02CC"/>
    <w:rsid w:val="000C1F7B"/>
    <w:rsid w:val="000C24C6"/>
    <w:rsid w:val="000C75CD"/>
    <w:rsid w:val="000D24A7"/>
    <w:rsid w:val="000D5F19"/>
    <w:rsid w:val="000E6BB7"/>
    <w:rsid w:val="000F1E0B"/>
    <w:rsid w:val="000F2E31"/>
    <w:rsid w:val="000F5794"/>
    <w:rsid w:val="00133E37"/>
    <w:rsid w:val="00137BD2"/>
    <w:rsid w:val="00152F5D"/>
    <w:rsid w:val="0018319A"/>
    <w:rsid w:val="00190E5C"/>
    <w:rsid w:val="001C1ACD"/>
    <w:rsid w:val="001C24A6"/>
    <w:rsid w:val="001C2F0D"/>
    <w:rsid w:val="001C6702"/>
    <w:rsid w:val="001E519F"/>
    <w:rsid w:val="002042EE"/>
    <w:rsid w:val="00225A98"/>
    <w:rsid w:val="00226F65"/>
    <w:rsid w:val="00230D39"/>
    <w:rsid w:val="00246100"/>
    <w:rsid w:val="00256E0A"/>
    <w:rsid w:val="00262921"/>
    <w:rsid w:val="00270DA1"/>
    <w:rsid w:val="00271E30"/>
    <w:rsid w:val="00277410"/>
    <w:rsid w:val="00286533"/>
    <w:rsid w:val="00293F9B"/>
    <w:rsid w:val="0029697D"/>
    <w:rsid w:val="002971B7"/>
    <w:rsid w:val="002A44B3"/>
    <w:rsid w:val="002C0A65"/>
    <w:rsid w:val="002C0CBB"/>
    <w:rsid w:val="002C784D"/>
    <w:rsid w:val="002D33E2"/>
    <w:rsid w:val="002D5A8C"/>
    <w:rsid w:val="002D5B32"/>
    <w:rsid w:val="002D63CA"/>
    <w:rsid w:val="002F74A3"/>
    <w:rsid w:val="00320273"/>
    <w:rsid w:val="00351299"/>
    <w:rsid w:val="003603EB"/>
    <w:rsid w:val="00374FA2"/>
    <w:rsid w:val="003809A1"/>
    <w:rsid w:val="003A5873"/>
    <w:rsid w:val="003D0EC8"/>
    <w:rsid w:val="003D2D30"/>
    <w:rsid w:val="003E0686"/>
    <w:rsid w:val="003F7027"/>
    <w:rsid w:val="003F71DE"/>
    <w:rsid w:val="00402A95"/>
    <w:rsid w:val="00403274"/>
    <w:rsid w:val="00410890"/>
    <w:rsid w:val="00420714"/>
    <w:rsid w:val="00420B7C"/>
    <w:rsid w:val="0043164D"/>
    <w:rsid w:val="00440A58"/>
    <w:rsid w:val="0045080D"/>
    <w:rsid w:val="00454469"/>
    <w:rsid w:val="00464112"/>
    <w:rsid w:val="00470C0F"/>
    <w:rsid w:val="004753B1"/>
    <w:rsid w:val="0048337A"/>
    <w:rsid w:val="00485FB8"/>
    <w:rsid w:val="004A0655"/>
    <w:rsid w:val="004A44B1"/>
    <w:rsid w:val="004A5A9E"/>
    <w:rsid w:val="004B625F"/>
    <w:rsid w:val="004C1951"/>
    <w:rsid w:val="004C4D62"/>
    <w:rsid w:val="004D7A76"/>
    <w:rsid w:val="004E365E"/>
    <w:rsid w:val="004E7C48"/>
    <w:rsid w:val="004F577E"/>
    <w:rsid w:val="00514963"/>
    <w:rsid w:val="00516B69"/>
    <w:rsid w:val="00522FA6"/>
    <w:rsid w:val="00536C11"/>
    <w:rsid w:val="00546748"/>
    <w:rsid w:val="00561033"/>
    <w:rsid w:val="00566718"/>
    <w:rsid w:val="00583FF1"/>
    <w:rsid w:val="005A30EE"/>
    <w:rsid w:val="005A7DE5"/>
    <w:rsid w:val="005B0E3A"/>
    <w:rsid w:val="005B26D9"/>
    <w:rsid w:val="005B30BC"/>
    <w:rsid w:val="005D37B8"/>
    <w:rsid w:val="005F6048"/>
    <w:rsid w:val="00603217"/>
    <w:rsid w:val="0061046E"/>
    <w:rsid w:val="00624E22"/>
    <w:rsid w:val="0063217D"/>
    <w:rsid w:val="006331FF"/>
    <w:rsid w:val="00641465"/>
    <w:rsid w:val="00641608"/>
    <w:rsid w:val="00650B0A"/>
    <w:rsid w:val="006647A1"/>
    <w:rsid w:val="006C29FA"/>
    <w:rsid w:val="006C775D"/>
    <w:rsid w:val="006D1C5B"/>
    <w:rsid w:val="006E701C"/>
    <w:rsid w:val="006F501F"/>
    <w:rsid w:val="00712CCB"/>
    <w:rsid w:val="0073304B"/>
    <w:rsid w:val="00736265"/>
    <w:rsid w:val="007567D7"/>
    <w:rsid w:val="0076239B"/>
    <w:rsid w:val="00764B66"/>
    <w:rsid w:val="0078335A"/>
    <w:rsid w:val="00796528"/>
    <w:rsid w:val="007B463F"/>
    <w:rsid w:val="007B773E"/>
    <w:rsid w:val="007C18D5"/>
    <w:rsid w:val="007D583D"/>
    <w:rsid w:val="007E45D1"/>
    <w:rsid w:val="007E6C16"/>
    <w:rsid w:val="007E7D42"/>
    <w:rsid w:val="007F2F81"/>
    <w:rsid w:val="007F71C9"/>
    <w:rsid w:val="00813423"/>
    <w:rsid w:val="0082302E"/>
    <w:rsid w:val="0085393A"/>
    <w:rsid w:val="00863591"/>
    <w:rsid w:val="00870F73"/>
    <w:rsid w:val="00874214"/>
    <w:rsid w:val="00890CD6"/>
    <w:rsid w:val="008934DF"/>
    <w:rsid w:val="008B39DB"/>
    <w:rsid w:val="008B462A"/>
    <w:rsid w:val="008B4F29"/>
    <w:rsid w:val="008B75FB"/>
    <w:rsid w:val="008C4190"/>
    <w:rsid w:val="008E1E49"/>
    <w:rsid w:val="008E2273"/>
    <w:rsid w:val="008E436A"/>
    <w:rsid w:val="008E58EB"/>
    <w:rsid w:val="008E6235"/>
    <w:rsid w:val="008F1EFA"/>
    <w:rsid w:val="008F2595"/>
    <w:rsid w:val="00903AE0"/>
    <w:rsid w:val="00907183"/>
    <w:rsid w:val="0092104E"/>
    <w:rsid w:val="009254CB"/>
    <w:rsid w:val="009404C7"/>
    <w:rsid w:val="00941B05"/>
    <w:rsid w:val="00963F3B"/>
    <w:rsid w:val="00965F28"/>
    <w:rsid w:val="00966CBD"/>
    <w:rsid w:val="00972FBB"/>
    <w:rsid w:val="00977514"/>
    <w:rsid w:val="009A0D91"/>
    <w:rsid w:val="009A1ECF"/>
    <w:rsid w:val="009C1030"/>
    <w:rsid w:val="009D34D0"/>
    <w:rsid w:val="009D73CD"/>
    <w:rsid w:val="00A05643"/>
    <w:rsid w:val="00A13BF7"/>
    <w:rsid w:val="00A20F81"/>
    <w:rsid w:val="00A25DDD"/>
    <w:rsid w:val="00A379F6"/>
    <w:rsid w:val="00A54261"/>
    <w:rsid w:val="00A55C01"/>
    <w:rsid w:val="00A64A63"/>
    <w:rsid w:val="00A744E9"/>
    <w:rsid w:val="00A812D1"/>
    <w:rsid w:val="00A96E0D"/>
    <w:rsid w:val="00AA4F48"/>
    <w:rsid w:val="00AB002C"/>
    <w:rsid w:val="00AC02C2"/>
    <w:rsid w:val="00AD31A9"/>
    <w:rsid w:val="00AE04F7"/>
    <w:rsid w:val="00AF5F35"/>
    <w:rsid w:val="00B06339"/>
    <w:rsid w:val="00B21A0C"/>
    <w:rsid w:val="00B23DD4"/>
    <w:rsid w:val="00B24207"/>
    <w:rsid w:val="00B42690"/>
    <w:rsid w:val="00B734CF"/>
    <w:rsid w:val="00B77CEE"/>
    <w:rsid w:val="00B77E00"/>
    <w:rsid w:val="00B83FFA"/>
    <w:rsid w:val="00B85DFD"/>
    <w:rsid w:val="00BD1426"/>
    <w:rsid w:val="00BD2C01"/>
    <w:rsid w:val="00BE0EB8"/>
    <w:rsid w:val="00BE540B"/>
    <w:rsid w:val="00BE5B6D"/>
    <w:rsid w:val="00BF2C69"/>
    <w:rsid w:val="00C005FB"/>
    <w:rsid w:val="00C01419"/>
    <w:rsid w:val="00C117E5"/>
    <w:rsid w:val="00C306BD"/>
    <w:rsid w:val="00C307C9"/>
    <w:rsid w:val="00C32FCB"/>
    <w:rsid w:val="00C36E89"/>
    <w:rsid w:val="00C4588D"/>
    <w:rsid w:val="00C532D9"/>
    <w:rsid w:val="00C6011A"/>
    <w:rsid w:val="00C67DB3"/>
    <w:rsid w:val="00C86429"/>
    <w:rsid w:val="00C87BD6"/>
    <w:rsid w:val="00CD092B"/>
    <w:rsid w:val="00CD255E"/>
    <w:rsid w:val="00CF1854"/>
    <w:rsid w:val="00CF6C61"/>
    <w:rsid w:val="00D025D0"/>
    <w:rsid w:val="00D06DCA"/>
    <w:rsid w:val="00D2359D"/>
    <w:rsid w:val="00D26909"/>
    <w:rsid w:val="00D4021D"/>
    <w:rsid w:val="00D4082E"/>
    <w:rsid w:val="00D410AC"/>
    <w:rsid w:val="00D418DA"/>
    <w:rsid w:val="00D42054"/>
    <w:rsid w:val="00D66D94"/>
    <w:rsid w:val="00D67225"/>
    <w:rsid w:val="00D70A47"/>
    <w:rsid w:val="00D70F20"/>
    <w:rsid w:val="00D75432"/>
    <w:rsid w:val="00DA2B36"/>
    <w:rsid w:val="00DB6845"/>
    <w:rsid w:val="00DE5925"/>
    <w:rsid w:val="00E03DFD"/>
    <w:rsid w:val="00E100C2"/>
    <w:rsid w:val="00E11CCF"/>
    <w:rsid w:val="00E23614"/>
    <w:rsid w:val="00E26E61"/>
    <w:rsid w:val="00E327DC"/>
    <w:rsid w:val="00E32F11"/>
    <w:rsid w:val="00E4476B"/>
    <w:rsid w:val="00E47257"/>
    <w:rsid w:val="00E51043"/>
    <w:rsid w:val="00E666BC"/>
    <w:rsid w:val="00E73870"/>
    <w:rsid w:val="00E81341"/>
    <w:rsid w:val="00EA0AFA"/>
    <w:rsid w:val="00EA64FE"/>
    <w:rsid w:val="00EB4501"/>
    <w:rsid w:val="00EC5C51"/>
    <w:rsid w:val="00EC6A85"/>
    <w:rsid w:val="00ED017E"/>
    <w:rsid w:val="00EE2AD7"/>
    <w:rsid w:val="00EF444B"/>
    <w:rsid w:val="00F178A9"/>
    <w:rsid w:val="00F25732"/>
    <w:rsid w:val="00F33A14"/>
    <w:rsid w:val="00F501B1"/>
    <w:rsid w:val="00F546D9"/>
    <w:rsid w:val="00F85CF7"/>
    <w:rsid w:val="00F8685C"/>
    <w:rsid w:val="00F94ABC"/>
    <w:rsid w:val="00F95EF7"/>
    <w:rsid w:val="00FB1417"/>
    <w:rsid w:val="00FB3DD4"/>
    <w:rsid w:val="00FB409E"/>
    <w:rsid w:val="00FB4C8F"/>
    <w:rsid w:val="00FB6C13"/>
    <w:rsid w:val="00FC48B6"/>
    <w:rsid w:val="00FE1484"/>
    <w:rsid w:val="00FE1C07"/>
    <w:rsid w:val="00FE41BD"/>
    <w:rsid w:val="00FE74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AD5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DC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2"/>
      </w:numPr>
      <w:tabs>
        <w:tab w:val="left" w:pos="540"/>
      </w:tabs>
      <w:spacing w:before="100" w:line="300" w:lineRule="exact"/>
    </w:pPr>
  </w:style>
  <w:style w:type="paragraph" w:customStyle="1" w:styleId="Subpara">
    <w:name w:val="Sub para"/>
    <w:basedOn w:val="BodyText"/>
    <w:pPr>
      <w:numPr>
        <w:numId w:val="1"/>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customStyle="1" w:styleId="BodyTextChar">
    <w:name w:val="Body Text Char"/>
    <w:basedOn w:val="DefaultParagraphFont"/>
    <w:link w:val="BodyText"/>
    <w:rsid w:val="00A25DDD"/>
    <w:rPr>
      <w:sz w:val="24"/>
      <w:lang w:eastAsia="en-US"/>
    </w:rPr>
  </w:style>
  <w:style w:type="paragraph" w:styleId="BalloonText">
    <w:name w:val="Balloon Text"/>
    <w:basedOn w:val="Normal"/>
    <w:link w:val="BalloonTextChar"/>
    <w:uiPriority w:val="99"/>
    <w:semiHidden/>
    <w:unhideWhenUsed/>
    <w:rsid w:val="00AE04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4F7"/>
    <w:rPr>
      <w:rFonts w:ascii="Tahoma" w:hAnsi="Tahoma" w:cs="Tahoma"/>
      <w:sz w:val="16"/>
      <w:szCs w:val="16"/>
    </w:rPr>
  </w:style>
  <w:style w:type="paragraph" w:styleId="FootnoteText">
    <w:name w:val="footnote text"/>
    <w:basedOn w:val="Normal"/>
    <w:link w:val="FootnoteTextChar"/>
    <w:uiPriority w:val="99"/>
    <w:semiHidden/>
    <w:unhideWhenUsed/>
    <w:rsid w:val="000C1F7B"/>
    <w:pPr>
      <w:spacing w:after="0"/>
    </w:pPr>
    <w:rPr>
      <w:sz w:val="20"/>
    </w:rPr>
  </w:style>
  <w:style w:type="character" w:customStyle="1" w:styleId="FootnoteTextChar">
    <w:name w:val="Footnote Text Char"/>
    <w:basedOn w:val="DefaultParagraphFont"/>
    <w:link w:val="FootnoteText"/>
    <w:uiPriority w:val="99"/>
    <w:semiHidden/>
    <w:rsid w:val="000C1F7B"/>
  </w:style>
  <w:style w:type="character" w:styleId="FootnoteReference">
    <w:name w:val="footnote reference"/>
    <w:basedOn w:val="DefaultParagraphFont"/>
    <w:uiPriority w:val="99"/>
    <w:semiHidden/>
    <w:unhideWhenUsed/>
    <w:rsid w:val="000C1F7B"/>
    <w:rPr>
      <w:vertAlign w:val="superscript"/>
    </w:rPr>
  </w:style>
  <w:style w:type="character" w:customStyle="1" w:styleId="OPCCharBase">
    <w:name w:val="OPCCharBase"/>
    <w:uiPriority w:val="1"/>
    <w:qFormat/>
    <w:rsid w:val="007B463F"/>
  </w:style>
  <w:style w:type="paragraph" w:customStyle="1" w:styleId="LI-BodyTextUnnumbered">
    <w:name w:val="LI - Body Text Unnumbered"/>
    <w:basedOn w:val="Normal"/>
    <w:link w:val="LI-BodyTextUnnumberedChar"/>
    <w:rsid w:val="007B463F"/>
    <w:pPr>
      <w:spacing w:before="240" w:after="0"/>
      <w:ind w:left="1134"/>
    </w:pPr>
    <w:rPr>
      <w:sz w:val="24"/>
    </w:rPr>
  </w:style>
  <w:style w:type="character" w:customStyle="1" w:styleId="LI-BodyTextUnnumberedChar">
    <w:name w:val="LI - Body Text Unnumbered Char"/>
    <w:link w:val="LI-BodyTextUnnumbered"/>
    <w:rsid w:val="007B463F"/>
    <w:rPr>
      <w:sz w:val="24"/>
    </w:rPr>
  </w:style>
  <w:style w:type="paragraph" w:customStyle="1" w:styleId="ListE">
    <w:name w:val="ListE"/>
    <w:basedOn w:val="Normal"/>
    <w:next w:val="Normal"/>
    <w:rsid w:val="000C75CD"/>
    <w:pPr>
      <w:autoSpaceDE w:val="0"/>
      <w:autoSpaceDN w:val="0"/>
      <w:adjustRightInd w:val="0"/>
      <w:spacing w:before="60" w:after="60"/>
      <w:ind w:left="3555" w:hanging="720"/>
    </w:pPr>
    <w:rPr>
      <w:sz w:val="24"/>
      <w:szCs w:val="24"/>
      <w:lang w:val="en-US" w:eastAsia="en-US"/>
    </w:rPr>
  </w:style>
  <w:style w:type="paragraph" w:customStyle="1" w:styleId="Default">
    <w:name w:val="Default"/>
    <w:rsid w:val="008B462A"/>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E23614"/>
    <w:rPr>
      <w:sz w:val="16"/>
      <w:szCs w:val="16"/>
    </w:rPr>
  </w:style>
  <w:style w:type="paragraph" w:styleId="CommentSubject">
    <w:name w:val="annotation subject"/>
    <w:basedOn w:val="CommentText"/>
    <w:next w:val="CommentText"/>
    <w:link w:val="CommentSubjectChar"/>
    <w:uiPriority w:val="99"/>
    <w:semiHidden/>
    <w:unhideWhenUsed/>
    <w:rsid w:val="00E23614"/>
    <w:rPr>
      <w:b/>
      <w:bCs/>
    </w:rPr>
  </w:style>
  <w:style w:type="character" w:customStyle="1" w:styleId="CommentTextChar">
    <w:name w:val="Comment Text Char"/>
    <w:basedOn w:val="DefaultParagraphFont"/>
    <w:link w:val="CommentText"/>
    <w:semiHidden/>
    <w:rsid w:val="00E23614"/>
  </w:style>
  <w:style w:type="character" w:customStyle="1" w:styleId="CommentSubjectChar">
    <w:name w:val="Comment Subject Char"/>
    <w:basedOn w:val="CommentTextChar"/>
    <w:link w:val="CommentSubject"/>
    <w:uiPriority w:val="99"/>
    <w:semiHidden/>
    <w:rsid w:val="00E23614"/>
    <w:rPr>
      <w:b/>
      <w:bCs/>
    </w:rPr>
  </w:style>
  <w:style w:type="character" w:styleId="Hyperlink">
    <w:name w:val="Hyperlink"/>
    <w:basedOn w:val="DefaultParagraphFont"/>
    <w:uiPriority w:val="99"/>
    <w:unhideWhenUsed/>
    <w:rsid w:val="00E51043"/>
    <w:rPr>
      <w:color w:val="0000FF" w:themeColor="hyperlink"/>
      <w:u w:val="single"/>
    </w:rPr>
  </w:style>
  <w:style w:type="paragraph" w:customStyle="1" w:styleId="LI-BodyTextParaa">
    <w:name w:val="LI - Body Text Para (a)"/>
    <w:basedOn w:val="Normal"/>
    <w:link w:val="LI-BodyTextParaaChar"/>
    <w:rsid w:val="00B77CEE"/>
    <w:pPr>
      <w:spacing w:before="240" w:after="0"/>
      <w:ind w:left="1701" w:hanging="567"/>
    </w:pPr>
    <w:rPr>
      <w:sz w:val="24"/>
      <w:szCs w:val="24"/>
    </w:rPr>
  </w:style>
  <w:style w:type="character" w:customStyle="1" w:styleId="LI-BodyTextParaaChar">
    <w:name w:val="LI - Body Text Para (a) Char"/>
    <w:link w:val="LI-BodyTextParaa"/>
    <w:rsid w:val="00B77CE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DC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2"/>
      </w:numPr>
      <w:tabs>
        <w:tab w:val="left" w:pos="540"/>
      </w:tabs>
      <w:spacing w:before="100" w:line="300" w:lineRule="exact"/>
    </w:pPr>
  </w:style>
  <w:style w:type="paragraph" w:customStyle="1" w:styleId="Subpara">
    <w:name w:val="Sub para"/>
    <w:basedOn w:val="BodyText"/>
    <w:pPr>
      <w:numPr>
        <w:numId w:val="1"/>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customStyle="1" w:styleId="BodyTextChar">
    <w:name w:val="Body Text Char"/>
    <w:basedOn w:val="DefaultParagraphFont"/>
    <w:link w:val="BodyText"/>
    <w:rsid w:val="00A25DDD"/>
    <w:rPr>
      <w:sz w:val="24"/>
      <w:lang w:eastAsia="en-US"/>
    </w:rPr>
  </w:style>
  <w:style w:type="paragraph" w:styleId="BalloonText">
    <w:name w:val="Balloon Text"/>
    <w:basedOn w:val="Normal"/>
    <w:link w:val="BalloonTextChar"/>
    <w:uiPriority w:val="99"/>
    <w:semiHidden/>
    <w:unhideWhenUsed/>
    <w:rsid w:val="00AE04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4F7"/>
    <w:rPr>
      <w:rFonts w:ascii="Tahoma" w:hAnsi="Tahoma" w:cs="Tahoma"/>
      <w:sz w:val="16"/>
      <w:szCs w:val="16"/>
    </w:rPr>
  </w:style>
  <w:style w:type="paragraph" w:styleId="FootnoteText">
    <w:name w:val="footnote text"/>
    <w:basedOn w:val="Normal"/>
    <w:link w:val="FootnoteTextChar"/>
    <w:uiPriority w:val="99"/>
    <w:semiHidden/>
    <w:unhideWhenUsed/>
    <w:rsid w:val="000C1F7B"/>
    <w:pPr>
      <w:spacing w:after="0"/>
    </w:pPr>
    <w:rPr>
      <w:sz w:val="20"/>
    </w:rPr>
  </w:style>
  <w:style w:type="character" w:customStyle="1" w:styleId="FootnoteTextChar">
    <w:name w:val="Footnote Text Char"/>
    <w:basedOn w:val="DefaultParagraphFont"/>
    <w:link w:val="FootnoteText"/>
    <w:uiPriority w:val="99"/>
    <w:semiHidden/>
    <w:rsid w:val="000C1F7B"/>
  </w:style>
  <w:style w:type="character" w:styleId="FootnoteReference">
    <w:name w:val="footnote reference"/>
    <w:basedOn w:val="DefaultParagraphFont"/>
    <w:uiPriority w:val="99"/>
    <w:semiHidden/>
    <w:unhideWhenUsed/>
    <w:rsid w:val="000C1F7B"/>
    <w:rPr>
      <w:vertAlign w:val="superscript"/>
    </w:rPr>
  </w:style>
  <w:style w:type="character" w:customStyle="1" w:styleId="OPCCharBase">
    <w:name w:val="OPCCharBase"/>
    <w:uiPriority w:val="1"/>
    <w:qFormat/>
    <w:rsid w:val="007B463F"/>
  </w:style>
  <w:style w:type="paragraph" w:customStyle="1" w:styleId="LI-BodyTextUnnumbered">
    <w:name w:val="LI - Body Text Unnumbered"/>
    <w:basedOn w:val="Normal"/>
    <w:link w:val="LI-BodyTextUnnumberedChar"/>
    <w:rsid w:val="007B463F"/>
    <w:pPr>
      <w:spacing w:before="240" w:after="0"/>
      <w:ind w:left="1134"/>
    </w:pPr>
    <w:rPr>
      <w:sz w:val="24"/>
    </w:rPr>
  </w:style>
  <w:style w:type="character" w:customStyle="1" w:styleId="LI-BodyTextUnnumberedChar">
    <w:name w:val="LI - Body Text Unnumbered Char"/>
    <w:link w:val="LI-BodyTextUnnumbered"/>
    <w:rsid w:val="007B463F"/>
    <w:rPr>
      <w:sz w:val="24"/>
    </w:rPr>
  </w:style>
  <w:style w:type="paragraph" w:customStyle="1" w:styleId="ListE">
    <w:name w:val="ListE"/>
    <w:basedOn w:val="Normal"/>
    <w:next w:val="Normal"/>
    <w:rsid w:val="000C75CD"/>
    <w:pPr>
      <w:autoSpaceDE w:val="0"/>
      <w:autoSpaceDN w:val="0"/>
      <w:adjustRightInd w:val="0"/>
      <w:spacing w:before="60" w:after="60"/>
      <w:ind w:left="3555" w:hanging="720"/>
    </w:pPr>
    <w:rPr>
      <w:sz w:val="24"/>
      <w:szCs w:val="24"/>
      <w:lang w:val="en-US" w:eastAsia="en-US"/>
    </w:rPr>
  </w:style>
  <w:style w:type="paragraph" w:customStyle="1" w:styleId="Default">
    <w:name w:val="Default"/>
    <w:rsid w:val="008B462A"/>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E23614"/>
    <w:rPr>
      <w:sz w:val="16"/>
      <w:szCs w:val="16"/>
    </w:rPr>
  </w:style>
  <w:style w:type="paragraph" w:styleId="CommentSubject">
    <w:name w:val="annotation subject"/>
    <w:basedOn w:val="CommentText"/>
    <w:next w:val="CommentText"/>
    <w:link w:val="CommentSubjectChar"/>
    <w:uiPriority w:val="99"/>
    <w:semiHidden/>
    <w:unhideWhenUsed/>
    <w:rsid w:val="00E23614"/>
    <w:rPr>
      <w:b/>
      <w:bCs/>
    </w:rPr>
  </w:style>
  <w:style w:type="character" w:customStyle="1" w:styleId="CommentTextChar">
    <w:name w:val="Comment Text Char"/>
    <w:basedOn w:val="DefaultParagraphFont"/>
    <w:link w:val="CommentText"/>
    <w:semiHidden/>
    <w:rsid w:val="00E23614"/>
  </w:style>
  <w:style w:type="character" w:customStyle="1" w:styleId="CommentSubjectChar">
    <w:name w:val="Comment Subject Char"/>
    <w:basedOn w:val="CommentTextChar"/>
    <w:link w:val="CommentSubject"/>
    <w:uiPriority w:val="99"/>
    <w:semiHidden/>
    <w:rsid w:val="00E23614"/>
    <w:rPr>
      <w:b/>
      <w:bCs/>
    </w:rPr>
  </w:style>
  <w:style w:type="character" w:styleId="Hyperlink">
    <w:name w:val="Hyperlink"/>
    <w:basedOn w:val="DefaultParagraphFont"/>
    <w:uiPriority w:val="99"/>
    <w:unhideWhenUsed/>
    <w:rsid w:val="00E51043"/>
    <w:rPr>
      <w:color w:val="0000FF" w:themeColor="hyperlink"/>
      <w:u w:val="single"/>
    </w:rPr>
  </w:style>
  <w:style w:type="paragraph" w:customStyle="1" w:styleId="LI-BodyTextParaa">
    <w:name w:val="LI - Body Text Para (a)"/>
    <w:basedOn w:val="Normal"/>
    <w:link w:val="LI-BodyTextParaaChar"/>
    <w:rsid w:val="00B77CEE"/>
    <w:pPr>
      <w:spacing w:before="240" w:after="0"/>
      <w:ind w:left="1701" w:hanging="567"/>
    </w:pPr>
    <w:rPr>
      <w:sz w:val="24"/>
      <w:szCs w:val="24"/>
    </w:rPr>
  </w:style>
  <w:style w:type="character" w:customStyle="1" w:styleId="LI-BodyTextParaaChar">
    <w:name w:val="LI - Body Text Para (a) Char"/>
    <w:link w:val="LI-BodyTextParaa"/>
    <w:rsid w:val="00B77C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73127">
      <w:bodyDiv w:val="1"/>
      <w:marLeft w:val="0"/>
      <w:marRight w:val="0"/>
      <w:marTop w:val="0"/>
      <w:marBottom w:val="0"/>
      <w:divBdr>
        <w:top w:val="none" w:sz="0" w:space="0" w:color="auto"/>
        <w:left w:val="none" w:sz="0" w:space="0" w:color="auto"/>
        <w:bottom w:val="none" w:sz="0" w:space="0" w:color="auto"/>
        <w:right w:val="none" w:sz="0" w:space="0" w:color="auto"/>
      </w:divBdr>
      <w:divsChild>
        <w:div w:id="1986856497">
          <w:marLeft w:val="0"/>
          <w:marRight w:val="0"/>
          <w:marTop w:val="0"/>
          <w:marBottom w:val="0"/>
          <w:divBdr>
            <w:top w:val="none" w:sz="0" w:space="0" w:color="auto"/>
            <w:left w:val="none" w:sz="0" w:space="0" w:color="auto"/>
            <w:bottom w:val="none" w:sz="0" w:space="0" w:color="auto"/>
            <w:right w:val="none" w:sz="0" w:space="0" w:color="auto"/>
          </w:divBdr>
          <w:divsChild>
            <w:div w:id="1841850098">
              <w:marLeft w:val="0"/>
              <w:marRight w:val="0"/>
              <w:marTop w:val="0"/>
              <w:marBottom w:val="0"/>
              <w:divBdr>
                <w:top w:val="none" w:sz="0" w:space="0" w:color="auto"/>
                <w:left w:val="none" w:sz="0" w:space="0" w:color="auto"/>
                <w:bottom w:val="none" w:sz="0" w:space="0" w:color="auto"/>
                <w:right w:val="none" w:sz="0" w:space="0" w:color="auto"/>
              </w:divBdr>
              <w:divsChild>
                <w:div w:id="1739085356">
                  <w:marLeft w:val="0"/>
                  <w:marRight w:val="0"/>
                  <w:marTop w:val="100"/>
                  <w:marBottom w:val="100"/>
                  <w:divBdr>
                    <w:top w:val="none" w:sz="0" w:space="0" w:color="auto"/>
                    <w:left w:val="none" w:sz="0" w:space="0" w:color="auto"/>
                    <w:bottom w:val="none" w:sz="0" w:space="0" w:color="auto"/>
                    <w:right w:val="none" w:sz="0" w:space="0" w:color="auto"/>
                  </w:divBdr>
                  <w:divsChild>
                    <w:div w:id="868835427">
                      <w:marLeft w:val="1"/>
                      <w:marRight w:val="1"/>
                      <w:marTop w:val="0"/>
                      <w:marBottom w:val="0"/>
                      <w:divBdr>
                        <w:top w:val="none" w:sz="0" w:space="0" w:color="auto"/>
                        <w:left w:val="none" w:sz="0" w:space="0" w:color="auto"/>
                        <w:bottom w:val="none" w:sz="0" w:space="0" w:color="auto"/>
                        <w:right w:val="none" w:sz="0" w:space="0" w:color="auto"/>
                      </w:divBdr>
                      <w:divsChild>
                        <w:div w:id="1669942719">
                          <w:marLeft w:val="-1"/>
                          <w:marRight w:val="-1"/>
                          <w:marTop w:val="0"/>
                          <w:marBottom w:val="0"/>
                          <w:divBdr>
                            <w:top w:val="none" w:sz="0" w:space="0" w:color="auto"/>
                            <w:left w:val="none" w:sz="0" w:space="0" w:color="auto"/>
                            <w:bottom w:val="none" w:sz="0" w:space="0" w:color="auto"/>
                            <w:right w:val="none" w:sz="0" w:space="0" w:color="auto"/>
                          </w:divBdr>
                          <w:divsChild>
                            <w:div w:id="683282692">
                              <w:marLeft w:val="0"/>
                              <w:marRight w:val="0"/>
                              <w:marTop w:val="0"/>
                              <w:marBottom w:val="600"/>
                              <w:divBdr>
                                <w:top w:val="none" w:sz="0" w:space="0" w:color="auto"/>
                                <w:left w:val="none" w:sz="0" w:space="0" w:color="auto"/>
                                <w:bottom w:val="none" w:sz="0" w:space="0" w:color="auto"/>
                                <w:right w:val="none" w:sz="0" w:space="0" w:color="auto"/>
                              </w:divBdr>
                              <w:divsChild>
                                <w:div w:id="19368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848417">
      <w:bodyDiv w:val="1"/>
      <w:marLeft w:val="0"/>
      <w:marRight w:val="0"/>
      <w:marTop w:val="0"/>
      <w:marBottom w:val="0"/>
      <w:divBdr>
        <w:top w:val="none" w:sz="0" w:space="0" w:color="auto"/>
        <w:left w:val="none" w:sz="0" w:space="0" w:color="auto"/>
        <w:bottom w:val="none" w:sz="0" w:space="0" w:color="auto"/>
        <w:right w:val="none" w:sz="0" w:space="0" w:color="auto"/>
      </w:divBdr>
    </w:div>
    <w:div w:id="1068962643">
      <w:bodyDiv w:val="1"/>
      <w:marLeft w:val="0"/>
      <w:marRight w:val="0"/>
      <w:marTop w:val="0"/>
      <w:marBottom w:val="0"/>
      <w:divBdr>
        <w:top w:val="none" w:sz="0" w:space="0" w:color="auto"/>
        <w:left w:val="none" w:sz="0" w:space="0" w:color="auto"/>
        <w:bottom w:val="none" w:sz="0" w:space="0" w:color="auto"/>
        <w:right w:val="none" w:sz="0" w:space="0" w:color="auto"/>
      </w:divBdr>
      <w:divsChild>
        <w:div w:id="1349722319">
          <w:marLeft w:val="0"/>
          <w:marRight w:val="0"/>
          <w:marTop w:val="0"/>
          <w:marBottom w:val="0"/>
          <w:divBdr>
            <w:top w:val="none" w:sz="0" w:space="0" w:color="auto"/>
            <w:left w:val="none" w:sz="0" w:space="0" w:color="auto"/>
            <w:bottom w:val="none" w:sz="0" w:space="0" w:color="auto"/>
            <w:right w:val="none" w:sz="0" w:space="0" w:color="auto"/>
          </w:divBdr>
          <w:divsChild>
            <w:div w:id="1995524970">
              <w:marLeft w:val="0"/>
              <w:marRight w:val="0"/>
              <w:marTop w:val="0"/>
              <w:marBottom w:val="0"/>
              <w:divBdr>
                <w:top w:val="none" w:sz="0" w:space="0" w:color="auto"/>
                <w:left w:val="none" w:sz="0" w:space="0" w:color="auto"/>
                <w:bottom w:val="none" w:sz="0" w:space="0" w:color="auto"/>
                <w:right w:val="none" w:sz="0" w:space="0" w:color="auto"/>
              </w:divBdr>
              <w:divsChild>
                <w:div w:id="1998877680">
                  <w:marLeft w:val="0"/>
                  <w:marRight w:val="0"/>
                  <w:marTop w:val="100"/>
                  <w:marBottom w:val="100"/>
                  <w:divBdr>
                    <w:top w:val="none" w:sz="0" w:space="0" w:color="auto"/>
                    <w:left w:val="none" w:sz="0" w:space="0" w:color="auto"/>
                    <w:bottom w:val="none" w:sz="0" w:space="0" w:color="auto"/>
                    <w:right w:val="none" w:sz="0" w:space="0" w:color="auto"/>
                  </w:divBdr>
                  <w:divsChild>
                    <w:div w:id="657421236">
                      <w:marLeft w:val="1"/>
                      <w:marRight w:val="1"/>
                      <w:marTop w:val="0"/>
                      <w:marBottom w:val="0"/>
                      <w:divBdr>
                        <w:top w:val="none" w:sz="0" w:space="0" w:color="auto"/>
                        <w:left w:val="none" w:sz="0" w:space="0" w:color="auto"/>
                        <w:bottom w:val="none" w:sz="0" w:space="0" w:color="auto"/>
                        <w:right w:val="none" w:sz="0" w:space="0" w:color="auto"/>
                      </w:divBdr>
                      <w:divsChild>
                        <w:div w:id="5256817">
                          <w:marLeft w:val="-1"/>
                          <w:marRight w:val="-1"/>
                          <w:marTop w:val="0"/>
                          <w:marBottom w:val="0"/>
                          <w:divBdr>
                            <w:top w:val="none" w:sz="0" w:space="0" w:color="auto"/>
                            <w:left w:val="none" w:sz="0" w:space="0" w:color="auto"/>
                            <w:bottom w:val="none" w:sz="0" w:space="0" w:color="auto"/>
                            <w:right w:val="none" w:sz="0" w:space="0" w:color="auto"/>
                          </w:divBdr>
                          <w:divsChild>
                            <w:div w:id="30127086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as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1.FIS\AppData\Local\Temp\notes5C4E79\ASIC%20CLASS%20ORDER%20EXPLANATORY%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nateOrder12 xmlns="da7a9ac0-bc47-4684-84e6-3a8e9ac80c12">false</SenateOrder12>
    <p8fbc6b719804e59bcdb664964f27765 xmlns="e9348453-31dc-4ff8-a944-f262a0a992aa">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8fbc6b719804e59bcdb664964f27765>
    <Reviewers xmlns="17f478ab-373e-4295-9ff0-9b833ad01319">
      <UserInfo>
        <DisplayName/>
        <AccountId xsi:nil="true"/>
        <AccountType/>
      </UserInfo>
    </Reviewers>
    <Approvers xmlns="17f478ab-373e-4295-9ff0-9b833ad01319">
      <UserInfo>
        <DisplayName/>
        <AccountId xsi:nil="true"/>
        <AccountType/>
      </UserInfo>
    </Approvers>
    <TaxCatchAll xmlns="e9348453-31dc-4ff8-a944-f262a0a992aa">
      <Value>6</Value>
      <Value>45</Value>
      <Value>35</Value>
    </TaxCatchAll>
    <SignificantFlag xmlns="da7a9ac0-bc47-4684-84e6-3a8e9ac80c12">false</SignificantFlag>
    <RecordNumber xmlns="da7a9ac0-bc47-4684-84e6-3a8e9ac80c12">R20160000147537</RecordNumber>
    <ObjectiveID xmlns="da7a9ac0-bc47-4684-84e6-3a8e9ac80c12" xsi:nil="true"/>
    <lfd994af4f174f368903e05bb6d3ffd0 xmlns="da7a9ac0-bc47-4684-84e6-3a8e9ac80c12" xsi:nil="true"/>
    <o6f7b05c02124a86ab66ebac6d22533a xmlns="e9348453-31dc-4ff8-a944-f262a0a992aa">
      <Terms xmlns="http://schemas.microsoft.com/office/infopath/2007/PartnerControls">
        <TermInfo xmlns="http://schemas.microsoft.com/office/infopath/2007/PartnerControls">
          <TermName xmlns="http://schemas.microsoft.com/office/infopath/2007/PartnerControls">Fundraising</TermName>
          <TermId xmlns="http://schemas.microsoft.com/office/infopath/2007/PartnerControls">57247f8c-7a2c-4c30-b3fe-5e4b2518355f</TermId>
        </TermInfo>
      </Terms>
    </o6f7b05c02124a86ab66ebac6d22533a>
    <f81d19442bcb4ccea91b7b9f4cc7063b xmlns="da7a9ac0-bc47-4684-84e6-3a8e9ac80c12" xsi:nil="true"/>
    <ded95d7ab059406991d558011d18c177 xmlns="da7a9ac0-bc47-4684-84e6-3a8e9ac80c12" xsi:nil="true"/>
    <j13b61425a27404b97e911f7cc058c3a xmlns="da7a9ac0-bc47-4684-84e6-3a8e9ac80c12" xsi:nil="true"/>
    <k48e9257605e4fa884546a6d62c7455f xmlns="e9348453-31dc-4ff8-a944-f262a0a992aa">
      <Terms xmlns="http://schemas.microsoft.com/office/infopath/2007/PartnerControls"/>
    </k48e9257605e4fa884546a6d62c7455f>
    <SignificantReason xmlns="da7a9ac0-bc47-4684-84e6-3a8e9ac80c12" xsi:nil="true"/>
    <be88c94b67ae4f5686cb52243c3cb97f xmlns="e9348453-31dc-4ff8-a944-f262a0a992aa">
      <Terms xmlns="http://schemas.microsoft.com/office/infopath/2007/PartnerControls">
        <TermInfo xmlns="http://schemas.microsoft.com/office/infopath/2007/PartnerControls">
          <TermName xmlns="http://schemas.microsoft.com/office/infopath/2007/PartnerControls">Draft information sheet / guidance</TermName>
          <TermId xmlns="http://schemas.microsoft.com/office/infopath/2007/PartnerControls">4033bbf5-a63e-4c78-b5db-d9e223685187</TermId>
        </TermInfo>
      </Terms>
    </be88c94b67ae4f5686cb52243c3cb97f>
    <NotesLinks xmlns="da7a9ac0-bc47-4684-84e6-3a8e9ac80c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orporations and EMR Project Document" ma:contentTypeID="0x010100B5F685A1365F544391EF8C813B164F3A4500EE62F54289E0A64A971A02886F5F2428" ma:contentTypeVersion="24" ma:contentTypeDescription="" ma:contentTypeScope="" ma:versionID="888ca9f2f488c2346a75b4d695531a98">
  <xsd:schema xmlns:xsd="http://www.w3.org/2001/XMLSchema" xmlns:xs="http://www.w3.org/2001/XMLSchema" xmlns:p="http://schemas.microsoft.com/office/2006/metadata/properties" xmlns:ns2="da7a9ac0-bc47-4684-84e6-3a8e9ac80c12" xmlns:ns3="e9348453-31dc-4ff8-a944-f262a0a992aa" xmlns:ns4="17f478ab-373e-4295-9ff0-9b833ad01319" targetNamespace="http://schemas.microsoft.com/office/2006/metadata/properties" ma:root="true" ma:fieldsID="200fbdfdd37cc7d3a053745e836f1cf5" ns2:_="" ns3:_="" ns4:_="">
    <xsd:import namespace="da7a9ac0-bc47-4684-84e6-3a8e9ac80c12"/>
    <xsd:import namespace="e9348453-31dc-4ff8-a944-f262a0a992aa"/>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f81d19442bcb4ccea91b7b9f4cc7063b" minOccurs="0"/>
                <xsd:element ref="ns2:lfd994af4f174f368903e05bb6d3ffd0" minOccurs="0"/>
                <xsd:element ref="ns2:j13b61425a27404b97e911f7cc058c3a" minOccurs="0"/>
                <xsd:element ref="ns3:be88c94b67ae4f5686cb52243c3cb97f" minOccurs="0"/>
                <xsd:element ref="ns3:p8fbc6b719804e59bcdb664964f27765" minOccurs="0"/>
                <xsd:element ref="ns3:k48e9257605e4fa884546a6d62c7455f" minOccurs="0"/>
                <xsd:element ref="ns3:o6f7b05c02124a86ab66ebac6d22533a" minOccurs="0"/>
                <xsd:element ref="ns2:NotesLinks"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f81d19442bcb4ccea91b7b9f4cc7063b" ma:index="17" nillable="true" ma:displayName="Corps and EMR Project Category_0" ma:hidden="true" ma:internalName="f81d19442bcb4ccea91b7b9f4cc7063b" ma:readOnly="false">
      <xsd:simpleType>
        <xsd:restriction base="dms:Note"/>
      </xsd:simpleType>
    </xsd:element>
    <xsd:element name="lfd994af4f174f368903e05bb6d3ffd0" ma:index="19" nillable="true" ma:displayName="Project Subject Matter_0" ma:hidden="true" ma:internalName="lfd994af4f174f368903e05bb6d3ffd0" ma:readOnly="false">
      <xsd:simpleType>
        <xsd:restriction base="dms:Note"/>
      </xsd:simpleType>
    </xsd:element>
    <xsd:element name="j13b61425a27404b97e911f7cc058c3a" ma:index="21" nillable="true" ma:displayName="Coprs and EMR Project Document Type_0" ma:hidden="true" ma:internalName="j13b61425a27404b97e911f7cc058c3a" ma:readOnly="false">
      <xsd:simpleType>
        <xsd:restriction base="dms:Note"/>
      </xsd:simpleType>
    </xsd:element>
    <xsd:element name="NotesLinks" ma:index="27"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348453-31dc-4ff8-a944-f262a0a992aa"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57882281-a766-4cec-b1e7-8f11ca1709f1}" ma:internalName="TaxCatchAll" ma:showField="CatchAllData" ma:web="e9348453-31dc-4ff8-a944-f262a0a992a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57882281-a766-4cec-b1e7-8f11ca1709f1}" ma:internalName="TaxCatchAllLabel" ma:readOnly="true" ma:showField="CatchAllDataLabel" ma:web="e9348453-31dc-4ff8-a944-f262a0a992aa">
      <xsd:complexType>
        <xsd:complexContent>
          <xsd:extension base="dms:MultiChoiceLookup">
            <xsd:sequence>
              <xsd:element name="Value" type="dms:Lookup" maxOccurs="unbounded" minOccurs="0" nillable="true"/>
            </xsd:sequence>
          </xsd:extension>
        </xsd:complexContent>
      </xsd:complexType>
    </xsd:element>
    <xsd:element name="be88c94b67ae4f5686cb52243c3cb97f" ma:index="23" ma:taxonomy="true" ma:internalName="be88c94b67ae4f5686cb52243c3cb97f" ma:taxonomyFieldName="Coprs_x0020_and_x0020_EMR_x0020_Project_x0020_Document_x0020_Type" ma:displayName="Corps and EMR Project Document Type" ma:readOnly="false" ma:fieldId="{be88c94b-67ae-4f56-86cb-52243c3cb97f}" ma:sspId="b38671ba-7d76-46f8-b8a5-5fc3a7d6229d" ma:termSetId="0b01b704-a041-4ae4-a682-668b6997fade" ma:anchorId="b20bd28f-2c99-4a8d-b2dc-be27d16da788" ma:open="false" ma:isKeyword="false">
      <xsd:complexType>
        <xsd:sequence>
          <xsd:element ref="pc:Terms" minOccurs="0" maxOccurs="1"/>
        </xsd:sequence>
      </xsd:complexType>
    </xsd:element>
    <xsd:element name="p8fbc6b719804e59bcdb664964f27765" ma:index="24" ma:taxonomy="true" ma:internalName="p8fbc6b719804e59bcdb664964f27765" ma:taxonomyFieldName="SecurityClassification" ma:displayName="Security Classification" ma:readOnly="false" ma:default="6;#Sensitive|19fd2cb8-3e97-4464-ae71-8c2c2095d028" ma:fieldId="{98fbc6b7-1980-4e59-bcdb-664964f27765}"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k48e9257605e4fa884546a6d62c7455f" ma:index="25" nillable="true" ma:taxonomy="true" ma:internalName="k48e9257605e4fa884546a6d62c7455f" ma:taxonomyFieldName="Corps_x0020_and_x0020_EMR_x0020_Project_x0020_Category" ma:displayName="Corps and EMR Project Category" ma:readOnly="false" ma:fieldId="{448e9257-605e-4fa8-8454-6a6d62c7455f}" ma:sspId="b38671ba-7d76-46f8-b8a5-5fc3a7d6229d" ma:termSetId="0b01b704-a041-4ae4-a682-668b6997fade" ma:anchorId="ad7daaac-5606-4b12-9c8f-f950ddfe7646" ma:open="false" ma:isKeyword="false">
      <xsd:complexType>
        <xsd:sequence>
          <xsd:element ref="pc:Terms" minOccurs="0" maxOccurs="1"/>
        </xsd:sequence>
      </xsd:complexType>
    </xsd:element>
    <xsd:element name="o6f7b05c02124a86ab66ebac6d22533a" ma:index="26" ma:taxonomy="true" ma:internalName="o6f7b05c02124a86ab66ebac6d22533a" ma:taxonomyFieldName="Project_x0020_Subject_x0020_Matter" ma:displayName="Corps and EMR Project Subject Matter" ma:readOnly="false" ma:fieldId="{86f7b05c-0212-4a86-ab66-ebac6d22533a}" ma:sspId="b38671ba-7d76-46f8-b8a5-5fc3a7d6229d" ma:termSetId="0b01b704-a041-4ae4-a682-668b6997fade" ma:anchorId="c7bd51d9-2117-439c-8f58-7844e90a3f0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8"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9"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45ACF-C33F-494A-9442-12B5905E5817}"/>
</file>

<file path=customXml/itemProps2.xml><?xml version="1.0" encoding="utf-8"?>
<ds:datastoreItem xmlns:ds="http://schemas.openxmlformats.org/officeDocument/2006/customXml" ds:itemID="{E6BA675F-BC3C-4CD0-80F5-C127E9E59947}"/>
</file>

<file path=customXml/itemProps3.xml><?xml version="1.0" encoding="utf-8"?>
<ds:datastoreItem xmlns:ds="http://schemas.openxmlformats.org/officeDocument/2006/customXml" ds:itemID="{35A7816A-FE39-43EA-B173-007FE8694F18}"/>
</file>

<file path=customXml/itemProps4.xml><?xml version="1.0" encoding="utf-8"?>
<ds:datastoreItem xmlns:ds="http://schemas.openxmlformats.org/officeDocument/2006/customXml" ds:itemID="{9807BD16-3D79-4C68-B689-3F07A15D5350}"/>
</file>

<file path=customXml/itemProps5.xml><?xml version="1.0" encoding="utf-8"?>
<ds:datastoreItem xmlns:ds="http://schemas.openxmlformats.org/officeDocument/2006/customXml" ds:itemID="{2F842320-5634-4272-8176-2C229382C4C8}"/>
</file>

<file path=docProps/app.xml><?xml version="1.0" encoding="utf-8"?>
<Properties xmlns="http://schemas.openxmlformats.org/officeDocument/2006/extended-properties" xmlns:vt="http://schemas.openxmlformats.org/officeDocument/2006/docPropsVTypes">
  <Template>ASIC CLASS ORDER EXPLANATORY STATEMENT TEMPLATE.dotx</Template>
  <TotalTime>24</TotalTime>
  <Pages>10</Pages>
  <Words>3225</Words>
  <Characters>18383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21565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
  <cp:lastModifiedBy>michael.jukes</cp:lastModifiedBy>
  <cp:revision>5</cp:revision>
  <cp:lastPrinted>2016-03-09T00:28:00Z</cp:lastPrinted>
  <dcterms:created xsi:type="dcterms:W3CDTF">2016-03-09T04:32:00Z</dcterms:created>
  <dcterms:modified xsi:type="dcterms:W3CDTF">2016-03-10T01:49:00Z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B965938</vt:lpwstr>
  </property>
  <property fmtid="{D5CDD505-2E9C-101B-9397-08002B2CF9AE}" pid="4" name="Objective-Title">
    <vt:lpwstr>Explanatory Statement - ASIC Corporations (Consent to include statements in regulated documents) Instrument 2015</vt:lpwstr>
  </property>
  <property fmtid="{D5CDD505-2E9C-101B-9397-08002B2CF9AE}" pid="5" name="Objective-Comment">
    <vt:lpwstr>
    </vt:lpwstr>
  </property>
  <property fmtid="{D5CDD505-2E9C-101B-9397-08002B2CF9AE}" pid="6" name="Objective-CreationStamp">
    <vt:filetime>2015-05-27T06:18:34Z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2015-06-22T02:31:31Z</vt:filetime>
  </property>
  <property fmtid="{D5CDD505-2E9C-101B-9397-08002B2CF9AE}" pid="10" name="Objective-ModificationStamp">
    <vt:filetime>2015-11-05T03:43:23Z</vt:filetime>
  </property>
  <property fmtid="{D5CDD505-2E9C-101B-9397-08002B2CF9AE}" pid="11" name="Objective-Owner">
    <vt:lpwstr>Joshua Fisher</vt:lpwstr>
  </property>
  <property fmtid="{D5CDD505-2E9C-101B-9397-08002B2CF9AE}" pid="12" name="Objective-Path">
    <vt:lpwstr>BCS:ASIC:REGULATION &amp; COMPLIANCE:Business Activity Projects:Corporations Projects:Market Disclosure:Fundraising Sunsetting Project:Explanatory Statements:</vt:lpwstr>
  </property>
  <property fmtid="{D5CDD505-2E9C-101B-9397-08002B2CF9AE}" pid="13" name="Objective-Parent">
    <vt:lpwstr>Explanatory Statements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10</vt:i4>
  </property>
  <property fmtid="{D5CDD505-2E9C-101B-9397-08002B2CF9AE}" pid="17" name="Objective-VersionComment">
    <vt:lpwstr>
    </vt:lpwstr>
  </property>
  <property fmtid="{D5CDD505-2E9C-101B-9397-08002B2CF9AE}" pid="18" name="Objective-FileNumber">
    <vt:lpwstr>2014 - 002281</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Order">
    <vt:r8>13500</vt:r8>
  </property>
  <property fmtid="{D5CDD505-2E9C-101B-9397-08002B2CF9AE}" pid="23" name="MailAttachments">
    <vt:bool>false</vt:bool>
  </property>
  <property fmtid="{D5CDD505-2E9C-101B-9397-08002B2CF9AE}" pid="24" name="ContentTypeId">
    <vt:lpwstr>0x010100B5F685A1365F544391EF8C813B164F3A4500EE62F54289E0A64A971A02886F5F2428</vt:lpwstr>
  </property>
  <property fmtid="{D5CDD505-2E9C-101B-9397-08002B2CF9AE}" pid="25" name="SecurityClassification">
    <vt:lpwstr>6;#Sensitive|19fd2cb8-3e97-4464-ae71-8c2c2095d028</vt:lpwstr>
  </property>
  <property fmtid="{D5CDD505-2E9C-101B-9397-08002B2CF9AE}" pid="26" name="Project Subject Matter">
    <vt:lpwstr>35;#Fundraising|57247f8c-7a2c-4c30-b3fe-5e4b2518355f</vt:lpwstr>
  </property>
  <property fmtid="{D5CDD505-2E9C-101B-9397-08002B2CF9AE}" pid="27" name="Corps_x0020_and_x0020_EMR_x0020_Project_x0020_Category">
    <vt:lpwstr/>
  </property>
  <property fmtid="{D5CDD505-2E9C-101B-9397-08002B2CF9AE}" pid="28" name="Coprs and EMR Project Document Type">
    <vt:lpwstr>45;#Draft information sheet / guidance|4033bbf5-a63e-4c78-b5db-d9e223685187</vt:lpwstr>
  </property>
  <property fmtid="{D5CDD505-2E9C-101B-9397-08002B2CF9AE}" pid="29" name="Corps and EMR Project Category">
    <vt:lpwstr/>
  </property>
  <property fmtid="{D5CDD505-2E9C-101B-9397-08002B2CF9AE}" pid="30" name="RecordPoint_WorkflowType">
    <vt:lpwstr>ActiveSubmitStub</vt:lpwstr>
  </property>
  <property fmtid="{D5CDD505-2E9C-101B-9397-08002B2CF9AE}" pid="31" name="RecordPoint_ActiveItemWebId">
    <vt:lpwstr>{e9348453-31dc-4ff8-a944-f262a0a992aa}</vt:lpwstr>
  </property>
  <property fmtid="{D5CDD505-2E9C-101B-9397-08002B2CF9AE}" pid="32" name="RecordPoint_ActiveItemSiteId">
    <vt:lpwstr>{391948b1-0a6e-44a7-97de-e041c6b33d8e}</vt:lpwstr>
  </property>
  <property fmtid="{D5CDD505-2E9C-101B-9397-08002B2CF9AE}" pid="33" name="RecordPoint_ActiveItemListId">
    <vt:lpwstr>{cc56f702-e3e0-43ff-9052-466a84efb4bf}</vt:lpwstr>
  </property>
  <property fmtid="{D5CDD505-2E9C-101B-9397-08002B2CF9AE}" pid="34" name="RecordPoint_ActiveItemUniqueId">
    <vt:lpwstr>{fc3b19a5-ca5d-4192-b6f0-39b1fb6ef04e}</vt:lpwstr>
  </property>
  <property fmtid="{D5CDD505-2E9C-101B-9397-08002B2CF9AE}" pid="35" name="RecordPoint_RecordNumberSubmitted">
    <vt:lpwstr>R20160000147537</vt:lpwstr>
  </property>
  <property fmtid="{D5CDD505-2E9C-101B-9397-08002B2CF9AE}" pid="36" name="IconOverlay">
    <vt:lpwstr/>
  </property>
  <property fmtid="{D5CDD505-2E9C-101B-9397-08002B2CF9AE}" pid="37" name="RecordPoint_SubmissionCompleted">
    <vt:lpwstr>2016-03-10T04:17:08.4537038+11:00</vt:lpwstr>
  </property>
  <property fmtid="{D5CDD505-2E9C-101B-9397-08002B2CF9AE}" pid="38" name="RecordPoint_SubmissionDate">
    <vt:lpwstr/>
  </property>
  <property fmtid="{D5CDD505-2E9C-101B-9397-08002B2CF9AE}" pid="39" name="RecordPoint_ActiveItemMoved">
    <vt:lpwstr/>
  </property>
  <property fmtid="{D5CDD505-2E9C-101B-9397-08002B2CF9AE}" pid="40" name="RecordPoint_RecordFormat">
    <vt:lpwstr/>
  </property>
</Properties>
</file>