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rsidP="0092104E">
      <w:pPr>
        <w:pStyle w:val="Title"/>
        <w:spacing w:after="0"/>
        <w:jc w:val="left"/>
      </w:pPr>
    </w:p>
    <w:p w:rsidR="0092104E" w:rsidRDefault="005B0E3A" w:rsidP="00D70A47">
      <w:pPr>
        <w:spacing w:after="0"/>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STATEMENT for</w:t>
      </w:r>
    </w:p>
    <w:p w:rsidR="005B0E3A" w:rsidRDefault="005B0E3A" w:rsidP="00D70A47">
      <w:pPr>
        <w:spacing w:after="0"/>
        <w:jc w:val="center"/>
        <w:rPr>
          <w:b/>
          <w:color w:val="000000"/>
          <w:spacing w:val="-1"/>
          <w:sz w:val="28"/>
        </w:rPr>
      </w:pPr>
      <w:r>
        <w:rPr>
          <w:b/>
          <w:color w:val="000000"/>
          <w:spacing w:val="-1"/>
          <w:sz w:val="28"/>
        </w:rPr>
        <w:br/>
      </w:r>
      <w:r w:rsidR="0092104E">
        <w:rPr>
          <w:b/>
          <w:color w:val="000000"/>
          <w:spacing w:val="-1"/>
          <w:sz w:val="28"/>
        </w:rPr>
        <w:t>ASIC CORPORATIONS (CONSENTS TO STATEMENTS) INSTRUMENT 2016/72</w:t>
      </w:r>
    </w:p>
    <w:p w:rsidR="0092104E" w:rsidRDefault="0092104E" w:rsidP="0092104E">
      <w:pPr>
        <w:spacing w:after="0"/>
        <w:rPr>
          <w:sz w:val="28"/>
          <w:szCs w:val="28"/>
        </w:rPr>
      </w:pPr>
    </w:p>
    <w:p w:rsidR="005B0E3A" w:rsidRDefault="005B0E3A" w:rsidP="00D70A47">
      <w:pPr>
        <w:pStyle w:val="BodyText"/>
        <w:spacing w:before="0" w:line="240" w:lineRule="auto"/>
        <w:jc w:val="center"/>
      </w:pPr>
      <w:r>
        <w:t>Prepared by the Australian Securities and Investments Commission</w:t>
      </w:r>
    </w:p>
    <w:p w:rsidR="005B0E3A" w:rsidRDefault="005B0E3A" w:rsidP="00D70A47">
      <w:pPr>
        <w:spacing w:after="0"/>
        <w:jc w:val="center"/>
      </w:pPr>
    </w:p>
    <w:p w:rsidR="005B0E3A" w:rsidRDefault="005B0E3A" w:rsidP="00D70A47">
      <w:pPr>
        <w:spacing w:after="0"/>
        <w:jc w:val="center"/>
        <w:rPr>
          <w:sz w:val="24"/>
          <w:szCs w:val="24"/>
        </w:rPr>
      </w:pPr>
      <w:r>
        <w:rPr>
          <w:i/>
          <w:sz w:val="24"/>
        </w:rPr>
        <w:t>Corporations Act 2001</w:t>
      </w:r>
    </w:p>
    <w:p w:rsidR="00DB6845" w:rsidRDefault="00DB6845" w:rsidP="0092104E">
      <w:pPr>
        <w:pStyle w:val="BodyText"/>
        <w:spacing w:before="0" w:line="240" w:lineRule="auto"/>
      </w:pPr>
    </w:p>
    <w:p w:rsidR="004C4D62" w:rsidRDefault="005B0E3A" w:rsidP="0092104E">
      <w:pPr>
        <w:pStyle w:val="BodyText"/>
        <w:spacing w:before="0" w:line="240" w:lineRule="auto"/>
        <w:rPr>
          <w:szCs w:val="24"/>
        </w:rPr>
      </w:pPr>
      <w:r w:rsidRPr="00271E30">
        <w:t xml:space="preserve">The Australian Securities and </w:t>
      </w:r>
      <w:r w:rsidRPr="00271E30">
        <w:rPr>
          <w:spacing w:val="-1"/>
        </w:rPr>
        <w:t>Investments</w:t>
      </w:r>
      <w:r w:rsidRPr="00271E30">
        <w:t xml:space="preserve"> </w:t>
      </w:r>
      <w:r w:rsidRPr="00271E30">
        <w:rPr>
          <w:spacing w:val="-1"/>
        </w:rPr>
        <w:t>Commission</w:t>
      </w:r>
      <w:r w:rsidRPr="00271E30">
        <w:t xml:space="preserve"> (</w:t>
      </w:r>
      <w:r w:rsidRPr="00271E30">
        <w:rPr>
          <w:b/>
          <w:i/>
        </w:rPr>
        <w:t>ASIC</w:t>
      </w:r>
      <w:r w:rsidRPr="00271E30">
        <w:t xml:space="preserve">) </w:t>
      </w:r>
      <w:r w:rsidRPr="00271E30">
        <w:rPr>
          <w:spacing w:val="-1"/>
        </w:rPr>
        <w:t>makes</w:t>
      </w:r>
      <w:r w:rsidRPr="00271E30">
        <w:t xml:space="preserve"> </w:t>
      </w:r>
      <w:r w:rsidR="00271E30" w:rsidRPr="00271E30">
        <w:t>ASIC Corporations (Consent</w:t>
      </w:r>
      <w:r w:rsidR="004C4D62">
        <w:t>s to Statements</w:t>
      </w:r>
      <w:r w:rsidR="009D34D0">
        <w:t>) Instrument 2016</w:t>
      </w:r>
      <w:r w:rsidR="0092104E">
        <w:t>/72</w:t>
      </w:r>
      <w:r w:rsidRPr="00271E30">
        <w:rPr>
          <w:spacing w:val="-1"/>
        </w:rPr>
        <w:t xml:space="preserve"> under </w:t>
      </w:r>
      <w:r w:rsidR="00271E30" w:rsidRPr="00271E30">
        <w:rPr>
          <w:szCs w:val="24"/>
        </w:rPr>
        <w:t xml:space="preserve">sections 655A, 741 and 1020F of the </w:t>
      </w:r>
      <w:r w:rsidR="00271E30" w:rsidRPr="00271E30">
        <w:rPr>
          <w:i/>
          <w:szCs w:val="24"/>
        </w:rPr>
        <w:t>Corporations Act 2001</w:t>
      </w:r>
      <w:r w:rsidR="00271E30" w:rsidRPr="00271E30">
        <w:rPr>
          <w:szCs w:val="24"/>
        </w:rPr>
        <w:t xml:space="preserve"> (the </w:t>
      </w:r>
      <w:r w:rsidR="00271E30" w:rsidRPr="00271E30">
        <w:rPr>
          <w:b/>
          <w:i/>
          <w:szCs w:val="24"/>
        </w:rPr>
        <w:t>Act</w:t>
      </w:r>
      <w:r w:rsidR="00271E30" w:rsidRPr="00271E30">
        <w:rPr>
          <w:szCs w:val="24"/>
        </w:rPr>
        <w:t>).</w:t>
      </w:r>
    </w:p>
    <w:p w:rsidR="00907183" w:rsidRDefault="00907183" w:rsidP="0092104E">
      <w:pPr>
        <w:pStyle w:val="BodyText"/>
        <w:spacing w:before="0" w:line="240" w:lineRule="auto"/>
        <w:rPr>
          <w:szCs w:val="24"/>
        </w:rPr>
      </w:pPr>
    </w:p>
    <w:p w:rsidR="00907183" w:rsidRPr="00E666BC" w:rsidRDefault="00E666BC" w:rsidP="0092104E">
      <w:pPr>
        <w:pStyle w:val="BodyText"/>
        <w:spacing w:before="0" w:line="240" w:lineRule="auto"/>
        <w:rPr>
          <w:szCs w:val="24"/>
        </w:rPr>
      </w:pPr>
      <w:r w:rsidRPr="00E666BC">
        <w:rPr>
          <w:szCs w:val="24"/>
        </w:rPr>
        <w:t>Paragraphs 655A(1)(b)</w:t>
      </w:r>
      <w:r>
        <w:rPr>
          <w:szCs w:val="24"/>
        </w:rPr>
        <w:t xml:space="preserve">, </w:t>
      </w:r>
      <w:r w:rsidRPr="00E666BC">
        <w:rPr>
          <w:szCs w:val="24"/>
        </w:rPr>
        <w:t>741(1)(b)</w:t>
      </w:r>
      <w:r>
        <w:rPr>
          <w:szCs w:val="24"/>
        </w:rPr>
        <w:t xml:space="preserve"> and 1020F(1)(c)</w:t>
      </w:r>
      <w:r w:rsidRPr="00E666BC">
        <w:rPr>
          <w:szCs w:val="24"/>
        </w:rPr>
        <w:t xml:space="preserve"> respectively provide that ASIC may declare that Chapters 6</w:t>
      </w:r>
      <w:r>
        <w:rPr>
          <w:szCs w:val="24"/>
        </w:rPr>
        <w:t xml:space="preserve">, </w:t>
      </w:r>
      <w:r w:rsidRPr="00E666BC">
        <w:rPr>
          <w:szCs w:val="24"/>
        </w:rPr>
        <w:t>6D</w:t>
      </w:r>
      <w:r>
        <w:rPr>
          <w:szCs w:val="24"/>
        </w:rPr>
        <w:t xml:space="preserve"> and Part 7.9</w:t>
      </w:r>
      <w:r w:rsidRPr="00E666BC">
        <w:rPr>
          <w:szCs w:val="24"/>
        </w:rPr>
        <w:t xml:space="preserve"> of the Act apply to a person as if specified provisions were omitted, modified or varied as specified in the declaration.</w:t>
      </w:r>
      <w:r w:rsidR="00907183">
        <w:rPr>
          <w:spacing w:val="-1"/>
        </w:rPr>
        <w:t xml:space="preserve"> </w:t>
      </w:r>
    </w:p>
    <w:p w:rsidR="009D73CD" w:rsidRPr="00286533" w:rsidRDefault="009D73CD" w:rsidP="0092104E">
      <w:pPr>
        <w:pStyle w:val="BodyText"/>
        <w:spacing w:before="0" w:line="240" w:lineRule="auto"/>
        <w:rPr>
          <w:highlight w:val="yellow"/>
        </w:rPr>
      </w:pPr>
    </w:p>
    <w:p w:rsidR="00566718" w:rsidRPr="00E666BC" w:rsidRDefault="005B0E3A" w:rsidP="0092104E">
      <w:pPr>
        <w:widowControl w:val="0"/>
        <w:numPr>
          <w:ilvl w:val="0"/>
          <w:numId w:val="7"/>
        </w:numPr>
        <w:tabs>
          <w:tab w:val="left" w:pos="567"/>
        </w:tabs>
        <w:spacing w:after="0"/>
        <w:ind w:left="0" w:firstLine="0"/>
        <w:rPr>
          <w:rFonts w:ascii="Arial" w:eastAsia="Arial" w:hAnsi="Arial" w:cs="Arial"/>
          <w:sz w:val="24"/>
          <w:szCs w:val="24"/>
        </w:rPr>
      </w:pPr>
      <w:bookmarkStart w:id="0" w:name="1._Background"/>
      <w:bookmarkEnd w:id="0"/>
      <w:r w:rsidRPr="00FC48B6">
        <w:rPr>
          <w:rFonts w:ascii="Arial"/>
          <w:b/>
          <w:spacing w:val="-1"/>
          <w:sz w:val="24"/>
        </w:rPr>
        <w:t>Background</w:t>
      </w:r>
    </w:p>
    <w:p w:rsidR="006D1C5B" w:rsidRPr="002A44B3" w:rsidRDefault="006D1C5B" w:rsidP="0092104E">
      <w:pPr>
        <w:spacing w:after="0"/>
        <w:rPr>
          <w:sz w:val="24"/>
          <w:szCs w:val="24"/>
        </w:rPr>
      </w:pPr>
    </w:p>
    <w:p w:rsidR="00E666BC" w:rsidRDefault="00E666BC" w:rsidP="0092104E">
      <w:pPr>
        <w:spacing w:after="0"/>
        <w:rPr>
          <w:sz w:val="24"/>
          <w:szCs w:val="24"/>
        </w:rPr>
      </w:pPr>
      <w:r w:rsidRPr="00E666BC">
        <w:rPr>
          <w:sz w:val="24"/>
          <w:szCs w:val="24"/>
        </w:rPr>
        <w:t>Chapter 6 of the Act relates to takeover bids and Chapter 6D relates to fundraising.</w:t>
      </w:r>
      <w:r>
        <w:rPr>
          <w:sz w:val="24"/>
          <w:szCs w:val="24"/>
        </w:rPr>
        <w:t xml:space="preserve"> Part 7.9 deals with financial product disclosure.</w:t>
      </w:r>
    </w:p>
    <w:p w:rsidR="00E666BC" w:rsidRPr="00E666BC" w:rsidRDefault="00E666BC" w:rsidP="00F95EF7">
      <w:pPr>
        <w:spacing w:after="0"/>
        <w:jc w:val="center"/>
        <w:rPr>
          <w:sz w:val="24"/>
          <w:szCs w:val="24"/>
        </w:rPr>
      </w:pPr>
    </w:p>
    <w:p w:rsidR="00E666BC" w:rsidRDefault="00E666BC" w:rsidP="0092104E">
      <w:pPr>
        <w:spacing w:after="0"/>
        <w:rPr>
          <w:sz w:val="24"/>
          <w:szCs w:val="24"/>
        </w:rPr>
      </w:pPr>
      <w:r w:rsidRPr="00E666BC">
        <w:rPr>
          <w:sz w:val="24"/>
          <w:szCs w:val="24"/>
        </w:rPr>
        <w:t>The Act allows a bidder’s and target’s statement in relation to a takeover bid</w:t>
      </w:r>
      <w:r>
        <w:rPr>
          <w:sz w:val="24"/>
          <w:szCs w:val="24"/>
        </w:rPr>
        <w:t xml:space="preserve"> under Chapter 6</w:t>
      </w:r>
      <w:r w:rsidRPr="00E666BC">
        <w:rPr>
          <w:sz w:val="24"/>
          <w:szCs w:val="24"/>
        </w:rPr>
        <w:t>,</w:t>
      </w:r>
      <w:r>
        <w:rPr>
          <w:sz w:val="24"/>
          <w:szCs w:val="24"/>
        </w:rPr>
        <w:t xml:space="preserve"> </w:t>
      </w:r>
      <w:r w:rsidRPr="00E666BC">
        <w:rPr>
          <w:sz w:val="24"/>
          <w:szCs w:val="24"/>
        </w:rPr>
        <w:t>a fundraising disclosure document</w:t>
      </w:r>
      <w:r>
        <w:rPr>
          <w:sz w:val="24"/>
          <w:szCs w:val="24"/>
        </w:rPr>
        <w:t xml:space="preserve"> under Chapter 6D and a product disclosure statement under Part 7.9</w:t>
      </w:r>
      <w:r w:rsidRPr="00E666BC">
        <w:rPr>
          <w:sz w:val="24"/>
          <w:szCs w:val="24"/>
        </w:rPr>
        <w:t>, to include statements attributed to, or based on a statement made by another person (e.g. an expert or advisor), but only if:</w:t>
      </w:r>
    </w:p>
    <w:p w:rsidR="00E666BC" w:rsidRPr="00E666BC" w:rsidRDefault="00E666BC" w:rsidP="0092104E">
      <w:pPr>
        <w:spacing w:after="0"/>
        <w:rPr>
          <w:sz w:val="24"/>
          <w:szCs w:val="24"/>
        </w:rPr>
      </w:pPr>
    </w:p>
    <w:p w:rsidR="00E666BC" w:rsidRPr="00E666BC" w:rsidRDefault="00E666BC" w:rsidP="0092104E">
      <w:pPr>
        <w:numPr>
          <w:ilvl w:val="0"/>
          <w:numId w:val="43"/>
        </w:numPr>
        <w:spacing w:after="0"/>
        <w:ind w:left="567" w:hanging="567"/>
        <w:rPr>
          <w:sz w:val="24"/>
          <w:szCs w:val="24"/>
        </w:rPr>
      </w:pPr>
      <w:r w:rsidRPr="00E666BC">
        <w:rPr>
          <w:sz w:val="24"/>
          <w:szCs w:val="24"/>
        </w:rPr>
        <w:t>the person has consented to the statement being included in the document, or accompanying it, in the form and context in which it is included;</w:t>
      </w:r>
      <w:r w:rsidRPr="00E666BC">
        <w:rPr>
          <w:sz w:val="24"/>
          <w:szCs w:val="24"/>
        </w:rPr>
        <w:br/>
      </w:r>
    </w:p>
    <w:p w:rsidR="00E666BC" w:rsidRPr="00E666BC" w:rsidRDefault="00E666BC" w:rsidP="0092104E">
      <w:pPr>
        <w:numPr>
          <w:ilvl w:val="0"/>
          <w:numId w:val="43"/>
        </w:numPr>
        <w:spacing w:after="0"/>
        <w:ind w:left="567" w:hanging="567"/>
        <w:rPr>
          <w:sz w:val="24"/>
          <w:szCs w:val="24"/>
        </w:rPr>
      </w:pPr>
      <w:r w:rsidRPr="00E666BC">
        <w:rPr>
          <w:sz w:val="24"/>
          <w:szCs w:val="24"/>
        </w:rPr>
        <w:t>the document states that the person has given this consent; and</w:t>
      </w:r>
      <w:r w:rsidRPr="00E666BC">
        <w:rPr>
          <w:sz w:val="24"/>
          <w:szCs w:val="24"/>
        </w:rPr>
        <w:br/>
      </w:r>
    </w:p>
    <w:p w:rsidR="00E666BC" w:rsidRDefault="00E666BC" w:rsidP="0092104E">
      <w:pPr>
        <w:numPr>
          <w:ilvl w:val="0"/>
          <w:numId w:val="43"/>
        </w:numPr>
        <w:spacing w:after="0"/>
        <w:ind w:left="567" w:hanging="567"/>
        <w:rPr>
          <w:sz w:val="24"/>
          <w:szCs w:val="24"/>
        </w:rPr>
      </w:pPr>
      <w:r w:rsidRPr="00E666BC">
        <w:rPr>
          <w:sz w:val="24"/>
          <w:szCs w:val="24"/>
        </w:rPr>
        <w:t>the person has not withdrawn this consent before the document is lodged with ASIC.</w:t>
      </w:r>
    </w:p>
    <w:p w:rsidR="00E666BC" w:rsidRPr="00E666BC" w:rsidRDefault="00E666BC" w:rsidP="0092104E">
      <w:pPr>
        <w:spacing w:after="0"/>
        <w:ind w:left="720"/>
        <w:rPr>
          <w:sz w:val="24"/>
          <w:szCs w:val="24"/>
        </w:rPr>
      </w:pPr>
    </w:p>
    <w:p w:rsidR="00E666BC" w:rsidRDefault="00E666BC" w:rsidP="0092104E">
      <w:pPr>
        <w:spacing w:after="0"/>
        <w:rPr>
          <w:sz w:val="24"/>
          <w:szCs w:val="24"/>
        </w:rPr>
      </w:pPr>
      <w:r w:rsidRPr="00E666BC">
        <w:rPr>
          <w:sz w:val="24"/>
          <w:szCs w:val="24"/>
        </w:rPr>
        <w:t xml:space="preserve">ASIC has previously granted relief, exempting </w:t>
      </w:r>
      <w:r w:rsidR="009D34D0">
        <w:rPr>
          <w:sz w:val="24"/>
          <w:szCs w:val="24"/>
        </w:rPr>
        <w:t xml:space="preserve">bidders, targets and </w:t>
      </w:r>
      <w:r w:rsidR="00813423">
        <w:rPr>
          <w:sz w:val="24"/>
          <w:szCs w:val="24"/>
        </w:rPr>
        <w:t>issuers</w:t>
      </w:r>
      <w:r w:rsidRPr="00E666BC">
        <w:rPr>
          <w:sz w:val="24"/>
          <w:szCs w:val="24"/>
        </w:rPr>
        <w:t>, as the case may be, from the requirement to obtain consent when citing and quoting certain sources.</w:t>
      </w:r>
    </w:p>
    <w:p w:rsidR="00E666BC" w:rsidRDefault="00E666BC" w:rsidP="0092104E">
      <w:pPr>
        <w:spacing w:after="0"/>
        <w:rPr>
          <w:sz w:val="24"/>
          <w:szCs w:val="24"/>
        </w:rPr>
      </w:pPr>
    </w:p>
    <w:p w:rsidR="004A44B1" w:rsidRPr="0092104E" w:rsidRDefault="00813423" w:rsidP="0092104E">
      <w:pPr>
        <w:spacing w:after="0"/>
        <w:rPr>
          <w:b/>
          <w:i/>
          <w:sz w:val="24"/>
          <w:szCs w:val="24"/>
        </w:rPr>
      </w:pPr>
      <w:r w:rsidRPr="0092104E">
        <w:rPr>
          <w:b/>
          <w:i/>
          <w:sz w:val="24"/>
          <w:szCs w:val="24"/>
        </w:rPr>
        <w:t>Statements made by official persons, contained in public official documents or already published in a book, journal or comparable publ</w:t>
      </w:r>
      <w:r w:rsidR="0092104E">
        <w:rPr>
          <w:b/>
          <w:i/>
          <w:sz w:val="24"/>
          <w:szCs w:val="24"/>
        </w:rPr>
        <w:t>ication</w:t>
      </w:r>
    </w:p>
    <w:p w:rsidR="004A44B1" w:rsidRPr="00E666BC" w:rsidRDefault="004A44B1" w:rsidP="0092104E">
      <w:pPr>
        <w:spacing w:after="0"/>
        <w:rPr>
          <w:sz w:val="24"/>
          <w:szCs w:val="24"/>
        </w:rPr>
      </w:pPr>
    </w:p>
    <w:p w:rsidR="00E666BC" w:rsidRDefault="00E666BC" w:rsidP="0092104E">
      <w:pPr>
        <w:spacing w:after="0"/>
        <w:rPr>
          <w:sz w:val="24"/>
          <w:szCs w:val="24"/>
        </w:rPr>
      </w:pPr>
      <w:r w:rsidRPr="00E666BC">
        <w:rPr>
          <w:sz w:val="24"/>
          <w:szCs w:val="24"/>
        </w:rPr>
        <w:t xml:space="preserve">Class Order [CO </w:t>
      </w:r>
      <w:r w:rsidR="00813423">
        <w:rPr>
          <w:sz w:val="24"/>
          <w:szCs w:val="24"/>
        </w:rPr>
        <w:t>13/523</w:t>
      </w:r>
      <w:r w:rsidRPr="00E666BC">
        <w:rPr>
          <w:sz w:val="24"/>
          <w:szCs w:val="24"/>
        </w:rPr>
        <w:t>] enabled an issuer to make a statement in a disclosure document without obtaining consent, which cites or is based on statements made by an official person, contained in a public official document or already published in a book, journal or comparable publication.</w:t>
      </w:r>
      <w:r w:rsidR="004A44B1">
        <w:rPr>
          <w:sz w:val="24"/>
          <w:szCs w:val="24"/>
        </w:rPr>
        <w:t xml:space="preserve"> </w:t>
      </w:r>
      <w:r w:rsidR="00813423">
        <w:rPr>
          <w:sz w:val="24"/>
          <w:szCs w:val="24"/>
        </w:rPr>
        <w:t>Class Order [</w:t>
      </w:r>
      <w:r w:rsidR="0092104E">
        <w:rPr>
          <w:sz w:val="24"/>
          <w:szCs w:val="24"/>
        </w:rPr>
        <w:t xml:space="preserve">CO </w:t>
      </w:r>
      <w:r w:rsidR="00813423">
        <w:rPr>
          <w:sz w:val="24"/>
          <w:szCs w:val="24"/>
        </w:rPr>
        <w:t xml:space="preserve">13/523] gave similar relief to a bidder in relation to a bidders’ statement, and a target in relation to a target’s statement. </w:t>
      </w:r>
      <w:r w:rsidR="004A44B1">
        <w:rPr>
          <w:sz w:val="24"/>
          <w:szCs w:val="24"/>
        </w:rPr>
        <w:t>Class Order [</w:t>
      </w:r>
      <w:r w:rsidR="00AD31A9">
        <w:rPr>
          <w:sz w:val="24"/>
          <w:szCs w:val="24"/>
        </w:rPr>
        <w:t xml:space="preserve">CO </w:t>
      </w:r>
      <w:r w:rsidR="004A44B1">
        <w:rPr>
          <w:sz w:val="24"/>
          <w:szCs w:val="24"/>
        </w:rPr>
        <w:t xml:space="preserve">02/141] provided analogous relief for product disclosure statements. </w:t>
      </w:r>
    </w:p>
    <w:p w:rsidR="00E666BC" w:rsidRPr="00E666BC" w:rsidRDefault="00E666BC" w:rsidP="0092104E">
      <w:pPr>
        <w:spacing w:after="0"/>
        <w:rPr>
          <w:sz w:val="24"/>
          <w:szCs w:val="24"/>
        </w:rPr>
      </w:pPr>
    </w:p>
    <w:p w:rsidR="00E666BC" w:rsidRPr="00E666BC" w:rsidRDefault="00E666BC" w:rsidP="0092104E">
      <w:pPr>
        <w:spacing w:after="0"/>
        <w:rPr>
          <w:iCs/>
          <w:sz w:val="24"/>
          <w:szCs w:val="24"/>
        </w:rPr>
      </w:pPr>
      <w:r w:rsidRPr="00E666BC">
        <w:rPr>
          <w:iCs/>
          <w:sz w:val="24"/>
          <w:szCs w:val="24"/>
        </w:rPr>
        <w:lastRenderedPageBreak/>
        <w:t>The relief given by Class Orders [CO</w:t>
      </w:r>
      <w:r w:rsidR="00813423">
        <w:rPr>
          <w:iCs/>
          <w:sz w:val="24"/>
          <w:szCs w:val="24"/>
        </w:rPr>
        <w:t xml:space="preserve"> 13/523</w:t>
      </w:r>
      <w:r w:rsidRPr="00E666BC">
        <w:rPr>
          <w:iCs/>
          <w:sz w:val="24"/>
          <w:szCs w:val="24"/>
        </w:rPr>
        <w:t>] and [CO </w:t>
      </w:r>
      <w:r w:rsidR="00813423">
        <w:rPr>
          <w:iCs/>
          <w:sz w:val="24"/>
          <w:szCs w:val="24"/>
        </w:rPr>
        <w:t>02/141</w:t>
      </w:r>
      <w:r w:rsidRPr="00E666BC">
        <w:rPr>
          <w:iCs/>
          <w:sz w:val="24"/>
          <w:szCs w:val="24"/>
        </w:rPr>
        <w:t>] did not extend to circumstances where the original statement was made in connection with the</w:t>
      </w:r>
      <w:r w:rsidR="00813423">
        <w:rPr>
          <w:iCs/>
          <w:sz w:val="24"/>
          <w:szCs w:val="24"/>
        </w:rPr>
        <w:t xml:space="preserve"> responsible person,</w:t>
      </w:r>
      <w:r w:rsidRPr="00E666BC">
        <w:rPr>
          <w:iCs/>
          <w:sz w:val="24"/>
          <w:szCs w:val="24"/>
        </w:rPr>
        <w:t xml:space="preserve"> issuer, or bidder/target (as the case may be), an offer, takeover bid, or any business, property or person that was the subject of the</w:t>
      </w:r>
      <w:r w:rsidR="00813423">
        <w:rPr>
          <w:iCs/>
          <w:sz w:val="24"/>
          <w:szCs w:val="24"/>
        </w:rPr>
        <w:t xml:space="preserve"> product disclosure statement,</w:t>
      </w:r>
      <w:r w:rsidRPr="00E666BC">
        <w:rPr>
          <w:iCs/>
          <w:sz w:val="24"/>
          <w:szCs w:val="24"/>
        </w:rPr>
        <w:t xml:space="preserve"> disclosure document, or the bidder’s or target’s statement.</w:t>
      </w:r>
    </w:p>
    <w:p w:rsidR="006C775D" w:rsidRDefault="006C775D" w:rsidP="0092104E">
      <w:pPr>
        <w:spacing w:after="0"/>
        <w:rPr>
          <w:sz w:val="24"/>
          <w:szCs w:val="24"/>
        </w:rPr>
      </w:pPr>
    </w:p>
    <w:p w:rsidR="00E666BC" w:rsidRPr="00AD31A9" w:rsidRDefault="006F501F" w:rsidP="0092104E">
      <w:pPr>
        <w:spacing w:after="0"/>
        <w:rPr>
          <w:b/>
          <w:i/>
          <w:sz w:val="24"/>
          <w:szCs w:val="24"/>
        </w:rPr>
      </w:pPr>
      <w:r w:rsidRPr="00AD31A9">
        <w:rPr>
          <w:b/>
          <w:i/>
          <w:sz w:val="24"/>
          <w:szCs w:val="24"/>
        </w:rPr>
        <w:t>Trading data and historical geological reports</w:t>
      </w:r>
    </w:p>
    <w:p w:rsidR="006F501F" w:rsidRPr="00AD31A9" w:rsidRDefault="006F501F" w:rsidP="0092104E">
      <w:pPr>
        <w:spacing w:after="0"/>
        <w:rPr>
          <w:b/>
          <w:sz w:val="24"/>
          <w:szCs w:val="24"/>
        </w:rPr>
      </w:pPr>
    </w:p>
    <w:p w:rsidR="006F501F" w:rsidRDefault="006F501F" w:rsidP="0092104E">
      <w:pPr>
        <w:spacing w:after="0"/>
        <w:rPr>
          <w:sz w:val="24"/>
          <w:szCs w:val="24"/>
        </w:rPr>
      </w:pPr>
      <w:r>
        <w:rPr>
          <w:sz w:val="24"/>
          <w:szCs w:val="24"/>
        </w:rPr>
        <w:t>Class Order</w:t>
      </w:r>
      <w:r w:rsidR="00402A95">
        <w:rPr>
          <w:sz w:val="24"/>
          <w:szCs w:val="24"/>
        </w:rPr>
        <w:t>s</w:t>
      </w:r>
      <w:r>
        <w:rPr>
          <w:sz w:val="24"/>
          <w:szCs w:val="24"/>
        </w:rPr>
        <w:t xml:space="preserve"> [CO</w:t>
      </w:r>
      <w:r w:rsidR="00650B0A">
        <w:rPr>
          <w:sz w:val="24"/>
          <w:szCs w:val="24"/>
        </w:rPr>
        <w:t xml:space="preserve"> 07/428]</w:t>
      </w:r>
      <w:r w:rsidR="00402A95">
        <w:rPr>
          <w:sz w:val="24"/>
          <w:szCs w:val="24"/>
        </w:rPr>
        <w:t xml:space="preserve"> and</w:t>
      </w:r>
      <w:r>
        <w:rPr>
          <w:sz w:val="24"/>
          <w:szCs w:val="24"/>
        </w:rPr>
        <w:t xml:space="preserve"> [</w:t>
      </w:r>
      <w:r w:rsidR="00F95EF7">
        <w:rPr>
          <w:sz w:val="24"/>
          <w:szCs w:val="24"/>
        </w:rPr>
        <w:t>CO </w:t>
      </w:r>
      <w:r>
        <w:rPr>
          <w:sz w:val="24"/>
          <w:szCs w:val="24"/>
        </w:rPr>
        <w:t xml:space="preserve">07/429] </w:t>
      </w:r>
      <w:r w:rsidR="00E26E61">
        <w:rPr>
          <w:sz w:val="24"/>
          <w:szCs w:val="24"/>
        </w:rPr>
        <w:t>granted relief from the requirement to obtain consent when citing and quoting certain trading data reflecting trading on approved financial markets and historical geological report references in disclosure documents, product disclosure statements, bidders statements and targets statements.</w:t>
      </w:r>
    </w:p>
    <w:p w:rsidR="00E26E61" w:rsidRPr="006F501F" w:rsidRDefault="00E26E61" w:rsidP="0092104E">
      <w:pPr>
        <w:spacing w:after="0"/>
        <w:rPr>
          <w:sz w:val="24"/>
          <w:szCs w:val="24"/>
        </w:rPr>
      </w:pPr>
    </w:p>
    <w:p w:rsidR="006F501F" w:rsidRPr="00AD31A9" w:rsidRDefault="00650B0A" w:rsidP="0092104E">
      <w:pPr>
        <w:spacing w:after="0"/>
        <w:rPr>
          <w:b/>
          <w:i/>
          <w:sz w:val="24"/>
          <w:szCs w:val="24"/>
        </w:rPr>
      </w:pPr>
      <w:r w:rsidRPr="00AD31A9">
        <w:rPr>
          <w:b/>
          <w:i/>
          <w:sz w:val="24"/>
          <w:szCs w:val="24"/>
        </w:rPr>
        <w:t>Consolidation of consent relief</w:t>
      </w:r>
    </w:p>
    <w:p w:rsidR="00650B0A" w:rsidRDefault="00650B0A" w:rsidP="0092104E">
      <w:pPr>
        <w:spacing w:after="0"/>
        <w:rPr>
          <w:sz w:val="24"/>
          <w:szCs w:val="24"/>
        </w:rPr>
      </w:pPr>
      <w:r w:rsidRPr="00650B0A">
        <w:rPr>
          <w:sz w:val="24"/>
          <w:szCs w:val="24"/>
        </w:rPr>
        <w:t xml:space="preserve"> </w:t>
      </w:r>
    </w:p>
    <w:p w:rsidR="00650B0A" w:rsidRDefault="00650B0A" w:rsidP="0092104E">
      <w:pPr>
        <w:spacing w:after="0"/>
        <w:rPr>
          <w:sz w:val="24"/>
          <w:szCs w:val="24"/>
        </w:rPr>
      </w:pPr>
      <w:r w:rsidRPr="00650B0A">
        <w:rPr>
          <w:sz w:val="24"/>
          <w:szCs w:val="24"/>
        </w:rPr>
        <w:t>ASIC has recently reviewed the policy un</w:t>
      </w:r>
      <w:r>
        <w:rPr>
          <w:sz w:val="24"/>
          <w:szCs w:val="24"/>
        </w:rPr>
        <w:t>derlying Class Orders [</w:t>
      </w:r>
      <w:r w:rsidR="004B625F">
        <w:rPr>
          <w:sz w:val="24"/>
          <w:szCs w:val="24"/>
        </w:rPr>
        <w:t xml:space="preserve">CO </w:t>
      </w:r>
      <w:r>
        <w:rPr>
          <w:sz w:val="24"/>
          <w:szCs w:val="24"/>
        </w:rPr>
        <w:t>07/428</w:t>
      </w:r>
      <w:r w:rsidRPr="00650B0A">
        <w:rPr>
          <w:sz w:val="24"/>
          <w:szCs w:val="24"/>
        </w:rPr>
        <w:t>]</w:t>
      </w:r>
      <w:r>
        <w:rPr>
          <w:sz w:val="24"/>
          <w:szCs w:val="24"/>
        </w:rPr>
        <w:t>, [</w:t>
      </w:r>
      <w:r w:rsidR="004B625F">
        <w:rPr>
          <w:sz w:val="24"/>
          <w:szCs w:val="24"/>
        </w:rPr>
        <w:t xml:space="preserve">CO </w:t>
      </w:r>
      <w:r>
        <w:rPr>
          <w:sz w:val="24"/>
          <w:szCs w:val="24"/>
        </w:rPr>
        <w:t>07/429] and [</w:t>
      </w:r>
      <w:r w:rsidR="004B625F">
        <w:rPr>
          <w:sz w:val="24"/>
          <w:szCs w:val="24"/>
        </w:rPr>
        <w:t xml:space="preserve">CO </w:t>
      </w:r>
      <w:r>
        <w:rPr>
          <w:sz w:val="24"/>
          <w:szCs w:val="24"/>
        </w:rPr>
        <w:t>02/141]</w:t>
      </w:r>
      <w:r w:rsidRPr="00650B0A">
        <w:rPr>
          <w:sz w:val="24"/>
          <w:szCs w:val="24"/>
        </w:rPr>
        <w:t xml:space="preserve"> as part of </w:t>
      </w:r>
      <w:r w:rsidR="004B625F">
        <w:rPr>
          <w:sz w:val="24"/>
          <w:szCs w:val="24"/>
        </w:rPr>
        <w:t xml:space="preserve">a </w:t>
      </w:r>
      <w:r w:rsidRPr="00650B0A">
        <w:rPr>
          <w:sz w:val="24"/>
          <w:szCs w:val="24"/>
        </w:rPr>
        <w:t>wider review of class orders relating to the fundraising provisions in Chapter 6D and considers that the relief in the</w:t>
      </w:r>
      <w:r>
        <w:rPr>
          <w:sz w:val="24"/>
          <w:szCs w:val="24"/>
        </w:rPr>
        <w:t>se</w:t>
      </w:r>
      <w:r w:rsidRPr="00650B0A">
        <w:rPr>
          <w:sz w:val="24"/>
          <w:szCs w:val="24"/>
        </w:rPr>
        <w:t xml:space="preserve"> class order</w:t>
      </w:r>
      <w:r>
        <w:rPr>
          <w:sz w:val="24"/>
          <w:szCs w:val="24"/>
        </w:rPr>
        <w:t>s</w:t>
      </w:r>
      <w:r w:rsidRPr="00650B0A">
        <w:rPr>
          <w:sz w:val="24"/>
          <w:szCs w:val="24"/>
        </w:rPr>
        <w:t xml:space="preserve"> is still both necessary and appropriate. Accordingly, ASIC has decided to reissue the relief underlying Class Order</w:t>
      </w:r>
      <w:r>
        <w:rPr>
          <w:sz w:val="24"/>
          <w:szCs w:val="24"/>
        </w:rPr>
        <w:t>s</w:t>
      </w:r>
      <w:r w:rsidRPr="00650B0A">
        <w:rPr>
          <w:sz w:val="24"/>
          <w:szCs w:val="24"/>
        </w:rPr>
        <w:t xml:space="preserve"> </w:t>
      </w:r>
      <w:r>
        <w:rPr>
          <w:sz w:val="24"/>
          <w:szCs w:val="24"/>
        </w:rPr>
        <w:t>[CO 07/428</w:t>
      </w:r>
      <w:r w:rsidRPr="00650B0A">
        <w:rPr>
          <w:sz w:val="24"/>
          <w:szCs w:val="24"/>
        </w:rPr>
        <w:t>]</w:t>
      </w:r>
      <w:r>
        <w:rPr>
          <w:sz w:val="24"/>
          <w:szCs w:val="24"/>
        </w:rPr>
        <w:t>, [</w:t>
      </w:r>
      <w:r w:rsidR="004B625F">
        <w:rPr>
          <w:sz w:val="24"/>
          <w:szCs w:val="24"/>
        </w:rPr>
        <w:t xml:space="preserve">CO </w:t>
      </w:r>
      <w:r>
        <w:rPr>
          <w:sz w:val="24"/>
          <w:szCs w:val="24"/>
        </w:rPr>
        <w:t>07/429], [</w:t>
      </w:r>
      <w:r w:rsidR="004B625F">
        <w:rPr>
          <w:sz w:val="24"/>
          <w:szCs w:val="24"/>
        </w:rPr>
        <w:t xml:space="preserve">CO </w:t>
      </w:r>
      <w:r>
        <w:rPr>
          <w:sz w:val="24"/>
          <w:szCs w:val="24"/>
        </w:rPr>
        <w:t>02/141]</w:t>
      </w:r>
      <w:r w:rsidRPr="00650B0A">
        <w:rPr>
          <w:sz w:val="24"/>
          <w:szCs w:val="24"/>
        </w:rPr>
        <w:t xml:space="preserve"> in AS</w:t>
      </w:r>
      <w:r>
        <w:rPr>
          <w:sz w:val="24"/>
          <w:szCs w:val="24"/>
        </w:rPr>
        <w:t>IC Corporations (Consents to Statements</w:t>
      </w:r>
      <w:r w:rsidR="009D34D0">
        <w:rPr>
          <w:sz w:val="24"/>
          <w:szCs w:val="24"/>
        </w:rPr>
        <w:t>) Instrument 2016</w:t>
      </w:r>
      <w:r w:rsidR="004B625F">
        <w:rPr>
          <w:sz w:val="24"/>
          <w:szCs w:val="24"/>
        </w:rPr>
        <w:t>/72</w:t>
      </w:r>
      <w:r w:rsidRPr="00650B0A">
        <w:rPr>
          <w:sz w:val="24"/>
          <w:szCs w:val="24"/>
        </w:rPr>
        <w:t>.</w:t>
      </w:r>
    </w:p>
    <w:p w:rsidR="00650B0A" w:rsidRDefault="00650B0A" w:rsidP="0092104E">
      <w:pPr>
        <w:spacing w:after="0"/>
        <w:rPr>
          <w:sz w:val="24"/>
          <w:szCs w:val="24"/>
        </w:rPr>
      </w:pPr>
    </w:p>
    <w:p w:rsidR="00650B0A" w:rsidRDefault="00650B0A" w:rsidP="0092104E">
      <w:pPr>
        <w:spacing w:after="0"/>
        <w:rPr>
          <w:sz w:val="24"/>
          <w:szCs w:val="24"/>
        </w:rPr>
      </w:pPr>
      <w:r w:rsidRPr="00650B0A">
        <w:rPr>
          <w:sz w:val="24"/>
          <w:szCs w:val="24"/>
        </w:rPr>
        <w:t xml:space="preserve">The </w:t>
      </w:r>
      <w:r w:rsidR="004B625F">
        <w:rPr>
          <w:i/>
          <w:sz w:val="24"/>
          <w:szCs w:val="24"/>
        </w:rPr>
        <w:t>Legislation Act</w:t>
      </w:r>
      <w:r w:rsidRPr="00650B0A">
        <w:rPr>
          <w:i/>
          <w:sz w:val="24"/>
          <w:szCs w:val="24"/>
        </w:rPr>
        <w:t xml:space="preserve"> 2003</w:t>
      </w:r>
      <w:r w:rsidRPr="00650B0A">
        <w:rPr>
          <w:sz w:val="24"/>
          <w:szCs w:val="24"/>
        </w:rPr>
        <w:t xml:space="preserve"> (the </w:t>
      </w:r>
      <w:r w:rsidR="004B625F">
        <w:rPr>
          <w:b/>
          <w:i/>
          <w:sz w:val="24"/>
          <w:szCs w:val="24"/>
        </w:rPr>
        <w:t>L</w:t>
      </w:r>
      <w:r w:rsidRPr="00650B0A">
        <w:rPr>
          <w:b/>
          <w:i/>
          <w:sz w:val="24"/>
          <w:szCs w:val="24"/>
        </w:rPr>
        <w:t>A</w:t>
      </w:r>
      <w:r w:rsidRPr="00650B0A">
        <w:rPr>
          <w:sz w:val="24"/>
          <w:szCs w:val="24"/>
        </w:rPr>
        <w:t>) provides for the periodic expiry of legislative instruments (</w:t>
      </w:r>
      <w:r w:rsidR="004B625F">
        <w:rPr>
          <w:sz w:val="24"/>
          <w:szCs w:val="24"/>
        </w:rPr>
        <w:t>‘</w:t>
      </w:r>
      <w:proofErr w:type="spellStart"/>
      <w:r w:rsidRPr="00650B0A">
        <w:rPr>
          <w:sz w:val="24"/>
          <w:szCs w:val="24"/>
        </w:rPr>
        <w:t>sunsetting</w:t>
      </w:r>
      <w:proofErr w:type="spellEnd"/>
      <w:r w:rsidR="004B625F">
        <w:rPr>
          <w:sz w:val="24"/>
          <w:szCs w:val="24"/>
        </w:rPr>
        <w:t>’)</w:t>
      </w:r>
      <w:r w:rsidRPr="00650B0A">
        <w:rPr>
          <w:sz w:val="24"/>
          <w:szCs w:val="24"/>
        </w:rPr>
        <w:t xml:space="preserve"> to ensure that they are kept up to date and only remain in force for as long as they are needed. Class Orders [CO 07/428], [CO 07/429] and [CO 02/141] </w:t>
      </w:r>
      <w:r w:rsidR="004B625F">
        <w:rPr>
          <w:sz w:val="24"/>
          <w:szCs w:val="24"/>
        </w:rPr>
        <w:t xml:space="preserve">are legislative instruments and </w:t>
      </w:r>
      <w:r w:rsidRPr="00650B0A">
        <w:rPr>
          <w:sz w:val="24"/>
          <w:szCs w:val="24"/>
        </w:rPr>
        <w:t xml:space="preserve">were scheduled to </w:t>
      </w:r>
      <w:r w:rsidR="004B625F">
        <w:rPr>
          <w:sz w:val="24"/>
          <w:szCs w:val="24"/>
        </w:rPr>
        <w:t xml:space="preserve">eventually </w:t>
      </w:r>
      <w:r w:rsidRPr="00650B0A">
        <w:rPr>
          <w:sz w:val="24"/>
          <w:szCs w:val="24"/>
        </w:rPr>
        <w:t>expire under the</w:t>
      </w:r>
      <w:r w:rsidR="004B625F">
        <w:rPr>
          <w:sz w:val="24"/>
          <w:szCs w:val="24"/>
        </w:rPr>
        <w:t xml:space="preserve"> </w:t>
      </w:r>
      <w:proofErr w:type="spellStart"/>
      <w:r w:rsidR="004B625F">
        <w:rPr>
          <w:sz w:val="24"/>
          <w:szCs w:val="24"/>
        </w:rPr>
        <w:t>sunsetting</w:t>
      </w:r>
      <w:proofErr w:type="spellEnd"/>
      <w:r w:rsidR="004B625F">
        <w:rPr>
          <w:sz w:val="24"/>
          <w:szCs w:val="24"/>
        </w:rPr>
        <w:t xml:space="preserve"> provisions of the L</w:t>
      </w:r>
      <w:r w:rsidRPr="00650B0A">
        <w:rPr>
          <w:sz w:val="24"/>
          <w:szCs w:val="24"/>
        </w:rPr>
        <w:t>A.</w:t>
      </w:r>
      <w:r w:rsidR="004B625F">
        <w:rPr>
          <w:sz w:val="24"/>
          <w:szCs w:val="24"/>
        </w:rPr>
        <w:t xml:space="preserve"> </w:t>
      </w:r>
    </w:p>
    <w:p w:rsidR="00650B0A" w:rsidRDefault="00650B0A" w:rsidP="0092104E">
      <w:pPr>
        <w:spacing w:after="0"/>
        <w:rPr>
          <w:sz w:val="24"/>
          <w:szCs w:val="24"/>
        </w:rPr>
      </w:pPr>
    </w:p>
    <w:p w:rsidR="00650B0A" w:rsidRDefault="00650B0A" w:rsidP="0092104E">
      <w:pPr>
        <w:spacing w:after="0"/>
        <w:rPr>
          <w:sz w:val="24"/>
          <w:szCs w:val="24"/>
        </w:rPr>
      </w:pPr>
      <w:r>
        <w:rPr>
          <w:sz w:val="24"/>
          <w:szCs w:val="24"/>
        </w:rPr>
        <w:t>ASIC’s</w:t>
      </w:r>
      <w:r w:rsidRPr="00650B0A">
        <w:rPr>
          <w:sz w:val="24"/>
          <w:szCs w:val="24"/>
        </w:rPr>
        <w:t xml:space="preserve"> review</w:t>
      </w:r>
      <w:r>
        <w:rPr>
          <w:sz w:val="24"/>
          <w:szCs w:val="24"/>
        </w:rPr>
        <w:t xml:space="preserve"> of </w:t>
      </w:r>
      <w:r w:rsidRPr="00650B0A">
        <w:rPr>
          <w:sz w:val="24"/>
          <w:szCs w:val="24"/>
        </w:rPr>
        <w:t>the policy un</w:t>
      </w:r>
      <w:r>
        <w:rPr>
          <w:sz w:val="24"/>
          <w:szCs w:val="24"/>
        </w:rPr>
        <w:t>derlying Class Orders [</w:t>
      </w:r>
      <w:r w:rsidR="004B625F">
        <w:rPr>
          <w:sz w:val="24"/>
          <w:szCs w:val="24"/>
        </w:rPr>
        <w:t xml:space="preserve">CO </w:t>
      </w:r>
      <w:r>
        <w:rPr>
          <w:sz w:val="24"/>
          <w:szCs w:val="24"/>
        </w:rPr>
        <w:t>07/428</w:t>
      </w:r>
      <w:r w:rsidRPr="00650B0A">
        <w:rPr>
          <w:sz w:val="24"/>
          <w:szCs w:val="24"/>
        </w:rPr>
        <w:t>]</w:t>
      </w:r>
      <w:r>
        <w:rPr>
          <w:sz w:val="24"/>
          <w:szCs w:val="24"/>
        </w:rPr>
        <w:t>, [CO 07/429] and [CO</w:t>
      </w:r>
      <w:r w:rsidR="00F95EF7">
        <w:rPr>
          <w:sz w:val="24"/>
          <w:szCs w:val="24"/>
        </w:rPr>
        <w:t> </w:t>
      </w:r>
      <w:r>
        <w:rPr>
          <w:sz w:val="24"/>
          <w:szCs w:val="24"/>
        </w:rPr>
        <w:t>02/141]</w:t>
      </w:r>
      <w:r w:rsidRPr="00650B0A">
        <w:rPr>
          <w:sz w:val="24"/>
          <w:szCs w:val="24"/>
        </w:rPr>
        <w:t xml:space="preserve">—and subsequent decision to reissue the relief—has provided an opportunity to deal with this imminent expiry and ensure that the relevant relief will continue to be available. </w:t>
      </w:r>
    </w:p>
    <w:p w:rsidR="00650B0A" w:rsidRDefault="00650B0A" w:rsidP="0092104E">
      <w:pPr>
        <w:spacing w:after="0"/>
        <w:rPr>
          <w:sz w:val="24"/>
          <w:szCs w:val="24"/>
        </w:rPr>
      </w:pPr>
    </w:p>
    <w:p w:rsidR="00402A95" w:rsidRDefault="00402A95" w:rsidP="0092104E">
      <w:pPr>
        <w:spacing w:after="0"/>
        <w:rPr>
          <w:sz w:val="24"/>
          <w:szCs w:val="24"/>
        </w:rPr>
      </w:pPr>
      <w:r>
        <w:rPr>
          <w:sz w:val="24"/>
          <w:szCs w:val="24"/>
        </w:rPr>
        <w:t>Furthermore, ASIC has elected to consolidate the relief in [CO 13/523] into ASIC Corporations (Consent</w:t>
      </w:r>
      <w:r w:rsidR="009D34D0">
        <w:rPr>
          <w:sz w:val="24"/>
          <w:szCs w:val="24"/>
        </w:rPr>
        <w:t>s to Statements) Instrument 2016</w:t>
      </w:r>
      <w:r w:rsidR="004B625F">
        <w:rPr>
          <w:sz w:val="24"/>
          <w:szCs w:val="24"/>
        </w:rPr>
        <w:t>/72</w:t>
      </w:r>
      <w:r>
        <w:rPr>
          <w:sz w:val="24"/>
          <w:szCs w:val="24"/>
        </w:rPr>
        <w:t xml:space="preserve"> in order to</w:t>
      </w:r>
      <w:r w:rsidR="00FB4C8F">
        <w:rPr>
          <w:sz w:val="24"/>
          <w:szCs w:val="24"/>
        </w:rPr>
        <w:t xml:space="preserve"> promote brevity and accessibility through the centralisation of</w:t>
      </w:r>
      <w:r>
        <w:rPr>
          <w:sz w:val="24"/>
          <w:szCs w:val="24"/>
        </w:rPr>
        <w:t xml:space="preserve"> all relie</w:t>
      </w:r>
      <w:r w:rsidR="00C01419">
        <w:rPr>
          <w:sz w:val="24"/>
          <w:szCs w:val="24"/>
        </w:rPr>
        <w:t xml:space="preserve">f relating to ‘consent’ </w:t>
      </w:r>
      <w:r>
        <w:rPr>
          <w:sz w:val="24"/>
          <w:szCs w:val="24"/>
        </w:rPr>
        <w:t>in one legislative instrument.</w:t>
      </w:r>
    </w:p>
    <w:p w:rsidR="00650B0A" w:rsidRPr="00650B0A" w:rsidRDefault="00650B0A" w:rsidP="0092104E">
      <w:pPr>
        <w:spacing w:after="0"/>
        <w:rPr>
          <w:sz w:val="24"/>
          <w:szCs w:val="24"/>
        </w:rPr>
      </w:pPr>
    </w:p>
    <w:p w:rsidR="00E666BC" w:rsidRDefault="00650B0A" w:rsidP="0092104E">
      <w:pPr>
        <w:spacing w:after="0"/>
        <w:rPr>
          <w:sz w:val="24"/>
          <w:szCs w:val="24"/>
        </w:rPr>
      </w:pPr>
      <w:r w:rsidRPr="00650B0A">
        <w:rPr>
          <w:sz w:val="24"/>
          <w:szCs w:val="24"/>
        </w:rPr>
        <w:t xml:space="preserve">Under </w:t>
      </w:r>
      <w:r w:rsidR="004B625F" w:rsidRPr="004B625F">
        <w:rPr>
          <w:sz w:val="24"/>
          <w:szCs w:val="24"/>
        </w:rPr>
        <w:t>ASIC Corporations (Repeal) Instrument 2016/171</w:t>
      </w:r>
      <w:r w:rsidRPr="00650B0A">
        <w:rPr>
          <w:sz w:val="24"/>
          <w:szCs w:val="24"/>
        </w:rPr>
        <w:t xml:space="preserve">, ASIC has </w:t>
      </w:r>
      <w:r w:rsidR="00B83FFA">
        <w:rPr>
          <w:sz w:val="24"/>
          <w:szCs w:val="24"/>
        </w:rPr>
        <w:t>repealed</w:t>
      </w:r>
      <w:r w:rsidRPr="00650B0A">
        <w:rPr>
          <w:sz w:val="24"/>
          <w:szCs w:val="24"/>
        </w:rPr>
        <w:t xml:space="preserve"> Class Order</w:t>
      </w:r>
      <w:r>
        <w:rPr>
          <w:sz w:val="24"/>
          <w:szCs w:val="24"/>
        </w:rPr>
        <w:t>s [CO 02/141</w:t>
      </w:r>
      <w:r w:rsidRPr="00650B0A">
        <w:rPr>
          <w:sz w:val="24"/>
          <w:szCs w:val="24"/>
        </w:rPr>
        <w:t>]</w:t>
      </w:r>
      <w:r>
        <w:rPr>
          <w:sz w:val="24"/>
          <w:szCs w:val="24"/>
        </w:rPr>
        <w:t>, [</w:t>
      </w:r>
      <w:r w:rsidR="004B625F">
        <w:rPr>
          <w:sz w:val="24"/>
          <w:szCs w:val="24"/>
        </w:rPr>
        <w:t xml:space="preserve">CO </w:t>
      </w:r>
      <w:r>
        <w:rPr>
          <w:sz w:val="24"/>
          <w:szCs w:val="24"/>
        </w:rPr>
        <w:t>07/428], [</w:t>
      </w:r>
      <w:r w:rsidR="004B625F">
        <w:rPr>
          <w:sz w:val="24"/>
          <w:szCs w:val="24"/>
        </w:rPr>
        <w:t xml:space="preserve">CO </w:t>
      </w:r>
      <w:r>
        <w:rPr>
          <w:sz w:val="24"/>
          <w:szCs w:val="24"/>
        </w:rPr>
        <w:t>07/429] and [</w:t>
      </w:r>
      <w:r w:rsidR="004B625F">
        <w:rPr>
          <w:sz w:val="24"/>
          <w:szCs w:val="24"/>
        </w:rPr>
        <w:t xml:space="preserve">CO </w:t>
      </w:r>
      <w:r>
        <w:rPr>
          <w:sz w:val="24"/>
          <w:szCs w:val="24"/>
        </w:rPr>
        <w:t>13/523]</w:t>
      </w:r>
      <w:r w:rsidRPr="00650B0A">
        <w:rPr>
          <w:sz w:val="24"/>
          <w:szCs w:val="24"/>
        </w:rPr>
        <w:t xml:space="preserve"> effective from the date that ASIC Corporations (</w:t>
      </w:r>
      <w:r>
        <w:rPr>
          <w:sz w:val="24"/>
          <w:szCs w:val="24"/>
        </w:rPr>
        <w:t>Consents to Statements</w:t>
      </w:r>
      <w:r w:rsidR="009D34D0">
        <w:rPr>
          <w:sz w:val="24"/>
          <w:szCs w:val="24"/>
        </w:rPr>
        <w:t>) Instrument 2016</w:t>
      </w:r>
      <w:r w:rsidR="004B625F">
        <w:rPr>
          <w:sz w:val="24"/>
          <w:szCs w:val="24"/>
        </w:rPr>
        <w:t>/72</w:t>
      </w:r>
      <w:r w:rsidRPr="00650B0A">
        <w:rPr>
          <w:sz w:val="24"/>
          <w:szCs w:val="24"/>
        </w:rPr>
        <w:t xml:space="preserve"> commences.</w:t>
      </w:r>
    </w:p>
    <w:p w:rsidR="00E666BC" w:rsidRPr="002A44B3" w:rsidRDefault="00E666BC" w:rsidP="0092104E">
      <w:pPr>
        <w:spacing w:after="0"/>
        <w:rPr>
          <w:sz w:val="24"/>
          <w:szCs w:val="24"/>
        </w:rPr>
      </w:pPr>
    </w:p>
    <w:p w:rsidR="00624E22" w:rsidRDefault="005B0E3A" w:rsidP="004B625F">
      <w:pPr>
        <w:pStyle w:val="Heading3"/>
        <w:keepNext w:val="0"/>
        <w:widowControl w:val="0"/>
        <w:numPr>
          <w:ilvl w:val="0"/>
          <w:numId w:val="7"/>
        </w:numPr>
        <w:tabs>
          <w:tab w:val="left" w:pos="567"/>
        </w:tabs>
        <w:spacing w:after="0" w:line="240" w:lineRule="auto"/>
        <w:ind w:left="0" w:firstLine="0"/>
        <w:jc w:val="left"/>
        <w:rPr>
          <w:rFonts w:ascii="Arial" w:hAnsi="Arial" w:cs="Arial"/>
          <w:b/>
          <w:spacing w:val="-1"/>
          <w:sz w:val="24"/>
          <w:szCs w:val="24"/>
        </w:rPr>
      </w:pPr>
      <w:bookmarkStart w:id="1" w:name="2._Purpose_of_the_class_order_"/>
      <w:bookmarkEnd w:id="1"/>
      <w:r w:rsidRPr="00062184">
        <w:rPr>
          <w:rFonts w:ascii="Arial" w:hAnsi="Arial" w:cs="Arial"/>
          <w:b/>
          <w:spacing w:val="-1"/>
          <w:sz w:val="24"/>
          <w:szCs w:val="24"/>
        </w:rPr>
        <w:t>Purpose</w:t>
      </w:r>
      <w:r w:rsidRPr="00062184">
        <w:rPr>
          <w:rFonts w:ascii="Arial" w:hAnsi="Arial" w:cs="Arial"/>
          <w:b/>
          <w:sz w:val="24"/>
          <w:szCs w:val="24"/>
        </w:rPr>
        <w:t xml:space="preserve"> of </w:t>
      </w:r>
      <w:r w:rsidRPr="00062184">
        <w:rPr>
          <w:rFonts w:ascii="Arial" w:hAnsi="Arial" w:cs="Arial"/>
          <w:b/>
          <w:spacing w:val="-1"/>
          <w:sz w:val="24"/>
          <w:szCs w:val="24"/>
        </w:rPr>
        <w:t>the</w:t>
      </w:r>
      <w:r w:rsidRPr="00062184">
        <w:rPr>
          <w:rFonts w:ascii="Arial" w:hAnsi="Arial" w:cs="Arial"/>
          <w:b/>
          <w:sz w:val="24"/>
          <w:szCs w:val="24"/>
        </w:rPr>
        <w:t xml:space="preserve"> </w:t>
      </w:r>
      <w:r w:rsidRPr="00062184">
        <w:rPr>
          <w:rFonts w:ascii="Arial" w:hAnsi="Arial" w:cs="Arial"/>
          <w:b/>
          <w:spacing w:val="-1"/>
          <w:sz w:val="24"/>
          <w:szCs w:val="24"/>
        </w:rPr>
        <w:t>instrument</w:t>
      </w:r>
    </w:p>
    <w:p w:rsidR="004B625F" w:rsidRDefault="004B625F" w:rsidP="0092104E">
      <w:pPr>
        <w:pStyle w:val="BodyText"/>
        <w:spacing w:before="0" w:line="240" w:lineRule="auto"/>
        <w:rPr>
          <w:iCs/>
        </w:rPr>
      </w:pPr>
    </w:p>
    <w:p w:rsidR="000C24C6" w:rsidRDefault="000C24C6" w:rsidP="0092104E">
      <w:pPr>
        <w:pStyle w:val="BodyText"/>
        <w:spacing w:before="0" w:line="240" w:lineRule="auto"/>
        <w:rPr>
          <w:iCs/>
        </w:rPr>
      </w:pPr>
      <w:r w:rsidRPr="000C24C6">
        <w:rPr>
          <w:iCs/>
        </w:rPr>
        <w:t>A</w:t>
      </w:r>
      <w:r w:rsidR="009D34D0">
        <w:rPr>
          <w:iCs/>
        </w:rPr>
        <w:t>n issuer,</w:t>
      </w:r>
      <w:r w:rsidRPr="000C24C6">
        <w:rPr>
          <w:iCs/>
        </w:rPr>
        <w:t xml:space="preserve"> bidder or a target is required under the Act to obtain the consent of a person who </w:t>
      </w:r>
      <w:r w:rsidR="004B625F">
        <w:rPr>
          <w:iCs/>
        </w:rPr>
        <w:t>makes a statement before using the statement</w:t>
      </w:r>
      <w:r w:rsidRPr="000C24C6">
        <w:rPr>
          <w:iCs/>
        </w:rPr>
        <w:t xml:space="preserve"> in the disclosure document,</w:t>
      </w:r>
      <w:r w:rsidR="0073304B">
        <w:rPr>
          <w:iCs/>
        </w:rPr>
        <w:t xml:space="preserve"> product disclosure statement</w:t>
      </w:r>
      <w:r w:rsidRPr="000C24C6">
        <w:rPr>
          <w:iCs/>
        </w:rPr>
        <w:t xml:space="preserve"> or the bidder’s or target’s statement. This enables the person to:</w:t>
      </w:r>
    </w:p>
    <w:p w:rsidR="004B625F" w:rsidRPr="000C24C6" w:rsidRDefault="004B625F" w:rsidP="0092104E">
      <w:pPr>
        <w:pStyle w:val="BodyText"/>
        <w:spacing w:before="0" w:line="240" w:lineRule="auto"/>
        <w:rPr>
          <w:iCs/>
        </w:rPr>
      </w:pPr>
    </w:p>
    <w:p w:rsidR="000C24C6" w:rsidRDefault="000C24C6" w:rsidP="004B625F">
      <w:pPr>
        <w:pStyle w:val="BodyText"/>
        <w:spacing w:before="0" w:line="240" w:lineRule="auto"/>
        <w:rPr>
          <w:iCs/>
        </w:rPr>
      </w:pPr>
      <w:r w:rsidRPr="000C24C6">
        <w:rPr>
          <w:iCs/>
        </w:rPr>
        <w:t>(a)</w:t>
      </w:r>
      <w:r w:rsidRPr="000C24C6">
        <w:rPr>
          <w:iCs/>
        </w:rPr>
        <w:tab/>
        <w:t>control or limit their liability; and</w:t>
      </w:r>
    </w:p>
    <w:p w:rsidR="004B625F" w:rsidRPr="000C24C6" w:rsidRDefault="004B625F" w:rsidP="0092104E">
      <w:pPr>
        <w:pStyle w:val="BodyText"/>
        <w:spacing w:before="0" w:line="240" w:lineRule="auto"/>
        <w:rPr>
          <w:iCs/>
        </w:rPr>
      </w:pPr>
    </w:p>
    <w:p w:rsidR="000C24C6" w:rsidRDefault="000C24C6" w:rsidP="0092104E">
      <w:pPr>
        <w:pStyle w:val="BodyText"/>
        <w:spacing w:before="0" w:line="240" w:lineRule="auto"/>
        <w:rPr>
          <w:iCs/>
        </w:rPr>
      </w:pPr>
      <w:r w:rsidRPr="000C24C6">
        <w:rPr>
          <w:iCs/>
        </w:rPr>
        <w:lastRenderedPageBreak/>
        <w:t>(b)</w:t>
      </w:r>
      <w:r w:rsidRPr="000C24C6">
        <w:rPr>
          <w:iCs/>
        </w:rPr>
        <w:tab/>
        <w:t>control the overall effect of the statement.</w:t>
      </w:r>
    </w:p>
    <w:p w:rsidR="004B625F" w:rsidRDefault="004B625F" w:rsidP="0092104E">
      <w:pPr>
        <w:pStyle w:val="BodyText"/>
        <w:spacing w:before="0" w:line="240" w:lineRule="auto"/>
        <w:rPr>
          <w:iCs/>
        </w:rPr>
      </w:pPr>
    </w:p>
    <w:p w:rsidR="00C32FCB" w:rsidRDefault="00C32FCB" w:rsidP="0092104E">
      <w:pPr>
        <w:pStyle w:val="BodyText"/>
        <w:spacing w:before="0" w:line="240" w:lineRule="auto"/>
        <w:rPr>
          <w:iCs/>
        </w:rPr>
      </w:pPr>
      <w:r>
        <w:rPr>
          <w:iCs/>
        </w:rPr>
        <w:t>ASIC Corporations (Consents to Statements) Instrument 2016</w:t>
      </w:r>
      <w:r w:rsidR="004B625F">
        <w:rPr>
          <w:iCs/>
        </w:rPr>
        <w:t>/72</w:t>
      </w:r>
      <w:r>
        <w:rPr>
          <w:iCs/>
        </w:rPr>
        <w:t xml:space="preserve"> modifies the consent requirements in a selection of discrete circumstances.</w:t>
      </w:r>
    </w:p>
    <w:p w:rsidR="004B625F" w:rsidRDefault="004B625F" w:rsidP="0092104E">
      <w:pPr>
        <w:pStyle w:val="BodyText"/>
        <w:spacing w:before="0" w:line="240" w:lineRule="auto"/>
        <w:rPr>
          <w:b/>
          <w:i/>
          <w:iCs/>
          <w:u w:val="single"/>
        </w:rPr>
      </w:pPr>
    </w:p>
    <w:p w:rsidR="000C24C6" w:rsidRPr="004B625F" w:rsidRDefault="000C24C6" w:rsidP="0092104E">
      <w:pPr>
        <w:pStyle w:val="BodyText"/>
        <w:spacing w:before="0" w:line="240" w:lineRule="auto"/>
        <w:rPr>
          <w:b/>
          <w:i/>
          <w:iCs/>
        </w:rPr>
      </w:pPr>
      <w:r w:rsidRPr="004B625F">
        <w:rPr>
          <w:b/>
          <w:i/>
          <w:iCs/>
        </w:rPr>
        <w:t>Statements made by government officials, or those published in books or journals</w:t>
      </w:r>
    </w:p>
    <w:p w:rsidR="004B625F" w:rsidRPr="00D025D0" w:rsidRDefault="004B625F" w:rsidP="0092104E">
      <w:pPr>
        <w:pStyle w:val="BodyText"/>
        <w:spacing w:before="0" w:line="240" w:lineRule="auto"/>
        <w:rPr>
          <w:b/>
          <w:i/>
          <w:iCs/>
          <w:u w:val="single"/>
        </w:rPr>
      </w:pPr>
    </w:p>
    <w:p w:rsidR="000C24C6" w:rsidRDefault="009D34D0" w:rsidP="0092104E">
      <w:pPr>
        <w:pStyle w:val="BodyText"/>
        <w:spacing w:before="0" w:line="240" w:lineRule="auto"/>
        <w:rPr>
          <w:iCs/>
        </w:rPr>
      </w:pPr>
      <w:r>
        <w:rPr>
          <w:iCs/>
        </w:rPr>
        <w:t>ASIC Corporations (Consents</w:t>
      </w:r>
      <w:r w:rsidR="00641608">
        <w:rPr>
          <w:iCs/>
        </w:rPr>
        <w:t xml:space="preserve"> to Statements) Instrument 2016</w:t>
      </w:r>
      <w:r w:rsidR="004B625F">
        <w:rPr>
          <w:iCs/>
        </w:rPr>
        <w:t>/72</w:t>
      </w:r>
      <w:r w:rsidR="000C24C6" w:rsidRPr="000C24C6">
        <w:rPr>
          <w:iCs/>
        </w:rPr>
        <w:t xml:space="preserve"> allow</w:t>
      </w:r>
      <w:r w:rsidR="00641608">
        <w:rPr>
          <w:iCs/>
        </w:rPr>
        <w:t>s</w:t>
      </w:r>
      <w:r w:rsidR="000C24C6" w:rsidRPr="000C24C6">
        <w:rPr>
          <w:iCs/>
        </w:rPr>
        <w:t xml:space="preserve"> an issuer, bidder or target to include the following statements made by other persons in their disclosure document</w:t>
      </w:r>
      <w:r>
        <w:rPr>
          <w:iCs/>
        </w:rPr>
        <w:t>, product disclosure statement</w:t>
      </w:r>
      <w:r w:rsidR="000C24C6" w:rsidRPr="000C24C6">
        <w:rPr>
          <w:iCs/>
        </w:rPr>
        <w:t xml:space="preserve"> or bidder’s or target’s statement without having to obtain the person’s consent:</w:t>
      </w:r>
    </w:p>
    <w:p w:rsidR="006E701C" w:rsidRPr="000C24C6" w:rsidRDefault="006E701C" w:rsidP="0092104E">
      <w:pPr>
        <w:pStyle w:val="BodyText"/>
        <w:spacing w:before="0" w:line="240" w:lineRule="auto"/>
        <w:rPr>
          <w:iCs/>
        </w:rPr>
      </w:pPr>
    </w:p>
    <w:p w:rsidR="000C24C6" w:rsidRDefault="000C24C6" w:rsidP="0092104E">
      <w:pPr>
        <w:pStyle w:val="BodyText"/>
        <w:spacing w:before="0" w:line="240" w:lineRule="auto"/>
        <w:rPr>
          <w:iCs/>
        </w:rPr>
      </w:pPr>
      <w:r w:rsidRPr="000C24C6">
        <w:rPr>
          <w:iCs/>
        </w:rPr>
        <w:t>(a)</w:t>
      </w:r>
      <w:r w:rsidRPr="000C24C6">
        <w:rPr>
          <w:iCs/>
        </w:rPr>
        <w:tab/>
        <w:t>a statement made by an official person;</w:t>
      </w:r>
    </w:p>
    <w:p w:rsidR="006E701C" w:rsidRPr="000C24C6" w:rsidRDefault="006E701C" w:rsidP="0092104E">
      <w:pPr>
        <w:pStyle w:val="BodyText"/>
        <w:spacing w:before="0" w:line="240" w:lineRule="auto"/>
        <w:rPr>
          <w:iCs/>
        </w:rPr>
      </w:pPr>
    </w:p>
    <w:p w:rsidR="000C24C6" w:rsidRDefault="000C24C6" w:rsidP="0092104E">
      <w:pPr>
        <w:pStyle w:val="BodyText"/>
        <w:spacing w:before="0" w:line="240" w:lineRule="auto"/>
        <w:rPr>
          <w:iCs/>
        </w:rPr>
      </w:pPr>
      <w:r w:rsidRPr="000C24C6">
        <w:rPr>
          <w:iCs/>
        </w:rPr>
        <w:t>(b)</w:t>
      </w:r>
      <w:r w:rsidRPr="000C24C6">
        <w:rPr>
          <w:iCs/>
        </w:rPr>
        <w:tab/>
        <w:t>a statement that is, or is an extract from, a public official document; or</w:t>
      </w:r>
    </w:p>
    <w:p w:rsidR="006E701C" w:rsidRPr="000C24C6" w:rsidRDefault="006E701C" w:rsidP="0092104E">
      <w:pPr>
        <w:pStyle w:val="BodyText"/>
        <w:spacing w:before="0" w:line="240" w:lineRule="auto"/>
        <w:rPr>
          <w:iCs/>
        </w:rPr>
      </w:pPr>
    </w:p>
    <w:p w:rsidR="000C24C6" w:rsidRDefault="000C24C6" w:rsidP="006E701C">
      <w:pPr>
        <w:pStyle w:val="BodyText"/>
        <w:spacing w:before="0" w:line="240" w:lineRule="auto"/>
        <w:ind w:left="564" w:hanging="564"/>
        <w:rPr>
          <w:iCs/>
        </w:rPr>
      </w:pPr>
      <w:r w:rsidRPr="000C24C6">
        <w:rPr>
          <w:iCs/>
        </w:rPr>
        <w:t>(c)</w:t>
      </w:r>
      <w:r w:rsidRPr="000C24C6">
        <w:rPr>
          <w:iCs/>
        </w:rPr>
        <w:tab/>
      </w:r>
      <w:r w:rsidR="006E701C">
        <w:rPr>
          <w:iCs/>
        </w:rPr>
        <w:t xml:space="preserve">a </w:t>
      </w:r>
      <w:r w:rsidRPr="000C24C6">
        <w:rPr>
          <w:iCs/>
        </w:rPr>
        <w:t>statement, or an extract from, a statement that has already been published in a book, journal, or comparable publication.</w:t>
      </w:r>
    </w:p>
    <w:p w:rsidR="006E701C" w:rsidRPr="000C24C6" w:rsidRDefault="006E701C" w:rsidP="006E701C">
      <w:pPr>
        <w:pStyle w:val="BodyText"/>
        <w:spacing w:before="0" w:line="240" w:lineRule="auto"/>
        <w:ind w:left="564" w:hanging="564"/>
        <w:rPr>
          <w:iCs/>
        </w:rPr>
      </w:pPr>
    </w:p>
    <w:p w:rsidR="000C24C6" w:rsidRDefault="000C24C6" w:rsidP="0092104E">
      <w:pPr>
        <w:pStyle w:val="BodyText"/>
        <w:spacing w:before="0" w:line="240" w:lineRule="auto"/>
        <w:rPr>
          <w:iCs/>
        </w:rPr>
      </w:pPr>
      <w:r w:rsidRPr="000C24C6">
        <w:rPr>
          <w:iCs/>
        </w:rPr>
        <w:t xml:space="preserve">Without </w:t>
      </w:r>
      <w:r w:rsidR="0073304B">
        <w:rPr>
          <w:iCs/>
        </w:rPr>
        <w:t xml:space="preserve">this </w:t>
      </w:r>
      <w:r w:rsidRPr="000C24C6">
        <w:rPr>
          <w:iCs/>
        </w:rPr>
        <w:t>relief, issuers, bidders or targets would be required to obtain consent to refer to the statements of government officials and government publications—for example, publications of the Australian Bureau of Statistics or the Commonwealth Bureau of Meteorology. To obtain the consent of Government to use such a general statement may be onerous for the issuer, bidder or target. There is a low risk of liability for the Government in these circumstances.</w:t>
      </w:r>
    </w:p>
    <w:p w:rsidR="006E701C" w:rsidRPr="009D34D0" w:rsidRDefault="006E701C" w:rsidP="0092104E">
      <w:pPr>
        <w:pStyle w:val="BodyText"/>
        <w:spacing w:before="0" w:line="240" w:lineRule="auto"/>
        <w:rPr>
          <w:iCs/>
        </w:rPr>
      </w:pPr>
    </w:p>
    <w:p w:rsidR="009D34D0" w:rsidRDefault="009D34D0" w:rsidP="0092104E">
      <w:pPr>
        <w:pStyle w:val="BodyText"/>
        <w:spacing w:before="0" w:line="240" w:lineRule="auto"/>
        <w:rPr>
          <w:iCs/>
        </w:rPr>
      </w:pPr>
      <w:bookmarkStart w:id="2" w:name="_ASICRef502"/>
      <w:r w:rsidRPr="009D34D0">
        <w:rPr>
          <w:iCs/>
        </w:rPr>
        <w:t>The Crown in right of the Commonwealth may be exposed to civil liability for damages for a misleading statement included in a disclosure document, a bidder’s or target’s statement: subsections 5A(3) and (5) of the Act. However, liability is unlikely if the statement was not made for the purpose of being included in the disclosure document, bidder’s or target’s statement.</w:t>
      </w:r>
      <w:bookmarkEnd w:id="2"/>
    </w:p>
    <w:p w:rsidR="006E701C" w:rsidRPr="009D34D0" w:rsidRDefault="006E701C" w:rsidP="0092104E">
      <w:pPr>
        <w:pStyle w:val="BodyText"/>
        <w:spacing w:before="0" w:line="240" w:lineRule="auto"/>
        <w:rPr>
          <w:iCs/>
        </w:rPr>
      </w:pPr>
    </w:p>
    <w:p w:rsidR="009D34D0" w:rsidRPr="009D34D0" w:rsidRDefault="009D34D0" w:rsidP="0092104E">
      <w:pPr>
        <w:pStyle w:val="BodyText"/>
        <w:spacing w:before="0" w:line="240" w:lineRule="auto"/>
        <w:rPr>
          <w:iCs/>
        </w:rPr>
      </w:pPr>
      <w:r w:rsidRPr="009D34D0">
        <w:rPr>
          <w:iCs/>
        </w:rPr>
        <w:t>Similarly, with regard to books, journals and comparable publications, it is generally impractical for the issuer, bidder or target to obtain the consent of the author of the statement, if the statement is not specific to the offer, issuer, bid, bidder, target or their businesses. There is also a low risk of liability for the author in this case.</w:t>
      </w:r>
    </w:p>
    <w:p w:rsidR="00BF2C69" w:rsidRPr="009D34D0" w:rsidRDefault="00BF2C69" w:rsidP="0092104E">
      <w:pPr>
        <w:pStyle w:val="BodyText"/>
        <w:spacing w:before="0" w:line="240" w:lineRule="auto"/>
      </w:pPr>
    </w:p>
    <w:p w:rsidR="00485FB8" w:rsidRPr="006E701C" w:rsidRDefault="00485FB8" w:rsidP="0092104E">
      <w:pPr>
        <w:spacing w:after="0"/>
        <w:rPr>
          <w:b/>
          <w:i/>
          <w:sz w:val="24"/>
          <w:lang w:eastAsia="en-US"/>
        </w:rPr>
      </w:pPr>
      <w:r w:rsidRPr="006E701C">
        <w:rPr>
          <w:b/>
          <w:i/>
          <w:sz w:val="24"/>
          <w:lang w:eastAsia="en-US"/>
        </w:rPr>
        <w:t>Historical geological data</w:t>
      </w:r>
    </w:p>
    <w:p w:rsidR="0063217D" w:rsidRPr="0063217D" w:rsidRDefault="0063217D" w:rsidP="0092104E">
      <w:pPr>
        <w:spacing w:after="0"/>
        <w:rPr>
          <w:sz w:val="24"/>
          <w:lang w:eastAsia="en-US"/>
        </w:rPr>
      </w:pPr>
    </w:p>
    <w:p w:rsidR="00C32FCB" w:rsidRPr="00C32FCB" w:rsidRDefault="0063217D" w:rsidP="0092104E">
      <w:pPr>
        <w:spacing w:after="0"/>
        <w:rPr>
          <w:sz w:val="24"/>
          <w:lang w:eastAsia="en-US"/>
        </w:rPr>
      </w:pPr>
      <w:r>
        <w:rPr>
          <w:sz w:val="24"/>
          <w:lang w:eastAsia="en-US"/>
        </w:rPr>
        <w:t xml:space="preserve">A disclosure document, product disclosure statement, bidder’s or target’s statements relating to </w:t>
      </w:r>
      <w:r w:rsidRPr="0063217D">
        <w:rPr>
          <w:sz w:val="24"/>
          <w:lang w:eastAsia="en-US"/>
        </w:rPr>
        <w:t>mining tenements will often contain an independent technical assessment or valuation of the mining tenements. Inherent in the preparation of the reports is the need to refer to previous results and assessments on the mining tenements (historical results). In many cases, the historical results are obtained from an open file register or website of a government department, authority or agency, or an</w:t>
      </w:r>
      <w:r w:rsidR="00C32FCB">
        <w:rPr>
          <w:sz w:val="24"/>
          <w:lang w:eastAsia="en-US"/>
        </w:rPr>
        <w:t xml:space="preserve"> open register or website of </w:t>
      </w:r>
      <w:r w:rsidR="00F95EF7">
        <w:rPr>
          <w:sz w:val="24"/>
          <w:lang w:eastAsia="en-US"/>
        </w:rPr>
        <w:t xml:space="preserve">the operator of </w:t>
      </w:r>
      <w:r w:rsidR="00C32FCB">
        <w:rPr>
          <w:sz w:val="24"/>
          <w:lang w:eastAsia="en-US"/>
        </w:rPr>
        <w:t>a prescribed financial market</w:t>
      </w:r>
      <w:r w:rsidRPr="0063217D">
        <w:rPr>
          <w:sz w:val="24"/>
          <w:lang w:eastAsia="en-US"/>
        </w:rPr>
        <w:t xml:space="preserve">. The historical results are often obtained from geologists’ reports commissioned by previous holders of the tenements. </w:t>
      </w:r>
      <w:r w:rsidR="00C32FCB">
        <w:rPr>
          <w:sz w:val="24"/>
          <w:lang w:eastAsia="en-US"/>
        </w:rPr>
        <w:t>ASIC Corporations (Consents to Statements) Instrument 2016</w:t>
      </w:r>
      <w:r w:rsidR="006E701C">
        <w:rPr>
          <w:sz w:val="24"/>
          <w:lang w:eastAsia="en-US"/>
        </w:rPr>
        <w:t>/72</w:t>
      </w:r>
      <w:r w:rsidR="00C32FCB">
        <w:rPr>
          <w:sz w:val="24"/>
          <w:lang w:eastAsia="en-US"/>
        </w:rPr>
        <w:t xml:space="preserve"> </w:t>
      </w:r>
      <w:r w:rsidR="00C32FCB" w:rsidRPr="00C32FCB">
        <w:rPr>
          <w:sz w:val="24"/>
          <w:lang w:eastAsia="en-US"/>
        </w:rPr>
        <w:t xml:space="preserve">gives relief from the consent requirement for a geologist’s report dealing with the estimation, assessment or evaluation of minerals in a disclosure </w:t>
      </w:r>
      <w:r w:rsidR="00C32FCB" w:rsidRPr="00C32FCB">
        <w:rPr>
          <w:sz w:val="24"/>
          <w:lang w:eastAsia="en-US"/>
        </w:rPr>
        <w:lastRenderedPageBreak/>
        <w:t>document</w:t>
      </w:r>
      <w:r w:rsidR="008E1E49">
        <w:rPr>
          <w:sz w:val="24"/>
          <w:lang w:eastAsia="en-US"/>
        </w:rPr>
        <w:t>,</w:t>
      </w:r>
      <w:r w:rsidR="00C32FCB">
        <w:rPr>
          <w:sz w:val="24"/>
          <w:lang w:eastAsia="en-US"/>
        </w:rPr>
        <w:t xml:space="preserve"> product disclosure statement</w:t>
      </w:r>
      <w:r w:rsidR="008E1E49">
        <w:rPr>
          <w:sz w:val="24"/>
          <w:lang w:eastAsia="en-US"/>
        </w:rPr>
        <w:t>, bidder’s statement or target’s statement</w:t>
      </w:r>
      <w:r w:rsidR="00C32FCB" w:rsidRPr="00C32FCB">
        <w:rPr>
          <w:sz w:val="24"/>
          <w:lang w:eastAsia="en-US"/>
        </w:rPr>
        <w:t xml:space="preserve"> to ci</w:t>
      </w:r>
      <w:r w:rsidR="00C32FCB">
        <w:rPr>
          <w:sz w:val="24"/>
          <w:lang w:eastAsia="en-US"/>
        </w:rPr>
        <w:t>te a previous geological report.</w:t>
      </w:r>
    </w:p>
    <w:p w:rsidR="0078335A" w:rsidRPr="00C32FCB" w:rsidRDefault="0078335A" w:rsidP="0092104E">
      <w:pPr>
        <w:spacing w:after="0"/>
        <w:rPr>
          <w:sz w:val="24"/>
          <w:lang w:eastAsia="en-US"/>
        </w:rPr>
      </w:pPr>
    </w:p>
    <w:p w:rsidR="00903AE0" w:rsidRPr="006E701C" w:rsidRDefault="00903AE0" w:rsidP="0092104E">
      <w:pPr>
        <w:spacing w:after="0"/>
        <w:rPr>
          <w:b/>
          <w:i/>
          <w:sz w:val="24"/>
          <w:szCs w:val="24"/>
        </w:rPr>
      </w:pPr>
      <w:r w:rsidRPr="006E701C">
        <w:rPr>
          <w:b/>
          <w:i/>
          <w:sz w:val="24"/>
          <w:szCs w:val="24"/>
        </w:rPr>
        <w:t>Trading data</w:t>
      </w:r>
    </w:p>
    <w:p w:rsidR="00C32FCB" w:rsidRPr="00C32FCB" w:rsidRDefault="00C32FCB" w:rsidP="0092104E">
      <w:pPr>
        <w:spacing w:after="0"/>
        <w:rPr>
          <w:sz w:val="24"/>
          <w:szCs w:val="24"/>
        </w:rPr>
      </w:pPr>
    </w:p>
    <w:p w:rsidR="008E1E49" w:rsidRDefault="008E1E49" w:rsidP="0092104E">
      <w:pPr>
        <w:spacing w:after="0"/>
        <w:rPr>
          <w:sz w:val="24"/>
          <w:szCs w:val="24"/>
        </w:rPr>
      </w:pPr>
      <w:r>
        <w:rPr>
          <w:sz w:val="24"/>
          <w:szCs w:val="24"/>
        </w:rPr>
        <w:t>W</w:t>
      </w:r>
      <w:r w:rsidR="00C32FCB">
        <w:rPr>
          <w:sz w:val="24"/>
          <w:szCs w:val="24"/>
        </w:rPr>
        <w:t>here</w:t>
      </w:r>
      <w:r w:rsidR="00C32FCB" w:rsidRPr="00C32FCB">
        <w:rPr>
          <w:sz w:val="24"/>
          <w:szCs w:val="24"/>
        </w:rPr>
        <w:t xml:space="preserve"> issuers</w:t>
      </w:r>
      <w:r w:rsidR="00C32FCB">
        <w:rPr>
          <w:sz w:val="24"/>
          <w:szCs w:val="24"/>
        </w:rPr>
        <w:t>, bidders or targets seek</w:t>
      </w:r>
      <w:r w:rsidR="00C32FCB" w:rsidRPr="00C32FCB">
        <w:rPr>
          <w:sz w:val="24"/>
          <w:szCs w:val="24"/>
        </w:rPr>
        <w:t xml:space="preserve"> to include i</w:t>
      </w:r>
      <w:r>
        <w:rPr>
          <w:sz w:val="24"/>
          <w:szCs w:val="24"/>
        </w:rPr>
        <w:t>n a disclosure document, product disclosure statement, bidder’s statement or target’s statement (as applicable)</w:t>
      </w:r>
      <w:r w:rsidR="00C32FCB" w:rsidRPr="00C32FCB">
        <w:rPr>
          <w:sz w:val="24"/>
          <w:szCs w:val="24"/>
        </w:rPr>
        <w:t xml:space="preserve"> trading data relating to trading on a prescribed financial market (e.g. ASX) or an approved foreign exchange (e.g. the New York Stock Exchange</w:t>
      </w:r>
      <w:r>
        <w:rPr>
          <w:sz w:val="24"/>
          <w:szCs w:val="24"/>
        </w:rPr>
        <w:t>),</w:t>
      </w:r>
      <w:r w:rsidR="00C32FCB" w:rsidRPr="00C32FCB">
        <w:rPr>
          <w:sz w:val="24"/>
          <w:szCs w:val="24"/>
        </w:rPr>
        <w:t xml:space="preserve"> the consent of the relevant market operator or of any other party who provided the trading data (e.g. Bloomberg, Reuters or IRESS)</w:t>
      </w:r>
      <w:r>
        <w:rPr>
          <w:sz w:val="24"/>
          <w:szCs w:val="24"/>
        </w:rPr>
        <w:t xml:space="preserve"> is required. This is impractical.</w:t>
      </w:r>
      <w:r w:rsidR="00410890">
        <w:rPr>
          <w:sz w:val="24"/>
          <w:szCs w:val="24"/>
        </w:rPr>
        <w:t xml:space="preserve"> </w:t>
      </w:r>
      <w:r w:rsidR="00410890" w:rsidRPr="00410890">
        <w:rPr>
          <w:sz w:val="24"/>
          <w:szCs w:val="24"/>
        </w:rPr>
        <w:t>We give relief because the risk of trading data being misleading or inaccurate is limited. It is also unlikely that the market data provider would be liable.</w:t>
      </w:r>
    </w:p>
    <w:p w:rsidR="00C32FCB" w:rsidRDefault="00C32FCB" w:rsidP="0092104E">
      <w:pPr>
        <w:spacing w:after="0"/>
        <w:rPr>
          <w:sz w:val="24"/>
          <w:szCs w:val="24"/>
        </w:rPr>
      </w:pPr>
    </w:p>
    <w:p w:rsidR="00D025D0" w:rsidRDefault="005B0E3A" w:rsidP="006E701C">
      <w:pPr>
        <w:pStyle w:val="Heading3"/>
        <w:keepNext w:val="0"/>
        <w:widowControl w:val="0"/>
        <w:numPr>
          <w:ilvl w:val="0"/>
          <w:numId w:val="7"/>
        </w:numPr>
        <w:tabs>
          <w:tab w:val="left" w:pos="567"/>
        </w:tabs>
        <w:spacing w:after="0" w:line="240" w:lineRule="auto"/>
        <w:ind w:left="0" w:firstLine="0"/>
        <w:jc w:val="left"/>
        <w:rPr>
          <w:rFonts w:ascii="Arial" w:hAnsi="Arial" w:cs="Arial"/>
          <w:b/>
          <w:sz w:val="24"/>
          <w:szCs w:val="24"/>
        </w:rPr>
      </w:pPr>
      <w:bookmarkStart w:id="3" w:name="Insert_a_level_3_heading_"/>
      <w:bookmarkStart w:id="4" w:name="3._Operation_of_the_class_order_"/>
      <w:bookmarkEnd w:id="3"/>
      <w:bookmarkEnd w:id="4"/>
      <w:r w:rsidRPr="00B85DFD">
        <w:rPr>
          <w:rFonts w:ascii="Arial" w:hAnsi="Arial" w:cs="Arial"/>
          <w:b/>
          <w:spacing w:val="-1"/>
          <w:sz w:val="24"/>
          <w:szCs w:val="24"/>
        </w:rPr>
        <w:t>Operation</w:t>
      </w:r>
      <w:r w:rsidRPr="00B85DFD">
        <w:rPr>
          <w:rFonts w:ascii="Arial" w:hAnsi="Arial" w:cs="Arial"/>
          <w:b/>
          <w:sz w:val="24"/>
          <w:szCs w:val="24"/>
        </w:rPr>
        <w:t xml:space="preserve"> </w:t>
      </w:r>
      <w:r w:rsidRPr="00B85DFD">
        <w:rPr>
          <w:rFonts w:ascii="Arial" w:hAnsi="Arial" w:cs="Arial"/>
          <w:b/>
          <w:spacing w:val="-1"/>
          <w:sz w:val="24"/>
          <w:szCs w:val="24"/>
        </w:rPr>
        <w:t>of</w:t>
      </w:r>
      <w:r w:rsidRPr="00B85DFD">
        <w:rPr>
          <w:rFonts w:ascii="Arial" w:hAnsi="Arial" w:cs="Arial"/>
          <w:b/>
          <w:sz w:val="24"/>
          <w:szCs w:val="24"/>
        </w:rPr>
        <w:t xml:space="preserve"> </w:t>
      </w:r>
      <w:r w:rsidRPr="00B85DFD">
        <w:rPr>
          <w:rFonts w:ascii="Arial" w:hAnsi="Arial" w:cs="Arial"/>
          <w:b/>
          <w:spacing w:val="-1"/>
          <w:sz w:val="24"/>
          <w:szCs w:val="24"/>
        </w:rPr>
        <w:t>the</w:t>
      </w:r>
      <w:r w:rsidRPr="00B85DFD">
        <w:rPr>
          <w:rFonts w:ascii="Arial" w:hAnsi="Arial" w:cs="Arial"/>
          <w:b/>
          <w:sz w:val="24"/>
          <w:szCs w:val="24"/>
        </w:rPr>
        <w:t xml:space="preserve"> instrument</w:t>
      </w:r>
    </w:p>
    <w:p w:rsidR="006E701C" w:rsidRDefault="006E701C" w:rsidP="0092104E">
      <w:pPr>
        <w:pStyle w:val="BodyText"/>
        <w:spacing w:before="0" w:line="240" w:lineRule="auto"/>
        <w:rPr>
          <w:b/>
          <w:i/>
          <w:iCs/>
        </w:rPr>
      </w:pPr>
    </w:p>
    <w:p w:rsidR="00D025D0" w:rsidRPr="006E701C" w:rsidRDefault="00D025D0" w:rsidP="0092104E">
      <w:pPr>
        <w:pStyle w:val="BodyText"/>
        <w:spacing w:before="0" w:line="240" w:lineRule="auto"/>
        <w:rPr>
          <w:b/>
          <w:i/>
          <w:iCs/>
        </w:rPr>
      </w:pPr>
      <w:r w:rsidRPr="006E701C">
        <w:rPr>
          <w:b/>
          <w:i/>
          <w:iCs/>
        </w:rPr>
        <w:t>Statements made by government officials, or those published in books or journals</w:t>
      </w:r>
    </w:p>
    <w:p w:rsidR="00D025D0" w:rsidRPr="00D025D0" w:rsidRDefault="00D025D0" w:rsidP="0092104E">
      <w:pPr>
        <w:pStyle w:val="BodyText"/>
        <w:spacing w:before="0" w:line="240" w:lineRule="auto"/>
        <w:rPr>
          <w:b/>
          <w:i/>
          <w:iCs/>
          <w:u w:val="single"/>
        </w:rPr>
      </w:pPr>
    </w:p>
    <w:p w:rsidR="00007375" w:rsidRDefault="00007375" w:rsidP="0092104E">
      <w:pPr>
        <w:spacing w:after="0"/>
        <w:rPr>
          <w:sz w:val="24"/>
          <w:szCs w:val="24"/>
          <w:lang w:val="en-US"/>
        </w:rPr>
      </w:pPr>
      <w:r>
        <w:rPr>
          <w:sz w:val="24"/>
          <w:szCs w:val="24"/>
          <w:lang w:val="en-US"/>
        </w:rPr>
        <w:t>ASIC Corporations (Consents to Statements) Instrument 2016</w:t>
      </w:r>
      <w:r w:rsidR="006E701C">
        <w:rPr>
          <w:sz w:val="24"/>
          <w:szCs w:val="24"/>
          <w:lang w:val="en-US"/>
        </w:rPr>
        <w:t>/72</w:t>
      </w:r>
      <w:r w:rsidR="00410890">
        <w:rPr>
          <w:sz w:val="24"/>
          <w:szCs w:val="24"/>
          <w:lang w:val="en-US"/>
        </w:rPr>
        <w:t xml:space="preserve"> modifies the Act to give</w:t>
      </w:r>
      <w:r w:rsidRPr="00E73016">
        <w:rPr>
          <w:sz w:val="24"/>
          <w:szCs w:val="24"/>
          <w:lang w:val="en-US"/>
        </w:rPr>
        <w:t xml:space="preserve"> relief </w:t>
      </w:r>
      <w:r w:rsidR="0073304B">
        <w:rPr>
          <w:sz w:val="24"/>
          <w:szCs w:val="24"/>
          <w:lang w:val="en-US"/>
        </w:rPr>
        <w:t>such</w:t>
      </w:r>
      <w:r>
        <w:rPr>
          <w:sz w:val="24"/>
          <w:szCs w:val="24"/>
          <w:lang w:val="en-US"/>
        </w:rPr>
        <w:t xml:space="preserve"> that consent does</w:t>
      </w:r>
      <w:r w:rsidR="006E701C">
        <w:rPr>
          <w:sz w:val="24"/>
          <w:szCs w:val="24"/>
          <w:lang w:val="en-US"/>
        </w:rPr>
        <w:t xml:space="preserve"> not</w:t>
      </w:r>
      <w:r>
        <w:rPr>
          <w:sz w:val="24"/>
          <w:szCs w:val="24"/>
          <w:lang w:val="en-US"/>
        </w:rPr>
        <w:t xml:space="preserve"> need to be obtained in relation to</w:t>
      </w:r>
      <w:r w:rsidRPr="0063045F">
        <w:rPr>
          <w:sz w:val="24"/>
          <w:szCs w:val="24"/>
          <w:lang w:val="en-US"/>
        </w:rPr>
        <w:t xml:space="preserve"> a statement</w:t>
      </w:r>
      <w:r w:rsidR="0073304B">
        <w:rPr>
          <w:sz w:val="24"/>
          <w:szCs w:val="24"/>
          <w:lang w:val="en-US"/>
        </w:rPr>
        <w:t xml:space="preserve"> in a disclosure document, product disclosure statement, bidder</w:t>
      </w:r>
      <w:r w:rsidR="00D025D0">
        <w:rPr>
          <w:sz w:val="24"/>
          <w:szCs w:val="24"/>
          <w:lang w:val="en-US"/>
        </w:rPr>
        <w:t>’</w:t>
      </w:r>
      <w:r w:rsidR="0073304B">
        <w:rPr>
          <w:sz w:val="24"/>
          <w:szCs w:val="24"/>
          <w:lang w:val="en-US"/>
        </w:rPr>
        <w:t>s</w:t>
      </w:r>
      <w:r w:rsidR="00D025D0">
        <w:rPr>
          <w:sz w:val="24"/>
          <w:szCs w:val="24"/>
          <w:lang w:val="en-US"/>
        </w:rPr>
        <w:t xml:space="preserve"> </w:t>
      </w:r>
      <w:r w:rsidR="0073304B">
        <w:rPr>
          <w:sz w:val="24"/>
          <w:szCs w:val="24"/>
          <w:lang w:val="en-US"/>
        </w:rPr>
        <w:t>or target</w:t>
      </w:r>
      <w:r w:rsidR="00D025D0">
        <w:rPr>
          <w:sz w:val="24"/>
          <w:szCs w:val="24"/>
          <w:lang w:val="en-US"/>
        </w:rPr>
        <w:t>’</w:t>
      </w:r>
      <w:r w:rsidR="0073304B">
        <w:rPr>
          <w:sz w:val="24"/>
          <w:szCs w:val="24"/>
          <w:lang w:val="en-US"/>
        </w:rPr>
        <w:t>s statement</w:t>
      </w:r>
      <w:r w:rsidRPr="0063045F">
        <w:rPr>
          <w:sz w:val="24"/>
          <w:szCs w:val="24"/>
          <w:lang w:val="en-US"/>
        </w:rPr>
        <w:t xml:space="preserve"> that:</w:t>
      </w:r>
    </w:p>
    <w:p w:rsidR="006E701C" w:rsidRPr="0063045F" w:rsidRDefault="006E701C" w:rsidP="0092104E">
      <w:pPr>
        <w:spacing w:after="0"/>
        <w:rPr>
          <w:sz w:val="24"/>
          <w:szCs w:val="24"/>
          <w:lang w:val="en-US"/>
        </w:rPr>
      </w:pPr>
    </w:p>
    <w:p w:rsidR="00007375" w:rsidRDefault="00007375" w:rsidP="0092104E">
      <w:pPr>
        <w:tabs>
          <w:tab w:val="left" w:pos="567"/>
        </w:tabs>
        <w:spacing w:after="0"/>
        <w:ind w:left="567" w:hanging="567"/>
        <w:rPr>
          <w:sz w:val="24"/>
          <w:szCs w:val="24"/>
        </w:rPr>
      </w:pPr>
      <w:r w:rsidRPr="0063045F">
        <w:rPr>
          <w:sz w:val="24"/>
          <w:szCs w:val="24"/>
        </w:rPr>
        <w:t>(a)</w:t>
      </w:r>
      <w:r w:rsidRPr="0063045F">
        <w:rPr>
          <w:sz w:val="24"/>
          <w:szCs w:val="24"/>
        </w:rPr>
        <w:tab/>
        <w:t>fairly represents what purports to be a statement made by an official person; or</w:t>
      </w:r>
    </w:p>
    <w:p w:rsidR="006E701C" w:rsidRPr="0063045F" w:rsidRDefault="006E701C" w:rsidP="0092104E">
      <w:pPr>
        <w:tabs>
          <w:tab w:val="left" w:pos="567"/>
        </w:tabs>
        <w:spacing w:after="0"/>
        <w:ind w:left="567" w:hanging="567"/>
        <w:rPr>
          <w:sz w:val="24"/>
          <w:szCs w:val="24"/>
        </w:rPr>
      </w:pPr>
    </w:p>
    <w:p w:rsidR="00007375" w:rsidRDefault="00007375" w:rsidP="0092104E">
      <w:pPr>
        <w:tabs>
          <w:tab w:val="left" w:pos="567"/>
        </w:tabs>
        <w:spacing w:after="0"/>
        <w:ind w:left="567" w:hanging="567"/>
        <w:rPr>
          <w:sz w:val="24"/>
          <w:szCs w:val="24"/>
        </w:rPr>
      </w:pPr>
      <w:r w:rsidRPr="0063045F">
        <w:rPr>
          <w:sz w:val="24"/>
          <w:szCs w:val="24"/>
        </w:rPr>
        <w:t>(b)</w:t>
      </w:r>
      <w:r w:rsidRPr="0063045F">
        <w:rPr>
          <w:sz w:val="24"/>
          <w:szCs w:val="24"/>
        </w:rPr>
        <w:tab/>
        <w:t>is a correct and fair copy of, or extract from, what purports to be a public official document; or</w:t>
      </w:r>
    </w:p>
    <w:p w:rsidR="006E701C" w:rsidRDefault="006E701C" w:rsidP="0092104E">
      <w:pPr>
        <w:tabs>
          <w:tab w:val="left" w:pos="567"/>
        </w:tabs>
        <w:spacing w:after="0"/>
        <w:ind w:left="567" w:hanging="567"/>
        <w:rPr>
          <w:sz w:val="24"/>
          <w:szCs w:val="24"/>
        </w:rPr>
      </w:pPr>
    </w:p>
    <w:p w:rsidR="00007375" w:rsidRDefault="00007375" w:rsidP="0092104E">
      <w:pPr>
        <w:spacing w:after="0"/>
        <w:ind w:left="567" w:hanging="567"/>
        <w:rPr>
          <w:sz w:val="24"/>
          <w:szCs w:val="24"/>
        </w:rPr>
      </w:pPr>
      <w:r w:rsidRPr="0063045F">
        <w:rPr>
          <w:sz w:val="24"/>
          <w:szCs w:val="24"/>
        </w:rPr>
        <w:t>(c)</w:t>
      </w:r>
      <w:r w:rsidRPr="0063045F">
        <w:rPr>
          <w:sz w:val="24"/>
          <w:szCs w:val="24"/>
        </w:rPr>
        <w:tab/>
        <w:t>is a correct and fair copy of, or extract from, a statement which has already been published in a book, journal or comparable publication</w:t>
      </w:r>
      <w:r>
        <w:rPr>
          <w:sz w:val="24"/>
          <w:szCs w:val="24"/>
        </w:rPr>
        <w:t>.</w:t>
      </w:r>
    </w:p>
    <w:p w:rsidR="006E701C" w:rsidRDefault="006E701C" w:rsidP="0092104E">
      <w:pPr>
        <w:spacing w:after="0"/>
        <w:ind w:left="567" w:hanging="567"/>
        <w:rPr>
          <w:sz w:val="24"/>
          <w:szCs w:val="24"/>
        </w:rPr>
      </w:pPr>
    </w:p>
    <w:p w:rsidR="0073304B" w:rsidRDefault="00007375" w:rsidP="0092104E">
      <w:pPr>
        <w:spacing w:after="0"/>
        <w:rPr>
          <w:sz w:val="24"/>
          <w:szCs w:val="24"/>
        </w:rPr>
      </w:pPr>
      <w:r>
        <w:rPr>
          <w:sz w:val="24"/>
          <w:szCs w:val="24"/>
        </w:rPr>
        <w:t xml:space="preserve">For the relief to apply, </w:t>
      </w:r>
      <w:r w:rsidRPr="0063045F">
        <w:rPr>
          <w:sz w:val="24"/>
          <w:szCs w:val="24"/>
        </w:rPr>
        <w:t xml:space="preserve">the statement </w:t>
      </w:r>
      <w:r>
        <w:rPr>
          <w:sz w:val="24"/>
          <w:szCs w:val="24"/>
        </w:rPr>
        <w:t>must</w:t>
      </w:r>
      <w:r w:rsidRPr="0063045F">
        <w:rPr>
          <w:sz w:val="24"/>
          <w:szCs w:val="24"/>
        </w:rPr>
        <w:t xml:space="preserve"> not </w:t>
      </w:r>
      <w:r>
        <w:rPr>
          <w:sz w:val="24"/>
          <w:szCs w:val="24"/>
        </w:rPr>
        <w:t xml:space="preserve">have been </w:t>
      </w:r>
      <w:r w:rsidRPr="0063045F">
        <w:rPr>
          <w:sz w:val="24"/>
          <w:szCs w:val="24"/>
        </w:rPr>
        <w:t>made in connection with</w:t>
      </w:r>
      <w:r w:rsidR="0073304B">
        <w:rPr>
          <w:sz w:val="24"/>
          <w:szCs w:val="24"/>
        </w:rPr>
        <w:t>:</w:t>
      </w:r>
    </w:p>
    <w:p w:rsidR="006E701C" w:rsidRDefault="006E701C" w:rsidP="0092104E">
      <w:pPr>
        <w:spacing w:after="0"/>
        <w:rPr>
          <w:sz w:val="24"/>
          <w:szCs w:val="24"/>
        </w:rPr>
      </w:pPr>
    </w:p>
    <w:p w:rsidR="0073304B" w:rsidRPr="006E701C" w:rsidRDefault="00007375" w:rsidP="006E701C">
      <w:pPr>
        <w:pStyle w:val="ListParagraph"/>
        <w:numPr>
          <w:ilvl w:val="0"/>
          <w:numId w:val="44"/>
        </w:numPr>
        <w:spacing w:after="0"/>
        <w:ind w:left="567" w:hanging="567"/>
        <w:contextualSpacing w:val="0"/>
        <w:rPr>
          <w:b/>
          <w:sz w:val="24"/>
          <w:szCs w:val="24"/>
        </w:rPr>
      </w:pPr>
      <w:r w:rsidRPr="0073304B">
        <w:rPr>
          <w:sz w:val="24"/>
          <w:szCs w:val="24"/>
        </w:rPr>
        <w:t>the particular fundraising or in connection with the issuer’s business or property</w:t>
      </w:r>
      <w:r w:rsidR="0073304B" w:rsidRPr="0073304B">
        <w:rPr>
          <w:sz w:val="24"/>
          <w:szCs w:val="24"/>
        </w:rPr>
        <w:t xml:space="preserve"> (in the case of a disclosure document</w:t>
      </w:r>
      <w:r w:rsidR="0073304B">
        <w:rPr>
          <w:sz w:val="24"/>
          <w:szCs w:val="24"/>
        </w:rPr>
        <w:t>);</w:t>
      </w:r>
    </w:p>
    <w:p w:rsidR="006E701C" w:rsidRDefault="006E701C" w:rsidP="006E701C">
      <w:pPr>
        <w:pStyle w:val="ListParagraph"/>
        <w:spacing w:after="0"/>
        <w:ind w:left="567"/>
        <w:contextualSpacing w:val="0"/>
        <w:rPr>
          <w:b/>
          <w:sz w:val="24"/>
          <w:szCs w:val="24"/>
        </w:rPr>
      </w:pPr>
    </w:p>
    <w:p w:rsidR="00007375" w:rsidRDefault="0073304B" w:rsidP="006E701C">
      <w:pPr>
        <w:pStyle w:val="ListParagraph"/>
        <w:numPr>
          <w:ilvl w:val="0"/>
          <w:numId w:val="44"/>
        </w:numPr>
        <w:spacing w:after="0"/>
        <w:ind w:left="567" w:hanging="567"/>
        <w:contextualSpacing w:val="0"/>
        <w:rPr>
          <w:sz w:val="24"/>
          <w:szCs w:val="24"/>
        </w:rPr>
      </w:pPr>
      <w:r w:rsidRPr="0073304B">
        <w:rPr>
          <w:sz w:val="24"/>
          <w:szCs w:val="24"/>
        </w:rPr>
        <w:t xml:space="preserve">the </w:t>
      </w:r>
      <w:r w:rsidRPr="006E701C">
        <w:rPr>
          <w:sz w:val="24"/>
          <w:szCs w:val="24"/>
        </w:rPr>
        <w:t>responsible</w:t>
      </w:r>
      <w:r w:rsidRPr="0073304B">
        <w:rPr>
          <w:sz w:val="24"/>
          <w:szCs w:val="24"/>
        </w:rPr>
        <w:t xml:space="preserve"> person or their </w:t>
      </w:r>
      <w:r w:rsidR="006E701C">
        <w:rPr>
          <w:sz w:val="24"/>
          <w:szCs w:val="24"/>
        </w:rPr>
        <w:t>b</w:t>
      </w:r>
      <w:r w:rsidRPr="006E701C">
        <w:rPr>
          <w:sz w:val="24"/>
          <w:szCs w:val="24"/>
        </w:rPr>
        <w:t>usiness, or the promotion the subject of the product disclosure statement or any property to be acquired by the responsible person which is the subject of the product disclosure statement</w:t>
      </w:r>
      <w:r w:rsidR="00D025D0" w:rsidRPr="006E701C">
        <w:rPr>
          <w:sz w:val="24"/>
          <w:szCs w:val="24"/>
        </w:rPr>
        <w:t xml:space="preserve"> (in the case of a product disclosure statement); or</w:t>
      </w:r>
    </w:p>
    <w:p w:rsidR="006E701C" w:rsidRPr="006E701C" w:rsidRDefault="006E701C" w:rsidP="006E701C">
      <w:pPr>
        <w:pStyle w:val="ListParagraph"/>
        <w:spacing w:after="0"/>
        <w:ind w:left="567"/>
        <w:contextualSpacing w:val="0"/>
        <w:rPr>
          <w:sz w:val="24"/>
          <w:szCs w:val="24"/>
        </w:rPr>
      </w:pPr>
    </w:p>
    <w:p w:rsidR="00D025D0" w:rsidRPr="006E701C" w:rsidRDefault="00D025D0" w:rsidP="006E701C">
      <w:pPr>
        <w:pStyle w:val="ListParagraph"/>
        <w:numPr>
          <w:ilvl w:val="0"/>
          <w:numId w:val="44"/>
        </w:numPr>
        <w:spacing w:after="0"/>
        <w:ind w:left="567" w:hanging="567"/>
        <w:contextualSpacing w:val="0"/>
        <w:rPr>
          <w:sz w:val="24"/>
          <w:szCs w:val="24"/>
        </w:rPr>
      </w:pPr>
      <w:r w:rsidRPr="006E701C">
        <w:rPr>
          <w:sz w:val="24"/>
          <w:szCs w:val="24"/>
        </w:rPr>
        <w:t>the takeover bid or the business or property of the bidder or target (in the case of a bidder’s or target’s statement).</w:t>
      </w:r>
    </w:p>
    <w:p w:rsidR="006E701C" w:rsidRPr="0073304B" w:rsidRDefault="006E701C" w:rsidP="006E701C">
      <w:pPr>
        <w:pStyle w:val="ListParagraph"/>
        <w:spacing w:after="0"/>
        <w:ind w:left="780"/>
        <w:contextualSpacing w:val="0"/>
        <w:rPr>
          <w:b/>
          <w:sz w:val="24"/>
          <w:szCs w:val="24"/>
        </w:rPr>
      </w:pPr>
    </w:p>
    <w:p w:rsidR="00007375" w:rsidRPr="006E701C" w:rsidRDefault="00007375" w:rsidP="0092104E">
      <w:pPr>
        <w:spacing w:after="0"/>
        <w:rPr>
          <w:i/>
          <w:iCs/>
          <w:sz w:val="24"/>
          <w:szCs w:val="24"/>
          <w:u w:val="single"/>
        </w:rPr>
      </w:pPr>
      <w:r w:rsidRPr="006E701C">
        <w:rPr>
          <w:i/>
          <w:iCs/>
          <w:sz w:val="24"/>
          <w:szCs w:val="24"/>
          <w:u w:val="single"/>
        </w:rPr>
        <w:t>‘Official person’</w:t>
      </w:r>
    </w:p>
    <w:p w:rsidR="006E701C" w:rsidRPr="00E57080" w:rsidRDefault="006E701C" w:rsidP="0092104E">
      <w:pPr>
        <w:spacing w:after="0"/>
        <w:rPr>
          <w:i/>
          <w:iCs/>
          <w:sz w:val="24"/>
          <w:szCs w:val="24"/>
        </w:rPr>
      </w:pPr>
    </w:p>
    <w:p w:rsidR="00007375" w:rsidRDefault="00007375" w:rsidP="0092104E">
      <w:pPr>
        <w:spacing w:after="0"/>
        <w:rPr>
          <w:iCs/>
          <w:sz w:val="24"/>
          <w:szCs w:val="24"/>
        </w:rPr>
      </w:pPr>
      <w:r w:rsidRPr="00E57080">
        <w:rPr>
          <w:iCs/>
          <w:sz w:val="24"/>
          <w:szCs w:val="24"/>
        </w:rPr>
        <w:t>The term ‘official person’ contemplates a government official or staff member of a government department, authority or agency. A statement made by an official person refers to a statement made by such a person in their capacity as an official person and that reflects the view of the relevant government body.  Summaries of reports lodged by third parties are not covered as they do not state the views of the relevant government body.</w:t>
      </w:r>
    </w:p>
    <w:p w:rsidR="006E701C" w:rsidRPr="00E57080" w:rsidRDefault="006E701C" w:rsidP="0092104E">
      <w:pPr>
        <w:spacing w:after="0"/>
        <w:rPr>
          <w:iCs/>
          <w:sz w:val="24"/>
          <w:szCs w:val="24"/>
        </w:rPr>
      </w:pPr>
    </w:p>
    <w:p w:rsidR="00007375" w:rsidRPr="006E701C" w:rsidRDefault="00007375" w:rsidP="0092104E">
      <w:pPr>
        <w:spacing w:after="0"/>
        <w:rPr>
          <w:i/>
          <w:iCs/>
          <w:sz w:val="24"/>
          <w:szCs w:val="24"/>
          <w:u w:val="single"/>
        </w:rPr>
      </w:pPr>
      <w:r w:rsidRPr="006E701C">
        <w:rPr>
          <w:i/>
          <w:iCs/>
          <w:sz w:val="24"/>
          <w:szCs w:val="24"/>
          <w:u w:val="single"/>
        </w:rPr>
        <w:t>‘Public official document’</w:t>
      </w:r>
    </w:p>
    <w:p w:rsidR="006E701C" w:rsidRPr="00E57080" w:rsidRDefault="006E701C" w:rsidP="0092104E">
      <w:pPr>
        <w:spacing w:after="0"/>
        <w:rPr>
          <w:i/>
          <w:iCs/>
          <w:sz w:val="24"/>
          <w:szCs w:val="24"/>
        </w:rPr>
      </w:pPr>
    </w:p>
    <w:p w:rsidR="00641608" w:rsidRDefault="00007375" w:rsidP="0092104E">
      <w:pPr>
        <w:pStyle w:val="BodyText"/>
        <w:tabs>
          <w:tab w:val="left" w:pos="0"/>
        </w:tabs>
        <w:spacing w:before="0" w:line="240" w:lineRule="auto"/>
        <w:rPr>
          <w:iCs/>
          <w:szCs w:val="24"/>
        </w:rPr>
      </w:pPr>
      <w:r w:rsidRPr="00E57080">
        <w:rPr>
          <w:iCs/>
          <w:szCs w:val="24"/>
        </w:rPr>
        <w:t xml:space="preserve">Guidance on the meaning of the phrase ‘public official document’ can be found in cases that have considered the term ‘public document’ in an evidentiary context. A public document is one made by a public official as the result of a public inquiry and is available to the public: Lord Blackburn in </w:t>
      </w:r>
      <w:proofErr w:type="spellStart"/>
      <w:r w:rsidRPr="00E57080">
        <w:rPr>
          <w:i/>
          <w:iCs/>
          <w:szCs w:val="24"/>
        </w:rPr>
        <w:t>Sturla</w:t>
      </w:r>
      <w:proofErr w:type="spellEnd"/>
      <w:r w:rsidRPr="00E57080">
        <w:rPr>
          <w:i/>
          <w:iCs/>
          <w:szCs w:val="24"/>
        </w:rPr>
        <w:t xml:space="preserve"> v </w:t>
      </w:r>
      <w:proofErr w:type="spellStart"/>
      <w:r w:rsidRPr="00E57080">
        <w:rPr>
          <w:i/>
          <w:iCs/>
          <w:szCs w:val="24"/>
        </w:rPr>
        <w:t>Freccia</w:t>
      </w:r>
      <w:proofErr w:type="spellEnd"/>
      <w:r w:rsidRPr="00E57080">
        <w:rPr>
          <w:iCs/>
          <w:szCs w:val="24"/>
        </w:rPr>
        <w:t xml:space="preserve"> [1874–80] All ER Rep 657.</w:t>
      </w:r>
    </w:p>
    <w:p w:rsidR="006E701C" w:rsidRPr="00641608" w:rsidRDefault="006E701C" w:rsidP="0092104E">
      <w:pPr>
        <w:pStyle w:val="BodyText"/>
        <w:tabs>
          <w:tab w:val="left" w:pos="0"/>
        </w:tabs>
        <w:spacing w:before="0" w:line="240" w:lineRule="auto"/>
        <w:rPr>
          <w:iCs/>
          <w:szCs w:val="24"/>
        </w:rPr>
      </w:pPr>
    </w:p>
    <w:p w:rsidR="00641608" w:rsidRDefault="00641608" w:rsidP="0092104E">
      <w:pPr>
        <w:pStyle w:val="BodyText"/>
        <w:tabs>
          <w:tab w:val="left" w:pos="0"/>
        </w:tabs>
        <w:spacing w:before="0" w:line="240" w:lineRule="auto"/>
        <w:rPr>
          <w:iCs/>
        </w:rPr>
      </w:pPr>
      <w:r>
        <w:rPr>
          <w:iCs/>
        </w:rPr>
        <w:t>For the purposes of the relief, the</w:t>
      </w:r>
      <w:r w:rsidRPr="00641608">
        <w:rPr>
          <w:iCs/>
        </w:rPr>
        <w:t xml:space="preserve"> term ‘public official document’ contemplates a document that is:</w:t>
      </w:r>
    </w:p>
    <w:p w:rsidR="006E701C" w:rsidRPr="00641608" w:rsidRDefault="006E701C" w:rsidP="0092104E">
      <w:pPr>
        <w:pStyle w:val="BodyText"/>
        <w:tabs>
          <w:tab w:val="left" w:pos="0"/>
        </w:tabs>
        <w:spacing w:before="0" w:line="240" w:lineRule="auto"/>
        <w:rPr>
          <w:iCs/>
        </w:rPr>
      </w:pPr>
    </w:p>
    <w:p w:rsidR="00641608" w:rsidRDefault="00641608" w:rsidP="006E701C">
      <w:pPr>
        <w:pStyle w:val="BodyText"/>
        <w:tabs>
          <w:tab w:val="left" w:pos="0"/>
        </w:tabs>
        <w:spacing w:before="0" w:line="240" w:lineRule="auto"/>
        <w:ind w:left="564" w:hanging="564"/>
        <w:rPr>
          <w:iCs/>
        </w:rPr>
      </w:pPr>
      <w:r w:rsidRPr="00641608">
        <w:rPr>
          <w:iCs/>
        </w:rPr>
        <w:t>(a)</w:t>
      </w:r>
      <w:r w:rsidRPr="00641608">
        <w:rPr>
          <w:iCs/>
        </w:rPr>
        <w:tab/>
        <w:t>made by an ‘official person’ as the result of carrying out their duties or exercising their powers in their capacity as an ‘official person’;</w:t>
      </w:r>
    </w:p>
    <w:p w:rsidR="006E701C" w:rsidRPr="00641608" w:rsidRDefault="006E701C" w:rsidP="006E701C">
      <w:pPr>
        <w:pStyle w:val="BodyText"/>
        <w:tabs>
          <w:tab w:val="left" w:pos="0"/>
        </w:tabs>
        <w:spacing w:before="0" w:line="240" w:lineRule="auto"/>
        <w:ind w:left="564" w:hanging="564"/>
        <w:rPr>
          <w:iCs/>
        </w:rPr>
      </w:pPr>
    </w:p>
    <w:p w:rsidR="00641608" w:rsidRDefault="00641608" w:rsidP="0092104E">
      <w:pPr>
        <w:pStyle w:val="BodyText"/>
        <w:tabs>
          <w:tab w:val="left" w:pos="0"/>
        </w:tabs>
        <w:spacing w:before="0" w:line="240" w:lineRule="auto"/>
        <w:rPr>
          <w:iCs/>
        </w:rPr>
      </w:pPr>
      <w:r w:rsidRPr="00641608">
        <w:rPr>
          <w:iCs/>
        </w:rPr>
        <w:t>(b)</w:t>
      </w:r>
      <w:r w:rsidRPr="00641608">
        <w:rPr>
          <w:iCs/>
        </w:rPr>
        <w:tab/>
        <w:t>made public; and</w:t>
      </w:r>
    </w:p>
    <w:p w:rsidR="006E701C" w:rsidRPr="00641608" w:rsidRDefault="006E701C" w:rsidP="0092104E">
      <w:pPr>
        <w:pStyle w:val="BodyText"/>
        <w:tabs>
          <w:tab w:val="left" w:pos="0"/>
        </w:tabs>
        <w:spacing w:before="0" w:line="240" w:lineRule="auto"/>
        <w:rPr>
          <w:iCs/>
        </w:rPr>
      </w:pPr>
    </w:p>
    <w:p w:rsidR="00641608" w:rsidRDefault="00641608" w:rsidP="0092104E">
      <w:pPr>
        <w:pStyle w:val="BodyText"/>
        <w:tabs>
          <w:tab w:val="left" w:pos="0"/>
        </w:tabs>
        <w:spacing w:before="0" w:line="240" w:lineRule="auto"/>
        <w:rPr>
          <w:iCs/>
        </w:rPr>
      </w:pPr>
      <w:r w:rsidRPr="00641608">
        <w:rPr>
          <w:iCs/>
        </w:rPr>
        <w:t>(c)</w:t>
      </w:r>
      <w:r w:rsidRPr="00641608">
        <w:rPr>
          <w:iCs/>
        </w:rPr>
        <w:tab/>
        <w:t>reflects the view of the relevant government body.</w:t>
      </w:r>
    </w:p>
    <w:p w:rsidR="006E701C" w:rsidRPr="00641608" w:rsidRDefault="006E701C" w:rsidP="0092104E">
      <w:pPr>
        <w:pStyle w:val="BodyText"/>
        <w:tabs>
          <w:tab w:val="left" w:pos="0"/>
        </w:tabs>
        <w:spacing w:before="0" w:line="240" w:lineRule="auto"/>
        <w:rPr>
          <w:iCs/>
        </w:rPr>
      </w:pPr>
    </w:p>
    <w:p w:rsidR="00641608" w:rsidRDefault="00641608" w:rsidP="0092104E">
      <w:pPr>
        <w:pStyle w:val="BodyText"/>
        <w:tabs>
          <w:tab w:val="left" w:pos="0"/>
        </w:tabs>
        <w:spacing w:before="0" w:line="240" w:lineRule="auto"/>
        <w:rPr>
          <w:iCs/>
        </w:rPr>
      </w:pPr>
      <w:r w:rsidRPr="00641608">
        <w:rPr>
          <w:iCs/>
        </w:rPr>
        <w:t>Documents do not become public official documents merely because they have been lodged with a government department or statutory authority and are maintained for public access on a registry by the department or authority.</w:t>
      </w:r>
    </w:p>
    <w:p w:rsidR="006E701C" w:rsidRPr="00641608" w:rsidRDefault="006E701C" w:rsidP="0092104E">
      <w:pPr>
        <w:pStyle w:val="BodyText"/>
        <w:tabs>
          <w:tab w:val="left" w:pos="0"/>
        </w:tabs>
        <w:spacing w:before="0" w:line="240" w:lineRule="auto"/>
        <w:rPr>
          <w:iCs/>
        </w:rPr>
      </w:pPr>
    </w:p>
    <w:p w:rsidR="00641608" w:rsidRDefault="00641608" w:rsidP="0092104E">
      <w:pPr>
        <w:pStyle w:val="BodyText"/>
        <w:tabs>
          <w:tab w:val="left" w:pos="0"/>
        </w:tabs>
        <w:spacing w:before="0" w:line="240" w:lineRule="auto"/>
        <w:rPr>
          <w:iCs/>
          <w:u w:val="single"/>
        </w:rPr>
      </w:pPr>
      <w:r w:rsidRPr="006E701C">
        <w:rPr>
          <w:i/>
          <w:iCs/>
          <w:u w:val="single"/>
        </w:rPr>
        <w:t>‘Book, journal, or comparable publication</w:t>
      </w:r>
      <w:r w:rsidRPr="006E701C">
        <w:rPr>
          <w:iCs/>
          <w:u w:val="single"/>
        </w:rPr>
        <w:t>’</w:t>
      </w:r>
    </w:p>
    <w:p w:rsidR="00D70A47" w:rsidRPr="006E701C" w:rsidRDefault="00D70A47" w:rsidP="0092104E">
      <w:pPr>
        <w:pStyle w:val="BodyText"/>
        <w:tabs>
          <w:tab w:val="left" w:pos="0"/>
        </w:tabs>
        <w:spacing w:before="0" w:line="240" w:lineRule="auto"/>
        <w:rPr>
          <w:iCs/>
          <w:u w:val="single"/>
        </w:rPr>
      </w:pPr>
    </w:p>
    <w:p w:rsidR="00641608" w:rsidRDefault="00641608" w:rsidP="0092104E">
      <w:pPr>
        <w:pStyle w:val="BodyText"/>
        <w:tabs>
          <w:tab w:val="left" w:pos="0"/>
        </w:tabs>
        <w:spacing w:before="0" w:line="240" w:lineRule="auto"/>
        <w:rPr>
          <w:lang w:val="en-US"/>
        </w:rPr>
      </w:pPr>
      <w:r>
        <w:rPr>
          <w:iCs/>
        </w:rPr>
        <w:t xml:space="preserve">For the purposes of the relief, </w:t>
      </w:r>
      <w:r w:rsidRPr="00641608">
        <w:rPr>
          <w:iCs/>
        </w:rPr>
        <w:t>the phrase ‘book, journal or comparable publication’ includes references to statements in a form, and of a standard, similar to that normally contained in a book or journal, but which are made available through the internet or other electronic means. This excludes, for example, references to statements made in internet chat rooms, news groups and homepages with unaccountable content (i.e. with anonymous participants or without editorial control).</w:t>
      </w:r>
    </w:p>
    <w:p w:rsidR="00007375" w:rsidRDefault="00007375" w:rsidP="0092104E">
      <w:pPr>
        <w:pStyle w:val="BodyText"/>
        <w:tabs>
          <w:tab w:val="left" w:pos="0"/>
        </w:tabs>
        <w:spacing w:before="0" w:line="240" w:lineRule="auto"/>
        <w:rPr>
          <w:szCs w:val="24"/>
        </w:rPr>
      </w:pPr>
    </w:p>
    <w:p w:rsidR="00D025D0" w:rsidRPr="00F95EF7" w:rsidRDefault="00D025D0" w:rsidP="0092104E">
      <w:pPr>
        <w:spacing w:after="0"/>
        <w:rPr>
          <w:b/>
          <w:i/>
          <w:sz w:val="24"/>
          <w:lang w:eastAsia="en-US"/>
        </w:rPr>
      </w:pPr>
      <w:r w:rsidRPr="00F95EF7">
        <w:rPr>
          <w:b/>
          <w:i/>
          <w:sz w:val="24"/>
          <w:lang w:eastAsia="en-US"/>
        </w:rPr>
        <w:t>Historical geological data</w:t>
      </w:r>
    </w:p>
    <w:p w:rsidR="00D025D0" w:rsidRDefault="00D025D0" w:rsidP="0092104E">
      <w:pPr>
        <w:spacing w:after="0"/>
        <w:rPr>
          <w:sz w:val="24"/>
          <w:lang w:eastAsia="en-US"/>
        </w:rPr>
      </w:pPr>
    </w:p>
    <w:p w:rsidR="008E1E49" w:rsidRDefault="008E1E49" w:rsidP="0092104E">
      <w:pPr>
        <w:spacing w:after="0"/>
        <w:rPr>
          <w:sz w:val="24"/>
          <w:szCs w:val="24"/>
        </w:rPr>
      </w:pPr>
      <w:r w:rsidRPr="008E1E49">
        <w:rPr>
          <w:sz w:val="24"/>
          <w:szCs w:val="24"/>
        </w:rPr>
        <w:t>ASIC Corporations (Consents t</w:t>
      </w:r>
      <w:r w:rsidR="00E327DC">
        <w:rPr>
          <w:sz w:val="24"/>
          <w:szCs w:val="24"/>
        </w:rPr>
        <w:t>o Statements) Instrument 2016</w:t>
      </w:r>
      <w:r w:rsidR="006E701C">
        <w:rPr>
          <w:sz w:val="24"/>
          <w:szCs w:val="24"/>
        </w:rPr>
        <w:t>/72</w:t>
      </w:r>
      <w:r w:rsidRPr="008E1E49">
        <w:rPr>
          <w:sz w:val="24"/>
          <w:szCs w:val="24"/>
        </w:rPr>
        <w:t xml:space="preserve"> </w:t>
      </w:r>
      <w:r w:rsidR="00410890">
        <w:rPr>
          <w:sz w:val="24"/>
          <w:szCs w:val="24"/>
        </w:rPr>
        <w:t>modifies the Act to give relief from</w:t>
      </w:r>
      <w:r w:rsidRPr="008E1E49">
        <w:rPr>
          <w:sz w:val="24"/>
          <w:szCs w:val="24"/>
        </w:rPr>
        <w:t xml:space="preserve"> the consent requirement for a geologist’s report dealing with the estimation, assessment or evaluation of mine</w:t>
      </w:r>
      <w:r w:rsidR="008E6235">
        <w:rPr>
          <w:sz w:val="24"/>
          <w:szCs w:val="24"/>
        </w:rPr>
        <w:t>rals in a disclosure document, product disclosure statement, bidder’s statement or target’s statement</w:t>
      </w:r>
      <w:r w:rsidRPr="008E1E49">
        <w:rPr>
          <w:sz w:val="24"/>
          <w:szCs w:val="24"/>
        </w:rPr>
        <w:t xml:space="preserve"> to cite a previous geological report where:</w:t>
      </w:r>
    </w:p>
    <w:p w:rsidR="008E1E49" w:rsidRPr="008E1E49" w:rsidRDefault="008E1E49" w:rsidP="0092104E">
      <w:pPr>
        <w:spacing w:after="0"/>
        <w:rPr>
          <w:sz w:val="24"/>
          <w:szCs w:val="24"/>
        </w:rPr>
      </w:pPr>
    </w:p>
    <w:p w:rsidR="008E1E49" w:rsidRDefault="008E1E49" w:rsidP="006E701C">
      <w:pPr>
        <w:pStyle w:val="ListParagraph"/>
        <w:numPr>
          <w:ilvl w:val="0"/>
          <w:numId w:val="41"/>
        </w:numPr>
        <w:tabs>
          <w:tab w:val="num" w:pos="2693"/>
        </w:tabs>
        <w:spacing w:after="0"/>
        <w:ind w:left="567" w:hanging="567"/>
        <w:contextualSpacing w:val="0"/>
        <w:rPr>
          <w:sz w:val="24"/>
          <w:szCs w:val="24"/>
        </w:rPr>
      </w:pPr>
      <w:r w:rsidRPr="008E1E49">
        <w:rPr>
          <w:sz w:val="24"/>
          <w:szCs w:val="24"/>
        </w:rPr>
        <w:t>the current geologist is either (or both) a Member or Fellow of the Australasian Institute of Mining and Metallurgy (</w:t>
      </w:r>
      <w:proofErr w:type="spellStart"/>
      <w:r w:rsidRPr="008E1E49">
        <w:rPr>
          <w:sz w:val="24"/>
          <w:szCs w:val="24"/>
        </w:rPr>
        <w:t>AusIMM</w:t>
      </w:r>
      <w:proofErr w:type="spellEnd"/>
      <w:r w:rsidRPr="008E1E49">
        <w:rPr>
          <w:sz w:val="24"/>
          <w:szCs w:val="24"/>
        </w:rPr>
        <w:t xml:space="preserve">) or the Australian Institute of Geoscientists (AIG) with a minimum of five </w:t>
      </w:r>
      <w:proofErr w:type="spellStart"/>
      <w:r w:rsidRPr="008E1E49">
        <w:rPr>
          <w:sz w:val="24"/>
          <w:szCs w:val="24"/>
        </w:rPr>
        <w:t>years experience</w:t>
      </w:r>
      <w:proofErr w:type="spellEnd"/>
      <w:r w:rsidRPr="008E1E49">
        <w:rPr>
          <w:sz w:val="24"/>
          <w:szCs w:val="24"/>
        </w:rPr>
        <w:t xml:space="preserve"> relevant to estimating, assessing and evaluating the resources the subject of the report;</w:t>
      </w:r>
    </w:p>
    <w:p w:rsidR="006E701C" w:rsidRDefault="006E701C" w:rsidP="006E701C">
      <w:pPr>
        <w:pStyle w:val="ListParagraph"/>
        <w:spacing w:after="0"/>
        <w:ind w:left="567"/>
        <w:contextualSpacing w:val="0"/>
        <w:rPr>
          <w:sz w:val="24"/>
          <w:szCs w:val="24"/>
        </w:rPr>
      </w:pPr>
    </w:p>
    <w:p w:rsidR="008E1E49" w:rsidRDefault="008E1E49" w:rsidP="006E701C">
      <w:pPr>
        <w:pStyle w:val="ListParagraph"/>
        <w:numPr>
          <w:ilvl w:val="0"/>
          <w:numId w:val="41"/>
        </w:numPr>
        <w:tabs>
          <w:tab w:val="num" w:pos="2693"/>
        </w:tabs>
        <w:spacing w:after="0"/>
        <w:ind w:left="567" w:hanging="567"/>
        <w:contextualSpacing w:val="0"/>
        <w:rPr>
          <w:sz w:val="24"/>
          <w:szCs w:val="24"/>
        </w:rPr>
      </w:pPr>
      <w:r w:rsidRPr="008E1E49">
        <w:rPr>
          <w:sz w:val="24"/>
          <w:szCs w:val="24"/>
        </w:rPr>
        <w:t>the statement is made in, or based on a statement made in</w:t>
      </w:r>
      <w:r w:rsidR="00F95EF7">
        <w:rPr>
          <w:sz w:val="24"/>
          <w:szCs w:val="24"/>
        </w:rPr>
        <w:t>,</w:t>
      </w:r>
      <w:r w:rsidRPr="008E1E49">
        <w:rPr>
          <w:sz w:val="24"/>
          <w:szCs w:val="24"/>
        </w:rPr>
        <w:t xml:space="preserve"> the previous geological report </w:t>
      </w:r>
      <w:r w:rsidR="00F95EF7">
        <w:rPr>
          <w:sz w:val="24"/>
          <w:szCs w:val="24"/>
        </w:rPr>
        <w:t xml:space="preserve">and that previous geological report is </w:t>
      </w:r>
      <w:r w:rsidRPr="008E1E49">
        <w:rPr>
          <w:sz w:val="24"/>
          <w:szCs w:val="24"/>
        </w:rPr>
        <w:t>publicly available (with or without payment of a fee) from:</w:t>
      </w:r>
    </w:p>
    <w:p w:rsidR="006E701C" w:rsidRDefault="006E701C" w:rsidP="006E701C">
      <w:pPr>
        <w:pStyle w:val="ListParagraph"/>
        <w:spacing w:after="0"/>
        <w:ind w:left="567"/>
        <w:contextualSpacing w:val="0"/>
        <w:rPr>
          <w:sz w:val="24"/>
          <w:szCs w:val="24"/>
        </w:rPr>
      </w:pPr>
    </w:p>
    <w:p w:rsidR="008E1E49" w:rsidRDefault="008E1E49" w:rsidP="006E701C">
      <w:pPr>
        <w:pStyle w:val="ListParagraph"/>
        <w:numPr>
          <w:ilvl w:val="1"/>
          <w:numId w:val="41"/>
        </w:numPr>
        <w:spacing w:after="0"/>
        <w:ind w:left="1134" w:hanging="567"/>
        <w:contextualSpacing w:val="0"/>
        <w:rPr>
          <w:sz w:val="24"/>
          <w:szCs w:val="24"/>
        </w:rPr>
      </w:pPr>
      <w:r w:rsidRPr="008E1E49">
        <w:rPr>
          <w:sz w:val="24"/>
          <w:szCs w:val="24"/>
        </w:rPr>
        <w:t>a government department, authority or agency of an Australian state or territory; or</w:t>
      </w:r>
    </w:p>
    <w:p w:rsidR="006E701C" w:rsidRDefault="006E701C" w:rsidP="006E701C">
      <w:pPr>
        <w:pStyle w:val="ListParagraph"/>
        <w:spacing w:after="0"/>
        <w:ind w:left="1134"/>
        <w:contextualSpacing w:val="0"/>
        <w:rPr>
          <w:sz w:val="24"/>
          <w:szCs w:val="24"/>
        </w:rPr>
      </w:pPr>
    </w:p>
    <w:p w:rsidR="008E1E49" w:rsidRDefault="00F95EF7" w:rsidP="006E701C">
      <w:pPr>
        <w:pStyle w:val="ListParagraph"/>
        <w:numPr>
          <w:ilvl w:val="1"/>
          <w:numId w:val="41"/>
        </w:numPr>
        <w:spacing w:after="0"/>
        <w:ind w:left="1134" w:hanging="567"/>
        <w:contextualSpacing w:val="0"/>
        <w:rPr>
          <w:sz w:val="24"/>
          <w:szCs w:val="24"/>
        </w:rPr>
      </w:pPr>
      <w:r>
        <w:rPr>
          <w:sz w:val="24"/>
          <w:szCs w:val="24"/>
        </w:rPr>
        <w:t xml:space="preserve">the operator of a </w:t>
      </w:r>
      <w:r w:rsidR="008E1E49" w:rsidRPr="008E1E49">
        <w:rPr>
          <w:sz w:val="24"/>
          <w:szCs w:val="24"/>
        </w:rPr>
        <w:t>prescribed financial market;</w:t>
      </w:r>
    </w:p>
    <w:p w:rsidR="00D70A47" w:rsidRDefault="00D70A47" w:rsidP="00D70A47">
      <w:pPr>
        <w:pStyle w:val="ListParagraph"/>
        <w:spacing w:after="0"/>
        <w:ind w:left="1134"/>
        <w:contextualSpacing w:val="0"/>
        <w:rPr>
          <w:sz w:val="24"/>
          <w:szCs w:val="24"/>
        </w:rPr>
      </w:pPr>
    </w:p>
    <w:p w:rsidR="007E45D1" w:rsidRDefault="008E6235" w:rsidP="006E701C">
      <w:pPr>
        <w:pStyle w:val="ListParagraph"/>
        <w:numPr>
          <w:ilvl w:val="0"/>
          <w:numId w:val="41"/>
        </w:numPr>
        <w:tabs>
          <w:tab w:val="num" w:pos="2693"/>
        </w:tabs>
        <w:spacing w:after="0"/>
        <w:ind w:left="567" w:hanging="567"/>
        <w:contextualSpacing w:val="0"/>
        <w:rPr>
          <w:sz w:val="24"/>
          <w:szCs w:val="24"/>
        </w:rPr>
      </w:pPr>
      <w:r>
        <w:rPr>
          <w:sz w:val="24"/>
          <w:szCs w:val="24"/>
        </w:rPr>
        <w:t>in the case of a disclosure document or product disclosure statemen</w:t>
      </w:r>
      <w:r w:rsidR="007E45D1">
        <w:rPr>
          <w:sz w:val="24"/>
          <w:szCs w:val="24"/>
        </w:rPr>
        <w:t>t:</w:t>
      </w:r>
    </w:p>
    <w:p w:rsidR="006E701C" w:rsidRDefault="006E701C" w:rsidP="006E701C">
      <w:pPr>
        <w:pStyle w:val="ListParagraph"/>
        <w:spacing w:after="0"/>
        <w:ind w:left="567"/>
        <w:contextualSpacing w:val="0"/>
        <w:rPr>
          <w:sz w:val="24"/>
          <w:szCs w:val="24"/>
        </w:rPr>
      </w:pPr>
    </w:p>
    <w:p w:rsidR="008E6235" w:rsidRDefault="008E1E49" w:rsidP="006E701C">
      <w:pPr>
        <w:pStyle w:val="ListParagraph"/>
        <w:numPr>
          <w:ilvl w:val="1"/>
          <w:numId w:val="41"/>
        </w:numPr>
        <w:spacing w:after="0"/>
        <w:ind w:left="1134" w:hanging="567"/>
        <w:contextualSpacing w:val="0"/>
        <w:rPr>
          <w:sz w:val="24"/>
          <w:szCs w:val="24"/>
        </w:rPr>
      </w:pPr>
      <w:r w:rsidRPr="008E1E49">
        <w:rPr>
          <w:sz w:val="24"/>
          <w:szCs w:val="24"/>
        </w:rPr>
        <w:t>the previous geological report was not prepared in connection with the offer of products unde</w:t>
      </w:r>
      <w:r w:rsidR="008E6235">
        <w:rPr>
          <w:sz w:val="24"/>
          <w:szCs w:val="24"/>
        </w:rPr>
        <w:t>r the disclosure document or product disclosure statement</w:t>
      </w:r>
      <w:r w:rsidRPr="008E1E49">
        <w:rPr>
          <w:sz w:val="24"/>
          <w:szCs w:val="24"/>
        </w:rPr>
        <w:t>;</w:t>
      </w:r>
    </w:p>
    <w:p w:rsidR="006E701C" w:rsidRDefault="006E701C" w:rsidP="006E701C">
      <w:pPr>
        <w:pStyle w:val="ListParagraph"/>
        <w:spacing w:after="0"/>
        <w:ind w:left="1134"/>
        <w:contextualSpacing w:val="0"/>
        <w:rPr>
          <w:sz w:val="24"/>
          <w:szCs w:val="24"/>
        </w:rPr>
      </w:pPr>
    </w:p>
    <w:p w:rsidR="008E6235" w:rsidRDefault="008E1E49" w:rsidP="006E701C">
      <w:pPr>
        <w:pStyle w:val="ListParagraph"/>
        <w:numPr>
          <w:ilvl w:val="1"/>
          <w:numId w:val="41"/>
        </w:numPr>
        <w:spacing w:after="0"/>
        <w:ind w:left="1134" w:hanging="567"/>
        <w:contextualSpacing w:val="0"/>
        <w:rPr>
          <w:sz w:val="24"/>
          <w:szCs w:val="24"/>
        </w:rPr>
      </w:pPr>
      <w:r w:rsidRPr="008E6235">
        <w:rPr>
          <w:sz w:val="24"/>
          <w:szCs w:val="24"/>
        </w:rPr>
        <w:t>the previous geological report was not prepared or commissioned by a person with or from whom the issuer (or any associate of the issuer):</w:t>
      </w:r>
    </w:p>
    <w:p w:rsidR="006E701C" w:rsidRDefault="006E701C" w:rsidP="006E701C">
      <w:pPr>
        <w:pStyle w:val="ListParagraph"/>
        <w:spacing w:after="0"/>
        <w:ind w:left="1134"/>
        <w:contextualSpacing w:val="0"/>
        <w:rPr>
          <w:sz w:val="24"/>
          <w:szCs w:val="24"/>
        </w:rPr>
      </w:pPr>
    </w:p>
    <w:p w:rsidR="008E6235" w:rsidRDefault="008E1E49" w:rsidP="006E701C">
      <w:pPr>
        <w:pStyle w:val="ListParagraph"/>
        <w:numPr>
          <w:ilvl w:val="2"/>
          <w:numId w:val="41"/>
        </w:numPr>
        <w:spacing w:after="0"/>
        <w:ind w:left="1701" w:hanging="567"/>
        <w:contextualSpacing w:val="0"/>
        <w:rPr>
          <w:sz w:val="24"/>
          <w:szCs w:val="24"/>
        </w:rPr>
      </w:pPr>
      <w:r w:rsidRPr="008E6235">
        <w:rPr>
          <w:sz w:val="24"/>
          <w:szCs w:val="24"/>
        </w:rPr>
        <w:t>has a shared interest in the tenement that is the subject o</w:t>
      </w:r>
      <w:r w:rsidR="007E45D1">
        <w:rPr>
          <w:sz w:val="24"/>
          <w:szCs w:val="24"/>
        </w:rPr>
        <w:t xml:space="preserve">f the </w:t>
      </w:r>
      <w:r w:rsidR="008E6235">
        <w:rPr>
          <w:sz w:val="24"/>
          <w:szCs w:val="24"/>
        </w:rPr>
        <w:t>disclosure document or product disclosure statement</w:t>
      </w:r>
      <w:r w:rsidRPr="008E6235">
        <w:rPr>
          <w:sz w:val="24"/>
          <w:szCs w:val="24"/>
        </w:rPr>
        <w:t>; or</w:t>
      </w:r>
    </w:p>
    <w:p w:rsidR="006E701C" w:rsidRDefault="006E701C" w:rsidP="006E701C">
      <w:pPr>
        <w:pStyle w:val="ListParagraph"/>
        <w:spacing w:after="0"/>
        <w:ind w:left="1701"/>
        <w:contextualSpacing w:val="0"/>
        <w:rPr>
          <w:sz w:val="24"/>
          <w:szCs w:val="24"/>
        </w:rPr>
      </w:pPr>
    </w:p>
    <w:p w:rsidR="008E6235" w:rsidRDefault="008E1E49" w:rsidP="006E701C">
      <w:pPr>
        <w:pStyle w:val="ListParagraph"/>
        <w:numPr>
          <w:ilvl w:val="2"/>
          <w:numId w:val="41"/>
        </w:numPr>
        <w:spacing w:after="0"/>
        <w:ind w:left="1701" w:hanging="567"/>
        <w:contextualSpacing w:val="0"/>
        <w:rPr>
          <w:sz w:val="24"/>
          <w:szCs w:val="24"/>
        </w:rPr>
      </w:pPr>
      <w:r w:rsidRPr="008E6235">
        <w:rPr>
          <w:sz w:val="24"/>
          <w:szCs w:val="24"/>
        </w:rPr>
        <w:t>has purchased the tenement that is the subject o</w:t>
      </w:r>
      <w:r w:rsidR="008E6235">
        <w:rPr>
          <w:sz w:val="24"/>
          <w:szCs w:val="24"/>
        </w:rPr>
        <w:t>f the disclosure document or product disclosure statement</w:t>
      </w:r>
      <w:r w:rsidRPr="008E6235">
        <w:rPr>
          <w:sz w:val="24"/>
          <w:szCs w:val="24"/>
        </w:rPr>
        <w:t xml:space="preserve">; </w:t>
      </w:r>
    </w:p>
    <w:p w:rsidR="006E701C" w:rsidRDefault="006E701C" w:rsidP="006E701C">
      <w:pPr>
        <w:pStyle w:val="ListParagraph"/>
        <w:spacing w:after="0"/>
        <w:ind w:left="2160"/>
        <w:contextualSpacing w:val="0"/>
        <w:rPr>
          <w:sz w:val="24"/>
          <w:szCs w:val="24"/>
        </w:rPr>
      </w:pPr>
    </w:p>
    <w:p w:rsidR="007E45D1" w:rsidRDefault="007E45D1" w:rsidP="006E701C">
      <w:pPr>
        <w:pStyle w:val="ListParagraph"/>
        <w:numPr>
          <w:ilvl w:val="0"/>
          <w:numId w:val="41"/>
        </w:numPr>
        <w:tabs>
          <w:tab w:val="num" w:pos="2693"/>
        </w:tabs>
        <w:spacing w:after="0"/>
        <w:ind w:left="567" w:hanging="567"/>
        <w:contextualSpacing w:val="0"/>
        <w:rPr>
          <w:sz w:val="24"/>
          <w:szCs w:val="24"/>
        </w:rPr>
      </w:pPr>
      <w:r>
        <w:rPr>
          <w:sz w:val="24"/>
          <w:szCs w:val="24"/>
        </w:rPr>
        <w:t>in the case of a bidder’s statement, the previous report was not prepared in connection with the takeover bid or was not prepared or commissioned by a person:</w:t>
      </w:r>
    </w:p>
    <w:p w:rsidR="00E51043" w:rsidRDefault="00E51043" w:rsidP="00E51043">
      <w:pPr>
        <w:pStyle w:val="ListParagraph"/>
        <w:spacing w:after="0"/>
        <w:ind w:left="567"/>
        <w:contextualSpacing w:val="0"/>
        <w:rPr>
          <w:sz w:val="24"/>
          <w:szCs w:val="24"/>
        </w:rPr>
      </w:pPr>
    </w:p>
    <w:p w:rsidR="007E45D1" w:rsidRDefault="007E45D1" w:rsidP="006E701C">
      <w:pPr>
        <w:pStyle w:val="ListParagraph"/>
        <w:numPr>
          <w:ilvl w:val="1"/>
          <w:numId w:val="41"/>
        </w:numPr>
        <w:spacing w:after="0"/>
        <w:ind w:left="1134" w:hanging="567"/>
        <w:contextualSpacing w:val="0"/>
        <w:rPr>
          <w:sz w:val="24"/>
          <w:szCs w:val="24"/>
        </w:rPr>
      </w:pPr>
      <w:r w:rsidRPr="007E45D1">
        <w:rPr>
          <w:sz w:val="24"/>
          <w:szCs w:val="24"/>
        </w:rPr>
        <w:t>who is the bidder or an associate; or</w:t>
      </w:r>
    </w:p>
    <w:p w:rsidR="00E51043" w:rsidRPr="007E45D1" w:rsidRDefault="00E51043" w:rsidP="00E51043">
      <w:pPr>
        <w:pStyle w:val="ListParagraph"/>
        <w:spacing w:after="0"/>
        <w:ind w:left="1134"/>
        <w:contextualSpacing w:val="0"/>
        <w:rPr>
          <w:sz w:val="24"/>
          <w:szCs w:val="24"/>
        </w:rPr>
      </w:pPr>
    </w:p>
    <w:p w:rsidR="007E45D1" w:rsidRDefault="007E45D1" w:rsidP="006E701C">
      <w:pPr>
        <w:pStyle w:val="ListParagraph"/>
        <w:numPr>
          <w:ilvl w:val="1"/>
          <w:numId w:val="41"/>
        </w:numPr>
        <w:spacing w:after="0"/>
        <w:ind w:left="1134" w:hanging="567"/>
        <w:contextualSpacing w:val="0"/>
        <w:rPr>
          <w:sz w:val="24"/>
          <w:szCs w:val="24"/>
        </w:rPr>
      </w:pPr>
      <w:r w:rsidRPr="007E45D1">
        <w:rPr>
          <w:sz w:val="24"/>
          <w:szCs w:val="24"/>
        </w:rPr>
        <w:t xml:space="preserve">with whom the bidder, or an associate, has shared an interest in a tenement the subject of the current report; or </w:t>
      </w:r>
    </w:p>
    <w:p w:rsidR="00E51043" w:rsidRPr="007E45D1" w:rsidRDefault="00E51043" w:rsidP="00E51043">
      <w:pPr>
        <w:pStyle w:val="ListParagraph"/>
        <w:spacing w:after="0"/>
        <w:ind w:left="1134"/>
        <w:contextualSpacing w:val="0"/>
        <w:rPr>
          <w:sz w:val="24"/>
          <w:szCs w:val="24"/>
        </w:rPr>
      </w:pPr>
    </w:p>
    <w:p w:rsidR="007E45D1" w:rsidRDefault="007E45D1" w:rsidP="006E701C">
      <w:pPr>
        <w:pStyle w:val="ListParagraph"/>
        <w:numPr>
          <w:ilvl w:val="1"/>
          <w:numId w:val="41"/>
        </w:numPr>
        <w:spacing w:after="0"/>
        <w:ind w:left="1134" w:hanging="567"/>
        <w:contextualSpacing w:val="0"/>
        <w:rPr>
          <w:sz w:val="24"/>
          <w:szCs w:val="24"/>
        </w:rPr>
      </w:pPr>
      <w:r w:rsidRPr="007E45D1">
        <w:rPr>
          <w:sz w:val="24"/>
          <w:szCs w:val="24"/>
        </w:rPr>
        <w:t>from whom the bidder, or an associate, has purchased the tenement; or</w:t>
      </w:r>
    </w:p>
    <w:p w:rsidR="00E51043" w:rsidRPr="007E45D1" w:rsidRDefault="00E51043" w:rsidP="00E51043">
      <w:pPr>
        <w:pStyle w:val="ListParagraph"/>
        <w:spacing w:after="0"/>
        <w:ind w:left="1134"/>
        <w:contextualSpacing w:val="0"/>
        <w:rPr>
          <w:sz w:val="24"/>
          <w:szCs w:val="24"/>
        </w:rPr>
      </w:pPr>
    </w:p>
    <w:p w:rsidR="007E45D1" w:rsidRDefault="007E45D1" w:rsidP="006E701C">
      <w:pPr>
        <w:pStyle w:val="ListParagraph"/>
        <w:numPr>
          <w:ilvl w:val="1"/>
          <w:numId w:val="41"/>
        </w:numPr>
        <w:spacing w:after="0"/>
        <w:ind w:left="1134" w:hanging="567"/>
        <w:contextualSpacing w:val="0"/>
        <w:rPr>
          <w:sz w:val="24"/>
          <w:szCs w:val="24"/>
        </w:rPr>
      </w:pPr>
      <w:r w:rsidRPr="007E45D1">
        <w:rPr>
          <w:sz w:val="24"/>
          <w:szCs w:val="24"/>
        </w:rPr>
        <w:t>where securities are offered as consideration under the bid and the bidder, or an associate, is not the body that has issued or will issue the securities:</w:t>
      </w:r>
    </w:p>
    <w:p w:rsidR="00E51043" w:rsidRDefault="00E51043" w:rsidP="00E51043">
      <w:pPr>
        <w:pStyle w:val="ListParagraph"/>
        <w:spacing w:after="0"/>
        <w:ind w:left="1134"/>
        <w:contextualSpacing w:val="0"/>
        <w:rPr>
          <w:sz w:val="24"/>
          <w:szCs w:val="24"/>
        </w:rPr>
      </w:pPr>
    </w:p>
    <w:p w:rsidR="007E45D1" w:rsidRDefault="007E45D1" w:rsidP="00E51043">
      <w:pPr>
        <w:pStyle w:val="ListParagraph"/>
        <w:numPr>
          <w:ilvl w:val="2"/>
          <w:numId w:val="41"/>
        </w:numPr>
        <w:spacing w:after="0"/>
        <w:ind w:left="1701" w:hanging="567"/>
        <w:contextualSpacing w:val="0"/>
        <w:rPr>
          <w:sz w:val="24"/>
          <w:szCs w:val="24"/>
        </w:rPr>
      </w:pPr>
      <w:r w:rsidRPr="007E45D1">
        <w:rPr>
          <w:sz w:val="24"/>
          <w:szCs w:val="24"/>
        </w:rPr>
        <w:t>with whom the issuer, or an associate, has shared an interest in a tenement that is covered by the current report; or</w:t>
      </w:r>
    </w:p>
    <w:p w:rsidR="00E51043" w:rsidRDefault="00E51043" w:rsidP="00E51043">
      <w:pPr>
        <w:pStyle w:val="ListParagraph"/>
        <w:spacing w:after="0"/>
        <w:ind w:left="1701"/>
        <w:contextualSpacing w:val="0"/>
        <w:rPr>
          <w:sz w:val="24"/>
          <w:szCs w:val="24"/>
        </w:rPr>
      </w:pPr>
    </w:p>
    <w:p w:rsidR="007E45D1" w:rsidRDefault="007E45D1" w:rsidP="00E51043">
      <w:pPr>
        <w:pStyle w:val="ListParagraph"/>
        <w:numPr>
          <w:ilvl w:val="2"/>
          <w:numId w:val="41"/>
        </w:numPr>
        <w:spacing w:after="0"/>
        <w:ind w:left="1701" w:hanging="567"/>
        <w:contextualSpacing w:val="0"/>
        <w:rPr>
          <w:sz w:val="24"/>
          <w:szCs w:val="24"/>
        </w:rPr>
      </w:pPr>
      <w:r w:rsidRPr="007E45D1">
        <w:rPr>
          <w:sz w:val="24"/>
          <w:szCs w:val="24"/>
        </w:rPr>
        <w:t>from whom the issuer, or an associate, has purchased the tenement;</w:t>
      </w:r>
    </w:p>
    <w:p w:rsidR="00E51043" w:rsidRDefault="00E51043" w:rsidP="00E51043">
      <w:pPr>
        <w:pStyle w:val="ListParagraph"/>
        <w:spacing w:after="0"/>
        <w:ind w:left="1701"/>
        <w:contextualSpacing w:val="0"/>
        <w:rPr>
          <w:sz w:val="24"/>
          <w:szCs w:val="24"/>
        </w:rPr>
      </w:pPr>
    </w:p>
    <w:p w:rsidR="007E45D1" w:rsidRDefault="007E45D1" w:rsidP="006E701C">
      <w:pPr>
        <w:pStyle w:val="ListParagraph"/>
        <w:numPr>
          <w:ilvl w:val="0"/>
          <w:numId w:val="41"/>
        </w:numPr>
        <w:tabs>
          <w:tab w:val="num" w:pos="2693"/>
        </w:tabs>
        <w:spacing w:after="0"/>
        <w:ind w:left="567" w:hanging="567"/>
        <w:contextualSpacing w:val="0"/>
        <w:rPr>
          <w:sz w:val="24"/>
          <w:szCs w:val="24"/>
        </w:rPr>
      </w:pPr>
      <w:r>
        <w:rPr>
          <w:sz w:val="24"/>
          <w:szCs w:val="24"/>
        </w:rPr>
        <w:t>in the case of a target’s statement, the previous report was not prepared in connection with the takeover bid or was not prepared or commissioned by a person:</w:t>
      </w:r>
    </w:p>
    <w:p w:rsidR="00E51043" w:rsidRDefault="00E51043" w:rsidP="00E51043">
      <w:pPr>
        <w:pStyle w:val="ListParagraph"/>
        <w:spacing w:after="0"/>
        <w:ind w:left="567"/>
        <w:contextualSpacing w:val="0"/>
        <w:rPr>
          <w:sz w:val="24"/>
          <w:szCs w:val="24"/>
        </w:rPr>
      </w:pPr>
    </w:p>
    <w:p w:rsidR="007E45D1" w:rsidRDefault="007E45D1" w:rsidP="006E701C">
      <w:pPr>
        <w:pStyle w:val="ListParagraph"/>
        <w:numPr>
          <w:ilvl w:val="1"/>
          <w:numId w:val="41"/>
        </w:numPr>
        <w:spacing w:after="0"/>
        <w:ind w:left="1134" w:hanging="567"/>
        <w:contextualSpacing w:val="0"/>
        <w:rPr>
          <w:sz w:val="24"/>
          <w:szCs w:val="24"/>
        </w:rPr>
      </w:pPr>
      <w:r w:rsidRPr="007E45D1">
        <w:rPr>
          <w:sz w:val="24"/>
          <w:szCs w:val="24"/>
        </w:rPr>
        <w:t>who is the target or an associate; or</w:t>
      </w:r>
    </w:p>
    <w:p w:rsidR="00E51043" w:rsidRPr="007E45D1" w:rsidRDefault="00E51043" w:rsidP="00E51043">
      <w:pPr>
        <w:pStyle w:val="ListParagraph"/>
        <w:spacing w:after="0"/>
        <w:ind w:left="1134"/>
        <w:contextualSpacing w:val="0"/>
        <w:rPr>
          <w:sz w:val="24"/>
          <w:szCs w:val="24"/>
        </w:rPr>
      </w:pPr>
    </w:p>
    <w:p w:rsidR="007E45D1" w:rsidRDefault="007E45D1" w:rsidP="006E701C">
      <w:pPr>
        <w:pStyle w:val="ListParagraph"/>
        <w:numPr>
          <w:ilvl w:val="1"/>
          <w:numId w:val="41"/>
        </w:numPr>
        <w:spacing w:after="0"/>
        <w:ind w:left="1134" w:hanging="567"/>
        <w:contextualSpacing w:val="0"/>
        <w:rPr>
          <w:sz w:val="24"/>
          <w:szCs w:val="24"/>
        </w:rPr>
      </w:pPr>
      <w:r w:rsidRPr="007E45D1">
        <w:rPr>
          <w:sz w:val="24"/>
          <w:szCs w:val="24"/>
        </w:rPr>
        <w:t xml:space="preserve">with whom the target, or an associate, has shared an interest in a tenement the subject of the current report; or </w:t>
      </w:r>
    </w:p>
    <w:p w:rsidR="00E51043" w:rsidRPr="007E45D1" w:rsidRDefault="00E51043" w:rsidP="00E51043">
      <w:pPr>
        <w:pStyle w:val="ListParagraph"/>
        <w:spacing w:after="0"/>
        <w:ind w:left="1134"/>
        <w:contextualSpacing w:val="0"/>
        <w:rPr>
          <w:sz w:val="24"/>
          <w:szCs w:val="24"/>
        </w:rPr>
      </w:pPr>
    </w:p>
    <w:p w:rsidR="007E45D1" w:rsidRDefault="007E45D1" w:rsidP="006E701C">
      <w:pPr>
        <w:pStyle w:val="ListParagraph"/>
        <w:numPr>
          <w:ilvl w:val="1"/>
          <w:numId w:val="41"/>
        </w:numPr>
        <w:spacing w:after="0"/>
        <w:ind w:left="1134" w:hanging="567"/>
        <w:contextualSpacing w:val="0"/>
        <w:rPr>
          <w:sz w:val="24"/>
          <w:szCs w:val="24"/>
        </w:rPr>
      </w:pPr>
      <w:r w:rsidRPr="007E45D1">
        <w:rPr>
          <w:sz w:val="24"/>
          <w:szCs w:val="24"/>
        </w:rPr>
        <w:t>from whom the target, or an associate, has purchased the tenement; or</w:t>
      </w:r>
    </w:p>
    <w:p w:rsidR="00E51043" w:rsidRPr="007E45D1" w:rsidRDefault="00E51043" w:rsidP="00E51043">
      <w:pPr>
        <w:pStyle w:val="ListParagraph"/>
        <w:spacing w:after="0"/>
        <w:ind w:left="1134"/>
        <w:contextualSpacing w:val="0"/>
        <w:rPr>
          <w:sz w:val="24"/>
          <w:szCs w:val="24"/>
        </w:rPr>
      </w:pPr>
    </w:p>
    <w:p w:rsidR="007E45D1" w:rsidRDefault="007E45D1" w:rsidP="006E701C">
      <w:pPr>
        <w:pStyle w:val="ListParagraph"/>
        <w:numPr>
          <w:ilvl w:val="1"/>
          <w:numId w:val="41"/>
        </w:numPr>
        <w:spacing w:after="0"/>
        <w:ind w:left="1134" w:hanging="567"/>
        <w:contextualSpacing w:val="0"/>
        <w:rPr>
          <w:sz w:val="24"/>
          <w:szCs w:val="24"/>
        </w:rPr>
      </w:pPr>
      <w:r w:rsidRPr="007E45D1">
        <w:rPr>
          <w:sz w:val="24"/>
          <w:szCs w:val="24"/>
        </w:rPr>
        <w:t>where securities are offered as consideration under the bid and the bidder, or an associate, is not the body that has issued or will issue the securities:</w:t>
      </w:r>
    </w:p>
    <w:p w:rsidR="00E51043" w:rsidRPr="007E45D1" w:rsidRDefault="00E51043" w:rsidP="00E51043">
      <w:pPr>
        <w:pStyle w:val="ListParagraph"/>
        <w:spacing w:after="0"/>
        <w:ind w:left="1134"/>
        <w:contextualSpacing w:val="0"/>
        <w:rPr>
          <w:sz w:val="24"/>
          <w:szCs w:val="24"/>
        </w:rPr>
      </w:pPr>
    </w:p>
    <w:p w:rsidR="007E45D1" w:rsidRDefault="007E45D1" w:rsidP="00E51043">
      <w:pPr>
        <w:pStyle w:val="ListParagraph"/>
        <w:numPr>
          <w:ilvl w:val="2"/>
          <w:numId w:val="41"/>
        </w:numPr>
        <w:spacing w:after="0"/>
        <w:ind w:left="1701" w:hanging="567"/>
        <w:contextualSpacing w:val="0"/>
        <w:rPr>
          <w:sz w:val="24"/>
          <w:szCs w:val="24"/>
        </w:rPr>
      </w:pPr>
      <w:r w:rsidRPr="007E45D1">
        <w:rPr>
          <w:sz w:val="24"/>
          <w:szCs w:val="24"/>
        </w:rPr>
        <w:lastRenderedPageBreak/>
        <w:t>with whom the issuer, or an associate, has shared an interest in a tenement that is covered by the current report; or</w:t>
      </w:r>
    </w:p>
    <w:p w:rsidR="00E51043" w:rsidRPr="007E45D1" w:rsidRDefault="00E51043" w:rsidP="00E51043">
      <w:pPr>
        <w:pStyle w:val="ListParagraph"/>
        <w:spacing w:after="0"/>
        <w:ind w:left="1701"/>
        <w:contextualSpacing w:val="0"/>
        <w:rPr>
          <w:sz w:val="24"/>
          <w:szCs w:val="24"/>
        </w:rPr>
      </w:pPr>
    </w:p>
    <w:p w:rsidR="007E45D1" w:rsidRDefault="007E45D1" w:rsidP="00E51043">
      <w:pPr>
        <w:pStyle w:val="ListParagraph"/>
        <w:numPr>
          <w:ilvl w:val="2"/>
          <w:numId w:val="41"/>
        </w:numPr>
        <w:spacing w:after="0"/>
        <w:ind w:left="1701" w:hanging="567"/>
        <w:contextualSpacing w:val="0"/>
        <w:rPr>
          <w:sz w:val="24"/>
          <w:szCs w:val="24"/>
        </w:rPr>
      </w:pPr>
      <w:r w:rsidRPr="007E45D1">
        <w:rPr>
          <w:sz w:val="24"/>
          <w:szCs w:val="24"/>
        </w:rPr>
        <w:t>from whom the issuer, or an associate, has purchased the tenement;</w:t>
      </w:r>
      <w:r w:rsidR="00367537">
        <w:rPr>
          <w:sz w:val="24"/>
          <w:szCs w:val="24"/>
        </w:rPr>
        <w:t xml:space="preserve"> and</w:t>
      </w:r>
    </w:p>
    <w:p w:rsidR="00D70A47" w:rsidRPr="007E45D1" w:rsidRDefault="00D70A47" w:rsidP="00D70A47">
      <w:pPr>
        <w:pStyle w:val="ListParagraph"/>
        <w:spacing w:after="0"/>
        <w:ind w:left="1701"/>
        <w:contextualSpacing w:val="0"/>
        <w:rPr>
          <w:sz w:val="24"/>
          <w:szCs w:val="24"/>
        </w:rPr>
      </w:pPr>
    </w:p>
    <w:p w:rsidR="008E6235" w:rsidRDefault="008E1E49" w:rsidP="006E701C">
      <w:pPr>
        <w:pStyle w:val="ListParagraph"/>
        <w:numPr>
          <w:ilvl w:val="0"/>
          <w:numId w:val="41"/>
        </w:numPr>
        <w:tabs>
          <w:tab w:val="num" w:pos="2693"/>
        </w:tabs>
        <w:spacing w:after="0"/>
        <w:ind w:left="567" w:hanging="567"/>
        <w:contextualSpacing w:val="0"/>
        <w:rPr>
          <w:sz w:val="24"/>
          <w:szCs w:val="24"/>
        </w:rPr>
      </w:pPr>
      <w:r w:rsidRPr="008E6235">
        <w:rPr>
          <w:sz w:val="24"/>
          <w:szCs w:val="24"/>
        </w:rPr>
        <w:t>the current geological report states, close to the first occurring reference to the previous geological report, that the author of the previous report has not consented to its use in the current report</w:t>
      </w:r>
      <w:r w:rsidR="00367537">
        <w:rPr>
          <w:sz w:val="24"/>
          <w:szCs w:val="24"/>
        </w:rPr>
        <w:t>.</w:t>
      </w:r>
    </w:p>
    <w:p w:rsidR="008E6235" w:rsidRPr="008E6235" w:rsidRDefault="008E6235" w:rsidP="0092104E">
      <w:pPr>
        <w:pStyle w:val="ListParagraph"/>
        <w:spacing w:after="0"/>
        <w:contextualSpacing w:val="0"/>
        <w:rPr>
          <w:sz w:val="24"/>
          <w:szCs w:val="24"/>
        </w:rPr>
      </w:pPr>
      <w:bookmarkStart w:id="5" w:name="_GoBack"/>
      <w:bookmarkEnd w:id="5"/>
    </w:p>
    <w:p w:rsidR="00007375" w:rsidRPr="00E51043" w:rsidRDefault="00D025D0" w:rsidP="0092104E">
      <w:pPr>
        <w:pStyle w:val="BodyText"/>
        <w:tabs>
          <w:tab w:val="left" w:pos="0"/>
        </w:tabs>
        <w:spacing w:before="0" w:line="240" w:lineRule="auto"/>
        <w:rPr>
          <w:b/>
          <w:i/>
          <w:szCs w:val="24"/>
        </w:rPr>
      </w:pPr>
      <w:r w:rsidRPr="00E51043">
        <w:rPr>
          <w:b/>
          <w:i/>
          <w:szCs w:val="24"/>
        </w:rPr>
        <w:t>Trading data</w:t>
      </w:r>
    </w:p>
    <w:p w:rsidR="00E51043" w:rsidRDefault="00E51043" w:rsidP="0092104E">
      <w:pPr>
        <w:pStyle w:val="BodyText"/>
        <w:tabs>
          <w:tab w:val="left" w:pos="0"/>
        </w:tabs>
        <w:spacing w:before="0" w:line="240" w:lineRule="auto"/>
        <w:rPr>
          <w:b/>
          <w:i/>
          <w:szCs w:val="24"/>
          <w:u w:val="single"/>
        </w:rPr>
      </w:pPr>
    </w:p>
    <w:p w:rsidR="00D06DCA" w:rsidRPr="00D06DCA" w:rsidRDefault="00D06DCA" w:rsidP="0092104E">
      <w:pPr>
        <w:pStyle w:val="BodyText"/>
        <w:tabs>
          <w:tab w:val="left" w:pos="0"/>
        </w:tabs>
        <w:spacing w:before="0" w:line="240" w:lineRule="auto"/>
        <w:rPr>
          <w:szCs w:val="24"/>
        </w:rPr>
      </w:pPr>
      <w:r w:rsidRPr="00D06DCA">
        <w:rPr>
          <w:szCs w:val="24"/>
        </w:rPr>
        <w:t>ASIC Corporations (Consents to Statements) Instrument 2016</w:t>
      </w:r>
      <w:r w:rsidR="00E51043">
        <w:rPr>
          <w:szCs w:val="24"/>
        </w:rPr>
        <w:t>/72</w:t>
      </w:r>
      <w:r w:rsidRPr="00D06DCA">
        <w:rPr>
          <w:szCs w:val="24"/>
        </w:rPr>
        <w:t xml:space="preserve"> provides relief from the consent requirement in circumstances where the information included in the disclosure document, product disclosure statement, bidder’s statement or target’s statement is quantitative data on financial product trading prices and volumes quoted on a prescribed financial market or an approved foreign exchange</w:t>
      </w:r>
      <w:r w:rsidR="00D75432">
        <w:rPr>
          <w:szCs w:val="24"/>
        </w:rPr>
        <w:t xml:space="preserve"> (the full list of these is set out in the instrument)</w:t>
      </w:r>
      <w:r w:rsidRPr="00D06DCA">
        <w:rPr>
          <w:szCs w:val="24"/>
        </w:rPr>
        <w:t>.</w:t>
      </w:r>
    </w:p>
    <w:p w:rsidR="00410890" w:rsidRDefault="00410890" w:rsidP="0092104E">
      <w:pPr>
        <w:pStyle w:val="BodyText"/>
        <w:tabs>
          <w:tab w:val="left" w:pos="0"/>
        </w:tabs>
        <w:spacing w:before="0" w:line="240" w:lineRule="auto"/>
        <w:rPr>
          <w:szCs w:val="24"/>
        </w:rPr>
      </w:pPr>
    </w:p>
    <w:p w:rsidR="00D75432" w:rsidRDefault="00D75432" w:rsidP="0092104E">
      <w:pPr>
        <w:pStyle w:val="BodyText"/>
        <w:tabs>
          <w:tab w:val="left" w:pos="0"/>
        </w:tabs>
        <w:spacing w:before="0" w:line="240" w:lineRule="auto"/>
        <w:rPr>
          <w:szCs w:val="24"/>
          <w:lang w:val="en-US"/>
        </w:rPr>
      </w:pPr>
      <w:r>
        <w:rPr>
          <w:szCs w:val="24"/>
          <w:lang w:val="en-US"/>
        </w:rPr>
        <w:t>T</w:t>
      </w:r>
      <w:r w:rsidR="00410890" w:rsidRPr="00410890">
        <w:rPr>
          <w:szCs w:val="24"/>
          <w:lang w:val="en-US"/>
        </w:rPr>
        <w:t>he</w:t>
      </w:r>
      <w:r>
        <w:rPr>
          <w:szCs w:val="24"/>
          <w:lang w:val="en-US"/>
        </w:rPr>
        <w:t xml:space="preserve"> disclosure document, product disclosure statement, target’s statement or</w:t>
      </w:r>
      <w:r w:rsidR="00410890" w:rsidRPr="00410890">
        <w:rPr>
          <w:szCs w:val="24"/>
          <w:lang w:val="en-US"/>
        </w:rPr>
        <w:t xml:space="preserve"> bidder’s statement </w:t>
      </w:r>
      <w:r>
        <w:rPr>
          <w:szCs w:val="24"/>
          <w:lang w:val="en-US"/>
        </w:rPr>
        <w:t>must state</w:t>
      </w:r>
      <w:r w:rsidR="00410890" w:rsidRPr="00410890">
        <w:rPr>
          <w:szCs w:val="24"/>
          <w:lang w:val="en-US"/>
        </w:rPr>
        <w:t>, close to the trading data reference:</w:t>
      </w:r>
    </w:p>
    <w:p w:rsidR="00E51043" w:rsidRDefault="00E51043" w:rsidP="0092104E">
      <w:pPr>
        <w:pStyle w:val="BodyText"/>
        <w:tabs>
          <w:tab w:val="left" w:pos="0"/>
        </w:tabs>
        <w:spacing w:before="0" w:line="240" w:lineRule="auto"/>
        <w:rPr>
          <w:szCs w:val="24"/>
          <w:lang w:val="en-US"/>
        </w:rPr>
      </w:pPr>
    </w:p>
    <w:p w:rsidR="00E51043" w:rsidRDefault="00410890" w:rsidP="00E51043">
      <w:pPr>
        <w:pStyle w:val="BodyText"/>
        <w:numPr>
          <w:ilvl w:val="0"/>
          <w:numId w:val="42"/>
        </w:numPr>
        <w:tabs>
          <w:tab w:val="clear" w:pos="680"/>
          <w:tab w:val="left" w:pos="0"/>
        </w:tabs>
        <w:spacing w:before="0" w:line="240" w:lineRule="auto"/>
        <w:ind w:left="567" w:hanging="567"/>
        <w:rPr>
          <w:szCs w:val="24"/>
          <w:lang w:eastAsia="en-AU"/>
        </w:rPr>
      </w:pPr>
      <w:r w:rsidRPr="00E51043">
        <w:rPr>
          <w:szCs w:val="24"/>
          <w:lang w:eastAsia="en-AU"/>
        </w:rPr>
        <w:t>the name of the person who prepared the trading data; and</w:t>
      </w:r>
    </w:p>
    <w:p w:rsidR="00D75432" w:rsidRDefault="00410890" w:rsidP="00E51043">
      <w:pPr>
        <w:pStyle w:val="BodyText"/>
        <w:tabs>
          <w:tab w:val="clear" w:pos="680"/>
          <w:tab w:val="left" w:pos="0"/>
        </w:tabs>
        <w:spacing w:before="0" w:line="240" w:lineRule="auto"/>
        <w:ind w:left="567"/>
        <w:rPr>
          <w:szCs w:val="24"/>
          <w:lang w:eastAsia="en-AU"/>
        </w:rPr>
      </w:pPr>
      <w:r w:rsidRPr="00E51043">
        <w:rPr>
          <w:szCs w:val="24"/>
          <w:lang w:eastAsia="en-AU"/>
        </w:rPr>
        <w:t xml:space="preserve"> </w:t>
      </w:r>
    </w:p>
    <w:p w:rsidR="00410890" w:rsidRPr="00E51043" w:rsidRDefault="00410890" w:rsidP="00E51043">
      <w:pPr>
        <w:pStyle w:val="BodyText"/>
        <w:numPr>
          <w:ilvl w:val="0"/>
          <w:numId w:val="42"/>
        </w:numPr>
        <w:tabs>
          <w:tab w:val="clear" w:pos="680"/>
          <w:tab w:val="left" w:pos="0"/>
        </w:tabs>
        <w:spacing w:before="0" w:line="240" w:lineRule="auto"/>
        <w:ind w:left="567" w:hanging="567"/>
        <w:rPr>
          <w:szCs w:val="24"/>
          <w:lang w:eastAsia="en-AU"/>
        </w:rPr>
      </w:pPr>
      <w:r w:rsidRPr="00E51043">
        <w:rPr>
          <w:szCs w:val="24"/>
          <w:lang w:eastAsia="en-AU"/>
        </w:rPr>
        <w:t>that the person who prepared the trading data has not consented to the use of the reference in the bidder’s statement or the accompanying document (as applicable).</w:t>
      </w:r>
    </w:p>
    <w:p w:rsidR="00007375" w:rsidRDefault="00007375" w:rsidP="0092104E">
      <w:pPr>
        <w:pStyle w:val="BodyText"/>
        <w:tabs>
          <w:tab w:val="left" w:pos="0"/>
        </w:tabs>
        <w:spacing w:before="0" w:line="240" w:lineRule="auto"/>
        <w:rPr>
          <w:szCs w:val="24"/>
        </w:rPr>
      </w:pPr>
    </w:p>
    <w:p w:rsidR="005B0E3A" w:rsidRPr="00FE742F" w:rsidRDefault="005B0E3A" w:rsidP="00E51043">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6" w:name="4._Documents_incorporated_by_reference"/>
      <w:bookmarkStart w:id="7" w:name="5._Consultation"/>
      <w:bookmarkEnd w:id="6"/>
      <w:bookmarkEnd w:id="7"/>
      <w:r w:rsidRPr="00FE742F">
        <w:rPr>
          <w:rFonts w:ascii="Arial" w:hAnsi="Arial" w:cs="Arial"/>
          <w:b/>
          <w:sz w:val="24"/>
          <w:szCs w:val="24"/>
        </w:rPr>
        <w:t>Consultation</w:t>
      </w:r>
    </w:p>
    <w:p w:rsidR="004C1951" w:rsidRPr="00E51043" w:rsidRDefault="004C1951" w:rsidP="00E51043">
      <w:pPr>
        <w:pStyle w:val="BodyText"/>
        <w:tabs>
          <w:tab w:val="left" w:pos="0"/>
        </w:tabs>
        <w:spacing w:before="0" w:line="240" w:lineRule="auto"/>
        <w:rPr>
          <w:szCs w:val="24"/>
          <w:lang w:val="en-US"/>
        </w:rPr>
      </w:pPr>
    </w:p>
    <w:p w:rsidR="00E51043" w:rsidRDefault="00E51043" w:rsidP="00E51043">
      <w:pPr>
        <w:pStyle w:val="BodyText"/>
        <w:tabs>
          <w:tab w:val="left" w:pos="0"/>
        </w:tabs>
        <w:spacing w:before="0" w:line="240" w:lineRule="auto"/>
        <w:rPr>
          <w:szCs w:val="24"/>
          <w:lang w:val="en-US"/>
        </w:rPr>
      </w:pPr>
      <w:r w:rsidRPr="00E51043">
        <w:rPr>
          <w:szCs w:val="24"/>
          <w:lang w:val="en-US"/>
        </w:rPr>
        <w:t xml:space="preserve">On 17 September 2015 ASIC released CP 239 </w:t>
      </w:r>
      <w:r w:rsidRPr="00E51043">
        <w:rPr>
          <w:i/>
          <w:szCs w:val="24"/>
          <w:lang w:val="en-US"/>
        </w:rPr>
        <w:t>Disclosure documents: Update to ASIC instruments and guidance</w:t>
      </w:r>
      <w:r>
        <w:rPr>
          <w:szCs w:val="24"/>
          <w:lang w:val="en-US"/>
        </w:rPr>
        <w:t xml:space="preserve"> (</w:t>
      </w:r>
      <w:r>
        <w:rPr>
          <w:b/>
          <w:i/>
          <w:szCs w:val="24"/>
          <w:lang w:val="en-US"/>
        </w:rPr>
        <w:t>CP 239</w:t>
      </w:r>
      <w:r>
        <w:rPr>
          <w:szCs w:val="24"/>
          <w:lang w:val="en-US"/>
        </w:rPr>
        <w:t>)</w:t>
      </w:r>
      <w:r w:rsidRPr="00E51043">
        <w:rPr>
          <w:szCs w:val="24"/>
          <w:lang w:val="en-US"/>
        </w:rPr>
        <w:t xml:space="preserve"> seeking feedback on proposals to update and consolidate a number of regulatory guides relating to </w:t>
      </w:r>
      <w:proofErr w:type="spellStart"/>
      <w:r w:rsidRPr="00E51043">
        <w:rPr>
          <w:szCs w:val="24"/>
          <w:lang w:val="en-US"/>
        </w:rPr>
        <w:t>Ch</w:t>
      </w:r>
      <w:proofErr w:type="spellEnd"/>
      <w:r w:rsidRPr="00E51043">
        <w:rPr>
          <w:szCs w:val="24"/>
          <w:lang w:val="en-US"/>
        </w:rPr>
        <w:t xml:space="preserve"> 6D of the Act. CP 239 also sought feedback on proposals to reissue the legislative instruments associated with ASIC’s updated guidance (including ASIC Class Orders</w:t>
      </w:r>
      <w:r>
        <w:rPr>
          <w:szCs w:val="24"/>
          <w:lang w:val="en-US"/>
        </w:rPr>
        <w:t xml:space="preserve"> </w:t>
      </w:r>
      <w:r>
        <w:rPr>
          <w:szCs w:val="24"/>
        </w:rPr>
        <w:t>[CO 02/141</w:t>
      </w:r>
      <w:r w:rsidRPr="00650B0A">
        <w:rPr>
          <w:szCs w:val="24"/>
        </w:rPr>
        <w:t>]</w:t>
      </w:r>
      <w:r>
        <w:rPr>
          <w:szCs w:val="24"/>
        </w:rPr>
        <w:t>, [CO 07/428], [CO 07/429] and [CO 13/523]</w:t>
      </w:r>
      <w:r w:rsidRPr="00E51043">
        <w:rPr>
          <w:szCs w:val="24"/>
          <w:lang w:val="en-US"/>
        </w:rPr>
        <w:t>) and to make legislative instruments addressing some discrete policy issues. The consultation period closed on 27 November 2015.</w:t>
      </w:r>
    </w:p>
    <w:p w:rsidR="00E51043" w:rsidRPr="00E51043" w:rsidRDefault="00E51043" w:rsidP="00E51043">
      <w:pPr>
        <w:pStyle w:val="BodyText"/>
        <w:tabs>
          <w:tab w:val="left" w:pos="0"/>
        </w:tabs>
        <w:spacing w:before="0" w:line="240" w:lineRule="auto"/>
        <w:rPr>
          <w:szCs w:val="24"/>
          <w:lang w:val="en-US"/>
        </w:rPr>
      </w:pPr>
    </w:p>
    <w:p w:rsidR="00E51043" w:rsidRDefault="00E51043" w:rsidP="00E51043">
      <w:pPr>
        <w:pStyle w:val="BodyText"/>
        <w:tabs>
          <w:tab w:val="left" w:pos="0"/>
        </w:tabs>
        <w:spacing w:before="0" w:line="240" w:lineRule="auto"/>
        <w:rPr>
          <w:szCs w:val="24"/>
          <w:lang w:val="en-US"/>
        </w:rPr>
      </w:pPr>
      <w:r w:rsidRPr="00E51043">
        <w:rPr>
          <w:szCs w:val="24"/>
          <w:lang w:val="en-US"/>
        </w:rPr>
        <w:t xml:space="preserve">ASIC received four submissions in response to CP 239. Details of the submissions are contained in REP 473 </w:t>
      </w:r>
      <w:r w:rsidRPr="00E51043">
        <w:rPr>
          <w:i/>
          <w:szCs w:val="24"/>
          <w:lang w:val="en-US"/>
        </w:rPr>
        <w:t>Response to submissions on CP 239 D</w:t>
      </w:r>
      <w:r>
        <w:rPr>
          <w:i/>
          <w:szCs w:val="24"/>
          <w:lang w:val="en-US"/>
        </w:rPr>
        <w:t xml:space="preserve">isclosure documents: updates to </w:t>
      </w:r>
      <w:r w:rsidRPr="00E51043">
        <w:rPr>
          <w:i/>
          <w:szCs w:val="24"/>
          <w:lang w:val="en-US"/>
        </w:rPr>
        <w:t>ASIC instruments and guidance</w:t>
      </w:r>
      <w:r w:rsidRPr="00E51043">
        <w:rPr>
          <w:szCs w:val="24"/>
          <w:lang w:val="en-US"/>
        </w:rPr>
        <w:t xml:space="preserve"> which is available on ASIC’s website at </w:t>
      </w:r>
      <w:hyperlink r:id="rId13" w:history="1">
        <w:r w:rsidRPr="00F86415">
          <w:rPr>
            <w:rStyle w:val="Hyperlink"/>
            <w:szCs w:val="24"/>
            <w:lang w:val="en-US"/>
          </w:rPr>
          <w:t>www.asic.gov.au</w:t>
        </w:r>
      </w:hyperlink>
      <w:r w:rsidRPr="00E51043">
        <w:rPr>
          <w:szCs w:val="24"/>
          <w:lang w:val="en-US"/>
        </w:rPr>
        <w:t>.</w:t>
      </w:r>
    </w:p>
    <w:p w:rsidR="00E51043" w:rsidRPr="00E51043" w:rsidRDefault="00E51043" w:rsidP="00E51043">
      <w:pPr>
        <w:pStyle w:val="BodyText"/>
        <w:tabs>
          <w:tab w:val="left" w:pos="0"/>
        </w:tabs>
        <w:spacing w:before="0" w:line="240" w:lineRule="auto"/>
        <w:rPr>
          <w:szCs w:val="24"/>
          <w:lang w:val="en-US"/>
        </w:rPr>
      </w:pPr>
    </w:p>
    <w:p w:rsidR="005B0E3A" w:rsidRDefault="00E51043" w:rsidP="00E51043">
      <w:pPr>
        <w:pStyle w:val="BodyText"/>
        <w:tabs>
          <w:tab w:val="left" w:pos="0"/>
        </w:tabs>
        <w:spacing w:before="0" w:line="240" w:lineRule="auto"/>
        <w:sectPr w:rsidR="005B0E3A" w:rsidSect="002C0CBB">
          <w:headerReference w:type="even" r:id="rId14"/>
          <w:headerReference w:type="default" r:id="rId15"/>
          <w:footerReference w:type="even" r:id="rId16"/>
          <w:headerReference w:type="first" r:id="rId17"/>
          <w:pgSz w:w="11906" w:h="16838" w:code="9"/>
          <w:pgMar w:top="1644" w:right="1418" w:bottom="1418" w:left="1418" w:header="567" w:footer="567" w:gutter="0"/>
          <w:cols w:space="720"/>
          <w:titlePg/>
          <w:docGrid w:linePitch="299"/>
        </w:sectPr>
      </w:pPr>
      <w:r w:rsidRPr="00E51043">
        <w:rPr>
          <w:szCs w:val="24"/>
          <w:lang w:val="en-US"/>
        </w:rPr>
        <w:t>Notwithstanding ASIC’s consultation, ASIC con</w:t>
      </w:r>
      <w:r>
        <w:rPr>
          <w:szCs w:val="24"/>
          <w:lang w:val="en-US"/>
        </w:rPr>
        <w:t>siders that ASIC Corporations (Consents to Statements</w:t>
      </w:r>
      <w:r w:rsidRPr="00E51043">
        <w:rPr>
          <w:szCs w:val="24"/>
          <w:lang w:val="en-US"/>
        </w:rPr>
        <w:t>) Instrument 201</w:t>
      </w:r>
      <w:r w:rsidR="00D70A47">
        <w:rPr>
          <w:szCs w:val="24"/>
          <w:lang w:val="en-US"/>
        </w:rPr>
        <w:t>6</w:t>
      </w:r>
      <w:r w:rsidRPr="00E51043">
        <w:rPr>
          <w:szCs w:val="24"/>
          <w:lang w:val="en-US"/>
        </w:rPr>
        <w:t>/7</w:t>
      </w:r>
      <w:r>
        <w:rPr>
          <w:szCs w:val="24"/>
          <w:lang w:val="en-US"/>
        </w:rPr>
        <w:t>2</w:t>
      </w:r>
      <w:r w:rsidRPr="00E51043">
        <w:rPr>
          <w:szCs w:val="24"/>
          <w:lang w:val="en-US"/>
        </w:rPr>
        <w:t xml:space="preserve"> is of a minor or machinery nature and does not substantially alter existing arrangements.</w:t>
      </w:r>
    </w:p>
    <w:p w:rsidR="000076D6" w:rsidRDefault="000076D6" w:rsidP="0092104E">
      <w:pPr>
        <w:spacing w:after="0"/>
      </w:pPr>
      <w:r>
        <w:rPr>
          <w:noProof/>
        </w:rPr>
        <w:lastRenderedPageBreak/>
        <mc:AlternateContent>
          <mc:Choice Requires="wps">
            <w:drawing>
              <wp:anchor distT="0" distB="0" distL="114300" distR="114300" simplePos="0" relativeHeight="251659264" behindDoc="0" locked="0" layoutInCell="1" allowOverlap="1" wp14:anchorId="5AD59400" wp14:editId="5AD5940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870F73" w:rsidRDefault="00870F73" w:rsidP="000076D6">
                            <w:pPr>
                              <w:spacing w:before="120" w:after="120"/>
                              <w:jc w:val="center"/>
                              <w:rPr>
                                <w:b/>
                              </w:rPr>
                            </w:pPr>
                          </w:p>
                          <w:p w:rsidR="000076D6" w:rsidRPr="00870F73" w:rsidRDefault="00AF5F35" w:rsidP="000076D6">
                            <w:pPr>
                              <w:spacing w:before="120" w:after="120"/>
                              <w:jc w:val="center"/>
                              <w:rPr>
                                <w:b/>
                              </w:rPr>
                            </w:pPr>
                            <w:r w:rsidRPr="00AF5F35">
                              <w:rPr>
                                <w:b/>
                              </w:rPr>
                              <w:t>ASIC Corporations (Consent</w:t>
                            </w:r>
                            <w:r w:rsidR="00037FC8">
                              <w:rPr>
                                <w:b/>
                              </w:rPr>
                              <w:t>s</w:t>
                            </w:r>
                            <w:r w:rsidRPr="00AF5F35">
                              <w:rPr>
                                <w:b/>
                              </w:rPr>
                              <w:t xml:space="preserve"> to </w:t>
                            </w:r>
                            <w:r w:rsidR="00D025D0">
                              <w:rPr>
                                <w:b/>
                              </w:rPr>
                              <w:t xml:space="preserve">Statements) </w:t>
                            </w:r>
                            <w:r w:rsidR="00037FC8">
                              <w:rPr>
                                <w:b/>
                              </w:rPr>
                              <w:t>Instrument 2016</w:t>
                            </w:r>
                            <w:r w:rsidR="00D70A47">
                              <w:rPr>
                                <w:b/>
                              </w:rPr>
                              <w:t>/72</w:t>
                            </w:r>
                          </w:p>
                          <w:p w:rsidR="00870F73" w:rsidRDefault="00870F73" w:rsidP="000076D6">
                            <w:pPr>
                              <w:spacing w:before="120" w:after="120"/>
                              <w:jc w:val="center"/>
                            </w:pPr>
                          </w:p>
                          <w:p w:rsidR="000076D6" w:rsidRPr="00247F54" w:rsidRDefault="00AF5F35" w:rsidP="000076D6">
                            <w:pPr>
                              <w:spacing w:before="120" w:after="120"/>
                              <w:jc w:val="center"/>
                            </w:pPr>
                            <w:r w:rsidRPr="00271E30">
                              <w:t xml:space="preserve">ASIC Corporations (Consent to </w:t>
                            </w:r>
                            <w:r w:rsidR="00D025D0">
                              <w:t>Statements</w:t>
                            </w:r>
                            <w:r w:rsidR="00E327DC">
                              <w:t>) Instrument 2016</w:t>
                            </w:r>
                            <w:r w:rsidR="00E51043">
                              <w:t>/72</w:t>
                            </w:r>
                            <w:r w:rsidRPr="00271E30">
                              <w:rPr>
                                <w:spacing w:val="-1"/>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B02CC" w:rsidRPr="00CD092B" w:rsidRDefault="000B02CC" w:rsidP="000B02CC">
                            <w:pPr>
                              <w:spacing w:before="120" w:after="120"/>
                              <w:jc w:val="both"/>
                            </w:pPr>
                            <w:r w:rsidRPr="00CD092B">
                              <w:t xml:space="preserve">The Instrument modifies subsections 636(3), 638(5), 716(2) and 1013K(1) of the Act. </w:t>
                            </w:r>
                            <w:r w:rsidR="007B773E" w:rsidRPr="008E436A">
                              <w:t xml:space="preserve">It </w:t>
                            </w:r>
                            <w:r w:rsidR="007B773E">
                              <w:t>permits particular information to be included, without the consent of the owner of that</w:t>
                            </w:r>
                            <w:r w:rsidR="007B773E" w:rsidRPr="008E436A">
                              <w:t xml:space="preserve"> </w:t>
                            </w:r>
                            <w:r w:rsidR="007B773E">
                              <w:t xml:space="preserve">information, </w:t>
                            </w:r>
                            <w:r w:rsidR="007B773E" w:rsidRPr="008E436A">
                              <w:t>in a disclosure document (under Chapter 6D</w:t>
                            </w:r>
                            <w:r w:rsidR="00D025D0">
                              <w:t>), product disclosure s</w:t>
                            </w:r>
                            <w:r w:rsidR="007B773E">
                              <w:t xml:space="preserve">tatement </w:t>
                            </w:r>
                            <w:r w:rsidR="007B773E" w:rsidRPr="008E436A">
                              <w:t xml:space="preserve">(under Part 7.9.), bidder’s statement </w:t>
                            </w:r>
                            <w:r w:rsidR="007B773E">
                              <w:t>or</w:t>
                            </w:r>
                            <w:r w:rsidR="007B773E" w:rsidRPr="008E436A">
                              <w:t xml:space="preserve"> target’s statement (under Chapter 6)</w:t>
                            </w:r>
                            <w:r w:rsidR="007B773E">
                              <w:t xml:space="preserve">. </w:t>
                            </w:r>
                            <w:r w:rsidRPr="00CD092B">
                              <w:t xml:space="preserve">The Instrument specifically </w:t>
                            </w:r>
                            <w:r w:rsidR="00CD092B">
                              <w:t>deals with:</w:t>
                            </w:r>
                          </w:p>
                          <w:p w:rsidR="000B02CC" w:rsidRPr="00CD092B" w:rsidRDefault="000B02CC" w:rsidP="00E51043">
                            <w:pPr>
                              <w:numPr>
                                <w:ilvl w:val="0"/>
                                <w:numId w:val="21"/>
                              </w:numPr>
                              <w:spacing w:before="120" w:after="120"/>
                              <w:ind w:left="567" w:hanging="567"/>
                              <w:jc w:val="both"/>
                            </w:pPr>
                            <w:r w:rsidRPr="00CD092B">
                              <w:t>statements from government officials or documents;</w:t>
                            </w:r>
                          </w:p>
                          <w:p w:rsidR="00CD092B" w:rsidRDefault="00CD092B" w:rsidP="00E51043">
                            <w:pPr>
                              <w:pStyle w:val="ListParagraph"/>
                              <w:numPr>
                                <w:ilvl w:val="0"/>
                                <w:numId w:val="21"/>
                              </w:numPr>
                              <w:spacing w:after="120"/>
                              <w:ind w:left="567" w:hanging="567"/>
                              <w:contextualSpacing w:val="0"/>
                            </w:pPr>
                            <w:r w:rsidRPr="00CD092B">
                              <w:t>statements already published in books, journals or comparable publications;</w:t>
                            </w:r>
                          </w:p>
                          <w:p w:rsidR="00CD092B" w:rsidRPr="00CD092B" w:rsidRDefault="00CD092B" w:rsidP="00E51043">
                            <w:pPr>
                              <w:pStyle w:val="ListParagraph"/>
                              <w:numPr>
                                <w:ilvl w:val="0"/>
                                <w:numId w:val="21"/>
                              </w:numPr>
                              <w:spacing w:after="120"/>
                              <w:ind w:left="567" w:hanging="567"/>
                              <w:contextualSpacing w:val="0"/>
                            </w:pPr>
                            <w:r w:rsidRPr="00CD092B">
                              <w:t>certain statements in geological reports available from government de</w:t>
                            </w:r>
                            <w:r w:rsidR="00D025D0">
                              <w:t>partments and bodies, or a prescribed financial market</w:t>
                            </w:r>
                            <w:r w:rsidRPr="00CD092B">
                              <w:t>; and</w:t>
                            </w:r>
                          </w:p>
                          <w:p w:rsidR="00CD092B" w:rsidRPr="00CD092B" w:rsidRDefault="00CD092B" w:rsidP="00E51043">
                            <w:pPr>
                              <w:pStyle w:val="ListParagraph"/>
                              <w:numPr>
                                <w:ilvl w:val="0"/>
                                <w:numId w:val="21"/>
                              </w:numPr>
                              <w:ind w:left="567" w:hanging="567"/>
                            </w:pPr>
                            <w:r w:rsidRPr="00CD092B">
                              <w:t>trading data from prescribed financial markets or approved foreign exchanges.</w:t>
                            </w:r>
                          </w:p>
                          <w:p w:rsidR="000076D6" w:rsidRPr="00247F54" w:rsidRDefault="000076D6" w:rsidP="000076D6">
                            <w:pPr>
                              <w:spacing w:before="120" w:after="120"/>
                              <w:rPr>
                                <w:b/>
                              </w:rPr>
                            </w:pPr>
                            <w:r w:rsidRPr="00247F54">
                              <w:rPr>
                                <w:b/>
                              </w:rPr>
                              <w:t>Human rights implications</w:t>
                            </w:r>
                          </w:p>
                          <w:p w:rsidR="000076D6" w:rsidRDefault="000076D6" w:rsidP="00CD092B">
                            <w:pPr>
                              <w:spacing w:before="120" w:after="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rPr>
                                <w:b/>
                              </w:rPr>
                            </w:pPr>
                            <w:r w:rsidRPr="00247F54">
                              <w:rPr>
                                <w:b/>
                              </w:rPr>
                              <w:t>Conclusion</w:t>
                            </w:r>
                          </w:p>
                          <w:p w:rsidR="000076D6" w:rsidRDefault="000076D6" w:rsidP="00CD092B">
                            <w:pPr>
                              <w:spacing w:before="120" w:after="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870F73" w:rsidRDefault="00870F73" w:rsidP="00870F73">
                            <w:pPr>
                              <w:spacing w:before="120" w:after="120"/>
                              <w:jc w:val="center"/>
                              <w:rPr>
                                <w:b/>
                              </w:rPr>
                            </w:pPr>
                            <w:r w:rsidRPr="00870F73">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870F73" w:rsidRDefault="00870F73" w:rsidP="000076D6">
                      <w:pPr>
                        <w:spacing w:before="120" w:after="120"/>
                        <w:jc w:val="center"/>
                        <w:rPr>
                          <w:b/>
                        </w:rPr>
                      </w:pPr>
                    </w:p>
                    <w:p w:rsidR="000076D6" w:rsidRPr="00870F73" w:rsidRDefault="00AF5F35" w:rsidP="000076D6">
                      <w:pPr>
                        <w:spacing w:before="120" w:after="120"/>
                        <w:jc w:val="center"/>
                        <w:rPr>
                          <w:b/>
                        </w:rPr>
                      </w:pPr>
                      <w:r w:rsidRPr="00AF5F35">
                        <w:rPr>
                          <w:b/>
                        </w:rPr>
                        <w:t>ASIC Corporations (Consent</w:t>
                      </w:r>
                      <w:r w:rsidR="00037FC8">
                        <w:rPr>
                          <w:b/>
                        </w:rPr>
                        <w:t>s</w:t>
                      </w:r>
                      <w:r w:rsidRPr="00AF5F35">
                        <w:rPr>
                          <w:b/>
                        </w:rPr>
                        <w:t xml:space="preserve"> to </w:t>
                      </w:r>
                      <w:r w:rsidR="00D025D0">
                        <w:rPr>
                          <w:b/>
                        </w:rPr>
                        <w:t xml:space="preserve">Statements) </w:t>
                      </w:r>
                      <w:r w:rsidR="00037FC8">
                        <w:rPr>
                          <w:b/>
                        </w:rPr>
                        <w:t>Instrument 2016</w:t>
                      </w:r>
                      <w:r w:rsidR="00D70A47">
                        <w:rPr>
                          <w:b/>
                        </w:rPr>
                        <w:t>/72</w:t>
                      </w:r>
                    </w:p>
                    <w:p w:rsidR="00870F73" w:rsidRDefault="00870F73" w:rsidP="000076D6">
                      <w:pPr>
                        <w:spacing w:before="120" w:after="120"/>
                        <w:jc w:val="center"/>
                      </w:pPr>
                    </w:p>
                    <w:p w:rsidR="000076D6" w:rsidRPr="00247F54" w:rsidRDefault="00AF5F35" w:rsidP="000076D6">
                      <w:pPr>
                        <w:spacing w:before="120" w:after="120"/>
                        <w:jc w:val="center"/>
                      </w:pPr>
                      <w:r w:rsidRPr="00271E30">
                        <w:t xml:space="preserve">ASIC Corporations (Consent to </w:t>
                      </w:r>
                      <w:r w:rsidR="00D025D0">
                        <w:t>Statements</w:t>
                      </w:r>
                      <w:r w:rsidR="00E327DC">
                        <w:t>) Instrument 2016</w:t>
                      </w:r>
                      <w:r w:rsidR="00E51043">
                        <w:t>/72</w:t>
                      </w:r>
                      <w:r w:rsidRPr="00271E30">
                        <w:rPr>
                          <w:spacing w:val="-1"/>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B02CC" w:rsidRPr="00CD092B" w:rsidRDefault="000B02CC" w:rsidP="000B02CC">
                      <w:pPr>
                        <w:spacing w:before="120" w:after="120"/>
                        <w:jc w:val="both"/>
                      </w:pPr>
                      <w:r w:rsidRPr="00CD092B">
                        <w:t xml:space="preserve">The Instrument modifies subsections 636(3), 638(5), 716(2) and </w:t>
                      </w:r>
                      <w:proofErr w:type="gramStart"/>
                      <w:r w:rsidRPr="00CD092B">
                        <w:t>1013K(</w:t>
                      </w:r>
                      <w:proofErr w:type="gramEnd"/>
                      <w:r w:rsidRPr="00CD092B">
                        <w:t xml:space="preserve">1) of the Act. </w:t>
                      </w:r>
                      <w:r w:rsidR="007B773E" w:rsidRPr="008E436A">
                        <w:t xml:space="preserve">It </w:t>
                      </w:r>
                      <w:r w:rsidR="007B773E">
                        <w:t>permits particular information to be included, without the consent of the owner of that</w:t>
                      </w:r>
                      <w:r w:rsidR="007B773E" w:rsidRPr="008E436A">
                        <w:t xml:space="preserve"> </w:t>
                      </w:r>
                      <w:r w:rsidR="007B773E">
                        <w:t xml:space="preserve">information, </w:t>
                      </w:r>
                      <w:r w:rsidR="007B773E" w:rsidRPr="008E436A">
                        <w:t>in a disclosure document (under Chapter 6D</w:t>
                      </w:r>
                      <w:r w:rsidR="00D025D0">
                        <w:t>), product disclosure s</w:t>
                      </w:r>
                      <w:r w:rsidR="007B773E">
                        <w:t xml:space="preserve">tatement </w:t>
                      </w:r>
                      <w:r w:rsidR="007B773E" w:rsidRPr="008E436A">
                        <w:t xml:space="preserve">(under Part 7.9.), bidder’s statement </w:t>
                      </w:r>
                      <w:r w:rsidR="007B773E">
                        <w:t>or</w:t>
                      </w:r>
                      <w:r w:rsidR="007B773E" w:rsidRPr="008E436A">
                        <w:t xml:space="preserve"> target’s statement (under Chapter 6)</w:t>
                      </w:r>
                      <w:r w:rsidR="007B773E">
                        <w:t xml:space="preserve">. </w:t>
                      </w:r>
                      <w:r w:rsidRPr="00CD092B">
                        <w:t xml:space="preserve">The Instrument specifically </w:t>
                      </w:r>
                      <w:r w:rsidR="00CD092B">
                        <w:t>deals with:</w:t>
                      </w:r>
                    </w:p>
                    <w:p w:rsidR="000B02CC" w:rsidRPr="00CD092B" w:rsidRDefault="000B02CC" w:rsidP="00E51043">
                      <w:pPr>
                        <w:numPr>
                          <w:ilvl w:val="0"/>
                          <w:numId w:val="21"/>
                        </w:numPr>
                        <w:spacing w:before="120" w:after="120"/>
                        <w:ind w:left="567" w:hanging="567"/>
                        <w:jc w:val="both"/>
                      </w:pPr>
                      <w:r w:rsidRPr="00CD092B">
                        <w:t>statements from government officials or documents;</w:t>
                      </w:r>
                    </w:p>
                    <w:p w:rsidR="00CD092B" w:rsidRDefault="00CD092B" w:rsidP="00E51043">
                      <w:pPr>
                        <w:pStyle w:val="ListParagraph"/>
                        <w:numPr>
                          <w:ilvl w:val="0"/>
                          <w:numId w:val="21"/>
                        </w:numPr>
                        <w:spacing w:after="120"/>
                        <w:ind w:left="567" w:hanging="567"/>
                        <w:contextualSpacing w:val="0"/>
                      </w:pPr>
                      <w:r w:rsidRPr="00CD092B">
                        <w:t>statements already published in books, journals or comparable publications;</w:t>
                      </w:r>
                    </w:p>
                    <w:p w:rsidR="00CD092B" w:rsidRPr="00CD092B" w:rsidRDefault="00CD092B" w:rsidP="00E51043">
                      <w:pPr>
                        <w:pStyle w:val="ListParagraph"/>
                        <w:numPr>
                          <w:ilvl w:val="0"/>
                          <w:numId w:val="21"/>
                        </w:numPr>
                        <w:spacing w:after="120"/>
                        <w:ind w:left="567" w:hanging="567"/>
                        <w:contextualSpacing w:val="0"/>
                      </w:pPr>
                      <w:r w:rsidRPr="00CD092B">
                        <w:t>certain statements in geological reports available from government de</w:t>
                      </w:r>
                      <w:r w:rsidR="00D025D0">
                        <w:t>partments and bodies, or a prescribed financial market</w:t>
                      </w:r>
                      <w:r w:rsidRPr="00CD092B">
                        <w:t>; and</w:t>
                      </w:r>
                    </w:p>
                    <w:p w:rsidR="00CD092B" w:rsidRPr="00CD092B" w:rsidRDefault="00CD092B" w:rsidP="00E51043">
                      <w:pPr>
                        <w:pStyle w:val="ListParagraph"/>
                        <w:numPr>
                          <w:ilvl w:val="0"/>
                          <w:numId w:val="21"/>
                        </w:numPr>
                        <w:ind w:left="567" w:hanging="567"/>
                      </w:pPr>
                      <w:proofErr w:type="gramStart"/>
                      <w:r w:rsidRPr="00CD092B">
                        <w:t>trading</w:t>
                      </w:r>
                      <w:proofErr w:type="gramEnd"/>
                      <w:r w:rsidRPr="00CD092B">
                        <w:t xml:space="preserve"> data from prescribed financial markets or approved foreign exchanges.</w:t>
                      </w:r>
                    </w:p>
                    <w:p w:rsidR="000076D6" w:rsidRPr="00247F54" w:rsidRDefault="000076D6" w:rsidP="000076D6">
                      <w:pPr>
                        <w:spacing w:before="120" w:after="120"/>
                        <w:rPr>
                          <w:b/>
                        </w:rPr>
                      </w:pPr>
                      <w:r w:rsidRPr="00247F54">
                        <w:rPr>
                          <w:b/>
                        </w:rPr>
                        <w:t>Human rights implications</w:t>
                      </w:r>
                    </w:p>
                    <w:p w:rsidR="000076D6" w:rsidRDefault="000076D6" w:rsidP="00CD092B">
                      <w:pPr>
                        <w:spacing w:before="120" w:after="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rPr>
                          <w:b/>
                        </w:rPr>
                      </w:pPr>
                      <w:r w:rsidRPr="00247F54">
                        <w:rPr>
                          <w:b/>
                        </w:rPr>
                        <w:t>Conclusion</w:t>
                      </w:r>
                    </w:p>
                    <w:p w:rsidR="000076D6" w:rsidRDefault="000076D6" w:rsidP="00CD092B">
                      <w:pPr>
                        <w:spacing w:before="120" w:after="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870F73" w:rsidRDefault="00870F73" w:rsidP="00870F73">
                      <w:pPr>
                        <w:spacing w:before="120" w:after="120"/>
                        <w:jc w:val="center"/>
                        <w:rPr>
                          <w:b/>
                        </w:rPr>
                      </w:pPr>
                      <w:r w:rsidRPr="00870F73">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62" w:rsidRDefault="003E1A62">
      <w:pPr>
        <w:spacing w:after="0"/>
      </w:pPr>
      <w:r>
        <w:separator/>
      </w:r>
    </w:p>
  </w:endnote>
  <w:endnote w:type="continuationSeparator" w:id="0">
    <w:p w:rsidR="003E1A62" w:rsidRDefault="003E1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9A10FB">
    <w:pPr>
      <w:pStyle w:val="Footer"/>
      <w:ind w:right="360"/>
    </w:pPr>
  </w:p>
  <w:p w:rsidR="00C27A4B" w:rsidRDefault="009A10FB"/>
  <w:p w:rsidR="00C27A4B" w:rsidRDefault="009A10FB"/>
  <w:p w:rsidR="00C27A4B" w:rsidRDefault="009A10FB"/>
  <w:p w:rsidR="00C27A4B" w:rsidRDefault="009A10FB"/>
  <w:p w:rsidR="00C27A4B" w:rsidRDefault="009A10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62" w:rsidRDefault="003E1A62">
      <w:pPr>
        <w:spacing w:after="0"/>
      </w:pPr>
      <w:r>
        <w:separator/>
      </w:r>
    </w:p>
  </w:footnote>
  <w:footnote w:type="continuationSeparator" w:id="0">
    <w:p w:rsidR="003E1A62" w:rsidRDefault="003E1A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9A10FB"/>
  <w:p w:rsidR="00C27A4B" w:rsidRDefault="009A10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Pr="005A7DE5" w:rsidRDefault="002C0CBB" w:rsidP="002C0CBB">
    <w:pPr>
      <w:pStyle w:val="sub3paraA"/>
      <w:tabs>
        <w:tab w:val="clear" w:pos="3544"/>
      </w:tabs>
      <w:ind w:left="0" w:firstLine="1"/>
      <w:jc w:val="center"/>
      <w:rPr>
        <w:sz w:val="24"/>
        <w:szCs w:val="24"/>
      </w:rPr>
    </w:pPr>
    <w:r w:rsidRPr="005A7DE5">
      <w:rPr>
        <w:sz w:val="24"/>
        <w:szCs w:val="24"/>
      </w:rPr>
      <w:fldChar w:fldCharType="begin"/>
    </w:r>
    <w:r w:rsidRPr="005A7DE5">
      <w:rPr>
        <w:sz w:val="24"/>
        <w:szCs w:val="24"/>
      </w:rPr>
      <w:instrText xml:space="preserve"> PAGE   \* MERGEFORMAT </w:instrText>
    </w:r>
    <w:r w:rsidRPr="005A7DE5">
      <w:rPr>
        <w:sz w:val="24"/>
        <w:szCs w:val="24"/>
      </w:rPr>
      <w:fldChar w:fldCharType="separate"/>
    </w:r>
    <w:r w:rsidR="009A10FB">
      <w:rPr>
        <w:noProof/>
        <w:sz w:val="24"/>
        <w:szCs w:val="24"/>
      </w:rPr>
      <w:t>8</w:t>
    </w:r>
    <w:r w:rsidRPr="005A7DE5">
      <w:rPr>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9A10FB">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67891"/>
    <w:multiLevelType w:val="hybridMultilevel"/>
    <w:tmpl w:val="A54030E6"/>
    <w:lvl w:ilvl="0" w:tplc="582C0F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936DA2"/>
    <w:multiLevelType w:val="hybridMultilevel"/>
    <w:tmpl w:val="7DDCF908"/>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1BE34CF"/>
    <w:multiLevelType w:val="hybridMultilevel"/>
    <w:tmpl w:val="16C869DC"/>
    <w:lvl w:ilvl="0" w:tplc="DBF865F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3A042E"/>
    <w:multiLevelType w:val="hybridMultilevel"/>
    <w:tmpl w:val="4622F2B2"/>
    <w:lvl w:ilvl="0" w:tplc="11A2C900">
      <w:start w:val="1"/>
      <w:numFmt w:val="decimal"/>
      <w:lvlText w:val="%1."/>
      <w:lvlJc w:val="left"/>
      <w:pPr>
        <w:ind w:left="360" w:hanging="360"/>
      </w:pPr>
      <w:rPr>
        <w:b w:val="0"/>
        <w:i w:val="0"/>
      </w:rPr>
    </w:lvl>
    <w:lvl w:ilvl="1" w:tplc="582C0F5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5A322C4"/>
    <w:multiLevelType w:val="hybridMultilevel"/>
    <w:tmpl w:val="3D8EBB46"/>
    <w:lvl w:ilvl="0" w:tplc="FD3EC5A4">
      <w:start w:val="1"/>
      <w:numFmt w:val="lowerLetter"/>
      <w:lvlText w:val="(%1)"/>
      <w:lvlJc w:val="left"/>
      <w:pPr>
        <w:ind w:left="780" w:hanging="360"/>
      </w:pPr>
      <w:rPr>
        <w:rFonts w:hint="default"/>
        <w:b w:val="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nsid w:val="2ECD1FD6"/>
    <w:multiLevelType w:val="hybridMultilevel"/>
    <w:tmpl w:val="61F8EDA2"/>
    <w:lvl w:ilvl="0" w:tplc="582C0F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64475F"/>
    <w:multiLevelType w:val="hybridMultilevel"/>
    <w:tmpl w:val="A4A6E412"/>
    <w:lvl w:ilvl="0" w:tplc="4DAE7A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387B9F"/>
    <w:multiLevelType w:val="hybridMultilevel"/>
    <w:tmpl w:val="DF485286"/>
    <w:lvl w:ilvl="0" w:tplc="D16CB4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713697"/>
    <w:multiLevelType w:val="hybridMultilevel"/>
    <w:tmpl w:val="173EFA7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A951A98"/>
    <w:multiLevelType w:val="hybridMultilevel"/>
    <w:tmpl w:val="1FD8FF18"/>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3C3CE8"/>
    <w:multiLevelType w:val="hybridMultilevel"/>
    <w:tmpl w:val="1608A8DA"/>
    <w:lvl w:ilvl="0" w:tplc="582C0F5A">
      <w:start w:val="1"/>
      <w:numFmt w:val="lowerLetter"/>
      <w:lvlText w:val="(%1)"/>
      <w:lvlJc w:val="left"/>
      <w:pPr>
        <w:ind w:left="720" w:hanging="360"/>
      </w:pPr>
      <w:rPr>
        <w:rFonts w:hint="default"/>
      </w:rPr>
    </w:lvl>
    <w:lvl w:ilvl="1" w:tplc="B6B26098">
      <w:start w:val="1"/>
      <w:numFmt w:val="lowerRoman"/>
      <w:lvlText w:val="(%2)"/>
      <w:lvlJc w:val="left"/>
      <w:pPr>
        <w:ind w:left="1440" w:hanging="360"/>
      </w:pPr>
      <w:rPr>
        <w:rFonts w:hint="default"/>
      </w:rPr>
    </w:lvl>
    <w:lvl w:ilvl="2" w:tplc="0C090015">
      <w:start w:val="1"/>
      <w:numFmt w:val="upperLetter"/>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822140"/>
    <w:multiLevelType w:val="hybridMultilevel"/>
    <w:tmpl w:val="A308083C"/>
    <w:lvl w:ilvl="0" w:tplc="4DAE7A48">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F139B3"/>
    <w:multiLevelType w:val="hybridMultilevel"/>
    <w:tmpl w:val="34980B3A"/>
    <w:lvl w:ilvl="0" w:tplc="635C1624">
      <w:start w:val="12"/>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C38579B"/>
    <w:multiLevelType w:val="hybridMultilevel"/>
    <w:tmpl w:val="F0A8E880"/>
    <w:lvl w:ilvl="0" w:tplc="4DAE7A48">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EA540E"/>
    <w:multiLevelType w:val="hybridMultilevel"/>
    <w:tmpl w:val="ED1CFE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5C0D244C"/>
    <w:multiLevelType w:val="hybridMultilevel"/>
    <w:tmpl w:val="793ED90E"/>
    <w:lvl w:ilvl="0" w:tplc="E25C95EE">
      <w:start w:val="1"/>
      <w:numFmt w:val="upp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7">
    <w:nsid w:val="5C2831C4"/>
    <w:multiLevelType w:val="hybridMultilevel"/>
    <w:tmpl w:val="DD3CE522"/>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D0144D3"/>
    <w:multiLevelType w:val="hybridMultilevel"/>
    <w:tmpl w:val="1FD8FF18"/>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E3026D6"/>
    <w:multiLevelType w:val="hybridMultilevel"/>
    <w:tmpl w:val="2E2E15F8"/>
    <w:lvl w:ilvl="0" w:tplc="582C0F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EC599D"/>
    <w:multiLevelType w:val="hybridMultilevel"/>
    <w:tmpl w:val="A4A6E412"/>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B06D0E"/>
    <w:multiLevelType w:val="hybridMultilevel"/>
    <w:tmpl w:val="8EF02D1A"/>
    <w:lvl w:ilvl="0" w:tplc="61A2172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FD6F99"/>
    <w:multiLevelType w:val="hybridMultilevel"/>
    <w:tmpl w:val="116CBB1A"/>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3">
    <w:nsid w:val="64987978"/>
    <w:multiLevelType w:val="hybridMultilevel"/>
    <w:tmpl w:val="824AB97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ACA25C6"/>
    <w:multiLevelType w:val="hybridMultilevel"/>
    <w:tmpl w:val="3AEE1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F212A1"/>
    <w:multiLevelType w:val="hybridMultilevel"/>
    <w:tmpl w:val="B868FD26"/>
    <w:lvl w:ilvl="0" w:tplc="DBF865F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B7B2966"/>
    <w:multiLevelType w:val="hybridMultilevel"/>
    <w:tmpl w:val="1FD8FF18"/>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9">
    <w:nsid w:val="6CC45772"/>
    <w:multiLevelType w:val="hybridMultilevel"/>
    <w:tmpl w:val="A8B472B4"/>
    <w:lvl w:ilvl="0" w:tplc="0C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2A875E1"/>
    <w:multiLevelType w:val="hybridMultilevel"/>
    <w:tmpl w:val="1604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3CC316C"/>
    <w:multiLevelType w:val="hybridMultilevel"/>
    <w:tmpl w:val="23749552"/>
    <w:lvl w:ilvl="0" w:tplc="C780F0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104F84"/>
    <w:multiLevelType w:val="hybridMultilevel"/>
    <w:tmpl w:val="6116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2"/>
  </w:num>
  <w:num w:numId="3">
    <w:abstractNumId w:val="20"/>
  </w:num>
  <w:num w:numId="4">
    <w:abstractNumId w:val="38"/>
  </w:num>
  <w:num w:numId="5">
    <w:abstractNumId w:val="9"/>
  </w:num>
  <w:num w:numId="6">
    <w:abstractNumId w:val="6"/>
  </w:num>
  <w:num w:numId="7">
    <w:abstractNumId w:val="19"/>
  </w:num>
  <w:num w:numId="8">
    <w:abstractNumId w:val="4"/>
  </w:num>
  <w:num w:numId="9">
    <w:abstractNumId w:val="3"/>
  </w:num>
  <w:num w:numId="10">
    <w:abstractNumId w:val="0"/>
  </w:num>
  <w:num w:numId="11">
    <w:abstractNumId w:val="15"/>
  </w:num>
  <w:num w:numId="12">
    <w:abstractNumId w:val="37"/>
  </w:num>
  <w:num w:numId="13">
    <w:abstractNumId w:val="24"/>
  </w:num>
  <w:num w:numId="14">
    <w:abstractNumId w:val="11"/>
  </w:num>
  <w:num w:numId="15">
    <w:abstractNumId w:val="8"/>
  </w:num>
  <w:num w:numId="16">
    <w:abstractNumId w:val="14"/>
  </w:num>
  <w:num w:numId="17">
    <w:abstractNumId w:val="31"/>
  </w:num>
  <w:num w:numId="18">
    <w:abstractNumId w:val="39"/>
  </w:num>
  <w:num w:numId="19">
    <w:abstractNumId w:val="32"/>
  </w:num>
  <w:num w:numId="20">
    <w:abstractNumId w:val="27"/>
  </w:num>
  <w:num w:numId="21">
    <w:abstractNumId w:val="13"/>
  </w:num>
  <w:num w:numId="22">
    <w:abstractNumId w:val="22"/>
  </w:num>
  <w:num w:numId="23">
    <w:abstractNumId w:val="30"/>
  </w:num>
  <w:num w:numId="24">
    <w:abstractNumId w:val="2"/>
  </w:num>
  <w:num w:numId="25">
    <w:abstractNumId w:val="23"/>
  </w:num>
  <w:num w:numId="26">
    <w:abstractNumId w:val="28"/>
  </w:num>
  <w:num w:numId="27">
    <w:abstractNumId w:val="36"/>
  </w:num>
  <w:num w:numId="28">
    <w:abstractNumId w:val="7"/>
  </w:num>
  <w:num w:numId="29">
    <w:abstractNumId w:val="41"/>
  </w:num>
  <w:num w:numId="30">
    <w:abstractNumId w:val="17"/>
  </w:num>
  <w:num w:numId="31">
    <w:abstractNumId w:val="35"/>
  </w:num>
  <w:num w:numId="32">
    <w:abstractNumId w:val="26"/>
  </w:num>
  <w:num w:numId="33">
    <w:abstractNumId w:val="29"/>
  </w:num>
  <w:num w:numId="34">
    <w:abstractNumId w:val="12"/>
  </w:num>
  <w:num w:numId="35">
    <w:abstractNumId w:val="43"/>
  </w:num>
  <w:num w:numId="36">
    <w:abstractNumId w:val="33"/>
  </w:num>
  <w:num w:numId="37">
    <w:abstractNumId w:val="40"/>
  </w:num>
  <w:num w:numId="38">
    <w:abstractNumId w:val="16"/>
  </w:num>
  <w:num w:numId="39">
    <w:abstractNumId w:val="34"/>
  </w:num>
  <w:num w:numId="40">
    <w:abstractNumId w:val="25"/>
  </w:num>
  <w:num w:numId="41">
    <w:abstractNumId w:val="18"/>
  </w:num>
  <w:num w:numId="42">
    <w:abstractNumId w:val="1"/>
  </w:num>
  <w:num w:numId="43">
    <w:abstractNumId w:val="2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D3"/>
    <w:rsid w:val="00002860"/>
    <w:rsid w:val="00007375"/>
    <w:rsid w:val="000076D6"/>
    <w:rsid w:val="000108AB"/>
    <w:rsid w:val="00012867"/>
    <w:rsid w:val="00012E0C"/>
    <w:rsid w:val="00014BFE"/>
    <w:rsid w:val="00034ECF"/>
    <w:rsid w:val="00037FC8"/>
    <w:rsid w:val="000555CA"/>
    <w:rsid w:val="00062184"/>
    <w:rsid w:val="00064A0A"/>
    <w:rsid w:val="00074391"/>
    <w:rsid w:val="0007491E"/>
    <w:rsid w:val="000A16D3"/>
    <w:rsid w:val="000B02CC"/>
    <w:rsid w:val="000C1F7B"/>
    <w:rsid w:val="000C24C6"/>
    <w:rsid w:val="000C75CD"/>
    <w:rsid w:val="000D5F19"/>
    <w:rsid w:val="000F2E31"/>
    <w:rsid w:val="00133E37"/>
    <w:rsid w:val="00137BD2"/>
    <w:rsid w:val="00152F5D"/>
    <w:rsid w:val="00190E5C"/>
    <w:rsid w:val="001B6338"/>
    <w:rsid w:val="001C1ACD"/>
    <w:rsid w:val="001C2F0D"/>
    <w:rsid w:val="002042EE"/>
    <w:rsid w:val="00225A98"/>
    <w:rsid w:val="00226F65"/>
    <w:rsid w:val="00246100"/>
    <w:rsid w:val="00256E0A"/>
    <w:rsid w:val="00270DA1"/>
    <w:rsid w:val="00271E30"/>
    <w:rsid w:val="00277410"/>
    <w:rsid w:val="00286533"/>
    <w:rsid w:val="002971B7"/>
    <w:rsid w:val="002A44B3"/>
    <w:rsid w:val="002C0A65"/>
    <w:rsid w:val="002C0CBB"/>
    <w:rsid w:val="002D5A8C"/>
    <w:rsid w:val="002D5B32"/>
    <w:rsid w:val="00351299"/>
    <w:rsid w:val="00367537"/>
    <w:rsid w:val="00374FA2"/>
    <w:rsid w:val="003809A1"/>
    <w:rsid w:val="003A5873"/>
    <w:rsid w:val="003D0EC8"/>
    <w:rsid w:val="003E1A62"/>
    <w:rsid w:val="003F7027"/>
    <w:rsid w:val="00402A95"/>
    <w:rsid w:val="00410890"/>
    <w:rsid w:val="00420714"/>
    <w:rsid w:val="00420B7C"/>
    <w:rsid w:val="0043164D"/>
    <w:rsid w:val="0045080D"/>
    <w:rsid w:val="00464112"/>
    <w:rsid w:val="00485FB8"/>
    <w:rsid w:val="004A44B1"/>
    <w:rsid w:val="004B625F"/>
    <w:rsid w:val="004C1951"/>
    <w:rsid w:val="004C4D62"/>
    <w:rsid w:val="004D7A76"/>
    <w:rsid w:val="004E365E"/>
    <w:rsid w:val="004F577E"/>
    <w:rsid w:val="00516B69"/>
    <w:rsid w:val="00522FA6"/>
    <w:rsid w:val="00536C11"/>
    <w:rsid w:val="00546748"/>
    <w:rsid w:val="00561033"/>
    <w:rsid w:val="00566718"/>
    <w:rsid w:val="00583FF1"/>
    <w:rsid w:val="005A30EE"/>
    <w:rsid w:val="005A7DE5"/>
    <w:rsid w:val="005B0E3A"/>
    <w:rsid w:val="005F6048"/>
    <w:rsid w:val="00603217"/>
    <w:rsid w:val="00624E22"/>
    <w:rsid w:val="0063217D"/>
    <w:rsid w:val="006331FF"/>
    <w:rsid w:val="00641465"/>
    <w:rsid w:val="00641608"/>
    <w:rsid w:val="00650B0A"/>
    <w:rsid w:val="006647A1"/>
    <w:rsid w:val="006C29FA"/>
    <w:rsid w:val="006C775D"/>
    <w:rsid w:val="006D1C5B"/>
    <w:rsid w:val="006E701C"/>
    <w:rsid w:val="006F501F"/>
    <w:rsid w:val="00712CCB"/>
    <w:rsid w:val="0073304B"/>
    <w:rsid w:val="00736265"/>
    <w:rsid w:val="007567D7"/>
    <w:rsid w:val="0076239B"/>
    <w:rsid w:val="0078335A"/>
    <w:rsid w:val="007B463F"/>
    <w:rsid w:val="007B773E"/>
    <w:rsid w:val="007C18D5"/>
    <w:rsid w:val="007D583D"/>
    <w:rsid w:val="007E45D1"/>
    <w:rsid w:val="007E6C16"/>
    <w:rsid w:val="007F2F81"/>
    <w:rsid w:val="00813423"/>
    <w:rsid w:val="0082302E"/>
    <w:rsid w:val="00863591"/>
    <w:rsid w:val="00870F73"/>
    <w:rsid w:val="00874214"/>
    <w:rsid w:val="00890CD6"/>
    <w:rsid w:val="008934DF"/>
    <w:rsid w:val="008B39DB"/>
    <w:rsid w:val="008B462A"/>
    <w:rsid w:val="008B4F29"/>
    <w:rsid w:val="008B75FB"/>
    <w:rsid w:val="008C4190"/>
    <w:rsid w:val="008E1E49"/>
    <w:rsid w:val="008E436A"/>
    <w:rsid w:val="008E58EB"/>
    <w:rsid w:val="008E6235"/>
    <w:rsid w:val="00903AE0"/>
    <w:rsid w:val="00907183"/>
    <w:rsid w:val="0092104E"/>
    <w:rsid w:val="009254CB"/>
    <w:rsid w:val="009404C7"/>
    <w:rsid w:val="00941B05"/>
    <w:rsid w:val="00963F3B"/>
    <w:rsid w:val="00966CBD"/>
    <w:rsid w:val="00985DF5"/>
    <w:rsid w:val="009A0D91"/>
    <w:rsid w:val="009A10FB"/>
    <w:rsid w:val="009A1ECF"/>
    <w:rsid w:val="009C1030"/>
    <w:rsid w:val="009D34D0"/>
    <w:rsid w:val="009D73CD"/>
    <w:rsid w:val="00A05643"/>
    <w:rsid w:val="00A13BF7"/>
    <w:rsid w:val="00A25DDD"/>
    <w:rsid w:val="00A54261"/>
    <w:rsid w:val="00A744E9"/>
    <w:rsid w:val="00A812D1"/>
    <w:rsid w:val="00A96E0D"/>
    <w:rsid w:val="00AB002C"/>
    <w:rsid w:val="00AC02C2"/>
    <w:rsid w:val="00AD31A9"/>
    <w:rsid w:val="00AE04F7"/>
    <w:rsid w:val="00AF5F35"/>
    <w:rsid w:val="00B06339"/>
    <w:rsid w:val="00B21A0C"/>
    <w:rsid w:val="00B23DD4"/>
    <w:rsid w:val="00B42690"/>
    <w:rsid w:val="00B734CF"/>
    <w:rsid w:val="00B77E00"/>
    <w:rsid w:val="00B83FFA"/>
    <w:rsid w:val="00B85DFD"/>
    <w:rsid w:val="00BD2C01"/>
    <w:rsid w:val="00BE0EB8"/>
    <w:rsid w:val="00BE5B6D"/>
    <w:rsid w:val="00BF2C69"/>
    <w:rsid w:val="00C005FB"/>
    <w:rsid w:val="00C01419"/>
    <w:rsid w:val="00C306BD"/>
    <w:rsid w:val="00C307C9"/>
    <w:rsid w:val="00C32FCB"/>
    <w:rsid w:val="00C4588D"/>
    <w:rsid w:val="00C532D9"/>
    <w:rsid w:val="00C67DB3"/>
    <w:rsid w:val="00C86429"/>
    <w:rsid w:val="00CD092B"/>
    <w:rsid w:val="00CD255E"/>
    <w:rsid w:val="00CF1854"/>
    <w:rsid w:val="00D025D0"/>
    <w:rsid w:val="00D06DCA"/>
    <w:rsid w:val="00D2359D"/>
    <w:rsid w:val="00D26909"/>
    <w:rsid w:val="00D4021D"/>
    <w:rsid w:val="00D4082E"/>
    <w:rsid w:val="00D42054"/>
    <w:rsid w:val="00D70A47"/>
    <w:rsid w:val="00D70F20"/>
    <w:rsid w:val="00D75432"/>
    <w:rsid w:val="00DA2B36"/>
    <w:rsid w:val="00DB6845"/>
    <w:rsid w:val="00E03DFD"/>
    <w:rsid w:val="00E11CCF"/>
    <w:rsid w:val="00E23614"/>
    <w:rsid w:val="00E26E61"/>
    <w:rsid w:val="00E327DC"/>
    <w:rsid w:val="00E4476B"/>
    <w:rsid w:val="00E47257"/>
    <w:rsid w:val="00E51043"/>
    <w:rsid w:val="00E666BC"/>
    <w:rsid w:val="00E81341"/>
    <w:rsid w:val="00EA0AFA"/>
    <w:rsid w:val="00EB4501"/>
    <w:rsid w:val="00EC6A85"/>
    <w:rsid w:val="00ED017E"/>
    <w:rsid w:val="00EE2AD7"/>
    <w:rsid w:val="00EF444B"/>
    <w:rsid w:val="00F33A14"/>
    <w:rsid w:val="00F546D9"/>
    <w:rsid w:val="00F85CF7"/>
    <w:rsid w:val="00F8685C"/>
    <w:rsid w:val="00F94ABC"/>
    <w:rsid w:val="00F95EF7"/>
    <w:rsid w:val="00FB1417"/>
    <w:rsid w:val="00FB409E"/>
    <w:rsid w:val="00FB4C8F"/>
    <w:rsid w:val="00FB6C13"/>
    <w:rsid w:val="00FC48B6"/>
    <w:rsid w:val="00FE1484"/>
    <w:rsid w:val="00FE1C07"/>
    <w:rsid w:val="00FE7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C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paragraph" w:styleId="FootnoteText">
    <w:name w:val="footnote text"/>
    <w:basedOn w:val="Normal"/>
    <w:link w:val="FootnoteTextChar"/>
    <w:uiPriority w:val="99"/>
    <w:semiHidden/>
    <w:unhideWhenUsed/>
    <w:rsid w:val="000C1F7B"/>
    <w:pPr>
      <w:spacing w:after="0"/>
    </w:pPr>
    <w:rPr>
      <w:sz w:val="20"/>
    </w:rPr>
  </w:style>
  <w:style w:type="character" w:customStyle="1" w:styleId="FootnoteTextChar">
    <w:name w:val="Footnote Text Char"/>
    <w:basedOn w:val="DefaultParagraphFont"/>
    <w:link w:val="FootnoteText"/>
    <w:uiPriority w:val="99"/>
    <w:semiHidden/>
    <w:rsid w:val="000C1F7B"/>
  </w:style>
  <w:style w:type="character" w:styleId="FootnoteReference">
    <w:name w:val="footnote reference"/>
    <w:basedOn w:val="DefaultParagraphFont"/>
    <w:uiPriority w:val="99"/>
    <w:semiHidden/>
    <w:unhideWhenUsed/>
    <w:rsid w:val="000C1F7B"/>
    <w:rPr>
      <w:vertAlign w:val="superscript"/>
    </w:rPr>
  </w:style>
  <w:style w:type="character" w:customStyle="1" w:styleId="OPCCharBase">
    <w:name w:val="OPCCharBase"/>
    <w:uiPriority w:val="1"/>
    <w:qFormat/>
    <w:rsid w:val="007B463F"/>
  </w:style>
  <w:style w:type="paragraph" w:customStyle="1" w:styleId="LI-BodyTextUnnumbered">
    <w:name w:val="LI - Body Text Unnumbered"/>
    <w:basedOn w:val="Normal"/>
    <w:link w:val="LI-BodyTextUnnumberedChar"/>
    <w:rsid w:val="007B463F"/>
    <w:pPr>
      <w:spacing w:before="240" w:after="0"/>
      <w:ind w:left="1134"/>
    </w:pPr>
    <w:rPr>
      <w:sz w:val="24"/>
    </w:rPr>
  </w:style>
  <w:style w:type="character" w:customStyle="1" w:styleId="LI-BodyTextUnnumberedChar">
    <w:name w:val="LI - Body Text Unnumbered Char"/>
    <w:link w:val="LI-BodyTextUnnumbered"/>
    <w:rsid w:val="007B463F"/>
    <w:rPr>
      <w:sz w:val="24"/>
    </w:rPr>
  </w:style>
  <w:style w:type="paragraph" w:customStyle="1" w:styleId="ListE">
    <w:name w:val="ListE"/>
    <w:basedOn w:val="Normal"/>
    <w:next w:val="Normal"/>
    <w:rsid w:val="000C75CD"/>
    <w:pPr>
      <w:autoSpaceDE w:val="0"/>
      <w:autoSpaceDN w:val="0"/>
      <w:adjustRightInd w:val="0"/>
      <w:spacing w:before="60" w:after="60"/>
      <w:ind w:left="3555" w:hanging="720"/>
    </w:pPr>
    <w:rPr>
      <w:sz w:val="24"/>
      <w:szCs w:val="24"/>
      <w:lang w:val="en-US" w:eastAsia="en-US"/>
    </w:rPr>
  </w:style>
  <w:style w:type="paragraph" w:customStyle="1" w:styleId="Default">
    <w:name w:val="Default"/>
    <w:rsid w:val="008B462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E23614"/>
    <w:rPr>
      <w:sz w:val="16"/>
      <w:szCs w:val="16"/>
    </w:rPr>
  </w:style>
  <w:style w:type="paragraph" w:styleId="CommentSubject">
    <w:name w:val="annotation subject"/>
    <w:basedOn w:val="CommentText"/>
    <w:next w:val="CommentText"/>
    <w:link w:val="CommentSubjectChar"/>
    <w:uiPriority w:val="99"/>
    <w:semiHidden/>
    <w:unhideWhenUsed/>
    <w:rsid w:val="00E23614"/>
    <w:rPr>
      <w:b/>
      <w:bCs/>
    </w:rPr>
  </w:style>
  <w:style w:type="character" w:customStyle="1" w:styleId="CommentTextChar">
    <w:name w:val="Comment Text Char"/>
    <w:basedOn w:val="DefaultParagraphFont"/>
    <w:link w:val="CommentText"/>
    <w:semiHidden/>
    <w:rsid w:val="00E23614"/>
  </w:style>
  <w:style w:type="character" w:customStyle="1" w:styleId="CommentSubjectChar">
    <w:name w:val="Comment Subject Char"/>
    <w:basedOn w:val="CommentTextChar"/>
    <w:link w:val="CommentSubject"/>
    <w:uiPriority w:val="99"/>
    <w:semiHidden/>
    <w:rsid w:val="00E23614"/>
    <w:rPr>
      <w:b/>
      <w:bCs/>
    </w:rPr>
  </w:style>
  <w:style w:type="character" w:styleId="Hyperlink">
    <w:name w:val="Hyperlink"/>
    <w:basedOn w:val="DefaultParagraphFont"/>
    <w:uiPriority w:val="99"/>
    <w:unhideWhenUsed/>
    <w:rsid w:val="00E510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C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paragraph" w:styleId="FootnoteText">
    <w:name w:val="footnote text"/>
    <w:basedOn w:val="Normal"/>
    <w:link w:val="FootnoteTextChar"/>
    <w:uiPriority w:val="99"/>
    <w:semiHidden/>
    <w:unhideWhenUsed/>
    <w:rsid w:val="000C1F7B"/>
    <w:pPr>
      <w:spacing w:after="0"/>
    </w:pPr>
    <w:rPr>
      <w:sz w:val="20"/>
    </w:rPr>
  </w:style>
  <w:style w:type="character" w:customStyle="1" w:styleId="FootnoteTextChar">
    <w:name w:val="Footnote Text Char"/>
    <w:basedOn w:val="DefaultParagraphFont"/>
    <w:link w:val="FootnoteText"/>
    <w:uiPriority w:val="99"/>
    <w:semiHidden/>
    <w:rsid w:val="000C1F7B"/>
  </w:style>
  <w:style w:type="character" w:styleId="FootnoteReference">
    <w:name w:val="footnote reference"/>
    <w:basedOn w:val="DefaultParagraphFont"/>
    <w:uiPriority w:val="99"/>
    <w:semiHidden/>
    <w:unhideWhenUsed/>
    <w:rsid w:val="000C1F7B"/>
    <w:rPr>
      <w:vertAlign w:val="superscript"/>
    </w:rPr>
  </w:style>
  <w:style w:type="character" w:customStyle="1" w:styleId="OPCCharBase">
    <w:name w:val="OPCCharBase"/>
    <w:uiPriority w:val="1"/>
    <w:qFormat/>
    <w:rsid w:val="007B463F"/>
  </w:style>
  <w:style w:type="paragraph" w:customStyle="1" w:styleId="LI-BodyTextUnnumbered">
    <w:name w:val="LI - Body Text Unnumbered"/>
    <w:basedOn w:val="Normal"/>
    <w:link w:val="LI-BodyTextUnnumberedChar"/>
    <w:rsid w:val="007B463F"/>
    <w:pPr>
      <w:spacing w:before="240" w:after="0"/>
      <w:ind w:left="1134"/>
    </w:pPr>
    <w:rPr>
      <w:sz w:val="24"/>
    </w:rPr>
  </w:style>
  <w:style w:type="character" w:customStyle="1" w:styleId="LI-BodyTextUnnumberedChar">
    <w:name w:val="LI - Body Text Unnumbered Char"/>
    <w:link w:val="LI-BodyTextUnnumbered"/>
    <w:rsid w:val="007B463F"/>
    <w:rPr>
      <w:sz w:val="24"/>
    </w:rPr>
  </w:style>
  <w:style w:type="paragraph" w:customStyle="1" w:styleId="ListE">
    <w:name w:val="ListE"/>
    <w:basedOn w:val="Normal"/>
    <w:next w:val="Normal"/>
    <w:rsid w:val="000C75CD"/>
    <w:pPr>
      <w:autoSpaceDE w:val="0"/>
      <w:autoSpaceDN w:val="0"/>
      <w:adjustRightInd w:val="0"/>
      <w:spacing w:before="60" w:after="60"/>
      <w:ind w:left="3555" w:hanging="720"/>
    </w:pPr>
    <w:rPr>
      <w:sz w:val="24"/>
      <w:szCs w:val="24"/>
      <w:lang w:val="en-US" w:eastAsia="en-US"/>
    </w:rPr>
  </w:style>
  <w:style w:type="paragraph" w:customStyle="1" w:styleId="Default">
    <w:name w:val="Default"/>
    <w:rsid w:val="008B462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E23614"/>
    <w:rPr>
      <w:sz w:val="16"/>
      <w:szCs w:val="16"/>
    </w:rPr>
  </w:style>
  <w:style w:type="paragraph" w:styleId="CommentSubject">
    <w:name w:val="annotation subject"/>
    <w:basedOn w:val="CommentText"/>
    <w:next w:val="CommentText"/>
    <w:link w:val="CommentSubjectChar"/>
    <w:uiPriority w:val="99"/>
    <w:semiHidden/>
    <w:unhideWhenUsed/>
    <w:rsid w:val="00E23614"/>
    <w:rPr>
      <w:b/>
      <w:bCs/>
    </w:rPr>
  </w:style>
  <w:style w:type="character" w:customStyle="1" w:styleId="CommentTextChar">
    <w:name w:val="Comment Text Char"/>
    <w:basedOn w:val="DefaultParagraphFont"/>
    <w:link w:val="CommentText"/>
    <w:semiHidden/>
    <w:rsid w:val="00E23614"/>
  </w:style>
  <w:style w:type="character" w:customStyle="1" w:styleId="CommentSubjectChar">
    <w:name w:val="Comment Subject Char"/>
    <w:basedOn w:val="CommentTextChar"/>
    <w:link w:val="CommentSubject"/>
    <w:uiPriority w:val="99"/>
    <w:semiHidden/>
    <w:rsid w:val="00E23614"/>
    <w:rPr>
      <w:b/>
      <w:bCs/>
    </w:rPr>
  </w:style>
  <w:style w:type="character" w:styleId="Hyperlink">
    <w:name w:val="Hyperlink"/>
    <w:basedOn w:val="DefaultParagraphFont"/>
    <w:uiPriority w:val="99"/>
    <w:unhideWhenUsed/>
    <w:rsid w:val="00E51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3127">
      <w:bodyDiv w:val="1"/>
      <w:marLeft w:val="0"/>
      <w:marRight w:val="0"/>
      <w:marTop w:val="0"/>
      <w:marBottom w:val="0"/>
      <w:divBdr>
        <w:top w:val="none" w:sz="0" w:space="0" w:color="auto"/>
        <w:left w:val="none" w:sz="0" w:space="0" w:color="auto"/>
        <w:bottom w:val="none" w:sz="0" w:space="0" w:color="auto"/>
        <w:right w:val="none" w:sz="0" w:space="0" w:color="auto"/>
      </w:divBdr>
      <w:divsChild>
        <w:div w:id="1986856497">
          <w:marLeft w:val="0"/>
          <w:marRight w:val="0"/>
          <w:marTop w:val="0"/>
          <w:marBottom w:val="0"/>
          <w:divBdr>
            <w:top w:val="none" w:sz="0" w:space="0" w:color="auto"/>
            <w:left w:val="none" w:sz="0" w:space="0" w:color="auto"/>
            <w:bottom w:val="none" w:sz="0" w:space="0" w:color="auto"/>
            <w:right w:val="none" w:sz="0" w:space="0" w:color="auto"/>
          </w:divBdr>
          <w:divsChild>
            <w:div w:id="1841850098">
              <w:marLeft w:val="0"/>
              <w:marRight w:val="0"/>
              <w:marTop w:val="0"/>
              <w:marBottom w:val="0"/>
              <w:divBdr>
                <w:top w:val="none" w:sz="0" w:space="0" w:color="auto"/>
                <w:left w:val="none" w:sz="0" w:space="0" w:color="auto"/>
                <w:bottom w:val="none" w:sz="0" w:space="0" w:color="auto"/>
                <w:right w:val="none" w:sz="0" w:space="0" w:color="auto"/>
              </w:divBdr>
              <w:divsChild>
                <w:div w:id="1739085356">
                  <w:marLeft w:val="0"/>
                  <w:marRight w:val="0"/>
                  <w:marTop w:val="100"/>
                  <w:marBottom w:val="100"/>
                  <w:divBdr>
                    <w:top w:val="none" w:sz="0" w:space="0" w:color="auto"/>
                    <w:left w:val="none" w:sz="0" w:space="0" w:color="auto"/>
                    <w:bottom w:val="none" w:sz="0" w:space="0" w:color="auto"/>
                    <w:right w:val="none" w:sz="0" w:space="0" w:color="auto"/>
                  </w:divBdr>
                  <w:divsChild>
                    <w:div w:id="868835427">
                      <w:marLeft w:val="1"/>
                      <w:marRight w:val="1"/>
                      <w:marTop w:val="0"/>
                      <w:marBottom w:val="0"/>
                      <w:divBdr>
                        <w:top w:val="none" w:sz="0" w:space="0" w:color="auto"/>
                        <w:left w:val="none" w:sz="0" w:space="0" w:color="auto"/>
                        <w:bottom w:val="none" w:sz="0" w:space="0" w:color="auto"/>
                        <w:right w:val="none" w:sz="0" w:space="0" w:color="auto"/>
                      </w:divBdr>
                      <w:divsChild>
                        <w:div w:id="1669942719">
                          <w:marLeft w:val="-1"/>
                          <w:marRight w:val="-1"/>
                          <w:marTop w:val="0"/>
                          <w:marBottom w:val="0"/>
                          <w:divBdr>
                            <w:top w:val="none" w:sz="0" w:space="0" w:color="auto"/>
                            <w:left w:val="none" w:sz="0" w:space="0" w:color="auto"/>
                            <w:bottom w:val="none" w:sz="0" w:space="0" w:color="auto"/>
                            <w:right w:val="none" w:sz="0" w:space="0" w:color="auto"/>
                          </w:divBdr>
                          <w:divsChild>
                            <w:div w:id="683282692">
                              <w:marLeft w:val="0"/>
                              <w:marRight w:val="0"/>
                              <w:marTop w:val="0"/>
                              <w:marBottom w:val="600"/>
                              <w:divBdr>
                                <w:top w:val="none" w:sz="0" w:space="0" w:color="auto"/>
                                <w:left w:val="none" w:sz="0" w:space="0" w:color="auto"/>
                                <w:bottom w:val="none" w:sz="0" w:space="0" w:color="auto"/>
                                <w:right w:val="none" w:sz="0" w:space="0" w:color="auto"/>
                              </w:divBdr>
                              <w:divsChild>
                                <w:div w:id="19368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62643">
      <w:bodyDiv w:val="1"/>
      <w:marLeft w:val="0"/>
      <w:marRight w:val="0"/>
      <w:marTop w:val="0"/>
      <w:marBottom w:val="0"/>
      <w:divBdr>
        <w:top w:val="none" w:sz="0" w:space="0" w:color="auto"/>
        <w:left w:val="none" w:sz="0" w:space="0" w:color="auto"/>
        <w:bottom w:val="none" w:sz="0" w:space="0" w:color="auto"/>
        <w:right w:val="none" w:sz="0" w:space="0" w:color="auto"/>
      </w:divBdr>
      <w:divsChild>
        <w:div w:id="1349722319">
          <w:marLeft w:val="0"/>
          <w:marRight w:val="0"/>
          <w:marTop w:val="0"/>
          <w:marBottom w:val="0"/>
          <w:divBdr>
            <w:top w:val="none" w:sz="0" w:space="0" w:color="auto"/>
            <w:left w:val="none" w:sz="0" w:space="0" w:color="auto"/>
            <w:bottom w:val="none" w:sz="0" w:space="0" w:color="auto"/>
            <w:right w:val="none" w:sz="0" w:space="0" w:color="auto"/>
          </w:divBdr>
          <w:divsChild>
            <w:div w:id="1995524970">
              <w:marLeft w:val="0"/>
              <w:marRight w:val="0"/>
              <w:marTop w:val="0"/>
              <w:marBottom w:val="0"/>
              <w:divBdr>
                <w:top w:val="none" w:sz="0" w:space="0" w:color="auto"/>
                <w:left w:val="none" w:sz="0" w:space="0" w:color="auto"/>
                <w:bottom w:val="none" w:sz="0" w:space="0" w:color="auto"/>
                <w:right w:val="none" w:sz="0" w:space="0" w:color="auto"/>
              </w:divBdr>
              <w:divsChild>
                <w:div w:id="1998877680">
                  <w:marLeft w:val="0"/>
                  <w:marRight w:val="0"/>
                  <w:marTop w:val="100"/>
                  <w:marBottom w:val="100"/>
                  <w:divBdr>
                    <w:top w:val="none" w:sz="0" w:space="0" w:color="auto"/>
                    <w:left w:val="none" w:sz="0" w:space="0" w:color="auto"/>
                    <w:bottom w:val="none" w:sz="0" w:space="0" w:color="auto"/>
                    <w:right w:val="none" w:sz="0" w:space="0" w:color="auto"/>
                  </w:divBdr>
                  <w:divsChild>
                    <w:div w:id="657421236">
                      <w:marLeft w:val="1"/>
                      <w:marRight w:val="1"/>
                      <w:marTop w:val="0"/>
                      <w:marBottom w:val="0"/>
                      <w:divBdr>
                        <w:top w:val="none" w:sz="0" w:space="0" w:color="auto"/>
                        <w:left w:val="none" w:sz="0" w:space="0" w:color="auto"/>
                        <w:bottom w:val="none" w:sz="0" w:space="0" w:color="auto"/>
                        <w:right w:val="none" w:sz="0" w:space="0" w:color="auto"/>
                      </w:divBdr>
                      <w:divsChild>
                        <w:div w:id="5256817">
                          <w:marLeft w:val="-1"/>
                          <w:marRight w:val="-1"/>
                          <w:marTop w:val="0"/>
                          <w:marBottom w:val="0"/>
                          <w:divBdr>
                            <w:top w:val="none" w:sz="0" w:space="0" w:color="auto"/>
                            <w:left w:val="none" w:sz="0" w:space="0" w:color="auto"/>
                            <w:bottom w:val="none" w:sz="0" w:space="0" w:color="auto"/>
                            <w:right w:val="none" w:sz="0" w:space="0" w:color="auto"/>
                          </w:divBdr>
                          <w:divsChild>
                            <w:div w:id="3012708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s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1.FIS\AppData\Local\Temp\notes5C4E79\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ateOrder12 xmlns="da7a9ac0-bc47-4684-84e6-3a8e9ac80c12">false</SenateOrder12>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Reviewers xmlns="17f478ab-373e-4295-9ff0-9b833ad01319">
      <UserInfo>
        <DisplayName/>
        <AccountId xsi:nil="true"/>
        <AccountType/>
      </UserInfo>
    </Reviewers>
    <Approvers xmlns="17f478ab-373e-4295-9ff0-9b833ad01319">
      <UserInfo>
        <DisplayName/>
        <AccountId xsi:nil="true"/>
        <AccountType/>
      </UserInfo>
    </Approvers>
    <TaxCatchAll xmlns="e9348453-31dc-4ff8-a944-f262a0a992aa">
      <Value>6</Value>
      <Value>45</Value>
      <Value>35</Value>
    </TaxCatchAll>
    <SignificantFlag xmlns="da7a9ac0-bc47-4684-84e6-3a8e9ac80c12">false</SignificantFlag>
    <RecordNumber xmlns="da7a9ac0-bc47-4684-84e6-3a8e9ac80c12">R20160000137833</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 xmlns="http://schemas.microsoft.com/office/infopath/2007/PartnerControls">Fundraising</TermName>
          <TermId xmlns="http://schemas.microsoft.com/office/infopath/2007/PartnerControls">57247f8c-7a2c-4c30-b3fe-5e4b2518355f</TermId>
        </TermInfo>
      </Terms>
    </o6f7b05c02124a86ab66ebac6d22533a>
    <f81d19442bcb4ccea91b7b9f4cc7063b xmlns="da7a9ac0-bc47-4684-84e6-3a8e9ac80c12" xsi:nil="true"/>
    <ded95d7ab059406991d558011d18c177 xmlns="da7a9ac0-bc47-4684-84e6-3a8e9ac80c12" xsi:nil="true"/>
    <j13b61425a27404b97e911f7cc058c3a xmlns="da7a9ac0-bc47-4684-84e6-3a8e9ac80c12" xsi:nil="true"/>
    <k48e9257605e4fa884546a6d62c7455f xmlns="e9348453-31dc-4ff8-a944-f262a0a992aa">
      <Terms xmlns="http://schemas.microsoft.com/office/infopath/2007/PartnerControls"/>
    </k48e9257605e4fa884546a6d62c7455f>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 xmlns="http://schemas.microsoft.com/office/infopath/2007/PartnerControls">Draft information sheet / guidance</TermName>
          <TermId xmlns="http://schemas.microsoft.com/office/infopath/2007/PartnerControls">4033bbf5-a63e-4c78-b5db-d9e223685187</TermId>
        </TermInfo>
      </Terms>
    </be88c94b67ae4f5686cb52243c3cb97f>
    <NotesLinks xmlns="da7a9ac0-bc47-4684-84e6-3a8e9ac80c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7816A-FE39-43EA-B173-007FE8694F18}">
  <ds:schemaRefs>
    <ds:schemaRef ds:uri="http://schemas.microsoft.com/sharepoint/events"/>
  </ds:schemaRefs>
</ds:datastoreItem>
</file>

<file path=customXml/itemProps2.xml><?xml version="1.0" encoding="utf-8"?>
<ds:datastoreItem xmlns:ds="http://schemas.openxmlformats.org/officeDocument/2006/customXml" ds:itemID="{E6BA675F-BC3C-4CD0-80F5-C127E9E59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9348453-31dc-4ff8-a944-f262a0a992aa"/>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45ACF-C33F-494A-9442-12B5905E5817}">
  <ds:schemaRefs>
    <ds:schemaRef ds:uri="da7a9ac0-bc47-4684-84e6-3a8e9ac80c12"/>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e9348453-31dc-4ff8-a944-f262a0a992aa"/>
    <ds:schemaRef ds:uri="17f478ab-373e-4295-9ff0-9b833ad01319"/>
    <ds:schemaRef ds:uri="http://schemas.microsoft.com/office/2006/metadata/properties"/>
  </ds:schemaRefs>
</ds:datastoreItem>
</file>

<file path=customXml/itemProps4.xml><?xml version="1.0" encoding="utf-8"?>
<ds:datastoreItem xmlns:ds="http://schemas.openxmlformats.org/officeDocument/2006/customXml" ds:itemID="{9807BD16-3D79-4C68-B689-3F07A15D5350}">
  <ds:schemaRefs>
    <ds:schemaRef ds:uri="http://schemas.microsoft.com/sharepoint/v3/contenttype/forms"/>
  </ds:schemaRefs>
</ds:datastoreItem>
</file>

<file path=customXml/itemProps5.xml><?xml version="1.0" encoding="utf-8"?>
<ds:datastoreItem xmlns:ds="http://schemas.openxmlformats.org/officeDocument/2006/customXml" ds:itemID="{E24CB1B4-A7B9-43E0-91EB-E8AE9271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0</TotalTime>
  <Pages>8</Pages>
  <Words>2697</Words>
  <Characters>14443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michael.jukes</dc:creator>
  <cp:lastModifiedBy>michael.jukes</cp:lastModifiedBy>
  <cp:revision>3</cp:revision>
  <cp:lastPrinted>2015-06-22T02:02:00Z</cp:lastPrinted>
  <dcterms:created xsi:type="dcterms:W3CDTF">2016-03-11T01:49:00Z</dcterms:created>
  <dcterms:modified xsi:type="dcterms:W3CDTF">2016-03-11T02:53:00Z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B965938</vt:lpwstr>
  </property>
  <property fmtid="{D5CDD505-2E9C-101B-9397-08002B2CF9AE}" pid="4" name="Objective-Title">
    <vt:lpwstr>Explanatory Statement - ASIC Corporations (Consent to include statements in regulated documents) Instrument 2015</vt:lpwstr>
  </property>
  <property fmtid="{D5CDD505-2E9C-101B-9397-08002B2CF9AE}" pid="5" name="Objective-Comment">
    <vt:lpwstr>
    </vt:lpwstr>
  </property>
  <property fmtid="{D5CDD505-2E9C-101B-9397-08002B2CF9AE}" pid="6" name="Objective-CreationStamp">
    <vt:filetime>2015-05-27T06:18:34Z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2015-06-22T02:31:31Z</vt:filetime>
  </property>
  <property fmtid="{D5CDD505-2E9C-101B-9397-08002B2CF9AE}" pid="10" name="Objective-ModificationStamp">
    <vt:filetime>2015-11-05T03:43:23Z</vt:filetime>
  </property>
  <property fmtid="{D5CDD505-2E9C-101B-9397-08002B2CF9AE}" pid="11" name="Objective-Owner">
    <vt:lpwstr>Joshua Fisher</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10</vt:i4>
  </property>
  <property fmtid="{D5CDD505-2E9C-101B-9397-08002B2CF9AE}" pid="17" name="Objective-VersionComment">
    <vt:lpwstr>
    </vt:lpwstr>
  </property>
  <property fmtid="{D5CDD505-2E9C-101B-9397-08002B2CF9AE}" pid="18" name="Objective-FileNumber">
    <vt:lpwstr>2014 - 002281</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Order">
    <vt:r8>13500</vt:r8>
  </property>
  <property fmtid="{D5CDD505-2E9C-101B-9397-08002B2CF9AE}" pid="23" name="MailAttachments">
    <vt:bool>false</vt:bool>
  </property>
  <property fmtid="{D5CDD505-2E9C-101B-9397-08002B2CF9AE}" pid="24" name="ContentTypeId">
    <vt:lpwstr>0x010100B5F685A1365F544391EF8C813B164F3A4500EE62F54289E0A64A971A02886F5F2428</vt:lpwstr>
  </property>
  <property fmtid="{D5CDD505-2E9C-101B-9397-08002B2CF9AE}" pid="25" name="SecurityClassification">
    <vt:lpwstr>6;#Sensitive|19fd2cb8-3e97-4464-ae71-8c2c2095d028</vt:lpwstr>
  </property>
  <property fmtid="{D5CDD505-2E9C-101B-9397-08002B2CF9AE}" pid="26" name="Project Subject Matter">
    <vt:lpwstr>35;#Fundraising|57247f8c-7a2c-4c30-b3fe-5e4b2518355f</vt:lpwstr>
  </property>
  <property fmtid="{D5CDD505-2E9C-101B-9397-08002B2CF9AE}" pid="27" name="Corps_x0020_and_x0020_EMR_x0020_Project_x0020_Category">
    <vt:lpwstr/>
  </property>
  <property fmtid="{D5CDD505-2E9C-101B-9397-08002B2CF9AE}" pid="28" name="Coprs and EMR Project Document Type">
    <vt:lpwstr>45;#Draft information sheet / guidance|4033bbf5-a63e-4c78-b5db-d9e223685187</vt:lpwstr>
  </property>
  <property fmtid="{D5CDD505-2E9C-101B-9397-08002B2CF9AE}" pid="29" name="Corps and EMR Project Category">
    <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{38ef6e34-0d88-4db0-9fee-0a83d20c5c2c}</vt:lpwstr>
  </property>
  <property fmtid="{D5CDD505-2E9C-101B-9397-08002B2CF9AE}" pid="35" name="RecordPoint_RecordNumberSubmitted">
    <vt:lpwstr>R20160000137833</vt:lpwstr>
  </property>
  <property fmtid="{D5CDD505-2E9C-101B-9397-08002B2CF9AE}" pid="36" name="IconOverlay">
    <vt:lpwstr/>
  </property>
  <property fmtid="{D5CDD505-2E9C-101B-9397-08002B2CF9AE}" pid="37" name="RecordPoint_SubmissionCompleted">
    <vt:lpwstr>2016-03-10T04:16:18.7970349+11:00</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