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5CF2" w14:textId="77777777" w:rsidR="0060691A" w:rsidRDefault="0060691A" w:rsidP="0060691A">
      <w:pPr>
        <w:pStyle w:val="Title"/>
        <w:spacing w:after="0"/>
      </w:pPr>
      <w:bookmarkStart w:id="0" w:name="_GoBack"/>
      <w:bookmarkEnd w:id="0"/>
    </w:p>
    <w:p w14:paraId="78556350" w14:textId="77777777" w:rsidR="0060691A" w:rsidRDefault="0060691A" w:rsidP="0060691A">
      <w:pPr>
        <w:pStyle w:val="Title"/>
        <w:spacing w:after="0"/>
      </w:pPr>
    </w:p>
    <w:p w14:paraId="7ECFE520" w14:textId="77777777" w:rsidR="0060691A" w:rsidRDefault="0060691A" w:rsidP="0060691A">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p>
    <w:p w14:paraId="08960BF7" w14:textId="603D728C" w:rsidR="0060691A" w:rsidRDefault="0060691A" w:rsidP="0060691A">
      <w:pPr>
        <w:spacing w:after="0"/>
        <w:jc w:val="center"/>
        <w:rPr>
          <w:b/>
          <w:color w:val="000000"/>
          <w:spacing w:val="-1"/>
          <w:sz w:val="28"/>
        </w:rPr>
      </w:pPr>
      <w:r>
        <w:rPr>
          <w:b/>
          <w:color w:val="000000"/>
          <w:spacing w:val="-1"/>
          <w:sz w:val="28"/>
        </w:rPr>
        <w:br/>
        <w:t>ASIC CORPORATIONS (</w:t>
      </w:r>
      <w:r w:rsidR="00545194">
        <w:rPr>
          <w:b/>
          <w:color w:val="000000"/>
          <w:spacing w:val="-1"/>
          <w:sz w:val="28"/>
        </w:rPr>
        <w:t>SALE OFFERS: SECURITIES ISSUE</w:t>
      </w:r>
      <w:r w:rsidR="00DA02B3">
        <w:rPr>
          <w:b/>
          <w:color w:val="000000"/>
          <w:spacing w:val="-1"/>
          <w:sz w:val="28"/>
        </w:rPr>
        <w:t>D ON CONVERSION OF CONVERTIBLE</w:t>
      </w:r>
      <w:r w:rsidR="00545194">
        <w:rPr>
          <w:b/>
          <w:color w:val="000000"/>
          <w:spacing w:val="-1"/>
          <w:sz w:val="28"/>
        </w:rPr>
        <w:t xml:space="preserve"> NOTES) INSTRUMENT 2016/82</w:t>
      </w:r>
      <w:r>
        <w:rPr>
          <w:b/>
          <w:color w:val="000000"/>
          <w:spacing w:val="-1"/>
          <w:sz w:val="28"/>
        </w:rPr>
        <w:t xml:space="preserve"> </w:t>
      </w:r>
    </w:p>
    <w:p w14:paraId="7F55C8A3" w14:textId="77777777" w:rsidR="0060691A" w:rsidRDefault="0060691A" w:rsidP="0060691A">
      <w:pPr>
        <w:spacing w:after="0"/>
        <w:jc w:val="center"/>
        <w:rPr>
          <w:sz w:val="28"/>
          <w:szCs w:val="28"/>
        </w:rPr>
      </w:pPr>
    </w:p>
    <w:p w14:paraId="18FF011D" w14:textId="77777777" w:rsidR="0060691A" w:rsidRDefault="0060691A" w:rsidP="0060691A">
      <w:pPr>
        <w:pStyle w:val="BodyText"/>
        <w:spacing w:before="0" w:line="240" w:lineRule="auto"/>
        <w:jc w:val="center"/>
      </w:pPr>
      <w:r>
        <w:t>Prepared by the Australian Securities and Investments Commission</w:t>
      </w:r>
    </w:p>
    <w:p w14:paraId="09DA7E98" w14:textId="77777777" w:rsidR="0060691A" w:rsidRDefault="0060691A" w:rsidP="0060691A">
      <w:pPr>
        <w:spacing w:after="0"/>
        <w:jc w:val="center"/>
      </w:pPr>
    </w:p>
    <w:p w14:paraId="1E374485" w14:textId="77777777" w:rsidR="0060691A" w:rsidRDefault="0060691A" w:rsidP="0060691A">
      <w:pPr>
        <w:spacing w:after="0"/>
        <w:jc w:val="center"/>
        <w:rPr>
          <w:sz w:val="24"/>
          <w:szCs w:val="24"/>
        </w:rPr>
      </w:pPr>
      <w:r>
        <w:rPr>
          <w:i/>
          <w:sz w:val="24"/>
        </w:rPr>
        <w:t>Corporations Act 2001</w:t>
      </w:r>
    </w:p>
    <w:p w14:paraId="494C57BD" w14:textId="77777777" w:rsidR="0060691A" w:rsidRDefault="0060691A" w:rsidP="0060691A">
      <w:pPr>
        <w:spacing w:after="0"/>
      </w:pPr>
    </w:p>
    <w:p w14:paraId="3CD7DEFE" w14:textId="2E3B9B87" w:rsidR="00DA02B3" w:rsidRPr="00DA02B3" w:rsidRDefault="0060691A" w:rsidP="00DA02B3">
      <w:pPr>
        <w:pStyle w:val="BodyText"/>
        <w:rPr>
          <w:color w:val="000000"/>
          <w:spacing w:val="-1"/>
        </w:rPr>
      </w:pPr>
      <w:r>
        <w:t xml:space="preserve">The Australian Securities and </w:t>
      </w:r>
      <w:r>
        <w:rPr>
          <w:spacing w:val="-1"/>
        </w:rPr>
        <w:t>Investments</w:t>
      </w:r>
      <w:r>
        <w:t xml:space="preserve"> </w:t>
      </w:r>
      <w:r>
        <w:rPr>
          <w:spacing w:val="-1"/>
        </w:rPr>
        <w:t>Commission</w:t>
      </w:r>
      <w:r>
        <w:t xml:space="preserve"> (</w:t>
      </w:r>
      <w:r w:rsidRPr="00765D90">
        <w:rPr>
          <w:b/>
          <w:i/>
        </w:rPr>
        <w:t>ASIC</w:t>
      </w:r>
      <w:r>
        <w:t xml:space="preserve">) </w:t>
      </w:r>
      <w:r>
        <w:rPr>
          <w:spacing w:val="-1"/>
        </w:rPr>
        <w:t>makes</w:t>
      </w:r>
      <w:r>
        <w:t xml:space="preserve"> </w:t>
      </w:r>
      <w:r w:rsidRPr="00765D90">
        <w:t>ASIC Corporations (</w:t>
      </w:r>
      <w:r w:rsidR="00545194">
        <w:t>Sale Offers: Securities Issued on Conversion of Convertible Notes</w:t>
      </w:r>
      <w:r w:rsidRPr="00765D90">
        <w:t>) Instrument 2016</w:t>
      </w:r>
      <w:r>
        <w:t>/</w:t>
      </w:r>
      <w:r w:rsidR="00545194">
        <w:t>82</w:t>
      </w:r>
      <w:r w:rsidRPr="00765D90">
        <w:rPr>
          <w:color w:val="000000"/>
          <w:spacing w:val="-1"/>
        </w:rPr>
        <w:t xml:space="preserve"> </w:t>
      </w:r>
      <w:r>
        <w:rPr>
          <w:color w:val="000000"/>
          <w:spacing w:val="-1"/>
        </w:rPr>
        <w:t>under</w:t>
      </w:r>
      <w:r w:rsidR="00DA02B3" w:rsidRPr="00DA02B3">
        <w:rPr>
          <w:color w:val="000000"/>
          <w:spacing w:val="-1"/>
        </w:rPr>
        <w:t xml:space="preserve"> s741</w:t>
      </w:r>
      <w:r w:rsidR="00DA02B3">
        <w:rPr>
          <w:color w:val="000000"/>
          <w:spacing w:val="-1"/>
        </w:rPr>
        <w:t xml:space="preserve"> </w:t>
      </w:r>
      <w:r w:rsidR="00DA02B3" w:rsidRPr="00DA02B3">
        <w:rPr>
          <w:color w:val="000000"/>
          <w:spacing w:val="-1"/>
        </w:rPr>
        <w:t xml:space="preserve">and s1020F of the Corporations Act 2001 (the </w:t>
      </w:r>
      <w:r w:rsidR="00DA02B3" w:rsidRPr="00B57F56">
        <w:rPr>
          <w:b/>
          <w:i/>
          <w:color w:val="000000"/>
          <w:spacing w:val="-1"/>
        </w:rPr>
        <w:t>Act</w:t>
      </w:r>
      <w:r w:rsidR="00DA02B3" w:rsidRPr="00DA02B3">
        <w:rPr>
          <w:color w:val="000000"/>
          <w:spacing w:val="-1"/>
        </w:rPr>
        <w:t>).</w:t>
      </w:r>
    </w:p>
    <w:p w14:paraId="4AC77D26" w14:textId="77777777" w:rsidR="00DA02B3" w:rsidRDefault="00DA02B3" w:rsidP="00DA02B3">
      <w:pPr>
        <w:pStyle w:val="BodyText"/>
        <w:spacing w:before="0" w:line="240" w:lineRule="auto"/>
        <w:rPr>
          <w:color w:val="000000"/>
          <w:spacing w:val="-1"/>
        </w:rPr>
      </w:pPr>
    </w:p>
    <w:p w14:paraId="77C2A5D5" w14:textId="3F685BE4" w:rsidR="0060691A" w:rsidRDefault="00DA02B3" w:rsidP="00DA02B3">
      <w:pPr>
        <w:pStyle w:val="BodyText"/>
        <w:spacing w:before="0" w:line="240" w:lineRule="auto"/>
      </w:pPr>
      <w:r w:rsidRPr="00DA02B3">
        <w:rPr>
          <w:color w:val="000000"/>
          <w:spacing w:val="-1"/>
        </w:rPr>
        <w:t>Paragraph 741(1)(b) provides that ASIC may declare that Chapter 6D of the Act applies to a person as if specified provisions were omitted, modified or varied as specified in the declaration. Paragraph 1020F(1)(c) provides that ASIC may declare that Part 7.9 of the Act applies in relation to a person or a financial product, or a class of persons or financial products, as if specified provisions were omitted, modified or varied as specified in the declaration.</w:t>
      </w:r>
    </w:p>
    <w:p w14:paraId="0160E607" w14:textId="77777777" w:rsidR="0060691A" w:rsidRDefault="0060691A" w:rsidP="0060691A">
      <w:pPr>
        <w:spacing w:after="0"/>
      </w:pPr>
    </w:p>
    <w:p w14:paraId="7D654194" w14:textId="77777777" w:rsidR="0060691A" w:rsidRDefault="0060691A" w:rsidP="0060691A">
      <w:pPr>
        <w:widowControl w:val="0"/>
        <w:numPr>
          <w:ilvl w:val="0"/>
          <w:numId w:val="1"/>
        </w:numPr>
        <w:tabs>
          <w:tab w:val="left" w:pos="567"/>
        </w:tabs>
        <w:spacing w:after="0"/>
        <w:ind w:left="0" w:firstLine="0"/>
        <w:rPr>
          <w:rFonts w:ascii="Arial" w:eastAsia="Arial" w:hAnsi="Arial" w:cs="Arial"/>
          <w:sz w:val="24"/>
          <w:szCs w:val="24"/>
        </w:rPr>
      </w:pPr>
      <w:bookmarkStart w:id="1" w:name="1._Background"/>
      <w:bookmarkEnd w:id="1"/>
      <w:r>
        <w:rPr>
          <w:rFonts w:ascii="Arial"/>
          <w:b/>
          <w:spacing w:val="-1"/>
          <w:sz w:val="24"/>
        </w:rPr>
        <w:t>Background</w:t>
      </w:r>
    </w:p>
    <w:p w14:paraId="3091BCF5" w14:textId="77777777" w:rsidR="0060691A" w:rsidRDefault="0060691A" w:rsidP="0060691A">
      <w:pPr>
        <w:spacing w:after="0"/>
      </w:pPr>
    </w:p>
    <w:p w14:paraId="620AE17D" w14:textId="77777777" w:rsidR="0060691A" w:rsidRDefault="0060691A" w:rsidP="0060691A">
      <w:pPr>
        <w:pStyle w:val="BodyText"/>
        <w:spacing w:before="0" w:line="240" w:lineRule="auto"/>
      </w:pPr>
      <w:r w:rsidRPr="00FD4C5E">
        <w:t>Chapter 6D of the Act establishes the statutory regime applying to fundraising through the offer of securities for issue or sale in Australia. It addresses the circumstances in which a person offering securities for issue or sale must lodge a disclosure document with ASIC and the relevant form, content and procedural requirements applying to th</w:t>
      </w:r>
      <w:r>
        <w:t>at</w:t>
      </w:r>
      <w:r w:rsidRPr="00FD4C5E">
        <w:t xml:space="preserve"> disclosure document. Chapter 6D also sets out certain prohibited conduct in relation to fundraising activity and outlines the circumstances in and extent to which persons may be liable for defective disclosure documents. Chapter 6D also provides certain statutory remedies for investors.</w:t>
      </w:r>
    </w:p>
    <w:p w14:paraId="5679541F" w14:textId="77777777" w:rsidR="0060691A" w:rsidRDefault="0060691A" w:rsidP="0060691A">
      <w:pPr>
        <w:pStyle w:val="BodyText"/>
        <w:spacing w:before="0" w:line="240" w:lineRule="auto"/>
      </w:pPr>
    </w:p>
    <w:p w14:paraId="3D90A2EB" w14:textId="6C8827C9" w:rsidR="0060691A" w:rsidRDefault="0060691A" w:rsidP="0060691A">
      <w:pPr>
        <w:pStyle w:val="BodyText"/>
        <w:spacing w:before="0" w:line="240" w:lineRule="auto"/>
      </w:pPr>
      <w:r w:rsidRPr="005B2DF0">
        <w:t xml:space="preserve">Class Order </w:t>
      </w:r>
      <w:r w:rsidR="00E25791">
        <w:t>[CO 10/322</w:t>
      </w:r>
      <w:r w:rsidRPr="005B2DF0">
        <w:t>]</w:t>
      </w:r>
      <w:r w:rsidR="009F1E05">
        <w:t xml:space="preserve"> </w:t>
      </w:r>
      <w:r w:rsidR="009F1E05" w:rsidRPr="009F1E05">
        <w:rPr>
          <w:i/>
        </w:rPr>
        <w:t>On-sale for convertible notes issued to wholesale investors</w:t>
      </w:r>
      <w:r w:rsidR="009F1E05">
        <w:t xml:space="preserve"> </w:t>
      </w:r>
      <w:r w:rsidR="00E25791">
        <w:t xml:space="preserve">provides relief in relation to </w:t>
      </w:r>
      <w:r w:rsidR="00E25791" w:rsidRPr="00E25791">
        <w:t>offers of convertible notes</w:t>
      </w:r>
      <w:r w:rsidR="00E25791">
        <w:t xml:space="preserve"> that</w:t>
      </w:r>
      <w:r w:rsidR="00E25791" w:rsidRPr="00E25791">
        <w:t xml:space="preserve"> do not require a prospectus</w:t>
      </w:r>
      <w:r w:rsidR="00E25791">
        <w:t xml:space="preserve"> (for example, because they </w:t>
      </w:r>
      <w:r w:rsidR="00E25791" w:rsidRPr="00E25791">
        <w:t>are only marketed to wholesale or institutional investors</w:t>
      </w:r>
      <w:r w:rsidR="00E25791">
        <w:t>)</w:t>
      </w:r>
      <w:r w:rsidR="00EA02DD">
        <w:t>,</w:t>
      </w:r>
      <w:r w:rsidR="00E25791" w:rsidRPr="00E25791">
        <w:t xml:space="preserve"> so that the underlying quoted securities </w:t>
      </w:r>
      <w:r w:rsidR="00EA02DD">
        <w:t xml:space="preserve">issued on conversion </w:t>
      </w:r>
      <w:r w:rsidR="00E25791" w:rsidRPr="00E25791">
        <w:t xml:space="preserve">can be </w:t>
      </w:r>
      <w:r w:rsidR="009F1E05">
        <w:t xml:space="preserve">freely </w:t>
      </w:r>
      <w:r w:rsidR="00E25791" w:rsidRPr="00E25791">
        <w:t xml:space="preserve">on-sold </w:t>
      </w:r>
      <w:r w:rsidR="00E25791">
        <w:t>without a prospectus or PDS.</w:t>
      </w:r>
    </w:p>
    <w:p w14:paraId="70C6D45B" w14:textId="77777777" w:rsidR="0060691A" w:rsidRDefault="0060691A" w:rsidP="0060691A">
      <w:pPr>
        <w:pStyle w:val="BodyText"/>
        <w:spacing w:before="0" w:line="240" w:lineRule="auto"/>
      </w:pPr>
    </w:p>
    <w:p w14:paraId="16CD8FBC" w14:textId="322677BA" w:rsidR="0060691A" w:rsidRPr="00765D90" w:rsidRDefault="0060691A" w:rsidP="0060691A">
      <w:pPr>
        <w:pStyle w:val="BodyText"/>
        <w:spacing w:before="0" w:line="240" w:lineRule="auto"/>
      </w:pPr>
      <w:r>
        <w:t xml:space="preserve">ASIC has recently reviewed the policy underlying Class Order [CO </w:t>
      </w:r>
      <w:r w:rsidR="00E25791">
        <w:t>10/322</w:t>
      </w:r>
      <w:r>
        <w:t xml:space="preserve">] as part of a wider review of class orders relating to the fundraising provisions in Chapter 6D and considers that the relief in this class order is still both necessary and appropriate. Accordingly, ASIC has decided to reissue the relief underlying Class Order [CO </w:t>
      </w:r>
      <w:r w:rsidR="00E25791">
        <w:t>10/322</w:t>
      </w:r>
      <w:r>
        <w:t xml:space="preserve">] in </w:t>
      </w:r>
      <w:r w:rsidRPr="00765D90">
        <w:t>ASIC Corporations (</w:t>
      </w:r>
      <w:r w:rsidR="00545194">
        <w:t>Sale Offers: Securities Issued on Conversion of Convertible Notes</w:t>
      </w:r>
      <w:r w:rsidRPr="00765D90">
        <w:t>) Instrument 2016/</w:t>
      </w:r>
      <w:r w:rsidR="00545194">
        <w:t>82</w:t>
      </w:r>
      <w:r w:rsidRPr="00765D90">
        <w:t>.</w:t>
      </w:r>
    </w:p>
    <w:p w14:paraId="670FEFB1" w14:textId="77777777" w:rsidR="0060691A" w:rsidRDefault="0060691A" w:rsidP="0060691A">
      <w:pPr>
        <w:pStyle w:val="BodyText"/>
        <w:spacing w:before="0" w:line="240" w:lineRule="auto"/>
      </w:pPr>
    </w:p>
    <w:p w14:paraId="696B55AE" w14:textId="0059FDC3" w:rsidR="0060691A" w:rsidRDefault="0060691A" w:rsidP="0060691A">
      <w:pPr>
        <w:pStyle w:val="BodyText"/>
        <w:spacing w:before="0" w:line="240" w:lineRule="auto"/>
      </w:pPr>
      <w:r w:rsidRPr="00765D90">
        <w:t xml:space="preserve">The </w:t>
      </w:r>
      <w:r w:rsidRPr="00765D90">
        <w:rPr>
          <w:i/>
        </w:rPr>
        <w:t>Legislation Act 2003</w:t>
      </w:r>
      <w:r w:rsidRPr="00765D90">
        <w:t xml:space="preserve"> (the </w:t>
      </w:r>
      <w:r w:rsidRPr="00765D90">
        <w:rPr>
          <w:b/>
          <w:i/>
        </w:rPr>
        <w:t>LA</w:t>
      </w:r>
      <w:r w:rsidRPr="00765D90">
        <w:t>) provides for the periodic expiry of legislative instruments (‘</w:t>
      </w:r>
      <w:proofErr w:type="spellStart"/>
      <w:r w:rsidRPr="00765D90">
        <w:t>sunsetting</w:t>
      </w:r>
      <w:proofErr w:type="spellEnd"/>
      <w:r w:rsidRPr="00765D90">
        <w:t xml:space="preserve">’) to ensure that they are kept up to date and only remain in force for as long as they are needed. </w:t>
      </w:r>
      <w:r>
        <w:t xml:space="preserve">Class Order [CO </w:t>
      </w:r>
      <w:r w:rsidR="00E25791">
        <w:t>10/322</w:t>
      </w:r>
      <w:r>
        <w:t>], being a legislative instrument, was</w:t>
      </w:r>
      <w:r w:rsidRPr="00765D90">
        <w:t xml:space="preserve"> scheduled to eventually expire under the </w:t>
      </w:r>
      <w:proofErr w:type="spellStart"/>
      <w:r w:rsidRPr="00765D90">
        <w:t>s</w:t>
      </w:r>
      <w:r>
        <w:t>unsetting</w:t>
      </w:r>
      <w:proofErr w:type="spellEnd"/>
      <w:r>
        <w:t xml:space="preserve"> provisions of the LA. </w:t>
      </w:r>
    </w:p>
    <w:p w14:paraId="55C2E221" w14:textId="77777777" w:rsidR="0060691A" w:rsidRDefault="0060691A" w:rsidP="0060691A">
      <w:pPr>
        <w:pStyle w:val="BodyText"/>
        <w:spacing w:before="0" w:line="240" w:lineRule="auto"/>
      </w:pPr>
    </w:p>
    <w:p w14:paraId="3069F7BD" w14:textId="06BBDBF9" w:rsidR="0060691A" w:rsidRDefault="0060691A" w:rsidP="0060691A">
      <w:pPr>
        <w:pStyle w:val="BodyText"/>
        <w:spacing w:before="0" w:line="240" w:lineRule="auto"/>
      </w:pPr>
      <w:r w:rsidRPr="00765D90">
        <w:lastRenderedPageBreak/>
        <w:t xml:space="preserve">ASIC’s review of the policy underlying </w:t>
      </w:r>
      <w:r>
        <w:t xml:space="preserve">Class Order [CO </w:t>
      </w:r>
      <w:r w:rsidR="00E25791">
        <w:t>10/322</w:t>
      </w:r>
      <w:r>
        <w:t xml:space="preserve">] — and subsequent decision to reissue the relief — has provided an opportunity to deal with this imminent expiry and ensure that the relevant relief will continue to be available. </w:t>
      </w:r>
    </w:p>
    <w:p w14:paraId="6C51C8C7" w14:textId="77777777" w:rsidR="0060691A" w:rsidRDefault="0060691A" w:rsidP="0060691A">
      <w:pPr>
        <w:pStyle w:val="BodyText"/>
        <w:spacing w:before="0" w:line="240" w:lineRule="auto"/>
      </w:pPr>
    </w:p>
    <w:p w14:paraId="18906033" w14:textId="2B20489E" w:rsidR="0060691A" w:rsidRDefault="0060691A" w:rsidP="0060691A">
      <w:pPr>
        <w:pStyle w:val="BodyText"/>
        <w:spacing w:before="0" w:line="240" w:lineRule="auto"/>
      </w:pPr>
      <w:r w:rsidRPr="00765D90">
        <w:t xml:space="preserve">Under ASIC Corporations (Repeal) Instrument 2016/171, </w:t>
      </w:r>
      <w:r>
        <w:t>ASIC has revoked Class Order [CO </w:t>
      </w:r>
      <w:r w:rsidR="00E25791">
        <w:t>10/322</w:t>
      </w:r>
      <w:r>
        <w:t xml:space="preserve">] effective from the date that </w:t>
      </w:r>
      <w:r w:rsidRPr="00765D90">
        <w:t>ASIC Corporations (</w:t>
      </w:r>
      <w:r w:rsidR="00545194">
        <w:t>Sale Offers: Securities Issued on Conversion of Convertible Notes</w:t>
      </w:r>
      <w:r w:rsidRPr="00765D90">
        <w:t>) Instrument 2016/</w:t>
      </w:r>
      <w:r w:rsidR="00545194">
        <w:t>82</w:t>
      </w:r>
      <w:r w:rsidRPr="00765D90">
        <w:t xml:space="preserve"> </w:t>
      </w:r>
      <w:r>
        <w:t>commences.</w:t>
      </w:r>
    </w:p>
    <w:p w14:paraId="75C73933" w14:textId="77777777" w:rsidR="0060691A" w:rsidRDefault="0060691A" w:rsidP="0060691A">
      <w:pPr>
        <w:spacing w:after="0"/>
        <w:rPr>
          <w:sz w:val="24"/>
          <w:szCs w:val="24"/>
        </w:rPr>
      </w:pPr>
    </w:p>
    <w:p w14:paraId="76EA4DF6" w14:textId="77777777" w:rsidR="0060691A" w:rsidRDefault="0060691A" w:rsidP="0060691A">
      <w:pPr>
        <w:widowControl w:val="0"/>
        <w:numPr>
          <w:ilvl w:val="0"/>
          <w:numId w:val="1"/>
        </w:numPr>
        <w:tabs>
          <w:tab w:val="left" w:pos="567"/>
        </w:tabs>
        <w:spacing w:after="0"/>
        <w:ind w:left="0" w:firstLine="0"/>
        <w:rPr>
          <w:rFonts w:ascii="Arial"/>
          <w:b/>
          <w:spacing w:val="-1"/>
          <w:sz w:val="24"/>
        </w:rPr>
      </w:pPr>
      <w:bookmarkStart w:id="2" w:name="2._Purpose_of_the_class_order_"/>
      <w:bookmarkEnd w:id="2"/>
      <w:r w:rsidRPr="000F53C8">
        <w:rPr>
          <w:rFonts w:ascii="Arial"/>
          <w:b/>
          <w:spacing w:val="-1"/>
          <w:sz w:val="24"/>
        </w:rPr>
        <w:t>Purpose of the instrument</w:t>
      </w:r>
    </w:p>
    <w:p w14:paraId="15BDE0EA" w14:textId="77777777" w:rsidR="0060691A" w:rsidRDefault="0060691A" w:rsidP="0060691A">
      <w:pPr>
        <w:widowControl w:val="0"/>
        <w:tabs>
          <w:tab w:val="left" w:pos="1413"/>
        </w:tabs>
        <w:spacing w:after="0"/>
        <w:ind w:left="851"/>
        <w:rPr>
          <w:rFonts w:ascii="Arial"/>
          <w:b/>
        </w:rPr>
      </w:pPr>
    </w:p>
    <w:p w14:paraId="4F5FBE72" w14:textId="1ED45167" w:rsidR="00EA02DD" w:rsidRDefault="00EA02DD" w:rsidP="00EA02DD">
      <w:pPr>
        <w:pStyle w:val="BodyText"/>
      </w:pPr>
      <w:bookmarkStart w:id="3" w:name="Insert_a_level_3_heading_"/>
      <w:bookmarkEnd w:id="3"/>
      <w:r w:rsidRPr="00EA02DD">
        <w:t xml:space="preserve">ASIC Corporations </w:t>
      </w:r>
      <w:r>
        <w:t>(Sale Offers: Securities Issued on Conversion of Convertible Notes</w:t>
      </w:r>
      <w:r w:rsidRPr="00765D90">
        <w:t>) Instrument 2016/</w:t>
      </w:r>
      <w:r>
        <w:t>82</w:t>
      </w:r>
      <w:r w:rsidRPr="00765D90">
        <w:t xml:space="preserve"> </w:t>
      </w:r>
      <w:r>
        <w:t>incorporates the</w:t>
      </w:r>
      <w:r w:rsidRPr="00EA02DD">
        <w:t xml:space="preserve"> relief previously provided in [CO </w:t>
      </w:r>
      <w:r w:rsidR="009F1E05">
        <w:t>10/322</w:t>
      </w:r>
      <w:r w:rsidRPr="00EA02DD">
        <w:t>]</w:t>
      </w:r>
      <w:r w:rsidR="00FB309C">
        <w:t xml:space="preserve">. </w:t>
      </w:r>
      <w:r w:rsidRPr="00EA02DD">
        <w:t xml:space="preserve">The instrument </w:t>
      </w:r>
      <w:r>
        <w:t>grants relief from the on-sale provisions of the Act so that the quoted securities underlying convertible notes can be on-sold without a prospectus if a cleansing notice containing prospectus-like disclosure is provided to the relevant market operator at the time the convertible notes are issued.</w:t>
      </w:r>
      <w:r w:rsidR="003F6B24">
        <w:t xml:space="preserve"> </w:t>
      </w:r>
    </w:p>
    <w:p w14:paraId="398F532D" w14:textId="6629F573" w:rsidR="00E25791" w:rsidRDefault="00EA02DD" w:rsidP="00E25791">
      <w:pPr>
        <w:pStyle w:val="BodyText"/>
      </w:pPr>
      <w:r>
        <w:t xml:space="preserve">In the absence of relief, </w:t>
      </w:r>
      <w:r w:rsidR="00D36E46">
        <w:t>a</w:t>
      </w:r>
      <w:r w:rsidR="00AE187E">
        <w:t xml:space="preserve">n </w:t>
      </w:r>
      <w:r w:rsidR="00E25791">
        <w:t>issuer’s ability to issue convertible notes to institutional investors is limited by the fact that the underlying securities may generally only be on-sold within 12 months if the issuer provides:</w:t>
      </w:r>
    </w:p>
    <w:p w14:paraId="301DD61E" w14:textId="3F6FD6BD" w:rsidR="00AE187E" w:rsidRDefault="00E25791" w:rsidP="00AE187E">
      <w:pPr>
        <w:pStyle w:val="BodyText"/>
        <w:numPr>
          <w:ilvl w:val="0"/>
          <w:numId w:val="4"/>
        </w:numPr>
        <w:tabs>
          <w:tab w:val="clear" w:pos="680"/>
        </w:tabs>
        <w:ind w:left="567" w:hanging="567"/>
      </w:pPr>
      <w:r>
        <w:t>a transaction-specific prospectus in relation to the convertible notes; or</w:t>
      </w:r>
    </w:p>
    <w:p w14:paraId="408DD3DF" w14:textId="77777777" w:rsidR="00AE187E" w:rsidRDefault="00AE187E" w:rsidP="00AE187E">
      <w:pPr>
        <w:pStyle w:val="BodyText"/>
        <w:tabs>
          <w:tab w:val="clear" w:pos="680"/>
        </w:tabs>
        <w:spacing w:before="0" w:line="240" w:lineRule="auto"/>
        <w:ind w:left="567"/>
      </w:pPr>
    </w:p>
    <w:p w14:paraId="6DC8CC62" w14:textId="1C05E93B" w:rsidR="0060691A" w:rsidRDefault="00E25791" w:rsidP="00AE187E">
      <w:pPr>
        <w:pStyle w:val="BodyText"/>
        <w:numPr>
          <w:ilvl w:val="0"/>
          <w:numId w:val="4"/>
        </w:numPr>
        <w:tabs>
          <w:tab w:val="clear" w:pos="680"/>
        </w:tabs>
        <w:spacing w:before="0" w:line="240" w:lineRule="auto"/>
        <w:ind w:left="567" w:hanging="567"/>
      </w:pPr>
      <w:r>
        <w:t>a cleansing notice on each conversion.</w:t>
      </w:r>
    </w:p>
    <w:p w14:paraId="71C97879" w14:textId="2BE4A9C9" w:rsidR="00D36E46" w:rsidRDefault="00D36E46" w:rsidP="00D36E46">
      <w:pPr>
        <w:pStyle w:val="BodyText"/>
      </w:pPr>
      <w:r>
        <w:t>The need to prepare a specific prospectus so that the underlying quoted securities can be on-sold may act as an impediment to entities that wish to raise funds by issuing convertible notes to wholesale investors</w:t>
      </w:r>
      <w:r w:rsidR="009F1E05">
        <w:t xml:space="preserve"> or in circumstances that would not otherwise require prospectus disclosure.</w:t>
      </w:r>
      <w:r>
        <w:t xml:space="preserve"> </w:t>
      </w:r>
    </w:p>
    <w:p w14:paraId="42F972F2" w14:textId="1C1A7997" w:rsidR="00E25791" w:rsidRDefault="00AE187E" w:rsidP="00FA32AA">
      <w:pPr>
        <w:pStyle w:val="BodyText"/>
      </w:pPr>
      <w:r>
        <w:t xml:space="preserve">ASIC considers that </w:t>
      </w:r>
      <w:r w:rsidR="00E25791">
        <w:t xml:space="preserve">relief </w:t>
      </w:r>
      <w:r>
        <w:t xml:space="preserve">facilitates </w:t>
      </w:r>
      <w:r w:rsidR="003F6B24">
        <w:t>entities issuing</w:t>
      </w:r>
      <w:r w:rsidR="00E25791">
        <w:t xml:space="preserve"> convertible notes without undermining protection for re</w:t>
      </w:r>
      <w:r w:rsidR="00D36E46">
        <w:t xml:space="preserve">tail investors. This is because </w:t>
      </w:r>
      <w:r w:rsidR="00E25791">
        <w:t xml:space="preserve">no relief is provided in relation to </w:t>
      </w:r>
      <w:r w:rsidR="009F1E05">
        <w:t xml:space="preserve">the </w:t>
      </w:r>
      <w:r w:rsidR="00E25791">
        <w:t xml:space="preserve">issue or on-sale of convertible notes—it is only the underlying quoted securities </w:t>
      </w:r>
      <w:r w:rsidR="009F1E05">
        <w:t>for which on-sale relief is provided</w:t>
      </w:r>
      <w:r w:rsidR="00D36E46">
        <w:t>.</w:t>
      </w:r>
      <w:r w:rsidR="00FA32AA">
        <w:t xml:space="preserve"> In addition, </w:t>
      </w:r>
      <w:r w:rsidR="002D6CB8">
        <w:t xml:space="preserve">as </w:t>
      </w:r>
      <w:r w:rsidR="00FA32AA">
        <w:t>the issuer will be subject to continuous disclosure obligations</w:t>
      </w:r>
      <w:r w:rsidR="002D6CB8">
        <w:t>,</w:t>
      </w:r>
      <w:r w:rsidR="00FA32AA">
        <w:t xml:space="preserve"> </w:t>
      </w:r>
      <w:r w:rsidR="009F1E05">
        <w:t xml:space="preserve">and there will be prospectus-like disclosure at the time the convertible notes are issued, </w:t>
      </w:r>
      <w:r w:rsidR="00FA32AA">
        <w:t>the market should receive sufficient information about the convertible notes and the underlying quoted securities.</w:t>
      </w:r>
    </w:p>
    <w:p w14:paraId="15EBBE5A" w14:textId="77777777" w:rsidR="00E25791" w:rsidRDefault="00E25791" w:rsidP="00E25791">
      <w:pPr>
        <w:pStyle w:val="BodyText"/>
        <w:spacing w:before="0" w:line="240" w:lineRule="auto"/>
      </w:pPr>
    </w:p>
    <w:p w14:paraId="4B55CEF3" w14:textId="77777777" w:rsidR="0060691A" w:rsidRPr="00552150" w:rsidRDefault="0060691A" w:rsidP="0060691A">
      <w:pPr>
        <w:widowControl w:val="0"/>
        <w:numPr>
          <w:ilvl w:val="0"/>
          <w:numId w:val="1"/>
        </w:numPr>
        <w:tabs>
          <w:tab w:val="left" w:pos="567"/>
        </w:tabs>
        <w:spacing w:after="0"/>
        <w:ind w:left="0" w:firstLine="0"/>
        <w:rPr>
          <w:rFonts w:ascii="Arial"/>
          <w:b/>
          <w:spacing w:val="-1"/>
          <w:sz w:val="24"/>
        </w:rPr>
      </w:pPr>
      <w:bookmarkStart w:id="4" w:name="3._Operation_of_the_class_order_"/>
      <w:bookmarkEnd w:id="4"/>
      <w:r w:rsidRPr="000F53C8">
        <w:rPr>
          <w:rFonts w:ascii="Arial"/>
          <w:b/>
          <w:spacing w:val="-1"/>
          <w:sz w:val="24"/>
        </w:rPr>
        <w:t>Operation</w:t>
      </w:r>
      <w:r w:rsidRPr="00552150">
        <w:rPr>
          <w:rFonts w:ascii="Arial"/>
          <w:b/>
          <w:spacing w:val="-1"/>
          <w:sz w:val="24"/>
        </w:rPr>
        <w:t xml:space="preserve"> of the instrument</w:t>
      </w:r>
    </w:p>
    <w:p w14:paraId="35F12A27" w14:textId="77777777" w:rsidR="0060691A" w:rsidRDefault="0060691A" w:rsidP="0060691A">
      <w:pPr>
        <w:spacing w:after="0"/>
      </w:pPr>
    </w:p>
    <w:p w14:paraId="6D9E8DDE" w14:textId="3EB769B3" w:rsidR="00E25791" w:rsidRPr="00E25791" w:rsidRDefault="002D6CB8" w:rsidP="00E25791">
      <w:pPr>
        <w:spacing w:after="0"/>
        <w:rPr>
          <w:sz w:val="24"/>
          <w:lang w:eastAsia="en-US"/>
        </w:rPr>
      </w:pPr>
      <w:r w:rsidRPr="002D6CB8">
        <w:rPr>
          <w:sz w:val="24"/>
          <w:lang w:eastAsia="en-US"/>
        </w:rPr>
        <w:t>ASIC Corporations (Sale Offers: Securities Issued on Conversion of Convertible Notes) Instrument 2016/82</w:t>
      </w:r>
      <w:r>
        <w:rPr>
          <w:sz w:val="24"/>
          <w:lang w:eastAsia="en-US"/>
        </w:rPr>
        <w:t xml:space="preserve"> </w:t>
      </w:r>
      <w:r w:rsidR="00E25791" w:rsidRPr="00E25791">
        <w:rPr>
          <w:sz w:val="24"/>
          <w:lang w:eastAsia="en-US"/>
        </w:rPr>
        <w:t xml:space="preserve">modifies the Act so that persons who have been issued convertible notes will not be required to prepare a prospectus or PDS where they on-sell the underlying quoted securities (once </w:t>
      </w:r>
      <w:r w:rsidR="00320AE1">
        <w:rPr>
          <w:sz w:val="24"/>
          <w:lang w:eastAsia="en-US"/>
        </w:rPr>
        <w:t xml:space="preserve">converted), </w:t>
      </w:r>
      <w:r w:rsidR="00E25791" w:rsidRPr="00E25791">
        <w:rPr>
          <w:sz w:val="24"/>
          <w:lang w:eastAsia="en-US"/>
        </w:rPr>
        <w:t>where certain requirements are met, including:</w:t>
      </w:r>
    </w:p>
    <w:p w14:paraId="505BC4D1" w14:textId="23DD4CE1" w:rsidR="0009100B" w:rsidRPr="0009100B" w:rsidRDefault="00E25791" w:rsidP="0009100B">
      <w:pPr>
        <w:spacing w:after="0"/>
        <w:rPr>
          <w:sz w:val="24"/>
          <w:lang w:eastAsia="en-US"/>
        </w:rPr>
      </w:pPr>
      <w:r w:rsidRPr="00E25791">
        <w:rPr>
          <w:sz w:val="24"/>
          <w:lang w:eastAsia="en-US"/>
        </w:rPr>
        <w:t xml:space="preserve"> </w:t>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r w:rsidR="0009100B" w:rsidRPr="0009100B">
        <w:rPr>
          <w:sz w:val="24"/>
          <w:lang w:eastAsia="en-US"/>
        </w:rPr>
        <w:tab/>
      </w:r>
    </w:p>
    <w:p w14:paraId="77E9F4C1" w14:textId="34019D1E" w:rsidR="00E25791" w:rsidRDefault="00E25791" w:rsidP="00320AE1">
      <w:pPr>
        <w:pStyle w:val="ListParagraph"/>
        <w:numPr>
          <w:ilvl w:val="0"/>
          <w:numId w:val="6"/>
        </w:numPr>
        <w:spacing w:after="0"/>
        <w:ind w:left="567" w:hanging="567"/>
        <w:rPr>
          <w:sz w:val="24"/>
          <w:lang w:eastAsia="en-US"/>
        </w:rPr>
      </w:pPr>
      <w:r w:rsidRPr="00320AE1">
        <w:rPr>
          <w:sz w:val="24"/>
          <w:lang w:eastAsia="en-US"/>
        </w:rPr>
        <w:t>the underlying securities are continuously quoted securities, and were issued by reason of the conversion of convertible notes;</w:t>
      </w:r>
    </w:p>
    <w:p w14:paraId="2BFD6CDD" w14:textId="77777777" w:rsidR="00320AE1" w:rsidRDefault="00320AE1" w:rsidP="00320AE1">
      <w:pPr>
        <w:pStyle w:val="ListParagraph"/>
        <w:spacing w:after="0"/>
        <w:ind w:left="567"/>
        <w:rPr>
          <w:sz w:val="24"/>
          <w:lang w:eastAsia="en-US"/>
        </w:rPr>
      </w:pPr>
    </w:p>
    <w:p w14:paraId="121A53A1" w14:textId="77777777" w:rsidR="0009100B" w:rsidRDefault="00E25791" w:rsidP="00320AE1">
      <w:pPr>
        <w:pStyle w:val="ListParagraph"/>
        <w:numPr>
          <w:ilvl w:val="0"/>
          <w:numId w:val="6"/>
        </w:numPr>
        <w:spacing w:after="0"/>
        <w:ind w:left="567" w:hanging="567"/>
        <w:rPr>
          <w:sz w:val="24"/>
          <w:lang w:eastAsia="en-US"/>
        </w:rPr>
      </w:pPr>
      <w:r w:rsidRPr="00320AE1">
        <w:rPr>
          <w:sz w:val="24"/>
          <w:lang w:eastAsia="en-US"/>
        </w:rPr>
        <w:lastRenderedPageBreak/>
        <w:t xml:space="preserve">trading in the relevant class of underlying securities has not been suspended for more than five days in the 12 months prior to the first issue of the convertible notes; </w:t>
      </w:r>
    </w:p>
    <w:p w14:paraId="37BA773A" w14:textId="77777777" w:rsidR="0009100B" w:rsidRDefault="0009100B" w:rsidP="0009100B">
      <w:pPr>
        <w:pStyle w:val="ListParagraph"/>
        <w:spacing w:after="0"/>
        <w:ind w:left="567"/>
        <w:rPr>
          <w:sz w:val="24"/>
          <w:lang w:eastAsia="en-US"/>
        </w:rPr>
      </w:pPr>
    </w:p>
    <w:p w14:paraId="4A7AF965" w14:textId="309F4739" w:rsidR="00E25791" w:rsidRDefault="0009100B" w:rsidP="00320AE1">
      <w:pPr>
        <w:pStyle w:val="ListParagraph"/>
        <w:numPr>
          <w:ilvl w:val="0"/>
          <w:numId w:val="6"/>
        </w:numPr>
        <w:spacing w:after="0"/>
        <w:ind w:left="567" w:hanging="567"/>
        <w:rPr>
          <w:sz w:val="24"/>
          <w:lang w:eastAsia="en-US"/>
        </w:rPr>
      </w:pPr>
      <w:r w:rsidRPr="0009100B">
        <w:rPr>
          <w:sz w:val="24"/>
          <w:lang w:eastAsia="en-US"/>
        </w:rPr>
        <w:t>prior to the issue of the convertible notes, the issuer of the convertible notes gives the relevant market operator a notice that contains certain information, including prospectus-</w:t>
      </w:r>
      <w:r w:rsidR="00B769D5">
        <w:rPr>
          <w:sz w:val="24"/>
          <w:lang w:eastAsia="en-US"/>
        </w:rPr>
        <w:t xml:space="preserve">like </w:t>
      </w:r>
      <w:r w:rsidRPr="0009100B">
        <w:rPr>
          <w:sz w:val="24"/>
          <w:lang w:eastAsia="en-US"/>
        </w:rPr>
        <w:t>disclosures for the convertible notes and t</w:t>
      </w:r>
      <w:r>
        <w:rPr>
          <w:sz w:val="24"/>
          <w:lang w:eastAsia="en-US"/>
        </w:rPr>
        <w:t xml:space="preserve">he underlying quoted securities; </w:t>
      </w:r>
      <w:r w:rsidR="00E25791" w:rsidRPr="00320AE1">
        <w:rPr>
          <w:sz w:val="24"/>
          <w:lang w:eastAsia="en-US"/>
        </w:rPr>
        <w:t>and</w:t>
      </w:r>
    </w:p>
    <w:p w14:paraId="5B327528" w14:textId="77777777" w:rsidR="00320AE1" w:rsidRDefault="00320AE1" w:rsidP="00320AE1">
      <w:pPr>
        <w:pStyle w:val="ListParagraph"/>
        <w:spacing w:after="0"/>
        <w:ind w:left="567"/>
        <w:rPr>
          <w:sz w:val="24"/>
          <w:lang w:eastAsia="en-US"/>
        </w:rPr>
      </w:pPr>
    </w:p>
    <w:p w14:paraId="0F2DD95C" w14:textId="4CC0F89D" w:rsidR="00E25791" w:rsidRPr="00320AE1" w:rsidRDefault="00E25791" w:rsidP="00320AE1">
      <w:pPr>
        <w:pStyle w:val="ListParagraph"/>
        <w:numPr>
          <w:ilvl w:val="0"/>
          <w:numId w:val="6"/>
        </w:numPr>
        <w:spacing w:after="0"/>
        <w:ind w:left="567" w:hanging="567"/>
        <w:rPr>
          <w:sz w:val="24"/>
          <w:lang w:eastAsia="en-US"/>
        </w:rPr>
      </w:pPr>
      <w:r w:rsidRPr="00320AE1">
        <w:rPr>
          <w:sz w:val="24"/>
          <w:lang w:eastAsia="en-US"/>
        </w:rPr>
        <w:t>ASIC has not made certain determinations to prevent an issuer from relying on its relief.</w:t>
      </w:r>
    </w:p>
    <w:p w14:paraId="53FCAD7E" w14:textId="657DC87C" w:rsidR="0060691A" w:rsidRDefault="0060691A" w:rsidP="00B769D5">
      <w:pPr>
        <w:tabs>
          <w:tab w:val="left" w:pos="1215"/>
        </w:tabs>
        <w:spacing w:after="0"/>
        <w:rPr>
          <w:sz w:val="24"/>
          <w:lang w:eastAsia="en-US"/>
        </w:rPr>
      </w:pPr>
    </w:p>
    <w:p w14:paraId="569677C6" w14:textId="0613AE0F" w:rsidR="00B769D5" w:rsidRDefault="00B769D5" w:rsidP="00B769D5">
      <w:pPr>
        <w:tabs>
          <w:tab w:val="left" w:pos="1215"/>
        </w:tabs>
        <w:spacing w:after="0"/>
        <w:rPr>
          <w:sz w:val="24"/>
          <w:lang w:eastAsia="en-US"/>
        </w:rPr>
      </w:pPr>
      <w:r w:rsidRPr="00B769D5">
        <w:rPr>
          <w:sz w:val="24"/>
          <w:lang w:eastAsia="en-US"/>
        </w:rPr>
        <w:t>In the period that the convertible notes are on issue, the issuer's annual financial reports will be required to include information on: the number of underlying securities issued during the financial year as a result of conversion and the average conversion price paid for those securities; the number of convertible notes that remain on issue at the end of the year (and the issuer's remaining liability to make payments on those securities); and any other matters relating to the notes that holders of the issuer’s enhanced disclosure securities would reasonably require to make an informed assessment of the issuer’s financial position and its prospects for future financial years. The annual report may omit material that would otherwise need to be included in relation to the issuer's prospects for future financial years if it is likely to result in unreasonable prejudice to the issuer.</w:t>
      </w:r>
    </w:p>
    <w:p w14:paraId="3264998A" w14:textId="77777777" w:rsidR="00B769D5" w:rsidRPr="0009100B" w:rsidRDefault="00B769D5" w:rsidP="00B769D5">
      <w:pPr>
        <w:tabs>
          <w:tab w:val="left" w:pos="1215"/>
        </w:tabs>
        <w:spacing w:after="0"/>
        <w:rPr>
          <w:sz w:val="24"/>
          <w:lang w:eastAsia="en-US"/>
        </w:rPr>
      </w:pPr>
    </w:p>
    <w:p w14:paraId="1F989271" w14:textId="77777777" w:rsidR="0060691A" w:rsidRPr="00552150" w:rsidRDefault="0060691A" w:rsidP="0060691A">
      <w:pPr>
        <w:widowControl w:val="0"/>
        <w:numPr>
          <w:ilvl w:val="0"/>
          <w:numId w:val="1"/>
        </w:numPr>
        <w:tabs>
          <w:tab w:val="left" w:pos="567"/>
        </w:tabs>
        <w:spacing w:after="0"/>
        <w:ind w:left="0" w:firstLine="0"/>
        <w:rPr>
          <w:rFonts w:ascii="Arial"/>
          <w:b/>
          <w:spacing w:val="-1"/>
          <w:sz w:val="24"/>
        </w:rPr>
      </w:pPr>
      <w:bookmarkStart w:id="5" w:name="4._Documents_incorporated_by_reference"/>
      <w:bookmarkStart w:id="6" w:name="5._Consultation"/>
      <w:bookmarkEnd w:id="5"/>
      <w:bookmarkEnd w:id="6"/>
      <w:r w:rsidRPr="00552150">
        <w:rPr>
          <w:rFonts w:ascii="Arial"/>
          <w:b/>
          <w:spacing w:val="-1"/>
          <w:sz w:val="24"/>
        </w:rPr>
        <w:t>Consultation</w:t>
      </w:r>
    </w:p>
    <w:p w14:paraId="3B36C075" w14:textId="77777777" w:rsidR="0060691A" w:rsidRDefault="0060691A" w:rsidP="0060691A">
      <w:pPr>
        <w:spacing w:after="0"/>
      </w:pPr>
    </w:p>
    <w:p w14:paraId="3E822651" w14:textId="594D7B5A" w:rsidR="0060691A" w:rsidRPr="00320AA0" w:rsidRDefault="0060691A" w:rsidP="0060691A">
      <w:pPr>
        <w:pStyle w:val="BodyText"/>
        <w:tabs>
          <w:tab w:val="left" w:pos="0"/>
        </w:tabs>
        <w:spacing w:before="0" w:line="240" w:lineRule="auto"/>
        <w:rPr>
          <w:szCs w:val="24"/>
        </w:rPr>
      </w:pPr>
      <w:r w:rsidRPr="00320AA0">
        <w:rPr>
          <w:szCs w:val="24"/>
        </w:rPr>
        <w:t xml:space="preserve">On 17 September 2015 ASIC released CP 239 </w:t>
      </w:r>
      <w:r w:rsidRPr="00320AA0">
        <w:rPr>
          <w:i/>
          <w:szCs w:val="24"/>
        </w:rPr>
        <w:t>Disclosure documents: Update to ASIC instruments and guidance</w:t>
      </w:r>
      <w:r w:rsidRPr="00320AA0">
        <w:rPr>
          <w:szCs w:val="24"/>
        </w:rPr>
        <w:t xml:space="preserve"> (</w:t>
      </w:r>
      <w:r w:rsidRPr="00320AA0">
        <w:rPr>
          <w:b/>
          <w:i/>
          <w:szCs w:val="24"/>
        </w:rPr>
        <w:t>CP 239</w:t>
      </w:r>
      <w:r w:rsidRPr="00320AA0">
        <w:rPr>
          <w:szCs w:val="24"/>
        </w:rPr>
        <w:t xml:space="preserve">) seeking feedback on proposals to update and consolidate a number of regulatory guides relating to </w:t>
      </w:r>
      <w:proofErr w:type="spellStart"/>
      <w:r w:rsidRPr="00320AA0">
        <w:rPr>
          <w:szCs w:val="24"/>
        </w:rPr>
        <w:t>Ch</w:t>
      </w:r>
      <w:proofErr w:type="spellEnd"/>
      <w:r w:rsidRPr="00320AA0">
        <w:rPr>
          <w:szCs w:val="24"/>
        </w:rPr>
        <w:t xml:space="preserve"> 6D of the Act. CP 239 also sought feedback on proposals to reissue the legislative instruments associated with ASIC’s updated guidance (i</w:t>
      </w:r>
      <w:r>
        <w:rPr>
          <w:szCs w:val="24"/>
        </w:rPr>
        <w:t xml:space="preserve">ncluding </w:t>
      </w:r>
      <w:r w:rsidR="0009100B">
        <w:t>Class Order [CO 10/322</w:t>
      </w:r>
      <w:r w:rsidRPr="00320AA0">
        <w:rPr>
          <w:szCs w:val="24"/>
        </w:rPr>
        <w:t>]) and to make legislative instruments addressing some discrete policy issues. The consultation period closed on 27 November 2015.</w:t>
      </w:r>
    </w:p>
    <w:p w14:paraId="2204B4CA" w14:textId="77777777" w:rsidR="0060691A" w:rsidRPr="00320AA0" w:rsidRDefault="0060691A" w:rsidP="0060691A">
      <w:pPr>
        <w:pStyle w:val="BodyText"/>
        <w:tabs>
          <w:tab w:val="left" w:pos="0"/>
        </w:tabs>
        <w:spacing w:before="0" w:line="240" w:lineRule="auto"/>
        <w:rPr>
          <w:szCs w:val="24"/>
        </w:rPr>
      </w:pPr>
    </w:p>
    <w:p w14:paraId="2998682D" w14:textId="77777777" w:rsidR="0060691A" w:rsidRPr="00320AA0" w:rsidRDefault="0060691A" w:rsidP="0060691A">
      <w:pPr>
        <w:pStyle w:val="BodyText"/>
        <w:tabs>
          <w:tab w:val="left" w:pos="0"/>
        </w:tabs>
        <w:spacing w:before="0" w:line="240" w:lineRule="auto"/>
        <w:rPr>
          <w:szCs w:val="24"/>
        </w:rPr>
      </w:pPr>
      <w:r w:rsidRPr="00320AA0">
        <w:rPr>
          <w:szCs w:val="24"/>
        </w:rPr>
        <w:t xml:space="preserve">ASIC received four submissions in response to CP 239. Details of the submissions are contained in REP 473 </w:t>
      </w:r>
      <w:r w:rsidRPr="00320AA0">
        <w:rPr>
          <w:i/>
          <w:szCs w:val="24"/>
        </w:rPr>
        <w:t>Response to submissions on CP 239 Disclosure documents: updates to ASIC instruments and guidance</w:t>
      </w:r>
      <w:r w:rsidRPr="00320AA0">
        <w:rPr>
          <w:szCs w:val="24"/>
        </w:rPr>
        <w:t xml:space="preserve"> which is available on ASIC’s website at www.asic.gov.au.</w:t>
      </w:r>
    </w:p>
    <w:p w14:paraId="56E14210" w14:textId="77777777" w:rsidR="0060691A" w:rsidRPr="00320AA0" w:rsidRDefault="0060691A" w:rsidP="0060691A">
      <w:pPr>
        <w:pStyle w:val="BodyText"/>
        <w:tabs>
          <w:tab w:val="left" w:pos="0"/>
        </w:tabs>
        <w:spacing w:before="0" w:line="240" w:lineRule="auto"/>
        <w:rPr>
          <w:szCs w:val="24"/>
        </w:rPr>
      </w:pPr>
    </w:p>
    <w:p w14:paraId="1AB0571A" w14:textId="222B23A8" w:rsidR="0060691A" w:rsidRPr="0045638C" w:rsidRDefault="0060691A" w:rsidP="0060691A">
      <w:pPr>
        <w:pStyle w:val="BodyText"/>
        <w:tabs>
          <w:tab w:val="left" w:pos="0"/>
        </w:tabs>
        <w:spacing w:before="0" w:line="240" w:lineRule="auto"/>
        <w:rPr>
          <w:szCs w:val="24"/>
        </w:rPr>
      </w:pPr>
      <w:r w:rsidRPr="00320AA0">
        <w:rPr>
          <w:szCs w:val="24"/>
        </w:rPr>
        <w:t>Notwithstanding ASIC’s consultation, ASIC considers that ASIC Corporations (</w:t>
      </w:r>
      <w:r w:rsidR="00545194">
        <w:rPr>
          <w:szCs w:val="24"/>
        </w:rPr>
        <w:t>Sale Offers: Securities Issued on Conversion of Convertible Notes</w:t>
      </w:r>
      <w:r w:rsidRPr="00320AA0">
        <w:rPr>
          <w:szCs w:val="24"/>
        </w:rPr>
        <w:t>) Instrument 2016/</w:t>
      </w:r>
      <w:r w:rsidR="00545194">
        <w:rPr>
          <w:szCs w:val="24"/>
        </w:rPr>
        <w:t>82</w:t>
      </w:r>
      <w:r w:rsidRPr="00320AA0">
        <w:rPr>
          <w:szCs w:val="24"/>
        </w:rPr>
        <w:t xml:space="preserve"> is of a minor or machinery nature and does not substantially alter existing arrangements</w:t>
      </w:r>
      <w:r w:rsidRPr="0045638C">
        <w:rPr>
          <w:szCs w:val="24"/>
        </w:rPr>
        <w:t>.</w:t>
      </w:r>
    </w:p>
    <w:p w14:paraId="7A0A3A83" w14:textId="77777777" w:rsidR="0060691A" w:rsidRDefault="0060691A" w:rsidP="0060691A">
      <w:pPr>
        <w:pStyle w:val="Bodytextplain"/>
        <w:spacing w:before="0" w:line="240" w:lineRule="auto"/>
        <w:sectPr w:rsidR="0060691A"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p>
    <w:bookmarkStart w:id="7" w:name="_Toc402519910"/>
    <w:bookmarkEnd w:id="7"/>
    <w:p w14:paraId="7573AB06" w14:textId="77777777" w:rsidR="0060691A" w:rsidRDefault="0060691A" w:rsidP="0060691A">
      <w:pPr>
        <w:spacing w:after="0"/>
      </w:pPr>
      <w:r>
        <w:rPr>
          <w:noProof/>
        </w:rPr>
        <w:lastRenderedPageBreak/>
        <mc:AlternateContent>
          <mc:Choice Requires="wps">
            <w:drawing>
              <wp:anchor distT="0" distB="0" distL="114300" distR="114300" simplePos="0" relativeHeight="251658240" behindDoc="0" locked="0" layoutInCell="1" allowOverlap="1" wp14:anchorId="2EB03121" wp14:editId="38598ECA">
                <wp:simplePos x="0" y="0"/>
                <wp:positionH relativeFrom="column">
                  <wp:posOffset>19050</wp:posOffset>
                </wp:positionH>
                <wp:positionV relativeFrom="paragraph">
                  <wp:posOffset>209550</wp:posOffset>
                </wp:positionV>
                <wp:extent cx="5311140" cy="730567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305675"/>
                        </a:xfrm>
                        <a:prstGeom prst="rect">
                          <a:avLst/>
                        </a:prstGeom>
                        <a:solidFill>
                          <a:srgbClr val="FFFFFF"/>
                        </a:solidFill>
                        <a:ln w="76200" cmpd="tri">
                          <a:solidFill>
                            <a:srgbClr val="000000"/>
                          </a:solidFill>
                          <a:miter lim="800000"/>
                          <a:headEnd/>
                          <a:tailEnd/>
                        </a:ln>
                      </wps:spPr>
                      <wps:txbx>
                        <w:txbxContent>
                          <w:p w14:paraId="3D123B30" w14:textId="77777777" w:rsidR="0060691A" w:rsidRPr="00834797" w:rsidRDefault="0060691A" w:rsidP="0060691A">
                            <w:pPr>
                              <w:spacing w:before="360" w:after="120"/>
                              <w:jc w:val="center"/>
                              <w:rPr>
                                <w:b/>
                              </w:rPr>
                            </w:pPr>
                            <w:r w:rsidRPr="00834797">
                              <w:rPr>
                                <w:b/>
                              </w:rPr>
                              <w:t>Statement of Compatibility with Human Rights</w:t>
                            </w:r>
                          </w:p>
                          <w:p w14:paraId="7F7569CA" w14:textId="77777777" w:rsidR="0060691A" w:rsidRDefault="0060691A" w:rsidP="0060691A">
                            <w:pPr>
                              <w:spacing w:after="0"/>
                              <w:jc w:val="center"/>
                              <w:rPr>
                                <w:i/>
                              </w:rPr>
                            </w:pPr>
                            <w:r w:rsidRPr="00247F54">
                              <w:rPr>
                                <w:i/>
                              </w:rPr>
                              <w:t>Prepared in accordance with Part 3 of the Human Rights (Parliamentary</w:t>
                            </w:r>
                          </w:p>
                          <w:p w14:paraId="566863EA" w14:textId="77777777" w:rsidR="0060691A" w:rsidRPr="00247F54" w:rsidRDefault="0060691A" w:rsidP="0060691A">
                            <w:pPr>
                              <w:spacing w:after="0"/>
                              <w:jc w:val="center"/>
                            </w:pPr>
                            <w:r w:rsidRPr="00247F54">
                              <w:rPr>
                                <w:i/>
                              </w:rPr>
                              <w:t>Scrutiny) Act 2011</w:t>
                            </w:r>
                          </w:p>
                          <w:p w14:paraId="7DCDF9AC" w14:textId="77777777" w:rsidR="0060691A" w:rsidRPr="00247F54" w:rsidRDefault="0060691A" w:rsidP="0060691A">
                            <w:pPr>
                              <w:spacing w:before="120" w:after="120"/>
                              <w:jc w:val="center"/>
                            </w:pPr>
                          </w:p>
                          <w:p w14:paraId="61F02A60" w14:textId="6475BE41" w:rsidR="0060691A" w:rsidRPr="00A15644" w:rsidRDefault="0060691A" w:rsidP="0060691A">
                            <w:pPr>
                              <w:spacing w:before="120" w:after="120"/>
                              <w:jc w:val="center"/>
                              <w:rPr>
                                <w:b/>
                              </w:rPr>
                            </w:pPr>
                            <w:r w:rsidRPr="00A15644">
                              <w:rPr>
                                <w:b/>
                              </w:rPr>
                              <w:t>ASIC Corporations (</w:t>
                            </w:r>
                            <w:r w:rsidR="00545194">
                              <w:rPr>
                                <w:b/>
                              </w:rPr>
                              <w:t>Sale Offers: Securities Issued on Conversion of Convertible Notes</w:t>
                            </w:r>
                            <w:r>
                              <w:rPr>
                                <w:b/>
                              </w:rPr>
                              <w:t>) Instrument 2016/</w:t>
                            </w:r>
                            <w:r w:rsidR="00545194">
                              <w:rPr>
                                <w:b/>
                              </w:rPr>
                              <w:t>82</w:t>
                            </w:r>
                          </w:p>
                          <w:p w14:paraId="55969E7C" w14:textId="77777777" w:rsidR="0060691A" w:rsidRPr="0000317B" w:rsidRDefault="0060691A" w:rsidP="0060691A">
                            <w:pPr>
                              <w:spacing w:before="120" w:after="120"/>
                              <w:jc w:val="center"/>
                            </w:pPr>
                          </w:p>
                          <w:p w14:paraId="0E4ACD52" w14:textId="5EBFA26E" w:rsidR="0060691A" w:rsidRDefault="0060691A" w:rsidP="00B769D5">
                            <w:pPr>
                              <w:spacing w:before="120" w:after="120"/>
                              <w:jc w:val="both"/>
                            </w:pPr>
                            <w:r w:rsidRPr="0000317B">
                              <w:t>ASIC Corporations (</w:t>
                            </w:r>
                            <w:r w:rsidR="00545194">
                              <w:t>Sale Offers: Securities Issued on Conversion of Convertible Notes</w:t>
                            </w:r>
                            <w:r w:rsidRPr="0000317B">
                              <w:t>) Instrument 2016</w:t>
                            </w:r>
                            <w:r>
                              <w:t>/</w:t>
                            </w:r>
                            <w:r w:rsidR="00545194">
                              <w:t>82</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66B38732" w14:textId="77777777" w:rsidR="0060691A" w:rsidRPr="00247F54" w:rsidRDefault="0060691A" w:rsidP="0060691A">
                            <w:pPr>
                              <w:spacing w:before="120" w:after="120"/>
                              <w:jc w:val="center"/>
                            </w:pPr>
                          </w:p>
                          <w:p w14:paraId="10568327" w14:textId="77777777" w:rsidR="0060691A" w:rsidRPr="00247F54" w:rsidRDefault="0060691A" w:rsidP="0060691A">
                            <w:pPr>
                              <w:spacing w:before="120" w:after="120"/>
                              <w:jc w:val="both"/>
                              <w:rPr>
                                <w:b/>
                              </w:rPr>
                            </w:pPr>
                            <w:r w:rsidRPr="00247F54">
                              <w:rPr>
                                <w:b/>
                              </w:rPr>
                              <w:t>Overview</w:t>
                            </w:r>
                          </w:p>
                          <w:p w14:paraId="61F2178D" w14:textId="53C74198" w:rsidR="0060691A" w:rsidRDefault="0060691A" w:rsidP="0060691A">
                            <w:pPr>
                              <w:spacing w:before="120" w:after="120"/>
                            </w:pPr>
                            <w:r>
                              <w:t xml:space="preserve">The legislative instrument </w:t>
                            </w:r>
                            <w:r w:rsidR="00B769D5">
                              <w:t xml:space="preserve">modifies s9, 708A and 1012DA </w:t>
                            </w:r>
                            <w:r w:rsidR="0009100B" w:rsidRPr="0009100B">
                              <w:t>of the</w:t>
                            </w:r>
                            <w:r w:rsidR="0009100B">
                              <w:t xml:space="preserve"> </w:t>
                            </w:r>
                            <w:r w:rsidR="0009100B" w:rsidRPr="0009100B">
                              <w:rPr>
                                <w:i/>
                              </w:rPr>
                              <w:t>Corporations Act 2001</w:t>
                            </w:r>
                            <w:r w:rsidR="0009100B">
                              <w:t xml:space="preserve"> </w:t>
                            </w:r>
                            <w:r w:rsidR="0009100B" w:rsidRPr="0009100B">
                              <w:t>so that the quoted securities underlying convertible notes can be on-sold without a prospectus if a cleansing notice containing prospectus-like disclosure is provided to the relevant market operator at the time the convertible notes are issued.</w:t>
                            </w:r>
                          </w:p>
                          <w:p w14:paraId="1F7E78C1" w14:textId="77777777" w:rsidR="0060691A" w:rsidRPr="00883DB6" w:rsidRDefault="0060691A" w:rsidP="0060691A">
                            <w:pPr>
                              <w:spacing w:before="120" w:after="120"/>
                            </w:pPr>
                          </w:p>
                          <w:p w14:paraId="51EB599B" w14:textId="77777777" w:rsidR="0060691A" w:rsidRPr="00247F54" w:rsidRDefault="0060691A" w:rsidP="0060691A">
                            <w:pPr>
                              <w:spacing w:before="120" w:after="120"/>
                              <w:rPr>
                                <w:b/>
                              </w:rPr>
                            </w:pPr>
                            <w:r w:rsidRPr="00247F54">
                              <w:rPr>
                                <w:b/>
                              </w:rPr>
                              <w:t>Human rights implications</w:t>
                            </w:r>
                          </w:p>
                          <w:p w14:paraId="4CD972D0" w14:textId="77777777" w:rsidR="0060691A" w:rsidRPr="00247F54" w:rsidRDefault="0060691A" w:rsidP="0060691A">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D1677CB" w14:textId="77777777" w:rsidR="0060691A" w:rsidRPr="00247F54" w:rsidRDefault="0060691A" w:rsidP="0060691A">
                            <w:pPr>
                              <w:spacing w:before="120" w:after="120"/>
                            </w:pPr>
                          </w:p>
                          <w:p w14:paraId="71FE859A" w14:textId="77777777" w:rsidR="0060691A" w:rsidRPr="00247F54" w:rsidRDefault="0060691A" w:rsidP="0060691A">
                            <w:pPr>
                              <w:spacing w:before="120" w:after="120"/>
                              <w:rPr>
                                <w:b/>
                              </w:rPr>
                            </w:pPr>
                            <w:r w:rsidRPr="00247F54">
                              <w:rPr>
                                <w:b/>
                              </w:rPr>
                              <w:t>Conclusion</w:t>
                            </w:r>
                          </w:p>
                          <w:p w14:paraId="4C586380" w14:textId="77777777" w:rsidR="0060691A" w:rsidRPr="00247F54" w:rsidRDefault="0060691A" w:rsidP="0060691A">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75EDF765" w14:textId="77777777" w:rsidR="0060691A" w:rsidRDefault="0060691A" w:rsidP="0060691A">
                            <w:pPr>
                              <w:spacing w:before="120" w:after="120"/>
                              <w:jc w:val="center"/>
                            </w:pPr>
                          </w:p>
                          <w:p w14:paraId="4538CBFC" w14:textId="77777777" w:rsidR="0060691A" w:rsidRPr="00E4135E" w:rsidRDefault="0060691A" w:rsidP="0060691A">
                            <w:pPr>
                              <w:spacing w:before="120" w:after="120"/>
                              <w:jc w:val="center"/>
                            </w:pPr>
                          </w:p>
                          <w:p w14:paraId="2EF66AC6" w14:textId="77777777" w:rsidR="0060691A" w:rsidRPr="00E4135E" w:rsidRDefault="0060691A" w:rsidP="0060691A">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6.5pt;width:418.2pt;height:5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" strokeweight="6pt">
                <v:stroke linestyle="thickBetweenThin"/>
                <v:textbox inset="5mm,,5mm">
                  <w:txbxContent>
                    <w:p w14:paraId="3D123B30" w14:textId="77777777" w:rsidR="0060691A" w:rsidRPr="00834797" w:rsidRDefault="0060691A" w:rsidP="0060691A">
                      <w:pPr>
                        <w:spacing w:before="360" w:after="120"/>
                        <w:jc w:val="center"/>
                        <w:rPr>
                          <w:b/>
                        </w:rPr>
                      </w:pPr>
                      <w:r w:rsidRPr="00834797">
                        <w:rPr>
                          <w:b/>
                        </w:rPr>
                        <w:t>Statement of Compatibility with Human Rights</w:t>
                      </w:r>
                    </w:p>
                    <w:p w14:paraId="7F7569CA" w14:textId="77777777" w:rsidR="0060691A" w:rsidRDefault="0060691A" w:rsidP="0060691A">
                      <w:pPr>
                        <w:spacing w:after="0"/>
                        <w:jc w:val="center"/>
                        <w:rPr>
                          <w:i/>
                        </w:rPr>
                      </w:pPr>
                      <w:r w:rsidRPr="00247F54">
                        <w:rPr>
                          <w:i/>
                        </w:rPr>
                        <w:t>Prepared in accordance with Part 3 of the Human Rights (Parliamentary</w:t>
                      </w:r>
                    </w:p>
                    <w:p w14:paraId="566863EA" w14:textId="77777777" w:rsidR="0060691A" w:rsidRPr="00247F54" w:rsidRDefault="0060691A" w:rsidP="0060691A">
                      <w:pPr>
                        <w:spacing w:after="0"/>
                        <w:jc w:val="center"/>
                      </w:pPr>
                      <w:r w:rsidRPr="00247F54">
                        <w:rPr>
                          <w:i/>
                        </w:rPr>
                        <w:t>Scrutiny) Act 2011</w:t>
                      </w:r>
                    </w:p>
                    <w:p w14:paraId="7DCDF9AC" w14:textId="77777777" w:rsidR="0060691A" w:rsidRPr="00247F54" w:rsidRDefault="0060691A" w:rsidP="0060691A">
                      <w:pPr>
                        <w:spacing w:before="120" w:after="120"/>
                        <w:jc w:val="center"/>
                      </w:pPr>
                    </w:p>
                    <w:p w14:paraId="61F02A60" w14:textId="6475BE41" w:rsidR="0060691A" w:rsidRPr="00A15644" w:rsidRDefault="0060691A" w:rsidP="0060691A">
                      <w:pPr>
                        <w:spacing w:before="120" w:after="120"/>
                        <w:jc w:val="center"/>
                        <w:rPr>
                          <w:b/>
                        </w:rPr>
                      </w:pPr>
                      <w:r w:rsidRPr="00A15644">
                        <w:rPr>
                          <w:b/>
                        </w:rPr>
                        <w:t>ASIC Corporations (</w:t>
                      </w:r>
                      <w:r w:rsidR="00545194">
                        <w:rPr>
                          <w:b/>
                        </w:rPr>
                        <w:t>Sale Offers: Securities Issued on Conversion of Convertible Notes</w:t>
                      </w:r>
                      <w:r>
                        <w:rPr>
                          <w:b/>
                        </w:rPr>
                        <w:t>) Instrument 2016/</w:t>
                      </w:r>
                      <w:r w:rsidR="00545194">
                        <w:rPr>
                          <w:b/>
                        </w:rPr>
                        <w:t>82</w:t>
                      </w:r>
                    </w:p>
                    <w:p w14:paraId="55969E7C" w14:textId="77777777" w:rsidR="0060691A" w:rsidRPr="0000317B" w:rsidRDefault="0060691A" w:rsidP="0060691A">
                      <w:pPr>
                        <w:spacing w:before="120" w:after="120"/>
                        <w:jc w:val="center"/>
                      </w:pPr>
                    </w:p>
                    <w:p w14:paraId="0E4ACD52" w14:textId="5EBFA26E" w:rsidR="0060691A" w:rsidRDefault="0060691A" w:rsidP="00B769D5">
                      <w:pPr>
                        <w:spacing w:before="120" w:after="120"/>
                        <w:jc w:val="both"/>
                      </w:pPr>
                      <w:r w:rsidRPr="0000317B">
                        <w:t>ASIC Corporations (</w:t>
                      </w:r>
                      <w:r w:rsidR="00545194">
                        <w:t>Sale Offers: Securities Issued on Conversion of Convertible Notes</w:t>
                      </w:r>
                      <w:r w:rsidRPr="0000317B">
                        <w:t>) Instrument 2016</w:t>
                      </w:r>
                      <w:r>
                        <w:t>/</w:t>
                      </w:r>
                      <w:r w:rsidR="00545194">
                        <w:t>82</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66B38732" w14:textId="77777777" w:rsidR="0060691A" w:rsidRPr="00247F54" w:rsidRDefault="0060691A" w:rsidP="0060691A">
                      <w:pPr>
                        <w:spacing w:before="120" w:after="120"/>
                        <w:jc w:val="center"/>
                      </w:pPr>
                    </w:p>
                    <w:p w14:paraId="10568327" w14:textId="77777777" w:rsidR="0060691A" w:rsidRPr="00247F54" w:rsidRDefault="0060691A" w:rsidP="0060691A">
                      <w:pPr>
                        <w:spacing w:before="120" w:after="120"/>
                        <w:jc w:val="both"/>
                        <w:rPr>
                          <w:b/>
                        </w:rPr>
                      </w:pPr>
                      <w:r w:rsidRPr="00247F54">
                        <w:rPr>
                          <w:b/>
                        </w:rPr>
                        <w:t>Overview</w:t>
                      </w:r>
                    </w:p>
                    <w:p w14:paraId="61F2178D" w14:textId="53C74198" w:rsidR="0060691A" w:rsidRDefault="0060691A" w:rsidP="0060691A">
                      <w:pPr>
                        <w:spacing w:before="120" w:after="120"/>
                      </w:pPr>
                      <w:r>
                        <w:t xml:space="preserve">The legislative instrument </w:t>
                      </w:r>
                      <w:r w:rsidR="00B769D5">
                        <w:t xml:space="preserve">modifies s9, 708A and 1012DA </w:t>
                      </w:r>
                      <w:bookmarkStart w:id="8" w:name="_GoBack"/>
                      <w:bookmarkEnd w:id="8"/>
                      <w:r w:rsidR="0009100B" w:rsidRPr="0009100B">
                        <w:t>of the</w:t>
                      </w:r>
                      <w:r w:rsidR="0009100B">
                        <w:t xml:space="preserve"> </w:t>
                      </w:r>
                      <w:r w:rsidR="0009100B" w:rsidRPr="0009100B">
                        <w:rPr>
                          <w:i/>
                        </w:rPr>
                        <w:t>Corporations Act 2001</w:t>
                      </w:r>
                      <w:r w:rsidR="0009100B">
                        <w:t xml:space="preserve"> </w:t>
                      </w:r>
                      <w:r w:rsidR="0009100B" w:rsidRPr="0009100B">
                        <w:t>so that the quoted securities underlying convertible notes can be on-sold without a prospectus if a cleansing notice containing prospectus-like disclosure is provided to the relevant market operator at the time the convertible notes are issued.</w:t>
                      </w:r>
                    </w:p>
                    <w:p w14:paraId="1F7E78C1" w14:textId="77777777" w:rsidR="0060691A" w:rsidRPr="00883DB6" w:rsidRDefault="0060691A" w:rsidP="0060691A">
                      <w:pPr>
                        <w:spacing w:before="120" w:after="120"/>
                      </w:pPr>
                    </w:p>
                    <w:p w14:paraId="51EB599B" w14:textId="77777777" w:rsidR="0060691A" w:rsidRPr="00247F54" w:rsidRDefault="0060691A" w:rsidP="0060691A">
                      <w:pPr>
                        <w:spacing w:before="120" w:after="120"/>
                        <w:rPr>
                          <w:b/>
                        </w:rPr>
                      </w:pPr>
                      <w:r w:rsidRPr="00247F54">
                        <w:rPr>
                          <w:b/>
                        </w:rPr>
                        <w:t>Human rights implications</w:t>
                      </w:r>
                    </w:p>
                    <w:p w14:paraId="4CD972D0" w14:textId="77777777" w:rsidR="0060691A" w:rsidRPr="00247F54" w:rsidRDefault="0060691A" w:rsidP="0060691A">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D1677CB" w14:textId="77777777" w:rsidR="0060691A" w:rsidRPr="00247F54" w:rsidRDefault="0060691A" w:rsidP="0060691A">
                      <w:pPr>
                        <w:spacing w:before="120" w:after="120"/>
                      </w:pPr>
                    </w:p>
                    <w:p w14:paraId="71FE859A" w14:textId="77777777" w:rsidR="0060691A" w:rsidRPr="00247F54" w:rsidRDefault="0060691A" w:rsidP="0060691A">
                      <w:pPr>
                        <w:spacing w:before="120" w:after="120"/>
                        <w:rPr>
                          <w:b/>
                        </w:rPr>
                      </w:pPr>
                      <w:r w:rsidRPr="00247F54">
                        <w:rPr>
                          <w:b/>
                        </w:rPr>
                        <w:t>Conclusion</w:t>
                      </w:r>
                    </w:p>
                    <w:p w14:paraId="4C586380" w14:textId="77777777" w:rsidR="0060691A" w:rsidRPr="00247F54" w:rsidRDefault="0060691A" w:rsidP="0060691A">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75EDF765" w14:textId="77777777" w:rsidR="0060691A" w:rsidRDefault="0060691A" w:rsidP="0060691A">
                      <w:pPr>
                        <w:spacing w:before="120" w:after="120"/>
                        <w:jc w:val="center"/>
                      </w:pPr>
                    </w:p>
                    <w:p w14:paraId="4538CBFC" w14:textId="77777777" w:rsidR="0060691A" w:rsidRPr="00E4135E" w:rsidRDefault="0060691A" w:rsidP="0060691A">
                      <w:pPr>
                        <w:spacing w:before="120" w:after="120"/>
                        <w:jc w:val="center"/>
                      </w:pPr>
                    </w:p>
                    <w:p w14:paraId="2EF66AC6" w14:textId="77777777" w:rsidR="0060691A" w:rsidRPr="00E4135E" w:rsidRDefault="0060691A" w:rsidP="0060691A">
                      <w:pPr>
                        <w:spacing w:before="120" w:after="120"/>
                        <w:jc w:val="center"/>
                      </w:pPr>
                      <w:r>
                        <w:rPr>
                          <w:b/>
                        </w:rPr>
                        <w:t>Australian Securities and Investments Commission</w:t>
                      </w:r>
                    </w:p>
                  </w:txbxContent>
                </v:textbox>
              </v:rect>
            </w:pict>
          </mc:Fallback>
        </mc:AlternateContent>
      </w:r>
    </w:p>
    <w:p w14:paraId="7174F38C" w14:textId="77777777" w:rsidR="00F92212" w:rsidRDefault="00F92212"/>
    <w:sectPr w:rsidR="00F922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99912" w14:textId="77777777" w:rsidR="00A102B6" w:rsidRDefault="00B222E3">
      <w:pPr>
        <w:spacing w:after="0"/>
      </w:pPr>
      <w:r>
        <w:separator/>
      </w:r>
    </w:p>
  </w:endnote>
  <w:endnote w:type="continuationSeparator" w:id="0">
    <w:p w14:paraId="19B01C94" w14:textId="77777777" w:rsidR="00A102B6" w:rsidRDefault="00B22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E9F1A" w14:textId="77777777" w:rsidR="00C27A4B" w:rsidRDefault="002D6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46A78D9" w14:textId="77777777" w:rsidR="00C27A4B" w:rsidRDefault="0081374E">
    <w:pPr>
      <w:pStyle w:val="Footer"/>
      <w:ind w:right="360"/>
    </w:pPr>
  </w:p>
  <w:p w14:paraId="03AACC7E" w14:textId="77777777" w:rsidR="00C27A4B" w:rsidRDefault="0081374E"/>
  <w:p w14:paraId="4A739EF7" w14:textId="77777777" w:rsidR="00C27A4B" w:rsidRDefault="0081374E"/>
  <w:p w14:paraId="50A6557A" w14:textId="77777777" w:rsidR="00C27A4B" w:rsidRDefault="0081374E"/>
  <w:p w14:paraId="182A0ACE" w14:textId="77777777" w:rsidR="00C27A4B" w:rsidRDefault="0081374E"/>
  <w:p w14:paraId="1FED4061" w14:textId="77777777" w:rsidR="00C27A4B" w:rsidRDefault="00813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A4814" w14:textId="77777777" w:rsidR="00C27A4B" w:rsidRDefault="002D6CB8" w:rsidP="0000317B">
    <w:pPr>
      <w:pStyle w:val="ListParagraph"/>
    </w:pPr>
    <w:r>
      <w:rPr>
        <w:noProof/>
      </w:rPr>
      <mc:AlternateContent>
        <mc:Choice Requires="wps">
          <w:drawing>
            <wp:anchor distT="0" distB="0" distL="114300" distR="114300" simplePos="0" relativeHeight="251659264" behindDoc="0" locked="1" layoutInCell="1" allowOverlap="1" wp14:anchorId="5BB238CA" wp14:editId="5F39878E">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F8876" w14:textId="77777777" w:rsidR="00C27A4B" w:rsidRPr="008F541E" w:rsidRDefault="0081374E" w:rsidP="009E142C">
                          <w:pPr>
                            <w:jc w:val="right"/>
                            <w:rPr>
                              <w:rFonts w:ascii="Arial" w:hAnsi="Arial" w:cs="Arial"/>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51.05pt;margin-top:2.85pt;width:51.8pt;height:1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7BFF8876" w14:textId="77777777" w:rsidR="00C27A4B" w:rsidRPr="008F541E" w:rsidRDefault="00B222E3" w:rsidP="009E142C">
                    <w:pPr>
                      <w:jc w:val="right"/>
                      <w:rPr>
                        <w:rFonts w:ascii="Arial" w:hAnsi="Arial" w:cs="Arial"/>
                        <w:sz w:val="16"/>
                        <w:szCs w:val="16"/>
                      </w:rPr>
                    </w:pPr>
                  </w:p>
                </w:txbxContent>
              </v:textbox>
              <w10:wrap anchorx="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92818" w14:textId="77777777" w:rsidR="00A102B6" w:rsidRDefault="00B222E3">
      <w:pPr>
        <w:spacing w:after="0"/>
      </w:pPr>
      <w:r>
        <w:separator/>
      </w:r>
    </w:p>
  </w:footnote>
  <w:footnote w:type="continuationSeparator" w:id="0">
    <w:p w14:paraId="41CB780B" w14:textId="77777777" w:rsidR="00A102B6" w:rsidRDefault="00B222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7A004" w14:textId="77777777" w:rsidR="00C27A4B" w:rsidRDefault="0081374E"/>
  <w:p w14:paraId="2B52A1FB" w14:textId="77777777" w:rsidR="00C27A4B" w:rsidRDefault="008137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6A455" w14:textId="77777777" w:rsidR="00C27A4B" w:rsidRDefault="002D6CB8" w:rsidP="00765D90">
    <w:pPr>
      <w:pStyle w:val="ListParagraph"/>
      <w:rPr>
        <w:color w:val="117DC7"/>
      </w:rPr>
    </w:pPr>
    <w:r>
      <w:tab/>
    </w:r>
  </w:p>
  <w:p w14:paraId="231B1BCF" w14:textId="77777777" w:rsidR="00C27A4B" w:rsidRDefault="008137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FA67D" w14:textId="77777777" w:rsidR="00C27A4B" w:rsidRDefault="002D6CB8">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8FA"/>
    <w:multiLevelType w:val="hybridMultilevel"/>
    <w:tmpl w:val="6DD60B82"/>
    <w:lvl w:ilvl="0" w:tplc="FA4A8B56">
      <w:start w:val="1"/>
      <w:numFmt w:val="lowerLetter"/>
      <w:lvlText w:val="(%1)"/>
      <w:lvlJc w:val="left"/>
      <w:pPr>
        <w:ind w:left="20565" w:hanging="360"/>
      </w:pPr>
      <w:rPr>
        <w:rFonts w:hint="default"/>
      </w:rPr>
    </w:lvl>
    <w:lvl w:ilvl="1" w:tplc="FE9A24FE">
      <w:numFmt w:val="bullet"/>
      <w:lvlText w:val="·"/>
      <w:lvlJc w:val="left"/>
      <w:pPr>
        <w:ind w:left="21489" w:hanging="564"/>
      </w:pPr>
      <w:rPr>
        <w:rFonts w:ascii="Times New Roman" w:eastAsia="Times New Roman" w:hAnsi="Times New Roman" w:cs="Times New Roman" w:hint="default"/>
      </w:rPr>
    </w:lvl>
    <w:lvl w:ilvl="2" w:tplc="0C09001B" w:tentative="1">
      <w:start w:val="1"/>
      <w:numFmt w:val="lowerRoman"/>
      <w:lvlText w:val="%3."/>
      <w:lvlJc w:val="right"/>
      <w:pPr>
        <w:ind w:left="22005" w:hanging="180"/>
      </w:pPr>
    </w:lvl>
    <w:lvl w:ilvl="3" w:tplc="0C09000F" w:tentative="1">
      <w:start w:val="1"/>
      <w:numFmt w:val="decimal"/>
      <w:lvlText w:val="%4."/>
      <w:lvlJc w:val="left"/>
      <w:pPr>
        <w:ind w:left="22725" w:hanging="360"/>
      </w:pPr>
    </w:lvl>
    <w:lvl w:ilvl="4" w:tplc="0C090019" w:tentative="1">
      <w:start w:val="1"/>
      <w:numFmt w:val="lowerLetter"/>
      <w:lvlText w:val="%5."/>
      <w:lvlJc w:val="left"/>
      <w:pPr>
        <w:ind w:left="23445" w:hanging="360"/>
      </w:pPr>
    </w:lvl>
    <w:lvl w:ilvl="5" w:tplc="0C09001B" w:tentative="1">
      <w:start w:val="1"/>
      <w:numFmt w:val="lowerRoman"/>
      <w:lvlText w:val="%6."/>
      <w:lvlJc w:val="right"/>
      <w:pPr>
        <w:ind w:left="24165" w:hanging="180"/>
      </w:pPr>
    </w:lvl>
    <w:lvl w:ilvl="6" w:tplc="0C09000F" w:tentative="1">
      <w:start w:val="1"/>
      <w:numFmt w:val="decimal"/>
      <w:lvlText w:val="%7."/>
      <w:lvlJc w:val="left"/>
      <w:pPr>
        <w:ind w:left="24885" w:hanging="360"/>
      </w:pPr>
    </w:lvl>
    <w:lvl w:ilvl="7" w:tplc="0C090019" w:tentative="1">
      <w:start w:val="1"/>
      <w:numFmt w:val="lowerLetter"/>
      <w:lvlText w:val="%8."/>
      <w:lvlJc w:val="left"/>
      <w:pPr>
        <w:ind w:left="25605" w:hanging="360"/>
      </w:pPr>
    </w:lvl>
    <w:lvl w:ilvl="8" w:tplc="0C09001B" w:tentative="1">
      <w:start w:val="1"/>
      <w:numFmt w:val="lowerRoman"/>
      <w:lvlText w:val="%9."/>
      <w:lvlJc w:val="right"/>
      <w:pPr>
        <w:ind w:left="26325" w:hanging="180"/>
      </w:pPr>
    </w:lvl>
  </w:abstractNum>
  <w:abstractNum w:abstractNumId="1">
    <w:nsid w:val="2838177E"/>
    <w:multiLevelType w:val="hybridMultilevel"/>
    <w:tmpl w:val="D6309268"/>
    <w:lvl w:ilvl="0" w:tplc="FA4A8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3">
    <w:nsid w:val="45A05729"/>
    <w:multiLevelType w:val="hybridMultilevel"/>
    <w:tmpl w:val="155CBC0E"/>
    <w:lvl w:ilvl="0" w:tplc="FA4A8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BEE1C2F"/>
    <w:multiLevelType w:val="hybridMultilevel"/>
    <w:tmpl w:val="E6640AB8"/>
    <w:lvl w:ilvl="0" w:tplc="0B8A0DE6">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6F4454"/>
    <w:multiLevelType w:val="hybridMultilevel"/>
    <w:tmpl w:val="1BCCA572"/>
    <w:lvl w:ilvl="0" w:tplc="0B8A0DE6">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1A"/>
    <w:rsid w:val="0009100B"/>
    <w:rsid w:val="002D6CB8"/>
    <w:rsid w:val="00313E01"/>
    <w:rsid w:val="00320AE1"/>
    <w:rsid w:val="00340362"/>
    <w:rsid w:val="003F6B24"/>
    <w:rsid w:val="00490FC6"/>
    <w:rsid w:val="00545194"/>
    <w:rsid w:val="00546BBA"/>
    <w:rsid w:val="0060389F"/>
    <w:rsid w:val="0060691A"/>
    <w:rsid w:val="006D4412"/>
    <w:rsid w:val="0081374E"/>
    <w:rsid w:val="00964D5E"/>
    <w:rsid w:val="0099792D"/>
    <w:rsid w:val="009F1E05"/>
    <w:rsid w:val="00A102B6"/>
    <w:rsid w:val="00AE187E"/>
    <w:rsid w:val="00B222E3"/>
    <w:rsid w:val="00B57F56"/>
    <w:rsid w:val="00B769D5"/>
    <w:rsid w:val="00D36E46"/>
    <w:rsid w:val="00DA02B3"/>
    <w:rsid w:val="00E25791"/>
    <w:rsid w:val="00EA02DD"/>
    <w:rsid w:val="00F92212"/>
    <w:rsid w:val="00FA32AA"/>
    <w:rsid w:val="00FB3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1A"/>
    <w:pPr>
      <w:spacing w:after="240" w:line="240" w:lineRule="auto"/>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60691A"/>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0691A"/>
    <w:rPr>
      <w:rFonts w:ascii="Times New Roman" w:eastAsia="Times New Roman" w:hAnsi="Times New Roman" w:cs="Times New Roman"/>
      <w:sz w:val="24"/>
      <w:szCs w:val="20"/>
    </w:rPr>
  </w:style>
  <w:style w:type="paragraph" w:styleId="Title">
    <w:name w:val="Title"/>
    <w:basedOn w:val="Normal"/>
    <w:link w:val="TitleChar"/>
    <w:qFormat/>
    <w:rsid w:val="0060691A"/>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60691A"/>
    <w:rPr>
      <w:rFonts w:ascii="Times New Roman" w:eastAsia="Times New Roman" w:hAnsi="Times New Roman" w:cs="Times New Roman"/>
      <w:b/>
      <w:bCs/>
      <w:sz w:val="28"/>
      <w:szCs w:val="20"/>
      <w:lang w:eastAsia="en-AU"/>
    </w:rPr>
  </w:style>
  <w:style w:type="paragraph" w:styleId="Footer">
    <w:name w:val="footer"/>
    <w:basedOn w:val="Normal"/>
    <w:link w:val="FooterChar"/>
    <w:rsid w:val="0060691A"/>
    <w:pPr>
      <w:tabs>
        <w:tab w:val="right" w:pos="9070"/>
      </w:tabs>
      <w:spacing w:after="0"/>
    </w:pPr>
    <w:rPr>
      <w:rFonts w:ascii="Arial" w:hAnsi="Arial"/>
      <w:sz w:val="16"/>
      <w:szCs w:val="16"/>
    </w:rPr>
  </w:style>
  <w:style w:type="character" w:customStyle="1" w:styleId="FooterChar">
    <w:name w:val="Footer Char"/>
    <w:basedOn w:val="DefaultParagraphFont"/>
    <w:link w:val="Footer"/>
    <w:rsid w:val="0060691A"/>
    <w:rPr>
      <w:rFonts w:ascii="Arial" w:eastAsia="Times New Roman" w:hAnsi="Arial" w:cs="Times New Roman"/>
      <w:sz w:val="16"/>
      <w:szCs w:val="16"/>
      <w:lang w:eastAsia="en-AU"/>
    </w:rPr>
  </w:style>
  <w:style w:type="character" w:styleId="PageNumber">
    <w:name w:val="page number"/>
    <w:basedOn w:val="DefaultParagraphFont"/>
    <w:rsid w:val="0060691A"/>
    <w:rPr>
      <w:b/>
      <w:sz w:val="20"/>
    </w:rPr>
  </w:style>
  <w:style w:type="paragraph" w:styleId="Header">
    <w:name w:val="header"/>
    <w:basedOn w:val="Normal"/>
    <w:link w:val="HeaderChar"/>
    <w:uiPriority w:val="99"/>
    <w:rsid w:val="0060691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60691A"/>
    <w:rPr>
      <w:rFonts w:ascii="Arial" w:eastAsia="Times New Roman" w:hAnsi="Arial" w:cs="Arial"/>
      <w:caps/>
      <w:color w:val="008291"/>
      <w:sz w:val="16"/>
      <w:szCs w:val="16"/>
      <w:lang w:eastAsia="en-AU"/>
    </w:rPr>
  </w:style>
  <w:style w:type="paragraph" w:customStyle="1" w:styleId="Bodytextplain">
    <w:name w:val="Body text plain"/>
    <w:basedOn w:val="BodyText"/>
    <w:rsid w:val="0060691A"/>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606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1A"/>
    <w:pPr>
      <w:spacing w:after="240" w:line="240" w:lineRule="auto"/>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60691A"/>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0691A"/>
    <w:rPr>
      <w:rFonts w:ascii="Times New Roman" w:eastAsia="Times New Roman" w:hAnsi="Times New Roman" w:cs="Times New Roman"/>
      <w:sz w:val="24"/>
      <w:szCs w:val="20"/>
    </w:rPr>
  </w:style>
  <w:style w:type="paragraph" w:styleId="Title">
    <w:name w:val="Title"/>
    <w:basedOn w:val="Normal"/>
    <w:link w:val="TitleChar"/>
    <w:qFormat/>
    <w:rsid w:val="0060691A"/>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60691A"/>
    <w:rPr>
      <w:rFonts w:ascii="Times New Roman" w:eastAsia="Times New Roman" w:hAnsi="Times New Roman" w:cs="Times New Roman"/>
      <w:b/>
      <w:bCs/>
      <w:sz w:val="28"/>
      <w:szCs w:val="20"/>
      <w:lang w:eastAsia="en-AU"/>
    </w:rPr>
  </w:style>
  <w:style w:type="paragraph" w:styleId="Footer">
    <w:name w:val="footer"/>
    <w:basedOn w:val="Normal"/>
    <w:link w:val="FooterChar"/>
    <w:rsid w:val="0060691A"/>
    <w:pPr>
      <w:tabs>
        <w:tab w:val="right" w:pos="9070"/>
      </w:tabs>
      <w:spacing w:after="0"/>
    </w:pPr>
    <w:rPr>
      <w:rFonts w:ascii="Arial" w:hAnsi="Arial"/>
      <w:sz w:val="16"/>
      <w:szCs w:val="16"/>
    </w:rPr>
  </w:style>
  <w:style w:type="character" w:customStyle="1" w:styleId="FooterChar">
    <w:name w:val="Footer Char"/>
    <w:basedOn w:val="DefaultParagraphFont"/>
    <w:link w:val="Footer"/>
    <w:rsid w:val="0060691A"/>
    <w:rPr>
      <w:rFonts w:ascii="Arial" w:eastAsia="Times New Roman" w:hAnsi="Arial" w:cs="Times New Roman"/>
      <w:sz w:val="16"/>
      <w:szCs w:val="16"/>
      <w:lang w:eastAsia="en-AU"/>
    </w:rPr>
  </w:style>
  <w:style w:type="character" w:styleId="PageNumber">
    <w:name w:val="page number"/>
    <w:basedOn w:val="DefaultParagraphFont"/>
    <w:rsid w:val="0060691A"/>
    <w:rPr>
      <w:b/>
      <w:sz w:val="20"/>
    </w:rPr>
  </w:style>
  <w:style w:type="paragraph" w:styleId="Header">
    <w:name w:val="header"/>
    <w:basedOn w:val="Normal"/>
    <w:link w:val="HeaderChar"/>
    <w:uiPriority w:val="99"/>
    <w:rsid w:val="0060691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60691A"/>
    <w:rPr>
      <w:rFonts w:ascii="Arial" w:eastAsia="Times New Roman" w:hAnsi="Arial" w:cs="Arial"/>
      <w:caps/>
      <w:color w:val="008291"/>
      <w:sz w:val="16"/>
      <w:szCs w:val="16"/>
      <w:lang w:eastAsia="en-AU"/>
    </w:rPr>
  </w:style>
  <w:style w:type="paragraph" w:customStyle="1" w:styleId="Bodytextplain">
    <w:name w:val="Body text plain"/>
    <w:basedOn w:val="BodyText"/>
    <w:rsid w:val="0060691A"/>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606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573">
      <w:bodyDiv w:val="1"/>
      <w:marLeft w:val="0"/>
      <w:marRight w:val="0"/>
      <w:marTop w:val="0"/>
      <w:marBottom w:val="0"/>
      <w:divBdr>
        <w:top w:val="none" w:sz="0" w:space="0" w:color="auto"/>
        <w:left w:val="none" w:sz="0" w:space="0" w:color="auto"/>
        <w:bottom w:val="none" w:sz="0" w:space="0" w:color="auto"/>
        <w:right w:val="none" w:sz="0" w:space="0" w:color="auto"/>
      </w:divBdr>
      <w:divsChild>
        <w:div w:id="599917018">
          <w:marLeft w:val="0"/>
          <w:marRight w:val="0"/>
          <w:marTop w:val="0"/>
          <w:marBottom w:val="0"/>
          <w:divBdr>
            <w:top w:val="none" w:sz="0" w:space="0" w:color="auto"/>
            <w:left w:val="none" w:sz="0" w:space="0" w:color="auto"/>
            <w:bottom w:val="none" w:sz="0" w:space="0" w:color="auto"/>
            <w:right w:val="none" w:sz="0" w:space="0" w:color="auto"/>
          </w:divBdr>
          <w:divsChild>
            <w:div w:id="435297406">
              <w:marLeft w:val="0"/>
              <w:marRight w:val="0"/>
              <w:marTop w:val="0"/>
              <w:marBottom w:val="0"/>
              <w:divBdr>
                <w:top w:val="none" w:sz="0" w:space="0" w:color="auto"/>
                <w:left w:val="none" w:sz="0" w:space="0" w:color="auto"/>
                <w:bottom w:val="none" w:sz="0" w:space="0" w:color="auto"/>
                <w:right w:val="none" w:sz="0" w:space="0" w:color="auto"/>
              </w:divBdr>
              <w:divsChild>
                <w:div w:id="1999770486">
                  <w:marLeft w:val="0"/>
                  <w:marRight w:val="0"/>
                  <w:marTop w:val="0"/>
                  <w:marBottom w:val="0"/>
                  <w:divBdr>
                    <w:top w:val="none" w:sz="0" w:space="0" w:color="auto"/>
                    <w:left w:val="none" w:sz="0" w:space="0" w:color="auto"/>
                    <w:bottom w:val="none" w:sz="0" w:space="0" w:color="auto"/>
                    <w:right w:val="none" w:sz="0" w:space="0" w:color="auto"/>
                  </w:divBdr>
                  <w:divsChild>
                    <w:div w:id="431127690">
                      <w:marLeft w:val="0"/>
                      <w:marRight w:val="0"/>
                      <w:marTop w:val="0"/>
                      <w:marBottom w:val="0"/>
                      <w:divBdr>
                        <w:top w:val="none" w:sz="0" w:space="0" w:color="auto"/>
                        <w:left w:val="none" w:sz="0" w:space="0" w:color="auto"/>
                        <w:bottom w:val="none" w:sz="0" w:space="0" w:color="auto"/>
                        <w:right w:val="none" w:sz="0" w:space="0" w:color="auto"/>
                      </w:divBdr>
                      <w:divsChild>
                        <w:div w:id="1194030616">
                          <w:marLeft w:val="0"/>
                          <w:marRight w:val="0"/>
                          <w:marTop w:val="0"/>
                          <w:marBottom w:val="0"/>
                          <w:divBdr>
                            <w:top w:val="none" w:sz="0" w:space="0" w:color="auto"/>
                            <w:left w:val="none" w:sz="0" w:space="0" w:color="auto"/>
                            <w:bottom w:val="none" w:sz="0" w:space="0" w:color="auto"/>
                            <w:right w:val="none" w:sz="0" w:space="0" w:color="auto"/>
                          </w:divBdr>
                          <w:divsChild>
                            <w:div w:id="1695500021">
                              <w:marLeft w:val="0"/>
                              <w:marRight w:val="0"/>
                              <w:marTop w:val="0"/>
                              <w:marBottom w:val="0"/>
                              <w:divBdr>
                                <w:top w:val="none" w:sz="0" w:space="0" w:color="auto"/>
                                <w:left w:val="none" w:sz="0" w:space="0" w:color="auto"/>
                                <w:bottom w:val="none" w:sz="0" w:space="0" w:color="auto"/>
                                <w:right w:val="none" w:sz="0" w:space="0" w:color="auto"/>
                              </w:divBdr>
                              <w:divsChild>
                                <w:div w:id="2127238655">
                                  <w:marLeft w:val="0"/>
                                  <w:marRight w:val="0"/>
                                  <w:marTop w:val="0"/>
                                  <w:marBottom w:val="0"/>
                                  <w:divBdr>
                                    <w:top w:val="none" w:sz="0" w:space="0" w:color="auto"/>
                                    <w:left w:val="none" w:sz="0" w:space="0" w:color="auto"/>
                                    <w:bottom w:val="none" w:sz="0" w:space="0" w:color="auto"/>
                                    <w:right w:val="none" w:sz="0" w:space="0" w:color="auto"/>
                                  </w:divBdr>
                                  <w:divsChild>
                                    <w:div w:id="184562094">
                                      <w:marLeft w:val="0"/>
                                      <w:marRight w:val="0"/>
                                      <w:marTop w:val="0"/>
                                      <w:marBottom w:val="0"/>
                                      <w:divBdr>
                                        <w:top w:val="none" w:sz="0" w:space="0" w:color="auto"/>
                                        <w:left w:val="none" w:sz="0" w:space="0" w:color="auto"/>
                                        <w:bottom w:val="none" w:sz="0" w:space="0" w:color="auto"/>
                                        <w:right w:val="none" w:sz="0" w:space="0" w:color="auto"/>
                                      </w:divBdr>
                                      <w:divsChild>
                                        <w:div w:id="180054931">
                                          <w:marLeft w:val="0"/>
                                          <w:marRight w:val="0"/>
                                          <w:marTop w:val="0"/>
                                          <w:marBottom w:val="0"/>
                                          <w:divBdr>
                                            <w:top w:val="none" w:sz="0" w:space="0" w:color="auto"/>
                                            <w:left w:val="none" w:sz="0" w:space="0" w:color="auto"/>
                                            <w:bottom w:val="none" w:sz="0" w:space="0" w:color="auto"/>
                                            <w:right w:val="none" w:sz="0" w:space="0" w:color="auto"/>
                                          </w:divBdr>
                                          <w:divsChild>
                                            <w:div w:id="155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723454">
      <w:bodyDiv w:val="1"/>
      <w:marLeft w:val="0"/>
      <w:marRight w:val="0"/>
      <w:marTop w:val="0"/>
      <w:marBottom w:val="0"/>
      <w:divBdr>
        <w:top w:val="none" w:sz="0" w:space="0" w:color="auto"/>
        <w:left w:val="none" w:sz="0" w:space="0" w:color="auto"/>
        <w:bottom w:val="none" w:sz="0" w:space="0" w:color="auto"/>
        <w:right w:val="none" w:sz="0" w:space="0" w:color="auto"/>
      </w:divBdr>
      <w:divsChild>
        <w:div w:id="1562475516">
          <w:marLeft w:val="0"/>
          <w:marRight w:val="0"/>
          <w:marTop w:val="0"/>
          <w:marBottom w:val="0"/>
          <w:divBdr>
            <w:top w:val="none" w:sz="0" w:space="0" w:color="auto"/>
            <w:left w:val="none" w:sz="0" w:space="0" w:color="auto"/>
            <w:bottom w:val="none" w:sz="0" w:space="0" w:color="auto"/>
            <w:right w:val="none" w:sz="0" w:space="0" w:color="auto"/>
          </w:divBdr>
          <w:divsChild>
            <w:div w:id="581335231">
              <w:marLeft w:val="0"/>
              <w:marRight w:val="0"/>
              <w:marTop w:val="0"/>
              <w:marBottom w:val="0"/>
              <w:divBdr>
                <w:top w:val="none" w:sz="0" w:space="0" w:color="auto"/>
                <w:left w:val="none" w:sz="0" w:space="0" w:color="auto"/>
                <w:bottom w:val="none" w:sz="0" w:space="0" w:color="auto"/>
                <w:right w:val="none" w:sz="0" w:space="0" w:color="auto"/>
              </w:divBdr>
              <w:divsChild>
                <w:div w:id="41949290">
                  <w:marLeft w:val="0"/>
                  <w:marRight w:val="0"/>
                  <w:marTop w:val="0"/>
                  <w:marBottom w:val="0"/>
                  <w:divBdr>
                    <w:top w:val="none" w:sz="0" w:space="0" w:color="auto"/>
                    <w:left w:val="none" w:sz="0" w:space="0" w:color="auto"/>
                    <w:bottom w:val="none" w:sz="0" w:space="0" w:color="auto"/>
                    <w:right w:val="none" w:sz="0" w:space="0" w:color="auto"/>
                  </w:divBdr>
                  <w:divsChild>
                    <w:div w:id="956066356">
                      <w:marLeft w:val="0"/>
                      <w:marRight w:val="0"/>
                      <w:marTop w:val="0"/>
                      <w:marBottom w:val="0"/>
                      <w:divBdr>
                        <w:top w:val="none" w:sz="0" w:space="0" w:color="auto"/>
                        <w:left w:val="none" w:sz="0" w:space="0" w:color="auto"/>
                        <w:bottom w:val="none" w:sz="0" w:space="0" w:color="auto"/>
                        <w:right w:val="none" w:sz="0" w:space="0" w:color="auto"/>
                      </w:divBdr>
                      <w:divsChild>
                        <w:div w:id="1064839412">
                          <w:marLeft w:val="0"/>
                          <w:marRight w:val="0"/>
                          <w:marTop w:val="0"/>
                          <w:marBottom w:val="0"/>
                          <w:divBdr>
                            <w:top w:val="none" w:sz="0" w:space="0" w:color="auto"/>
                            <w:left w:val="none" w:sz="0" w:space="0" w:color="auto"/>
                            <w:bottom w:val="none" w:sz="0" w:space="0" w:color="auto"/>
                            <w:right w:val="none" w:sz="0" w:space="0" w:color="auto"/>
                          </w:divBdr>
                          <w:divsChild>
                            <w:div w:id="1368946638">
                              <w:marLeft w:val="0"/>
                              <w:marRight w:val="0"/>
                              <w:marTop w:val="0"/>
                              <w:marBottom w:val="0"/>
                              <w:divBdr>
                                <w:top w:val="none" w:sz="0" w:space="0" w:color="auto"/>
                                <w:left w:val="none" w:sz="0" w:space="0" w:color="auto"/>
                                <w:bottom w:val="none" w:sz="0" w:space="0" w:color="auto"/>
                                <w:right w:val="none" w:sz="0" w:space="0" w:color="auto"/>
                              </w:divBdr>
                              <w:divsChild>
                                <w:div w:id="924725293">
                                  <w:marLeft w:val="0"/>
                                  <w:marRight w:val="0"/>
                                  <w:marTop w:val="0"/>
                                  <w:marBottom w:val="0"/>
                                  <w:divBdr>
                                    <w:top w:val="none" w:sz="0" w:space="0" w:color="auto"/>
                                    <w:left w:val="none" w:sz="0" w:space="0" w:color="auto"/>
                                    <w:bottom w:val="none" w:sz="0" w:space="0" w:color="auto"/>
                                    <w:right w:val="none" w:sz="0" w:space="0" w:color="auto"/>
                                  </w:divBdr>
                                  <w:divsChild>
                                    <w:div w:id="707606663">
                                      <w:marLeft w:val="0"/>
                                      <w:marRight w:val="0"/>
                                      <w:marTop w:val="0"/>
                                      <w:marBottom w:val="0"/>
                                      <w:divBdr>
                                        <w:top w:val="none" w:sz="0" w:space="0" w:color="auto"/>
                                        <w:left w:val="none" w:sz="0" w:space="0" w:color="auto"/>
                                        <w:bottom w:val="none" w:sz="0" w:space="0" w:color="auto"/>
                                        <w:right w:val="none" w:sz="0" w:space="0" w:color="auto"/>
                                      </w:divBdr>
                                      <w:divsChild>
                                        <w:div w:id="331181428">
                                          <w:marLeft w:val="0"/>
                                          <w:marRight w:val="0"/>
                                          <w:marTop w:val="0"/>
                                          <w:marBottom w:val="0"/>
                                          <w:divBdr>
                                            <w:top w:val="none" w:sz="0" w:space="0" w:color="auto"/>
                                            <w:left w:val="none" w:sz="0" w:space="0" w:color="auto"/>
                                            <w:bottom w:val="none" w:sz="0" w:space="0" w:color="auto"/>
                                            <w:right w:val="none" w:sz="0" w:space="0" w:color="auto"/>
                                          </w:divBdr>
                                          <w:divsChild>
                                            <w:div w:id="17387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899369">
      <w:bodyDiv w:val="1"/>
      <w:marLeft w:val="0"/>
      <w:marRight w:val="0"/>
      <w:marTop w:val="0"/>
      <w:marBottom w:val="0"/>
      <w:divBdr>
        <w:top w:val="none" w:sz="0" w:space="0" w:color="auto"/>
        <w:left w:val="none" w:sz="0" w:space="0" w:color="auto"/>
        <w:bottom w:val="none" w:sz="0" w:space="0" w:color="auto"/>
        <w:right w:val="none" w:sz="0" w:space="0" w:color="auto"/>
      </w:divBdr>
      <w:divsChild>
        <w:div w:id="1215462137">
          <w:marLeft w:val="0"/>
          <w:marRight w:val="0"/>
          <w:marTop w:val="0"/>
          <w:marBottom w:val="0"/>
          <w:divBdr>
            <w:top w:val="none" w:sz="0" w:space="0" w:color="auto"/>
            <w:left w:val="none" w:sz="0" w:space="0" w:color="auto"/>
            <w:bottom w:val="none" w:sz="0" w:space="0" w:color="auto"/>
            <w:right w:val="none" w:sz="0" w:space="0" w:color="auto"/>
          </w:divBdr>
          <w:divsChild>
            <w:div w:id="933396331">
              <w:marLeft w:val="0"/>
              <w:marRight w:val="0"/>
              <w:marTop w:val="0"/>
              <w:marBottom w:val="0"/>
              <w:divBdr>
                <w:top w:val="none" w:sz="0" w:space="0" w:color="auto"/>
                <w:left w:val="none" w:sz="0" w:space="0" w:color="auto"/>
                <w:bottom w:val="none" w:sz="0" w:space="0" w:color="auto"/>
                <w:right w:val="none" w:sz="0" w:space="0" w:color="auto"/>
              </w:divBdr>
              <w:divsChild>
                <w:div w:id="1880780499">
                  <w:marLeft w:val="0"/>
                  <w:marRight w:val="0"/>
                  <w:marTop w:val="0"/>
                  <w:marBottom w:val="0"/>
                  <w:divBdr>
                    <w:top w:val="none" w:sz="0" w:space="0" w:color="auto"/>
                    <w:left w:val="none" w:sz="0" w:space="0" w:color="auto"/>
                    <w:bottom w:val="none" w:sz="0" w:space="0" w:color="auto"/>
                    <w:right w:val="none" w:sz="0" w:space="0" w:color="auto"/>
                  </w:divBdr>
                  <w:divsChild>
                    <w:div w:id="798230805">
                      <w:marLeft w:val="0"/>
                      <w:marRight w:val="0"/>
                      <w:marTop w:val="0"/>
                      <w:marBottom w:val="0"/>
                      <w:divBdr>
                        <w:top w:val="none" w:sz="0" w:space="0" w:color="auto"/>
                        <w:left w:val="none" w:sz="0" w:space="0" w:color="auto"/>
                        <w:bottom w:val="none" w:sz="0" w:space="0" w:color="auto"/>
                        <w:right w:val="none" w:sz="0" w:space="0" w:color="auto"/>
                      </w:divBdr>
                      <w:divsChild>
                        <w:div w:id="1933666309">
                          <w:marLeft w:val="0"/>
                          <w:marRight w:val="0"/>
                          <w:marTop w:val="0"/>
                          <w:marBottom w:val="0"/>
                          <w:divBdr>
                            <w:top w:val="none" w:sz="0" w:space="0" w:color="auto"/>
                            <w:left w:val="none" w:sz="0" w:space="0" w:color="auto"/>
                            <w:bottom w:val="none" w:sz="0" w:space="0" w:color="auto"/>
                            <w:right w:val="none" w:sz="0" w:space="0" w:color="auto"/>
                          </w:divBdr>
                          <w:divsChild>
                            <w:div w:id="622228171">
                              <w:marLeft w:val="0"/>
                              <w:marRight w:val="0"/>
                              <w:marTop w:val="0"/>
                              <w:marBottom w:val="0"/>
                              <w:divBdr>
                                <w:top w:val="none" w:sz="0" w:space="0" w:color="auto"/>
                                <w:left w:val="none" w:sz="0" w:space="0" w:color="auto"/>
                                <w:bottom w:val="none" w:sz="0" w:space="0" w:color="auto"/>
                                <w:right w:val="none" w:sz="0" w:space="0" w:color="auto"/>
                              </w:divBdr>
                              <w:divsChild>
                                <w:div w:id="266817953">
                                  <w:marLeft w:val="0"/>
                                  <w:marRight w:val="0"/>
                                  <w:marTop w:val="0"/>
                                  <w:marBottom w:val="0"/>
                                  <w:divBdr>
                                    <w:top w:val="none" w:sz="0" w:space="0" w:color="auto"/>
                                    <w:left w:val="none" w:sz="0" w:space="0" w:color="auto"/>
                                    <w:bottom w:val="none" w:sz="0" w:space="0" w:color="auto"/>
                                    <w:right w:val="none" w:sz="0" w:space="0" w:color="auto"/>
                                  </w:divBdr>
                                  <w:divsChild>
                                    <w:div w:id="579410836">
                                      <w:marLeft w:val="0"/>
                                      <w:marRight w:val="0"/>
                                      <w:marTop w:val="0"/>
                                      <w:marBottom w:val="0"/>
                                      <w:divBdr>
                                        <w:top w:val="none" w:sz="0" w:space="0" w:color="auto"/>
                                        <w:left w:val="none" w:sz="0" w:space="0" w:color="auto"/>
                                        <w:bottom w:val="none" w:sz="0" w:space="0" w:color="auto"/>
                                        <w:right w:val="none" w:sz="0" w:space="0" w:color="auto"/>
                                      </w:divBdr>
                                      <w:divsChild>
                                        <w:div w:id="114451547">
                                          <w:marLeft w:val="0"/>
                                          <w:marRight w:val="0"/>
                                          <w:marTop w:val="0"/>
                                          <w:marBottom w:val="0"/>
                                          <w:divBdr>
                                            <w:top w:val="none" w:sz="0" w:space="0" w:color="auto"/>
                                            <w:left w:val="none" w:sz="0" w:space="0" w:color="auto"/>
                                            <w:bottom w:val="none" w:sz="0" w:space="0" w:color="auto"/>
                                            <w:right w:val="none" w:sz="0" w:space="0" w:color="auto"/>
                                          </w:divBdr>
                                          <w:divsChild>
                                            <w:div w:id="737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825946">
      <w:bodyDiv w:val="1"/>
      <w:marLeft w:val="0"/>
      <w:marRight w:val="0"/>
      <w:marTop w:val="0"/>
      <w:marBottom w:val="0"/>
      <w:divBdr>
        <w:top w:val="none" w:sz="0" w:space="0" w:color="auto"/>
        <w:left w:val="none" w:sz="0" w:space="0" w:color="auto"/>
        <w:bottom w:val="none" w:sz="0" w:space="0" w:color="auto"/>
        <w:right w:val="none" w:sz="0" w:space="0" w:color="auto"/>
      </w:divBdr>
      <w:divsChild>
        <w:div w:id="604536494">
          <w:marLeft w:val="0"/>
          <w:marRight w:val="0"/>
          <w:marTop w:val="0"/>
          <w:marBottom w:val="0"/>
          <w:divBdr>
            <w:top w:val="none" w:sz="0" w:space="0" w:color="auto"/>
            <w:left w:val="none" w:sz="0" w:space="0" w:color="auto"/>
            <w:bottom w:val="none" w:sz="0" w:space="0" w:color="auto"/>
            <w:right w:val="none" w:sz="0" w:space="0" w:color="auto"/>
          </w:divBdr>
          <w:divsChild>
            <w:div w:id="1705400294">
              <w:marLeft w:val="0"/>
              <w:marRight w:val="0"/>
              <w:marTop w:val="0"/>
              <w:marBottom w:val="0"/>
              <w:divBdr>
                <w:top w:val="none" w:sz="0" w:space="0" w:color="auto"/>
                <w:left w:val="none" w:sz="0" w:space="0" w:color="auto"/>
                <w:bottom w:val="none" w:sz="0" w:space="0" w:color="auto"/>
                <w:right w:val="none" w:sz="0" w:space="0" w:color="auto"/>
              </w:divBdr>
              <w:divsChild>
                <w:div w:id="856769116">
                  <w:marLeft w:val="0"/>
                  <w:marRight w:val="0"/>
                  <w:marTop w:val="0"/>
                  <w:marBottom w:val="0"/>
                  <w:divBdr>
                    <w:top w:val="none" w:sz="0" w:space="0" w:color="auto"/>
                    <w:left w:val="none" w:sz="0" w:space="0" w:color="auto"/>
                    <w:bottom w:val="none" w:sz="0" w:space="0" w:color="auto"/>
                    <w:right w:val="none" w:sz="0" w:space="0" w:color="auto"/>
                  </w:divBdr>
                  <w:divsChild>
                    <w:div w:id="1637948993">
                      <w:marLeft w:val="0"/>
                      <w:marRight w:val="0"/>
                      <w:marTop w:val="0"/>
                      <w:marBottom w:val="0"/>
                      <w:divBdr>
                        <w:top w:val="none" w:sz="0" w:space="0" w:color="auto"/>
                        <w:left w:val="none" w:sz="0" w:space="0" w:color="auto"/>
                        <w:bottom w:val="none" w:sz="0" w:space="0" w:color="auto"/>
                        <w:right w:val="none" w:sz="0" w:space="0" w:color="auto"/>
                      </w:divBdr>
                      <w:divsChild>
                        <w:div w:id="812868010">
                          <w:marLeft w:val="0"/>
                          <w:marRight w:val="0"/>
                          <w:marTop w:val="0"/>
                          <w:marBottom w:val="0"/>
                          <w:divBdr>
                            <w:top w:val="none" w:sz="0" w:space="0" w:color="auto"/>
                            <w:left w:val="none" w:sz="0" w:space="0" w:color="auto"/>
                            <w:bottom w:val="none" w:sz="0" w:space="0" w:color="auto"/>
                            <w:right w:val="none" w:sz="0" w:space="0" w:color="auto"/>
                          </w:divBdr>
                          <w:divsChild>
                            <w:div w:id="1872036115">
                              <w:marLeft w:val="0"/>
                              <w:marRight w:val="0"/>
                              <w:marTop w:val="0"/>
                              <w:marBottom w:val="0"/>
                              <w:divBdr>
                                <w:top w:val="none" w:sz="0" w:space="0" w:color="auto"/>
                                <w:left w:val="none" w:sz="0" w:space="0" w:color="auto"/>
                                <w:bottom w:val="none" w:sz="0" w:space="0" w:color="auto"/>
                                <w:right w:val="none" w:sz="0" w:space="0" w:color="auto"/>
                              </w:divBdr>
                              <w:divsChild>
                                <w:div w:id="954601639">
                                  <w:marLeft w:val="0"/>
                                  <w:marRight w:val="0"/>
                                  <w:marTop w:val="0"/>
                                  <w:marBottom w:val="0"/>
                                  <w:divBdr>
                                    <w:top w:val="none" w:sz="0" w:space="0" w:color="auto"/>
                                    <w:left w:val="none" w:sz="0" w:space="0" w:color="auto"/>
                                    <w:bottom w:val="none" w:sz="0" w:space="0" w:color="auto"/>
                                    <w:right w:val="none" w:sz="0" w:space="0" w:color="auto"/>
                                  </w:divBdr>
                                  <w:divsChild>
                                    <w:div w:id="1811435567">
                                      <w:marLeft w:val="0"/>
                                      <w:marRight w:val="0"/>
                                      <w:marTop w:val="0"/>
                                      <w:marBottom w:val="0"/>
                                      <w:divBdr>
                                        <w:top w:val="none" w:sz="0" w:space="0" w:color="auto"/>
                                        <w:left w:val="none" w:sz="0" w:space="0" w:color="auto"/>
                                        <w:bottom w:val="none" w:sz="0" w:space="0" w:color="auto"/>
                                        <w:right w:val="none" w:sz="0" w:space="0" w:color="auto"/>
                                      </w:divBdr>
                                      <w:divsChild>
                                        <w:div w:id="17774916">
                                          <w:marLeft w:val="0"/>
                                          <w:marRight w:val="0"/>
                                          <w:marTop w:val="0"/>
                                          <w:marBottom w:val="0"/>
                                          <w:divBdr>
                                            <w:top w:val="none" w:sz="0" w:space="0" w:color="auto"/>
                                            <w:left w:val="none" w:sz="0" w:space="0" w:color="auto"/>
                                            <w:bottom w:val="none" w:sz="0" w:space="0" w:color="auto"/>
                                            <w:right w:val="none" w:sz="0" w:space="0" w:color="auto"/>
                                          </w:divBdr>
                                          <w:divsChild>
                                            <w:div w:id="34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R20160000147683</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Fundraising</TermName>
          <TermId>57247f8c-7a2c-4c30-b3fe-5e4b2518355f</TermId>
        </TermInfo>
      </Terms>
    </o6f7b05c02124a86ab66ebac6d22533a>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SignificantFlag xmlns="da7a9ac0-bc47-4684-84e6-3a8e9ac80c12">false</SignificantFlag>
    <SenateOrder12 xmlns="da7a9ac0-bc47-4684-84e6-3a8e9ac80c12">false</SenateOrder12>
    <f81d19442bcb4ccea91b7b9f4cc7063b xmlns="da7a9ac0-bc47-4684-84e6-3a8e9ac80c12" xsi:nil="true"/>
    <ded95d7ab059406991d558011d18c177 xmlns="da7a9ac0-bc47-4684-84e6-3a8e9ac80c12" xsi:nil="true"/>
    <j13b61425a27404b97e911f7cc058c3a xmlns="da7a9ac0-bc47-4684-84e6-3a8e9ac80c12" xsi:nil="true"/>
    <Approvers xmlns="17f478ab-373e-4295-9ff0-9b833ad01319">
      <UserInfo>
        <DisplayName/>
        <AccountId xsi:nil="true"/>
        <AccountType/>
      </UserInfo>
    </Approvers>
    <k48e9257605e4fa884546a6d62c7455f xmlns="e9348453-31dc-4ff8-a944-f262a0a992aa">
      <Terms xmlns="http://schemas.microsoft.com/office/infopath/2007/PartnerControls"/>
    </k48e9257605e4fa884546a6d62c7455f>
    <Reviewers xmlns="17f478ab-373e-4295-9ff0-9b833ad01319">
      <UserInfo>
        <DisplayName/>
        <AccountId xsi:nil="true"/>
        <AccountType/>
      </UserInfo>
    </Reviewers>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Draft information sheet / guidance</TermName>
          <TermId>4033bbf5-a63e-4c78-b5db-d9e223685187</TermId>
        </TermInfo>
      </Terms>
    </be88c94b67ae4f5686cb52243c3cb97f>
    <TaxCatchAll xmlns="e9348453-31dc-4ff8-a944-f262a0a992aa">
      <Value>6</Value>
      <Value>45</Value>
      <Value>35</Value>
    </TaxCatchAll>
    <NotesLinks xmlns="da7a9ac0-bc47-4684-84e6-3a8e9ac80c12" xsi:nil="true"/>
  </documentManagement>
</p:properties>
</file>

<file path=customXml/itemProps1.xml><?xml version="1.0" encoding="utf-8"?>
<ds:datastoreItem xmlns:ds="http://schemas.openxmlformats.org/officeDocument/2006/customXml" ds:itemID="{8A62F810-1605-4BF6-AC91-89AC7F47B856}"/>
</file>

<file path=customXml/itemProps2.xml><?xml version="1.0" encoding="utf-8"?>
<ds:datastoreItem xmlns:ds="http://schemas.openxmlformats.org/officeDocument/2006/customXml" ds:itemID="{F0EE7466-46A5-4830-BCF0-D84808E22275}"/>
</file>

<file path=customXml/itemProps3.xml><?xml version="1.0" encoding="utf-8"?>
<ds:datastoreItem xmlns:ds="http://schemas.openxmlformats.org/officeDocument/2006/customXml" ds:itemID="{F371606F-3423-46DC-BD8E-B745877F4A8E}"/>
</file>

<file path=customXml/itemProps4.xml><?xml version="1.0" encoding="utf-8"?>
<ds:datastoreItem xmlns:ds="http://schemas.openxmlformats.org/officeDocument/2006/customXml" ds:itemID="{AF49339C-54BA-426B-AA15-795627691921}"/>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michael.jukes</cp:lastModifiedBy>
  <cp:revision>3</cp:revision>
  <dcterms:created xsi:type="dcterms:W3CDTF">2016-03-09T13:53:00Z</dcterms:created>
  <dcterms:modified xsi:type="dcterms:W3CDTF">2016-03-10T01:59:00Z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0x010100B5F685A1365F544391EF8C813B164F3A4500EE62F54289E0A64A971A02886F5F2428</vt:lpwstr>
  </property>
  <property fmtid="{D5CDD505-2E9C-101B-9397-08002B2CF9AE}" pid="3" name="SecurityClassification">
    <vt:lpwstr>6;#Sensitive|19fd2cb8-3e97-4464-ae71-8c2c2095d028</vt:lpwstr>
  </property>
  <property fmtid="{D5CDD505-2E9C-101B-9397-08002B2CF9AE}" pid="4" name="Project_x0020_Subject_x0020_Matter">
    <vt:lpwstr>35;#Fundraising|57247f8c-7a2c-4c30-b3fe-5e4b2518355f</vt:lpwstr>
  </property>
  <property fmtid="{D5CDD505-2E9C-101B-9397-08002B2CF9AE}" pid="5" name="RecordPoint_WorkflowType">
    <vt:lpwstr>ActiveSubmitStub</vt:lpwstr>
  </property>
  <property fmtid="{D5CDD505-2E9C-101B-9397-08002B2CF9AE}" pid="6" name="Corps_x0020_and_x0020_EMR_x0020_Project_x0020_Category">
    <vt:lpwstr/>
  </property>
  <property fmtid="{D5CDD505-2E9C-101B-9397-08002B2CF9AE}" pid="7" name="RecordPoint_ActiveItemUniqueId">
    <vt:lpwstr>{def28566-28f0-487e-a48e-6b758a1f39da}</vt:lpwstr>
  </property>
  <property fmtid="{D5CDD505-2E9C-101B-9397-08002B2CF9AE}" pid="8" name="Coprs_x0020_and_x0020_EMR_x0020_Project_x0020_Document_x0020_Type">
    <vt:lpwstr>45;#Draft information sheet / guidance|4033bbf5-a63e-4c78-b5db-d9e223685187</vt:lpwstr>
  </property>
  <property fmtid="{D5CDD505-2E9C-101B-9397-08002B2CF9AE}" pid="9" name="Coprs and EMR Project Document Type">
    <vt:lpwstr>45;#Draft information sheet / guidance|4033bbf5-a63e-4c78-b5db-d9e223685187</vt:lpwstr>
  </property>
  <property fmtid="{D5CDD505-2E9C-101B-9397-08002B2CF9AE}" pid="10" name="Project Subject Matter">
    <vt:lpwstr>35;#Fundraising|57247f8c-7a2c-4c30-b3fe-5e4b2518355f</vt:lpwstr>
  </property>
  <property fmtid="{D5CDD505-2E9C-101B-9397-08002B2CF9AE}" pid="11" name="RecordPoint_ActiveItemWebId">
    <vt:lpwstr>{e9348453-31dc-4ff8-a944-f262a0a992aa}</vt:lpwstr>
  </property>
  <property fmtid="{D5CDD505-2E9C-101B-9397-08002B2CF9AE}" pid="12" name="RecordPoint_ActiveItemSiteId">
    <vt:lpwstr>{391948b1-0a6e-44a7-97de-e041c6b33d8e}</vt:lpwstr>
  </property>
  <property fmtid="{D5CDD505-2E9C-101B-9397-08002B2CF9AE}" pid="13" name="RecordPoint_ActiveItemListId">
    <vt:lpwstr>{cc56f702-e3e0-43ff-9052-466a84efb4bf}</vt:lpwstr>
  </property>
  <property fmtid="{D5CDD505-2E9C-101B-9397-08002B2CF9AE}" pid="14" name="ProjectName">
    <vt:lpwstr/>
  </property>
  <property fmtid="{D5CDD505-2E9C-101B-9397-08002B2CF9AE}" pid="15" name="b3167cad23c140d09ce7c051d06877b5">
    <vt:lpwstr/>
  </property>
  <property fmtid="{D5CDD505-2E9C-101B-9397-08002B2CF9AE}" pid="16" name="Corps and EMR Project Category">
    <vt:lpwstr/>
  </property>
  <property fmtid="{D5CDD505-2E9C-101B-9397-08002B2CF9AE}" pid="17" name="RecordPoint_SubmissionDate">
    <vt:lpwstr/>
  </property>
  <property fmtid="{D5CDD505-2E9C-101B-9397-08002B2CF9AE}" pid="18" name="RecordPoint_RecordNumberSubmitted">
    <vt:lpwstr>R20160000147683</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2016-03-10T04:18:44.2670082+11:00</vt:lpwstr>
  </property>
  <property fmtid="{D5CDD505-2E9C-101B-9397-08002B2CF9AE}" pid="22" name="IconOverlay">
    <vt:lpwstr/>
  </property>
</Properties>
</file>