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9EABF" w14:textId="77777777" w:rsidR="00AC02C2" w:rsidRDefault="00AC02C2" w:rsidP="001B745E">
      <w:pPr>
        <w:pStyle w:val="Title"/>
        <w:spacing w:after="0"/>
      </w:pPr>
      <w:bookmarkStart w:id="0" w:name="_GoBack"/>
      <w:bookmarkEnd w:id="0"/>
    </w:p>
    <w:p w14:paraId="0E4FE4F7" w14:textId="77777777" w:rsidR="001B745E" w:rsidRDefault="005B0E3A" w:rsidP="001B745E">
      <w:pPr>
        <w:spacing w:after="0"/>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p>
    <w:p w14:paraId="330D7F9B" w14:textId="77777777" w:rsidR="00744761" w:rsidRDefault="005B0E3A" w:rsidP="001B745E">
      <w:pPr>
        <w:spacing w:after="0"/>
        <w:jc w:val="center"/>
        <w:rPr>
          <w:b/>
          <w:color w:val="000000"/>
          <w:spacing w:val="-1"/>
          <w:sz w:val="28"/>
        </w:rPr>
      </w:pPr>
      <w:r>
        <w:rPr>
          <w:b/>
          <w:color w:val="000000"/>
          <w:spacing w:val="-1"/>
          <w:sz w:val="28"/>
        </w:rPr>
        <w:br/>
      </w:r>
      <w:r w:rsidR="001B745E">
        <w:rPr>
          <w:b/>
          <w:color w:val="000000"/>
          <w:spacing w:val="-1"/>
          <w:sz w:val="28"/>
        </w:rPr>
        <w:t>ASIC CORPORATIONS (</w:t>
      </w:r>
      <w:r w:rsidR="00660A14">
        <w:rPr>
          <w:b/>
          <w:color w:val="000000"/>
          <w:spacing w:val="-1"/>
          <w:sz w:val="28"/>
        </w:rPr>
        <w:t xml:space="preserve">OFFERS OF CONVERTIBLES) </w:t>
      </w:r>
    </w:p>
    <w:p w14:paraId="22B9EAC0" w14:textId="27E51F66" w:rsidR="005B0E3A" w:rsidRDefault="00660A14" w:rsidP="001B745E">
      <w:pPr>
        <w:spacing w:after="0"/>
        <w:jc w:val="center"/>
        <w:rPr>
          <w:b/>
          <w:color w:val="000000"/>
          <w:spacing w:val="-1"/>
          <w:sz w:val="28"/>
        </w:rPr>
      </w:pPr>
      <w:r>
        <w:rPr>
          <w:b/>
          <w:color w:val="000000"/>
          <w:spacing w:val="-1"/>
          <w:sz w:val="28"/>
        </w:rPr>
        <w:t>INSTRUMENT 2016/83</w:t>
      </w:r>
      <w:r w:rsidR="001B745E">
        <w:rPr>
          <w:b/>
          <w:color w:val="000000"/>
          <w:spacing w:val="-1"/>
          <w:sz w:val="28"/>
        </w:rPr>
        <w:t xml:space="preserve"> </w:t>
      </w:r>
    </w:p>
    <w:p w14:paraId="332B0D1B" w14:textId="77777777" w:rsidR="001B745E" w:rsidRDefault="001B745E" w:rsidP="001B745E">
      <w:pPr>
        <w:spacing w:after="0"/>
        <w:jc w:val="center"/>
        <w:rPr>
          <w:sz w:val="28"/>
          <w:szCs w:val="28"/>
        </w:rPr>
      </w:pPr>
    </w:p>
    <w:p w14:paraId="22B9EAC1" w14:textId="77777777" w:rsidR="005B0E3A" w:rsidRDefault="005B0E3A" w:rsidP="001B745E">
      <w:pPr>
        <w:pStyle w:val="BodyText"/>
        <w:spacing w:before="0" w:line="240" w:lineRule="auto"/>
        <w:jc w:val="center"/>
      </w:pPr>
      <w:r>
        <w:t>Prepared by the Australian Securities and Investments Commission</w:t>
      </w:r>
    </w:p>
    <w:p w14:paraId="22B9EAC2" w14:textId="77777777" w:rsidR="005B0E3A" w:rsidRDefault="005B0E3A" w:rsidP="001B745E">
      <w:pPr>
        <w:spacing w:after="0"/>
        <w:jc w:val="center"/>
      </w:pPr>
    </w:p>
    <w:p w14:paraId="22B9EAC3" w14:textId="77777777" w:rsidR="005B0E3A" w:rsidRDefault="005B0E3A" w:rsidP="001B745E">
      <w:pPr>
        <w:spacing w:after="0"/>
        <w:jc w:val="center"/>
        <w:rPr>
          <w:sz w:val="24"/>
          <w:szCs w:val="24"/>
        </w:rPr>
      </w:pPr>
      <w:r>
        <w:rPr>
          <w:i/>
          <w:sz w:val="24"/>
        </w:rPr>
        <w:t>Corporations Act 2001</w:t>
      </w:r>
    </w:p>
    <w:p w14:paraId="22B9EAC4" w14:textId="77777777" w:rsidR="005B0E3A" w:rsidRDefault="005B0E3A" w:rsidP="001B745E">
      <w:pPr>
        <w:spacing w:after="0"/>
      </w:pPr>
    </w:p>
    <w:p w14:paraId="22B9EAC5" w14:textId="0AF16554" w:rsidR="00843FDB" w:rsidRDefault="005B0E3A" w:rsidP="001B745E">
      <w:pPr>
        <w:pStyle w:val="BodyText"/>
        <w:spacing w:before="0" w:line="240" w:lineRule="auto"/>
        <w:rPr>
          <w:color w:val="000000"/>
          <w:spacing w:val="-1"/>
        </w:rPr>
      </w:pPr>
      <w:r>
        <w:t xml:space="preserve">The Australian Securities and </w:t>
      </w:r>
      <w:r>
        <w:rPr>
          <w:spacing w:val="-1"/>
        </w:rPr>
        <w:t>Investments</w:t>
      </w:r>
      <w:r>
        <w:t xml:space="preserve"> </w:t>
      </w:r>
      <w:r>
        <w:rPr>
          <w:spacing w:val="-1"/>
        </w:rPr>
        <w:t>Commission</w:t>
      </w:r>
      <w:r>
        <w:t xml:space="preserve"> (</w:t>
      </w:r>
      <w:r w:rsidRPr="001B745E">
        <w:rPr>
          <w:b/>
          <w:i/>
        </w:rPr>
        <w:t>ASIC</w:t>
      </w:r>
      <w:r>
        <w:t xml:space="preserve">) </w:t>
      </w:r>
      <w:r>
        <w:rPr>
          <w:spacing w:val="-1"/>
        </w:rPr>
        <w:t>makes</w:t>
      </w:r>
      <w:r>
        <w:t xml:space="preserve"> </w:t>
      </w:r>
      <w:r w:rsidR="00843FDB" w:rsidRPr="000F3C06">
        <w:t>ASIC Corporat</w:t>
      </w:r>
      <w:r w:rsidR="00140333" w:rsidRPr="000F3C06">
        <w:t>ions (</w:t>
      </w:r>
      <w:r w:rsidR="00660A14">
        <w:t>Offers of Convertibles</w:t>
      </w:r>
      <w:r w:rsidR="00A663C5" w:rsidRPr="000F3C06">
        <w:t>) Instrument 2016</w:t>
      </w:r>
      <w:r w:rsidR="00660A14">
        <w:t xml:space="preserve">/83 </w:t>
      </w:r>
      <w:r>
        <w:rPr>
          <w:color w:val="000000"/>
          <w:spacing w:val="-1"/>
        </w:rPr>
        <w:t xml:space="preserve">under </w:t>
      </w:r>
      <w:r w:rsidR="00843FDB">
        <w:rPr>
          <w:color w:val="000000"/>
          <w:spacing w:val="-1"/>
        </w:rPr>
        <w:t xml:space="preserve">section 741 of the </w:t>
      </w:r>
      <w:r w:rsidR="00843FDB">
        <w:rPr>
          <w:i/>
          <w:color w:val="000000"/>
          <w:spacing w:val="-1"/>
        </w:rPr>
        <w:t xml:space="preserve">Corporations Act 2001 </w:t>
      </w:r>
      <w:r w:rsidR="00843FDB">
        <w:rPr>
          <w:color w:val="000000"/>
          <w:spacing w:val="-1"/>
        </w:rPr>
        <w:t xml:space="preserve">(the </w:t>
      </w:r>
      <w:r w:rsidR="00843FDB" w:rsidRPr="001B745E">
        <w:rPr>
          <w:b/>
          <w:i/>
          <w:color w:val="000000"/>
          <w:spacing w:val="-1"/>
        </w:rPr>
        <w:t>Act</w:t>
      </w:r>
      <w:r w:rsidR="00843FDB">
        <w:rPr>
          <w:color w:val="000000"/>
          <w:spacing w:val="-1"/>
        </w:rPr>
        <w:t>)</w:t>
      </w:r>
      <w:r>
        <w:rPr>
          <w:color w:val="000000"/>
          <w:spacing w:val="-1"/>
        </w:rPr>
        <w:t xml:space="preserve">. </w:t>
      </w:r>
    </w:p>
    <w:p w14:paraId="07619489" w14:textId="77777777" w:rsidR="001B745E" w:rsidRDefault="001B745E" w:rsidP="001B745E">
      <w:pPr>
        <w:pStyle w:val="BodyText"/>
        <w:spacing w:before="0" w:line="240" w:lineRule="auto"/>
        <w:rPr>
          <w:color w:val="000000"/>
          <w:spacing w:val="-1"/>
        </w:rPr>
      </w:pPr>
    </w:p>
    <w:p w14:paraId="3498A5B8" w14:textId="5A0C3B8C" w:rsidR="00660A14" w:rsidRPr="00660A14" w:rsidRDefault="00660A14" w:rsidP="00660A14">
      <w:pPr>
        <w:spacing w:after="0"/>
        <w:rPr>
          <w:sz w:val="24"/>
          <w:lang w:eastAsia="en-US"/>
        </w:rPr>
      </w:pPr>
      <w:r w:rsidRPr="00660A14">
        <w:rPr>
          <w:sz w:val="24"/>
          <w:lang w:eastAsia="en-US"/>
        </w:rPr>
        <w:t>Subsection 741(1) of the Act provides that ASIC may exempt a person from a provision of Chapter 6D of the Act or declare that the Chapter applies to a person as if specified provisions were omitted, modified or varied as specified in the declaration.</w:t>
      </w:r>
    </w:p>
    <w:p w14:paraId="22B9EAC7" w14:textId="77777777" w:rsidR="005B0E3A" w:rsidRDefault="005B0E3A" w:rsidP="001B745E">
      <w:pPr>
        <w:spacing w:after="0"/>
      </w:pPr>
    </w:p>
    <w:p w14:paraId="22B9EAC8" w14:textId="77777777" w:rsidR="005B0E3A" w:rsidRDefault="005B0E3A" w:rsidP="001B745E">
      <w:pPr>
        <w:widowControl w:val="0"/>
        <w:numPr>
          <w:ilvl w:val="0"/>
          <w:numId w:val="7"/>
        </w:numPr>
        <w:tabs>
          <w:tab w:val="left" w:pos="567"/>
        </w:tabs>
        <w:spacing w:after="0"/>
        <w:ind w:left="0" w:firstLine="0"/>
        <w:rPr>
          <w:rFonts w:ascii="Arial" w:eastAsia="Arial" w:hAnsi="Arial" w:cs="Arial"/>
          <w:sz w:val="24"/>
          <w:szCs w:val="24"/>
        </w:rPr>
      </w:pPr>
      <w:bookmarkStart w:id="1" w:name="1._Background"/>
      <w:bookmarkEnd w:id="1"/>
      <w:r>
        <w:rPr>
          <w:rFonts w:ascii="Arial"/>
          <w:b/>
          <w:spacing w:val="-1"/>
          <w:sz w:val="24"/>
        </w:rPr>
        <w:t>Background</w:t>
      </w:r>
    </w:p>
    <w:p w14:paraId="22B9EAC9" w14:textId="77777777" w:rsidR="005B0E3A" w:rsidRDefault="005B0E3A" w:rsidP="001B745E">
      <w:pPr>
        <w:spacing w:after="0"/>
      </w:pPr>
    </w:p>
    <w:p w14:paraId="22B9EACB" w14:textId="77777777" w:rsidR="00FD4C5E" w:rsidRDefault="00FD4C5E" w:rsidP="001B745E">
      <w:pPr>
        <w:pStyle w:val="BodyText"/>
        <w:spacing w:before="0" w:line="240" w:lineRule="auto"/>
      </w:pPr>
      <w:r w:rsidRPr="00FD4C5E">
        <w:t>Chapter 6D of the Act establishes the statutory regime applying to fundraising through the offer of securities for issue or sale in Australia. It addresses the circumstances in which a person offering securities for issue or sale must lodge a disclosure document with ASIC and the relevant form, content and procedural requirements applying to those disclosure documents. Chapter 6D also sets out certain prohibited conduct in relation to fundraising activity and outlines the circumstances in and extent to which persons may be liable for defective disclosure documents. Chapter 6D also provides certain statutory remedies for investors.</w:t>
      </w:r>
    </w:p>
    <w:p w14:paraId="4ACD2F48" w14:textId="77777777" w:rsidR="001B745E" w:rsidRDefault="001B745E" w:rsidP="001B745E">
      <w:pPr>
        <w:pStyle w:val="BodyText"/>
        <w:spacing w:before="0" w:line="240" w:lineRule="auto"/>
      </w:pPr>
    </w:p>
    <w:p w14:paraId="22B9EACC" w14:textId="77777777" w:rsidR="002379B2" w:rsidRDefault="002379B2" w:rsidP="001B745E">
      <w:pPr>
        <w:pStyle w:val="BodyText"/>
        <w:spacing w:before="0" w:line="240" w:lineRule="auto"/>
      </w:pPr>
      <w:r>
        <w:t xml:space="preserve">The statutory regime applying to fundraising through the offer of securities for issue or sale was substantially rewritten in March 2000 by the </w:t>
      </w:r>
      <w:r w:rsidRPr="003C3285">
        <w:rPr>
          <w:i/>
        </w:rPr>
        <w:t>Corporate Law Economic Reform Program Act 199</w:t>
      </w:r>
      <w:r w:rsidRPr="009053AD">
        <w:rPr>
          <w:i/>
        </w:rPr>
        <w:t>9</w:t>
      </w:r>
      <w:r>
        <w:t xml:space="preserve"> (the </w:t>
      </w:r>
      <w:r w:rsidRPr="003C3285">
        <w:rPr>
          <w:b/>
          <w:i/>
        </w:rPr>
        <w:t>CLERP Act</w:t>
      </w:r>
      <w:r>
        <w:t xml:space="preserve">). The CLERP Act amended the </w:t>
      </w:r>
      <w:r w:rsidRPr="003F5FF5">
        <w:rPr>
          <w:i/>
        </w:rPr>
        <w:t>Corporations Law</w:t>
      </w:r>
      <w:r>
        <w:rPr>
          <w:i/>
        </w:rPr>
        <w:t xml:space="preserve"> (</w:t>
      </w:r>
      <w:r>
        <w:t xml:space="preserve">the </w:t>
      </w:r>
      <w:r w:rsidRPr="009053AD">
        <w:rPr>
          <w:b/>
          <w:i/>
        </w:rPr>
        <w:t>Law</w:t>
      </w:r>
      <w:r>
        <w:rPr>
          <w:i/>
        </w:rPr>
        <w:t>)</w:t>
      </w:r>
      <w:r>
        <w:t xml:space="preserve">  by repealing Part 7.12—which previously contained the fundraising provisions— and inserting  new Chapter 6D. Chapter 6D of the Law was retained in substantially the same form with the enactment of the Act in 2001.</w:t>
      </w:r>
    </w:p>
    <w:p w14:paraId="27EF7CDE" w14:textId="77777777" w:rsidR="001B745E" w:rsidRDefault="001B745E" w:rsidP="001B745E">
      <w:pPr>
        <w:pStyle w:val="BodyText"/>
        <w:spacing w:before="0" w:line="240" w:lineRule="auto"/>
      </w:pPr>
    </w:p>
    <w:p w14:paraId="6243D991" w14:textId="5B44FE86" w:rsidR="009C4498" w:rsidRDefault="001B745E" w:rsidP="009C4498">
      <w:pPr>
        <w:pStyle w:val="BodyText"/>
        <w:spacing w:before="0" w:line="240" w:lineRule="auto"/>
      </w:pPr>
      <w:r w:rsidRPr="001B745E">
        <w:t xml:space="preserve">Since the implementation of the CLERP Act, ASIC has made a number of exemptions from, and modifications to, the fundraising provisions in Chapter 6D with a view to addressing certain technical issues and anomalies in relation to their operation. </w:t>
      </w:r>
      <w:r w:rsidR="009C4498">
        <w:t>This relief</w:t>
      </w:r>
      <w:r>
        <w:t xml:space="preserve"> include</w:t>
      </w:r>
      <w:r w:rsidR="009C4498">
        <w:t>s</w:t>
      </w:r>
      <w:r w:rsidR="005B2DF0" w:rsidRPr="005B2DF0">
        <w:t xml:space="preserve"> </w:t>
      </w:r>
      <w:r w:rsidR="002379B2" w:rsidRPr="005B2DF0">
        <w:t xml:space="preserve">Class Order </w:t>
      </w:r>
      <w:r w:rsidR="005B2DF0" w:rsidRPr="005B2DF0">
        <w:t>[CO 00/</w:t>
      </w:r>
      <w:r w:rsidR="00660A14">
        <w:t>195</w:t>
      </w:r>
      <w:r w:rsidR="005B2DF0" w:rsidRPr="005B2DF0">
        <w:t xml:space="preserve">] </w:t>
      </w:r>
      <w:r w:rsidR="00660A14">
        <w:rPr>
          <w:i/>
        </w:rPr>
        <w:t>Offer of convertible securities under s713</w:t>
      </w:r>
      <w:r w:rsidR="00660A14">
        <w:t xml:space="preserve"> </w:t>
      </w:r>
      <w:r w:rsidR="009C4498">
        <w:t>to allow a body to use a transaction-specific prospectus under s713 of the Act when offering convertible notes and convertible preference shares on the conversion of which the holder will be issued continuously quoted securities of the body.</w:t>
      </w:r>
    </w:p>
    <w:p w14:paraId="5FFE7833" w14:textId="77777777" w:rsidR="009C4498" w:rsidRDefault="009C4498" w:rsidP="009C4498">
      <w:pPr>
        <w:pStyle w:val="BodyText"/>
      </w:pPr>
    </w:p>
    <w:p w14:paraId="40562547" w14:textId="77777777" w:rsidR="009C4498" w:rsidRDefault="009C4498" w:rsidP="009C4498">
      <w:pPr>
        <w:pStyle w:val="BodyText"/>
      </w:pPr>
      <w:r>
        <w:t xml:space="preserve"> </w:t>
      </w:r>
    </w:p>
    <w:p w14:paraId="43E0EC16" w14:textId="77777777" w:rsidR="009C4498" w:rsidRDefault="009C4498" w:rsidP="009C4498">
      <w:pPr>
        <w:pStyle w:val="BodyText"/>
      </w:pPr>
    </w:p>
    <w:p w14:paraId="35AC84E3" w14:textId="7891AE48" w:rsidR="009C4498" w:rsidRDefault="009C4498" w:rsidP="009C4498">
      <w:pPr>
        <w:pStyle w:val="BodyText"/>
        <w:spacing w:before="0" w:line="240" w:lineRule="auto"/>
      </w:pPr>
      <w:r>
        <w:lastRenderedPageBreak/>
        <w:t>T</w:t>
      </w:r>
      <w:r w:rsidR="00854269">
        <w:t>he exemption under [CO 00/195] wa</w:t>
      </w:r>
      <w:r>
        <w:t xml:space="preserve">s intended to apply to bodies offering convertible securities that would be able to use a transaction-specific prospectus under s713 of the Act for an offer of the underlying continuously quoted securities of the body. However, there is uncertainty as to whether [CO 00/195] operates to allow a body to use a transaction-specific prospectus for an offer of convertible securities on the conversion of which the holder will be issued continuously quoted securities of </w:t>
      </w:r>
      <w:r w:rsidRPr="009C4498">
        <w:rPr>
          <w:i/>
        </w:rPr>
        <w:t xml:space="preserve">another </w:t>
      </w:r>
      <w:r>
        <w:t>body.</w:t>
      </w:r>
    </w:p>
    <w:p w14:paraId="4B93291B" w14:textId="77777777" w:rsidR="009C4498" w:rsidRDefault="009C4498" w:rsidP="009C4498">
      <w:pPr>
        <w:pStyle w:val="BodyText"/>
        <w:spacing w:before="0" w:line="240" w:lineRule="auto"/>
      </w:pPr>
    </w:p>
    <w:p w14:paraId="2D92039F" w14:textId="0DA4F4E5" w:rsidR="009C4498" w:rsidRDefault="009C4498" w:rsidP="009C4498">
      <w:pPr>
        <w:pStyle w:val="BodyText"/>
        <w:spacing w:before="0" w:line="240" w:lineRule="auto"/>
      </w:pPr>
      <w:r>
        <w:t xml:space="preserve">There is also uncertainty as to whether [CO 00/195] operates to allow a body to use a transaction-specific prospectus for an offer of </w:t>
      </w:r>
      <w:r w:rsidRPr="009C4498">
        <w:rPr>
          <w:i/>
        </w:rPr>
        <w:t>converting</w:t>
      </w:r>
      <w:r>
        <w:t xml:space="preserve"> securities. Converting securities are those </w:t>
      </w:r>
      <w:r w:rsidR="00C03101">
        <w:t>under which</w:t>
      </w:r>
      <w:r>
        <w:t xml:space="preserve"> conversion can or may occur automatically in accordance with the terms of the security, on particular dates or if certain events occur.</w:t>
      </w:r>
    </w:p>
    <w:p w14:paraId="09157F8F" w14:textId="77777777" w:rsidR="001B745E" w:rsidRDefault="001B745E" w:rsidP="001B745E">
      <w:pPr>
        <w:pStyle w:val="BodyText"/>
        <w:spacing w:before="0" w:line="240" w:lineRule="auto"/>
      </w:pPr>
    </w:p>
    <w:p w14:paraId="22B9EACE" w14:textId="1E000E28" w:rsidR="002379B2" w:rsidRPr="00D80CB2" w:rsidRDefault="002379B2" w:rsidP="001B745E">
      <w:pPr>
        <w:pStyle w:val="BodyText"/>
        <w:spacing w:before="0" w:line="240" w:lineRule="auto"/>
      </w:pPr>
      <w:r>
        <w:t>ASIC has recently reviewed the policy underlying Class Order [CO 00/</w:t>
      </w:r>
      <w:r w:rsidR="00660A14">
        <w:t>195</w:t>
      </w:r>
      <w:r>
        <w:t>]</w:t>
      </w:r>
      <w:r w:rsidR="00DD34F2">
        <w:t xml:space="preserve"> </w:t>
      </w:r>
      <w:r>
        <w:t>as part of</w:t>
      </w:r>
      <w:r w:rsidR="00D100CB">
        <w:t xml:space="preserve"> a</w:t>
      </w:r>
      <w:r>
        <w:t xml:space="preserve"> wider review of class orders relating to the fundraising provisions in Chapter 6D and </w:t>
      </w:r>
      <w:r w:rsidR="009C4498">
        <w:t>considers that the relief in this</w:t>
      </w:r>
      <w:r>
        <w:t xml:space="preserve"> class order is still both necessary and appropriate. Accordingly, ASIC has decided to reissue </w:t>
      </w:r>
      <w:r w:rsidR="00854269">
        <w:t>and clarify the relief available in</w:t>
      </w:r>
      <w:r>
        <w:t xml:space="preserve"> Class Order [CO</w:t>
      </w:r>
      <w:r w:rsidR="00C35C60">
        <w:t> </w:t>
      </w:r>
      <w:r>
        <w:t>00/</w:t>
      </w:r>
      <w:r w:rsidR="00660A14">
        <w:t>195</w:t>
      </w:r>
      <w:r w:rsidR="00DD34F2">
        <w:t>]</w:t>
      </w:r>
      <w:r>
        <w:t xml:space="preserve"> in </w:t>
      </w:r>
      <w:r w:rsidRPr="00D80CB2">
        <w:t>ASIC Corporations (</w:t>
      </w:r>
      <w:r w:rsidR="00660A14">
        <w:t>Offers of Convertibles</w:t>
      </w:r>
      <w:r w:rsidR="00A663C5" w:rsidRPr="00D80CB2">
        <w:t>) Instrument 2016</w:t>
      </w:r>
      <w:r w:rsidR="00660A14">
        <w:t>/8</w:t>
      </w:r>
      <w:r w:rsidR="00744761">
        <w:t>3</w:t>
      </w:r>
      <w:r w:rsidRPr="00D80CB2">
        <w:t>.</w:t>
      </w:r>
    </w:p>
    <w:p w14:paraId="4A279E45" w14:textId="77777777" w:rsidR="00D80CB2" w:rsidRDefault="00D80CB2" w:rsidP="001B745E">
      <w:pPr>
        <w:pStyle w:val="BodyText"/>
        <w:spacing w:before="0" w:line="240" w:lineRule="auto"/>
      </w:pPr>
    </w:p>
    <w:p w14:paraId="0718F08F" w14:textId="3DF69BFA" w:rsidR="00D80CB2" w:rsidRPr="00D80CB2" w:rsidRDefault="00D80CB2" w:rsidP="00D80CB2">
      <w:pPr>
        <w:pStyle w:val="BodyText"/>
        <w:spacing w:before="0" w:line="240" w:lineRule="auto"/>
      </w:pPr>
      <w:r w:rsidRPr="00D80CB2">
        <w:t xml:space="preserve">The </w:t>
      </w:r>
      <w:r w:rsidRPr="00D80CB2">
        <w:rPr>
          <w:i/>
        </w:rPr>
        <w:t>Legislation Act 2003</w:t>
      </w:r>
      <w:r w:rsidRPr="00D80CB2">
        <w:t xml:space="preserve"> (the </w:t>
      </w:r>
      <w:r w:rsidRPr="00D80CB2">
        <w:rPr>
          <w:b/>
          <w:i/>
        </w:rPr>
        <w:t>LA</w:t>
      </w:r>
      <w:r w:rsidRPr="00D80CB2">
        <w:t>) provides for the periodic expiry of legislative instruments (‘</w:t>
      </w:r>
      <w:proofErr w:type="spellStart"/>
      <w:r w:rsidRPr="00D80CB2">
        <w:t>sunsetting</w:t>
      </w:r>
      <w:proofErr w:type="spellEnd"/>
      <w:r w:rsidRPr="00D80CB2">
        <w:t xml:space="preserve">’) to ensure that they are kept up to date and only remain in force for as long as they are needed. </w:t>
      </w:r>
      <w:r w:rsidR="002379B2">
        <w:t xml:space="preserve">Class Order [CO </w:t>
      </w:r>
      <w:r w:rsidR="00660A14">
        <w:t>00/195</w:t>
      </w:r>
      <w:r w:rsidR="00DD34F2">
        <w:t>]</w:t>
      </w:r>
      <w:r w:rsidR="002379B2">
        <w:t xml:space="preserve">, </w:t>
      </w:r>
      <w:r w:rsidR="00140333">
        <w:t>being</w:t>
      </w:r>
      <w:r w:rsidR="002379B2">
        <w:t xml:space="preserve"> </w:t>
      </w:r>
      <w:r w:rsidR="00660A14">
        <w:t xml:space="preserve">a </w:t>
      </w:r>
      <w:r w:rsidR="002379B2">
        <w:t xml:space="preserve">legislative instrument, </w:t>
      </w:r>
      <w:r w:rsidR="00660A14">
        <w:t xml:space="preserve">was </w:t>
      </w:r>
      <w:r w:rsidR="002379B2">
        <w:t xml:space="preserve">scheduled to </w:t>
      </w:r>
      <w:r w:rsidRPr="00D80CB2">
        <w:t xml:space="preserve">eventually expire under the </w:t>
      </w:r>
      <w:proofErr w:type="spellStart"/>
      <w:r w:rsidRPr="00D80CB2">
        <w:t>sunsetting</w:t>
      </w:r>
      <w:proofErr w:type="spellEnd"/>
      <w:r w:rsidRPr="00D80CB2">
        <w:t xml:space="preserve"> provisions of the LA. </w:t>
      </w:r>
    </w:p>
    <w:p w14:paraId="2998716F" w14:textId="77777777" w:rsidR="00D80CB2" w:rsidRDefault="00D80CB2" w:rsidP="001B745E">
      <w:pPr>
        <w:pStyle w:val="BodyText"/>
        <w:spacing w:before="0" w:line="240" w:lineRule="auto"/>
      </w:pPr>
    </w:p>
    <w:p w14:paraId="22B9EACF" w14:textId="450249C2" w:rsidR="002379B2" w:rsidRDefault="002379B2" w:rsidP="001B745E">
      <w:pPr>
        <w:pStyle w:val="BodyText"/>
        <w:spacing w:before="0" w:line="240" w:lineRule="auto"/>
      </w:pPr>
      <w:r>
        <w:t>ASIC</w:t>
      </w:r>
      <w:r w:rsidR="00D80CB2">
        <w:t>’</w:t>
      </w:r>
      <w:r>
        <w:t>s review of the policy underlying Class Order [CO 00/</w:t>
      </w:r>
      <w:r w:rsidR="00660A14">
        <w:t>195</w:t>
      </w:r>
      <w:r>
        <w:t xml:space="preserve">]—and subsequent decision to reissue the relief—has provided an opportunity to deal with this imminent expiry and ensure that the relevant relief will continue to be available. </w:t>
      </w:r>
    </w:p>
    <w:p w14:paraId="01A6B2B0" w14:textId="77777777" w:rsidR="00D80CB2" w:rsidRDefault="00D80CB2" w:rsidP="001B745E">
      <w:pPr>
        <w:pStyle w:val="BodyText"/>
        <w:spacing w:before="0" w:line="240" w:lineRule="auto"/>
      </w:pPr>
    </w:p>
    <w:p w14:paraId="22B9EAD0" w14:textId="544BCCC4" w:rsidR="002379B2" w:rsidRDefault="00D80CB2" w:rsidP="001B745E">
      <w:pPr>
        <w:pStyle w:val="BodyText"/>
        <w:spacing w:before="0" w:line="240" w:lineRule="auto"/>
      </w:pPr>
      <w:r w:rsidRPr="00D80CB2">
        <w:t xml:space="preserve">Under ASIC Corporations (Repeal) Instrument 2016/171, </w:t>
      </w:r>
      <w:r w:rsidR="00A663C5">
        <w:t>ASIC has re</w:t>
      </w:r>
      <w:r w:rsidR="008A71C5">
        <w:t>pealed</w:t>
      </w:r>
      <w:r w:rsidR="00A663C5">
        <w:t xml:space="preserve"> </w:t>
      </w:r>
      <w:r>
        <w:t>Class Order [CO </w:t>
      </w:r>
      <w:r w:rsidR="00660A14">
        <w:t xml:space="preserve">00/195] </w:t>
      </w:r>
      <w:r w:rsidR="002379B2">
        <w:t xml:space="preserve">effective from the date that </w:t>
      </w:r>
      <w:r w:rsidR="002379B2" w:rsidRPr="00744761">
        <w:t xml:space="preserve">ASIC Corporations </w:t>
      </w:r>
      <w:r w:rsidR="00DD34F2" w:rsidRPr="00744761">
        <w:t>(</w:t>
      </w:r>
      <w:r w:rsidR="00660A14" w:rsidRPr="00744761">
        <w:t>Offers of Convertibles</w:t>
      </w:r>
      <w:r w:rsidR="00DD34F2" w:rsidRPr="00744761">
        <w:t>)</w:t>
      </w:r>
      <w:r w:rsidR="00A663C5" w:rsidRPr="00744761">
        <w:t xml:space="preserve"> Instrument 2016</w:t>
      </w:r>
      <w:r w:rsidR="00744761" w:rsidRPr="00744761">
        <w:t>/83</w:t>
      </w:r>
      <w:r w:rsidR="002379B2">
        <w:t xml:space="preserve"> commences.</w:t>
      </w:r>
      <w:r w:rsidR="008B46A0">
        <w:t xml:space="preserve"> </w:t>
      </w:r>
    </w:p>
    <w:p w14:paraId="22B9EAD1" w14:textId="77777777" w:rsidR="005B0E3A" w:rsidRDefault="005B0E3A" w:rsidP="001B745E">
      <w:pPr>
        <w:spacing w:after="0"/>
        <w:rPr>
          <w:sz w:val="24"/>
          <w:szCs w:val="24"/>
        </w:rPr>
      </w:pPr>
    </w:p>
    <w:p w14:paraId="22B9EAD2" w14:textId="77777777" w:rsidR="005B0E3A" w:rsidRDefault="005B0E3A" w:rsidP="00D80CB2">
      <w:pPr>
        <w:widowControl w:val="0"/>
        <w:numPr>
          <w:ilvl w:val="0"/>
          <w:numId w:val="7"/>
        </w:numPr>
        <w:tabs>
          <w:tab w:val="left" w:pos="567"/>
        </w:tabs>
        <w:spacing w:after="0"/>
        <w:ind w:left="0" w:firstLine="0"/>
        <w:rPr>
          <w:rFonts w:ascii="Arial"/>
          <w:b/>
          <w:spacing w:val="-1"/>
          <w:sz w:val="24"/>
        </w:rPr>
      </w:pPr>
      <w:bookmarkStart w:id="2" w:name="2._Purpose_of_the_class_order_"/>
      <w:bookmarkEnd w:id="2"/>
      <w:r w:rsidRPr="000F53C8">
        <w:rPr>
          <w:rFonts w:ascii="Arial"/>
          <w:b/>
          <w:spacing w:val="-1"/>
          <w:sz w:val="24"/>
        </w:rPr>
        <w:t>Purpose of the instrument</w:t>
      </w:r>
    </w:p>
    <w:p w14:paraId="35351E85" w14:textId="77777777" w:rsidR="008A71C5" w:rsidRPr="00800E2A" w:rsidRDefault="008A71C5" w:rsidP="001B745E">
      <w:pPr>
        <w:pStyle w:val="BodyText"/>
        <w:spacing w:before="0" w:line="240" w:lineRule="auto"/>
        <w:rPr>
          <w:color w:val="FF0000"/>
        </w:rPr>
      </w:pPr>
      <w:bookmarkStart w:id="3" w:name="Insert_a_level_3_heading_"/>
      <w:bookmarkEnd w:id="3"/>
    </w:p>
    <w:p w14:paraId="54DAC5FB" w14:textId="23C1C42A" w:rsidR="006E2587" w:rsidRDefault="00A663C5" w:rsidP="007F526D">
      <w:pPr>
        <w:pStyle w:val="BodyText"/>
        <w:spacing w:before="0" w:line="240" w:lineRule="auto"/>
      </w:pPr>
      <w:r w:rsidRPr="00854269">
        <w:t>ASIC Corporations (</w:t>
      </w:r>
      <w:r w:rsidR="00854269">
        <w:t>Offers of Convertibles</w:t>
      </w:r>
      <w:r w:rsidRPr="00854269">
        <w:t>) Instrument 2016</w:t>
      </w:r>
      <w:r w:rsidR="008A71C5" w:rsidRPr="00854269">
        <w:t>/</w:t>
      </w:r>
      <w:r w:rsidR="00854269">
        <w:t>83</w:t>
      </w:r>
      <w:r w:rsidR="007F526D">
        <w:t xml:space="preserve"> </w:t>
      </w:r>
      <w:r w:rsidR="0024032A">
        <w:t xml:space="preserve">provides equivalent </w:t>
      </w:r>
      <w:r w:rsidR="007F526D" w:rsidRPr="007F526D">
        <w:t xml:space="preserve">relief </w:t>
      </w:r>
      <w:r w:rsidR="0024032A">
        <w:t xml:space="preserve">to that </w:t>
      </w:r>
      <w:r w:rsidR="007F526D" w:rsidRPr="007F526D">
        <w:t xml:space="preserve">previously provided in </w:t>
      </w:r>
      <w:r w:rsidR="007F526D">
        <w:t>[CO 00/195]</w:t>
      </w:r>
      <w:r w:rsidR="0024032A">
        <w:t>, but is drafted as a modification rather than an exemption (as was the case with [CO 00/195])</w:t>
      </w:r>
      <w:r w:rsidR="007F526D" w:rsidRPr="007F526D">
        <w:t xml:space="preserve">. </w:t>
      </w:r>
      <w:r w:rsidR="007F526D">
        <w:t xml:space="preserve">The instrument </w:t>
      </w:r>
      <w:r w:rsidR="007F526D" w:rsidRPr="00854269">
        <w:t xml:space="preserve">modifies the Act to </w:t>
      </w:r>
      <w:r w:rsidR="007F526D">
        <w:t>allow the offer of convertible notes or convertible preference shares to be made based on information required by s713(2) instead of s710(1)</w:t>
      </w:r>
      <w:r w:rsidR="007F526D" w:rsidRPr="00854269">
        <w:t>.</w:t>
      </w:r>
      <w:r w:rsidR="007F526D">
        <w:t xml:space="preserve"> Th</w:t>
      </w:r>
      <w:r w:rsidR="00C03101">
        <w:t xml:space="preserve">is modification recognises that </w:t>
      </w:r>
      <w:r w:rsidR="007F526D">
        <w:t>the disclosures required by investors for these convertible</w:t>
      </w:r>
      <w:r w:rsidR="00C03101">
        <w:t xml:space="preserve"> notes and convertible preference shares</w:t>
      </w:r>
      <w:r w:rsidR="007F526D">
        <w:t xml:space="preserve"> are similar to those required for the underlying continuously quoted securities</w:t>
      </w:r>
      <w:r w:rsidR="00C03101">
        <w:t xml:space="preserve"> (except that the rights attaching to the convertibles will be different), and the only new information investors should require </w:t>
      </w:r>
      <w:r w:rsidR="00CF5FB4">
        <w:t xml:space="preserve">for the offer </w:t>
      </w:r>
      <w:r w:rsidR="00C03101">
        <w:t xml:space="preserve">is: </w:t>
      </w:r>
      <w:r w:rsidR="007F526D">
        <w:t xml:space="preserve"> </w:t>
      </w:r>
    </w:p>
    <w:p w14:paraId="35BE869C" w14:textId="77777777" w:rsidR="006E2587" w:rsidRDefault="006E2587" w:rsidP="007F526D">
      <w:pPr>
        <w:pStyle w:val="BodyText"/>
        <w:spacing w:before="0" w:line="240" w:lineRule="auto"/>
      </w:pPr>
    </w:p>
    <w:p w14:paraId="19D7ED9F" w14:textId="609B17F3" w:rsidR="006E2587" w:rsidRDefault="006E2587" w:rsidP="006E2587">
      <w:pPr>
        <w:pStyle w:val="BodyText"/>
        <w:spacing w:before="0" w:line="240" w:lineRule="auto"/>
      </w:pPr>
      <w:r>
        <w:t>(a)</w:t>
      </w:r>
      <w:r>
        <w:tab/>
        <w:t>the effect of the offer on the body;</w:t>
      </w:r>
    </w:p>
    <w:p w14:paraId="0BC39A2C" w14:textId="77777777" w:rsidR="006E2587" w:rsidRDefault="006E2587" w:rsidP="006E2587">
      <w:pPr>
        <w:pStyle w:val="BodyText"/>
        <w:spacing w:before="0" w:line="240" w:lineRule="auto"/>
      </w:pPr>
    </w:p>
    <w:p w14:paraId="70CD96AD" w14:textId="77777777" w:rsidR="006E2587" w:rsidRDefault="006E2587" w:rsidP="006E2587">
      <w:pPr>
        <w:pStyle w:val="BodyText"/>
        <w:spacing w:before="0" w:line="240" w:lineRule="auto"/>
        <w:ind w:left="564" w:hanging="564"/>
      </w:pPr>
      <w:r>
        <w:t xml:space="preserve">(b) </w:t>
      </w:r>
      <w:r>
        <w:tab/>
        <w:t>the rights and liabilities attaching to:</w:t>
      </w:r>
    </w:p>
    <w:p w14:paraId="6387D058" w14:textId="77777777" w:rsidR="006E2587" w:rsidRDefault="006E2587" w:rsidP="006E2587">
      <w:pPr>
        <w:pStyle w:val="BodyText"/>
        <w:spacing w:before="0" w:line="240" w:lineRule="auto"/>
        <w:ind w:left="564" w:hanging="564"/>
      </w:pPr>
    </w:p>
    <w:p w14:paraId="6C8AFBF6" w14:textId="77777777" w:rsidR="006E2587" w:rsidRDefault="006E2587" w:rsidP="006E2587">
      <w:pPr>
        <w:pStyle w:val="BodyText"/>
        <w:spacing w:before="0" w:line="240" w:lineRule="auto"/>
        <w:ind w:left="1134" w:hanging="1440"/>
      </w:pPr>
      <w:r>
        <w:tab/>
        <w:t>(</w:t>
      </w:r>
      <w:proofErr w:type="spellStart"/>
      <w:r>
        <w:t>i</w:t>
      </w:r>
      <w:proofErr w:type="spellEnd"/>
      <w:r>
        <w:t>)</w:t>
      </w:r>
      <w:r>
        <w:tab/>
        <w:t xml:space="preserve">the convertibles offered; and </w:t>
      </w:r>
    </w:p>
    <w:p w14:paraId="7B345D87" w14:textId="77777777" w:rsidR="006E2587" w:rsidRDefault="006E2587" w:rsidP="006E2587">
      <w:pPr>
        <w:pStyle w:val="BodyText"/>
        <w:spacing w:before="0" w:line="240" w:lineRule="auto"/>
        <w:ind w:left="1134" w:hanging="1440"/>
      </w:pPr>
    </w:p>
    <w:p w14:paraId="69FE404E" w14:textId="0A12DC35" w:rsidR="006E2587" w:rsidRDefault="006E2587" w:rsidP="006E2587">
      <w:pPr>
        <w:pStyle w:val="BodyText"/>
        <w:spacing w:before="0" w:line="240" w:lineRule="auto"/>
        <w:ind w:left="1134" w:hanging="1440"/>
      </w:pPr>
      <w:r>
        <w:lastRenderedPageBreak/>
        <w:tab/>
        <w:t>(ii)</w:t>
      </w:r>
      <w:r>
        <w:tab/>
        <w:t>the underlying securities into which the convertibles will convert; and</w:t>
      </w:r>
    </w:p>
    <w:p w14:paraId="59F5E4A0" w14:textId="77777777" w:rsidR="006E2587" w:rsidRDefault="006E2587" w:rsidP="006E2587">
      <w:pPr>
        <w:pStyle w:val="BodyText"/>
        <w:spacing w:before="0" w:line="240" w:lineRule="auto"/>
      </w:pPr>
    </w:p>
    <w:p w14:paraId="3218C542" w14:textId="457F7A87" w:rsidR="007F526D" w:rsidRPr="007F526D" w:rsidRDefault="006E2587" w:rsidP="006E2587">
      <w:pPr>
        <w:pStyle w:val="BodyText"/>
        <w:spacing w:before="0" w:line="240" w:lineRule="auto"/>
        <w:ind w:left="564" w:hanging="564"/>
      </w:pPr>
      <w:r>
        <w:t>(c)</w:t>
      </w:r>
      <w:r>
        <w:tab/>
        <w:t>information not previously disclosed to the market, which covers information excluded from a continuous disclosure notice under the relevant listing rules.</w:t>
      </w:r>
    </w:p>
    <w:p w14:paraId="7B544778" w14:textId="5B8F4623" w:rsidR="007F526D" w:rsidRPr="007F526D" w:rsidRDefault="007F526D" w:rsidP="007F526D">
      <w:pPr>
        <w:pStyle w:val="BodyText"/>
        <w:spacing w:line="240" w:lineRule="auto"/>
      </w:pPr>
      <w:r w:rsidRPr="006E2587">
        <w:t xml:space="preserve">Further, the instrument incorporates a new reference to converting notes and converting preference shares to clarify that relief is available for these securities, which was consulted on in ASIC Consultation Paper 239 </w:t>
      </w:r>
      <w:r w:rsidRPr="00633267">
        <w:rPr>
          <w:i/>
        </w:rPr>
        <w:t>Disclosure documents: Update to ASIC instruments and guidance</w:t>
      </w:r>
      <w:r w:rsidRPr="006E2587">
        <w:t xml:space="preserve"> (</w:t>
      </w:r>
      <w:r w:rsidRPr="00633267">
        <w:rPr>
          <w:b/>
          <w:i/>
        </w:rPr>
        <w:t>CP 239</w:t>
      </w:r>
      <w:r w:rsidRPr="006E2587">
        <w:t>).</w:t>
      </w:r>
      <w:r w:rsidRPr="007F526D">
        <w:t xml:space="preserve"> </w:t>
      </w:r>
    </w:p>
    <w:p w14:paraId="2D5D4C74" w14:textId="77777777" w:rsidR="007F526D" w:rsidRDefault="007F526D" w:rsidP="001B745E">
      <w:pPr>
        <w:pStyle w:val="BodyText"/>
        <w:spacing w:before="0" w:line="240" w:lineRule="auto"/>
      </w:pPr>
    </w:p>
    <w:p w14:paraId="22B9EADF" w14:textId="34F345C0" w:rsidR="00517D88" w:rsidRDefault="00854269" w:rsidP="006E2587">
      <w:pPr>
        <w:pStyle w:val="BodyText"/>
        <w:spacing w:before="0" w:line="240" w:lineRule="auto"/>
      </w:pPr>
      <w:r>
        <w:t>The instrument also clarifies that</w:t>
      </w:r>
      <w:r w:rsidR="006E2587">
        <w:t xml:space="preserve"> </w:t>
      </w:r>
      <w:r>
        <w:t>relief</w:t>
      </w:r>
      <w:r w:rsidR="006E2587">
        <w:t xml:space="preserve"> is available</w:t>
      </w:r>
      <w:r>
        <w:t xml:space="preserve"> only where the issuer of the convertible security is also the issuer of the underlying security</w:t>
      </w:r>
      <w:r w:rsidR="006E2587">
        <w:t>.</w:t>
      </w:r>
    </w:p>
    <w:p w14:paraId="22B9EAE0" w14:textId="77777777" w:rsidR="001306A4" w:rsidRPr="00854269" w:rsidRDefault="001306A4" w:rsidP="001B745E">
      <w:pPr>
        <w:pStyle w:val="BodyText"/>
        <w:spacing w:before="0" w:line="240" w:lineRule="auto"/>
      </w:pPr>
    </w:p>
    <w:p w14:paraId="22B9EAE1" w14:textId="77777777" w:rsidR="005B0E3A" w:rsidRPr="00854269" w:rsidRDefault="005B0E3A" w:rsidP="008A71C5">
      <w:pPr>
        <w:widowControl w:val="0"/>
        <w:numPr>
          <w:ilvl w:val="0"/>
          <w:numId w:val="7"/>
        </w:numPr>
        <w:tabs>
          <w:tab w:val="left" w:pos="567"/>
        </w:tabs>
        <w:spacing w:after="0"/>
        <w:ind w:left="0" w:firstLine="0"/>
        <w:rPr>
          <w:rFonts w:ascii="Arial"/>
          <w:b/>
          <w:spacing w:val="-1"/>
          <w:sz w:val="24"/>
        </w:rPr>
      </w:pPr>
      <w:bookmarkStart w:id="4" w:name="3._Operation_of_the_class_order_"/>
      <w:bookmarkEnd w:id="4"/>
      <w:r w:rsidRPr="00854269">
        <w:rPr>
          <w:rFonts w:ascii="Arial"/>
          <w:b/>
          <w:spacing w:val="-1"/>
          <w:sz w:val="24"/>
        </w:rPr>
        <w:t>Operation of the instrument</w:t>
      </w:r>
    </w:p>
    <w:p w14:paraId="22B9EAE2" w14:textId="77777777" w:rsidR="005B0E3A" w:rsidRPr="00800E2A" w:rsidRDefault="005B0E3A" w:rsidP="001B745E">
      <w:pPr>
        <w:spacing w:after="0"/>
        <w:rPr>
          <w:color w:val="FF0000"/>
        </w:rPr>
      </w:pPr>
    </w:p>
    <w:p w14:paraId="463AB4F2" w14:textId="73289606" w:rsidR="00E21C40" w:rsidRDefault="00E21C40" w:rsidP="001B745E">
      <w:pPr>
        <w:pStyle w:val="BodyText"/>
        <w:spacing w:before="0" w:line="240" w:lineRule="auto"/>
      </w:pPr>
      <w:r w:rsidRPr="00E21C40">
        <w:t>Section 713 of the Act</w:t>
      </w:r>
      <w:r w:rsidR="004E38F3">
        <w:t xml:space="preserve"> provides an alternative general disclosure test for disclosing entities offering continuously quoted securities, or options to acquire continuously quoted securities. This is known as transaction-specific disclosure. A prospectus </w:t>
      </w:r>
      <w:r w:rsidR="007C4E9A">
        <w:t xml:space="preserve">prepared under </w:t>
      </w:r>
      <w:r w:rsidR="004E38F3">
        <w:t>s</w:t>
      </w:r>
      <w:r w:rsidR="007C4E9A">
        <w:t xml:space="preserve">ection </w:t>
      </w:r>
      <w:r w:rsidR="004E38F3">
        <w:t>713</w:t>
      </w:r>
      <w:r w:rsidR="007C4E9A">
        <w:t xml:space="preserve"> (a ‘transaction-specific prospectus’) must contain information regarding:</w:t>
      </w:r>
    </w:p>
    <w:p w14:paraId="61AFB821" w14:textId="77777777" w:rsidR="007C4E9A" w:rsidRDefault="007C4E9A" w:rsidP="001B745E">
      <w:pPr>
        <w:pStyle w:val="BodyText"/>
        <w:spacing w:before="0" w:line="240" w:lineRule="auto"/>
      </w:pPr>
    </w:p>
    <w:p w14:paraId="387D74E2" w14:textId="79621CB9" w:rsidR="007C4E9A" w:rsidRDefault="007C4E9A" w:rsidP="001B745E">
      <w:pPr>
        <w:pStyle w:val="BodyText"/>
        <w:spacing w:before="0" w:line="240" w:lineRule="auto"/>
      </w:pPr>
      <w:r>
        <w:t>(a)</w:t>
      </w:r>
      <w:r>
        <w:tab/>
        <w:t>the effect of the offer on the body (s713(2)(a));</w:t>
      </w:r>
    </w:p>
    <w:p w14:paraId="07C5AA1D" w14:textId="77777777" w:rsidR="007C4E9A" w:rsidRDefault="007C4E9A" w:rsidP="001B745E">
      <w:pPr>
        <w:pStyle w:val="BodyText"/>
        <w:spacing w:before="0" w:line="240" w:lineRule="auto"/>
      </w:pPr>
    </w:p>
    <w:p w14:paraId="3FF9D9FE" w14:textId="26DACA41" w:rsidR="007C4E9A" w:rsidRDefault="007C4E9A" w:rsidP="007C4E9A">
      <w:pPr>
        <w:pStyle w:val="BodyText"/>
        <w:spacing w:before="0" w:line="240" w:lineRule="auto"/>
        <w:ind w:left="564" w:hanging="564"/>
      </w:pPr>
      <w:r>
        <w:t xml:space="preserve">(b) </w:t>
      </w:r>
      <w:r>
        <w:tab/>
        <w:t>the rights and liabilities attaching to the securities offered (or if the securities are options, the rights and liabilities attaching to the options themselves and the underlying securities) (s713(2)(c)-(d))); and</w:t>
      </w:r>
    </w:p>
    <w:p w14:paraId="57E32D71" w14:textId="77777777" w:rsidR="007C4E9A" w:rsidRDefault="007C4E9A" w:rsidP="001B745E">
      <w:pPr>
        <w:pStyle w:val="BodyText"/>
        <w:spacing w:before="0" w:line="240" w:lineRule="auto"/>
      </w:pPr>
    </w:p>
    <w:p w14:paraId="2CD7DE8C" w14:textId="0B208EE5" w:rsidR="007C4E9A" w:rsidRDefault="007C4E9A" w:rsidP="007C4E9A">
      <w:pPr>
        <w:pStyle w:val="BodyText"/>
        <w:spacing w:before="0" w:line="240" w:lineRule="auto"/>
        <w:ind w:left="564" w:hanging="564"/>
      </w:pPr>
      <w:r>
        <w:t>(c)</w:t>
      </w:r>
      <w:r>
        <w:tab/>
        <w:t>information not previously disclosed to the market, which covers information excluded from a continuous disclosure notice under the relevant listing rules (s713(5)).</w:t>
      </w:r>
    </w:p>
    <w:p w14:paraId="399525E4" w14:textId="77777777" w:rsidR="004E38F3" w:rsidRDefault="004E38F3" w:rsidP="001B745E">
      <w:pPr>
        <w:pStyle w:val="BodyText"/>
        <w:spacing w:before="0" w:line="240" w:lineRule="auto"/>
      </w:pPr>
    </w:p>
    <w:p w14:paraId="32836C10" w14:textId="6FFA9C95" w:rsidR="004E38F3" w:rsidRDefault="007C4E9A" w:rsidP="007C4E9A">
      <w:pPr>
        <w:pStyle w:val="BodyText"/>
        <w:spacing w:before="0" w:line="240" w:lineRule="auto"/>
      </w:pPr>
      <w:r>
        <w:t>This instrument modifies section 713 so that a transaction-specific prospectus can be used for the offer of convertible or converting notes or convertible or converting preference shares</w:t>
      </w:r>
      <w:r w:rsidR="00DA2CBB">
        <w:t xml:space="preserve"> </w:t>
      </w:r>
      <w:r w:rsidR="00DA2CBB" w:rsidRPr="00DA2CBB">
        <w:t>of a body that are convertible or may convert into continuously quoted securities of the body</w:t>
      </w:r>
      <w:r>
        <w:t xml:space="preserve">. In addition to the information required by </w:t>
      </w:r>
      <w:r w:rsidR="00CF5FB4">
        <w:t xml:space="preserve">paragraph </w:t>
      </w:r>
      <w:r>
        <w:t>713(2)(a)</w:t>
      </w:r>
      <w:r w:rsidR="00CF5FB4">
        <w:t xml:space="preserve"> and subsection 713(5)</w:t>
      </w:r>
      <w:r>
        <w:t xml:space="preserve">, a transaction-specific prospectus of this nature must contain information about </w:t>
      </w:r>
      <w:r w:rsidRPr="007C4E9A">
        <w:t>the righ</w:t>
      </w:r>
      <w:r>
        <w:t>ts and liabilities attaching to</w:t>
      </w:r>
      <w:r w:rsidR="00256E3B">
        <w:t xml:space="preserve"> both</w:t>
      </w:r>
      <w:r>
        <w:t xml:space="preserve"> </w:t>
      </w:r>
      <w:r w:rsidRPr="007C4E9A">
        <w:t xml:space="preserve">the convertible or converting securities </w:t>
      </w:r>
      <w:r>
        <w:t xml:space="preserve">themselves, and </w:t>
      </w:r>
      <w:r w:rsidRPr="007C4E9A">
        <w:t>the underlying securities</w:t>
      </w:r>
      <w:r w:rsidR="00BD1F53">
        <w:t>: s713(2)(ca)</w:t>
      </w:r>
      <w:r>
        <w:t>.</w:t>
      </w:r>
    </w:p>
    <w:p w14:paraId="6A95DE3B" w14:textId="77777777" w:rsidR="00E21C40" w:rsidRPr="00E21C40" w:rsidRDefault="00E21C40" w:rsidP="001B745E">
      <w:pPr>
        <w:pStyle w:val="BodyText"/>
        <w:spacing w:before="0" w:line="240" w:lineRule="auto"/>
      </w:pPr>
    </w:p>
    <w:p w14:paraId="22B9EAFB" w14:textId="77777777" w:rsidR="005B0E3A" w:rsidRPr="00552150" w:rsidRDefault="005B0E3A" w:rsidP="007A27C6">
      <w:pPr>
        <w:widowControl w:val="0"/>
        <w:numPr>
          <w:ilvl w:val="0"/>
          <w:numId w:val="7"/>
        </w:numPr>
        <w:tabs>
          <w:tab w:val="left" w:pos="567"/>
        </w:tabs>
        <w:spacing w:after="0"/>
        <w:ind w:left="0" w:firstLine="0"/>
        <w:rPr>
          <w:rFonts w:ascii="Arial"/>
          <w:b/>
          <w:spacing w:val="-1"/>
          <w:sz w:val="24"/>
        </w:rPr>
      </w:pPr>
      <w:bookmarkStart w:id="5" w:name="4._Documents_incorporated_by_reference"/>
      <w:bookmarkStart w:id="6" w:name="5._Consultation"/>
      <w:bookmarkEnd w:id="5"/>
      <w:bookmarkEnd w:id="6"/>
      <w:r w:rsidRPr="00552150">
        <w:rPr>
          <w:rFonts w:ascii="Arial"/>
          <w:b/>
          <w:spacing w:val="-1"/>
          <w:sz w:val="24"/>
        </w:rPr>
        <w:t>Consultation</w:t>
      </w:r>
    </w:p>
    <w:p w14:paraId="73FD4A0F" w14:textId="70F51BE1" w:rsidR="007A27C6" w:rsidRDefault="007A27C6" w:rsidP="007A27C6">
      <w:pPr>
        <w:pStyle w:val="Bodytextplain"/>
        <w:spacing w:before="0" w:line="240" w:lineRule="auto"/>
        <w:ind w:left="0"/>
      </w:pPr>
    </w:p>
    <w:p w14:paraId="10DD6B7C" w14:textId="6340CA4B" w:rsidR="007A27C6" w:rsidRPr="00320AA0" w:rsidRDefault="007A27C6" w:rsidP="007A27C6">
      <w:pPr>
        <w:pStyle w:val="BodyText"/>
        <w:tabs>
          <w:tab w:val="left" w:pos="0"/>
        </w:tabs>
        <w:spacing w:before="0" w:line="240" w:lineRule="auto"/>
        <w:rPr>
          <w:szCs w:val="24"/>
        </w:rPr>
      </w:pPr>
      <w:r w:rsidRPr="00320AA0">
        <w:rPr>
          <w:szCs w:val="24"/>
        </w:rPr>
        <w:t>On 17 September 2015 ASIC released CP 239 seeking feedback on proposals to update and consolidate a number of regulatory guides relating to Ch</w:t>
      </w:r>
      <w:r w:rsidR="009C13ED">
        <w:rPr>
          <w:szCs w:val="24"/>
        </w:rPr>
        <w:t>apter</w:t>
      </w:r>
      <w:r w:rsidRPr="00320AA0">
        <w:rPr>
          <w:szCs w:val="24"/>
        </w:rPr>
        <w:t xml:space="preserve"> 6D of the Act. CP 239 also sought feedback on proposals to reissue the legislative instruments associated with ASIC’s updated guidance (i</w:t>
      </w:r>
      <w:r>
        <w:rPr>
          <w:szCs w:val="24"/>
        </w:rPr>
        <w:t xml:space="preserve">ncluding </w:t>
      </w:r>
      <w:r w:rsidR="00800E2A">
        <w:t>Class Order [CO 00/195</w:t>
      </w:r>
      <w:r>
        <w:t>]</w:t>
      </w:r>
      <w:r w:rsidRPr="00320AA0">
        <w:rPr>
          <w:szCs w:val="24"/>
        </w:rPr>
        <w:t>) and to make legislative instruments addressing some discrete policy issues. The consultation period closed on 27 November 2015.</w:t>
      </w:r>
    </w:p>
    <w:p w14:paraId="197127AD" w14:textId="77777777" w:rsidR="007A27C6" w:rsidRPr="00320AA0" w:rsidRDefault="007A27C6" w:rsidP="007A27C6">
      <w:pPr>
        <w:pStyle w:val="BodyText"/>
        <w:tabs>
          <w:tab w:val="left" w:pos="0"/>
        </w:tabs>
        <w:spacing w:before="0" w:line="240" w:lineRule="auto"/>
        <w:rPr>
          <w:szCs w:val="24"/>
        </w:rPr>
      </w:pPr>
    </w:p>
    <w:p w14:paraId="250BD118" w14:textId="77777777" w:rsidR="007A27C6" w:rsidRPr="00320AA0" w:rsidRDefault="007A27C6" w:rsidP="007A27C6">
      <w:pPr>
        <w:pStyle w:val="BodyText"/>
        <w:tabs>
          <w:tab w:val="left" w:pos="0"/>
        </w:tabs>
        <w:spacing w:before="0" w:line="240" w:lineRule="auto"/>
        <w:rPr>
          <w:szCs w:val="24"/>
        </w:rPr>
      </w:pPr>
      <w:r w:rsidRPr="00320AA0">
        <w:rPr>
          <w:szCs w:val="24"/>
        </w:rPr>
        <w:t xml:space="preserve">ASIC received four submissions in response to CP 239. Details of the submissions are contained in REP 473 </w:t>
      </w:r>
      <w:r w:rsidRPr="00320AA0">
        <w:rPr>
          <w:i/>
          <w:szCs w:val="24"/>
        </w:rPr>
        <w:t>Response to submissions on CP 239 Disclosure documents: updates to ASIC instruments and guidance</w:t>
      </w:r>
      <w:r w:rsidRPr="00320AA0">
        <w:rPr>
          <w:szCs w:val="24"/>
        </w:rPr>
        <w:t xml:space="preserve"> which is available on ASIC’s website at www.asic.gov.au.</w:t>
      </w:r>
    </w:p>
    <w:p w14:paraId="516156DE" w14:textId="77777777" w:rsidR="007A27C6" w:rsidRPr="00320AA0" w:rsidRDefault="007A27C6" w:rsidP="007A27C6">
      <w:pPr>
        <w:pStyle w:val="BodyText"/>
        <w:tabs>
          <w:tab w:val="left" w:pos="0"/>
        </w:tabs>
        <w:spacing w:before="0" w:line="240" w:lineRule="auto"/>
        <w:rPr>
          <w:szCs w:val="24"/>
        </w:rPr>
      </w:pPr>
    </w:p>
    <w:p w14:paraId="1E4E51A0" w14:textId="7E864447" w:rsidR="007A27C6" w:rsidRPr="0045638C" w:rsidRDefault="007A27C6" w:rsidP="007A27C6">
      <w:pPr>
        <w:pStyle w:val="BodyText"/>
        <w:tabs>
          <w:tab w:val="left" w:pos="0"/>
        </w:tabs>
        <w:spacing w:before="0" w:line="240" w:lineRule="auto"/>
        <w:rPr>
          <w:szCs w:val="24"/>
        </w:rPr>
      </w:pPr>
      <w:r w:rsidRPr="00320AA0">
        <w:rPr>
          <w:szCs w:val="24"/>
        </w:rPr>
        <w:lastRenderedPageBreak/>
        <w:t>Notwithstanding ASIC’s consultation, ASIC considers that ASIC Corporations (</w:t>
      </w:r>
      <w:r w:rsidR="00800E2A">
        <w:rPr>
          <w:szCs w:val="24"/>
        </w:rPr>
        <w:t>Offers of Convertibles</w:t>
      </w:r>
      <w:r w:rsidRPr="00320AA0">
        <w:rPr>
          <w:szCs w:val="24"/>
        </w:rPr>
        <w:t>) Instrument 2016/</w:t>
      </w:r>
      <w:r w:rsidR="00800E2A">
        <w:rPr>
          <w:szCs w:val="24"/>
        </w:rPr>
        <w:t>83</w:t>
      </w:r>
      <w:r w:rsidRPr="00320AA0">
        <w:rPr>
          <w:szCs w:val="24"/>
        </w:rPr>
        <w:t xml:space="preserve"> is of a minor or machinery nature and does not substantially alter existing arrangements</w:t>
      </w:r>
      <w:r w:rsidRPr="0045638C">
        <w:rPr>
          <w:szCs w:val="24"/>
        </w:rPr>
        <w:t>.</w:t>
      </w:r>
    </w:p>
    <w:p w14:paraId="42E1F15C" w14:textId="77777777" w:rsidR="007A27C6" w:rsidRDefault="007A27C6" w:rsidP="007A27C6">
      <w:pPr>
        <w:pStyle w:val="Bodytextplain"/>
        <w:spacing w:before="0" w:line="240" w:lineRule="auto"/>
        <w:ind w:left="0"/>
        <w:sectPr w:rsidR="007A27C6" w:rsidSect="00BB3E24">
          <w:headerReference w:type="even" r:id="rId13"/>
          <w:headerReference w:type="default" r:id="rId14"/>
          <w:footerReference w:type="even" r:id="rId15"/>
          <w:footerReference w:type="default" r:id="rId16"/>
          <w:headerReference w:type="first" r:id="rId17"/>
          <w:pgSz w:w="11906" w:h="16838" w:code="9"/>
          <w:pgMar w:top="1644" w:right="1418" w:bottom="1418" w:left="1418" w:header="567" w:footer="567" w:gutter="0"/>
          <w:pgNumType w:start="1"/>
          <w:cols w:space="720"/>
          <w:titlePg/>
          <w:docGrid w:linePitch="299"/>
        </w:sectPr>
      </w:pPr>
    </w:p>
    <w:p w14:paraId="22B9EB03" w14:textId="77777777" w:rsidR="000076D6" w:rsidRDefault="000076D6" w:rsidP="001B745E">
      <w:pPr>
        <w:spacing w:after="0"/>
      </w:pPr>
      <w:r>
        <w:rPr>
          <w:noProof/>
        </w:rPr>
        <w:lastRenderedPageBreak/>
        <mc:AlternateContent>
          <mc:Choice Requires="wps">
            <w:drawing>
              <wp:anchor distT="0" distB="0" distL="114300" distR="114300" simplePos="0" relativeHeight="251658240" behindDoc="0" locked="0" layoutInCell="1" allowOverlap="1" wp14:anchorId="22B9EB04" wp14:editId="22B9EB05">
                <wp:simplePos x="0" y="0"/>
                <wp:positionH relativeFrom="column">
                  <wp:posOffset>19050</wp:posOffset>
                </wp:positionH>
                <wp:positionV relativeFrom="paragraph">
                  <wp:posOffset>209550</wp:posOffset>
                </wp:positionV>
                <wp:extent cx="5311140" cy="7791450"/>
                <wp:effectExtent l="38100" t="38100" r="4191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7791450"/>
                        </a:xfrm>
                        <a:prstGeom prst="rect">
                          <a:avLst/>
                        </a:prstGeom>
                        <a:solidFill>
                          <a:srgbClr val="FFFFFF"/>
                        </a:solidFill>
                        <a:ln w="76200" cmpd="tri">
                          <a:solidFill>
                            <a:srgbClr val="000000"/>
                          </a:solidFill>
                          <a:miter lim="800000"/>
                          <a:headEnd/>
                          <a:tailEnd/>
                        </a:ln>
                      </wps:spPr>
                      <wps:txbx>
                        <w:txbxContent>
                          <w:p w14:paraId="22B9EB1A" w14:textId="77777777" w:rsidR="000076D6" w:rsidRPr="00834797" w:rsidRDefault="000076D6" w:rsidP="000076D6">
                            <w:pPr>
                              <w:spacing w:before="360" w:after="120"/>
                              <w:jc w:val="center"/>
                              <w:rPr>
                                <w:b/>
                              </w:rPr>
                            </w:pPr>
                            <w:r w:rsidRPr="00834797">
                              <w:rPr>
                                <w:b/>
                              </w:rPr>
                              <w:t>Statement of Compatibility with Human Rights</w:t>
                            </w:r>
                          </w:p>
                          <w:p w14:paraId="22B9EB1B" w14:textId="23A634EF" w:rsidR="000076D6" w:rsidRPr="00247F54" w:rsidRDefault="000076D6" w:rsidP="000076D6">
                            <w:pPr>
                              <w:spacing w:before="120" w:after="120"/>
                              <w:jc w:val="center"/>
                            </w:pPr>
                            <w:r w:rsidRPr="00247F54">
                              <w:rPr>
                                <w:i/>
                              </w:rPr>
                              <w:t xml:space="preserve">Prepared in accordance with Part 3 of the Human Rights (Parliamentary </w:t>
                            </w:r>
                            <w:r w:rsidR="007A27C6">
                              <w:rPr>
                                <w:i/>
                              </w:rPr>
                              <w:br/>
                            </w:r>
                            <w:r w:rsidRPr="00247F54">
                              <w:rPr>
                                <w:i/>
                              </w:rPr>
                              <w:t>Scrutiny) Act 2011</w:t>
                            </w:r>
                          </w:p>
                          <w:p w14:paraId="22B9EB1C" w14:textId="77777777" w:rsidR="000076D6" w:rsidRPr="00247F54" w:rsidRDefault="000076D6" w:rsidP="000076D6">
                            <w:pPr>
                              <w:spacing w:before="120" w:after="120"/>
                              <w:jc w:val="center"/>
                            </w:pPr>
                          </w:p>
                          <w:p w14:paraId="22B9EB1D" w14:textId="5D1F69F9" w:rsidR="000076D6" w:rsidRPr="00A15644" w:rsidRDefault="00A15644" w:rsidP="000076D6">
                            <w:pPr>
                              <w:spacing w:before="120" w:after="120"/>
                              <w:jc w:val="center"/>
                              <w:rPr>
                                <w:b/>
                              </w:rPr>
                            </w:pPr>
                            <w:r w:rsidRPr="00A15644">
                              <w:rPr>
                                <w:b/>
                              </w:rPr>
                              <w:t>ASIC Corporat</w:t>
                            </w:r>
                            <w:r w:rsidR="00140333">
                              <w:rPr>
                                <w:b/>
                              </w:rPr>
                              <w:t>ions (</w:t>
                            </w:r>
                            <w:r w:rsidR="00800E2A">
                              <w:rPr>
                                <w:b/>
                              </w:rPr>
                              <w:t>Offers of Convertibles</w:t>
                            </w:r>
                            <w:r w:rsidR="00A663C5">
                              <w:rPr>
                                <w:b/>
                              </w:rPr>
                              <w:t>) Instrument 2016</w:t>
                            </w:r>
                            <w:r w:rsidR="00800E2A">
                              <w:rPr>
                                <w:b/>
                              </w:rPr>
                              <w:t>/83</w:t>
                            </w:r>
                          </w:p>
                          <w:p w14:paraId="22B9EB1E" w14:textId="77777777" w:rsidR="00A15644" w:rsidRPr="00247F54" w:rsidRDefault="00A15644" w:rsidP="000076D6">
                            <w:pPr>
                              <w:spacing w:before="120" w:after="120"/>
                              <w:jc w:val="center"/>
                            </w:pPr>
                          </w:p>
                          <w:p w14:paraId="22B9EB1F" w14:textId="541398E9" w:rsidR="000076D6" w:rsidRPr="00247F54" w:rsidRDefault="00A15644" w:rsidP="000076D6">
                            <w:pPr>
                              <w:spacing w:before="120" w:after="120"/>
                              <w:jc w:val="center"/>
                            </w:pPr>
                            <w:r w:rsidRPr="002379B2">
                              <w:rPr>
                                <w:i/>
                              </w:rPr>
                              <w:t>ASIC Corporat</w:t>
                            </w:r>
                            <w:r w:rsidR="00140333">
                              <w:rPr>
                                <w:i/>
                              </w:rPr>
                              <w:t>ions (</w:t>
                            </w:r>
                            <w:r w:rsidR="00800E2A">
                              <w:rPr>
                                <w:i/>
                              </w:rPr>
                              <w:t>Offers of Convertibles</w:t>
                            </w:r>
                            <w:r w:rsidRPr="002379B2">
                              <w:rPr>
                                <w:i/>
                              </w:rPr>
                              <w:t>) Instrument 201</w:t>
                            </w:r>
                            <w:r w:rsidR="00800E2A">
                              <w:rPr>
                                <w:i/>
                              </w:rPr>
                              <w:t>6/83</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22B9EB21" w14:textId="77777777" w:rsidR="000076D6" w:rsidRPr="00247F54" w:rsidRDefault="000076D6" w:rsidP="000076D6">
                            <w:pPr>
                              <w:spacing w:before="120" w:after="120"/>
                              <w:jc w:val="center"/>
                            </w:pPr>
                          </w:p>
                          <w:p w14:paraId="22B9EB22" w14:textId="77777777" w:rsidR="000076D6" w:rsidRPr="00247F54" w:rsidRDefault="000076D6" w:rsidP="000076D6">
                            <w:pPr>
                              <w:spacing w:before="120" w:after="120"/>
                              <w:jc w:val="both"/>
                              <w:rPr>
                                <w:b/>
                              </w:rPr>
                            </w:pPr>
                            <w:r w:rsidRPr="00247F54">
                              <w:rPr>
                                <w:b/>
                              </w:rPr>
                              <w:t>Overview</w:t>
                            </w:r>
                          </w:p>
                          <w:p w14:paraId="26C32D76" w14:textId="36317E6E" w:rsidR="00226CA9" w:rsidRPr="00226CA9" w:rsidRDefault="00226CA9" w:rsidP="00226CA9">
                            <w:pPr>
                              <w:spacing w:before="120" w:after="120"/>
                            </w:pPr>
                            <w:r w:rsidRPr="00226CA9">
                              <w:t>ASIC Corporations (Offers of Convertibles) Instrument 2016/83</w:t>
                            </w:r>
                            <w:r>
                              <w:t xml:space="preserve"> </w:t>
                            </w:r>
                            <w:r w:rsidR="00967B68">
                              <w:t xml:space="preserve">relates to fundraising and notionally </w:t>
                            </w:r>
                            <w:r w:rsidRPr="00226CA9">
                              <w:t xml:space="preserve">modifies </w:t>
                            </w:r>
                            <w:r w:rsidR="00967B68">
                              <w:t xml:space="preserve">section 713 of </w:t>
                            </w:r>
                            <w:r w:rsidRPr="00226CA9">
                              <w:t xml:space="preserve">the </w:t>
                            </w:r>
                            <w:r w:rsidR="00967B68">
                              <w:rPr>
                                <w:i/>
                              </w:rPr>
                              <w:t xml:space="preserve">Corporations Act 2001 </w:t>
                            </w:r>
                            <w:r w:rsidRPr="00226CA9">
                              <w:t>to allow the offer of convertible</w:t>
                            </w:r>
                            <w:r w:rsidR="00967B68">
                              <w:t xml:space="preserve"> or converting notes</w:t>
                            </w:r>
                            <w:r w:rsidRPr="00226CA9">
                              <w:t xml:space="preserve"> or convertible </w:t>
                            </w:r>
                            <w:r w:rsidR="00967B68">
                              <w:t xml:space="preserve">or converting </w:t>
                            </w:r>
                            <w:r w:rsidRPr="00226CA9">
                              <w:t>preference shares</w:t>
                            </w:r>
                            <w:r w:rsidR="00967B68">
                              <w:t xml:space="preserve"> </w:t>
                            </w:r>
                            <w:r w:rsidR="00967B68" w:rsidRPr="00967B68">
                              <w:t>of a body that are convertible or may convert into continuously quoted securities of the body</w:t>
                            </w:r>
                            <w:r w:rsidRPr="00226CA9">
                              <w:t xml:space="preserve"> to be made based on information required by s713 instead of s710. </w:t>
                            </w:r>
                          </w:p>
                          <w:p w14:paraId="22B9EB24" w14:textId="77777777" w:rsidR="000076D6" w:rsidRPr="00883DB6" w:rsidRDefault="000076D6" w:rsidP="000076D6">
                            <w:pPr>
                              <w:spacing w:before="120" w:after="120"/>
                            </w:pPr>
                          </w:p>
                          <w:p w14:paraId="22B9EB25" w14:textId="77777777" w:rsidR="000076D6" w:rsidRPr="00247F54" w:rsidRDefault="000076D6" w:rsidP="000076D6">
                            <w:pPr>
                              <w:spacing w:before="120" w:after="120"/>
                              <w:rPr>
                                <w:b/>
                              </w:rPr>
                            </w:pPr>
                            <w:r w:rsidRPr="00247F54">
                              <w:rPr>
                                <w:b/>
                              </w:rPr>
                              <w:t>Human rights implications</w:t>
                            </w:r>
                          </w:p>
                          <w:p w14:paraId="22B9EB26"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22B9EB27" w14:textId="77777777" w:rsidR="000076D6" w:rsidRPr="00247F54" w:rsidRDefault="000076D6" w:rsidP="000076D6">
                            <w:pPr>
                              <w:spacing w:before="120" w:after="120"/>
                            </w:pPr>
                          </w:p>
                          <w:p w14:paraId="22B9EB28" w14:textId="77777777" w:rsidR="000076D6" w:rsidRPr="00247F54" w:rsidRDefault="000076D6" w:rsidP="000076D6">
                            <w:pPr>
                              <w:spacing w:before="120" w:after="120"/>
                              <w:rPr>
                                <w:b/>
                              </w:rPr>
                            </w:pPr>
                            <w:r w:rsidRPr="00247F54">
                              <w:rPr>
                                <w:b/>
                              </w:rPr>
                              <w:t>Conclusion</w:t>
                            </w:r>
                          </w:p>
                          <w:p w14:paraId="22B9EB29"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2B9EB2A" w14:textId="77777777" w:rsidR="000076D6" w:rsidRDefault="000076D6" w:rsidP="000076D6">
                            <w:pPr>
                              <w:spacing w:before="120" w:after="120"/>
                              <w:jc w:val="center"/>
                            </w:pPr>
                          </w:p>
                          <w:p w14:paraId="22B9EB2B" w14:textId="77777777" w:rsidR="00776EE7" w:rsidRPr="00E4135E" w:rsidRDefault="00776EE7" w:rsidP="000076D6">
                            <w:pPr>
                              <w:spacing w:before="120" w:after="120"/>
                              <w:jc w:val="center"/>
                            </w:pPr>
                          </w:p>
                          <w:p w14:paraId="22B9EB2C" w14:textId="77777777" w:rsidR="000076D6" w:rsidRPr="00E4135E" w:rsidRDefault="00A15644"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16.5pt;width:418.2pt;height:6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" strokeweight="6pt">
                <v:stroke linestyle="thickBetweenThin"/>
                <v:textbox inset="5mm,,5mm">
                  <w:txbxContent>
                    <w:p w14:paraId="22B9EB1A" w14:textId="77777777" w:rsidR="000076D6" w:rsidRPr="00834797" w:rsidRDefault="000076D6" w:rsidP="000076D6">
                      <w:pPr>
                        <w:spacing w:before="360" w:after="120"/>
                        <w:jc w:val="center"/>
                        <w:rPr>
                          <w:b/>
                        </w:rPr>
                      </w:pPr>
                      <w:r w:rsidRPr="00834797">
                        <w:rPr>
                          <w:b/>
                        </w:rPr>
                        <w:t>Statement of Compatibility with Human Rights</w:t>
                      </w:r>
                    </w:p>
                    <w:p w14:paraId="22B9EB1B" w14:textId="23A634EF" w:rsidR="000076D6" w:rsidRPr="00247F54" w:rsidRDefault="000076D6" w:rsidP="000076D6">
                      <w:pPr>
                        <w:spacing w:before="120" w:after="120"/>
                        <w:jc w:val="center"/>
                      </w:pPr>
                      <w:r w:rsidRPr="00247F54">
                        <w:rPr>
                          <w:i/>
                        </w:rPr>
                        <w:t xml:space="preserve">Prepared in accordance with Part 3 of the Human Rights (Parliamentary </w:t>
                      </w:r>
                      <w:r w:rsidR="007A27C6">
                        <w:rPr>
                          <w:i/>
                        </w:rPr>
                        <w:br/>
                      </w:r>
                      <w:r w:rsidRPr="00247F54">
                        <w:rPr>
                          <w:i/>
                        </w:rPr>
                        <w:t>Scrutiny) Act 2011</w:t>
                      </w:r>
                    </w:p>
                    <w:p w14:paraId="22B9EB1C" w14:textId="77777777" w:rsidR="000076D6" w:rsidRPr="00247F54" w:rsidRDefault="000076D6" w:rsidP="000076D6">
                      <w:pPr>
                        <w:spacing w:before="120" w:after="120"/>
                        <w:jc w:val="center"/>
                      </w:pPr>
                    </w:p>
                    <w:p w14:paraId="22B9EB1D" w14:textId="5D1F69F9" w:rsidR="000076D6" w:rsidRPr="00A15644" w:rsidRDefault="00A15644" w:rsidP="000076D6">
                      <w:pPr>
                        <w:spacing w:before="120" w:after="120"/>
                        <w:jc w:val="center"/>
                        <w:rPr>
                          <w:b/>
                        </w:rPr>
                      </w:pPr>
                      <w:r w:rsidRPr="00A15644">
                        <w:rPr>
                          <w:b/>
                        </w:rPr>
                        <w:t>ASIC Corporat</w:t>
                      </w:r>
                      <w:r w:rsidR="00140333">
                        <w:rPr>
                          <w:b/>
                        </w:rPr>
                        <w:t>ions (</w:t>
                      </w:r>
                      <w:r w:rsidR="00800E2A">
                        <w:rPr>
                          <w:b/>
                        </w:rPr>
                        <w:t>Offers of Convertibles</w:t>
                      </w:r>
                      <w:r w:rsidR="00A663C5">
                        <w:rPr>
                          <w:b/>
                        </w:rPr>
                        <w:t>) Instrument 2016</w:t>
                      </w:r>
                      <w:r w:rsidR="00800E2A">
                        <w:rPr>
                          <w:b/>
                        </w:rPr>
                        <w:t>/83</w:t>
                      </w:r>
                    </w:p>
                    <w:p w14:paraId="22B9EB1E" w14:textId="77777777" w:rsidR="00A15644" w:rsidRPr="00247F54" w:rsidRDefault="00A15644" w:rsidP="000076D6">
                      <w:pPr>
                        <w:spacing w:before="120" w:after="120"/>
                        <w:jc w:val="center"/>
                      </w:pPr>
                    </w:p>
                    <w:p w14:paraId="22B9EB1F" w14:textId="541398E9" w:rsidR="000076D6" w:rsidRPr="00247F54" w:rsidRDefault="00A15644" w:rsidP="000076D6">
                      <w:pPr>
                        <w:spacing w:before="120" w:after="120"/>
                        <w:jc w:val="center"/>
                      </w:pPr>
                      <w:r w:rsidRPr="002379B2">
                        <w:rPr>
                          <w:i/>
                        </w:rPr>
                        <w:t>ASIC Corporat</w:t>
                      </w:r>
                      <w:r w:rsidR="00140333">
                        <w:rPr>
                          <w:i/>
                        </w:rPr>
                        <w:t>ions (</w:t>
                      </w:r>
                      <w:r w:rsidR="00800E2A">
                        <w:rPr>
                          <w:i/>
                        </w:rPr>
                        <w:t>Offers of Convertibles</w:t>
                      </w:r>
                      <w:r w:rsidRPr="002379B2">
                        <w:rPr>
                          <w:i/>
                        </w:rPr>
                        <w:t>) Instrument 201</w:t>
                      </w:r>
                      <w:r w:rsidR="00800E2A">
                        <w:rPr>
                          <w:i/>
                        </w:rPr>
                        <w:t>6/83</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22B9EB21" w14:textId="77777777" w:rsidR="000076D6" w:rsidRPr="00247F54" w:rsidRDefault="000076D6" w:rsidP="000076D6">
                      <w:pPr>
                        <w:spacing w:before="120" w:after="120"/>
                        <w:jc w:val="center"/>
                      </w:pPr>
                    </w:p>
                    <w:p w14:paraId="22B9EB22" w14:textId="77777777" w:rsidR="000076D6" w:rsidRPr="00247F54" w:rsidRDefault="000076D6" w:rsidP="000076D6">
                      <w:pPr>
                        <w:spacing w:before="120" w:after="120"/>
                        <w:jc w:val="both"/>
                        <w:rPr>
                          <w:b/>
                        </w:rPr>
                      </w:pPr>
                      <w:r w:rsidRPr="00247F54">
                        <w:rPr>
                          <w:b/>
                        </w:rPr>
                        <w:t>Overview</w:t>
                      </w:r>
                    </w:p>
                    <w:p w14:paraId="26C32D76" w14:textId="36317E6E" w:rsidR="00226CA9" w:rsidRPr="00226CA9" w:rsidRDefault="00226CA9" w:rsidP="00226CA9">
                      <w:pPr>
                        <w:spacing w:before="120" w:after="120"/>
                      </w:pPr>
                      <w:r w:rsidRPr="00226CA9">
                        <w:t>ASIC Corporations (Offers of Convertibles) Instrument 2016/83</w:t>
                      </w:r>
                      <w:r>
                        <w:t xml:space="preserve"> </w:t>
                      </w:r>
                      <w:r w:rsidR="00967B68">
                        <w:t xml:space="preserve">relates to fundraising and notionally </w:t>
                      </w:r>
                      <w:r w:rsidRPr="00226CA9">
                        <w:t xml:space="preserve">modifies </w:t>
                      </w:r>
                      <w:r w:rsidR="00967B68">
                        <w:t xml:space="preserve">section 713 of </w:t>
                      </w:r>
                      <w:r w:rsidRPr="00226CA9">
                        <w:t xml:space="preserve">the </w:t>
                      </w:r>
                      <w:r w:rsidR="00967B68">
                        <w:rPr>
                          <w:i/>
                        </w:rPr>
                        <w:t xml:space="preserve">Corporations Act 2001 </w:t>
                      </w:r>
                      <w:r w:rsidRPr="00226CA9">
                        <w:t>to allow the offer of convertible</w:t>
                      </w:r>
                      <w:r w:rsidR="00967B68">
                        <w:t xml:space="preserve"> or converting notes</w:t>
                      </w:r>
                      <w:r w:rsidRPr="00226CA9">
                        <w:t xml:space="preserve"> or convertible </w:t>
                      </w:r>
                      <w:r w:rsidR="00967B68">
                        <w:t xml:space="preserve">or converting </w:t>
                      </w:r>
                      <w:r w:rsidRPr="00226CA9">
                        <w:t>preference shares</w:t>
                      </w:r>
                      <w:r w:rsidR="00967B68">
                        <w:t xml:space="preserve"> </w:t>
                      </w:r>
                      <w:r w:rsidR="00967B68" w:rsidRPr="00967B68">
                        <w:t>of a body that are convertible or may convert into continuously quoted securities of the body</w:t>
                      </w:r>
                      <w:r w:rsidRPr="00226CA9">
                        <w:t xml:space="preserve"> to be made based on information required by s713 instead of s710</w:t>
                      </w:r>
                      <w:bookmarkStart w:id="7" w:name="_GoBack"/>
                      <w:bookmarkEnd w:id="7"/>
                      <w:r w:rsidRPr="00226CA9">
                        <w:t xml:space="preserve">. </w:t>
                      </w:r>
                    </w:p>
                    <w:p w14:paraId="22B9EB24" w14:textId="77777777" w:rsidR="000076D6" w:rsidRPr="00883DB6" w:rsidRDefault="000076D6" w:rsidP="000076D6">
                      <w:pPr>
                        <w:spacing w:before="120" w:after="120"/>
                      </w:pPr>
                    </w:p>
                    <w:p w14:paraId="22B9EB25" w14:textId="77777777" w:rsidR="000076D6" w:rsidRPr="00247F54" w:rsidRDefault="000076D6" w:rsidP="000076D6">
                      <w:pPr>
                        <w:spacing w:before="120" w:after="120"/>
                        <w:rPr>
                          <w:b/>
                        </w:rPr>
                      </w:pPr>
                      <w:r w:rsidRPr="00247F54">
                        <w:rPr>
                          <w:b/>
                        </w:rPr>
                        <w:t>Human rights implications</w:t>
                      </w:r>
                    </w:p>
                    <w:p w14:paraId="22B9EB26"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22B9EB27" w14:textId="77777777" w:rsidR="000076D6" w:rsidRPr="00247F54" w:rsidRDefault="000076D6" w:rsidP="000076D6">
                      <w:pPr>
                        <w:spacing w:before="120" w:after="120"/>
                      </w:pPr>
                    </w:p>
                    <w:p w14:paraId="22B9EB28" w14:textId="77777777" w:rsidR="000076D6" w:rsidRPr="00247F54" w:rsidRDefault="000076D6" w:rsidP="000076D6">
                      <w:pPr>
                        <w:spacing w:before="120" w:after="120"/>
                        <w:rPr>
                          <w:b/>
                        </w:rPr>
                      </w:pPr>
                      <w:r w:rsidRPr="00247F54">
                        <w:rPr>
                          <w:b/>
                        </w:rPr>
                        <w:t>Conclusion</w:t>
                      </w:r>
                    </w:p>
                    <w:p w14:paraId="22B9EB29"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2B9EB2A" w14:textId="77777777" w:rsidR="000076D6" w:rsidRDefault="000076D6" w:rsidP="000076D6">
                      <w:pPr>
                        <w:spacing w:before="120" w:after="120"/>
                        <w:jc w:val="center"/>
                      </w:pPr>
                    </w:p>
                    <w:p w14:paraId="22B9EB2B" w14:textId="77777777" w:rsidR="00776EE7" w:rsidRPr="00E4135E" w:rsidRDefault="00776EE7" w:rsidP="000076D6">
                      <w:pPr>
                        <w:spacing w:before="120" w:after="120"/>
                        <w:jc w:val="center"/>
                      </w:pPr>
                    </w:p>
                    <w:p w14:paraId="22B9EB2C" w14:textId="77777777" w:rsidR="000076D6" w:rsidRPr="00E4135E" w:rsidRDefault="00A15644"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9EB08" w14:textId="77777777" w:rsidR="00836C2E" w:rsidRDefault="00836C2E">
      <w:pPr>
        <w:spacing w:after="0"/>
      </w:pPr>
      <w:r>
        <w:separator/>
      </w:r>
    </w:p>
  </w:endnote>
  <w:endnote w:type="continuationSeparator" w:id="0">
    <w:p w14:paraId="22B9EB09" w14:textId="77777777" w:rsidR="00836C2E" w:rsidRDefault="00836C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9EB0E"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2B9EB0F" w14:textId="77777777" w:rsidR="00C27A4B" w:rsidRDefault="00D4688C">
    <w:pPr>
      <w:pStyle w:val="Footer"/>
      <w:ind w:right="360"/>
    </w:pPr>
  </w:p>
  <w:p w14:paraId="22B9EB10" w14:textId="77777777" w:rsidR="00C27A4B" w:rsidRDefault="00D4688C"/>
  <w:p w14:paraId="22B9EB11" w14:textId="77777777" w:rsidR="00C27A4B" w:rsidRDefault="00D4688C"/>
  <w:p w14:paraId="22B9EB12" w14:textId="77777777" w:rsidR="00C27A4B" w:rsidRDefault="00D4688C"/>
  <w:p w14:paraId="22B9EB13" w14:textId="77777777" w:rsidR="00C27A4B" w:rsidRDefault="00D4688C"/>
  <w:p w14:paraId="22B9EB14" w14:textId="77777777" w:rsidR="00C27A4B" w:rsidRDefault="00D468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9EB15" w14:textId="5CD65F64" w:rsidR="00C27A4B" w:rsidRPr="00BB3E24" w:rsidRDefault="00D4688C" w:rsidP="00BB3E2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9EB06" w14:textId="77777777" w:rsidR="00836C2E" w:rsidRDefault="00836C2E">
      <w:pPr>
        <w:spacing w:after="0"/>
      </w:pPr>
      <w:r>
        <w:separator/>
      </w:r>
    </w:p>
  </w:footnote>
  <w:footnote w:type="continuationSeparator" w:id="0">
    <w:p w14:paraId="22B9EB07" w14:textId="77777777" w:rsidR="00836C2E" w:rsidRDefault="00836C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9EB0A" w14:textId="77777777" w:rsidR="00C27A4B" w:rsidRDefault="00D4688C"/>
  <w:p w14:paraId="22B9EB0B" w14:textId="77777777" w:rsidR="00C27A4B" w:rsidRDefault="00D468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229995"/>
      <w:docPartObj>
        <w:docPartGallery w:val="Page Numbers (Bottom of Page)"/>
        <w:docPartUnique/>
      </w:docPartObj>
    </w:sdtPr>
    <w:sdtEndPr>
      <w:rPr>
        <w:noProof/>
      </w:rPr>
    </w:sdtEndPr>
    <w:sdtContent>
      <w:p w14:paraId="7B85FDA6" w14:textId="77777777" w:rsidR="00BB3E24" w:rsidRDefault="00BB3E24" w:rsidP="00BB3E24">
        <w:pPr>
          <w:pStyle w:val="Footer"/>
          <w:jc w:val="center"/>
          <w:rPr>
            <w:rFonts w:ascii="Times New Roman" w:hAnsi="Times New Roman"/>
            <w:noProof/>
            <w:sz w:val="22"/>
            <w:szCs w:val="20"/>
          </w:rPr>
        </w:pPr>
        <w:r w:rsidRPr="00BB3E24">
          <w:rPr>
            <w:rFonts w:ascii="Times New Roman" w:hAnsi="Times New Roman"/>
            <w:sz w:val="24"/>
            <w:szCs w:val="24"/>
          </w:rPr>
          <w:fldChar w:fldCharType="begin"/>
        </w:r>
        <w:r w:rsidRPr="00BB3E24">
          <w:rPr>
            <w:rFonts w:ascii="Times New Roman" w:hAnsi="Times New Roman"/>
            <w:sz w:val="24"/>
            <w:szCs w:val="24"/>
          </w:rPr>
          <w:instrText xml:space="preserve"> PAGE   \* MERGEFORMAT </w:instrText>
        </w:r>
        <w:r w:rsidRPr="00BB3E24">
          <w:rPr>
            <w:rFonts w:ascii="Times New Roman" w:hAnsi="Times New Roman"/>
            <w:sz w:val="24"/>
            <w:szCs w:val="24"/>
          </w:rPr>
          <w:fldChar w:fldCharType="separate"/>
        </w:r>
        <w:r w:rsidR="00D4688C">
          <w:rPr>
            <w:rFonts w:ascii="Times New Roman" w:hAnsi="Times New Roman"/>
            <w:noProof/>
            <w:sz w:val="24"/>
            <w:szCs w:val="24"/>
          </w:rPr>
          <w:t>5</w:t>
        </w:r>
        <w:r w:rsidRPr="00BB3E24">
          <w:rPr>
            <w:rFonts w:ascii="Times New Roman" w:hAnsi="Times New Roman"/>
            <w:noProof/>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9EB16" w14:textId="2E4FE0A5" w:rsidR="00C27A4B" w:rsidRDefault="00D4688C">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E0231F"/>
    <w:multiLevelType w:val="hybridMultilevel"/>
    <w:tmpl w:val="DC985374"/>
    <w:lvl w:ilvl="0" w:tplc="0B8A0DE6">
      <w:start w:val="1"/>
      <w:numFmt w:val="lowerLetter"/>
      <w:lvlText w:val="(%1)"/>
      <w:lvlJc w:val="left"/>
      <w:pPr>
        <w:ind w:left="-207" w:hanging="360"/>
      </w:pPr>
      <w:rPr>
        <w:rFonts w:ascii="Times New Roman" w:eastAsia="Calibri" w:hAnsi="Times New Roman" w:cs="Times New Roman" w:hint="default"/>
      </w:rPr>
    </w:lvl>
    <w:lvl w:ilvl="1" w:tplc="B6B26098">
      <w:start w:val="1"/>
      <w:numFmt w:val="lowerRoman"/>
      <w:lvlText w:val="(%2)"/>
      <w:lvlJc w:val="left"/>
      <w:pPr>
        <w:ind w:left="513" w:hanging="360"/>
      </w:pPr>
      <w:rPr>
        <w:rFonts w:hint="default"/>
      </w:rPr>
    </w:lvl>
    <w:lvl w:ilvl="2" w:tplc="0C090015">
      <w:start w:val="1"/>
      <w:numFmt w:val="upperLetter"/>
      <w:lvlText w:val="%3."/>
      <w:lvlJc w:val="left"/>
      <w:pPr>
        <w:ind w:left="1233" w:hanging="360"/>
      </w:pPr>
      <w:rPr>
        <w:rFont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E95066"/>
    <w:multiLevelType w:val="hybridMultilevel"/>
    <w:tmpl w:val="2CECBE5A"/>
    <w:lvl w:ilvl="0" w:tplc="FA4A8B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270F1C67"/>
    <w:multiLevelType w:val="hybridMultilevel"/>
    <w:tmpl w:val="A038F9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EE5D77"/>
    <w:multiLevelType w:val="hybridMultilevel"/>
    <w:tmpl w:val="D0503C94"/>
    <w:lvl w:ilvl="0" w:tplc="4DAE7A48">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3">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8EA60A8"/>
    <w:multiLevelType w:val="hybridMultilevel"/>
    <w:tmpl w:val="A656A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8">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8"/>
  </w:num>
  <w:num w:numId="3">
    <w:abstractNumId w:val="13"/>
  </w:num>
  <w:num w:numId="4">
    <w:abstractNumId w:val="17"/>
  </w:num>
  <w:num w:numId="5">
    <w:abstractNumId w:val="7"/>
  </w:num>
  <w:num w:numId="6">
    <w:abstractNumId w:val="6"/>
  </w:num>
  <w:num w:numId="7">
    <w:abstractNumId w:val="12"/>
  </w:num>
  <w:num w:numId="8">
    <w:abstractNumId w:val="4"/>
  </w:num>
  <w:num w:numId="9">
    <w:abstractNumId w:val="2"/>
  </w:num>
  <w:num w:numId="10">
    <w:abstractNumId w:val="0"/>
  </w:num>
  <w:num w:numId="11">
    <w:abstractNumId w:val="10"/>
  </w:num>
  <w:num w:numId="12">
    <w:abstractNumId w:val="16"/>
  </w:num>
  <w:num w:numId="13">
    <w:abstractNumId w:val="14"/>
  </w:num>
  <w:num w:numId="14">
    <w:abstractNumId w:val="8"/>
  </w:num>
  <w:num w:numId="15">
    <w:abstractNumId w:val="9"/>
  </w:num>
  <w:num w:numId="16">
    <w:abstractNumId w:val="1"/>
  </w:num>
  <w:num w:numId="17">
    <w:abstractNumId w:val="15"/>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950"/>
    <w:rsid w:val="000076D6"/>
    <w:rsid w:val="00086E06"/>
    <w:rsid w:val="000D0347"/>
    <w:rsid w:val="000F3C06"/>
    <w:rsid w:val="000F53C8"/>
    <w:rsid w:val="001306A4"/>
    <w:rsid w:val="00140333"/>
    <w:rsid w:val="00160603"/>
    <w:rsid w:val="0016298F"/>
    <w:rsid w:val="00163ACF"/>
    <w:rsid w:val="00177E49"/>
    <w:rsid w:val="001B745E"/>
    <w:rsid w:val="001C2F0D"/>
    <w:rsid w:val="001D2C81"/>
    <w:rsid w:val="002008A9"/>
    <w:rsid w:val="00201AF6"/>
    <w:rsid w:val="00226CA9"/>
    <w:rsid w:val="002379B2"/>
    <w:rsid w:val="0024032A"/>
    <w:rsid w:val="00241066"/>
    <w:rsid w:val="002411C5"/>
    <w:rsid w:val="00256E3B"/>
    <w:rsid w:val="0026223B"/>
    <w:rsid w:val="0027163C"/>
    <w:rsid w:val="002949A6"/>
    <w:rsid w:val="003D12E9"/>
    <w:rsid w:val="00401884"/>
    <w:rsid w:val="004031F6"/>
    <w:rsid w:val="00481428"/>
    <w:rsid w:val="00492DED"/>
    <w:rsid w:val="004E2F59"/>
    <w:rsid w:val="004E38F3"/>
    <w:rsid w:val="00510253"/>
    <w:rsid w:val="00517D88"/>
    <w:rsid w:val="00521C3A"/>
    <w:rsid w:val="00552150"/>
    <w:rsid w:val="005625C2"/>
    <w:rsid w:val="005B0E3A"/>
    <w:rsid w:val="005B2DF0"/>
    <w:rsid w:val="005E15F8"/>
    <w:rsid w:val="00602255"/>
    <w:rsid w:val="00633267"/>
    <w:rsid w:val="00660A14"/>
    <w:rsid w:val="006964A5"/>
    <w:rsid w:val="006E0B65"/>
    <w:rsid w:val="006E2587"/>
    <w:rsid w:val="006E3246"/>
    <w:rsid w:val="006E5B42"/>
    <w:rsid w:val="00703DC7"/>
    <w:rsid w:val="00726163"/>
    <w:rsid w:val="00744761"/>
    <w:rsid w:val="00774A02"/>
    <w:rsid w:val="00776EE7"/>
    <w:rsid w:val="007A27C6"/>
    <w:rsid w:val="007C4E9A"/>
    <w:rsid w:val="007F526D"/>
    <w:rsid w:val="00800E2A"/>
    <w:rsid w:val="00836C2E"/>
    <w:rsid w:val="00843FDB"/>
    <w:rsid w:val="00854269"/>
    <w:rsid w:val="008A71C5"/>
    <w:rsid w:val="008B46A0"/>
    <w:rsid w:val="008B5FC4"/>
    <w:rsid w:val="00903EF0"/>
    <w:rsid w:val="00962BDF"/>
    <w:rsid w:val="00967B68"/>
    <w:rsid w:val="009B43CF"/>
    <w:rsid w:val="009C13ED"/>
    <w:rsid w:val="009C4498"/>
    <w:rsid w:val="00A15644"/>
    <w:rsid w:val="00A43F8A"/>
    <w:rsid w:val="00A64E32"/>
    <w:rsid w:val="00A663C5"/>
    <w:rsid w:val="00AC02C2"/>
    <w:rsid w:val="00B16067"/>
    <w:rsid w:val="00B356AF"/>
    <w:rsid w:val="00BB3E24"/>
    <w:rsid w:val="00BC670E"/>
    <w:rsid w:val="00BD1F53"/>
    <w:rsid w:val="00C03101"/>
    <w:rsid w:val="00C35C60"/>
    <w:rsid w:val="00CC1BA8"/>
    <w:rsid w:val="00CD28FA"/>
    <w:rsid w:val="00CF5FB4"/>
    <w:rsid w:val="00D01950"/>
    <w:rsid w:val="00D100CB"/>
    <w:rsid w:val="00D22143"/>
    <w:rsid w:val="00D44C59"/>
    <w:rsid w:val="00D4688C"/>
    <w:rsid w:val="00D80CB2"/>
    <w:rsid w:val="00DA2CBB"/>
    <w:rsid w:val="00DD34F2"/>
    <w:rsid w:val="00E07A94"/>
    <w:rsid w:val="00E1026C"/>
    <w:rsid w:val="00E21C40"/>
    <w:rsid w:val="00E56A9A"/>
    <w:rsid w:val="00E73746"/>
    <w:rsid w:val="00EE01FE"/>
    <w:rsid w:val="00F8685C"/>
    <w:rsid w:val="00FB7451"/>
    <w:rsid w:val="00FD4C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2B9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7A27C6"/>
    <w:rPr>
      <w:sz w:val="24"/>
      <w:lang w:eastAsia="en-US"/>
    </w:rPr>
  </w:style>
  <w:style w:type="paragraph" w:styleId="BalloonText">
    <w:name w:val="Balloon Text"/>
    <w:basedOn w:val="Normal"/>
    <w:link w:val="BalloonTextChar"/>
    <w:uiPriority w:val="99"/>
    <w:semiHidden/>
    <w:unhideWhenUsed/>
    <w:rsid w:val="002403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3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7A27C6"/>
    <w:rPr>
      <w:sz w:val="24"/>
      <w:lang w:eastAsia="en-US"/>
    </w:rPr>
  </w:style>
  <w:style w:type="paragraph" w:styleId="BalloonText">
    <w:name w:val="Balloon Text"/>
    <w:basedOn w:val="Normal"/>
    <w:link w:val="BalloonTextChar"/>
    <w:uiPriority w:val="99"/>
    <w:semiHidden/>
    <w:unhideWhenUsed/>
    <w:rsid w:val="002403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946943">
      <w:bodyDiv w:val="1"/>
      <w:marLeft w:val="0"/>
      <w:marRight w:val="0"/>
      <w:marTop w:val="0"/>
      <w:marBottom w:val="0"/>
      <w:divBdr>
        <w:top w:val="none" w:sz="0" w:space="0" w:color="auto"/>
        <w:left w:val="none" w:sz="0" w:space="0" w:color="auto"/>
        <w:bottom w:val="none" w:sz="0" w:space="0" w:color="auto"/>
        <w:right w:val="none" w:sz="0" w:space="0" w:color="auto"/>
      </w:divBdr>
      <w:divsChild>
        <w:div w:id="134103354">
          <w:marLeft w:val="0"/>
          <w:marRight w:val="0"/>
          <w:marTop w:val="0"/>
          <w:marBottom w:val="0"/>
          <w:divBdr>
            <w:top w:val="none" w:sz="0" w:space="0" w:color="auto"/>
            <w:left w:val="none" w:sz="0" w:space="0" w:color="auto"/>
            <w:bottom w:val="none" w:sz="0" w:space="0" w:color="auto"/>
            <w:right w:val="none" w:sz="0" w:space="0" w:color="auto"/>
          </w:divBdr>
          <w:divsChild>
            <w:div w:id="1920019319">
              <w:marLeft w:val="0"/>
              <w:marRight w:val="0"/>
              <w:marTop w:val="0"/>
              <w:marBottom w:val="0"/>
              <w:divBdr>
                <w:top w:val="none" w:sz="0" w:space="0" w:color="auto"/>
                <w:left w:val="none" w:sz="0" w:space="0" w:color="auto"/>
                <w:bottom w:val="none" w:sz="0" w:space="0" w:color="auto"/>
                <w:right w:val="none" w:sz="0" w:space="0" w:color="auto"/>
              </w:divBdr>
              <w:divsChild>
                <w:div w:id="2105608719">
                  <w:marLeft w:val="0"/>
                  <w:marRight w:val="0"/>
                  <w:marTop w:val="0"/>
                  <w:marBottom w:val="0"/>
                  <w:divBdr>
                    <w:top w:val="none" w:sz="0" w:space="0" w:color="auto"/>
                    <w:left w:val="none" w:sz="0" w:space="0" w:color="auto"/>
                    <w:bottom w:val="none" w:sz="0" w:space="0" w:color="auto"/>
                    <w:right w:val="none" w:sz="0" w:space="0" w:color="auto"/>
                  </w:divBdr>
                  <w:divsChild>
                    <w:div w:id="1813790511">
                      <w:marLeft w:val="0"/>
                      <w:marRight w:val="0"/>
                      <w:marTop w:val="0"/>
                      <w:marBottom w:val="0"/>
                      <w:divBdr>
                        <w:top w:val="none" w:sz="0" w:space="0" w:color="auto"/>
                        <w:left w:val="none" w:sz="0" w:space="0" w:color="auto"/>
                        <w:bottom w:val="none" w:sz="0" w:space="0" w:color="auto"/>
                        <w:right w:val="none" w:sz="0" w:space="0" w:color="auto"/>
                      </w:divBdr>
                      <w:divsChild>
                        <w:div w:id="1078526238">
                          <w:marLeft w:val="0"/>
                          <w:marRight w:val="0"/>
                          <w:marTop w:val="0"/>
                          <w:marBottom w:val="0"/>
                          <w:divBdr>
                            <w:top w:val="none" w:sz="0" w:space="0" w:color="auto"/>
                            <w:left w:val="none" w:sz="0" w:space="0" w:color="auto"/>
                            <w:bottom w:val="none" w:sz="0" w:space="0" w:color="auto"/>
                            <w:right w:val="none" w:sz="0" w:space="0" w:color="auto"/>
                          </w:divBdr>
                          <w:divsChild>
                            <w:div w:id="217788681">
                              <w:marLeft w:val="0"/>
                              <w:marRight w:val="0"/>
                              <w:marTop w:val="0"/>
                              <w:marBottom w:val="0"/>
                              <w:divBdr>
                                <w:top w:val="none" w:sz="0" w:space="0" w:color="auto"/>
                                <w:left w:val="none" w:sz="0" w:space="0" w:color="auto"/>
                                <w:bottom w:val="none" w:sz="0" w:space="0" w:color="auto"/>
                                <w:right w:val="none" w:sz="0" w:space="0" w:color="auto"/>
                              </w:divBdr>
                              <w:divsChild>
                                <w:div w:id="22443930">
                                  <w:marLeft w:val="0"/>
                                  <w:marRight w:val="0"/>
                                  <w:marTop w:val="0"/>
                                  <w:marBottom w:val="0"/>
                                  <w:divBdr>
                                    <w:top w:val="none" w:sz="0" w:space="0" w:color="auto"/>
                                    <w:left w:val="none" w:sz="0" w:space="0" w:color="auto"/>
                                    <w:bottom w:val="none" w:sz="0" w:space="0" w:color="auto"/>
                                    <w:right w:val="none" w:sz="0" w:space="0" w:color="auto"/>
                                  </w:divBdr>
                                  <w:divsChild>
                                    <w:div w:id="523327968">
                                      <w:marLeft w:val="0"/>
                                      <w:marRight w:val="0"/>
                                      <w:marTop w:val="0"/>
                                      <w:marBottom w:val="0"/>
                                      <w:divBdr>
                                        <w:top w:val="none" w:sz="0" w:space="0" w:color="auto"/>
                                        <w:left w:val="none" w:sz="0" w:space="0" w:color="auto"/>
                                        <w:bottom w:val="none" w:sz="0" w:space="0" w:color="auto"/>
                                        <w:right w:val="none" w:sz="0" w:space="0" w:color="auto"/>
                                      </w:divBdr>
                                      <w:divsChild>
                                        <w:div w:id="355237334">
                                          <w:marLeft w:val="0"/>
                                          <w:marRight w:val="0"/>
                                          <w:marTop w:val="0"/>
                                          <w:marBottom w:val="0"/>
                                          <w:divBdr>
                                            <w:top w:val="none" w:sz="0" w:space="0" w:color="auto"/>
                                            <w:left w:val="none" w:sz="0" w:space="0" w:color="auto"/>
                                            <w:bottom w:val="none" w:sz="0" w:space="0" w:color="auto"/>
                                            <w:right w:val="none" w:sz="0" w:space="0" w:color="auto"/>
                                          </w:divBdr>
                                          <w:divsChild>
                                            <w:div w:id="14401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1.SPI\AppData\Local\Temp\notes04AAD2\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rporations and EMR Project Document" ma:contentTypeID="0x010100B5F685A1365F544391EF8C813B164F3A4500EE62F54289E0A64A971A02886F5F2428" ma:contentTypeVersion="24" ma:contentTypeDescription="" ma:contentTypeScope="" ma:versionID="888ca9f2f488c2346a75b4d695531a98">
  <xsd:schema xmlns:xsd="http://www.w3.org/2001/XMLSchema" xmlns:xs="http://www.w3.org/2001/XMLSchema" xmlns:p="http://schemas.microsoft.com/office/2006/metadata/properties" xmlns:ns2="da7a9ac0-bc47-4684-84e6-3a8e9ac80c12" xmlns:ns3="e9348453-31dc-4ff8-a944-f262a0a992aa" xmlns:ns4="17f478ab-373e-4295-9ff0-9b833ad01319" targetNamespace="http://schemas.microsoft.com/office/2006/metadata/properties" ma:root="true" ma:fieldsID="200fbdfdd37cc7d3a053745e836f1cf5" ns2:_="" ns3:_="" ns4:_="">
    <xsd:import namespace="da7a9ac0-bc47-4684-84e6-3a8e9ac80c12"/>
    <xsd:import namespace="e9348453-31dc-4ff8-a944-f262a0a992aa"/>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81d19442bcb4ccea91b7b9f4cc7063b" minOccurs="0"/>
                <xsd:element ref="ns2:lfd994af4f174f368903e05bb6d3ffd0" minOccurs="0"/>
                <xsd:element ref="ns2:j13b61425a27404b97e911f7cc058c3a" minOccurs="0"/>
                <xsd:element ref="ns3:be88c94b67ae4f5686cb52243c3cb97f" minOccurs="0"/>
                <xsd:element ref="ns3:p8fbc6b719804e59bcdb664964f27765" minOccurs="0"/>
                <xsd:element ref="ns3:k48e9257605e4fa884546a6d62c7455f" minOccurs="0"/>
                <xsd:element ref="ns3:o6f7b05c02124a86ab66ebac6d22533a"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81d19442bcb4ccea91b7b9f4cc7063b" ma:index="17" nillable="true" ma:displayName="Corps and EMR Project Category_0" ma:hidden="true" ma:internalName="f81d19442bcb4ccea91b7b9f4cc7063b" ma:readOnly="false">
      <xsd:simpleType>
        <xsd:restriction base="dms:Note"/>
      </xsd:simpleType>
    </xsd:element>
    <xsd:element name="lfd994af4f174f368903e05bb6d3ffd0" ma:index="19" nillable="true" ma:displayName="Project Subject Matter_0" ma:hidden="true" ma:internalName="lfd994af4f174f368903e05bb6d3ffd0" ma:readOnly="false">
      <xsd:simpleType>
        <xsd:restriction base="dms:Note"/>
      </xsd:simpleType>
    </xsd:element>
    <xsd:element name="j13b61425a27404b97e911f7cc058c3a" ma:index="21" nillable="true" ma:displayName="Coprs and EMR Project Document Type_0" ma:hidden="true" ma:internalName="j13b61425a27404b97e911f7cc058c3a" ma:readOnly="false">
      <xsd:simpleType>
        <xsd:restriction base="dms:Note"/>
      </xsd:simpleType>
    </xsd:element>
    <xsd:element name="NotesLinks" ma:index="2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48453-31dc-4ff8-a944-f262a0a992aa"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882281-a766-4cec-b1e7-8f11ca1709f1}" ma:internalName="TaxCatchAll" ma:showField="CatchAllData"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882281-a766-4cec-b1e7-8f11ca1709f1}" ma:internalName="TaxCatchAllLabel" ma:readOnly="true" ma:showField="CatchAllDataLabel"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be88c94b67ae4f5686cb52243c3cb97f" ma:index="23" ma:taxonomy="true" ma:internalName="be88c94b67ae4f5686cb52243c3cb97f" ma:taxonomyFieldName="Coprs_x0020_and_x0020_EMR_x0020_Project_x0020_Document_x0020_Type" ma:displayName="Corps and EMR Project Document Type" ma:readOnly="false" ma:fieldId="{be88c94b-67ae-4f56-86cb-52243c3cb97f}" ma:sspId="b38671ba-7d76-46f8-b8a5-5fc3a7d6229d" ma:termSetId="0b01b704-a041-4ae4-a682-668b6997fade" ma:anchorId="b20bd28f-2c99-4a8d-b2dc-be27d16da788" ma:open="false" ma:isKeyword="false">
      <xsd:complexType>
        <xsd:sequence>
          <xsd:element ref="pc:Terms" minOccurs="0" maxOccurs="1"/>
        </xsd:sequence>
      </xsd:complexType>
    </xsd:element>
    <xsd:element name="p8fbc6b719804e59bcdb664964f27765" ma:index="24" ma:taxonomy="true" ma:internalName="p8fbc6b719804e59bcdb664964f27765" ma:taxonomyFieldName="SecurityClassification" ma:displayName="Security Classification" ma:readOnly="false" ma:default="6;#Sensitive|19fd2cb8-3e97-4464-ae71-8c2c2095d028" ma:fieldId="{98fbc6b7-1980-4e59-bcdb-664964f27765}"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k48e9257605e4fa884546a6d62c7455f" ma:index="25" nillable="true" ma:taxonomy="true" ma:internalName="k48e9257605e4fa884546a6d62c7455f" ma:taxonomyFieldName="Corps_x0020_and_x0020_EMR_x0020_Project_x0020_Category" ma:displayName="Corps and EMR Project Category" ma:readOnly="false" ma:fieldId="{448e9257-605e-4fa8-8454-6a6d62c7455f}" ma:sspId="b38671ba-7d76-46f8-b8a5-5fc3a7d6229d" ma:termSetId="0b01b704-a041-4ae4-a682-668b6997fade" ma:anchorId="ad7daaac-5606-4b12-9c8f-f950ddfe7646" ma:open="false" ma:isKeyword="false">
      <xsd:complexType>
        <xsd:sequence>
          <xsd:element ref="pc:Terms" minOccurs="0" maxOccurs="1"/>
        </xsd:sequence>
      </xsd:complexType>
    </xsd:element>
    <xsd:element name="o6f7b05c02124a86ab66ebac6d22533a" ma:index="26" ma:taxonomy="true" ma:internalName="o6f7b05c02124a86ab66ebac6d22533a" ma:taxonomyFieldName="Project_x0020_Subject_x0020_Matter" ma:displayName="Corps and EMR Project Subject Matter" ma:readOnly="false" ma:fieldId="{86f7b05c-0212-4a86-ab66-ebac6d22533a}" ma:sspId="b38671ba-7d76-46f8-b8a5-5fc3a7d6229d" ma:termSetId="0b01b704-a041-4ae4-a682-668b6997fade" ma:anchorId="c7bd51d9-2117-439c-8f58-7844e90a3f0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8"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9"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ateOrder12 xmlns="da7a9ac0-bc47-4684-84e6-3a8e9ac80c12">false</SenateOrder12>
    <p8fbc6b719804e59bcdb664964f27765 xmlns="e9348453-31dc-4ff8-a944-f262a0a992aa">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8fbc6b719804e59bcdb664964f27765>
    <Reviewers xmlns="17f478ab-373e-4295-9ff0-9b833ad01319">
      <UserInfo>
        <DisplayName/>
        <AccountId xsi:nil="true"/>
        <AccountType/>
      </UserInfo>
    </Reviewers>
    <Approvers xmlns="17f478ab-373e-4295-9ff0-9b833ad01319">
      <UserInfo>
        <DisplayName/>
        <AccountId xsi:nil="true"/>
        <AccountType/>
      </UserInfo>
    </Approvers>
    <TaxCatchAll xmlns="e9348453-31dc-4ff8-a944-f262a0a992aa">
      <Value>6</Value>
      <Value>45</Value>
      <Value>35</Value>
    </TaxCatchAll>
    <SignificantFlag xmlns="da7a9ac0-bc47-4684-84e6-3a8e9ac80c12">false</SignificantFlag>
    <RecordNumber xmlns="da7a9ac0-bc47-4684-84e6-3a8e9ac80c12">R20160000143455</RecordNumber>
    <ObjectiveID xmlns="da7a9ac0-bc47-4684-84e6-3a8e9ac80c12" xsi:nil="true"/>
    <lfd994af4f174f368903e05bb6d3ffd0 xmlns="da7a9ac0-bc47-4684-84e6-3a8e9ac80c12" xsi:nil="true"/>
    <o6f7b05c02124a86ab66ebac6d22533a xmlns="e9348453-31dc-4ff8-a944-f262a0a992aa">
      <Terms xmlns="http://schemas.microsoft.com/office/infopath/2007/PartnerControls">
        <TermInfo xmlns="http://schemas.microsoft.com/office/infopath/2007/PartnerControls">
          <TermName xmlns="http://schemas.microsoft.com/office/infopath/2007/PartnerControls">Fundraising</TermName>
          <TermId xmlns="http://schemas.microsoft.com/office/infopath/2007/PartnerControls">57247f8c-7a2c-4c30-b3fe-5e4b2518355f</TermId>
        </TermInfo>
      </Terms>
    </o6f7b05c02124a86ab66ebac6d22533a>
    <f81d19442bcb4ccea91b7b9f4cc7063b xmlns="da7a9ac0-bc47-4684-84e6-3a8e9ac80c12" xsi:nil="true"/>
    <ded95d7ab059406991d558011d18c177 xmlns="da7a9ac0-bc47-4684-84e6-3a8e9ac80c12" xsi:nil="true"/>
    <j13b61425a27404b97e911f7cc058c3a xmlns="da7a9ac0-bc47-4684-84e6-3a8e9ac80c12" xsi:nil="true"/>
    <k48e9257605e4fa884546a6d62c7455f xmlns="e9348453-31dc-4ff8-a944-f262a0a992aa">
      <Terms xmlns="http://schemas.microsoft.com/office/infopath/2007/PartnerControls"/>
    </k48e9257605e4fa884546a6d62c7455f>
    <SignificantReason xmlns="da7a9ac0-bc47-4684-84e6-3a8e9ac80c12" xsi:nil="true"/>
    <be88c94b67ae4f5686cb52243c3cb97f xmlns="e9348453-31dc-4ff8-a944-f262a0a992aa">
      <Terms xmlns="http://schemas.microsoft.com/office/infopath/2007/PartnerControls">
        <TermInfo xmlns="http://schemas.microsoft.com/office/infopath/2007/PartnerControls">
          <TermName xmlns="http://schemas.microsoft.com/office/infopath/2007/PartnerControls">Draft information sheet / guidance</TermName>
          <TermId xmlns="http://schemas.microsoft.com/office/infopath/2007/PartnerControls">4033bbf5-a63e-4c78-b5db-d9e223685187</TermId>
        </TermInfo>
      </Terms>
    </be88c94b67ae4f5686cb52243c3cb97f>
    <NotesLinks xmlns="da7a9ac0-bc47-4684-84e6-3a8e9ac80c1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A8E45-E37A-4E7A-9F65-8DB1A3113576}"/>
</file>

<file path=customXml/itemProps2.xml><?xml version="1.0" encoding="utf-8"?>
<ds:datastoreItem xmlns:ds="http://schemas.openxmlformats.org/officeDocument/2006/customXml" ds:itemID="{B2F6A689-9BA9-4E35-B165-759F417F61AD}"/>
</file>

<file path=customXml/itemProps3.xml><?xml version="1.0" encoding="utf-8"?>
<ds:datastoreItem xmlns:ds="http://schemas.openxmlformats.org/officeDocument/2006/customXml" ds:itemID="{214DB307-E0FD-4680-8DC9-D4D86CAAE0CD}"/>
</file>

<file path=customXml/itemProps4.xml><?xml version="1.0" encoding="utf-8"?>
<ds:datastoreItem xmlns:ds="http://schemas.openxmlformats.org/officeDocument/2006/customXml" ds:itemID="{63B4BA4A-5B67-4706-9211-389300515AE0}"/>
</file>

<file path=customXml/itemProps5.xml><?xml version="1.0" encoding="utf-8"?>
<ds:datastoreItem xmlns:ds="http://schemas.openxmlformats.org/officeDocument/2006/customXml" ds:itemID="{34ECC85B-7A16-4ADD-B969-FDB1A67CE17A}"/>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0</TotalTime>
  <Pages>5</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
  <cp:lastModifiedBy>michael.jukes</cp:lastModifiedBy>
  <cp:revision>3</cp:revision>
  <dcterms:created xsi:type="dcterms:W3CDTF">2016-03-08T09:25:00Z</dcterms:created>
  <dcterms:modified xsi:type="dcterms:W3CDTF">2016-03-10T01:41:00Z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C321780</vt:lpwstr>
  </property>
  <property fmtid="{D5CDD505-2E9C-101B-9397-08002B2CF9AE}" pid="4" name="Objective-Title">
    <vt:lpwstr>ASIC Corporations Debenture Prospectuses - Interest Rate and Term Information Instrument 2015 - Explanatory Statement</vt:lpwstr>
  </property>
  <property fmtid="{D5CDD505-2E9C-101B-9397-08002B2CF9AE}" pid="5" name="Objective-Comment">
    <vt:lpwstr>
    </vt:lpwstr>
  </property>
  <property fmtid="{D5CDD505-2E9C-101B-9397-08002B2CF9AE}" pid="6" name="Objective-CreationStamp">
    <vt:filetime>2015-01-30T05:21:45Z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2016-01-22T11:58:14Z</vt:filetime>
  </property>
  <property fmtid="{D5CDD505-2E9C-101B-9397-08002B2CF9AE}" pid="10" name="Objective-ModificationStamp">
    <vt:filetime>2016-01-22T11:40:53Z</vt:filetime>
  </property>
  <property fmtid="{D5CDD505-2E9C-101B-9397-08002B2CF9AE}" pid="11" name="Objective-Owner">
    <vt:lpwstr>Caitlin.Siostrom</vt:lpwstr>
  </property>
  <property fmtid="{D5CDD505-2E9C-101B-9397-08002B2CF9AE}" pid="12" name="Objective-Path">
    <vt:lpwstr>BCS:ASIC:REGULATION &amp; COMPLIANCE:Business Activity Projects:Corporations Projects:Market Disclosure:Fundraising Sunsetting Project:Explanatory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Order">
    <vt:r8>13600</vt:r8>
  </property>
  <property fmtid="{D5CDD505-2E9C-101B-9397-08002B2CF9AE}" pid="23" name="MailAttachments">
    <vt:bool>false</vt:bool>
  </property>
  <property fmtid="{D5CDD505-2E9C-101B-9397-08002B2CF9AE}" pid="24" name="ContentTypeId">
    <vt:lpwstr>0x010100B5F685A1365F544391EF8C813B164F3A4500EE62F54289E0A64A971A02886F5F2428</vt:lpwstr>
  </property>
  <property fmtid="{D5CDD505-2E9C-101B-9397-08002B2CF9AE}" pid="25" name="SecurityClassification">
    <vt:lpwstr>6;#Sensitive|19fd2cb8-3e97-4464-ae71-8c2c2095d028</vt:lpwstr>
  </property>
  <property fmtid="{D5CDD505-2E9C-101B-9397-08002B2CF9AE}" pid="26" name="Project Subject Matter">
    <vt:lpwstr>35;#Fundraising|57247f8c-7a2c-4c30-b3fe-5e4b2518355f</vt:lpwstr>
  </property>
  <property fmtid="{D5CDD505-2E9C-101B-9397-08002B2CF9AE}" pid="27" name="Corps_x0020_and_x0020_EMR_x0020_Project_x0020_Category">
    <vt:lpwstr/>
  </property>
  <property fmtid="{D5CDD505-2E9C-101B-9397-08002B2CF9AE}" pid="28" name="Coprs and EMR Project Document Type">
    <vt:lpwstr>45;#Draft information sheet / guidance|4033bbf5-a63e-4c78-b5db-d9e223685187</vt:lpwstr>
  </property>
  <property fmtid="{D5CDD505-2E9C-101B-9397-08002B2CF9AE}" pid="29" name="RecordPoint_WorkflowType">
    <vt:lpwstr>ActiveSubmitStub</vt:lpwstr>
  </property>
  <property fmtid="{D5CDD505-2E9C-101B-9397-08002B2CF9AE}" pid="30" name="RecordPoint_ActiveItemWebId">
    <vt:lpwstr>{e9348453-31dc-4ff8-a944-f262a0a992aa}</vt:lpwstr>
  </property>
  <property fmtid="{D5CDD505-2E9C-101B-9397-08002B2CF9AE}" pid="31" name="RecordPoint_ActiveItemSiteId">
    <vt:lpwstr>{391948b1-0a6e-44a7-97de-e041c6b33d8e}</vt:lpwstr>
  </property>
  <property fmtid="{D5CDD505-2E9C-101B-9397-08002B2CF9AE}" pid="32" name="RecordPoint_ActiveItemListId">
    <vt:lpwstr>{cc56f702-e3e0-43ff-9052-466a84efb4bf}</vt:lpwstr>
  </property>
  <property fmtid="{D5CDD505-2E9C-101B-9397-08002B2CF9AE}" pid="33" name="RecordPoint_ActiveItemUniqueId">
    <vt:lpwstr>{4731a095-e5a6-4491-ad7e-aca4971c058e}</vt:lpwstr>
  </property>
  <property fmtid="{D5CDD505-2E9C-101B-9397-08002B2CF9AE}" pid="34" name="RecordPoint_RecordNumberSubmitted">
    <vt:lpwstr>R20160000143455</vt:lpwstr>
  </property>
  <property fmtid="{D5CDD505-2E9C-101B-9397-08002B2CF9AE}" pid="35" name="IconOverlay">
    <vt:lpwstr/>
  </property>
  <property fmtid="{D5CDD505-2E9C-101B-9397-08002B2CF9AE}" pid="36" name="RecordPoint_SubmissionCompleted">
    <vt:lpwstr>2016-03-10T17:09:06.3030022+11:00</vt:lpwstr>
  </property>
  <property fmtid="{D5CDD505-2E9C-101B-9397-08002B2CF9AE}" pid="37" name="RecordPoint_SubmissionDate">
    <vt:lpwstr/>
  </property>
  <property fmtid="{D5CDD505-2E9C-101B-9397-08002B2CF9AE}" pid="38" name="RecordPoint_ActiveItemMoved">
    <vt:lpwstr/>
  </property>
  <property fmtid="{D5CDD505-2E9C-101B-9397-08002B2CF9AE}" pid="39" name="RecordPoint_RecordFormat">
    <vt:lpwstr/>
  </property>
  <property fmtid="{D5CDD505-2E9C-101B-9397-08002B2CF9AE}" pid="40" name="b3167cad23c140d09ce7c051d06877b5">
    <vt:lpwstr/>
  </property>
  <property fmtid="{D5CDD505-2E9C-101B-9397-08002B2CF9AE}" pid="41" name="ProjectName">
    <vt:lpwstr/>
  </property>
  <property fmtid="{D5CDD505-2E9C-101B-9397-08002B2CF9AE}" pid="42" name="Corps and EMR Project Category">
    <vt:lpwstr/>
  </property>
</Properties>
</file>