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202D" w14:textId="2FBC2645" w:rsidR="00A8184B" w:rsidRDefault="00A8184B" w:rsidP="00855009">
      <w:pPr>
        <w:spacing w:after="0"/>
        <w:jc w:val="center"/>
        <w:rPr>
          <w:b/>
          <w:color w:val="000000"/>
          <w:spacing w:val="-1"/>
          <w:sz w:val="28"/>
        </w:rPr>
      </w:pPr>
      <w:bookmarkStart w:id="0" w:name="_GoBack"/>
      <w:bookmarkEnd w:id="0"/>
      <w:r>
        <w:rPr>
          <w:b/>
          <w:color w:val="000000"/>
          <w:sz w:val="28"/>
        </w:rPr>
        <w:t>EXPLANATORY</w:t>
      </w:r>
      <w:r>
        <w:rPr>
          <w:b/>
          <w:color w:val="000000"/>
          <w:spacing w:val="-39"/>
          <w:sz w:val="28"/>
        </w:rPr>
        <w:t xml:space="preserve"> </w:t>
      </w:r>
      <w:r>
        <w:rPr>
          <w:b/>
          <w:color w:val="000000"/>
          <w:spacing w:val="-1"/>
          <w:sz w:val="28"/>
        </w:rPr>
        <w:t>STATEMENT for</w:t>
      </w:r>
    </w:p>
    <w:p w14:paraId="042A6F39" w14:textId="77777777" w:rsidR="00AC02C2" w:rsidRDefault="00AC02C2" w:rsidP="00855009">
      <w:pPr>
        <w:pStyle w:val="Title"/>
        <w:spacing w:after="0"/>
      </w:pPr>
    </w:p>
    <w:p w14:paraId="6AF99F0B" w14:textId="09E3A1F5" w:rsidR="005B0E3A" w:rsidRDefault="00604AE8" w:rsidP="00855009">
      <w:pPr>
        <w:spacing w:after="0"/>
        <w:jc w:val="center"/>
        <w:rPr>
          <w:b/>
          <w:color w:val="000000"/>
          <w:spacing w:val="-1"/>
          <w:sz w:val="28"/>
        </w:rPr>
      </w:pPr>
      <w:r w:rsidRPr="00604AE8">
        <w:rPr>
          <w:b/>
          <w:caps/>
          <w:color w:val="000000"/>
          <w:spacing w:val="-1"/>
          <w:sz w:val="28"/>
        </w:rPr>
        <w:t>ASIC Corporations (Non-Traditional Rights Issues) Instrument 2016/84</w:t>
      </w:r>
    </w:p>
    <w:p w14:paraId="1E97D553" w14:textId="77777777" w:rsidR="008565F8" w:rsidRDefault="008565F8" w:rsidP="00855009">
      <w:pPr>
        <w:spacing w:after="0"/>
        <w:jc w:val="center"/>
        <w:rPr>
          <w:b/>
          <w:color w:val="000000"/>
          <w:spacing w:val="-1"/>
          <w:sz w:val="28"/>
        </w:rPr>
      </w:pPr>
    </w:p>
    <w:p w14:paraId="2BC1FAC0" w14:textId="77777777" w:rsidR="008565F8" w:rsidRDefault="008565F8" w:rsidP="00D04DF5">
      <w:pPr>
        <w:pStyle w:val="sub3paraA"/>
      </w:pPr>
    </w:p>
    <w:p w14:paraId="35E01561" w14:textId="48AAA573" w:rsidR="00733649" w:rsidRDefault="005B0E3A" w:rsidP="00855009">
      <w:pPr>
        <w:pStyle w:val="BodyText"/>
        <w:spacing w:before="0" w:line="240" w:lineRule="auto"/>
        <w:jc w:val="center"/>
      </w:pPr>
      <w:r>
        <w:t>Prepared by the Australian Securities and Investments Commission</w:t>
      </w:r>
      <w:r w:rsidR="00733649">
        <w:br/>
      </w:r>
    </w:p>
    <w:p w14:paraId="265F9EE7" w14:textId="559A0CE9" w:rsidR="005B0E3A" w:rsidRDefault="005B0E3A" w:rsidP="00855009">
      <w:pPr>
        <w:tabs>
          <w:tab w:val="left" w:pos="0"/>
        </w:tabs>
        <w:spacing w:after="0"/>
        <w:jc w:val="center"/>
        <w:rPr>
          <w:sz w:val="24"/>
          <w:szCs w:val="24"/>
        </w:rPr>
      </w:pPr>
      <w:r>
        <w:rPr>
          <w:i/>
          <w:sz w:val="24"/>
        </w:rPr>
        <w:t>Corporations Act 2001</w:t>
      </w:r>
    </w:p>
    <w:p w14:paraId="3D5FCC3A" w14:textId="77777777" w:rsidR="00DB6845" w:rsidRDefault="00DB6845" w:rsidP="00855009">
      <w:pPr>
        <w:pStyle w:val="BodyText"/>
        <w:spacing w:before="0" w:line="240" w:lineRule="auto"/>
      </w:pPr>
    </w:p>
    <w:p w14:paraId="39A1B53D" w14:textId="77777777" w:rsidR="00604AE8" w:rsidRDefault="005B0E3A" w:rsidP="00604AE8">
      <w:pPr>
        <w:pStyle w:val="BodyText"/>
        <w:spacing w:before="0" w:line="240" w:lineRule="auto"/>
        <w:rPr>
          <w:spacing w:val="-1"/>
        </w:rPr>
      </w:pPr>
      <w:r w:rsidRPr="00EA0AFA">
        <w:t xml:space="preserve">The Australian Securities and </w:t>
      </w:r>
      <w:r w:rsidRPr="00EA0AFA">
        <w:rPr>
          <w:spacing w:val="-1"/>
        </w:rPr>
        <w:t>Investments</w:t>
      </w:r>
      <w:r w:rsidRPr="00EA0AFA">
        <w:t xml:space="preserve"> </w:t>
      </w:r>
      <w:r w:rsidRPr="00EA0AFA">
        <w:rPr>
          <w:spacing w:val="-1"/>
        </w:rPr>
        <w:t>Commission</w:t>
      </w:r>
      <w:r w:rsidRPr="00EA0AFA">
        <w:t xml:space="preserve"> (</w:t>
      </w:r>
      <w:r w:rsidRPr="00EA0AFA">
        <w:rPr>
          <w:b/>
          <w:i/>
        </w:rPr>
        <w:t>ASIC</w:t>
      </w:r>
      <w:r w:rsidRPr="00EA0AFA">
        <w:t xml:space="preserve">) </w:t>
      </w:r>
      <w:r w:rsidRPr="00EA0AFA">
        <w:rPr>
          <w:spacing w:val="-1"/>
        </w:rPr>
        <w:t>makes</w:t>
      </w:r>
      <w:r w:rsidRPr="00EA0AFA">
        <w:t xml:space="preserve"> </w:t>
      </w:r>
      <w:r w:rsidR="00604AE8" w:rsidRPr="00604AE8">
        <w:t xml:space="preserve">ASIC Corporations (Non-Traditional Rights Issues) Instrument 2016/84 </w:t>
      </w:r>
      <w:r w:rsidR="00EA0AFA">
        <w:rPr>
          <w:spacing w:val="-1"/>
        </w:rPr>
        <w:t>(</w:t>
      </w:r>
      <w:r w:rsidR="00EA0AFA" w:rsidRPr="00EA0AFA">
        <w:rPr>
          <w:b/>
          <w:i/>
          <w:spacing w:val="-1"/>
        </w:rPr>
        <w:t>Instrument</w:t>
      </w:r>
      <w:r w:rsidR="00EA0AFA">
        <w:rPr>
          <w:spacing w:val="-1"/>
        </w:rPr>
        <w:t xml:space="preserve">) </w:t>
      </w:r>
      <w:r w:rsidRPr="00EA0AFA">
        <w:rPr>
          <w:spacing w:val="-1"/>
        </w:rPr>
        <w:t xml:space="preserve">under </w:t>
      </w:r>
      <w:r w:rsidR="000A16D3" w:rsidRPr="00EA0AFA">
        <w:rPr>
          <w:szCs w:val="24"/>
        </w:rPr>
        <w:t>section</w:t>
      </w:r>
      <w:r w:rsidR="001E4475">
        <w:rPr>
          <w:szCs w:val="24"/>
        </w:rPr>
        <w:t>s</w:t>
      </w:r>
      <w:r w:rsidR="000A16D3" w:rsidRPr="00EA0AFA">
        <w:rPr>
          <w:szCs w:val="24"/>
        </w:rPr>
        <w:t xml:space="preserve"> 741 </w:t>
      </w:r>
      <w:r w:rsidR="001E4475">
        <w:rPr>
          <w:szCs w:val="24"/>
        </w:rPr>
        <w:t xml:space="preserve">and 1020F </w:t>
      </w:r>
      <w:r w:rsidR="000A16D3" w:rsidRPr="00EA0AFA">
        <w:rPr>
          <w:szCs w:val="24"/>
        </w:rPr>
        <w:t xml:space="preserve">of the </w:t>
      </w:r>
      <w:r w:rsidR="000A16D3" w:rsidRPr="00EA0AFA">
        <w:rPr>
          <w:i/>
          <w:szCs w:val="24"/>
        </w:rPr>
        <w:t xml:space="preserve">Corporations Act 2001 </w:t>
      </w:r>
      <w:r w:rsidR="000A16D3" w:rsidRPr="00EA0AFA">
        <w:rPr>
          <w:szCs w:val="24"/>
        </w:rPr>
        <w:t xml:space="preserve">(the </w:t>
      </w:r>
      <w:r w:rsidR="000A16D3" w:rsidRPr="00EA0AFA">
        <w:rPr>
          <w:b/>
          <w:i/>
          <w:szCs w:val="24"/>
        </w:rPr>
        <w:t>Act</w:t>
      </w:r>
      <w:r w:rsidR="000A16D3" w:rsidRPr="00EA0AFA">
        <w:rPr>
          <w:szCs w:val="24"/>
        </w:rPr>
        <w:t>)</w:t>
      </w:r>
      <w:r w:rsidR="00EA0AFA" w:rsidRPr="00EA0AFA">
        <w:rPr>
          <w:spacing w:val="-1"/>
        </w:rPr>
        <w:t>.</w:t>
      </w:r>
    </w:p>
    <w:p w14:paraId="612B6DA1" w14:textId="77777777" w:rsidR="00604AE8" w:rsidRDefault="00604AE8" w:rsidP="00604AE8">
      <w:pPr>
        <w:pStyle w:val="BodyText"/>
        <w:spacing w:before="0" w:line="240" w:lineRule="auto"/>
        <w:rPr>
          <w:spacing w:val="-1"/>
        </w:rPr>
      </w:pPr>
    </w:p>
    <w:p w14:paraId="3919D571" w14:textId="0BB2B08B" w:rsidR="00604AE8" w:rsidRDefault="00604AE8" w:rsidP="00604AE8">
      <w:pPr>
        <w:pStyle w:val="BodyText"/>
        <w:spacing w:before="0" w:line="240" w:lineRule="auto"/>
        <w:rPr>
          <w:spacing w:val="-1"/>
        </w:rPr>
      </w:pPr>
      <w:r w:rsidRPr="00604AE8">
        <w:rPr>
          <w:spacing w:val="-1"/>
        </w:rPr>
        <w:t>Subsection 741(1) provides that ASIC may declare that Chapter 6D of the Act applies to a person as if specified provisions were omitted, modified or varied as specified in the declaration.</w:t>
      </w:r>
    </w:p>
    <w:p w14:paraId="5A19AEF9" w14:textId="77777777" w:rsidR="00604AE8" w:rsidRPr="00604AE8" w:rsidRDefault="00604AE8" w:rsidP="00604AE8">
      <w:pPr>
        <w:pStyle w:val="BodyText"/>
        <w:spacing w:before="0" w:line="240" w:lineRule="auto"/>
        <w:rPr>
          <w:spacing w:val="-1"/>
        </w:rPr>
      </w:pPr>
    </w:p>
    <w:p w14:paraId="3CEEC07B" w14:textId="77777777" w:rsidR="00604AE8" w:rsidRDefault="00604AE8" w:rsidP="00604AE8">
      <w:pPr>
        <w:pStyle w:val="BodyText"/>
        <w:spacing w:before="0" w:line="240" w:lineRule="auto"/>
        <w:rPr>
          <w:spacing w:val="-1"/>
        </w:rPr>
      </w:pPr>
      <w:r w:rsidRPr="00604AE8">
        <w:rPr>
          <w:spacing w:val="-1"/>
        </w:rPr>
        <w:t>Subsection 1020F(1) provides that ASIC may declare that Part 7.9 of the Act applies in relation to a person or a financial product, or a class of persons or financial products, as if specified provisions were omitted, modified or varied as specified in the declaration.</w:t>
      </w:r>
    </w:p>
    <w:p w14:paraId="773FF8E1" w14:textId="77777777" w:rsidR="00604AE8" w:rsidRDefault="00604AE8" w:rsidP="00604AE8">
      <w:pPr>
        <w:pStyle w:val="BodyText"/>
        <w:spacing w:before="0" w:line="240" w:lineRule="auto"/>
        <w:rPr>
          <w:spacing w:val="-1"/>
        </w:rPr>
      </w:pPr>
    </w:p>
    <w:p w14:paraId="1039C94C" w14:textId="77777777" w:rsidR="005B0E3A" w:rsidRPr="00BE1561" w:rsidRDefault="005B0E3A" w:rsidP="00855009">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4E4598EB" w14:textId="77777777" w:rsidR="00BE1561" w:rsidRDefault="00BE1561" w:rsidP="00855009">
      <w:pPr>
        <w:widowControl w:val="0"/>
        <w:tabs>
          <w:tab w:val="left" w:pos="567"/>
        </w:tabs>
        <w:spacing w:after="0"/>
        <w:rPr>
          <w:rFonts w:ascii="Arial" w:eastAsia="Arial" w:hAnsi="Arial" w:cs="Arial"/>
          <w:sz w:val="24"/>
          <w:szCs w:val="24"/>
        </w:rPr>
      </w:pPr>
    </w:p>
    <w:p w14:paraId="4B67C30F" w14:textId="77777777" w:rsidR="00604AE8" w:rsidRPr="00604AE8" w:rsidRDefault="00604AE8" w:rsidP="00855009">
      <w:pPr>
        <w:pStyle w:val="ListParagraph"/>
        <w:ind w:left="0"/>
        <w:rPr>
          <w:b/>
          <w:i/>
          <w:sz w:val="24"/>
          <w:szCs w:val="24"/>
        </w:rPr>
      </w:pPr>
      <w:r w:rsidRPr="00604AE8">
        <w:rPr>
          <w:b/>
          <w:i/>
          <w:sz w:val="24"/>
          <w:szCs w:val="24"/>
        </w:rPr>
        <w:t>Disclosure exemption for rights issues</w:t>
      </w:r>
    </w:p>
    <w:p w14:paraId="77F5CCDB" w14:textId="77777777" w:rsidR="00604AE8" w:rsidRDefault="00604AE8" w:rsidP="00855009">
      <w:pPr>
        <w:pStyle w:val="ListParagraph"/>
        <w:ind w:left="0"/>
        <w:rPr>
          <w:sz w:val="24"/>
          <w:szCs w:val="24"/>
        </w:rPr>
      </w:pPr>
    </w:p>
    <w:p w14:paraId="5DE5ABB5" w14:textId="77777777" w:rsidR="00604AE8" w:rsidRPr="00604AE8" w:rsidRDefault="00604AE8" w:rsidP="00604AE8">
      <w:pPr>
        <w:pStyle w:val="ListParagraph"/>
        <w:ind w:left="0"/>
        <w:rPr>
          <w:sz w:val="24"/>
          <w:szCs w:val="24"/>
        </w:rPr>
      </w:pPr>
      <w:r w:rsidRPr="00604AE8">
        <w:rPr>
          <w:sz w:val="24"/>
          <w:szCs w:val="24"/>
        </w:rPr>
        <w:t>Chapter 6D regulates the making of offers for the issue or sale of securities and sets out when an offer needs disclosure to investors in a disclosure document. Part 7.9 regulates the making of offers for the issue or sale of financial products (other than securities) and sets out when an offer needs disclosure to investors through a Product Disclosure Statement (</w:t>
      </w:r>
      <w:r w:rsidRPr="00604AE8">
        <w:rPr>
          <w:b/>
          <w:i/>
          <w:sz w:val="24"/>
          <w:szCs w:val="24"/>
        </w:rPr>
        <w:t>PDS</w:t>
      </w:r>
      <w:r w:rsidRPr="00604AE8">
        <w:rPr>
          <w:sz w:val="24"/>
          <w:szCs w:val="24"/>
        </w:rPr>
        <w:t>). These provisions also set out certain categories of offers that do not need disclosure.</w:t>
      </w:r>
    </w:p>
    <w:p w14:paraId="2BF902C1" w14:textId="77777777" w:rsidR="00604AE8" w:rsidRDefault="00604AE8" w:rsidP="00604AE8">
      <w:pPr>
        <w:pStyle w:val="ListParagraph"/>
        <w:ind w:left="0"/>
        <w:rPr>
          <w:sz w:val="24"/>
          <w:szCs w:val="24"/>
        </w:rPr>
      </w:pPr>
    </w:p>
    <w:p w14:paraId="4EF92302" w14:textId="77777777" w:rsidR="00604AE8" w:rsidRDefault="00604AE8" w:rsidP="00604AE8">
      <w:pPr>
        <w:pStyle w:val="ListParagraph"/>
        <w:ind w:left="0"/>
        <w:rPr>
          <w:sz w:val="24"/>
          <w:szCs w:val="24"/>
        </w:rPr>
      </w:pPr>
      <w:r w:rsidRPr="00604AE8">
        <w:rPr>
          <w:sz w:val="24"/>
          <w:szCs w:val="24"/>
        </w:rPr>
        <w:t>Sections 708AA and 1012DAA of the Act permit an entity to make an offer of quoted securities and quoted interests without a disclosure document or PDS where the offer is a rights issue (as defined in section 9A), provided that certain conditions are satisfied (</w:t>
      </w:r>
      <w:r w:rsidRPr="00604AE8">
        <w:rPr>
          <w:b/>
          <w:i/>
          <w:sz w:val="24"/>
          <w:szCs w:val="24"/>
        </w:rPr>
        <w:t>disclosure exemption</w:t>
      </w:r>
      <w:r w:rsidRPr="00604AE8">
        <w:rPr>
          <w:sz w:val="24"/>
          <w:szCs w:val="24"/>
        </w:rPr>
        <w:t xml:space="preserve">). These provisions were introduced by the </w:t>
      </w:r>
      <w:r w:rsidRPr="00604AE8">
        <w:rPr>
          <w:i/>
          <w:sz w:val="24"/>
          <w:szCs w:val="24"/>
        </w:rPr>
        <w:t>Corporations Legislation Amendment (Simpler Regulatory System) Act 2007</w:t>
      </w:r>
      <w:r w:rsidRPr="00604AE8">
        <w:rPr>
          <w:sz w:val="24"/>
          <w:szCs w:val="24"/>
        </w:rPr>
        <w:t xml:space="preserve"> to encourage this kind of fundraising in which retail holders can participate as opposed to forms of fundraising that exclude retail holders (e.g. institutional placements). </w:t>
      </w:r>
    </w:p>
    <w:p w14:paraId="70349304" w14:textId="77777777" w:rsidR="00604AE8" w:rsidRPr="00604AE8" w:rsidRDefault="00604AE8" w:rsidP="00604AE8">
      <w:pPr>
        <w:pStyle w:val="ListParagraph"/>
        <w:ind w:left="0"/>
        <w:rPr>
          <w:sz w:val="24"/>
          <w:szCs w:val="24"/>
        </w:rPr>
      </w:pPr>
    </w:p>
    <w:p w14:paraId="371C4FAA" w14:textId="77777777" w:rsidR="00604AE8" w:rsidRDefault="00604AE8" w:rsidP="00604AE8">
      <w:pPr>
        <w:pStyle w:val="ListParagraph"/>
        <w:ind w:left="0"/>
      </w:pPr>
      <w:r w:rsidRPr="00604AE8">
        <w:rPr>
          <w:sz w:val="24"/>
          <w:szCs w:val="24"/>
        </w:rPr>
        <w:t>The provisions reflect the traditional rights issue structure in which the issuer offers existing holders the opportunity to subscribe for new securities or interests in proportion to their holding of securities or interests in that class and the offer is made to all holders on the same terms. For the disclosure exemption to apply, a rights issue must satisfy the following conditions:</w:t>
      </w:r>
      <w:r w:rsidRPr="00604AE8">
        <w:t xml:space="preserve"> </w:t>
      </w:r>
    </w:p>
    <w:p w14:paraId="419EF368" w14:textId="77777777" w:rsidR="00604AE8" w:rsidRDefault="00604AE8" w:rsidP="00604AE8">
      <w:pPr>
        <w:pStyle w:val="ListParagraph"/>
        <w:ind w:left="0"/>
      </w:pPr>
    </w:p>
    <w:p w14:paraId="53F06FC8" w14:textId="5428F07E" w:rsidR="00604AE8" w:rsidRPr="00604AE8" w:rsidRDefault="00604AE8" w:rsidP="00604AE8">
      <w:pPr>
        <w:pStyle w:val="ListParagraph"/>
        <w:ind w:left="0"/>
        <w:rPr>
          <w:sz w:val="24"/>
          <w:szCs w:val="24"/>
        </w:rPr>
      </w:pPr>
      <w:r w:rsidRPr="00604AE8">
        <w:rPr>
          <w:sz w:val="24"/>
          <w:szCs w:val="24"/>
        </w:rPr>
        <w:t>(a)</w:t>
      </w:r>
      <w:r w:rsidRPr="00604AE8">
        <w:rPr>
          <w:sz w:val="24"/>
          <w:szCs w:val="24"/>
        </w:rPr>
        <w:tab/>
        <w:t>the offer must be made to all existing holders in a particular class;</w:t>
      </w:r>
    </w:p>
    <w:p w14:paraId="09ECAA43" w14:textId="77777777" w:rsidR="00604AE8" w:rsidRDefault="00604AE8" w:rsidP="00604AE8">
      <w:pPr>
        <w:pStyle w:val="ListParagraph"/>
        <w:ind w:left="0"/>
        <w:rPr>
          <w:sz w:val="24"/>
          <w:szCs w:val="24"/>
        </w:rPr>
      </w:pPr>
    </w:p>
    <w:p w14:paraId="49FD2425" w14:textId="77777777" w:rsidR="00604AE8" w:rsidRPr="00604AE8" w:rsidRDefault="00604AE8" w:rsidP="00604AE8">
      <w:pPr>
        <w:pStyle w:val="ListParagraph"/>
        <w:ind w:left="0"/>
        <w:rPr>
          <w:sz w:val="24"/>
          <w:szCs w:val="24"/>
        </w:rPr>
      </w:pPr>
      <w:r w:rsidRPr="00604AE8">
        <w:rPr>
          <w:sz w:val="24"/>
          <w:szCs w:val="24"/>
        </w:rPr>
        <w:lastRenderedPageBreak/>
        <w:t>(b)</w:t>
      </w:r>
      <w:r w:rsidRPr="00604AE8">
        <w:rPr>
          <w:sz w:val="24"/>
          <w:szCs w:val="24"/>
        </w:rPr>
        <w:tab/>
        <w:t>the offer must be made to existing holders in proportion to their holdings;</w:t>
      </w:r>
    </w:p>
    <w:p w14:paraId="574C78C5" w14:textId="77777777" w:rsidR="00604AE8" w:rsidRDefault="00604AE8" w:rsidP="00604AE8">
      <w:pPr>
        <w:pStyle w:val="ListParagraph"/>
        <w:ind w:left="0"/>
        <w:rPr>
          <w:sz w:val="24"/>
          <w:szCs w:val="24"/>
        </w:rPr>
      </w:pPr>
    </w:p>
    <w:p w14:paraId="0F608D24" w14:textId="77777777" w:rsidR="00604AE8" w:rsidRPr="00604AE8" w:rsidRDefault="00604AE8" w:rsidP="00604AE8">
      <w:pPr>
        <w:pStyle w:val="ListParagraph"/>
        <w:ind w:left="0"/>
        <w:rPr>
          <w:sz w:val="24"/>
          <w:szCs w:val="24"/>
        </w:rPr>
      </w:pPr>
      <w:r w:rsidRPr="00604AE8">
        <w:rPr>
          <w:sz w:val="24"/>
          <w:szCs w:val="24"/>
        </w:rPr>
        <w:t>(c)</w:t>
      </w:r>
      <w:r w:rsidRPr="00604AE8">
        <w:rPr>
          <w:sz w:val="24"/>
          <w:szCs w:val="24"/>
        </w:rPr>
        <w:tab/>
        <w:t>the terms of the offer must be the same; and</w:t>
      </w:r>
    </w:p>
    <w:p w14:paraId="2BC212C1" w14:textId="77777777" w:rsidR="00604AE8" w:rsidRDefault="00604AE8" w:rsidP="00604AE8">
      <w:pPr>
        <w:pStyle w:val="ListParagraph"/>
        <w:ind w:left="0"/>
        <w:rPr>
          <w:sz w:val="24"/>
          <w:szCs w:val="24"/>
        </w:rPr>
      </w:pPr>
    </w:p>
    <w:p w14:paraId="06134E90" w14:textId="77777777" w:rsidR="00604AE8" w:rsidRPr="00604AE8" w:rsidRDefault="00604AE8" w:rsidP="00604AE8">
      <w:pPr>
        <w:pStyle w:val="ListParagraph"/>
        <w:ind w:hanging="720"/>
        <w:rPr>
          <w:sz w:val="24"/>
          <w:szCs w:val="24"/>
        </w:rPr>
      </w:pPr>
      <w:r w:rsidRPr="00604AE8">
        <w:rPr>
          <w:sz w:val="24"/>
          <w:szCs w:val="24"/>
        </w:rPr>
        <w:t>(d)</w:t>
      </w:r>
      <w:r w:rsidRPr="00604AE8">
        <w:rPr>
          <w:sz w:val="24"/>
          <w:szCs w:val="24"/>
        </w:rPr>
        <w:tab/>
        <w:t>the issuer must give the market operator a cleansing notice containing certain prescribed information.</w:t>
      </w:r>
    </w:p>
    <w:p w14:paraId="4F565340" w14:textId="77777777" w:rsidR="00604AE8" w:rsidRDefault="00604AE8" w:rsidP="00604AE8">
      <w:pPr>
        <w:pStyle w:val="ListParagraph"/>
        <w:ind w:left="0"/>
        <w:rPr>
          <w:sz w:val="24"/>
          <w:szCs w:val="24"/>
        </w:rPr>
      </w:pPr>
    </w:p>
    <w:p w14:paraId="2DB98B6F" w14:textId="77777777" w:rsidR="00604AE8" w:rsidRPr="00604AE8" w:rsidRDefault="00604AE8" w:rsidP="00604AE8">
      <w:pPr>
        <w:pStyle w:val="ListParagraph"/>
        <w:ind w:left="0"/>
        <w:rPr>
          <w:sz w:val="24"/>
          <w:szCs w:val="24"/>
        </w:rPr>
      </w:pPr>
      <w:r w:rsidRPr="00604AE8">
        <w:rPr>
          <w:sz w:val="24"/>
          <w:szCs w:val="24"/>
        </w:rPr>
        <w:t>Without ASIC relief, a rights issue that does not comply with all of these requirements would need to be made under a disclosure document or PDS.</w:t>
      </w:r>
    </w:p>
    <w:p w14:paraId="3DC48F9F" w14:textId="77777777" w:rsidR="00604AE8" w:rsidRDefault="00604AE8" w:rsidP="00604AE8">
      <w:pPr>
        <w:pStyle w:val="ListParagraph"/>
        <w:ind w:left="0"/>
        <w:rPr>
          <w:sz w:val="24"/>
          <w:szCs w:val="24"/>
        </w:rPr>
      </w:pPr>
    </w:p>
    <w:p w14:paraId="4226DFBD" w14:textId="77777777" w:rsidR="00604AE8" w:rsidRPr="00604AE8" w:rsidRDefault="00604AE8" w:rsidP="00604AE8">
      <w:pPr>
        <w:pStyle w:val="ListParagraph"/>
        <w:ind w:left="0"/>
        <w:rPr>
          <w:b/>
          <w:i/>
          <w:sz w:val="24"/>
          <w:szCs w:val="24"/>
        </w:rPr>
      </w:pPr>
      <w:r w:rsidRPr="00604AE8">
        <w:rPr>
          <w:b/>
          <w:i/>
          <w:sz w:val="24"/>
          <w:szCs w:val="24"/>
        </w:rPr>
        <w:t>Features of non-traditional rights issues that do not comply with the conditions of the disclosure exemption</w:t>
      </w:r>
    </w:p>
    <w:p w14:paraId="38C6AAA4" w14:textId="77777777" w:rsidR="00604AE8" w:rsidRDefault="00604AE8" w:rsidP="00604AE8">
      <w:pPr>
        <w:pStyle w:val="ListParagraph"/>
        <w:ind w:left="0"/>
        <w:rPr>
          <w:sz w:val="24"/>
          <w:szCs w:val="24"/>
        </w:rPr>
      </w:pPr>
    </w:p>
    <w:p w14:paraId="68623B43" w14:textId="77777777" w:rsidR="00604AE8" w:rsidRDefault="00604AE8" w:rsidP="00604AE8">
      <w:pPr>
        <w:pStyle w:val="ListParagraph"/>
        <w:ind w:left="0"/>
        <w:rPr>
          <w:sz w:val="24"/>
          <w:szCs w:val="24"/>
        </w:rPr>
      </w:pPr>
      <w:r w:rsidRPr="00604AE8">
        <w:rPr>
          <w:sz w:val="24"/>
          <w:szCs w:val="24"/>
        </w:rPr>
        <w:t>The market has adapted the traditional rights issue structure in various ways to meet different fundraising needs.  A key example of a non-traditional rights issue is an accelerated rights issue where offers to institutional holders are accelerated to enable the issuer to raise funds more quickly. The offer proceeds in two tranches: institutional and retail.</w:t>
      </w:r>
    </w:p>
    <w:p w14:paraId="494CCF1D" w14:textId="77777777" w:rsidR="00432C1E" w:rsidRPr="00604AE8" w:rsidRDefault="00432C1E" w:rsidP="00604AE8">
      <w:pPr>
        <w:pStyle w:val="ListParagraph"/>
        <w:ind w:left="0"/>
        <w:rPr>
          <w:sz w:val="24"/>
          <w:szCs w:val="24"/>
        </w:rPr>
      </w:pPr>
    </w:p>
    <w:p w14:paraId="1B885EDF" w14:textId="77777777" w:rsidR="00604AE8" w:rsidRPr="00604AE8" w:rsidRDefault="00604AE8" w:rsidP="00604AE8">
      <w:pPr>
        <w:pStyle w:val="ListParagraph"/>
        <w:ind w:left="0"/>
        <w:rPr>
          <w:sz w:val="24"/>
          <w:szCs w:val="24"/>
        </w:rPr>
      </w:pPr>
      <w:r w:rsidRPr="00604AE8">
        <w:rPr>
          <w:sz w:val="24"/>
          <w:szCs w:val="24"/>
        </w:rPr>
        <w:t xml:space="preserve">Certain features of these non-traditional rights issues do not technically comply with the requirements of the disclosure exemption.  </w:t>
      </w:r>
    </w:p>
    <w:p w14:paraId="5743D20F" w14:textId="77777777" w:rsidR="00432C1E" w:rsidRDefault="00432C1E" w:rsidP="00604AE8">
      <w:pPr>
        <w:pStyle w:val="ListParagraph"/>
        <w:ind w:left="0"/>
        <w:rPr>
          <w:sz w:val="24"/>
          <w:szCs w:val="24"/>
        </w:rPr>
      </w:pPr>
    </w:p>
    <w:p w14:paraId="59AC4935" w14:textId="77777777" w:rsidR="00604AE8" w:rsidRPr="00432C1E" w:rsidRDefault="00604AE8" w:rsidP="00604AE8">
      <w:pPr>
        <w:pStyle w:val="ListParagraph"/>
        <w:ind w:left="0"/>
        <w:rPr>
          <w:i/>
          <w:sz w:val="24"/>
          <w:szCs w:val="24"/>
          <w:u w:val="single"/>
        </w:rPr>
      </w:pPr>
      <w:r w:rsidRPr="00432C1E">
        <w:rPr>
          <w:i/>
          <w:sz w:val="24"/>
          <w:szCs w:val="24"/>
          <w:u w:val="single"/>
        </w:rPr>
        <w:t xml:space="preserve">Differences in timing of offer and allotment </w:t>
      </w:r>
    </w:p>
    <w:p w14:paraId="54A2CEFF" w14:textId="77777777" w:rsidR="00432C1E" w:rsidRPr="00604AE8" w:rsidRDefault="00432C1E" w:rsidP="00604AE8">
      <w:pPr>
        <w:pStyle w:val="ListParagraph"/>
        <w:ind w:left="0"/>
        <w:rPr>
          <w:sz w:val="24"/>
          <w:szCs w:val="24"/>
        </w:rPr>
      </w:pPr>
    </w:p>
    <w:p w14:paraId="418158EF" w14:textId="77777777" w:rsidR="00604AE8" w:rsidRPr="00604AE8" w:rsidRDefault="00604AE8" w:rsidP="00604AE8">
      <w:pPr>
        <w:pStyle w:val="ListParagraph"/>
        <w:ind w:left="0"/>
        <w:rPr>
          <w:sz w:val="24"/>
          <w:szCs w:val="24"/>
        </w:rPr>
      </w:pPr>
      <w:r w:rsidRPr="00604AE8">
        <w:rPr>
          <w:sz w:val="24"/>
          <w:szCs w:val="24"/>
        </w:rPr>
        <w:t>Accelerated rights issues may have a different offer period and timing of allotment of the securities or interests to retail and institutional holders. This means that offers will not be made on the same terms and the issuer will not be able to rely on the disclosure exemption.</w:t>
      </w:r>
    </w:p>
    <w:p w14:paraId="742E06B1" w14:textId="77777777" w:rsidR="00432C1E" w:rsidRDefault="00432C1E" w:rsidP="00604AE8">
      <w:pPr>
        <w:pStyle w:val="ListParagraph"/>
        <w:ind w:left="0"/>
        <w:rPr>
          <w:sz w:val="24"/>
          <w:szCs w:val="24"/>
        </w:rPr>
      </w:pPr>
    </w:p>
    <w:p w14:paraId="1A3DAB22" w14:textId="77777777" w:rsidR="00604AE8" w:rsidRPr="00432C1E" w:rsidRDefault="00604AE8" w:rsidP="00604AE8">
      <w:pPr>
        <w:pStyle w:val="ListParagraph"/>
        <w:ind w:left="0"/>
        <w:rPr>
          <w:i/>
          <w:sz w:val="24"/>
          <w:szCs w:val="24"/>
          <w:u w:val="single"/>
        </w:rPr>
      </w:pPr>
      <w:r w:rsidRPr="00432C1E">
        <w:rPr>
          <w:i/>
          <w:sz w:val="24"/>
          <w:szCs w:val="24"/>
          <w:u w:val="single"/>
        </w:rPr>
        <w:t>Disposal of shortfall</w:t>
      </w:r>
    </w:p>
    <w:p w14:paraId="611EA044" w14:textId="77777777" w:rsidR="00432C1E" w:rsidRDefault="00432C1E" w:rsidP="00604AE8">
      <w:pPr>
        <w:pStyle w:val="ListParagraph"/>
        <w:ind w:left="0"/>
        <w:rPr>
          <w:sz w:val="24"/>
          <w:szCs w:val="24"/>
        </w:rPr>
      </w:pPr>
    </w:p>
    <w:p w14:paraId="4ADAF6D1" w14:textId="77777777" w:rsidR="00604AE8" w:rsidRPr="00604AE8" w:rsidRDefault="00604AE8" w:rsidP="00604AE8">
      <w:pPr>
        <w:pStyle w:val="ListParagraph"/>
        <w:ind w:left="0"/>
        <w:rPr>
          <w:sz w:val="24"/>
          <w:szCs w:val="24"/>
        </w:rPr>
      </w:pPr>
      <w:r w:rsidRPr="00604AE8">
        <w:rPr>
          <w:sz w:val="24"/>
          <w:szCs w:val="24"/>
        </w:rPr>
        <w:t>Not all securities or interests may be taken up under the initial pro rata offer. Disposal of the resulting shortfall may fall outside the disclosure exemption for technical reasons because the offers are not pro rata and not on the same terms as the initial offer.</w:t>
      </w:r>
    </w:p>
    <w:p w14:paraId="314247E3" w14:textId="77777777" w:rsidR="00432C1E" w:rsidRDefault="00432C1E" w:rsidP="00604AE8">
      <w:pPr>
        <w:pStyle w:val="ListParagraph"/>
        <w:ind w:left="0"/>
        <w:rPr>
          <w:sz w:val="24"/>
          <w:szCs w:val="24"/>
        </w:rPr>
      </w:pPr>
    </w:p>
    <w:p w14:paraId="4D3B83FF" w14:textId="77777777" w:rsidR="00604AE8" w:rsidRPr="00432C1E" w:rsidRDefault="00604AE8" w:rsidP="00604AE8">
      <w:pPr>
        <w:pStyle w:val="ListParagraph"/>
        <w:ind w:left="0"/>
        <w:rPr>
          <w:i/>
          <w:sz w:val="24"/>
          <w:szCs w:val="24"/>
          <w:u w:val="single"/>
        </w:rPr>
      </w:pPr>
      <w:r w:rsidRPr="00432C1E">
        <w:rPr>
          <w:i/>
          <w:sz w:val="24"/>
          <w:szCs w:val="24"/>
          <w:u w:val="single"/>
        </w:rPr>
        <w:t>Offer to convertible securityholders</w:t>
      </w:r>
    </w:p>
    <w:p w14:paraId="53DD5F2E" w14:textId="77777777" w:rsidR="00432C1E" w:rsidRDefault="00432C1E" w:rsidP="00604AE8">
      <w:pPr>
        <w:pStyle w:val="ListParagraph"/>
        <w:ind w:left="0"/>
        <w:rPr>
          <w:sz w:val="24"/>
          <w:szCs w:val="24"/>
        </w:rPr>
      </w:pPr>
    </w:p>
    <w:p w14:paraId="7F439FD4" w14:textId="77777777" w:rsidR="00604AE8" w:rsidRPr="00604AE8" w:rsidRDefault="00604AE8" w:rsidP="00604AE8">
      <w:pPr>
        <w:pStyle w:val="ListParagraph"/>
        <w:ind w:left="0"/>
        <w:rPr>
          <w:sz w:val="24"/>
          <w:szCs w:val="24"/>
        </w:rPr>
      </w:pPr>
      <w:r w:rsidRPr="00604AE8">
        <w:rPr>
          <w:sz w:val="24"/>
          <w:szCs w:val="24"/>
        </w:rPr>
        <w:t>Where the rights issue is an offer of ordinary shares, an offer to holders of convertible securities (eg convertible noteholders) would fall outside the disclosure exemption because it is not a pro rata offer to holders in the class of ordinary shareholders.</w:t>
      </w:r>
    </w:p>
    <w:p w14:paraId="6F466F11" w14:textId="77777777" w:rsidR="00432C1E" w:rsidRDefault="00432C1E" w:rsidP="00604AE8">
      <w:pPr>
        <w:pStyle w:val="ListParagraph"/>
        <w:ind w:left="0"/>
        <w:rPr>
          <w:sz w:val="24"/>
          <w:szCs w:val="24"/>
        </w:rPr>
      </w:pPr>
    </w:p>
    <w:p w14:paraId="6057922F" w14:textId="77777777" w:rsidR="00604AE8" w:rsidRPr="00432C1E" w:rsidRDefault="00604AE8" w:rsidP="00604AE8">
      <w:pPr>
        <w:pStyle w:val="ListParagraph"/>
        <w:ind w:left="0"/>
        <w:rPr>
          <w:i/>
          <w:sz w:val="24"/>
          <w:szCs w:val="24"/>
          <w:u w:val="single"/>
        </w:rPr>
      </w:pPr>
      <w:r w:rsidRPr="00432C1E">
        <w:rPr>
          <w:i/>
          <w:sz w:val="24"/>
          <w:szCs w:val="24"/>
          <w:u w:val="single"/>
        </w:rPr>
        <w:t>Multiple cleansing notices</w:t>
      </w:r>
    </w:p>
    <w:p w14:paraId="7503417E" w14:textId="77777777" w:rsidR="00432C1E" w:rsidRDefault="00432C1E" w:rsidP="00604AE8">
      <w:pPr>
        <w:pStyle w:val="ListParagraph"/>
        <w:ind w:left="0"/>
        <w:rPr>
          <w:sz w:val="24"/>
          <w:szCs w:val="24"/>
        </w:rPr>
      </w:pPr>
    </w:p>
    <w:p w14:paraId="22968D37" w14:textId="1A8FECD1" w:rsidR="00604AE8" w:rsidRDefault="00604AE8" w:rsidP="00604AE8">
      <w:pPr>
        <w:pStyle w:val="ListParagraph"/>
        <w:ind w:left="0"/>
        <w:rPr>
          <w:sz w:val="24"/>
          <w:szCs w:val="24"/>
        </w:rPr>
      </w:pPr>
      <w:r w:rsidRPr="00604AE8">
        <w:rPr>
          <w:sz w:val="24"/>
          <w:szCs w:val="24"/>
        </w:rPr>
        <w:t>Due to the structure of accelerated rights issues with multiple tranches of offers, it is possible that an issuer will have to lodge a number of cleansing notices with a market operator within a short period of time to comply with the disclosure exemption. There is also a further requirement for a cleansing notice under the on-sale exemption in sections 708A and 1012DA for on-sales of the securities or interests issued under the rights issue. Finally, the market operator may require a cleansing notice before the time for lodgement under section 708AA or 1012DAA.</w:t>
      </w:r>
    </w:p>
    <w:p w14:paraId="0AEB7B29" w14:textId="77777777" w:rsidR="00604AE8" w:rsidRDefault="00604AE8" w:rsidP="00604AE8">
      <w:pPr>
        <w:pStyle w:val="ListParagraph"/>
        <w:ind w:left="0"/>
        <w:rPr>
          <w:sz w:val="24"/>
          <w:szCs w:val="24"/>
        </w:rPr>
      </w:pPr>
    </w:p>
    <w:p w14:paraId="3CA9ADD5" w14:textId="4E2E80DA" w:rsidR="00E1603B" w:rsidRDefault="00E1603B" w:rsidP="00604AE8">
      <w:pPr>
        <w:pStyle w:val="ListParagraph"/>
        <w:ind w:left="0"/>
        <w:rPr>
          <w:b/>
          <w:i/>
          <w:sz w:val="24"/>
          <w:szCs w:val="24"/>
        </w:rPr>
      </w:pPr>
      <w:r>
        <w:rPr>
          <w:b/>
          <w:i/>
          <w:sz w:val="24"/>
          <w:szCs w:val="24"/>
        </w:rPr>
        <w:lastRenderedPageBreak/>
        <w:t>Previous relief</w:t>
      </w:r>
    </w:p>
    <w:p w14:paraId="44AFCF3F" w14:textId="0C5263A0" w:rsidR="00E1603B" w:rsidRDefault="00E1603B" w:rsidP="00E1603B">
      <w:pPr>
        <w:pStyle w:val="BodyText"/>
        <w:spacing w:before="0" w:line="240" w:lineRule="auto"/>
        <w:rPr>
          <w:szCs w:val="24"/>
        </w:rPr>
      </w:pPr>
      <w:r w:rsidRPr="00432C1E">
        <w:rPr>
          <w:szCs w:val="24"/>
        </w:rPr>
        <w:t>Class Order [CO 08/35]</w:t>
      </w:r>
      <w:r w:rsidR="00A04499">
        <w:rPr>
          <w:szCs w:val="24"/>
        </w:rPr>
        <w:t xml:space="preserve"> </w:t>
      </w:r>
      <w:r w:rsidR="00A04499">
        <w:rPr>
          <w:i/>
          <w:szCs w:val="24"/>
        </w:rPr>
        <w:t>Disclosure relief for rights issues</w:t>
      </w:r>
      <w:r w:rsidRPr="00432C1E">
        <w:rPr>
          <w:szCs w:val="24"/>
        </w:rPr>
        <w:t xml:space="preserve"> </w:t>
      </w:r>
      <w:r>
        <w:rPr>
          <w:szCs w:val="24"/>
        </w:rPr>
        <w:t xml:space="preserve">provides </w:t>
      </w:r>
      <w:r w:rsidRPr="00432C1E">
        <w:rPr>
          <w:szCs w:val="24"/>
        </w:rPr>
        <w:t>relief to enable an issuer to rely on the disclosure exemption for a non-traditional rights issue that gives existing holders an equal opportunity to participate and does not compromise investor protection.</w:t>
      </w:r>
    </w:p>
    <w:p w14:paraId="6EC63B76" w14:textId="77777777" w:rsidR="00E1603B" w:rsidRDefault="00E1603B" w:rsidP="00E1603B">
      <w:pPr>
        <w:pStyle w:val="BodyText"/>
        <w:spacing w:before="0" w:line="240" w:lineRule="auto"/>
      </w:pPr>
    </w:p>
    <w:p w14:paraId="2332923D" w14:textId="3E0384E6" w:rsidR="00E1603B" w:rsidRDefault="00E1603B" w:rsidP="00E1603B">
      <w:pPr>
        <w:pStyle w:val="BodyText"/>
        <w:spacing w:before="0" w:line="240" w:lineRule="auto"/>
      </w:pPr>
      <w:r>
        <w:t xml:space="preserve">ASIC has recently reviewed the policy underlying Class Order [CO 08/35] as part of a wider review of class orders relating to the fundraising provisions in Chapter 6D and considers that the relief in this class order is still both necessary and appropriate. Accordingly, ASIC has decided to reissue the relief underlying Class Order [CO 08/35] in </w:t>
      </w:r>
      <w:r w:rsidRPr="00604AE8">
        <w:t>ASIC Corporations (Non-Traditional Rights Issues) Instrument 2016/84</w:t>
      </w:r>
      <w:r w:rsidR="00C05C41">
        <w:t>, and also to extend that relief to rights issues conducted using a Pro-rata Accelerated Institutional Traditional (or Tradeable) Retail Entitlement Offer (</w:t>
      </w:r>
      <w:r w:rsidR="00C05C41" w:rsidRPr="00977D81">
        <w:rPr>
          <w:b/>
          <w:i/>
        </w:rPr>
        <w:t>PAITREO</w:t>
      </w:r>
      <w:r w:rsidR="00C05C41">
        <w:t>) structure.</w:t>
      </w:r>
    </w:p>
    <w:p w14:paraId="6620FC75" w14:textId="77777777" w:rsidR="00E1603B" w:rsidRDefault="00E1603B" w:rsidP="00E1603B">
      <w:pPr>
        <w:pStyle w:val="BodyText"/>
        <w:spacing w:before="0" w:line="240" w:lineRule="auto"/>
      </w:pPr>
    </w:p>
    <w:p w14:paraId="1A820D97" w14:textId="67524D9D" w:rsidR="00E1603B" w:rsidRDefault="00E1603B" w:rsidP="00E1603B">
      <w:pPr>
        <w:pStyle w:val="BodyText"/>
        <w:spacing w:before="0" w:line="240" w:lineRule="auto"/>
      </w:pPr>
      <w:r>
        <w:t xml:space="preserve">The </w:t>
      </w:r>
      <w:r>
        <w:rPr>
          <w:i/>
        </w:rPr>
        <w:t>Legislation Act 2003</w:t>
      </w:r>
      <w:r>
        <w:t xml:space="preserve"> (the </w:t>
      </w:r>
      <w:r>
        <w:rPr>
          <w:b/>
          <w:i/>
        </w:rPr>
        <w:t>LA</w:t>
      </w:r>
      <w:r>
        <w:t xml:space="preserve">) provides for the periodic expiry of legislative instruments (‘sunsetting’) to ensure that they are kept up to date and only remain in force for as long as they are needed. Class Order [CO 08/35], being a legislative instrument, was scheduled to eventually expire under the sunsetting provisions of the LA. </w:t>
      </w:r>
    </w:p>
    <w:p w14:paraId="0A5021B7" w14:textId="77777777" w:rsidR="00E1603B" w:rsidRDefault="00E1603B" w:rsidP="00E1603B">
      <w:pPr>
        <w:pStyle w:val="BodyText"/>
        <w:spacing w:before="0" w:line="240" w:lineRule="auto"/>
      </w:pPr>
    </w:p>
    <w:p w14:paraId="3F2A2460" w14:textId="374FC7AE" w:rsidR="00E1603B" w:rsidRDefault="00E1603B" w:rsidP="00E1603B">
      <w:pPr>
        <w:pStyle w:val="BodyText"/>
        <w:spacing w:before="0" w:line="240" w:lineRule="auto"/>
      </w:pPr>
      <w:r>
        <w:t xml:space="preserve">ASIC’s review of the policy underlying Class Order [CO 08/35] — and subsequent decision to reissue the relief — has provided an opportunity to deal with this imminent expiry and ensure that the relevant relief will continue to be available. </w:t>
      </w:r>
    </w:p>
    <w:p w14:paraId="4EC247DF" w14:textId="77777777" w:rsidR="00E1603B" w:rsidRDefault="00E1603B" w:rsidP="00E1603B">
      <w:pPr>
        <w:pStyle w:val="BodyText"/>
        <w:spacing w:before="0" w:line="240" w:lineRule="auto"/>
      </w:pPr>
    </w:p>
    <w:p w14:paraId="0E4C1D6B" w14:textId="115A9108" w:rsidR="00E1603B" w:rsidRDefault="00E1603B" w:rsidP="00E1603B">
      <w:pPr>
        <w:pStyle w:val="BodyText"/>
        <w:spacing w:before="0" w:line="240" w:lineRule="auto"/>
      </w:pPr>
      <w:r>
        <w:t xml:space="preserve">Under ASIC Corporations (Repeal) Instrument 2016/171, ASIC has revoked Class Order [CO 08/35] effective from the date that </w:t>
      </w:r>
      <w:r w:rsidRPr="00604AE8">
        <w:t>ASIC Corporations (Non-Traditional Rights Issues) Instrument 2016/84</w:t>
      </w:r>
      <w:r>
        <w:t xml:space="preserve"> commences.</w:t>
      </w:r>
    </w:p>
    <w:p w14:paraId="21C2FED8" w14:textId="77777777" w:rsidR="00E1603B" w:rsidRDefault="00E1603B" w:rsidP="00604AE8">
      <w:pPr>
        <w:pStyle w:val="ListParagraph"/>
        <w:ind w:left="0"/>
        <w:rPr>
          <w:sz w:val="24"/>
          <w:szCs w:val="24"/>
        </w:rPr>
      </w:pPr>
    </w:p>
    <w:p w14:paraId="46F5635C" w14:textId="77777777" w:rsidR="005B0E3A" w:rsidRPr="00FE742F" w:rsidRDefault="005B0E3A" w:rsidP="00855009">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2" w:name="2._Purpose_of_the_class_order_"/>
      <w:bookmarkEnd w:id="2"/>
      <w:r w:rsidRPr="00FE742F">
        <w:rPr>
          <w:rFonts w:ascii="Arial" w:hAnsi="Arial" w:cs="Arial"/>
          <w:b/>
          <w:spacing w:val="-1"/>
          <w:sz w:val="24"/>
          <w:szCs w:val="24"/>
        </w:rPr>
        <w:t>Purpose</w:t>
      </w:r>
      <w:r w:rsidRPr="00FE742F">
        <w:rPr>
          <w:rFonts w:ascii="Arial" w:hAnsi="Arial" w:cs="Arial"/>
          <w:b/>
          <w:sz w:val="24"/>
          <w:szCs w:val="24"/>
        </w:rPr>
        <w:t xml:space="preserve"> of </w:t>
      </w:r>
      <w:r w:rsidRPr="00FE742F">
        <w:rPr>
          <w:rFonts w:ascii="Arial" w:hAnsi="Arial" w:cs="Arial"/>
          <w:b/>
          <w:spacing w:val="-1"/>
          <w:sz w:val="24"/>
          <w:szCs w:val="24"/>
        </w:rPr>
        <w:t>the</w:t>
      </w:r>
      <w:r w:rsidRPr="00FE742F">
        <w:rPr>
          <w:rFonts w:ascii="Arial" w:hAnsi="Arial" w:cs="Arial"/>
          <w:b/>
          <w:sz w:val="24"/>
          <w:szCs w:val="24"/>
        </w:rPr>
        <w:t xml:space="preserve"> </w:t>
      </w:r>
      <w:r w:rsidRPr="00FE742F">
        <w:rPr>
          <w:rFonts w:ascii="Arial" w:hAnsi="Arial" w:cs="Arial"/>
          <w:b/>
          <w:spacing w:val="-1"/>
          <w:sz w:val="24"/>
          <w:szCs w:val="24"/>
        </w:rPr>
        <w:t>instrument</w:t>
      </w:r>
    </w:p>
    <w:p w14:paraId="4EF19C82" w14:textId="77777777" w:rsidR="00566718" w:rsidRDefault="00566718" w:rsidP="00855009">
      <w:pPr>
        <w:spacing w:after="0"/>
        <w:rPr>
          <w:sz w:val="24"/>
          <w:szCs w:val="24"/>
        </w:rPr>
      </w:pPr>
    </w:p>
    <w:p w14:paraId="4CE81609" w14:textId="51BC2C3E" w:rsidR="00432C1E" w:rsidRPr="00432C1E" w:rsidRDefault="00C05C41" w:rsidP="00432C1E">
      <w:pPr>
        <w:spacing w:after="0"/>
        <w:rPr>
          <w:sz w:val="24"/>
          <w:szCs w:val="24"/>
        </w:rPr>
      </w:pPr>
      <w:r w:rsidRPr="00C05C41">
        <w:rPr>
          <w:sz w:val="24"/>
          <w:szCs w:val="24"/>
        </w:rPr>
        <w:t>ASIC Corporations (Non-Traditional Rights Issues) Instrument 2016/84</w:t>
      </w:r>
      <w:r>
        <w:rPr>
          <w:sz w:val="24"/>
          <w:szCs w:val="24"/>
        </w:rPr>
        <w:t xml:space="preserve"> remakes the relief provided by </w:t>
      </w:r>
      <w:r w:rsidR="00432C1E" w:rsidRPr="00432C1E">
        <w:rPr>
          <w:sz w:val="24"/>
          <w:szCs w:val="24"/>
        </w:rPr>
        <w:t>Class Order [CO 08/35]</w:t>
      </w:r>
      <w:r>
        <w:rPr>
          <w:sz w:val="24"/>
          <w:szCs w:val="24"/>
        </w:rPr>
        <w:t xml:space="preserve">. The Instrument </w:t>
      </w:r>
      <w:r w:rsidR="00432C1E" w:rsidRPr="00432C1E">
        <w:rPr>
          <w:sz w:val="24"/>
          <w:szCs w:val="24"/>
        </w:rPr>
        <w:t>provide</w:t>
      </w:r>
      <w:r>
        <w:rPr>
          <w:sz w:val="24"/>
          <w:szCs w:val="24"/>
        </w:rPr>
        <w:t>s</w:t>
      </w:r>
      <w:r w:rsidR="00432C1E" w:rsidRPr="00432C1E">
        <w:rPr>
          <w:sz w:val="24"/>
          <w:szCs w:val="24"/>
        </w:rPr>
        <w:t xml:space="preserve"> relief to enable an issuer to rely on the disclosure exemption for a non-traditional rights issue that gives existing holders an equal opportunity to participate and does not compromise investor protection.</w:t>
      </w:r>
    </w:p>
    <w:p w14:paraId="124BB4BA" w14:textId="77777777" w:rsidR="00432C1E" w:rsidRDefault="00432C1E" w:rsidP="00432C1E">
      <w:pPr>
        <w:spacing w:after="0"/>
        <w:rPr>
          <w:sz w:val="24"/>
          <w:szCs w:val="24"/>
        </w:rPr>
      </w:pPr>
    </w:p>
    <w:p w14:paraId="0AFC7C23" w14:textId="3AFA2EE6" w:rsidR="00432C1E" w:rsidRDefault="00C05C41" w:rsidP="00432C1E">
      <w:pPr>
        <w:spacing w:after="0"/>
        <w:rPr>
          <w:sz w:val="24"/>
          <w:szCs w:val="24"/>
        </w:rPr>
      </w:pPr>
      <w:r>
        <w:rPr>
          <w:sz w:val="24"/>
          <w:szCs w:val="24"/>
        </w:rPr>
        <w:t xml:space="preserve">The Instrument </w:t>
      </w:r>
      <w:r w:rsidR="00432C1E" w:rsidRPr="00432C1E">
        <w:rPr>
          <w:sz w:val="24"/>
          <w:szCs w:val="24"/>
        </w:rPr>
        <w:t>also gives technical relief in relation to the treatment of foreign holders, offers of stapled securities and rounding of entitlements.</w:t>
      </w:r>
    </w:p>
    <w:p w14:paraId="274B6418" w14:textId="77777777" w:rsidR="00432C1E" w:rsidRDefault="00432C1E" w:rsidP="00432C1E">
      <w:pPr>
        <w:spacing w:after="0"/>
        <w:rPr>
          <w:sz w:val="24"/>
          <w:szCs w:val="24"/>
        </w:rPr>
      </w:pPr>
    </w:p>
    <w:p w14:paraId="38D6D03A" w14:textId="77777777" w:rsidR="005B0E3A" w:rsidRDefault="005B0E3A" w:rsidP="00855009">
      <w:pPr>
        <w:pStyle w:val="Heading3"/>
        <w:keepNext w:val="0"/>
        <w:widowControl w:val="0"/>
        <w:numPr>
          <w:ilvl w:val="0"/>
          <w:numId w:val="7"/>
        </w:numPr>
        <w:tabs>
          <w:tab w:val="left" w:pos="567"/>
        </w:tabs>
        <w:spacing w:after="0" w:line="240" w:lineRule="auto"/>
        <w:ind w:left="0" w:firstLine="0"/>
        <w:jc w:val="left"/>
        <w:rPr>
          <w:rFonts w:ascii="Arial" w:hAnsi="Arial" w:cs="Arial"/>
          <w:b/>
          <w:sz w:val="24"/>
          <w:szCs w:val="24"/>
        </w:rPr>
      </w:pPr>
      <w:bookmarkStart w:id="3" w:name="Insert_a_level_3_heading_"/>
      <w:bookmarkStart w:id="4" w:name="3._Operation_of_the_class_order_"/>
      <w:bookmarkEnd w:id="3"/>
      <w:bookmarkEnd w:id="4"/>
      <w:r w:rsidRPr="00FE742F">
        <w:rPr>
          <w:rFonts w:ascii="Arial" w:hAnsi="Arial" w:cs="Arial"/>
          <w:b/>
          <w:spacing w:val="-1"/>
          <w:sz w:val="24"/>
          <w:szCs w:val="24"/>
        </w:rPr>
        <w:t>Operation</w:t>
      </w:r>
      <w:r w:rsidRPr="00FE742F">
        <w:rPr>
          <w:rFonts w:ascii="Arial" w:hAnsi="Arial" w:cs="Arial"/>
          <w:b/>
          <w:sz w:val="24"/>
          <w:szCs w:val="24"/>
        </w:rPr>
        <w:t xml:space="preserve"> </w:t>
      </w:r>
      <w:r w:rsidRPr="00FE742F">
        <w:rPr>
          <w:rFonts w:ascii="Arial" w:hAnsi="Arial" w:cs="Arial"/>
          <w:b/>
          <w:spacing w:val="-1"/>
          <w:sz w:val="24"/>
          <w:szCs w:val="24"/>
        </w:rPr>
        <w:t>of</w:t>
      </w:r>
      <w:r w:rsidRPr="00FE742F">
        <w:rPr>
          <w:rFonts w:ascii="Arial" w:hAnsi="Arial" w:cs="Arial"/>
          <w:b/>
          <w:sz w:val="24"/>
          <w:szCs w:val="24"/>
        </w:rPr>
        <w:t xml:space="preserve"> </w:t>
      </w:r>
      <w:r w:rsidRPr="00FE742F">
        <w:rPr>
          <w:rFonts w:ascii="Arial" w:hAnsi="Arial" w:cs="Arial"/>
          <w:b/>
          <w:spacing w:val="-1"/>
          <w:sz w:val="24"/>
          <w:szCs w:val="24"/>
        </w:rPr>
        <w:t>the</w:t>
      </w:r>
      <w:r w:rsidRPr="00FE742F">
        <w:rPr>
          <w:rFonts w:ascii="Arial" w:hAnsi="Arial" w:cs="Arial"/>
          <w:b/>
          <w:sz w:val="24"/>
          <w:szCs w:val="24"/>
        </w:rPr>
        <w:t xml:space="preserve"> instrument</w:t>
      </w:r>
    </w:p>
    <w:p w14:paraId="2D3F7DC6" w14:textId="77777777" w:rsidR="00432C1E" w:rsidRPr="00432C1E" w:rsidRDefault="00432C1E" w:rsidP="00432C1E">
      <w:pPr>
        <w:pStyle w:val="BodyText"/>
        <w:tabs>
          <w:tab w:val="left" w:pos="0"/>
        </w:tabs>
        <w:rPr>
          <w:b/>
          <w:i/>
          <w:szCs w:val="24"/>
        </w:rPr>
      </w:pPr>
      <w:r w:rsidRPr="00432C1E">
        <w:rPr>
          <w:b/>
          <w:i/>
          <w:szCs w:val="24"/>
        </w:rPr>
        <w:t>Definition of rights issue</w:t>
      </w:r>
    </w:p>
    <w:p w14:paraId="4C3830CC" w14:textId="77777777" w:rsidR="001E3B4A" w:rsidRDefault="001E3B4A" w:rsidP="00432C1E">
      <w:pPr>
        <w:pStyle w:val="BodyText"/>
        <w:tabs>
          <w:tab w:val="left" w:pos="0"/>
        </w:tabs>
        <w:spacing w:before="0" w:line="240" w:lineRule="auto"/>
        <w:rPr>
          <w:szCs w:val="24"/>
        </w:rPr>
      </w:pPr>
    </w:p>
    <w:p w14:paraId="77C8DA3C" w14:textId="2AE6085F" w:rsidR="00432C1E" w:rsidRPr="00432C1E" w:rsidRDefault="00C05C41" w:rsidP="00432C1E">
      <w:pPr>
        <w:pStyle w:val="BodyText"/>
        <w:tabs>
          <w:tab w:val="left" w:pos="0"/>
        </w:tabs>
        <w:spacing w:before="0" w:line="240" w:lineRule="auto"/>
        <w:rPr>
          <w:szCs w:val="24"/>
        </w:rPr>
      </w:pPr>
      <w:r>
        <w:rPr>
          <w:szCs w:val="24"/>
        </w:rPr>
        <w:t xml:space="preserve">The Instrument </w:t>
      </w:r>
      <w:r w:rsidR="00432C1E" w:rsidRPr="00432C1E">
        <w:rPr>
          <w:szCs w:val="24"/>
        </w:rPr>
        <w:t>modifies the definition of rights issue in section 9A to:</w:t>
      </w:r>
    </w:p>
    <w:p w14:paraId="4053F1C6" w14:textId="77777777" w:rsidR="00432C1E" w:rsidRDefault="00432C1E" w:rsidP="00432C1E">
      <w:pPr>
        <w:pStyle w:val="BodyText"/>
        <w:tabs>
          <w:tab w:val="left" w:pos="0"/>
        </w:tabs>
        <w:spacing w:before="0" w:line="240" w:lineRule="auto"/>
        <w:rPr>
          <w:szCs w:val="24"/>
        </w:rPr>
      </w:pPr>
    </w:p>
    <w:p w14:paraId="6F6930AC" w14:textId="77777777" w:rsidR="00432C1E" w:rsidRPr="00432C1E" w:rsidRDefault="00432C1E" w:rsidP="00432C1E">
      <w:pPr>
        <w:pStyle w:val="BodyText"/>
        <w:tabs>
          <w:tab w:val="left" w:pos="0"/>
        </w:tabs>
        <w:spacing w:before="0" w:line="240" w:lineRule="auto"/>
        <w:rPr>
          <w:szCs w:val="24"/>
        </w:rPr>
      </w:pPr>
      <w:r w:rsidRPr="00432C1E">
        <w:rPr>
          <w:szCs w:val="24"/>
        </w:rPr>
        <w:t>(a)</w:t>
      </w:r>
      <w:r w:rsidRPr="00432C1E">
        <w:rPr>
          <w:szCs w:val="24"/>
        </w:rPr>
        <w:tab/>
        <w:t>permit issuers to exclude only some of the holders outside Australia and New Zealand;</w:t>
      </w:r>
    </w:p>
    <w:p w14:paraId="6F6F1F0E" w14:textId="77777777" w:rsidR="00432C1E" w:rsidRDefault="00432C1E" w:rsidP="00432C1E">
      <w:pPr>
        <w:pStyle w:val="BodyText"/>
        <w:tabs>
          <w:tab w:val="left" w:pos="0"/>
        </w:tabs>
        <w:spacing w:before="0" w:line="240" w:lineRule="auto"/>
        <w:ind w:left="567" w:hanging="567"/>
        <w:rPr>
          <w:szCs w:val="24"/>
        </w:rPr>
      </w:pPr>
    </w:p>
    <w:p w14:paraId="317D2082" w14:textId="77777777" w:rsidR="00432C1E" w:rsidRPr="00432C1E" w:rsidRDefault="00432C1E" w:rsidP="00432C1E">
      <w:pPr>
        <w:pStyle w:val="BodyText"/>
        <w:tabs>
          <w:tab w:val="left" w:pos="0"/>
        </w:tabs>
        <w:spacing w:before="0" w:line="240" w:lineRule="auto"/>
        <w:ind w:left="567" w:hanging="567"/>
        <w:rPr>
          <w:szCs w:val="24"/>
        </w:rPr>
      </w:pPr>
      <w:r w:rsidRPr="00432C1E">
        <w:rPr>
          <w:szCs w:val="24"/>
        </w:rPr>
        <w:t>(b)</w:t>
      </w:r>
      <w:r w:rsidRPr="00432C1E">
        <w:rPr>
          <w:szCs w:val="24"/>
        </w:rPr>
        <w:tab/>
        <w:t xml:space="preserve">give issuers greater flexibility in selling rights or securities for the benefit of foreign holders who do not participate in a rights issue (including clarifying that the procedure for sale of rights or securities by a nominee on behalf of foreign holders in section 615 </w:t>
      </w:r>
      <w:r w:rsidRPr="00432C1E">
        <w:rPr>
          <w:szCs w:val="24"/>
        </w:rPr>
        <w:lastRenderedPageBreak/>
        <w:t>under the takeover exemption for rights issues may be followed in relation to foreign holders);</w:t>
      </w:r>
    </w:p>
    <w:p w14:paraId="15074C08" w14:textId="77777777" w:rsidR="00432C1E" w:rsidRDefault="00432C1E" w:rsidP="00432C1E">
      <w:pPr>
        <w:pStyle w:val="BodyText"/>
        <w:tabs>
          <w:tab w:val="left" w:pos="0"/>
        </w:tabs>
        <w:spacing w:before="0" w:line="240" w:lineRule="auto"/>
        <w:ind w:left="567" w:hanging="567"/>
        <w:rPr>
          <w:szCs w:val="24"/>
        </w:rPr>
      </w:pPr>
    </w:p>
    <w:p w14:paraId="2854F5F7" w14:textId="77777777" w:rsidR="00432C1E" w:rsidRPr="00432C1E" w:rsidRDefault="00432C1E" w:rsidP="00432C1E">
      <w:pPr>
        <w:pStyle w:val="BodyText"/>
        <w:tabs>
          <w:tab w:val="left" w:pos="0"/>
        </w:tabs>
        <w:spacing w:before="0" w:line="240" w:lineRule="auto"/>
        <w:ind w:left="567" w:hanging="567"/>
        <w:rPr>
          <w:szCs w:val="24"/>
        </w:rPr>
      </w:pPr>
      <w:r w:rsidRPr="00432C1E">
        <w:rPr>
          <w:szCs w:val="24"/>
        </w:rPr>
        <w:t>(c)</w:t>
      </w:r>
      <w:r w:rsidRPr="00432C1E">
        <w:rPr>
          <w:szCs w:val="24"/>
        </w:rPr>
        <w:tab/>
        <w:t xml:space="preserve">permit differences in the offer period and timing of allotment to institutional investors and retail investors, provided that the retail allotment occurs within two months after the institutional allotment; </w:t>
      </w:r>
    </w:p>
    <w:p w14:paraId="53FC909E" w14:textId="77777777" w:rsidR="00432C1E" w:rsidRDefault="00432C1E" w:rsidP="00432C1E">
      <w:pPr>
        <w:pStyle w:val="BodyText"/>
        <w:tabs>
          <w:tab w:val="left" w:pos="0"/>
        </w:tabs>
        <w:spacing w:before="0" w:line="240" w:lineRule="auto"/>
        <w:ind w:left="567" w:hanging="567"/>
        <w:rPr>
          <w:szCs w:val="24"/>
        </w:rPr>
      </w:pPr>
    </w:p>
    <w:p w14:paraId="5E6CDD4B" w14:textId="55DBDDAE" w:rsidR="00432C1E" w:rsidRPr="00432C1E" w:rsidRDefault="00432C1E" w:rsidP="00432C1E">
      <w:pPr>
        <w:pStyle w:val="BodyText"/>
        <w:tabs>
          <w:tab w:val="left" w:pos="0"/>
        </w:tabs>
        <w:spacing w:before="0" w:line="240" w:lineRule="auto"/>
        <w:ind w:left="567" w:hanging="567"/>
        <w:rPr>
          <w:szCs w:val="24"/>
        </w:rPr>
      </w:pPr>
      <w:r w:rsidRPr="00432C1E">
        <w:rPr>
          <w:szCs w:val="24"/>
        </w:rPr>
        <w:t>(d)</w:t>
      </w:r>
      <w:r w:rsidRPr="00432C1E">
        <w:rPr>
          <w:szCs w:val="24"/>
        </w:rPr>
        <w:tab/>
        <w:t xml:space="preserve">permit separate bookbuilds to be conducted for the shortfalls arising from the institutional and retail tranches of a rights issue.  It also allows an offer of the shortfall to be made to existing holders who participated in the offer; </w:t>
      </w:r>
    </w:p>
    <w:p w14:paraId="1B44E2B4" w14:textId="77777777" w:rsidR="00432C1E" w:rsidRDefault="00432C1E" w:rsidP="00432C1E">
      <w:pPr>
        <w:pStyle w:val="BodyText"/>
        <w:tabs>
          <w:tab w:val="left" w:pos="0"/>
        </w:tabs>
        <w:spacing w:before="0" w:line="240" w:lineRule="auto"/>
        <w:ind w:left="567" w:hanging="567"/>
        <w:rPr>
          <w:szCs w:val="24"/>
        </w:rPr>
      </w:pPr>
    </w:p>
    <w:p w14:paraId="46460F60" w14:textId="77777777" w:rsidR="00C05C41" w:rsidRDefault="00432C1E" w:rsidP="00432C1E">
      <w:pPr>
        <w:pStyle w:val="BodyText"/>
        <w:tabs>
          <w:tab w:val="left" w:pos="0"/>
        </w:tabs>
        <w:spacing w:before="0" w:line="240" w:lineRule="auto"/>
        <w:ind w:left="567" w:hanging="567"/>
        <w:rPr>
          <w:szCs w:val="24"/>
        </w:rPr>
      </w:pPr>
      <w:r w:rsidRPr="00432C1E">
        <w:rPr>
          <w:szCs w:val="24"/>
        </w:rPr>
        <w:t>(e)</w:t>
      </w:r>
      <w:r w:rsidRPr="00432C1E">
        <w:rPr>
          <w:szCs w:val="24"/>
        </w:rPr>
        <w:tab/>
        <w:t>permit differences attributable to rounding of fractional entitlements to the nearest whole number</w:t>
      </w:r>
      <w:r w:rsidR="00C05C41">
        <w:rPr>
          <w:szCs w:val="24"/>
        </w:rPr>
        <w:t>; and</w:t>
      </w:r>
    </w:p>
    <w:p w14:paraId="13D38AA2" w14:textId="77777777" w:rsidR="00C05C41" w:rsidRDefault="00C05C41" w:rsidP="00432C1E">
      <w:pPr>
        <w:pStyle w:val="BodyText"/>
        <w:tabs>
          <w:tab w:val="left" w:pos="0"/>
        </w:tabs>
        <w:spacing w:before="0" w:line="240" w:lineRule="auto"/>
        <w:ind w:left="567" w:hanging="567"/>
        <w:rPr>
          <w:szCs w:val="24"/>
        </w:rPr>
      </w:pPr>
    </w:p>
    <w:p w14:paraId="11727AEA" w14:textId="0EE188DB" w:rsidR="00432C1E" w:rsidRPr="00432C1E" w:rsidRDefault="00C05C41" w:rsidP="00432C1E">
      <w:pPr>
        <w:pStyle w:val="BodyText"/>
        <w:tabs>
          <w:tab w:val="left" w:pos="0"/>
        </w:tabs>
        <w:spacing w:before="0" w:line="240" w:lineRule="auto"/>
        <w:ind w:left="567" w:hanging="567"/>
        <w:rPr>
          <w:szCs w:val="24"/>
        </w:rPr>
      </w:pPr>
      <w:r>
        <w:rPr>
          <w:szCs w:val="24"/>
        </w:rPr>
        <w:t>(f)</w:t>
      </w:r>
      <w:r>
        <w:rPr>
          <w:szCs w:val="24"/>
        </w:rPr>
        <w:tab/>
        <w:t>permit different entitlements to trade rights (for example under a PAITREO structure)</w:t>
      </w:r>
      <w:r w:rsidR="00432C1E" w:rsidRPr="00432C1E">
        <w:rPr>
          <w:szCs w:val="24"/>
        </w:rPr>
        <w:t>.</w:t>
      </w:r>
    </w:p>
    <w:p w14:paraId="3CB9DD0C" w14:textId="77777777" w:rsidR="00432C1E" w:rsidRDefault="00432C1E" w:rsidP="00432C1E">
      <w:pPr>
        <w:pStyle w:val="BodyText"/>
        <w:tabs>
          <w:tab w:val="left" w:pos="0"/>
        </w:tabs>
        <w:spacing w:before="0" w:line="240" w:lineRule="auto"/>
        <w:rPr>
          <w:szCs w:val="24"/>
        </w:rPr>
      </w:pPr>
    </w:p>
    <w:p w14:paraId="6FE20F5D" w14:textId="6ED44CC0" w:rsidR="00432C1E" w:rsidRPr="00432C1E" w:rsidRDefault="00C05C41" w:rsidP="00432C1E">
      <w:pPr>
        <w:pStyle w:val="BodyText"/>
        <w:tabs>
          <w:tab w:val="left" w:pos="0"/>
        </w:tabs>
        <w:spacing w:before="0" w:line="240" w:lineRule="auto"/>
        <w:rPr>
          <w:szCs w:val="24"/>
        </w:rPr>
      </w:pPr>
      <w:r>
        <w:rPr>
          <w:szCs w:val="24"/>
        </w:rPr>
        <w:t xml:space="preserve">The Instrument </w:t>
      </w:r>
      <w:r w:rsidR="00432C1E" w:rsidRPr="00432C1E">
        <w:rPr>
          <w:szCs w:val="24"/>
        </w:rPr>
        <w:t>also inserts notes to the definition of rights issue in section 9A to clarify that:</w:t>
      </w:r>
    </w:p>
    <w:p w14:paraId="4161DE0A" w14:textId="77777777" w:rsidR="00432C1E" w:rsidRDefault="00432C1E" w:rsidP="00432C1E">
      <w:pPr>
        <w:pStyle w:val="BodyText"/>
        <w:tabs>
          <w:tab w:val="left" w:pos="0"/>
        </w:tabs>
        <w:spacing w:before="0" w:line="240" w:lineRule="auto"/>
        <w:ind w:left="567" w:hanging="567"/>
        <w:rPr>
          <w:szCs w:val="24"/>
        </w:rPr>
      </w:pPr>
    </w:p>
    <w:p w14:paraId="4E745101" w14:textId="77777777" w:rsidR="00432C1E" w:rsidRPr="00432C1E" w:rsidRDefault="00432C1E" w:rsidP="00432C1E">
      <w:pPr>
        <w:pStyle w:val="BodyText"/>
        <w:tabs>
          <w:tab w:val="left" w:pos="0"/>
        </w:tabs>
        <w:spacing w:before="0" w:line="240" w:lineRule="auto"/>
        <w:ind w:left="567" w:hanging="567"/>
        <w:rPr>
          <w:szCs w:val="24"/>
        </w:rPr>
      </w:pPr>
      <w:r w:rsidRPr="00432C1E">
        <w:rPr>
          <w:szCs w:val="24"/>
        </w:rPr>
        <w:t>(a)</w:t>
      </w:r>
      <w:r w:rsidRPr="00432C1E">
        <w:rPr>
          <w:szCs w:val="24"/>
        </w:rPr>
        <w:tab/>
        <w:t>the fact that offers may also be made to convertible securityholders does not affect whether an offer to securityholders is a rights issue; and</w:t>
      </w:r>
    </w:p>
    <w:p w14:paraId="629006D0" w14:textId="77777777" w:rsidR="00432C1E" w:rsidRDefault="00432C1E" w:rsidP="00432C1E">
      <w:pPr>
        <w:pStyle w:val="BodyText"/>
        <w:tabs>
          <w:tab w:val="left" w:pos="0"/>
        </w:tabs>
        <w:spacing w:before="0" w:line="240" w:lineRule="auto"/>
        <w:ind w:left="567" w:hanging="567"/>
        <w:rPr>
          <w:szCs w:val="24"/>
        </w:rPr>
      </w:pPr>
    </w:p>
    <w:p w14:paraId="5F5474B2" w14:textId="77777777" w:rsidR="00432C1E" w:rsidRPr="00432C1E" w:rsidRDefault="00432C1E" w:rsidP="00432C1E">
      <w:pPr>
        <w:pStyle w:val="BodyText"/>
        <w:tabs>
          <w:tab w:val="left" w:pos="0"/>
        </w:tabs>
        <w:spacing w:before="0" w:line="240" w:lineRule="auto"/>
        <w:ind w:left="567" w:hanging="567"/>
        <w:rPr>
          <w:szCs w:val="24"/>
        </w:rPr>
      </w:pPr>
      <w:r w:rsidRPr="00432C1E">
        <w:rPr>
          <w:szCs w:val="24"/>
        </w:rPr>
        <w:t>(b)</w:t>
      </w:r>
      <w:r w:rsidRPr="00432C1E">
        <w:rPr>
          <w:szCs w:val="24"/>
        </w:rPr>
        <w:tab/>
        <w:t>where a rights issue is non-renounceable, the issuer may undertake a sale process for the benefit of foreign holders without impacting on whether the offer satisfies the definition of rights issue in section 9A.</w:t>
      </w:r>
    </w:p>
    <w:p w14:paraId="4A6249F4" w14:textId="77777777" w:rsidR="00432C1E" w:rsidRDefault="00432C1E" w:rsidP="00432C1E">
      <w:pPr>
        <w:pStyle w:val="BodyText"/>
        <w:tabs>
          <w:tab w:val="left" w:pos="0"/>
        </w:tabs>
        <w:spacing w:before="0" w:line="240" w:lineRule="auto"/>
        <w:rPr>
          <w:szCs w:val="24"/>
        </w:rPr>
      </w:pPr>
    </w:p>
    <w:p w14:paraId="460DA8A1" w14:textId="77777777" w:rsidR="00432C1E" w:rsidRPr="00432C1E" w:rsidRDefault="00432C1E" w:rsidP="00432C1E">
      <w:pPr>
        <w:pStyle w:val="BodyText"/>
        <w:tabs>
          <w:tab w:val="left" w:pos="0"/>
        </w:tabs>
        <w:spacing w:before="0" w:line="240" w:lineRule="auto"/>
        <w:rPr>
          <w:b/>
          <w:i/>
          <w:szCs w:val="24"/>
        </w:rPr>
      </w:pPr>
      <w:r w:rsidRPr="00432C1E">
        <w:rPr>
          <w:b/>
          <w:i/>
          <w:szCs w:val="24"/>
        </w:rPr>
        <w:t xml:space="preserve">Offer of shortfall </w:t>
      </w:r>
    </w:p>
    <w:p w14:paraId="37BC012A" w14:textId="77777777" w:rsidR="00432C1E" w:rsidRDefault="00432C1E" w:rsidP="00432C1E">
      <w:pPr>
        <w:pStyle w:val="BodyText"/>
        <w:tabs>
          <w:tab w:val="left" w:pos="0"/>
        </w:tabs>
        <w:spacing w:before="0" w:line="240" w:lineRule="auto"/>
        <w:rPr>
          <w:szCs w:val="24"/>
        </w:rPr>
      </w:pPr>
    </w:p>
    <w:p w14:paraId="577DAFBA" w14:textId="61915B35" w:rsidR="008E7A8C" w:rsidRPr="008E7A8C" w:rsidRDefault="00C05C41" w:rsidP="008E7A8C">
      <w:pPr>
        <w:pStyle w:val="BodyText"/>
        <w:tabs>
          <w:tab w:val="left" w:pos="0"/>
        </w:tabs>
        <w:spacing w:before="0" w:line="240" w:lineRule="auto"/>
        <w:rPr>
          <w:szCs w:val="24"/>
        </w:rPr>
      </w:pPr>
      <w:r>
        <w:rPr>
          <w:szCs w:val="24"/>
        </w:rPr>
        <w:t xml:space="preserve">The Instrument </w:t>
      </w:r>
      <w:r w:rsidR="00432C1E" w:rsidRPr="00432C1E">
        <w:rPr>
          <w:szCs w:val="24"/>
        </w:rPr>
        <w:t xml:space="preserve">modifies sections 708AA and 1012DAA so that shortfall offers will come within the disclosure exemption provided that the initial rights issue itself complied with the disclosure exemption. The shortfall offer may be made to existing holders who were offered securities or interests under the initial rights issue or to persons for whom a disclosure document or PDS is not required. </w:t>
      </w:r>
      <w:r w:rsidR="008E7A8C" w:rsidRPr="008E7A8C">
        <w:rPr>
          <w:szCs w:val="24"/>
        </w:rPr>
        <w:t>The offer of the shortfall to existing holders must be made no later than two months after the first offer under the rights issue.</w:t>
      </w:r>
    </w:p>
    <w:p w14:paraId="69845D48" w14:textId="77777777" w:rsidR="008E7A8C" w:rsidRDefault="008E7A8C" w:rsidP="008E7A8C">
      <w:pPr>
        <w:pStyle w:val="BodyText"/>
        <w:tabs>
          <w:tab w:val="left" w:pos="0"/>
        </w:tabs>
        <w:spacing w:before="0" w:line="240" w:lineRule="auto"/>
        <w:rPr>
          <w:szCs w:val="24"/>
        </w:rPr>
      </w:pPr>
    </w:p>
    <w:p w14:paraId="0BCB5315" w14:textId="77777777" w:rsidR="008E7A8C" w:rsidRPr="008E7A8C" w:rsidRDefault="008E7A8C" w:rsidP="008E7A8C">
      <w:pPr>
        <w:pStyle w:val="BodyText"/>
        <w:tabs>
          <w:tab w:val="left" w:pos="0"/>
        </w:tabs>
        <w:spacing w:before="0" w:line="240" w:lineRule="auto"/>
        <w:rPr>
          <w:b/>
          <w:i/>
          <w:szCs w:val="24"/>
        </w:rPr>
      </w:pPr>
      <w:r w:rsidRPr="008E7A8C">
        <w:rPr>
          <w:b/>
          <w:i/>
          <w:szCs w:val="24"/>
        </w:rPr>
        <w:t xml:space="preserve">Offers to convertible securityholders </w:t>
      </w:r>
    </w:p>
    <w:p w14:paraId="15FB8905" w14:textId="77777777" w:rsidR="008E7A8C" w:rsidRPr="008E7A8C" w:rsidRDefault="008E7A8C" w:rsidP="008E7A8C">
      <w:pPr>
        <w:pStyle w:val="BodyText"/>
        <w:tabs>
          <w:tab w:val="left" w:pos="0"/>
        </w:tabs>
        <w:spacing w:before="0" w:line="240" w:lineRule="auto"/>
        <w:rPr>
          <w:szCs w:val="24"/>
        </w:rPr>
      </w:pPr>
    </w:p>
    <w:p w14:paraId="123EFE4F" w14:textId="2064EB07" w:rsidR="008E7A8C" w:rsidRPr="008E7A8C" w:rsidRDefault="00C05C41" w:rsidP="008E7A8C">
      <w:pPr>
        <w:pStyle w:val="BodyText"/>
        <w:tabs>
          <w:tab w:val="left" w:pos="0"/>
        </w:tabs>
        <w:spacing w:before="0" w:line="240" w:lineRule="auto"/>
        <w:rPr>
          <w:szCs w:val="24"/>
        </w:rPr>
      </w:pPr>
      <w:r>
        <w:rPr>
          <w:szCs w:val="24"/>
        </w:rPr>
        <w:t xml:space="preserve">The Instrument </w:t>
      </w:r>
      <w:r w:rsidR="008E7A8C" w:rsidRPr="008E7A8C">
        <w:rPr>
          <w:szCs w:val="24"/>
        </w:rPr>
        <w:t>modifies sections 708AA and 1012DAA so that offers to convertible securityholders will come within the disclosure exemption provided that the rights issue itself complied with the disclosure exemption. Offers to convertible securityholders will only fall within the disclosure exemption where the offers are required under the terms of the convertible securities.  Holders of convertible securities may only participate to the extent necessary to prevent their holdings being diluted.</w:t>
      </w:r>
    </w:p>
    <w:p w14:paraId="6DC453F0" w14:textId="77777777" w:rsidR="008E7A8C" w:rsidRDefault="008E7A8C" w:rsidP="008E7A8C">
      <w:pPr>
        <w:pStyle w:val="BodyText"/>
        <w:tabs>
          <w:tab w:val="left" w:pos="0"/>
        </w:tabs>
        <w:spacing w:before="0" w:line="240" w:lineRule="auto"/>
        <w:rPr>
          <w:szCs w:val="24"/>
        </w:rPr>
      </w:pPr>
    </w:p>
    <w:p w14:paraId="15AEE096" w14:textId="77777777" w:rsidR="008E7A8C" w:rsidRPr="008E7A8C" w:rsidRDefault="008E7A8C" w:rsidP="008E7A8C">
      <w:pPr>
        <w:pStyle w:val="BodyText"/>
        <w:tabs>
          <w:tab w:val="left" w:pos="0"/>
        </w:tabs>
        <w:spacing w:before="0" w:line="240" w:lineRule="auto"/>
        <w:rPr>
          <w:b/>
          <w:i/>
          <w:szCs w:val="24"/>
        </w:rPr>
      </w:pPr>
      <w:r w:rsidRPr="008E7A8C">
        <w:rPr>
          <w:b/>
          <w:i/>
          <w:szCs w:val="24"/>
        </w:rPr>
        <w:t>Cleansing notices</w:t>
      </w:r>
    </w:p>
    <w:p w14:paraId="1FD51733" w14:textId="77777777" w:rsidR="008E7A8C" w:rsidRDefault="008E7A8C" w:rsidP="008E7A8C">
      <w:pPr>
        <w:pStyle w:val="BodyText"/>
        <w:tabs>
          <w:tab w:val="left" w:pos="0"/>
        </w:tabs>
        <w:spacing w:before="0" w:line="240" w:lineRule="auto"/>
        <w:rPr>
          <w:szCs w:val="24"/>
        </w:rPr>
      </w:pPr>
    </w:p>
    <w:p w14:paraId="70EAA3B2" w14:textId="5A993F29" w:rsidR="008E7A8C" w:rsidRPr="008E7A8C" w:rsidRDefault="00C05C41" w:rsidP="008E7A8C">
      <w:pPr>
        <w:pStyle w:val="BodyText"/>
        <w:tabs>
          <w:tab w:val="left" w:pos="0"/>
        </w:tabs>
        <w:spacing w:before="0" w:line="240" w:lineRule="auto"/>
        <w:rPr>
          <w:szCs w:val="24"/>
        </w:rPr>
      </w:pPr>
      <w:r>
        <w:rPr>
          <w:szCs w:val="24"/>
        </w:rPr>
        <w:t xml:space="preserve">The Instrument </w:t>
      </w:r>
      <w:r w:rsidR="008E7A8C" w:rsidRPr="008E7A8C">
        <w:rPr>
          <w:szCs w:val="24"/>
        </w:rPr>
        <w:t xml:space="preserve">modifies sections 708AA and 1012DAA so that a cleansing notice must be given within 24 hours before the first offer is made under a rights issue or by any earlier time required by the market operator. </w:t>
      </w:r>
    </w:p>
    <w:p w14:paraId="4CE7C07D" w14:textId="77777777" w:rsidR="008E7A8C" w:rsidRDefault="008E7A8C" w:rsidP="008E7A8C">
      <w:pPr>
        <w:pStyle w:val="BodyText"/>
        <w:tabs>
          <w:tab w:val="left" w:pos="0"/>
        </w:tabs>
        <w:spacing w:before="0" w:line="240" w:lineRule="auto"/>
        <w:rPr>
          <w:szCs w:val="24"/>
        </w:rPr>
      </w:pPr>
    </w:p>
    <w:p w14:paraId="7496CF42" w14:textId="4418FD02" w:rsidR="008E7A8C" w:rsidRPr="008E7A8C" w:rsidRDefault="00C05C41" w:rsidP="008E7A8C">
      <w:pPr>
        <w:pStyle w:val="BodyText"/>
        <w:tabs>
          <w:tab w:val="left" w:pos="0"/>
        </w:tabs>
        <w:spacing w:before="0" w:line="240" w:lineRule="auto"/>
        <w:rPr>
          <w:szCs w:val="24"/>
        </w:rPr>
      </w:pPr>
      <w:r>
        <w:rPr>
          <w:szCs w:val="24"/>
        </w:rPr>
        <w:lastRenderedPageBreak/>
        <w:t xml:space="preserve">The Instrument </w:t>
      </w:r>
      <w:r w:rsidR="008E7A8C" w:rsidRPr="008E7A8C">
        <w:rPr>
          <w:szCs w:val="24"/>
        </w:rPr>
        <w:t xml:space="preserve">also modifies sections 708A and 1012DA so that the securities or interests that were issued under the rights issue disclosure exemption can be on-sold without the requirement to give the market operator a further cleansing notice that would otherwise be required by paragraphs 708A(5)(e) and 1012DA(5)(e).  The issuer will need to comply with the requirements that the securities or interests were quoted securities at all times in the 3 months prior to issue, consistent with paragraphs 708A(5)(a) and 1012DA(5)(a).  </w:t>
      </w:r>
    </w:p>
    <w:p w14:paraId="71D067C1" w14:textId="77777777" w:rsidR="008E7A8C" w:rsidRDefault="008E7A8C" w:rsidP="008E7A8C">
      <w:pPr>
        <w:pStyle w:val="BodyText"/>
        <w:tabs>
          <w:tab w:val="left" w:pos="0"/>
        </w:tabs>
        <w:spacing w:before="0" w:line="240" w:lineRule="auto"/>
        <w:rPr>
          <w:szCs w:val="24"/>
        </w:rPr>
      </w:pPr>
    </w:p>
    <w:p w14:paraId="589A10E2" w14:textId="77777777" w:rsidR="008E7A8C" w:rsidRPr="008E7A8C" w:rsidRDefault="008E7A8C" w:rsidP="008E7A8C">
      <w:pPr>
        <w:pStyle w:val="BodyText"/>
        <w:tabs>
          <w:tab w:val="left" w:pos="0"/>
        </w:tabs>
        <w:spacing w:before="0" w:line="240" w:lineRule="auto"/>
        <w:rPr>
          <w:szCs w:val="24"/>
        </w:rPr>
      </w:pPr>
      <w:r w:rsidRPr="008E7A8C">
        <w:rPr>
          <w:szCs w:val="24"/>
        </w:rPr>
        <w:t xml:space="preserve">The effect of these modifications is that an issuer will generally only need to lodge one cleansing notice, unless new information emerges or a defect in the notice is discovered.  </w:t>
      </w:r>
    </w:p>
    <w:p w14:paraId="632949FA" w14:textId="77777777" w:rsidR="008E7A8C" w:rsidRDefault="008E7A8C" w:rsidP="008E7A8C">
      <w:pPr>
        <w:pStyle w:val="BodyText"/>
        <w:tabs>
          <w:tab w:val="left" w:pos="0"/>
        </w:tabs>
        <w:spacing w:before="0" w:line="240" w:lineRule="auto"/>
        <w:rPr>
          <w:szCs w:val="24"/>
        </w:rPr>
      </w:pPr>
    </w:p>
    <w:p w14:paraId="29869C53" w14:textId="77777777" w:rsidR="008E7A8C" w:rsidRPr="008E7A8C" w:rsidRDefault="008E7A8C" w:rsidP="008E7A8C">
      <w:pPr>
        <w:pStyle w:val="BodyText"/>
        <w:tabs>
          <w:tab w:val="left" w:pos="0"/>
        </w:tabs>
        <w:spacing w:before="0" w:line="240" w:lineRule="auto"/>
        <w:rPr>
          <w:szCs w:val="24"/>
        </w:rPr>
      </w:pPr>
      <w:r w:rsidRPr="008E7A8C">
        <w:rPr>
          <w:szCs w:val="24"/>
        </w:rPr>
        <w:t xml:space="preserve">If the issuer becomes aware of any excluded information that would have been required to be disclosed in the cleansing notice or a material change to the potential effect of the issue on control of the issuer or to the consequences of that effect, the issuer is required to give the market operator a cleansing notice that sets out the detail of the information or material change. This requires notices to be updated for new information. </w:t>
      </w:r>
    </w:p>
    <w:p w14:paraId="4207E731" w14:textId="77777777" w:rsidR="008E7A8C" w:rsidRDefault="008E7A8C" w:rsidP="008E7A8C">
      <w:pPr>
        <w:pStyle w:val="BodyText"/>
        <w:tabs>
          <w:tab w:val="left" w:pos="0"/>
        </w:tabs>
        <w:spacing w:before="0" w:line="240" w:lineRule="auto"/>
        <w:rPr>
          <w:szCs w:val="24"/>
        </w:rPr>
      </w:pPr>
    </w:p>
    <w:p w14:paraId="2C27D70C" w14:textId="77777777" w:rsidR="008E7A8C" w:rsidRPr="008E7A8C" w:rsidRDefault="008E7A8C" w:rsidP="008E7A8C">
      <w:pPr>
        <w:pStyle w:val="BodyText"/>
        <w:tabs>
          <w:tab w:val="left" w:pos="0"/>
        </w:tabs>
        <w:spacing w:before="0" w:line="240" w:lineRule="auto"/>
        <w:rPr>
          <w:b/>
          <w:i/>
          <w:szCs w:val="24"/>
        </w:rPr>
      </w:pPr>
      <w:r w:rsidRPr="008E7A8C">
        <w:rPr>
          <w:b/>
          <w:i/>
          <w:szCs w:val="24"/>
        </w:rPr>
        <w:t>Stapled securities</w:t>
      </w:r>
    </w:p>
    <w:p w14:paraId="443D27CE" w14:textId="77777777" w:rsidR="008E7A8C" w:rsidRDefault="008E7A8C" w:rsidP="008E7A8C">
      <w:pPr>
        <w:pStyle w:val="BodyText"/>
        <w:tabs>
          <w:tab w:val="left" w:pos="0"/>
        </w:tabs>
        <w:spacing w:before="0" w:line="240" w:lineRule="auto"/>
        <w:rPr>
          <w:szCs w:val="24"/>
        </w:rPr>
      </w:pPr>
    </w:p>
    <w:p w14:paraId="36DC4CE6" w14:textId="0DAF0BE6" w:rsidR="008E7A8C" w:rsidRDefault="00977D81" w:rsidP="008E7A8C">
      <w:pPr>
        <w:pStyle w:val="BodyText"/>
        <w:tabs>
          <w:tab w:val="left" w:pos="0"/>
        </w:tabs>
        <w:spacing w:before="0" w:line="240" w:lineRule="auto"/>
        <w:rPr>
          <w:szCs w:val="24"/>
        </w:rPr>
      </w:pPr>
      <w:r>
        <w:rPr>
          <w:szCs w:val="24"/>
        </w:rPr>
        <w:t xml:space="preserve">The Instrument </w:t>
      </w:r>
      <w:r w:rsidR="008E7A8C" w:rsidRPr="008E7A8C">
        <w:rPr>
          <w:szCs w:val="24"/>
        </w:rPr>
        <w:t>modifies sections 708AA and 1012DAA so that the disclosure exemptions apply to quoted securities that are stapled together.  This is necessary because the disclosure exemptions provided by sections 708AA and 1012DAA apply to ‘quoted securities’, which are defined by section 9 as ‘a security that is quoted on a prescribed financial market’. This definition does not include stapled securities and, therefore without relief, sections 708AA and 1012DAA would not apply.</w:t>
      </w:r>
    </w:p>
    <w:p w14:paraId="0F43DA34" w14:textId="77777777" w:rsidR="00432C1E" w:rsidRDefault="00432C1E" w:rsidP="00432C1E">
      <w:pPr>
        <w:pStyle w:val="BodyText"/>
        <w:tabs>
          <w:tab w:val="left" w:pos="0"/>
        </w:tabs>
        <w:spacing w:before="0" w:line="240" w:lineRule="auto"/>
        <w:rPr>
          <w:szCs w:val="24"/>
        </w:rPr>
      </w:pPr>
    </w:p>
    <w:p w14:paraId="022A5425" w14:textId="77777777" w:rsidR="005B0E3A" w:rsidRPr="00FE742F" w:rsidRDefault="005B0E3A" w:rsidP="00855009">
      <w:pPr>
        <w:pStyle w:val="Heading3"/>
        <w:keepNext w:val="0"/>
        <w:widowControl w:val="0"/>
        <w:numPr>
          <w:ilvl w:val="0"/>
          <w:numId w:val="7"/>
        </w:numPr>
        <w:tabs>
          <w:tab w:val="left" w:pos="567"/>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2CEAC3BE" w14:textId="77777777" w:rsidR="004C1951" w:rsidRDefault="004C1951" w:rsidP="00855009">
      <w:pPr>
        <w:spacing w:after="0"/>
        <w:rPr>
          <w:i/>
          <w:color w:val="0000FF"/>
          <w:sz w:val="24"/>
        </w:rPr>
      </w:pPr>
    </w:p>
    <w:p w14:paraId="64C408F4" w14:textId="0E84F19B" w:rsidR="00647ECE" w:rsidRPr="00647ECE" w:rsidRDefault="00647ECE" w:rsidP="00647ECE">
      <w:pPr>
        <w:shd w:val="clear" w:color="auto" w:fill="FFFFFF"/>
        <w:spacing w:after="0"/>
        <w:rPr>
          <w:color w:val="000000"/>
          <w:sz w:val="24"/>
          <w:szCs w:val="24"/>
        </w:rPr>
      </w:pPr>
      <w:r w:rsidRPr="00647ECE">
        <w:rPr>
          <w:color w:val="000000"/>
          <w:sz w:val="24"/>
          <w:szCs w:val="24"/>
        </w:rPr>
        <w:t xml:space="preserve">On 17 September 2015 ASIC released </w:t>
      </w:r>
      <w:r w:rsidR="00717E9C" w:rsidRPr="00717E9C">
        <w:rPr>
          <w:color w:val="000000"/>
          <w:sz w:val="24"/>
          <w:szCs w:val="24"/>
        </w:rPr>
        <w:t>CP 239 Disclosure documents: Update to ASIC instruments and guidance (</w:t>
      </w:r>
      <w:r w:rsidR="00717E9C" w:rsidRPr="00717E9C">
        <w:rPr>
          <w:b/>
          <w:i/>
          <w:color w:val="000000"/>
          <w:sz w:val="24"/>
          <w:szCs w:val="24"/>
        </w:rPr>
        <w:t>CP 239</w:t>
      </w:r>
      <w:r w:rsidR="00717E9C" w:rsidRPr="00717E9C">
        <w:rPr>
          <w:color w:val="000000"/>
          <w:sz w:val="24"/>
          <w:szCs w:val="24"/>
        </w:rPr>
        <w:t>)</w:t>
      </w:r>
      <w:r w:rsidRPr="00647ECE">
        <w:rPr>
          <w:color w:val="000000"/>
          <w:sz w:val="24"/>
          <w:szCs w:val="24"/>
        </w:rPr>
        <w:t xml:space="preserve"> seeking feedback on proposals to update and consolidate a number of regulatory guides relating to Chapter 6D of the Act. CP 239 also sought feedback on proposals to reissue the legislative instruments associated with ASIC’s updated guidance (including Class</w:t>
      </w:r>
      <w:r w:rsidR="003654B3">
        <w:rPr>
          <w:color w:val="000000"/>
          <w:sz w:val="24"/>
          <w:szCs w:val="24"/>
        </w:rPr>
        <w:t xml:space="preserve"> Order </w:t>
      </w:r>
      <w:r w:rsidR="003654B3">
        <w:rPr>
          <w:sz w:val="24"/>
          <w:szCs w:val="24"/>
        </w:rPr>
        <w:t xml:space="preserve">[CO </w:t>
      </w:r>
      <w:r w:rsidR="00977D81">
        <w:rPr>
          <w:sz w:val="24"/>
          <w:szCs w:val="24"/>
        </w:rPr>
        <w:t>08/35</w:t>
      </w:r>
      <w:r w:rsidR="003654B3" w:rsidRPr="00855009">
        <w:rPr>
          <w:sz w:val="24"/>
          <w:szCs w:val="24"/>
        </w:rPr>
        <w:t>]</w:t>
      </w:r>
      <w:r w:rsidRPr="00647ECE">
        <w:rPr>
          <w:color w:val="000000"/>
          <w:sz w:val="24"/>
          <w:szCs w:val="24"/>
        </w:rPr>
        <w:t>) and to make legislative instruments addressing some discrete policy issues. The consultation period closed on 27 November 2015.</w:t>
      </w:r>
    </w:p>
    <w:p w14:paraId="4F986BA8" w14:textId="77777777" w:rsidR="00647ECE" w:rsidRPr="00647ECE" w:rsidRDefault="00647ECE" w:rsidP="00647ECE">
      <w:pPr>
        <w:shd w:val="clear" w:color="auto" w:fill="FFFFFF"/>
        <w:spacing w:after="0"/>
        <w:rPr>
          <w:color w:val="000000"/>
          <w:sz w:val="24"/>
          <w:szCs w:val="24"/>
        </w:rPr>
      </w:pPr>
    </w:p>
    <w:p w14:paraId="2566DEE7" w14:textId="77777777" w:rsidR="00647ECE" w:rsidRPr="00647ECE" w:rsidRDefault="00647ECE" w:rsidP="00647ECE">
      <w:pPr>
        <w:shd w:val="clear" w:color="auto" w:fill="FFFFFF"/>
        <w:spacing w:after="0"/>
        <w:rPr>
          <w:color w:val="000000"/>
          <w:sz w:val="24"/>
          <w:szCs w:val="24"/>
        </w:rPr>
      </w:pPr>
      <w:r w:rsidRPr="00647ECE">
        <w:rPr>
          <w:color w:val="000000"/>
          <w:sz w:val="24"/>
          <w:szCs w:val="24"/>
        </w:rPr>
        <w:t xml:space="preserve">ASIC received four submissions in response to CP 239. Details of the submissions are contained in REP 473 </w:t>
      </w:r>
      <w:r w:rsidRPr="00647ECE">
        <w:rPr>
          <w:i/>
          <w:color w:val="000000"/>
          <w:sz w:val="24"/>
          <w:szCs w:val="24"/>
        </w:rPr>
        <w:t>Response to submissions on CP 239 Disclosure documents: updates to ASIC instruments and guidance</w:t>
      </w:r>
      <w:r w:rsidRPr="00647ECE">
        <w:rPr>
          <w:color w:val="000000"/>
          <w:sz w:val="24"/>
          <w:szCs w:val="24"/>
        </w:rPr>
        <w:t xml:space="preserve"> which is available on ASIC’s website at www.asic.gov.au.</w:t>
      </w:r>
    </w:p>
    <w:p w14:paraId="768219B5" w14:textId="77777777" w:rsidR="00647ECE" w:rsidRPr="00647ECE" w:rsidRDefault="00647ECE" w:rsidP="00647ECE">
      <w:pPr>
        <w:shd w:val="clear" w:color="auto" w:fill="FFFFFF"/>
        <w:spacing w:after="0"/>
        <w:rPr>
          <w:color w:val="000000"/>
          <w:sz w:val="24"/>
          <w:szCs w:val="24"/>
        </w:rPr>
      </w:pPr>
    </w:p>
    <w:p w14:paraId="231D29FB" w14:textId="51ED95D6" w:rsidR="008E7A8C" w:rsidRDefault="00B57EF1" w:rsidP="00855009">
      <w:pPr>
        <w:shd w:val="clear" w:color="auto" w:fill="FFFFFF"/>
        <w:spacing w:after="0"/>
      </w:pPr>
      <w:r w:rsidRPr="00B57EF1">
        <w:rPr>
          <w:color w:val="000000"/>
          <w:sz w:val="24"/>
          <w:szCs w:val="24"/>
        </w:rPr>
        <w:t xml:space="preserve">Notwithstanding ASIC’s consultation, ASIC considers that </w:t>
      </w:r>
      <w:r w:rsidR="00977D81" w:rsidRPr="00977D81">
        <w:rPr>
          <w:color w:val="000000"/>
          <w:sz w:val="24"/>
          <w:szCs w:val="24"/>
        </w:rPr>
        <w:t>ASIC Corporations (Non-Traditional Rights Issues) Instrument 2016/84</w:t>
      </w:r>
      <w:r w:rsidRPr="00B57EF1">
        <w:rPr>
          <w:color w:val="000000"/>
          <w:sz w:val="24"/>
          <w:szCs w:val="24"/>
        </w:rPr>
        <w:t> </w:t>
      </w:r>
      <w:r w:rsidRPr="00B57EF1">
        <w:rPr>
          <w:color w:val="000000"/>
          <w:sz w:val="24"/>
          <w:szCs w:val="24"/>
          <w:lang w:val="en-US"/>
        </w:rPr>
        <w:t>is of a minor or machinery nature and does not substantially alter existing arrangements.</w:t>
      </w:r>
      <w:r w:rsidR="008E7A8C" w:rsidRPr="008E7A8C">
        <w:t xml:space="preserve"> </w:t>
      </w:r>
    </w:p>
    <w:p w14:paraId="28263BA6" w14:textId="77777777" w:rsidR="008E7A8C" w:rsidRDefault="008E7A8C" w:rsidP="00855009">
      <w:pPr>
        <w:shd w:val="clear" w:color="auto" w:fill="FFFFFF"/>
        <w:spacing w:after="0"/>
      </w:pPr>
    </w:p>
    <w:p w14:paraId="25DABB5A" w14:textId="28FAC6CA" w:rsidR="008E7A8C" w:rsidRDefault="008E7A8C" w:rsidP="00855009">
      <w:pPr>
        <w:shd w:val="clear" w:color="auto" w:fill="FFFFFF"/>
        <w:spacing w:after="0"/>
        <w:rPr>
          <w:rFonts w:ascii="Calibri" w:hAnsi="Calibri"/>
          <w:color w:val="000000"/>
          <w:szCs w:val="22"/>
        </w:rPr>
      </w:pPr>
    </w:p>
    <w:p w14:paraId="27293C8E" w14:textId="77777777" w:rsidR="008E7A8C" w:rsidRDefault="008E7A8C" w:rsidP="00855009">
      <w:pPr>
        <w:shd w:val="clear" w:color="auto" w:fill="FFFFFF"/>
        <w:spacing w:after="0"/>
        <w:rPr>
          <w:rFonts w:ascii="Calibri" w:hAnsi="Calibri"/>
          <w:color w:val="000000"/>
          <w:szCs w:val="22"/>
        </w:rPr>
      </w:pPr>
    </w:p>
    <w:p w14:paraId="3BD3B266" w14:textId="77777777" w:rsidR="008E7A8C" w:rsidRDefault="008E7A8C" w:rsidP="00855009">
      <w:pPr>
        <w:shd w:val="clear" w:color="auto" w:fill="FFFFFF"/>
        <w:spacing w:after="0"/>
        <w:rPr>
          <w:rFonts w:ascii="Calibri" w:hAnsi="Calibri"/>
          <w:color w:val="000000"/>
          <w:szCs w:val="22"/>
        </w:rPr>
      </w:pPr>
    </w:p>
    <w:p w14:paraId="7F626EE0" w14:textId="77777777" w:rsidR="008E7A8C" w:rsidRPr="00B57EF1" w:rsidRDefault="008E7A8C" w:rsidP="00855009">
      <w:pPr>
        <w:shd w:val="clear" w:color="auto" w:fill="FFFFFF"/>
        <w:spacing w:after="0"/>
        <w:rPr>
          <w:rFonts w:ascii="Calibri" w:hAnsi="Calibri"/>
          <w:color w:val="000000"/>
          <w:szCs w:val="22"/>
        </w:rPr>
      </w:pPr>
    </w:p>
    <w:p w14:paraId="2D6ABA30" w14:textId="77777777" w:rsidR="005B0E3A" w:rsidRDefault="005B0E3A" w:rsidP="00855009">
      <w:pPr>
        <w:pStyle w:val="Bodytextplain"/>
        <w:spacing w:before="0" w:line="240" w:lineRule="auto"/>
        <w:sectPr w:rsidR="005B0E3A" w:rsidSect="00FE0057">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p>
    <w:p w14:paraId="72758CB7" w14:textId="77777777" w:rsidR="000076D6" w:rsidRDefault="000076D6" w:rsidP="00855009">
      <w:pPr>
        <w:spacing w:after="0"/>
      </w:pPr>
      <w:r>
        <w:rPr>
          <w:noProof/>
        </w:rPr>
        <w:lastRenderedPageBreak/>
        <mc:AlternateContent>
          <mc:Choice Requires="wps">
            <w:drawing>
              <wp:anchor distT="0" distB="0" distL="114300" distR="114300" simplePos="0" relativeHeight="251658240" behindDoc="0" locked="0" layoutInCell="1" allowOverlap="1" wp14:anchorId="22A43B0C" wp14:editId="117A0ADD">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6E6623B2" w:rsidR="000076D6" w:rsidRPr="00247F54" w:rsidRDefault="000076D6" w:rsidP="000076D6">
                            <w:pPr>
                              <w:spacing w:before="120" w:after="120"/>
                              <w:jc w:val="center"/>
                            </w:pPr>
                            <w:r w:rsidRPr="00247F54">
                              <w:rPr>
                                <w:i/>
                              </w:rPr>
                              <w:t xml:space="preserve">Prepared in accordance with Part 3 of the Human Rights (Parliamentary Scrutiny) </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1901E685" w:rsidR="000076D6" w:rsidRPr="00870F73" w:rsidRDefault="00977D81" w:rsidP="00977D81">
                            <w:pPr>
                              <w:spacing w:before="120" w:after="120"/>
                              <w:jc w:val="center"/>
                              <w:rPr>
                                <w:b/>
                              </w:rPr>
                            </w:pPr>
                            <w:r w:rsidRPr="00977D81">
                              <w:rPr>
                                <w:b/>
                              </w:rPr>
                              <w:t>ASIC Corporations (Non-Traditional Rights Issues) Instrument 2016/84</w:t>
                            </w:r>
                          </w:p>
                          <w:p w14:paraId="5313A251" w14:textId="77777777" w:rsidR="00870F73" w:rsidRDefault="00870F73" w:rsidP="00DF4E13">
                            <w:pPr>
                              <w:spacing w:before="120" w:after="120"/>
                            </w:pPr>
                          </w:p>
                          <w:p w14:paraId="3346D7B7" w14:textId="6A7FAFBE" w:rsidR="000076D6" w:rsidRPr="00247F54" w:rsidRDefault="00977D81" w:rsidP="00DF4E13">
                            <w:pPr>
                              <w:spacing w:before="120" w:after="120"/>
                            </w:pPr>
                            <w:r w:rsidRPr="00977D81">
                              <w:t>ASIC Corporations (Non-Traditional Rights Issues) Instrument 2016/84</w:t>
                            </w:r>
                            <w:r w:rsidR="00870F73" w:rsidRPr="00EA0AFA">
                              <w:rPr>
                                <w:spacing w:val="-1"/>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5F74449F" w14:textId="17DB5735" w:rsidR="00DF4E13" w:rsidRDefault="002042EE" w:rsidP="00DF4E13">
                            <w:pPr>
                              <w:spacing w:before="120" w:after="120"/>
                              <w:jc w:val="both"/>
                            </w:pPr>
                            <w:r w:rsidRPr="002042EE">
                              <w:t>The Instrument</w:t>
                            </w:r>
                            <w:r w:rsidR="00DF4E13">
                              <w:t xml:space="preserve"> </w:t>
                            </w:r>
                            <w:r w:rsidR="00977D81" w:rsidRPr="00977D81">
                              <w:t xml:space="preserve">provides relief to enable an issuer to rely on the </w:t>
                            </w:r>
                            <w:r w:rsidR="00977D81">
                              <w:t xml:space="preserve">rights issue </w:t>
                            </w:r>
                            <w:r w:rsidR="00977D81" w:rsidRPr="00977D81">
                              <w:t>disclosure exemption for a non-traditional rights issue that gives existing holders an equal opportunity to participate and does not compromise investor protection.</w:t>
                            </w:r>
                          </w:p>
                          <w:p w14:paraId="3376B8F8" w14:textId="77777777" w:rsidR="003654B3" w:rsidRDefault="003654B3" w:rsidP="000076D6">
                            <w:pPr>
                              <w:spacing w:before="120" w:after="120"/>
                              <w:rPr>
                                <w:b/>
                              </w:rPr>
                            </w:pP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6E6623B2" w:rsidR="000076D6" w:rsidRPr="00247F54" w:rsidRDefault="000076D6" w:rsidP="000076D6">
                      <w:pPr>
                        <w:spacing w:before="120" w:after="120"/>
                        <w:jc w:val="center"/>
                      </w:pPr>
                      <w:r w:rsidRPr="00247F54">
                        <w:rPr>
                          <w:i/>
                        </w:rPr>
                        <w:t xml:space="preserve">Prepared in accordance with Part 3 of the Human Rights (Parliamentary Scrutiny) </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1901E685" w:rsidR="000076D6" w:rsidRPr="00870F73" w:rsidRDefault="00977D81" w:rsidP="00977D81">
                      <w:pPr>
                        <w:spacing w:before="120" w:after="120"/>
                        <w:jc w:val="center"/>
                        <w:rPr>
                          <w:b/>
                        </w:rPr>
                      </w:pPr>
                      <w:r w:rsidRPr="00977D81">
                        <w:rPr>
                          <w:b/>
                        </w:rPr>
                        <w:t>ASIC Corporations (Non-Traditional Rights Issues) Instrument 2016/84</w:t>
                      </w:r>
                    </w:p>
                    <w:p w14:paraId="5313A251" w14:textId="77777777" w:rsidR="00870F73" w:rsidRDefault="00870F73" w:rsidP="00DF4E13">
                      <w:pPr>
                        <w:spacing w:before="120" w:after="120"/>
                      </w:pPr>
                    </w:p>
                    <w:p w14:paraId="3346D7B7" w14:textId="6A7FAFBE" w:rsidR="000076D6" w:rsidRPr="00247F54" w:rsidRDefault="00977D81" w:rsidP="00DF4E13">
                      <w:pPr>
                        <w:spacing w:before="120" w:after="120"/>
                      </w:pPr>
                      <w:r w:rsidRPr="00977D81">
                        <w:t>ASIC Corporations (Non-Traditional Rights Issues) Instrument 2016/84</w:t>
                      </w:r>
                      <w:r w:rsidR="00870F73" w:rsidRPr="00EA0AFA">
                        <w:rPr>
                          <w:spacing w:val="-1"/>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5F74449F" w14:textId="17DB5735" w:rsidR="00DF4E13" w:rsidRDefault="002042EE" w:rsidP="00DF4E13">
                      <w:pPr>
                        <w:spacing w:before="120" w:after="120"/>
                        <w:jc w:val="both"/>
                      </w:pPr>
                      <w:r w:rsidRPr="002042EE">
                        <w:t>The Instrument</w:t>
                      </w:r>
                      <w:r w:rsidR="00DF4E13">
                        <w:t xml:space="preserve"> </w:t>
                      </w:r>
                      <w:r w:rsidR="00977D81" w:rsidRPr="00977D81">
                        <w:t xml:space="preserve">provides relief to enable an issuer to rely on the </w:t>
                      </w:r>
                      <w:r w:rsidR="00977D81">
                        <w:t xml:space="preserve">rights issue </w:t>
                      </w:r>
                      <w:r w:rsidR="00977D81" w:rsidRPr="00977D81">
                        <w:t>disclosure exemption for a non-traditional rights issue that gives existing holders an equal opportunity to participate and does not compromise investor protection.</w:t>
                      </w:r>
                    </w:p>
                    <w:p w14:paraId="3376B8F8" w14:textId="77777777" w:rsidR="003654B3" w:rsidRDefault="003654B3" w:rsidP="000076D6">
                      <w:pPr>
                        <w:spacing w:before="120" w:after="120"/>
                        <w:rPr>
                          <w:b/>
                        </w:rPr>
                      </w:pP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F822" w14:textId="77777777" w:rsidR="005041B9" w:rsidRDefault="005041B9">
      <w:pPr>
        <w:spacing w:after="0"/>
      </w:pPr>
      <w:r>
        <w:separator/>
      </w:r>
    </w:p>
  </w:endnote>
  <w:endnote w:type="continuationSeparator" w:id="0">
    <w:p w14:paraId="438B7034" w14:textId="77777777" w:rsidR="005041B9" w:rsidRDefault="0050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F97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498E64" w14:textId="77777777" w:rsidR="00C27A4B" w:rsidRDefault="00C23E26">
    <w:pPr>
      <w:pStyle w:val="Footer"/>
      <w:ind w:right="360"/>
    </w:pPr>
  </w:p>
  <w:p w14:paraId="5EE880B2" w14:textId="77777777" w:rsidR="00C27A4B" w:rsidRDefault="00C23E26"/>
  <w:p w14:paraId="189E1BDC" w14:textId="77777777" w:rsidR="00C27A4B" w:rsidRDefault="00C23E26"/>
  <w:p w14:paraId="049F8FAE" w14:textId="77777777" w:rsidR="00C27A4B" w:rsidRDefault="00C23E26"/>
  <w:p w14:paraId="7857C7FF" w14:textId="77777777" w:rsidR="00C27A4B" w:rsidRDefault="00C23E26"/>
  <w:p w14:paraId="5AA06DE8" w14:textId="77777777" w:rsidR="00C27A4B" w:rsidRDefault="00C23E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D625F" w14:textId="1BF92C78" w:rsidR="00FE0057" w:rsidRDefault="00FE0057">
    <w:pPr>
      <w:pStyle w:val="Footer"/>
      <w:jc w:val="center"/>
    </w:pPr>
  </w:p>
  <w:p w14:paraId="651CB54D" w14:textId="77777777" w:rsidR="00FE0057" w:rsidRDefault="00FE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690D" w14:textId="77777777" w:rsidR="005041B9" w:rsidRDefault="005041B9">
      <w:pPr>
        <w:spacing w:after="0"/>
      </w:pPr>
      <w:r>
        <w:separator/>
      </w:r>
    </w:p>
  </w:footnote>
  <w:footnote w:type="continuationSeparator" w:id="0">
    <w:p w14:paraId="2405419E" w14:textId="77777777" w:rsidR="005041B9" w:rsidRDefault="005041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BCFA" w14:textId="77777777" w:rsidR="00C27A4B" w:rsidRDefault="00C23E26"/>
  <w:p w14:paraId="536F6AE8" w14:textId="77777777" w:rsidR="00C27A4B" w:rsidRDefault="00C23E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C4BD" w14:textId="59DA89B5" w:rsidR="00FE0057" w:rsidRPr="00FE0057" w:rsidRDefault="00FE0057" w:rsidP="00FE0057">
    <w:pPr>
      <w:pStyle w:val="Footer"/>
      <w:tabs>
        <w:tab w:val="center" w:pos="4153"/>
        <w:tab w:val="left" w:pos="6084"/>
      </w:tabs>
      <w:rPr>
        <w:rFonts w:ascii="Times New Roman" w:hAnsi="Times New Roman"/>
        <w:sz w:val="24"/>
        <w:szCs w:val="24"/>
      </w:rPr>
    </w:pPr>
    <w:r>
      <w:tab/>
    </w:r>
    <w:r w:rsidRPr="00FE0057">
      <w:rPr>
        <w:rFonts w:ascii="Times New Roman" w:hAnsi="Times New Roman"/>
        <w:sz w:val="24"/>
        <w:szCs w:val="24"/>
      </w:rPr>
      <w:t xml:space="preserve"> </w:t>
    </w:r>
    <w:sdt>
      <w:sdtPr>
        <w:rPr>
          <w:rFonts w:ascii="Times New Roman" w:hAnsi="Times New Roman"/>
          <w:sz w:val="24"/>
          <w:szCs w:val="24"/>
        </w:rPr>
        <w:id w:val="-1689132789"/>
        <w:docPartObj>
          <w:docPartGallery w:val="Page Numbers (Bottom of Page)"/>
          <w:docPartUnique/>
        </w:docPartObj>
      </w:sdtPr>
      <w:sdtEndPr>
        <w:rPr>
          <w:noProof/>
        </w:rPr>
      </w:sdtEndPr>
      <w:sdtContent>
        <w:r w:rsidRPr="00FE0057">
          <w:rPr>
            <w:rFonts w:ascii="Times New Roman" w:hAnsi="Times New Roman"/>
            <w:sz w:val="24"/>
            <w:szCs w:val="24"/>
          </w:rPr>
          <w:fldChar w:fldCharType="begin"/>
        </w:r>
        <w:r w:rsidRPr="00FE0057">
          <w:rPr>
            <w:rFonts w:ascii="Times New Roman" w:hAnsi="Times New Roman"/>
            <w:sz w:val="24"/>
            <w:szCs w:val="24"/>
          </w:rPr>
          <w:instrText xml:space="preserve"> PAGE   \* MERGEFORMAT </w:instrText>
        </w:r>
        <w:r w:rsidRPr="00FE0057">
          <w:rPr>
            <w:rFonts w:ascii="Times New Roman" w:hAnsi="Times New Roman"/>
            <w:sz w:val="24"/>
            <w:szCs w:val="24"/>
          </w:rPr>
          <w:fldChar w:fldCharType="separate"/>
        </w:r>
        <w:r w:rsidR="00C23E26">
          <w:rPr>
            <w:rFonts w:ascii="Times New Roman" w:hAnsi="Times New Roman"/>
            <w:noProof/>
            <w:sz w:val="24"/>
            <w:szCs w:val="24"/>
          </w:rPr>
          <w:t>6</w:t>
        </w:r>
        <w:r w:rsidRPr="00FE0057">
          <w:rPr>
            <w:rFonts w:ascii="Times New Roman" w:hAnsi="Times New Roman"/>
            <w:noProof/>
            <w:sz w:val="24"/>
            <w:szCs w:val="24"/>
          </w:rPr>
          <w:fldChar w:fldCharType="end"/>
        </w:r>
      </w:sdtContent>
    </w:sdt>
    <w:r>
      <w:rPr>
        <w:rFonts w:ascii="Times New Roman" w:hAnsi="Times New Roman"/>
        <w:noProof/>
        <w:sz w:val="24"/>
        <w:szCs w:val="24"/>
      </w:rPr>
      <w:tab/>
    </w:r>
  </w:p>
  <w:p w14:paraId="271A4C57" w14:textId="203653F2" w:rsidR="00C27A4B" w:rsidRDefault="00C23E26" w:rsidP="008565F8">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585A" w14:textId="1DD199D4" w:rsidR="00C27A4B" w:rsidRDefault="00C23E26">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2B72250"/>
    <w:multiLevelType w:val="hybridMultilevel"/>
    <w:tmpl w:val="1CE4D2C4"/>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2"/>
  </w:num>
  <w:num w:numId="4">
    <w:abstractNumId w:val="18"/>
  </w:num>
  <w:num w:numId="5">
    <w:abstractNumId w:val="6"/>
  </w:num>
  <w:num w:numId="6">
    <w:abstractNumId w:val="4"/>
  </w:num>
  <w:num w:numId="7">
    <w:abstractNumId w:val="10"/>
  </w:num>
  <w:num w:numId="8">
    <w:abstractNumId w:val="2"/>
  </w:num>
  <w:num w:numId="9">
    <w:abstractNumId w:val="1"/>
  </w:num>
  <w:num w:numId="10">
    <w:abstractNumId w:val="0"/>
  </w:num>
  <w:num w:numId="11">
    <w:abstractNumId w:val="9"/>
  </w:num>
  <w:num w:numId="12">
    <w:abstractNumId w:val="17"/>
  </w:num>
  <w:num w:numId="13">
    <w:abstractNumId w:val="13"/>
  </w:num>
  <w:num w:numId="14">
    <w:abstractNumId w:val="7"/>
  </w:num>
  <w:num w:numId="15">
    <w:abstractNumId w:val="5"/>
  </w:num>
  <w:num w:numId="16">
    <w:abstractNumId w:val="8"/>
  </w:num>
  <w:num w:numId="17">
    <w:abstractNumId w:val="15"/>
  </w:num>
  <w:num w:numId="18">
    <w:abstractNumId w:val="19"/>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6D6"/>
    <w:rsid w:val="00014BFE"/>
    <w:rsid w:val="000A16D3"/>
    <w:rsid w:val="00185F60"/>
    <w:rsid w:val="001C2F0D"/>
    <w:rsid w:val="001E3B4A"/>
    <w:rsid w:val="001E4475"/>
    <w:rsid w:val="002042EE"/>
    <w:rsid w:val="00225A98"/>
    <w:rsid w:val="00226F65"/>
    <w:rsid w:val="00246100"/>
    <w:rsid w:val="002971B7"/>
    <w:rsid w:val="002C4F2D"/>
    <w:rsid w:val="002D1E73"/>
    <w:rsid w:val="002D5A8C"/>
    <w:rsid w:val="002D5B32"/>
    <w:rsid w:val="00317798"/>
    <w:rsid w:val="00323A5E"/>
    <w:rsid w:val="00351299"/>
    <w:rsid w:val="003654B3"/>
    <w:rsid w:val="003F3064"/>
    <w:rsid w:val="00432C1E"/>
    <w:rsid w:val="0045080D"/>
    <w:rsid w:val="00453D17"/>
    <w:rsid w:val="00464112"/>
    <w:rsid w:val="004851F3"/>
    <w:rsid w:val="004A5BC3"/>
    <w:rsid w:val="004C1951"/>
    <w:rsid w:val="005041B9"/>
    <w:rsid w:val="0052067A"/>
    <w:rsid w:val="00566718"/>
    <w:rsid w:val="005B0E3A"/>
    <w:rsid w:val="00604AE8"/>
    <w:rsid w:val="00647ECE"/>
    <w:rsid w:val="006647A1"/>
    <w:rsid w:val="00683DEA"/>
    <w:rsid w:val="006B7252"/>
    <w:rsid w:val="00717E9C"/>
    <w:rsid w:val="00733649"/>
    <w:rsid w:val="00736265"/>
    <w:rsid w:val="007567D7"/>
    <w:rsid w:val="007C1188"/>
    <w:rsid w:val="007C5833"/>
    <w:rsid w:val="007D583D"/>
    <w:rsid w:val="00855009"/>
    <w:rsid w:val="008565F8"/>
    <w:rsid w:val="00870F73"/>
    <w:rsid w:val="00874214"/>
    <w:rsid w:val="008B39DB"/>
    <w:rsid w:val="008B4F29"/>
    <w:rsid w:val="008C5C46"/>
    <w:rsid w:val="008E07B7"/>
    <w:rsid w:val="008E58EB"/>
    <w:rsid w:val="008E7A8C"/>
    <w:rsid w:val="0093018F"/>
    <w:rsid w:val="009404C7"/>
    <w:rsid w:val="00946923"/>
    <w:rsid w:val="00977D81"/>
    <w:rsid w:val="009E1B55"/>
    <w:rsid w:val="009F1A49"/>
    <w:rsid w:val="00A04499"/>
    <w:rsid w:val="00A05643"/>
    <w:rsid w:val="00A25DDD"/>
    <w:rsid w:val="00A54261"/>
    <w:rsid w:val="00A54F12"/>
    <w:rsid w:val="00A744E9"/>
    <w:rsid w:val="00A812D1"/>
    <w:rsid w:val="00A8184B"/>
    <w:rsid w:val="00A96E0D"/>
    <w:rsid w:val="00AC02C2"/>
    <w:rsid w:val="00AE04F7"/>
    <w:rsid w:val="00B26015"/>
    <w:rsid w:val="00B57EF1"/>
    <w:rsid w:val="00BD2C01"/>
    <w:rsid w:val="00BE1561"/>
    <w:rsid w:val="00C05C41"/>
    <w:rsid w:val="00C23E26"/>
    <w:rsid w:val="00C27C41"/>
    <w:rsid w:val="00C307C9"/>
    <w:rsid w:val="00C475E9"/>
    <w:rsid w:val="00C520A4"/>
    <w:rsid w:val="00CE201F"/>
    <w:rsid w:val="00CF1854"/>
    <w:rsid w:val="00D04DF5"/>
    <w:rsid w:val="00D2359D"/>
    <w:rsid w:val="00D4021D"/>
    <w:rsid w:val="00D70F20"/>
    <w:rsid w:val="00DA2B36"/>
    <w:rsid w:val="00DB6845"/>
    <w:rsid w:val="00DF4E13"/>
    <w:rsid w:val="00E03DFD"/>
    <w:rsid w:val="00E11CCF"/>
    <w:rsid w:val="00E1603B"/>
    <w:rsid w:val="00EA0AFA"/>
    <w:rsid w:val="00EA590C"/>
    <w:rsid w:val="00EB4501"/>
    <w:rsid w:val="00ED017E"/>
    <w:rsid w:val="00F33A14"/>
    <w:rsid w:val="00F662DC"/>
    <w:rsid w:val="00F85CF7"/>
    <w:rsid w:val="00F8685C"/>
    <w:rsid w:val="00FA3667"/>
    <w:rsid w:val="00FB1417"/>
    <w:rsid w:val="00FB6C13"/>
    <w:rsid w:val="00FC629B"/>
    <w:rsid w:val="00FE0057"/>
    <w:rsid w:val="00FE1C07"/>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35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157">
      <w:bodyDiv w:val="1"/>
      <w:marLeft w:val="0"/>
      <w:marRight w:val="0"/>
      <w:marTop w:val="0"/>
      <w:marBottom w:val="0"/>
      <w:divBdr>
        <w:top w:val="none" w:sz="0" w:space="0" w:color="auto"/>
        <w:left w:val="none" w:sz="0" w:space="0" w:color="auto"/>
        <w:bottom w:val="none" w:sz="0" w:space="0" w:color="auto"/>
        <w:right w:val="none" w:sz="0" w:space="0" w:color="auto"/>
      </w:divBdr>
    </w:div>
    <w:div w:id="110325719">
      <w:bodyDiv w:val="1"/>
      <w:marLeft w:val="0"/>
      <w:marRight w:val="0"/>
      <w:marTop w:val="0"/>
      <w:marBottom w:val="0"/>
      <w:divBdr>
        <w:top w:val="none" w:sz="0" w:space="0" w:color="auto"/>
        <w:left w:val="none" w:sz="0" w:space="0" w:color="auto"/>
        <w:bottom w:val="none" w:sz="0" w:space="0" w:color="auto"/>
        <w:right w:val="none" w:sz="0" w:space="0" w:color="auto"/>
      </w:divBdr>
    </w:div>
    <w:div w:id="213468229">
      <w:bodyDiv w:val="1"/>
      <w:marLeft w:val="0"/>
      <w:marRight w:val="0"/>
      <w:marTop w:val="0"/>
      <w:marBottom w:val="0"/>
      <w:divBdr>
        <w:top w:val="none" w:sz="0" w:space="0" w:color="auto"/>
        <w:left w:val="none" w:sz="0" w:space="0" w:color="auto"/>
        <w:bottom w:val="none" w:sz="0" w:space="0" w:color="auto"/>
        <w:right w:val="none" w:sz="0" w:space="0" w:color="auto"/>
      </w:divBdr>
      <w:divsChild>
        <w:div w:id="740719121">
          <w:marLeft w:val="0"/>
          <w:marRight w:val="0"/>
          <w:marTop w:val="0"/>
          <w:marBottom w:val="0"/>
          <w:divBdr>
            <w:top w:val="none" w:sz="0" w:space="0" w:color="auto"/>
            <w:left w:val="none" w:sz="0" w:space="0" w:color="auto"/>
            <w:bottom w:val="none" w:sz="0" w:space="0" w:color="auto"/>
            <w:right w:val="none" w:sz="0" w:space="0" w:color="auto"/>
          </w:divBdr>
          <w:divsChild>
            <w:div w:id="51659195">
              <w:marLeft w:val="0"/>
              <w:marRight w:val="0"/>
              <w:marTop w:val="0"/>
              <w:marBottom w:val="0"/>
              <w:divBdr>
                <w:top w:val="none" w:sz="0" w:space="0" w:color="auto"/>
                <w:left w:val="none" w:sz="0" w:space="0" w:color="auto"/>
                <w:bottom w:val="none" w:sz="0" w:space="0" w:color="auto"/>
                <w:right w:val="none" w:sz="0" w:space="0" w:color="auto"/>
              </w:divBdr>
              <w:divsChild>
                <w:div w:id="1295211440">
                  <w:marLeft w:val="0"/>
                  <w:marRight w:val="0"/>
                  <w:marTop w:val="0"/>
                  <w:marBottom w:val="0"/>
                  <w:divBdr>
                    <w:top w:val="none" w:sz="0" w:space="0" w:color="auto"/>
                    <w:left w:val="none" w:sz="0" w:space="0" w:color="auto"/>
                    <w:bottom w:val="none" w:sz="0" w:space="0" w:color="auto"/>
                    <w:right w:val="none" w:sz="0" w:space="0" w:color="auto"/>
                  </w:divBdr>
                  <w:divsChild>
                    <w:div w:id="1122387394">
                      <w:marLeft w:val="0"/>
                      <w:marRight w:val="0"/>
                      <w:marTop w:val="0"/>
                      <w:marBottom w:val="0"/>
                      <w:divBdr>
                        <w:top w:val="none" w:sz="0" w:space="0" w:color="auto"/>
                        <w:left w:val="none" w:sz="0" w:space="0" w:color="auto"/>
                        <w:bottom w:val="none" w:sz="0" w:space="0" w:color="auto"/>
                        <w:right w:val="none" w:sz="0" w:space="0" w:color="auto"/>
                      </w:divBdr>
                      <w:divsChild>
                        <w:div w:id="1835559698">
                          <w:marLeft w:val="0"/>
                          <w:marRight w:val="0"/>
                          <w:marTop w:val="0"/>
                          <w:marBottom w:val="0"/>
                          <w:divBdr>
                            <w:top w:val="none" w:sz="0" w:space="0" w:color="auto"/>
                            <w:left w:val="none" w:sz="0" w:space="0" w:color="auto"/>
                            <w:bottom w:val="none" w:sz="0" w:space="0" w:color="auto"/>
                            <w:right w:val="none" w:sz="0" w:space="0" w:color="auto"/>
                          </w:divBdr>
                          <w:divsChild>
                            <w:div w:id="1864512605">
                              <w:marLeft w:val="0"/>
                              <w:marRight w:val="0"/>
                              <w:marTop w:val="0"/>
                              <w:marBottom w:val="0"/>
                              <w:divBdr>
                                <w:top w:val="none" w:sz="0" w:space="0" w:color="auto"/>
                                <w:left w:val="none" w:sz="0" w:space="0" w:color="auto"/>
                                <w:bottom w:val="none" w:sz="0" w:space="0" w:color="auto"/>
                                <w:right w:val="none" w:sz="0" w:space="0" w:color="auto"/>
                              </w:divBdr>
                              <w:divsChild>
                                <w:div w:id="1272586612">
                                  <w:marLeft w:val="0"/>
                                  <w:marRight w:val="0"/>
                                  <w:marTop w:val="0"/>
                                  <w:marBottom w:val="0"/>
                                  <w:divBdr>
                                    <w:top w:val="none" w:sz="0" w:space="0" w:color="auto"/>
                                    <w:left w:val="none" w:sz="0" w:space="0" w:color="auto"/>
                                    <w:bottom w:val="none" w:sz="0" w:space="0" w:color="auto"/>
                                    <w:right w:val="none" w:sz="0" w:space="0" w:color="auto"/>
                                  </w:divBdr>
                                  <w:divsChild>
                                    <w:div w:id="1678538175">
                                      <w:marLeft w:val="0"/>
                                      <w:marRight w:val="0"/>
                                      <w:marTop w:val="0"/>
                                      <w:marBottom w:val="0"/>
                                      <w:divBdr>
                                        <w:top w:val="none" w:sz="0" w:space="0" w:color="auto"/>
                                        <w:left w:val="none" w:sz="0" w:space="0" w:color="auto"/>
                                        <w:bottom w:val="none" w:sz="0" w:space="0" w:color="auto"/>
                                        <w:right w:val="none" w:sz="0" w:space="0" w:color="auto"/>
                                      </w:divBdr>
                                      <w:divsChild>
                                        <w:div w:id="1584873069">
                                          <w:marLeft w:val="0"/>
                                          <w:marRight w:val="0"/>
                                          <w:marTop w:val="0"/>
                                          <w:marBottom w:val="0"/>
                                          <w:divBdr>
                                            <w:top w:val="none" w:sz="0" w:space="0" w:color="auto"/>
                                            <w:left w:val="none" w:sz="0" w:space="0" w:color="auto"/>
                                            <w:bottom w:val="none" w:sz="0" w:space="0" w:color="auto"/>
                                            <w:right w:val="none" w:sz="0" w:space="0" w:color="auto"/>
                                          </w:divBdr>
                                          <w:divsChild>
                                            <w:div w:id="6377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183474">
      <w:bodyDiv w:val="1"/>
      <w:marLeft w:val="0"/>
      <w:marRight w:val="0"/>
      <w:marTop w:val="0"/>
      <w:marBottom w:val="0"/>
      <w:divBdr>
        <w:top w:val="none" w:sz="0" w:space="0" w:color="auto"/>
        <w:left w:val="none" w:sz="0" w:space="0" w:color="auto"/>
        <w:bottom w:val="none" w:sz="0" w:space="0" w:color="auto"/>
        <w:right w:val="none" w:sz="0" w:space="0" w:color="auto"/>
      </w:divBdr>
      <w:divsChild>
        <w:div w:id="1111584809">
          <w:marLeft w:val="0"/>
          <w:marRight w:val="0"/>
          <w:marTop w:val="0"/>
          <w:marBottom w:val="0"/>
          <w:divBdr>
            <w:top w:val="none" w:sz="0" w:space="0" w:color="auto"/>
            <w:left w:val="none" w:sz="0" w:space="0" w:color="auto"/>
            <w:bottom w:val="none" w:sz="0" w:space="0" w:color="auto"/>
            <w:right w:val="none" w:sz="0" w:space="0" w:color="auto"/>
          </w:divBdr>
          <w:divsChild>
            <w:div w:id="260067685">
              <w:marLeft w:val="0"/>
              <w:marRight w:val="0"/>
              <w:marTop w:val="0"/>
              <w:marBottom w:val="0"/>
              <w:divBdr>
                <w:top w:val="none" w:sz="0" w:space="0" w:color="auto"/>
                <w:left w:val="none" w:sz="0" w:space="0" w:color="auto"/>
                <w:bottom w:val="none" w:sz="0" w:space="0" w:color="auto"/>
                <w:right w:val="none" w:sz="0" w:space="0" w:color="auto"/>
              </w:divBdr>
              <w:divsChild>
                <w:div w:id="1341738090">
                  <w:marLeft w:val="0"/>
                  <w:marRight w:val="0"/>
                  <w:marTop w:val="0"/>
                  <w:marBottom w:val="0"/>
                  <w:divBdr>
                    <w:top w:val="none" w:sz="0" w:space="0" w:color="auto"/>
                    <w:left w:val="none" w:sz="0" w:space="0" w:color="auto"/>
                    <w:bottom w:val="none" w:sz="0" w:space="0" w:color="auto"/>
                    <w:right w:val="none" w:sz="0" w:space="0" w:color="auto"/>
                  </w:divBdr>
                  <w:divsChild>
                    <w:div w:id="1987781833">
                      <w:marLeft w:val="0"/>
                      <w:marRight w:val="0"/>
                      <w:marTop w:val="0"/>
                      <w:marBottom w:val="0"/>
                      <w:divBdr>
                        <w:top w:val="none" w:sz="0" w:space="0" w:color="auto"/>
                        <w:left w:val="none" w:sz="0" w:space="0" w:color="auto"/>
                        <w:bottom w:val="none" w:sz="0" w:space="0" w:color="auto"/>
                        <w:right w:val="none" w:sz="0" w:space="0" w:color="auto"/>
                      </w:divBdr>
                      <w:divsChild>
                        <w:div w:id="496924773">
                          <w:marLeft w:val="0"/>
                          <w:marRight w:val="0"/>
                          <w:marTop w:val="0"/>
                          <w:marBottom w:val="0"/>
                          <w:divBdr>
                            <w:top w:val="none" w:sz="0" w:space="0" w:color="auto"/>
                            <w:left w:val="none" w:sz="0" w:space="0" w:color="auto"/>
                            <w:bottom w:val="none" w:sz="0" w:space="0" w:color="auto"/>
                            <w:right w:val="none" w:sz="0" w:space="0" w:color="auto"/>
                          </w:divBdr>
                          <w:divsChild>
                            <w:div w:id="831529920">
                              <w:marLeft w:val="0"/>
                              <w:marRight w:val="0"/>
                              <w:marTop w:val="0"/>
                              <w:marBottom w:val="0"/>
                              <w:divBdr>
                                <w:top w:val="none" w:sz="0" w:space="0" w:color="auto"/>
                                <w:left w:val="none" w:sz="0" w:space="0" w:color="auto"/>
                                <w:bottom w:val="none" w:sz="0" w:space="0" w:color="auto"/>
                                <w:right w:val="none" w:sz="0" w:space="0" w:color="auto"/>
                              </w:divBdr>
                              <w:divsChild>
                                <w:div w:id="1520118098">
                                  <w:marLeft w:val="0"/>
                                  <w:marRight w:val="0"/>
                                  <w:marTop w:val="0"/>
                                  <w:marBottom w:val="0"/>
                                  <w:divBdr>
                                    <w:top w:val="none" w:sz="0" w:space="0" w:color="auto"/>
                                    <w:left w:val="none" w:sz="0" w:space="0" w:color="auto"/>
                                    <w:bottom w:val="none" w:sz="0" w:space="0" w:color="auto"/>
                                    <w:right w:val="none" w:sz="0" w:space="0" w:color="auto"/>
                                  </w:divBdr>
                                  <w:divsChild>
                                    <w:div w:id="1974291780">
                                      <w:marLeft w:val="0"/>
                                      <w:marRight w:val="0"/>
                                      <w:marTop w:val="0"/>
                                      <w:marBottom w:val="0"/>
                                      <w:divBdr>
                                        <w:top w:val="none" w:sz="0" w:space="0" w:color="auto"/>
                                        <w:left w:val="none" w:sz="0" w:space="0" w:color="auto"/>
                                        <w:bottom w:val="none" w:sz="0" w:space="0" w:color="auto"/>
                                        <w:right w:val="none" w:sz="0" w:space="0" w:color="auto"/>
                                      </w:divBdr>
                                      <w:divsChild>
                                        <w:div w:id="855385911">
                                          <w:marLeft w:val="0"/>
                                          <w:marRight w:val="0"/>
                                          <w:marTop w:val="0"/>
                                          <w:marBottom w:val="0"/>
                                          <w:divBdr>
                                            <w:top w:val="none" w:sz="0" w:space="0" w:color="auto"/>
                                            <w:left w:val="none" w:sz="0" w:space="0" w:color="auto"/>
                                            <w:bottom w:val="none" w:sz="0" w:space="0" w:color="auto"/>
                                            <w:right w:val="none" w:sz="0" w:space="0" w:color="auto"/>
                                          </w:divBdr>
                                          <w:divsChild>
                                            <w:div w:id="1396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552198">
      <w:bodyDiv w:val="1"/>
      <w:marLeft w:val="0"/>
      <w:marRight w:val="0"/>
      <w:marTop w:val="0"/>
      <w:marBottom w:val="0"/>
      <w:divBdr>
        <w:top w:val="none" w:sz="0" w:space="0" w:color="auto"/>
        <w:left w:val="none" w:sz="0" w:space="0" w:color="auto"/>
        <w:bottom w:val="none" w:sz="0" w:space="0" w:color="auto"/>
        <w:right w:val="none" w:sz="0" w:space="0" w:color="auto"/>
      </w:divBdr>
      <w:divsChild>
        <w:div w:id="1903518680">
          <w:marLeft w:val="0"/>
          <w:marRight w:val="0"/>
          <w:marTop w:val="0"/>
          <w:marBottom w:val="0"/>
          <w:divBdr>
            <w:top w:val="none" w:sz="0" w:space="0" w:color="auto"/>
            <w:left w:val="none" w:sz="0" w:space="0" w:color="auto"/>
            <w:bottom w:val="none" w:sz="0" w:space="0" w:color="auto"/>
            <w:right w:val="none" w:sz="0" w:space="0" w:color="auto"/>
          </w:divBdr>
          <w:divsChild>
            <w:div w:id="1736119847">
              <w:marLeft w:val="0"/>
              <w:marRight w:val="0"/>
              <w:marTop w:val="0"/>
              <w:marBottom w:val="0"/>
              <w:divBdr>
                <w:top w:val="none" w:sz="0" w:space="0" w:color="auto"/>
                <w:left w:val="none" w:sz="0" w:space="0" w:color="auto"/>
                <w:bottom w:val="none" w:sz="0" w:space="0" w:color="auto"/>
                <w:right w:val="none" w:sz="0" w:space="0" w:color="auto"/>
              </w:divBdr>
              <w:divsChild>
                <w:div w:id="1514224650">
                  <w:marLeft w:val="0"/>
                  <w:marRight w:val="0"/>
                  <w:marTop w:val="0"/>
                  <w:marBottom w:val="0"/>
                  <w:divBdr>
                    <w:top w:val="none" w:sz="0" w:space="0" w:color="auto"/>
                    <w:left w:val="none" w:sz="0" w:space="0" w:color="auto"/>
                    <w:bottom w:val="none" w:sz="0" w:space="0" w:color="auto"/>
                    <w:right w:val="none" w:sz="0" w:space="0" w:color="auto"/>
                  </w:divBdr>
                  <w:divsChild>
                    <w:div w:id="611858578">
                      <w:marLeft w:val="0"/>
                      <w:marRight w:val="0"/>
                      <w:marTop w:val="0"/>
                      <w:marBottom w:val="0"/>
                      <w:divBdr>
                        <w:top w:val="none" w:sz="0" w:space="0" w:color="auto"/>
                        <w:left w:val="none" w:sz="0" w:space="0" w:color="auto"/>
                        <w:bottom w:val="none" w:sz="0" w:space="0" w:color="auto"/>
                        <w:right w:val="none" w:sz="0" w:space="0" w:color="auto"/>
                      </w:divBdr>
                      <w:divsChild>
                        <w:div w:id="1175730811">
                          <w:marLeft w:val="0"/>
                          <w:marRight w:val="0"/>
                          <w:marTop w:val="0"/>
                          <w:marBottom w:val="0"/>
                          <w:divBdr>
                            <w:top w:val="none" w:sz="0" w:space="0" w:color="auto"/>
                            <w:left w:val="none" w:sz="0" w:space="0" w:color="auto"/>
                            <w:bottom w:val="none" w:sz="0" w:space="0" w:color="auto"/>
                            <w:right w:val="none" w:sz="0" w:space="0" w:color="auto"/>
                          </w:divBdr>
                          <w:divsChild>
                            <w:div w:id="854996454">
                              <w:marLeft w:val="0"/>
                              <w:marRight w:val="0"/>
                              <w:marTop w:val="0"/>
                              <w:marBottom w:val="0"/>
                              <w:divBdr>
                                <w:top w:val="none" w:sz="0" w:space="0" w:color="auto"/>
                                <w:left w:val="none" w:sz="0" w:space="0" w:color="auto"/>
                                <w:bottom w:val="none" w:sz="0" w:space="0" w:color="auto"/>
                                <w:right w:val="none" w:sz="0" w:space="0" w:color="auto"/>
                              </w:divBdr>
                              <w:divsChild>
                                <w:div w:id="1766416642">
                                  <w:marLeft w:val="0"/>
                                  <w:marRight w:val="0"/>
                                  <w:marTop w:val="0"/>
                                  <w:marBottom w:val="0"/>
                                  <w:divBdr>
                                    <w:top w:val="none" w:sz="0" w:space="0" w:color="auto"/>
                                    <w:left w:val="none" w:sz="0" w:space="0" w:color="auto"/>
                                    <w:bottom w:val="none" w:sz="0" w:space="0" w:color="auto"/>
                                    <w:right w:val="none" w:sz="0" w:space="0" w:color="auto"/>
                                  </w:divBdr>
                                  <w:divsChild>
                                    <w:div w:id="1920551527">
                                      <w:marLeft w:val="0"/>
                                      <w:marRight w:val="0"/>
                                      <w:marTop w:val="0"/>
                                      <w:marBottom w:val="0"/>
                                      <w:divBdr>
                                        <w:top w:val="none" w:sz="0" w:space="0" w:color="auto"/>
                                        <w:left w:val="none" w:sz="0" w:space="0" w:color="auto"/>
                                        <w:bottom w:val="none" w:sz="0" w:space="0" w:color="auto"/>
                                        <w:right w:val="none" w:sz="0" w:space="0" w:color="auto"/>
                                      </w:divBdr>
                                      <w:divsChild>
                                        <w:div w:id="1220633590">
                                          <w:marLeft w:val="0"/>
                                          <w:marRight w:val="0"/>
                                          <w:marTop w:val="0"/>
                                          <w:marBottom w:val="0"/>
                                          <w:divBdr>
                                            <w:top w:val="none" w:sz="0" w:space="0" w:color="auto"/>
                                            <w:left w:val="none" w:sz="0" w:space="0" w:color="auto"/>
                                            <w:bottom w:val="none" w:sz="0" w:space="0" w:color="auto"/>
                                            <w:right w:val="none" w:sz="0" w:space="0" w:color="auto"/>
                                          </w:divBdr>
                                          <w:divsChild>
                                            <w:div w:id="11457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095046">
      <w:bodyDiv w:val="1"/>
      <w:marLeft w:val="0"/>
      <w:marRight w:val="0"/>
      <w:marTop w:val="0"/>
      <w:marBottom w:val="0"/>
      <w:divBdr>
        <w:top w:val="none" w:sz="0" w:space="0" w:color="auto"/>
        <w:left w:val="none" w:sz="0" w:space="0" w:color="auto"/>
        <w:bottom w:val="none" w:sz="0" w:space="0" w:color="auto"/>
        <w:right w:val="none" w:sz="0" w:space="0" w:color="auto"/>
      </w:divBdr>
      <w:divsChild>
        <w:div w:id="1756129294">
          <w:marLeft w:val="0"/>
          <w:marRight w:val="0"/>
          <w:marTop w:val="0"/>
          <w:marBottom w:val="0"/>
          <w:divBdr>
            <w:top w:val="none" w:sz="0" w:space="0" w:color="auto"/>
            <w:left w:val="none" w:sz="0" w:space="0" w:color="auto"/>
            <w:bottom w:val="none" w:sz="0" w:space="0" w:color="auto"/>
            <w:right w:val="none" w:sz="0" w:space="0" w:color="auto"/>
          </w:divBdr>
          <w:divsChild>
            <w:div w:id="1171024002">
              <w:marLeft w:val="0"/>
              <w:marRight w:val="0"/>
              <w:marTop w:val="0"/>
              <w:marBottom w:val="0"/>
              <w:divBdr>
                <w:top w:val="none" w:sz="0" w:space="0" w:color="auto"/>
                <w:left w:val="none" w:sz="0" w:space="0" w:color="auto"/>
                <w:bottom w:val="none" w:sz="0" w:space="0" w:color="auto"/>
                <w:right w:val="none" w:sz="0" w:space="0" w:color="auto"/>
              </w:divBdr>
              <w:divsChild>
                <w:div w:id="1164584314">
                  <w:marLeft w:val="0"/>
                  <w:marRight w:val="0"/>
                  <w:marTop w:val="0"/>
                  <w:marBottom w:val="0"/>
                  <w:divBdr>
                    <w:top w:val="none" w:sz="0" w:space="0" w:color="auto"/>
                    <w:left w:val="none" w:sz="0" w:space="0" w:color="auto"/>
                    <w:bottom w:val="none" w:sz="0" w:space="0" w:color="auto"/>
                    <w:right w:val="none" w:sz="0" w:space="0" w:color="auto"/>
                  </w:divBdr>
                  <w:divsChild>
                    <w:div w:id="1736588341">
                      <w:marLeft w:val="0"/>
                      <w:marRight w:val="0"/>
                      <w:marTop w:val="0"/>
                      <w:marBottom w:val="0"/>
                      <w:divBdr>
                        <w:top w:val="none" w:sz="0" w:space="0" w:color="auto"/>
                        <w:left w:val="none" w:sz="0" w:space="0" w:color="auto"/>
                        <w:bottom w:val="none" w:sz="0" w:space="0" w:color="auto"/>
                        <w:right w:val="none" w:sz="0" w:space="0" w:color="auto"/>
                      </w:divBdr>
                      <w:divsChild>
                        <w:div w:id="730274894">
                          <w:marLeft w:val="0"/>
                          <w:marRight w:val="0"/>
                          <w:marTop w:val="0"/>
                          <w:marBottom w:val="0"/>
                          <w:divBdr>
                            <w:top w:val="none" w:sz="0" w:space="0" w:color="auto"/>
                            <w:left w:val="none" w:sz="0" w:space="0" w:color="auto"/>
                            <w:bottom w:val="none" w:sz="0" w:space="0" w:color="auto"/>
                            <w:right w:val="none" w:sz="0" w:space="0" w:color="auto"/>
                          </w:divBdr>
                          <w:divsChild>
                            <w:div w:id="1347633001">
                              <w:marLeft w:val="0"/>
                              <w:marRight w:val="0"/>
                              <w:marTop w:val="0"/>
                              <w:marBottom w:val="0"/>
                              <w:divBdr>
                                <w:top w:val="none" w:sz="0" w:space="0" w:color="auto"/>
                                <w:left w:val="none" w:sz="0" w:space="0" w:color="auto"/>
                                <w:bottom w:val="none" w:sz="0" w:space="0" w:color="auto"/>
                                <w:right w:val="none" w:sz="0" w:space="0" w:color="auto"/>
                              </w:divBdr>
                              <w:divsChild>
                                <w:div w:id="1674069536">
                                  <w:marLeft w:val="0"/>
                                  <w:marRight w:val="0"/>
                                  <w:marTop w:val="0"/>
                                  <w:marBottom w:val="0"/>
                                  <w:divBdr>
                                    <w:top w:val="none" w:sz="0" w:space="0" w:color="auto"/>
                                    <w:left w:val="none" w:sz="0" w:space="0" w:color="auto"/>
                                    <w:bottom w:val="none" w:sz="0" w:space="0" w:color="auto"/>
                                    <w:right w:val="none" w:sz="0" w:space="0" w:color="auto"/>
                                  </w:divBdr>
                                  <w:divsChild>
                                    <w:div w:id="1476023364">
                                      <w:marLeft w:val="0"/>
                                      <w:marRight w:val="0"/>
                                      <w:marTop w:val="0"/>
                                      <w:marBottom w:val="0"/>
                                      <w:divBdr>
                                        <w:top w:val="none" w:sz="0" w:space="0" w:color="auto"/>
                                        <w:left w:val="none" w:sz="0" w:space="0" w:color="auto"/>
                                        <w:bottom w:val="none" w:sz="0" w:space="0" w:color="auto"/>
                                        <w:right w:val="none" w:sz="0" w:space="0" w:color="auto"/>
                                      </w:divBdr>
                                      <w:divsChild>
                                        <w:div w:id="1345939108">
                                          <w:marLeft w:val="0"/>
                                          <w:marRight w:val="0"/>
                                          <w:marTop w:val="0"/>
                                          <w:marBottom w:val="0"/>
                                          <w:divBdr>
                                            <w:top w:val="none" w:sz="0" w:space="0" w:color="auto"/>
                                            <w:left w:val="none" w:sz="0" w:space="0" w:color="auto"/>
                                            <w:bottom w:val="none" w:sz="0" w:space="0" w:color="auto"/>
                                            <w:right w:val="none" w:sz="0" w:space="0" w:color="auto"/>
                                          </w:divBdr>
                                          <w:divsChild>
                                            <w:div w:id="25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895905">
      <w:bodyDiv w:val="1"/>
      <w:marLeft w:val="0"/>
      <w:marRight w:val="0"/>
      <w:marTop w:val="0"/>
      <w:marBottom w:val="0"/>
      <w:divBdr>
        <w:top w:val="none" w:sz="0" w:space="0" w:color="auto"/>
        <w:left w:val="none" w:sz="0" w:space="0" w:color="auto"/>
        <w:bottom w:val="none" w:sz="0" w:space="0" w:color="auto"/>
        <w:right w:val="none" w:sz="0" w:space="0" w:color="auto"/>
      </w:divBdr>
      <w:divsChild>
        <w:div w:id="867135293">
          <w:marLeft w:val="0"/>
          <w:marRight w:val="0"/>
          <w:marTop w:val="0"/>
          <w:marBottom w:val="0"/>
          <w:divBdr>
            <w:top w:val="none" w:sz="0" w:space="0" w:color="auto"/>
            <w:left w:val="none" w:sz="0" w:space="0" w:color="auto"/>
            <w:bottom w:val="none" w:sz="0" w:space="0" w:color="auto"/>
            <w:right w:val="none" w:sz="0" w:space="0" w:color="auto"/>
          </w:divBdr>
          <w:divsChild>
            <w:div w:id="440495830">
              <w:marLeft w:val="0"/>
              <w:marRight w:val="0"/>
              <w:marTop w:val="0"/>
              <w:marBottom w:val="0"/>
              <w:divBdr>
                <w:top w:val="none" w:sz="0" w:space="0" w:color="auto"/>
                <w:left w:val="none" w:sz="0" w:space="0" w:color="auto"/>
                <w:bottom w:val="none" w:sz="0" w:space="0" w:color="auto"/>
                <w:right w:val="none" w:sz="0" w:space="0" w:color="auto"/>
              </w:divBdr>
              <w:divsChild>
                <w:div w:id="74404500">
                  <w:marLeft w:val="0"/>
                  <w:marRight w:val="0"/>
                  <w:marTop w:val="0"/>
                  <w:marBottom w:val="0"/>
                  <w:divBdr>
                    <w:top w:val="none" w:sz="0" w:space="0" w:color="auto"/>
                    <w:left w:val="none" w:sz="0" w:space="0" w:color="auto"/>
                    <w:bottom w:val="none" w:sz="0" w:space="0" w:color="auto"/>
                    <w:right w:val="none" w:sz="0" w:space="0" w:color="auto"/>
                  </w:divBdr>
                  <w:divsChild>
                    <w:div w:id="1069687884">
                      <w:marLeft w:val="0"/>
                      <w:marRight w:val="0"/>
                      <w:marTop w:val="0"/>
                      <w:marBottom w:val="0"/>
                      <w:divBdr>
                        <w:top w:val="none" w:sz="0" w:space="0" w:color="auto"/>
                        <w:left w:val="none" w:sz="0" w:space="0" w:color="auto"/>
                        <w:bottom w:val="none" w:sz="0" w:space="0" w:color="auto"/>
                        <w:right w:val="none" w:sz="0" w:space="0" w:color="auto"/>
                      </w:divBdr>
                      <w:divsChild>
                        <w:div w:id="1286232462">
                          <w:marLeft w:val="0"/>
                          <w:marRight w:val="0"/>
                          <w:marTop w:val="0"/>
                          <w:marBottom w:val="0"/>
                          <w:divBdr>
                            <w:top w:val="none" w:sz="0" w:space="0" w:color="auto"/>
                            <w:left w:val="none" w:sz="0" w:space="0" w:color="auto"/>
                            <w:bottom w:val="none" w:sz="0" w:space="0" w:color="auto"/>
                            <w:right w:val="none" w:sz="0" w:space="0" w:color="auto"/>
                          </w:divBdr>
                          <w:divsChild>
                            <w:div w:id="1606619132">
                              <w:marLeft w:val="0"/>
                              <w:marRight w:val="0"/>
                              <w:marTop w:val="0"/>
                              <w:marBottom w:val="0"/>
                              <w:divBdr>
                                <w:top w:val="none" w:sz="0" w:space="0" w:color="auto"/>
                                <w:left w:val="none" w:sz="0" w:space="0" w:color="auto"/>
                                <w:bottom w:val="none" w:sz="0" w:space="0" w:color="auto"/>
                                <w:right w:val="none" w:sz="0" w:space="0" w:color="auto"/>
                              </w:divBdr>
                              <w:divsChild>
                                <w:div w:id="2055807855">
                                  <w:marLeft w:val="0"/>
                                  <w:marRight w:val="0"/>
                                  <w:marTop w:val="0"/>
                                  <w:marBottom w:val="0"/>
                                  <w:divBdr>
                                    <w:top w:val="none" w:sz="0" w:space="0" w:color="auto"/>
                                    <w:left w:val="none" w:sz="0" w:space="0" w:color="auto"/>
                                    <w:bottom w:val="none" w:sz="0" w:space="0" w:color="auto"/>
                                    <w:right w:val="none" w:sz="0" w:space="0" w:color="auto"/>
                                  </w:divBdr>
                                  <w:divsChild>
                                    <w:div w:id="1171481727">
                                      <w:marLeft w:val="0"/>
                                      <w:marRight w:val="0"/>
                                      <w:marTop w:val="0"/>
                                      <w:marBottom w:val="0"/>
                                      <w:divBdr>
                                        <w:top w:val="none" w:sz="0" w:space="0" w:color="auto"/>
                                        <w:left w:val="none" w:sz="0" w:space="0" w:color="auto"/>
                                        <w:bottom w:val="none" w:sz="0" w:space="0" w:color="auto"/>
                                        <w:right w:val="none" w:sz="0" w:space="0" w:color="auto"/>
                                      </w:divBdr>
                                      <w:divsChild>
                                        <w:div w:id="1535733569">
                                          <w:marLeft w:val="0"/>
                                          <w:marRight w:val="0"/>
                                          <w:marTop w:val="0"/>
                                          <w:marBottom w:val="0"/>
                                          <w:divBdr>
                                            <w:top w:val="none" w:sz="0" w:space="0" w:color="auto"/>
                                            <w:left w:val="none" w:sz="0" w:space="0" w:color="auto"/>
                                            <w:bottom w:val="none" w:sz="0" w:space="0" w:color="auto"/>
                                            <w:right w:val="none" w:sz="0" w:space="0" w:color="auto"/>
                                          </w:divBdr>
                                          <w:divsChild>
                                            <w:div w:id="1345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469220">
      <w:bodyDiv w:val="1"/>
      <w:marLeft w:val="0"/>
      <w:marRight w:val="0"/>
      <w:marTop w:val="0"/>
      <w:marBottom w:val="0"/>
      <w:divBdr>
        <w:top w:val="none" w:sz="0" w:space="0" w:color="auto"/>
        <w:left w:val="none" w:sz="0" w:space="0" w:color="auto"/>
        <w:bottom w:val="none" w:sz="0" w:space="0" w:color="auto"/>
        <w:right w:val="none" w:sz="0" w:space="0" w:color="auto"/>
      </w:divBdr>
      <w:divsChild>
        <w:div w:id="98113648">
          <w:marLeft w:val="0"/>
          <w:marRight w:val="0"/>
          <w:marTop w:val="0"/>
          <w:marBottom w:val="0"/>
          <w:divBdr>
            <w:top w:val="none" w:sz="0" w:space="0" w:color="auto"/>
            <w:left w:val="none" w:sz="0" w:space="0" w:color="auto"/>
            <w:bottom w:val="none" w:sz="0" w:space="0" w:color="auto"/>
            <w:right w:val="none" w:sz="0" w:space="0" w:color="auto"/>
          </w:divBdr>
          <w:divsChild>
            <w:div w:id="1713532849">
              <w:marLeft w:val="0"/>
              <w:marRight w:val="0"/>
              <w:marTop w:val="0"/>
              <w:marBottom w:val="0"/>
              <w:divBdr>
                <w:top w:val="none" w:sz="0" w:space="0" w:color="auto"/>
                <w:left w:val="none" w:sz="0" w:space="0" w:color="auto"/>
                <w:bottom w:val="none" w:sz="0" w:space="0" w:color="auto"/>
                <w:right w:val="none" w:sz="0" w:space="0" w:color="auto"/>
              </w:divBdr>
              <w:divsChild>
                <w:div w:id="1341275046">
                  <w:marLeft w:val="0"/>
                  <w:marRight w:val="0"/>
                  <w:marTop w:val="0"/>
                  <w:marBottom w:val="0"/>
                  <w:divBdr>
                    <w:top w:val="none" w:sz="0" w:space="0" w:color="auto"/>
                    <w:left w:val="none" w:sz="0" w:space="0" w:color="auto"/>
                    <w:bottom w:val="none" w:sz="0" w:space="0" w:color="auto"/>
                    <w:right w:val="none" w:sz="0" w:space="0" w:color="auto"/>
                  </w:divBdr>
                  <w:divsChild>
                    <w:div w:id="848452339">
                      <w:marLeft w:val="0"/>
                      <w:marRight w:val="0"/>
                      <w:marTop w:val="0"/>
                      <w:marBottom w:val="0"/>
                      <w:divBdr>
                        <w:top w:val="none" w:sz="0" w:space="0" w:color="auto"/>
                        <w:left w:val="none" w:sz="0" w:space="0" w:color="auto"/>
                        <w:bottom w:val="none" w:sz="0" w:space="0" w:color="auto"/>
                        <w:right w:val="none" w:sz="0" w:space="0" w:color="auto"/>
                      </w:divBdr>
                      <w:divsChild>
                        <w:div w:id="1494682402">
                          <w:marLeft w:val="0"/>
                          <w:marRight w:val="0"/>
                          <w:marTop w:val="0"/>
                          <w:marBottom w:val="0"/>
                          <w:divBdr>
                            <w:top w:val="none" w:sz="0" w:space="0" w:color="auto"/>
                            <w:left w:val="none" w:sz="0" w:space="0" w:color="auto"/>
                            <w:bottom w:val="none" w:sz="0" w:space="0" w:color="auto"/>
                            <w:right w:val="none" w:sz="0" w:space="0" w:color="auto"/>
                          </w:divBdr>
                          <w:divsChild>
                            <w:div w:id="1287933326">
                              <w:marLeft w:val="0"/>
                              <w:marRight w:val="0"/>
                              <w:marTop w:val="0"/>
                              <w:marBottom w:val="0"/>
                              <w:divBdr>
                                <w:top w:val="none" w:sz="0" w:space="0" w:color="auto"/>
                                <w:left w:val="none" w:sz="0" w:space="0" w:color="auto"/>
                                <w:bottom w:val="none" w:sz="0" w:space="0" w:color="auto"/>
                                <w:right w:val="none" w:sz="0" w:space="0" w:color="auto"/>
                              </w:divBdr>
                              <w:divsChild>
                                <w:div w:id="81683128">
                                  <w:marLeft w:val="0"/>
                                  <w:marRight w:val="0"/>
                                  <w:marTop w:val="0"/>
                                  <w:marBottom w:val="0"/>
                                  <w:divBdr>
                                    <w:top w:val="none" w:sz="0" w:space="0" w:color="auto"/>
                                    <w:left w:val="none" w:sz="0" w:space="0" w:color="auto"/>
                                    <w:bottom w:val="none" w:sz="0" w:space="0" w:color="auto"/>
                                    <w:right w:val="none" w:sz="0" w:space="0" w:color="auto"/>
                                  </w:divBdr>
                                  <w:divsChild>
                                    <w:div w:id="1547645028">
                                      <w:marLeft w:val="0"/>
                                      <w:marRight w:val="0"/>
                                      <w:marTop w:val="0"/>
                                      <w:marBottom w:val="0"/>
                                      <w:divBdr>
                                        <w:top w:val="none" w:sz="0" w:space="0" w:color="auto"/>
                                        <w:left w:val="none" w:sz="0" w:space="0" w:color="auto"/>
                                        <w:bottom w:val="none" w:sz="0" w:space="0" w:color="auto"/>
                                        <w:right w:val="none" w:sz="0" w:space="0" w:color="auto"/>
                                      </w:divBdr>
                                      <w:divsChild>
                                        <w:div w:id="1735081297">
                                          <w:marLeft w:val="0"/>
                                          <w:marRight w:val="0"/>
                                          <w:marTop w:val="0"/>
                                          <w:marBottom w:val="0"/>
                                          <w:divBdr>
                                            <w:top w:val="none" w:sz="0" w:space="0" w:color="auto"/>
                                            <w:left w:val="none" w:sz="0" w:space="0" w:color="auto"/>
                                            <w:bottom w:val="none" w:sz="0" w:space="0" w:color="auto"/>
                                            <w:right w:val="none" w:sz="0" w:space="0" w:color="auto"/>
                                          </w:divBdr>
                                          <w:divsChild>
                                            <w:div w:id="1708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346603">
      <w:bodyDiv w:val="1"/>
      <w:marLeft w:val="0"/>
      <w:marRight w:val="0"/>
      <w:marTop w:val="0"/>
      <w:marBottom w:val="0"/>
      <w:divBdr>
        <w:top w:val="none" w:sz="0" w:space="0" w:color="auto"/>
        <w:left w:val="none" w:sz="0" w:space="0" w:color="auto"/>
        <w:bottom w:val="none" w:sz="0" w:space="0" w:color="auto"/>
        <w:right w:val="none" w:sz="0" w:space="0" w:color="auto"/>
      </w:divBdr>
    </w:div>
    <w:div w:id="644706117">
      <w:bodyDiv w:val="1"/>
      <w:marLeft w:val="0"/>
      <w:marRight w:val="0"/>
      <w:marTop w:val="0"/>
      <w:marBottom w:val="0"/>
      <w:divBdr>
        <w:top w:val="none" w:sz="0" w:space="0" w:color="auto"/>
        <w:left w:val="none" w:sz="0" w:space="0" w:color="auto"/>
        <w:bottom w:val="none" w:sz="0" w:space="0" w:color="auto"/>
        <w:right w:val="none" w:sz="0" w:space="0" w:color="auto"/>
      </w:divBdr>
    </w:div>
    <w:div w:id="724304399">
      <w:bodyDiv w:val="1"/>
      <w:marLeft w:val="0"/>
      <w:marRight w:val="0"/>
      <w:marTop w:val="0"/>
      <w:marBottom w:val="0"/>
      <w:divBdr>
        <w:top w:val="none" w:sz="0" w:space="0" w:color="auto"/>
        <w:left w:val="none" w:sz="0" w:space="0" w:color="auto"/>
        <w:bottom w:val="none" w:sz="0" w:space="0" w:color="auto"/>
        <w:right w:val="none" w:sz="0" w:space="0" w:color="auto"/>
      </w:divBdr>
    </w:div>
    <w:div w:id="1024088353">
      <w:bodyDiv w:val="1"/>
      <w:marLeft w:val="0"/>
      <w:marRight w:val="0"/>
      <w:marTop w:val="0"/>
      <w:marBottom w:val="0"/>
      <w:divBdr>
        <w:top w:val="none" w:sz="0" w:space="0" w:color="auto"/>
        <w:left w:val="none" w:sz="0" w:space="0" w:color="auto"/>
        <w:bottom w:val="none" w:sz="0" w:space="0" w:color="auto"/>
        <w:right w:val="none" w:sz="0" w:space="0" w:color="auto"/>
      </w:divBdr>
    </w:div>
    <w:div w:id="1071656655">
      <w:bodyDiv w:val="1"/>
      <w:marLeft w:val="0"/>
      <w:marRight w:val="0"/>
      <w:marTop w:val="0"/>
      <w:marBottom w:val="0"/>
      <w:divBdr>
        <w:top w:val="none" w:sz="0" w:space="0" w:color="auto"/>
        <w:left w:val="none" w:sz="0" w:space="0" w:color="auto"/>
        <w:bottom w:val="none" w:sz="0" w:space="0" w:color="auto"/>
        <w:right w:val="none" w:sz="0" w:space="0" w:color="auto"/>
      </w:divBdr>
    </w:div>
    <w:div w:id="1341468827">
      <w:bodyDiv w:val="1"/>
      <w:marLeft w:val="0"/>
      <w:marRight w:val="0"/>
      <w:marTop w:val="0"/>
      <w:marBottom w:val="0"/>
      <w:divBdr>
        <w:top w:val="none" w:sz="0" w:space="0" w:color="auto"/>
        <w:left w:val="none" w:sz="0" w:space="0" w:color="auto"/>
        <w:bottom w:val="none" w:sz="0" w:space="0" w:color="auto"/>
        <w:right w:val="none" w:sz="0" w:space="0" w:color="auto"/>
      </w:divBdr>
    </w:div>
    <w:div w:id="1437403370">
      <w:bodyDiv w:val="1"/>
      <w:marLeft w:val="0"/>
      <w:marRight w:val="0"/>
      <w:marTop w:val="0"/>
      <w:marBottom w:val="0"/>
      <w:divBdr>
        <w:top w:val="none" w:sz="0" w:space="0" w:color="auto"/>
        <w:left w:val="none" w:sz="0" w:space="0" w:color="auto"/>
        <w:bottom w:val="none" w:sz="0" w:space="0" w:color="auto"/>
        <w:right w:val="none" w:sz="0" w:space="0" w:color="auto"/>
      </w:divBdr>
      <w:divsChild>
        <w:div w:id="734820352">
          <w:marLeft w:val="0"/>
          <w:marRight w:val="0"/>
          <w:marTop w:val="0"/>
          <w:marBottom w:val="0"/>
          <w:divBdr>
            <w:top w:val="none" w:sz="0" w:space="0" w:color="auto"/>
            <w:left w:val="none" w:sz="0" w:space="0" w:color="auto"/>
            <w:bottom w:val="none" w:sz="0" w:space="0" w:color="auto"/>
            <w:right w:val="none" w:sz="0" w:space="0" w:color="auto"/>
          </w:divBdr>
          <w:divsChild>
            <w:div w:id="508374701">
              <w:marLeft w:val="0"/>
              <w:marRight w:val="0"/>
              <w:marTop w:val="0"/>
              <w:marBottom w:val="0"/>
              <w:divBdr>
                <w:top w:val="none" w:sz="0" w:space="0" w:color="auto"/>
                <w:left w:val="none" w:sz="0" w:space="0" w:color="auto"/>
                <w:bottom w:val="none" w:sz="0" w:space="0" w:color="auto"/>
                <w:right w:val="none" w:sz="0" w:space="0" w:color="auto"/>
              </w:divBdr>
              <w:divsChild>
                <w:div w:id="2050958519">
                  <w:marLeft w:val="0"/>
                  <w:marRight w:val="0"/>
                  <w:marTop w:val="0"/>
                  <w:marBottom w:val="0"/>
                  <w:divBdr>
                    <w:top w:val="none" w:sz="0" w:space="0" w:color="auto"/>
                    <w:left w:val="none" w:sz="0" w:space="0" w:color="auto"/>
                    <w:bottom w:val="none" w:sz="0" w:space="0" w:color="auto"/>
                    <w:right w:val="none" w:sz="0" w:space="0" w:color="auto"/>
                  </w:divBdr>
                  <w:divsChild>
                    <w:div w:id="1089545625">
                      <w:marLeft w:val="0"/>
                      <w:marRight w:val="0"/>
                      <w:marTop w:val="0"/>
                      <w:marBottom w:val="0"/>
                      <w:divBdr>
                        <w:top w:val="none" w:sz="0" w:space="0" w:color="auto"/>
                        <w:left w:val="none" w:sz="0" w:space="0" w:color="auto"/>
                        <w:bottom w:val="none" w:sz="0" w:space="0" w:color="auto"/>
                        <w:right w:val="none" w:sz="0" w:space="0" w:color="auto"/>
                      </w:divBdr>
                      <w:divsChild>
                        <w:div w:id="334305547">
                          <w:marLeft w:val="0"/>
                          <w:marRight w:val="0"/>
                          <w:marTop w:val="0"/>
                          <w:marBottom w:val="0"/>
                          <w:divBdr>
                            <w:top w:val="none" w:sz="0" w:space="0" w:color="auto"/>
                            <w:left w:val="none" w:sz="0" w:space="0" w:color="auto"/>
                            <w:bottom w:val="none" w:sz="0" w:space="0" w:color="auto"/>
                            <w:right w:val="none" w:sz="0" w:space="0" w:color="auto"/>
                          </w:divBdr>
                          <w:divsChild>
                            <w:div w:id="869414973">
                              <w:marLeft w:val="0"/>
                              <w:marRight w:val="0"/>
                              <w:marTop w:val="0"/>
                              <w:marBottom w:val="0"/>
                              <w:divBdr>
                                <w:top w:val="none" w:sz="0" w:space="0" w:color="auto"/>
                                <w:left w:val="none" w:sz="0" w:space="0" w:color="auto"/>
                                <w:bottom w:val="none" w:sz="0" w:space="0" w:color="auto"/>
                                <w:right w:val="none" w:sz="0" w:space="0" w:color="auto"/>
                              </w:divBdr>
                              <w:divsChild>
                                <w:div w:id="304551582">
                                  <w:marLeft w:val="0"/>
                                  <w:marRight w:val="0"/>
                                  <w:marTop w:val="0"/>
                                  <w:marBottom w:val="0"/>
                                  <w:divBdr>
                                    <w:top w:val="none" w:sz="0" w:space="0" w:color="auto"/>
                                    <w:left w:val="none" w:sz="0" w:space="0" w:color="auto"/>
                                    <w:bottom w:val="none" w:sz="0" w:space="0" w:color="auto"/>
                                    <w:right w:val="none" w:sz="0" w:space="0" w:color="auto"/>
                                  </w:divBdr>
                                  <w:divsChild>
                                    <w:div w:id="564994174">
                                      <w:marLeft w:val="0"/>
                                      <w:marRight w:val="0"/>
                                      <w:marTop w:val="0"/>
                                      <w:marBottom w:val="0"/>
                                      <w:divBdr>
                                        <w:top w:val="none" w:sz="0" w:space="0" w:color="auto"/>
                                        <w:left w:val="none" w:sz="0" w:space="0" w:color="auto"/>
                                        <w:bottom w:val="none" w:sz="0" w:space="0" w:color="auto"/>
                                        <w:right w:val="none" w:sz="0" w:space="0" w:color="auto"/>
                                      </w:divBdr>
                                      <w:divsChild>
                                        <w:div w:id="1783038880">
                                          <w:marLeft w:val="0"/>
                                          <w:marRight w:val="0"/>
                                          <w:marTop w:val="0"/>
                                          <w:marBottom w:val="0"/>
                                          <w:divBdr>
                                            <w:top w:val="none" w:sz="0" w:space="0" w:color="auto"/>
                                            <w:left w:val="none" w:sz="0" w:space="0" w:color="auto"/>
                                            <w:bottom w:val="none" w:sz="0" w:space="0" w:color="auto"/>
                                            <w:right w:val="none" w:sz="0" w:space="0" w:color="auto"/>
                                          </w:divBdr>
                                          <w:divsChild>
                                            <w:div w:id="12780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262991">
      <w:bodyDiv w:val="1"/>
      <w:marLeft w:val="0"/>
      <w:marRight w:val="0"/>
      <w:marTop w:val="0"/>
      <w:marBottom w:val="0"/>
      <w:divBdr>
        <w:top w:val="none" w:sz="0" w:space="0" w:color="auto"/>
        <w:left w:val="none" w:sz="0" w:space="0" w:color="auto"/>
        <w:bottom w:val="none" w:sz="0" w:space="0" w:color="auto"/>
        <w:right w:val="none" w:sz="0" w:space="0" w:color="auto"/>
      </w:divBdr>
      <w:divsChild>
        <w:div w:id="1793208022">
          <w:marLeft w:val="0"/>
          <w:marRight w:val="0"/>
          <w:marTop w:val="0"/>
          <w:marBottom w:val="0"/>
          <w:divBdr>
            <w:top w:val="none" w:sz="0" w:space="0" w:color="auto"/>
            <w:left w:val="none" w:sz="0" w:space="0" w:color="auto"/>
            <w:bottom w:val="none" w:sz="0" w:space="0" w:color="auto"/>
            <w:right w:val="none" w:sz="0" w:space="0" w:color="auto"/>
          </w:divBdr>
          <w:divsChild>
            <w:div w:id="632558810">
              <w:marLeft w:val="0"/>
              <w:marRight w:val="0"/>
              <w:marTop w:val="0"/>
              <w:marBottom w:val="0"/>
              <w:divBdr>
                <w:top w:val="none" w:sz="0" w:space="0" w:color="auto"/>
                <w:left w:val="none" w:sz="0" w:space="0" w:color="auto"/>
                <w:bottom w:val="none" w:sz="0" w:space="0" w:color="auto"/>
                <w:right w:val="none" w:sz="0" w:space="0" w:color="auto"/>
              </w:divBdr>
              <w:divsChild>
                <w:div w:id="1515000974">
                  <w:marLeft w:val="0"/>
                  <w:marRight w:val="0"/>
                  <w:marTop w:val="0"/>
                  <w:marBottom w:val="0"/>
                  <w:divBdr>
                    <w:top w:val="none" w:sz="0" w:space="0" w:color="auto"/>
                    <w:left w:val="none" w:sz="0" w:space="0" w:color="auto"/>
                    <w:bottom w:val="none" w:sz="0" w:space="0" w:color="auto"/>
                    <w:right w:val="none" w:sz="0" w:space="0" w:color="auto"/>
                  </w:divBdr>
                  <w:divsChild>
                    <w:div w:id="1886524526">
                      <w:marLeft w:val="0"/>
                      <w:marRight w:val="0"/>
                      <w:marTop w:val="0"/>
                      <w:marBottom w:val="0"/>
                      <w:divBdr>
                        <w:top w:val="none" w:sz="0" w:space="0" w:color="auto"/>
                        <w:left w:val="none" w:sz="0" w:space="0" w:color="auto"/>
                        <w:bottom w:val="none" w:sz="0" w:space="0" w:color="auto"/>
                        <w:right w:val="none" w:sz="0" w:space="0" w:color="auto"/>
                      </w:divBdr>
                      <w:divsChild>
                        <w:div w:id="1837377308">
                          <w:marLeft w:val="0"/>
                          <w:marRight w:val="0"/>
                          <w:marTop w:val="0"/>
                          <w:marBottom w:val="0"/>
                          <w:divBdr>
                            <w:top w:val="none" w:sz="0" w:space="0" w:color="auto"/>
                            <w:left w:val="none" w:sz="0" w:space="0" w:color="auto"/>
                            <w:bottom w:val="none" w:sz="0" w:space="0" w:color="auto"/>
                            <w:right w:val="none" w:sz="0" w:space="0" w:color="auto"/>
                          </w:divBdr>
                          <w:divsChild>
                            <w:div w:id="1104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04924">
      <w:bodyDiv w:val="1"/>
      <w:marLeft w:val="0"/>
      <w:marRight w:val="0"/>
      <w:marTop w:val="0"/>
      <w:marBottom w:val="0"/>
      <w:divBdr>
        <w:top w:val="none" w:sz="0" w:space="0" w:color="auto"/>
        <w:left w:val="none" w:sz="0" w:space="0" w:color="auto"/>
        <w:bottom w:val="none" w:sz="0" w:space="0" w:color="auto"/>
        <w:right w:val="none" w:sz="0" w:space="0" w:color="auto"/>
      </w:divBdr>
    </w:div>
    <w:div w:id="1634166294">
      <w:bodyDiv w:val="1"/>
      <w:marLeft w:val="0"/>
      <w:marRight w:val="0"/>
      <w:marTop w:val="0"/>
      <w:marBottom w:val="0"/>
      <w:divBdr>
        <w:top w:val="none" w:sz="0" w:space="0" w:color="auto"/>
        <w:left w:val="none" w:sz="0" w:space="0" w:color="auto"/>
        <w:bottom w:val="none" w:sz="0" w:space="0" w:color="auto"/>
        <w:right w:val="none" w:sz="0" w:space="0" w:color="auto"/>
      </w:divBdr>
      <w:divsChild>
        <w:div w:id="249895196">
          <w:marLeft w:val="0"/>
          <w:marRight w:val="0"/>
          <w:marTop w:val="0"/>
          <w:marBottom w:val="0"/>
          <w:divBdr>
            <w:top w:val="none" w:sz="0" w:space="0" w:color="auto"/>
            <w:left w:val="none" w:sz="0" w:space="0" w:color="auto"/>
            <w:bottom w:val="none" w:sz="0" w:space="0" w:color="auto"/>
            <w:right w:val="none" w:sz="0" w:space="0" w:color="auto"/>
          </w:divBdr>
          <w:divsChild>
            <w:div w:id="54815111">
              <w:marLeft w:val="0"/>
              <w:marRight w:val="0"/>
              <w:marTop w:val="0"/>
              <w:marBottom w:val="0"/>
              <w:divBdr>
                <w:top w:val="none" w:sz="0" w:space="0" w:color="auto"/>
                <w:left w:val="none" w:sz="0" w:space="0" w:color="auto"/>
                <w:bottom w:val="none" w:sz="0" w:space="0" w:color="auto"/>
                <w:right w:val="none" w:sz="0" w:space="0" w:color="auto"/>
              </w:divBdr>
              <w:divsChild>
                <w:div w:id="604196973">
                  <w:marLeft w:val="0"/>
                  <w:marRight w:val="0"/>
                  <w:marTop w:val="0"/>
                  <w:marBottom w:val="0"/>
                  <w:divBdr>
                    <w:top w:val="none" w:sz="0" w:space="0" w:color="auto"/>
                    <w:left w:val="none" w:sz="0" w:space="0" w:color="auto"/>
                    <w:bottom w:val="none" w:sz="0" w:space="0" w:color="auto"/>
                    <w:right w:val="none" w:sz="0" w:space="0" w:color="auto"/>
                  </w:divBdr>
                  <w:divsChild>
                    <w:div w:id="926766614">
                      <w:marLeft w:val="0"/>
                      <w:marRight w:val="0"/>
                      <w:marTop w:val="0"/>
                      <w:marBottom w:val="0"/>
                      <w:divBdr>
                        <w:top w:val="none" w:sz="0" w:space="0" w:color="auto"/>
                        <w:left w:val="none" w:sz="0" w:space="0" w:color="auto"/>
                        <w:bottom w:val="none" w:sz="0" w:space="0" w:color="auto"/>
                        <w:right w:val="none" w:sz="0" w:space="0" w:color="auto"/>
                      </w:divBdr>
                      <w:divsChild>
                        <w:div w:id="70273070">
                          <w:marLeft w:val="0"/>
                          <w:marRight w:val="0"/>
                          <w:marTop w:val="0"/>
                          <w:marBottom w:val="0"/>
                          <w:divBdr>
                            <w:top w:val="none" w:sz="0" w:space="0" w:color="auto"/>
                            <w:left w:val="none" w:sz="0" w:space="0" w:color="auto"/>
                            <w:bottom w:val="none" w:sz="0" w:space="0" w:color="auto"/>
                            <w:right w:val="none" w:sz="0" w:space="0" w:color="auto"/>
                          </w:divBdr>
                          <w:divsChild>
                            <w:div w:id="332267667">
                              <w:marLeft w:val="0"/>
                              <w:marRight w:val="0"/>
                              <w:marTop w:val="0"/>
                              <w:marBottom w:val="0"/>
                              <w:divBdr>
                                <w:top w:val="none" w:sz="0" w:space="0" w:color="auto"/>
                                <w:left w:val="none" w:sz="0" w:space="0" w:color="auto"/>
                                <w:bottom w:val="none" w:sz="0" w:space="0" w:color="auto"/>
                                <w:right w:val="none" w:sz="0" w:space="0" w:color="auto"/>
                              </w:divBdr>
                              <w:divsChild>
                                <w:div w:id="505561817">
                                  <w:marLeft w:val="0"/>
                                  <w:marRight w:val="0"/>
                                  <w:marTop w:val="0"/>
                                  <w:marBottom w:val="0"/>
                                  <w:divBdr>
                                    <w:top w:val="none" w:sz="0" w:space="0" w:color="auto"/>
                                    <w:left w:val="none" w:sz="0" w:space="0" w:color="auto"/>
                                    <w:bottom w:val="none" w:sz="0" w:space="0" w:color="auto"/>
                                    <w:right w:val="none" w:sz="0" w:space="0" w:color="auto"/>
                                  </w:divBdr>
                                  <w:divsChild>
                                    <w:div w:id="1201699289">
                                      <w:marLeft w:val="0"/>
                                      <w:marRight w:val="0"/>
                                      <w:marTop w:val="0"/>
                                      <w:marBottom w:val="0"/>
                                      <w:divBdr>
                                        <w:top w:val="none" w:sz="0" w:space="0" w:color="auto"/>
                                        <w:left w:val="none" w:sz="0" w:space="0" w:color="auto"/>
                                        <w:bottom w:val="none" w:sz="0" w:space="0" w:color="auto"/>
                                        <w:right w:val="none" w:sz="0" w:space="0" w:color="auto"/>
                                      </w:divBdr>
                                      <w:divsChild>
                                        <w:div w:id="1042173599">
                                          <w:marLeft w:val="0"/>
                                          <w:marRight w:val="0"/>
                                          <w:marTop w:val="0"/>
                                          <w:marBottom w:val="0"/>
                                          <w:divBdr>
                                            <w:top w:val="none" w:sz="0" w:space="0" w:color="auto"/>
                                            <w:left w:val="none" w:sz="0" w:space="0" w:color="auto"/>
                                            <w:bottom w:val="none" w:sz="0" w:space="0" w:color="auto"/>
                                            <w:right w:val="none" w:sz="0" w:space="0" w:color="auto"/>
                                          </w:divBdr>
                                          <w:divsChild>
                                            <w:div w:id="2049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543949">
      <w:bodyDiv w:val="1"/>
      <w:marLeft w:val="0"/>
      <w:marRight w:val="0"/>
      <w:marTop w:val="0"/>
      <w:marBottom w:val="0"/>
      <w:divBdr>
        <w:top w:val="none" w:sz="0" w:space="0" w:color="auto"/>
        <w:left w:val="none" w:sz="0" w:space="0" w:color="auto"/>
        <w:bottom w:val="none" w:sz="0" w:space="0" w:color="auto"/>
        <w:right w:val="none" w:sz="0" w:space="0" w:color="auto"/>
      </w:divBdr>
    </w:div>
    <w:div w:id="1808014224">
      <w:bodyDiv w:val="1"/>
      <w:marLeft w:val="0"/>
      <w:marRight w:val="0"/>
      <w:marTop w:val="0"/>
      <w:marBottom w:val="0"/>
      <w:divBdr>
        <w:top w:val="none" w:sz="0" w:space="0" w:color="auto"/>
        <w:left w:val="none" w:sz="0" w:space="0" w:color="auto"/>
        <w:bottom w:val="none" w:sz="0" w:space="0" w:color="auto"/>
        <w:right w:val="none" w:sz="0" w:space="0" w:color="auto"/>
      </w:divBdr>
      <w:divsChild>
        <w:div w:id="2109495228">
          <w:marLeft w:val="0"/>
          <w:marRight w:val="0"/>
          <w:marTop w:val="0"/>
          <w:marBottom w:val="0"/>
          <w:divBdr>
            <w:top w:val="none" w:sz="0" w:space="0" w:color="auto"/>
            <w:left w:val="none" w:sz="0" w:space="0" w:color="auto"/>
            <w:bottom w:val="none" w:sz="0" w:space="0" w:color="auto"/>
            <w:right w:val="none" w:sz="0" w:space="0" w:color="auto"/>
          </w:divBdr>
          <w:divsChild>
            <w:div w:id="1742176218">
              <w:marLeft w:val="0"/>
              <w:marRight w:val="0"/>
              <w:marTop w:val="0"/>
              <w:marBottom w:val="0"/>
              <w:divBdr>
                <w:top w:val="none" w:sz="0" w:space="0" w:color="auto"/>
                <w:left w:val="none" w:sz="0" w:space="0" w:color="auto"/>
                <w:bottom w:val="none" w:sz="0" w:space="0" w:color="auto"/>
                <w:right w:val="none" w:sz="0" w:space="0" w:color="auto"/>
              </w:divBdr>
              <w:divsChild>
                <w:div w:id="1561355817">
                  <w:marLeft w:val="0"/>
                  <w:marRight w:val="0"/>
                  <w:marTop w:val="0"/>
                  <w:marBottom w:val="0"/>
                  <w:divBdr>
                    <w:top w:val="none" w:sz="0" w:space="0" w:color="auto"/>
                    <w:left w:val="none" w:sz="0" w:space="0" w:color="auto"/>
                    <w:bottom w:val="none" w:sz="0" w:space="0" w:color="auto"/>
                    <w:right w:val="none" w:sz="0" w:space="0" w:color="auto"/>
                  </w:divBdr>
                  <w:divsChild>
                    <w:div w:id="1568876559">
                      <w:marLeft w:val="0"/>
                      <w:marRight w:val="0"/>
                      <w:marTop w:val="0"/>
                      <w:marBottom w:val="0"/>
                      <w:divBdr>
                        <w:top w:val="none" w:sz="0" w:space="0" w:color="auto"/>
                        <w:left w:val="none" w:sz="0" w:space="0" w:color="auto"/>
                        <w:bottom w:val="none" w:sz="0" w:space="0" w:color="auto"/>
                        <w:right w:val="none" w:sz="0" w:space="0" w:color="auto"/>
                      </w:divBdr>
                      <w:divsChild>
                        <w:div w:id="1657300731">
                          <w:marLeft w:val="0"/>
                          <w:marRight w:val="0"/>
                          <w:marTop w:val="0"/>
                          <w:marBottom w:val="0"/>
                          <w:divBdr>
                            <w:top w:val="none" w:sz="0" w:space="0" w:color="auto"/>
                            <w:left w:val="none" w:sz="0" w:space="0" w:color="auto"/>
                            <w:bottom w:val="none" w:sz="0" w:space="0" w:color="auto"/>
                            <w:right w:val="none" w:sz="0" w:space="0" w:color="auto"/>
                          </w:divBdr>
                          <w:divsChild>
                            <w:div w:id="1433353306">
                              <w:marLeft w:val="0"/>
                              <w:marRight w:val="0"/>
                              <w:marTop w:val="0"/>
                              <w:marBottom w:val="0"/>
                              <w:divBdr>
                                <w:top w:val="none" w:sz="0" w:space="0" w:color="auto"/>
                                <w:left w:val="none" w:sz="0" w:space="0" w:color="auto"/>
                                <w:bottom w:val="none" w:sz="0" w:space="0" w:color="auto"/>
                                <w:right w:val="none" w:sz="0" w:space="0" w:color="auto"/>
                              </w:divBdr>
                              <w:divsChild>
                                <w:div w:id="1453209803">
                                  <w:marLeft w:val="0"/>
                                  <w:marRight w:val="0"/>
                                  <w:marTop w:val="0"/>
                                  <w:marBottom w:val="0"/>
                                  <w:divBdr>
                                    <w:top w:val="none" w:sz="0" w:space="0" w:color="auto"/>
                                    <w:left w:val="none" w:sz="0" w:space="0" w:color="auto"/>
                                    <w:bottom w:val="none" w:sz="0" w:space="0" w:color="auto"/>
                                    <w:right w:val="none" w:sz="0" w:space="0" w:color="auto"/>
                                  </w:divBdr>
                                  <w:divsChild>
                                    <w:div w:id="114563189">
                                      <w:marLeft w:val="0"/>
                                      <w:marRight w:val="0"/>
                                      <w:marTop w:val="0"/>
                                      <w:marBottom w:val="0"/>
                                      <w:divBdr>
                                        <w:top w:val="none" w:sz="0" w:space="0" w:color="auto"/>
                                        <w:left w:val="none" w:sz="0" w:space="0" w:color="auto"/>
                                        <w:bottom w:val="none" w:sz="0" w:space="0" w:color="auto"/>
                                        <w:right w:val="none" w:sz="0" w:space="0" w:color="auto"/>
                                      </w:divBdr>
                                      <w:divsChild>
                                        <w:div w:id="1098062930">
                                          <w:marLeft w:val="0"/>
                                          <w:marRight w:val="0"/>
                                          <w:marTop w:val="0"/>
                                          <w:marBottom w:val="0"/>
                                          <w:divBdr>
                                            <w:top w:val="none" w:sz="0" w:space="0" w:color="auto"/>
                                            <w:left w:val="none" w:sz="0" w:space="0" w:color="auto"/>
                                            <w:bottom w:val="none" w:sz="0" w:space="0" w:color="auto"/>
                                            <w:right w:val="none" w:sz="0" w:space="0" w:color="auto"/>
                                          </w:divBdr>
                                          <w:divsChild>
                                            <w:div w:id="31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1167">
      <w:bodyDiv w:val="1"/>
      <w:marLeft w:val="0"/>
      <w:marRight w:val="0"/>
      <w:marTop w:val="0"/>
      <w:marBottom w:val="0"/>
      <w:divBdr>
        <w:top w:val="none" w:sz="0" w:space="0" w:color="auto"/>
        <w:left w:val="none" w:sz="0" w:space="0" w:color="auto"/>
        <w:bottom w:val="none" w:sz="0" w:space="0" w:color="auto"/>
        <w:right w:val="none" w:sz="0" w:space="0" w:color="auto"/>
      </w:divBdr>
    </w:div>
    <w:div w:id="1952780430">
      <w:bodyDiv w:val="1"/>
      <w:marLeft w:val="0"/>
      <w:marRight w:val="0"/>
      <w:marTop w:val="0"/>
      <w:marBottom w:val="0"/>
      <w:divBdr>
        <w:top w:val="none" w:sz="0" w:space="0" w:color="auto"/>
        <w:left w:val="none" w:sz="0" w:space="0" w:color="auto"/>
        <w:bottom w:val="none" w:sz="0" w:space="0" w:color="auto"/>
        <w:right w:val="none" w:sz="0" w:space="0" w:color="auto"/>
      </w:divBdr>
    </w:div>
    <w:div w:id="2110079329">
      <w:bodyDiv w:val="1"/>
      <w:marLeft w:val="0"/>
      <w:marRight w:val="0"/>
      <w:marTop w:val="0"/>
      <w:marBottom w:val="0"/>
      <w:divBdr>
        <w:top w:val="none" w:sz="0" w:space="0" w:color="auto"/>
        <w:left w:val="none" w:sz="0" w:space="0" w:color="auto"/>
        <w:bottom w:val="none" w:sz="0" w:space="0" w:color="auto"/>
        <w:right w:val="none" w:sz="0" w:space="0" w:color="auto"/>
      </w:divBdr>
    </w:div>
    <w:div w:id="2124768325">
      <w:bodyDiv w:val="1"/>
      <w:marLeft w:val="0"/>
      <w:marRight w:val="0"/>
      <w:marTop w:val="0"/>
      <w:marBottom w:val="0"/>
      <w:divBdr>
        <w:top w:val="none" w:sz="0" w:space="0" w:color="auto"/>
        <w:left w:val="none" w:sz="0" w:space="0" w:color="auto"/>
        <w:bottom w:val="none" w:sz="0" w:space="0" w:color="auto"/>
        <w:right w:val="none" w:sz="0" w:space="0" w:color="auto"/>
      </w:divBdr>
      <w:divsChild>
        <w:div w:id="743142888">
          <w:marLeft w:val="0"/>
          <w:marRight w:val="0"/>
          <w:marTop w:val="0"/>
          <w:marBottom w:val="0"/>
          <w:divBdr>
            <w:top w:val="none" w:sz="0" w:space="0" w:color="auto"/>
            <w:left w:val="none" w:sz="0" w:space="0" w:color="auto"/>
            <w:bottom w:val="none" w:sz="0" w:space="0" w:color="auto"/>
            <w:right w:val="none" w:sz="0" w:space="0" w:color="auto"/>
          </w:divBdr>
          <w:divsChild>
            <w:div w:id="2119255479">
              <w:marLeft w:val="0"/>
              <w:marRight w:val="0"/>
              <w:marTop w:val="0"/>
              <w:marBottom w:val="0"/>
              <w:divBdr>
                <w:top w:val="none" w:sz="0" w:space="0" w:color="auto"/>
                <w:left w:val="none" w:sz="0" w:space="0" w:color="auto"/>
                <w:bottom w:val="none" w:sz="0" w:space="0" w:color="auto"/>
                <w:right w:val="none" w:sz="0" w:space="0" w:color="auto"/>
              </w:divBdr>
              <w:divsChild>
                <w:div w:id="954024064">
                  <w:marLeft w:val="0"/>
                  <w:marRight w:val="0"/>
                  <w:marTop w:val="0"/>
                  <w:marBottom w:val="0"/>
                  <w:divBdr>
                    <w:top w:val="none" w:sz="0" w:space="0" w:color="auto"/>
                    <w:left w:val="none" w:sz="0" w:space="0" w:color="auto"/>
                    <w:bottom w:val="none" w:sz="0" w:space="0" w:color="auto"/>
                    <w:right w:val="none" w:sz="0" w:space="0" w:color="auto"/>
                  </w:divBdr>
                  <w:divsChild>
                    <w:div w:id="570192231">
                      <w:marLeft w:val="0"/>
                      <w:marRight w:val="0"/>
                      <w:marTop w:val="0"/>
                      <w:marBottom w:val="0"/>
                      <w:divBdr>
                        <w:top w:val="none" w:sz="0" w:space="0" w:color="auto"/>
                        <w:left w:val="none" w:sz="0" w:space="0" w:color="auto"/>
                        <w:bottom w:val="none" w:sz="0" w:space="0" w:color="auto"/>
                        <w:right w:val="none" w:sz="0" w:space="0" w:color="auto"/>
                      </w:divBdr>
                      <w:divsChild>
                        <w:div w:id="1341077489">
                          <w:marLeft w:val="0"/>
                          <w:marRight w:val="0"/>
                          <w:marTop w:val="0"/>
                          <w:marBottom w:val="0"/>
                          <w:divBdr>
                            <w:top w:val="none" w:sz="0" w:space="0" w:color="auto"/>
                            <w:left w:val="none" w:sz="0" w:space="0" w:color="auto"/>
                            <w:bottom w:val="none" w:sz="0" w:space="0" w:color="auto"/>
                            <w:right w:val="none" w:sz="0" w:space="0" w:color="auto"/>
                          </w:divBdr>
                          <w:divsChild>
                            <w:div w:id="435636698">
                              <w:marLeft w:val="0"/>
                              <w:marRight w:val="0"/>
                              <w:marTop w:val="0"/>
                              <w:marBottom w:val="0"/>
                              <w:divBdr>
                                <w:top w:val="none" w:sz="0" w:space="0" w:color="auto"/>
                                <w:left w:val="none" w:sz="0" w:space="0" w:color="auto"/>
                                <w:bottom w:val="none" w:sz="0" w:space="0" w:color="auto"/>
                                <w:right w:val="none" w:sz="0" w:space="0" w:color="auto"/>
                              </w:divBdr>
                              <w:divsChild>
                                <w:div w:id="313485900">
                                  <w:marLeft w:val="0"/>
                                  <w:marRight w:val="0"/>
                                  <w:marTop w:val="0"/>
                                  <w:marBottom w:val="0"/>
                                  <w:divBdr>
                                    <w:top w:val="none" w:sz="0" w:space="0" w:color="auto"/>
                                    <w:left w:val="none" w:sz="0" w:space="0" w:color="auto"/>
                                    <w:bottom w:val="none" w:sz="0" w:space="0" w:color="auto"/>
                                    <w:right w:val="none" w:sz="0" w:space="0" w:color="auto"/>
                                  </w:divBdr>
                                  <w:divsChild>
                                    <w:div w:id="1970161996">
                                      <w:marLeft w:val="0"/>
                                      <w:marRight w:val="0"/>
                                      <w:marTop w:val="0"/>
                                      <w:marBottom w:val="0"/>
                                      <w:divBdr>
                                        <w:top w:val="none" w:sz="0" w:space="0" w:color="auto"/>
                                        <w:left w:val="none" w:sz="0" w:space="0" w:color="auto"/>
                                        <w:bottom w:val="none" w:sz="0" w:space="0" w:color="auto"/>
                                        <w:right w:val="none" w:sz="0" w:space="0" w:color="auto"/>
                                      </w:divBdr>
                                      <w:divsChild>
                                        <w:div w:id="1051733996">
                                          <w:marLeft w:val="0"/>
                                          <w:marRight w:val="0"/>
                                          <w:marTop w:val="0"/>
                                          <w:marBottom w:val="0"/>
                                          <w:divBdr>
                                            <w:top w:val="none" w:sz="0" w:space="0" w:color="auto"/>
                                            <w:left w:val="none" w:sz="0" w:space="0" w:color="auto"/>
                                            <w:bottom w:val="none" w:sz="0" w:space="0" w:color="auto"/>
                                            <w:right w:val="none" w:sz="0" w:space="0" w:color="auto"/>
                                          </w:divBdr>
                                          <w:divsChild>
                                            <w:div w:id="14802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R20160000147681</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Fundraising</TermName>
          <TermId>57247f8c-7a2c-4c30-b3fe-5e4b2518355f</TermId>
        </TermInfo>
      </Terms>
    </o6f7b05c02124a86ab66ebac6d22533a>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SignificantFlag xmlns="da7a9ac0-bc47-4684-84e6-3a8e9ac80c12">false</SignificantFlag>
    <SenateOrder12 xmlns="da7a9ac0-bc47-4684-84e6-3a8e9ac80c12">false</SenateOrder12>
    <f81d19442bcb4ccea91b7b9f4cc7063b xmlns="da7a9ac0-bc47-4684-84e6-3a8e9ac80c12" xsi:nil="true"/>
    <ded95d7ab059406991d558011d18c177 xmlns="da7a9ac0-bc47-4684-84e6-3a8e9ac80c12" xsi:nil="true"/>
    <j13b61425a27404b97e911f7cc058c3a xmlns="da7a9ac0-bc47-4684-84e6-3a8e9ac80c12" xsi:nil="true"/>
    <Approvers xmlns="17f478ab-373e-4295-9ff0-9b833ad01319">
      <UserInfo>
        <DisplayName/>
        <AccountId xsi:nil="true"/>
        <AccountType/>
      </UserInfo>
    </Approvers>
    <k48e9257605e4fa884546a6d62c7455f xmlns="e9348453-31dc-4ff8-a944-f262a0a992aa">
      <Terms xmlns="http://schemas.microsoft.com/office/infopath/2007/PartnerControls"/>
    </k48e9257605e4fa884546a6d62c7455f>
    <Reviewers xmlns="17f478ab-373e-4295-9ff0-9b833ad01319">
      <UserInfo>
        <DisplayName/>
        <AccountId xsi:nil="true"/>
        <AccountType/>
      </UserInfo>
    </Reviewers>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External correspondence</TermName>
          <TermId>878eacb3-ddb1-4687-bac3-8e2925316baa</TermId>
        </TermInfo>
      </Terms>
    </be88c94b67ae4f5686cb52243c3cb97f>
    <TaxCatchAll xmlns="e9348453-31dc-4ff8-a944-f262a0a992aa">
      <Value>6</Value>
      <Value>44</Value>
      <Value>35</Value>
    </TaxCatchAll>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850D-1A2E-4E13-8DFC-BACE3CE8C0BE}"/>
</file>

<file path=customXml/itemProps2.xml><?xml version="1.0" encoding="utf-8"?>
<ds:datastoreItem xmlns:ds="http://schemas.openxmlformats.org/officeDocument/2006/customXml" ds:itemID="{C993CB85-C30F-4825-A211-BF2BFCE67F82}"/>
</file>

<file path=customXml/itemProps3.xml><?xml version="1.0" encoding="utf-8"?>
<ds:datastoreItem xmlns:ds="http://schemas.openxmlformats.org/officeDocument/2006/customXml" ds:itemID="{D3F5C434-3E01-4109-A6E3-F28AADCED6D6}"/>
</file>

<file path=customXml/itemProps4.xml><?xml version="1.0" encoding="utf-8"?>
<ds:datastoreItem xmlns:ds="http://schemas.openxmlformats.org/officeDocument/2006/customXml" ds:itemID="{A1772D1D-DA3B-46AC-9B13-098E3B56836B}"/>
</file>

<file path=customXml/itemProps5.xml><?xml version="1.0" encoding="utf-8"?>
<ds:datastoreItem xmlns:ds="http://schemas.openxmlformats.org/officeDocument/2006/customXml" ds:itemID="{994CA24E-C7FF-485E-AD90-0F4592356AEF}"/>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11</TotalTime>
  <Pages>6</Pages>
  <Words>1981</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5</cp:revision>
  <cp:lastPrinted>2015-03-12T07:57:00Z</cp:lastPrinted>
  <dcterms:created xsi:type="dcterms:W3CDTF">2016-03-09T13:08:00Z</dcterms:created>
  <dcterms:modified xsi:type="dcterms:W3CDTF">2016-03-10T02:02:00Z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C343848</vt:lpwstr>
  </property>
  <property fmtid="{D5CDD505-2E9C-101B-9397-08002B2CF9AE}" pid="4" name="Objective-Title">
    <vt:lpwstr>Explanatory Statement - ASIC Corporations (Substituted Supplementary Disclosure Documents) Instrument 2015</vt:lpwstr>
  </property>
  <property fmtid="{D5CDD505-2E9C-101B-9397-08002B2CF9AE}" pid="5" name="Objective-Comment">
    <vt:lpwstr>
    </vt:lpwstr>
  </property>
  <property fmtid="{D5CDD505-2E9C-101B-9397-08002B2CF9AE}" pid="6" name="Objective-CreationStamp">
    <vt:filetime>2015-05-07T21:30:49Z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2016-01-22T10:58:14Z</vt:filetime>
  </property>
  <property fmtid="{D5CDD505-2E9C-101B-9397-08002B2CF9AE}" pid="10" name="Objective-ModificationStamp">
    <vt:filetime>2016-01-22T10:40:53Z</vt:filetime>
  </property>
  <property fmtid="{D5CDD505-2E9C-101B-9397-08002B2CF9AE}" pid="11" name="Objective-Owner">
    <vt:lpwstr>Ben.Phillips</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0x010100B5F685A1365F544391EF8C813B164F3A4500EE62F54289E0A64A971A02886F5F2428</vt:lpwstr>
  </property>
  <property fmtid="{D5CDD505-2E9C-101B-9397-08002B2CF9AE}" pid="23" name="Corps_x0020_and_x0020_EMR_x0020_Project_x0020_Category">
    <vt:lpwstr/>
  </property>
  <property fmtid="{D5CDD505-2E9C-101B-9397-08002B2CF9AE}" pid="24" name="Coprs_x0020_and_x0020_EMR_x0020_Project_x0020_Document_x0020_Type">
    <vt:lpwstr>44;#External correspondence|878eacb3-ddb1-4687-bac3-8e2925316baa</vt:lpwstr>
  </property>
  <property fmtid="{D5CDD505-2E9C-101B-9397-08002B2CF9AE}" pid="25" name="SecurityClassification">
    <vt:lpwstr>6;#Sensitive|19fd2cb8-3e97-4464-ae71-8c2c2095d028</vt:lpwstr>
  </property>
  <property fmtid="{D5CDD505-2E9C-101B-9397-08002B2CF9AE}" pid="26" name="Project_x0020_Subject_x0020_Matter">
    <vt:lpwstr>35;#Fundraising|57247f8c-7a2c-4c30-b3fe-5e4b2518355f</vt:lpwstr>
  </property>
  <property fmtid="{D5CDD505-2E9C-101B-9397-08002B2CF9AE}" pid="27" name="Coprs and EMR Project Document Type">
    <vt:lpwstr>44;#External correspondence|878eacb3-ddb1-4687-bac3-8e2925316baa</vt:lpwstr>
  </property>
  <property fmtid="{D5CDD505-2E9C-101B-9397-08002B2CF9AE}" pid="28" name="Corps and EMR Project Category">
    <vt:lpwstr/>
  </property>
  <property fmtid="{D5CDD505-2E9C-101B-9397-08002B2CF9AE}" pid="29" name="Project Subject Matter">
    <vt:lpwstr>35;#Fundraising|57247f8c-7a2c-4c30-b3fe-5e4b2518355f</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{1412f50d-4aed-4e8f-8d11-4e1956ce97b9}</vt:lpwstr>
  </property>
  <property fmtid="{D5CDD505-2E9C-101B-9397-08002B2CF9AE}" pid="35" name="RecordPoint_RecordNumberSubmitted">
    <vt:lpwstr>R20160000147681</vt:lpwstr>
  </property>
  <property fmtid="{D5CDD505-2E9C-101B-9397-08002B2CF9AE}" pid="36" name="IconOverlay">
    <vt:lpwstr/>
  </property>
  <property fmtid="{D5CDD505-2E9C-101B-9397-08002B2CF9AE}" pid="37" name="RecordPoint_SubmissionCompleted">
    <vt:lpwstr>2016-03-10T10:13:01.0432370+11:00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