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66645" w14:textId="77777777" w:rsidR="00AC02C2" w:rsidRDefault="00AC02C2" w:rsidP="00D578FE">
      <w:pPr>
        <w:pStyle w:val="Title"/>
        <w:spacing w:after="0"/>
        <w:ind w:left="0" w:firstLine="0"/>
        <w:jc w:val="left"/>
      </w:pPr>
      <w:bookmarkStart w:id="0" w:name="_GoBack"/>
      <w:bookmarkEnd w:id="0"/>
    </w:p>
    <w:p w14:paraId="28AE40DB" w14:textId="77777777" w:rsidR="00D578FE" w:rsidRDefault="005B0E3A" w:rsidP="00D578FE">
      <w:pPr>
        <w:spacing w:after="0"/>
        <w:jc w:val="center"/>
        <w:rPr>
          <w:b/>
          <w:color w:val="000000"/>
          <w:spacing w:val="-1"/>
          <w:sz w:val="28"/>
        </w:rPr>
      </w:pPr>
      <w:r>
        <w:rPr>
          <w:b/>
          <w:color w:val="000000"/>
          <w:sz w:val="28"/>
        </w:rPr>
        <w:t>EXPLANATORY</w:t>
      </w:r>
      <w:r>
        <w:rPr>
          <w:b/>
          <w:color w:val="000000"/>
          <w:spacing w:val="-39"/>
          <w:sz w:val="28"/>
        </w:rPr>
        <w:t xml:space="preserve"> </w:t>
      </w:r>
      <w:r w:rsidR="007C7771">
        <w:rPr>
          <w:b/>
          <w:color w:val="000000"/>
          <w:spacing w:val="-1"/>
          <w:sz w:val="28"/>
        </w:rPr>
        <w:t xml:space="preserve">STATEMENT for </w:t>
      </w:r>
    </w:p>
    <w:p w14:paraId="3FFAD897" w14:textId="77777777" w:rsidR="00D578FE" w:rsidRDefault="007C7771" w:rsidP="00D578FE">
      <w:pPr>
        <w:spacing w:after="0"/>
        <w:jc w:val="center"/>
        <w:rPr>
          <w:b/>
          <w:color w:val="000000"/>
          <w:spacing w:val="-1"/>
          <w:sz w:val="28"/>
        </w:rPr>
      </w:pPr>
      <w:r>
        <w:rPr>
          <w:b/>
          <w:color w:val="000000"/>
          <w:spacing w:val="-1"/>
          <w:sz w:val="28"/>
        </w:rPr>
        <w:br/>
      </w:r>
      <w:r w:rsidR="00D578FE">
        <w:rPr>
          <w:b/>
          <w:color w:val="000000"/>
          <w:spacing w:val="-1"/>
          <w:sz w:val="28"/>
        </w:rPr>
        <w:t xml:space="preserve">ASIC CORPORATIONS (OPTIONS—BONUS ISSUES) </w:t>
      </w:r>
    </w:p>
    <w:p w14:paraId="1553FA31" w14:textId="77777777" w:rsidR="005B0E3A" w:rsidRDefault="00D578FE" w:rsidP="00D578FE">
      <w:pPr>
        <w:spacing w:after="0"/>
        <w:jc w:val="center"/>
        <w:rPr>
          <w:b/>
          <w:color w:val="000000"/>
          <w:spacing w:val="-1"/>
          <w:sz w:val="28"/>
        </w:rPr>
      </w:pPr>
      <w:r>
        <w:rPr>
          <w:b/>
          <w:color w:val="000000"/>
          <w:spacing w:val="-1"/>
          <w:sz w:val="28"/>
        </w:rPr>
        <w:t>INSTRUMENT 2016/77</w:t>
      </w:r>
    </w:p>
    <w:p w14:paraId="51B1DB67" w14:textId="77777777" w:rsidR="00D578FE" w:rsidRDefault="00D578FE" w:rsidP="00D578FE">
      <w:pPr>
        <w:spacing w:after="0"/>
        <w:jc w:val="center"/>
        <w:rPr>
          <w:sz w:val="28"/>
          <w:szCs w:val="28"/>
        </w:rPr>
      </w:pPr>
    </w:p>
    <w:p w14:paraId="2F3AE1B3" w14:textId="77777777" w:rsidR="005B0E3A" w:rsidRDefault="005B0E3A" w:rsidP="00D578FE">
      <w:pPr>
        <w:pStyle w:val="BodyText"/>
        <w:spacing w:before="0" w:line="240" w:lineRule="auto"/>
        <w:jc w:val="center"/>
      </w:pPr>
      <w:r>
        <w:t>Prepared by the Australian Securities and Investments Commission</w:t>
      </w:r>
    </w:p>
    <w:p w14:paraId="00F15D5C" w14:textId="77777777" w:rsidR="005B0E3A" w:rsidRDefault="005B0E3A" w:rsidP="00D578FE">
      <w:pPr>
        <w:spacing w:after="0"/>
        <w:jc w:val="center"/>
      </w:pPr>
    </w:p>
    <w:p w14:paraId="469730EB" w14:textId="77777777" w:rsidR="005B0E3A" w:rsidRDefault="005B0E3A" w:rsidP="00D578FE">
      <w:pPr>
        <w:spacing w:after="0"/>
        <w:jc w:val="center"/>
        <w:rPr>
          <w:sz w:val="24"/>
          <w:szCs w:val="24"/>
        </w:rPr>
      </w:pPr>
      <w:r>
        <w:rPr>
          <w:i/>
          <w:sz w:val="24"/>
        </w:rPr>
        <w:t>Corporations Act 2001</w:t>
      </w:r>
    </w:p>
    <w:p w14:paraId="313C7E71" w14:textId="77777777" w:rsidR="005B0E3A" w:rsidRDefault="005B0E3A" w:rsidP="00D578FE">
      <w:pPr>
        <w:spacing w:after="0"/>
      </w:pPr>
    </w:p>
    <w:p w14:paraId="78CB7689" w14:textId="3CF5C537" w:rsidR="00336B33" w:rsidRDefault="005B0E3A" w:rsidP="00D578FE">
      <w:pPr>
        <w:pStyle w:val="BodyText"/>
        <w:spacing w:before="0" w:line="240" w:lineRule="auto"/>
        <w:rPr>
          <w:spacing w:val="-1"/>
        </w:rPr>
      </w:pPr>
      <w:r>
        <w:t xml:space="preserve">The Australian Securities and </w:t>
      </w:r>
      <w:r>
        <w:rPr>
          <w:spacing w:val="-1"/>
        </w:rPr>
        <w:t>Investments</w:t>
      </w:r>
      <w:r>
        <w:t xml:space="preserve"> </w:t>
      </w:r>
      <w:r>
        <w:rPr>
          <w:spacing w:val="-1"/>
        </w:rPr>
        <w:t>Commission</w:t>
      </w:r>
      <w:r>
        <w:t xml:space="preserve"> (</w:t>
      </w:r>
      <w:r w:rsidRPr="006F2A71">
        <w:rPr>
          <w:b/>
          <w:i/>
        </w:rPr>
        <w:t>ASIC</w:t>
      </w:r>
      <w:r>
        <w:t xml:space="preserve">) </w:t>
      </w:r>
      <w:r w:rsidRPr="00132134">
        <w:rPr>
          <w:spacing w:val="-1"/>
        </w:rPr>
        <w:t>makes</w:t>
      </w:r>
      <w:r w:rsidRPr="00132134">
        <w:t xml:space="preserve"> </w:t>
      </w:r>
      <w:r w:rsidR="007C7771" w:rsidRPr="00132134">
        <w:t>ASI</w:t>
      </w:r>
      <w:r w:rsidR="004F4BE6">
        <w:t>C Corporations (</w:t>
      </w:r>
      <w:r w:rsidR="007C7771" w:rsidRPr="00132134">
        <w:t>Options—</w:t>
      </w:r>
      <w:r w:rsidR="004F4BE6">
        <w:t>Bonus Issues</w:t>
      </w:r>
      <w:r w:rsidR="00D578FE">
        <w:t>) Instrument 2016/77</w:t>
      </w:r>
      <w:r w:rsidRPr="00132134">
        <w:rPr>
          <w:spacing w:val="-1"/>
        </w:rPr>
        <w:t xml:space="preserve"> under </w:t>
      </w:r>
      <w:r w:rsidRPr="00132134">
        <w:t>s</w:t>
      </w:r>
      <w:r w:rsidR="007C7771" w:rsidRPr="00132134">
        <w:t>ection 741</w:t>
      </w:r>
      <w:r w:rsidR="00132134">
        <w:t xml:space="preserve"> of the</w:t>
      </w:r>
      <w:r w:rsidR="00132134" w:rsidRPr="00DB10A5">
        <w:rPr>
          <w:i/>
        </w:rPr>
        <w:t xml:space="preserve"> </w:t>
      </w:r>
      <w:r w:rsidR="00DB10A5" w:rsidRPr="00DB10A5">
        <w:rPr>
          <w:i/>
        </w:rPr>
        <w:t xml:space="preserve">Corporations </w:t>
      </w:r>
      <w:r w:rsidR="00132134" w:rsidRPr="00DB10A5">
        <w:rPr>
          <w:i/>
        </w:rPr>
        <w:t>Act</w:t>
      </w:r>
      <w:r w:rsidR="00DB10A5" w:rsidRPr="00DB10A5">
        <w:rPr>
          <w:i/>
        </w:rPr>
        <w:t xml:space="preserve"> 2001</w:t>
      </w:r>
      <w:r w:rsidR="00DB10A5">
        <w:t>(</w:t>
      </w:r>
      <w:r w:rsidR="006F2A71">
        <w:t xml:space="preserve">the </w:t>
      </w:r>
      <w:r w:rsidR="00DB10A5" w:rsidRPr="006F2A71">
        <w:rPr>
          <w:b/>
          <w:i/>
        </w:rPr>
        <w:t>Act</w:t>
      </w:r>
      <w:r w:rsidR="00DB10A5">
        <w:t>)</w:t>
      </w:r>
      <w:r w:rsidRPr="00132134">
        <w:rPr>
          <w:spacing w:val="-1"/>
        </w:rPr>
        <w:t xml:space="preserve">. </w:t>
      </w:r>
    </w:p>
    <w:p w14:paraId="308F5C88" w14:textId="77777777" w:rsidR="00D578FE" w:rsidRDefault="00D578FE" w:rsidP="00D578FE">
      <w:pPr>
        <w:pStyle w:val="BodyText"/>
        <w:spacing w:before="0" w:line="240" w:lineRule="auto"/>
        <w:rPr>
          <w:spacing w:val="-1"/>
        </w:rPr>
      </w:pPr>
    </w:p>
    <w:p w14:paraId="06DDA381" w14:textId="7DCBEA30" w:rsidR="005B2902" w:rsidRDefault="00014A91" w:rsidP="00D578FE">
      <w:pPr>
        <w:pStyle w:val="BodyText"/>
        <w:spacing w:before="0" w:line="240" w:lineRule="auto"/>
        <w:rPr>
          <w:spacing w:val="-1"/>
        </w:rPr>
      </w:pPr>
      <w:r>
        <w:rPr>
          <w:spacing w:val="-1"/>
        </w:rPr>
        <w:t>Paragraph 741(1)(a) of the Act provides that ASIC may exempt a person from all or specified provisions of Chapter 6D of the Act.</w:t>
      </w:r>
      <w:r w:rsidR="00D7088C">
        <w:rPr>
          <w:spacing w:val="-1"/>
        </w:rPr>
        <w:t xml:space="preserve"> </w:t>
      </w:r>
    </w:p>
    <w:p w14:paraId="7FD63405" w14:textId="77777777" w:rsidR="00D578FE" w:rsidRPr="008769A4" w:rsidRDefault="00D578FE" w:rsidP="00D578FE">
      <w:pPr>
        <w:pStyle w:val="BodyText"/>
        <w:spacing w:before="0" w:line="240" w:lineRule="auto"/>
        <w:rPr>
          <w:spacing w:val="-1"/>
        </w:rPr>
      </w:pPr>
    </w:p>
    <w:p w14:paraId="5796B1CE" w14:textId="77777777" w:rsidR="005B0E3A" w:rsidRPr="00A807A7" w:rsidRDefault="005B0E3A" w:rsidP="00D578FE">
      <w:pPr>
        <w:widowControl w:val="0"/>
        <w:numPr>
          <w:ilvl w:val="0"/>
          <w:numId w:val="7"/>
        </w:numPr>
        <w:tabs>
          <w:tab w:val="left" w:pos="567"/>
        </w:tabs>
        <w:spacing w:after="0"/>
        <w:ind w:left="0" w:firstLine="0"/>
        <w:rPr>
          <w:rFonts w:ascii="Arial" w:eastAsia="Arial" w:hAnsi="Arial" w:cs="Arial"/>
          <w:sz w:val="24"/>
          <w:szCs w:val="24"/>
        </w:rPr>
      </w:pPr>
      <w:bookmarkStart w:id="1" w:name="1._Background"/>
      <w:bookmarkEnd w:id="1"/>
      <w:r w:rsidRPr="00A807A7">
        <w:rPr>
          <w:rFonts w:ascii="Arial" w:hAnsi="Arial" w:cs="Arial"/>
          <w:b/>
          <w:spacing w:val="-1"/>
          <w:sz w:val="24"/>
        </w:rPr>
        <w:t>Background</w:t>
      </w:r>
    </w:p>
    <w:p w14:paraId="4B300DC4" w14:textId="77777777" w:rsidR="00D578FE" w:rsidRPr="00113ABC" w:rsidRDefault="00D578FE" w:rsidP="00D578FE">
      <w:pPr>
        <w:widowControl w:val="0"/>
        <w:tabs>
          <w:tab w:val="left" w:pos="567"/>
        </w:tabs>
        <w:spacing w:after="0"/>
        <w:rPr>
          <w:rFonts w:eastAsia="Arial"/>
          <w:sz w:val="24"/>
          <w:szCs w:val="24"/>
        </w:rPr>
      </w:pPr>
    </w:p>
    <w:p w14:paraId="0D8D018E" w14:textId="77777777" w:rsidR="008C0CF9" w:rsidRDefault="008C0CF9" w:rsidP="00D578FE">
      <w:pPr>
        <w:pStyle w:val="BodyText"/>
        <w:spacing w:before="0" w:line="240" w:lineRule="auto"/>
      </w:pPr>
      <w:r w:rsidRPr="008C0CF9">
        <w:t>Chapter 6D of the Act establishes the statutory regime applying to fundraising through the offer of securities for issue or sale in Australia. It addresses the circumstances in which a person offering securities for issue or sale must lodge a disclosure document with ASIC and the relevant form, content and procedural requirements applying to those disclosure documents. Chapter 6D also sets out certain prohibited conduct in relation to fundraising activity and outlines the circumstances in and extent to which persons may be liable for defective disclosure documents. Chapter 6D also provides certain statutory remedies for investors.</w:t>
      </w:r>
    </w:p>
    <w:p w14:paraId="758166E5" w14:textId="77777777" w:rsidR="00D578FE" w:rsidRDefault="00D578FE" w:rsidP="00D578FE">
      <w:pPr>
        <w:pStyle w:val="BodyText"/>
        <w:spacing w:before="0" w:line="240" w:lineRule="auto"/>
      </w:pPr>
    </w:p>
    <w:p w14:paraId="005555E2" w14:textId="1E3B724F" w:rsidR="001A655D" w:rsidRDefault="001C419F" w:rsidP="00D578FE">
      <w:pPr>
        <w:pStyle w:val="BodyText"/>
        <w:spacing w:before="0" w:line="240" w:lineRule="auto"/>
      </w:pPr>
      <w:r>
        <w:t xml:space="preserve">The statutory regime applying to fundraising through the offer of securities for issue or sale was substantially </w:t>
      </w:r>
      <w:r w:rsidR="00357EE0">
        <w:t>rewritten</w:t>
      </w:r>
      <w:r w:rsidR="009053AD">
        <w:t xml:space="preserve"> in March 2000</w:t>
      </w:r>
      <w:r>
        <w:t xml:space="preserve"> by the </w:t>
      </w:r>
      <w:r w:rsidRPr="003C3285">
        <w:rPr>
          <w:i/>
        </w:rPr>
        <w:t>Corporate Law Economic Reform Program Act 199</w:t>
      </w:r>
      <w:r w:rsidRPr="009053AD">
        <w:rPr>
          <w:i/>
        </w:rPr>
        <w:t>9</w:t>
      </w:r>
      <w:r>
        <w:t xml:space="preserve"> (the </w:t>
      </w:r>
      <w:r w:rsidRPr="003C3285">
        <w:rPr>
          <w:b/>
          <w:i/>
        </w:rPr>
        <w:t>CLERP Act</w:t>
      </w:r>
      <w:r>
        <w:t>)</w:t>
      </w:r>
      <w:r w:rsidR="00357EE0">
        <w:t>.</w:t>
      </w:r>
      <w:r w:rsidR="009053AD">
        <w:t xml:space="preserve"> T</w:t>
      </w:r>
      <w:r w:rsidR="00357EE0">
        <w:t>he CLERP Act</w:t>
      </w:r>
      <w:r w:rsidR="003F5FF5">
        <w:t xml:space="preserve"> amended the </w:t>
      </w:r>
      <w:r w:rsidR="003F5FF5" w:rsidRPr="003F5FF5">
        <w:rPr>
          <w:i/>
        </w:rPr>
        <w:t>Corporations Law</w:t>
      </w:r>
      <w:r w:rsidR="009053AD">
        <w:rPr>
          <w:i/>
        </w:rPr>
        <w:t xml:space="preserve"> (</w:t>
      </w:r>
      <w:r w:rsidR="009053AD">
        <w:t xml:space="preserve">the </w:t>
      </w:r>
      <w:r w:rsidR="009053AD" w:rsidRPr="009053AD">
        <w:rPr>
          <w:b/>
          <w:i/>
        </w:rPr>
        <w:t>Law</w:t>
      </w:r>
      <w:r w:rsidR="009053AD">
        <w:rPr>
          <w:i/>
        </w:rPr>
        <w:t>)</w:t>
      </w:r>
      <w:r w:rsidR="00357EE0">
        <w:t xml:space="preserve"> </w:t>
      </w:r>
      <w:r w:rsidR="009053AD">
        <w:t>by repealing</w:t>
      </w:r>
      <w:r w:rsidR="00357EE0">
        <w:t xml:space="preserve"> Part 7.12</w:t>
      </w:r>
      <w:r w:rsidR="003F5FF5">
        <w:t>—which previously contained the fundraising provisions— and</w:t>
      </w:r>
      <w:r w:rsidR="003C3285">
        <w:t xml:space="preserve"> </w:t>
      </w:r>
      <w:r w:rsidR="009053AD">
        <w:t>inserting</w:t>
      </w:r>
      <w:r w:rsidR="003F5FF5">
        <w:t xml:space="preserve"> </w:t>
      </w:r>
      <w:r w:rsidR="009053AD">
        <w:t xml:space="preserve"> the new </w:t>
      </w:r>
      <w:r w:rsidR="003F5FF5">
        <w:t>Chapter 6D</w:t>
      </w:r>
      <w:r w:rsidR="009053AD">
        <w:t>.</w:t>
      </w:r>
      <w:r w:rsidR="003F5FF5">
        <w:t xml:space="preserve"> </w:t>
      </w:r>
      <w:r w:rsidR="009E534D">
        <w:t>Chapter 6D of the Law was retained</w:t>
      </w:r>
      <w:r w:rsidR="00C327A7">
        <w:t xml:space="preserve"> in substantially the same form</w:t>
      </w:r>
      <w:r w:rsidR="009E534D">
        <w:t xml:space="preserve"> with the </w:t>
      </w:r>
      <w:r w:rsidR="00410C28">
        <w:t>enactment</w:t>
      </w:r>
      <w:r w:rsidR="009E534D">
        <w:t xml:space="preserve"> of the Act in 2001.</w:t>
      </w:r>
    </w:p>
    <w:p w14:paraId="64CC67C9" w14:textId="77777777" w:rsidR="00D578FE" w:rsidRDefault="00D578FE" w:rsidP="00D578FE">
      <w:pPr>
        <w:pStyle w:val="BodyText"/>
        <w:spacing w:before="0" w:line="240" w:lineRule="auto"/>
      </w:pPr>
    </w:p>
    <w:p w14:paraId="10B67C11" w14:textId="77777777" w:rsidR="00357EE0" w:rsidRDefault="00D578FE" w:rsidP="00D578FE">
      <w:pPr>
        <w:pStyle w:val="BodyText"/>
        <w:spacing w:before="0" w:line="240" w:lineRule="auto"/>
      </w:pPr>
      <w:r w:rsidRPr="00D578FE">
        <w:t>Since the implementation of the CLERP Act, ASIC has made a number of exemptions from, and modifications to, the fundraising provisions in Chapter 6D with a view to addressing certain technical issues and anomalies in relation to their operation</w:t>
      </w:r>
      <w:r>
        <w:t xml:space="preserve">. </w:t>
      </w:r>
      <w:r w:rsidR="00410C28">
        <w:t>One of these</w:t>
      </w:r>
      <w:r w:rsidR="00C327A7">
        <w:t xml:space="preserve"> class orders</w:t>
      </w:r>
      <w:r w:rsidR="00410C28">
        <w:t xml:space="preserve"> </w:t>
      </w:r>
      <w:r w:rsidR="005A1995">
        <w:t>was</w:t>
      </w:r>
      <w:r w:rsidR="00410C28">
        <w:t xml:space="preserve"> Class Order [CO 00/1092] </w:t>
      </w:r>
      <w:r w:rsidR="00410C28" w:rsidRPr="00410C28">
        <w:rPr>
          <w:i/>
        </w:rPr>
        <w:t>Application form relief for bonus issues of options.</w:t>
      </w:r>
      <w:r w:rsidR="00410C28">
        <w:t xml:space="preserve"> </w:t>
      </w:r>
    </w:p>
    <w:p w14:paraId="43C24535" w14:textId="77777777" w:rsidR="00D578FE" w:rsidRDefault="00D578FE" w:rsidP="00D578FE">
      <w:pPr>
        <w:pStyle w:val="BodyText"/>
        <w:spacing w:before="0" w:line="240" w:lineRule="auto"/>
      </w:pPr>
    </w:p>
    <w:p w14:paraId="0EE5E277" w14:textId="425C5F1D" w:rsidR="00C327A7" w:rsidRDefault="00C327A7" w:rsidP="00D578FE">
      <w:pPr>
        <w:pStyle w:val="BodyText"/>
        <w:spacing w:before="0" w:line="240" w:lineRule="auto"/>
      </w:pPr>
      <w:r>
        <w:t>ASIC has recently reviewed the policy underlying Class Order [CO 00/1092] as part of wider review of class orders relating</w:t>
      </w:r>
      <w:r w:rsidR="00B751A7">
        <w:t xml:space="preserve"> to</w:t>
      </w:r>
      <w:r>
        <w:t xml:space="preserve"> the fundraising provisions in Chapter 6D and considers that the relief in the class order is still both necessary and appropriate. </w:t>
      </w:r>
      <w:r w:rsidR="005A1995">
        <w:t xml:space="preserve">Accordingly, </w:t>
      </w:r>
      <w:r>
        <w:t>ASIC has decided to reissue the relief underlying Class Order [CO</w:t>
      </w:r>
      <w:r w:rsidR="00776DAC">
        <w:t> </w:t>
      </w:r>
      <w:r>
        <w:t xml:space="preserve">00/1092] in </w:t>
      </w:r>
      <w:r w:rsidRPr="00CA3F87">
        <w:t>AS</w:t>
      </w:r>
      <w:r w:rsidR="004F4BE6" w:rsidRPr="00CA3F87">
        <w:t>IC Corporations (Options—Bonus Issues</w:t>
      </w:r>
      <w:r w:rsidR="008C0CF9" w:rsidRPr="00CA3F87">
        <w:t>) Instrument 2016</w:t>
      </w:r>
      <w:r w:rsidR="00D578FE" w:rsidRPr="00CA3F87">
        <w:t>/77</w:t>
      </w:r>
      <w:r>
        <w:t>.</w:t>
      </w:r>
    </w:p>
    <w:p w14:paraId="242DAB66" w14:textId="77777777" w:rsidR="00D578FE" w:rsidRDefault="00D578FE" w:rsidP="00D578FE">
      <w:pPr>
        <w:pStyle w:val="BodyText"/>
        <w:spacing w:before="0" w:line="240" w:lineRule="auto"/>
      </w:pPr>
    </w:p>
    <w:p w14:paraId="07153C6E" w14:textId="77777777" w:rsidR="00D578FE" w:rsidRPr="00D578FE" w:rsidRDefault="00D578FE" w:rsidP="00D578FE">
      <w:pPr>
        <w:pStyle w:val="BodyText"/>
        <w:spacing w:before="0" w:line="240" w:lineRule="auto"/>
      </w:pPr>
      <w:r w:rsidRPr="00D578FE">
        <w:t xml:space="preserve">The </w:t>
      </w:r>
      <w:r w:rsidRPr="00D578FE">
        <w:rPr>
          <w:i/>
        </w:rPr>
        <w:t>Legislation Act 2003</w:t>
      </w:r>
      <w:r w:rsidRPr="00D578FE">
        <w:t xml:space="preserve"> (the </w:t>
      </w:r>
      <w:r w:rsidRPr="00D578FE">
        <w:rPr>
          <w:b/>
          <w:i/>
        </w:rPr>
        <w:t>LA</w:t>
      </w:r>
      <w:r w:rsidRPr="00D578FE">
        <w:t xml:space="preserve">) provides for the periodic expiry of legislative instruments (‘sunsetting’) to ensure that they are kept up to date and only remain in </w:t>
      </w:r>
      <w:r w:rsidRPr="00D578FE">
        <w:lastRenderedPageBreak/>
        <w:t xml:space="preserve">force for as long as they are needed. </w:t>
      </w:r>
      <w:r w:rsidR="00C327A7">
        <w:t>Class Order [CO 00/1092]</w:t>
      </w:r>
      <w:r w:rsidR="003834FF">
        <w:t xml:space="preserve">, being a legislative instrument, </w:t>
      </w:r>
      <w:r w:rsidRPr="00D578FE">
        <w:t xml:space="preserve">was scheduled to eventually expire under the sunsetting provisions of the LA. </w:t>
      </w:r>
    </w:p>
    <w:p w14:paraId="54BBE94E" w14:textId="77777777" w:rsidR="00D578FE" w:rsidRDefault="00D578FE" w:rsidP="00D578FE">
      <w:pPr>
        <w:pStyle w:val="BodyText"/>
        <w:spacing w:before="0" w:line="240" w:lineRule="auto"/>
      </w:pPr>
    </w:p>
    <w:p w14:paraId="47F228A8" w14:textId="77777777" w:rsidR="00561B55" w:rsidRDefault="00AF4D3E" w:rsidP="00D578FE">
      <w:pPr>
        <w:pStyle w:val="BodyText"/>
        <w:spacing w:before="0" w:line="240" w:lineRule="auto"/>
      </w:pPr>
      <w:r>
        <w:t>ASIC</w:t>
      </w:r>
      <w:r w:rsidR="00D578FE">
        <w:t>’</w:t>
      </w:r>
      <w:r>
        <w:t xml:space="preserve">s review of the </w:t>
      </w:r>
      <w:r w:rsidR="00944D46">
        <w:t>policy</w:t>
      </w:r>
      <w:r>
        <w:t xml:space="preserve"> underlying Class Order [CO 00/1092]—and sub</w:t>
      </w:r>
      <w:r w:rsidR="00944D46">
        <w:t>sequent decision to reissue the</w:t>
      </w:r>
      <w:r>
        <w:t xml:space="preserve"> relief—has provided an opportunity to deal with this imminent expir</w:t>
      </w:r>
      <w:r w:rsidR="00561B55">
        <w:t xml:space="preserve">y and ensure that the relevant relief will continue to be available. </w:t>
      </w:r>
    </w:p>
    <w:p w14:paraId="300E8E46" w14:textId="77777777" w:rsidR="00D578FE" w:rsidRDefault="00D578FE" w:rsidP="00D578FE">
      <w:pPr>
        <w:pStyle w:val="BodyText"/>
        <w:spacing w:before="0" w:line="240" w:lineRule="auto"/>
      </w:pPr>
    </w:p>
    <w:p w14:paraId="3974D3B8" w14:textId="77777777" w:rsidR="00561B55" w:rsidRDefault="00D578FE" w:rsidP="00D578FE">
      <w:pPr>
        <w:pStyle w:val="BodyText"/>
        <w:spacing w:before="0" w:line="240" w:lineRule="auto"/>
      </w:pPr>
      <w:r w:rsidRPr="00D578FE">
        <w:t xml:space="preserve">Under ASIC Corporations (Repeal) Instrument 2016/171, </w:t>
      </w:r>
      <w:r w:rsidR="00561B55">
        <w:t>ASIC</w:t>
      </w:r>
      <w:r w:rsidR="006227AB">
        <w:t xml:space="preserve"> has</w:t>
      </w:r>
      <w:r>
        <w:t xml:space="preserve"> revoked Class Order [CO </w:t>
      </w:r>
      <w:r w:rsidR="00561B55">
        <w:t xml:space="preserve">00/1092] effective from the date that </w:t>
      </w:r>
      <w:r w:rsidR="00566D3A">
        <w:t>ASI</w:t>
      </w:r>
      <w:r w:rsidR="004F4BE6">
        <w:t>C Corporations (</w:t>
      </w:r>
      <w:r w:rsidR="00566D3A">
        <w:t>Options—</w:t>
      </w:r>
      <w:r w:rsidR="004F4BE6">
        <w:t>Bonus Issues</w:t>
      </w:r>
      <w:r w:rsidR="00566D3A">
        <w:t>) I</w:t>
      </w:r>
      <w:r w:rsidR="008C0CF9">
        <w:t>nstrument 2016</w:t>
      </w:r>
      <w:r>
        <w:t>/77</w:t>
      </w:r>
      <w:r w:rsidR="00566D3A">
        <w:t xml:space="preserve"> commences.</w:t>
      </w:r>
    </w:p>
    <w:p w14:paraId="51EB0DD6" w14:textId="77777777" w:rsidR="005B0E3A" w:rsidRPr="00944D46" w:rsidRDefault="00561B55" w:rsidP="00D578FE">
      <w:pPr>
        <w:pStyle w:val="BodyText"/>
        <w:spacing w:before="0" w:line="240" w:lineRule="auto"/>
      </w:pPr>
      <w:r w:rsidRPr="00944D46">
        <w:t xml:space="preserve"> </w:t>
      </w:r>
    </w:p>
    <w:p w14:paraId="417EBC55" w14:textId="77777777" w:rsidR="00C01337" w:rsidRPr="00A807A7" w:rsidRDefault="005B0E3A" w:rsidP="00D578FE">
      <w:pPr>
        <w:pStyle w:val="Heading3"/>
        <w:keepNext w:val="0"/>
        <w:widowControl w:val="0"/>
        <w:numPr>
          <w:ilvl w:val="0"/>
          <w:numId w:val="7"/>
        </w:numPr>
        <w:tabs>
          <w:tab w:val="left" w:pos="567"/>
        </w:tabs>
        <w:spacing w:after="0" w:line="240" w:lineRule="auto"/>
        <w:ind w:left="0" w:firstLine="0"/>
        <w:jc w:val="left"/>
        <w:rPr>
          <w:rFonts w:ascii="Arial" w:hAnsi="Arial" w:cs="Arial"/>
          <w:b/>
          <w:spacing w:val="-1"/>
          <w:sz w:val="24"/>
          <w:szCs w:val="24"/>
        </w:rPr>
      </w:pPr>
      <w:bookmarkStart w:id="2" w:name="2._Purpose_of_the_class_order_"/>
      <w:bookmarkEnd w:id="2"/>
      <w:r w:rsidRPr="00A807A7">
        <w:rPr>
          <w:rFonts w:ascii="Arial" w:hAnsi="Arial" w:cs="Arial"/>
          <w:b/>
          <w:spacing w:val="-1"/>
          <w:sz w:val="24"/>
          <w:szCs w:val="24"/>
        </w:rPr>
        <w:t>Purpose</w:t>
      </w:r>
      <w:r w:rsidRPr="00A807A7">
        <w:rPr>
          <w:rFonts w:ascii="Arial" w:hAnsi="Arial" w:cs="Arial"/>
          <w:b/>
          <w:sz w:val="24"/>
          <w:szCs w:val="24"/>
        </w:rPr>
        <w:t xml:space="preserve"> of </w:t>
      </w:r>
      <w:r w:rsidRPr="00A807A7">
        <w:rPr>
          <w:rFonts w:ascii="Arial" w:hAnsi="Arial" w:cs="Arial"/>
          <w:b/>
          <w:spacing w:val="-1"/>
          <w:sz w:val="24"/>
          <w:szCs w:val="24"/>
        </w:rPr>
        <w:t>the</w:t>
      </w:r>
      <w:r w:rsidRPr="00A807A7">
        <w:rPr>
          <w:rFonts w:ascii="Arial" w:hAnsi="Arial" w:cs="Arial"/>
          <w:b/>
          <w:sz w:val="24"/>
          <w:szCs w:val="24"/>
        </w:rPr>
        <w:t xml:space="preserve"> </w:t>
      </w:r>
      <w:r w:rsidRPr="00A807A7">
        <w:rPr>
          <w:rFonts w:ascii="Arial" w:hAnsi="Arial" w:cs="Arial"/>
          <w:b/>
          <w:spacing w:val="-1"/>
          <w:sz w:val="24"/>
          <w:szCs w:val="24"/>
        </w:rPr>
        <w:t>instrument</w:t>
      </w:r>
    </w:p>
    <w:p w14:paraId="7FB38349" w14:textId="77777777" w:rsidR="00776DAC" w:rsidRDefault="00776DAC" w:rsidP="00D578FE">
      <w:pPr>
        <w:pStyle w:val="BodyText"/>
        <w:spacing w:before="0" w:line="240" w:lineRule="auto"/>
      </w:pPr>
    </w:p>
    <w:p w14:paraId="360BF0CE" w14:textId="24C07870" w:rsidR="00C01337" w:rsidRDefault="00AC2648" w:rsidP="00D578FE">
      <w:pPr>
        <w:pStyle w:val="BodyText"/>
        <w:spacing w:before="0" w:line="240" w:lineRule="auto"/>
      </w:pPr>
      <w:r>
        <w:t>This legislative instrument</w:t>
      </w:r>
      <w:r w:rsidR="00675478">
        <w:t xml:space="preserve"> addresses </w:t>
      </w:r>
      <w:r w:rsidR="00A57191">
        <w:t>minor and technical issue</w:t>
      </w:r>
      <w:r w:rsidR="00675478">
        <w:t>s</w:t>
      </w:r>
      <w:r w:rsidR="00A57191">
        <w:t xml:space="preserve"> arising in relation to the operation of </w:t>
      </w:r>
      <w:r w:rsidR="006638A8">
        <w:t xml:space="preserve">a </w:t>
      </w:r>
      <w:r w:rsidR="00675478">
        <w:t>certain procedural element</w:t>
      </w:r>
      <w:r w:rsidR="00A57191">
        <w:t xml:space="preserve"> of Chapter 6D in circumstances where a particular form of offer is made</w:t>
      </w:r>
      <w:r w:rsidR="0010039B">
        <w:t xml:space="preserve">: </w:t>
      </w:r>
      <w:r w:rsidR="00A57191">
        <w:t>a pro-rata bonus issue of options</w:t>
      </w:r>
      <w:r w:rsidR="00675478">
        <w:t xml:space="preserve"> to </w:t>
      </w:r>
      <w:r w:rsidR="00A57191">
        <w:t>existing members of a company for nil consideration.</w:t>
      </w:r>
      <w:r w:rsidR="005B7398">
        <w:t xml:space="preserve"> </w:t>
      </w:r>
      <w:r w:rsidR="00113ABC">
        <w:t>The relief afforded by this legislative instrument</w:t>
      </w:r>
      <w:r w:rsidR="00A54CDD">
        <w:t xml:space="preserve"> reduces regulatory burden and</w:t>
      </w:r>
      <w:r w:rsidR="00113ABC">
        <w:t xml:space="preserve"> facilitates this type of offer being mad</w:t>
      </w:r>
      <w:r w:rsidR="00183412">
        <w:t>e in circumstances where the procedural requirements of Chapter 6D may otherwise preclude</w:t>
      </w:r>
      <w:r w:rsidR="00674429">
        <w:t xml:space="preserve"> or significantly deter issuers from undertaking</w:t>
      </w:r>
      <w:r w:rsidR="00183412">
        <w:t xml:space="preserve"> it.</w:t>
      </w:r>
    </w:p>
    <w:p w14:paraId="0321E635" w14:textId="77777777" w:rsidR="00D578FE" w:rsidRDefault="00D578FE" w:rsidP="00D578FE">
      <w:pPr>
        <w:pStyle w:val="BodyText"/>
        <w:spacing w:before="0" w:line="240" w:lineRule="auto"/>
      </w:pPr>
    </w:p>
    <w:p w14:paraId="46892ACA" w14:textId="77777777" w:rsidR="005B0E3A" w:rsidRDefault="00A57191" w:rsidP="00D578FE">
      <w:pPr>
        <w:pStyle w:val="BodyText"/>
        <w:spacing w:before="0" w:line="240" w:lineRule="auto"/>
      </w:pPr>
      <w:r>
        <w:t>An</w:t>
      </w:r>
      <w:r w:rsidR="00B77503">
        <w:t xml:space="preserve"> offer of securities for issue or sale needs—unless a relevant statutory exception applies—disclosure under Chapter 6D.</w:t>
      </w:r>
      <w:r w:rsidR="00895BCA">
        <w:t xml:space="preserve"> An issuer who grants bonus options to existing sh</w:t>
      </w:r>
      <w:r w:rsidR="00E3574A">
        <w:t>areholders</w:t>
      </w:r>
      <w:r w:rsidR="00675478">
        <w:t xml:space="preserve"> pro-rata</w:t>
      </w:r>
      <w:r w:rsidR="00E3574A">
        <w:t xml:space="preserve"> for nil consideration</w:t>
      </w:r>
      <w:r w:rsidR="00595357">
        <w:t xml:space="preserve"> (but with consideration payable upon exercise of the option) </w:t>
      </w:r>
      <w:r w:rsidR="00895BCA">
        <w:t>is considered for the purposes of Chapter 6D to offer securities for issue.</w:t>
      </w:r>
      <w:r w:rsidR="00B77503">
        <w:t xml:space="preserve"> </w:t>
      </w:r>
      <w:r w:rsidR="00595357">
        <w:t>This is because—for the purposes of Chapter 6D— an option over securiti</w:t>
      </w:r>
      <w:r w:rsidR="00BE55B1">
        <w:t>es is considered be a ‘security’</w:t>
      </w:r>
      <w:r w:rsidR="00595357">
        <w:t xml:space="preserve"> and the grant of a bonus option is considered to be an </w:t>
      </w:r>
      <w:r w:rsidR="00BE55B1">
        <w:t>‘</w:t>
      </w:r>
      <w:r w:rsidR="00595357">
        <w:t>offer</w:t>
      </w:r>
      <w:r w:rsidR="00BE55B1">
        <w:t>’</w:t>
      </w:r>
      <w:r w:rsidR="00595357">
        <w:t>.</w:t>
      </w:r>
      <w:r w:rsidR="00675478">
        <w:t xml:space="preserve"> </w:t>
      </w:r>
    </w:p>
    <w:p w14:paraId="173B4F52" w14:textId="77777777" w:rsidR="00BE55B1" w:rsidRDefault="00BE55B1" w:rsidP="00D578FE">
      <w:pPr>
        <w:pStyle w:val="BodyText"/>
        <w:spacing w:before="0" w:line="240" w:lineRule="auto"/>
      </w:pPr>
    </w:p>
    <w:p w14:paraId="595EAF4A" w14:textId="77777777" w:rsidR="006638A8" w:rsidRDefault="00675478" w:rsidP="00D578FE">
      <w:pPr>
        <w:pStyle w:val="BodyText"/>
        <w:spacing w:before="0" w:line="240" w:lineRule="auto"/>
      </w:pPr>
      <w:r>
        <w:t>Accordingly, an issuer proposing to undertake a transaction of this type is required to prepare and lodge with ASIC a disclosure document in accordance with Chapter 6D.  In addition to</w:t>
      </w:r>
      <w:r w:rsidR="0010039B">
        <w:t xml:space="preserve"> specifying</w:t>
      </w:r>
      <w:r>
        <w:t xml:space="preserve"> the form and content requirements for a disclosure document, Chapter 6D</w:t>
      </w:r>
      <w:r w:rsidR="0010039B">
        <w:t xml:space="preserve"> sets out the relevant procedure that must be adhered to when offering securities for issue or sale under a disclosure document. </w:t>
      </w:r>
      <w:r w:rsidR="00A60A6D">
        <w:t>One particular procedural element relates to the issue or transfer of securities to an applicant for those securities under a disclosure document. Sectio</w:t>
      </w:r>
      <w:r w:rsidR="005B7398">
        <w:t>n 723 of the Act provides that securities may only be issued or transferred in response to an application form and in circumstances where the person issuing or transferring them has re</w:t>
      </w:r>
      <w:r w:rsidR="001F6BF7">
        <w:t>asonable grounds to believe that the</w:t>
      </w:r>
      <w:r w:rsidR="005B7398">
        <w:t xml:space="preserve"> application form was included in, or accompanied by, the disclosure document (the </w:t>
      </w:r>
      <w:r w:rsidR="005B7398" w:rsidRPr="00BE55B1">
        <w:rPr>
          <w:b/>
          <w:i/>
        </w:rPr>
        <w:t>application form requirement</w:t>
      </w:r>
      <w:r w:rsidR="001F6BF7">
        <w:t xml:space="preserve">). </w:t>
      </w:r>
      <w:r w:rsidR="006638A8">
        <w:t>The</w:t>
      </w:r>
      <w:r w:rsidR="001F6BF7">
        <w:t xml:space="preserve"> underlying policy of the application form requirement is to ensure that persons applying for securities under an offer</w:t>
      </w:r>
      <w:r w:rsidR="00113ABC">
        <w:t xml:space="preserve"> have been provided with the disclosure document.</w:t>
      </w:r>
    </w:p>
    <w:p w14:paraId="2077940F" w14:textId="77777777" w:rsidR="00BE55B1" w:rsidRDefault="00BE55B1" w:rsidP="00D578FE">
      <w:pPr>
        <w:pStyle w:val="BodyText"/>
        <w:spacing w:before="0" w:line="240" w:lineRule="auto"/>
      </w:pPr>
    </w:p>
    <w:p w14:paraId="2677C5B0" w14:textId="77777777" w:rsidR="00BA2977" w:rsidRPr="00B751A7" w:rsidRDefault="005D34C1" w:rsidP="00D578FE">
      <w:pPr>
        <w:pStyle w:val="BodyText"/>
        <w:spacing w:before="0" w:line="240" w:lineRule="auto"/>
      </w:pPr>
      <w:r w:rsidRPr="00B751A7">
        <w:t>Under a pro-rata bonus issue of options to existing</w:t>
      </w:r>
      <w:r w:rsidR="00FA1A8E" w:rsidRPr="00B751A7">
        <w:t xml:space="preserve"> members</w:t>
      </w:r>
      <w:r w:rsidRPr="00B751A7">
        <w:t xml:space="preserve"> of a company, the issuing company </w:t>
      </w:r>
      <w:r w:rsidR="00FA1A8E" w:rsidRPr="00B751A7">
        <w:t>determines those persons to whom the options are t</w:t>
      </w:r>
      <w:r w:rsidR="001C56F8" w:rsidRPr="00B751A7">
        <w:t>o be issued on the basis of the</w:t>
      </w:r>
      <w:r w:rsidR="00BE55B1">
        <w:t xml:space="preserve"> composition of the company’</w:t>
      </w:r>
      <w:r w:rsidR="00FA1A8E" w:rsidRPr="00B751A7">
        <w:t>s register of members at the re</w:t>
      </w:r>
      <w:r w:rsidR="00BA2977" w:rsidRPr="00B751A7">
        <w:t>cord</w:t>
      </w:r>
      <w:r w:rsidR="00FA1A8E" w:rsidRPr="00B751A7">
        <w:t xml:space="preserve"> date specified in </w:t>
      </w:r>
      <w:r w:rsidR="00AD1203" w:rsidRPr="00B751A7">
        <w:t>the offer. Those members are issued</w:t>
      </w:r>
      <w:r w:rsidR="00FA1A8E" w:rsidRPr="00B751A7">
        <w:t xml:space="preserve"> the bonus options—for which no consideration is</w:t>
      </w:r>
      <w:r w:rsidR="00C041D7" w:rsidRPr="00B751A7">
        <w:t xml:space="preserve"> payable</w:t>
      </w:r>
      <w:r w:rsidR="00FA1A8E" w:rsidRPr="00B751A7">
        <w:t>—by virtue of and in proportion to their shareholding in the company</w:t>
      </w:r>
      <w:r w:rsidR="00AD1203" w:rsidRPr="00B751A7">
        <w:t xml:space="preserve"> rather than on the basis of a completed application form.</w:t>
      </w:r>
    </w:p>
    <w:p w14:paraId="5BE7BA4A" w14:textId="77777777" w:rsidR="00D42C9D" w:rsidRDefault="00D42C9D" w:rsidP="00D578FE">
      <w:pPr>
        <w:pStyle w:val="BodyText"/>
        <w:spacing w:before="0" w:line="240" w:lineRule="auto"/>
      </w:pPr>
      <w:r>
        <w:lastRenderedPageBreak/>
        <w:t xml:space="preserve">Accordingly, ASIC has </w:t>
      </w:r>
      <w:r w:rsidR="00565338">
        <w:t>provide</w:t>
      </w:r>
      <w:r w:rsidR="008C0CF9">
        <w:t>d</w:t>
      </w:r>
      <w:r w:rsidR="00565338">
        <w:t xml:space="preserve"> relief from the </w:t>
      </w:r>
      <w:r w:rsidR="0059678D">
        <w:t>application form requirement.</w:t>
      </w:r>
    </w:p>
    <w:p w14:paraId="63E2A26A" w14:textId="77777777" w:rsidR="00BE55B1" w:rsidRDefault="00BE55B1" w:rsidP="00D578FE">
      <w:pPr>
        <w:pStyle w:val="BodyText"/>
        <w:spacing w:before="0" w:line="240" w:lineRule="auto"/>
      </w:pPr>
    </w:p>
    <w:p w14:paraId="087DAE2E" w14:textId="77777777" w:rsidR="001C56F8" w:rsidRDefault="001C56F8" w:rsidP="00D578FE">
      <w:pPr>
        <w:pStyle w:val="BodyText"/>
        <w:spacing w:before="0" w:line="240" w:lineRule="auto"/>
      </w:pPr>
      <w:r>
        <w:t xml:space="preserve">The integrity of the policy underlying the application form requirement is preserved by the </w:t>
      </w:r>
      <w:r w:rsidR="00C20D4F">
        <w:t>drafting</w:t>
      </w:r>
      <w:r>
        <w:t xml:space="preserve"> of the relief which </w:t>
      </w:r>
      <w:r w:rsidR="000A5E59">
        <w:t>is narrowly cast and only extends to the application form requirement, not the requirement to prepare and lodge a disclosure document and provide a copy of that disclosure document to members.</w:t>
      </w:r>
      <w:r w:rsidR="00460854">
        <w:t xml:space="preserve"> </w:t>
      </w:r>
      <w:r w:rsidR="00674429">
        <w:t xml:space="preserve">Further, an issuer of pro rata bonus options to existing </w:t>
      </w:r>
      <w:r w:rsidR="001F1A8C">
        <w:t>members for nil consideration</w:t>
      </w:r>
      <w:r w:rsidR="007633EC">
        <w:t xml:space="preserve"> holds</w:t>
      </w:r>
      <w:r w:rsidR="001F1A8C">
        <w:t xml:space="preserve"> certainty as to the persons to whom a disclosure document must be provided (</w:t>
      </w:r>
      <w:r w:rsidR="00BE55B1">
        <w:t xml:space="preserve">as </w:t>
      </w:r>
      <w:r w:rsidR="001F1A8C">
        <w:t xml:space="preserve">the issuer has this information </w:t>
      </w:r>
      <w:r w:rsidR="00D930D6">
        <w:t>in its register of members</w:t>
      </w:r>
      <w:r w:rsidR="001F1A8C">
        <w:t>) and</w:t>
      </w:r>
      <w:r w:rsidR="007633EC">
        <w:t xml:space="preserve"> there is no risk of a person being issued securities without the benefit of a disclosure document</w:t>
      </w:r>
      <w:r w:rsidR="00BE55B1">
        <w:t>,</w:t>
      </w:r>
      <w:r w:rsidR="007633EC">
        <w:t xml:space="preserve"> because the offer is not capable of being accepted by any person outside this specific category of persons.</w:t>
      </w:r>
      <w:r w:rsidR="001F1A8C">
        <w:t xml:space="preserve"> </w:t>
      </w:r>
    </w:p>
    <w:p w14:paraId="588FBCE1" w14:textId="77777777" w:rsidR="00BE55B1" w:rsidRDefault="00BE55B1" w:rsidP="00D578FE">
      <w:pPr>
        <w:pStyle w:val="BodyText"/>
        <w:spacing w:before="0" w:line="240" w:lineRule="auto"/>
      </w:pPr>
    </w:p>
    <w:p w14:paraId="1D4DD6FC" w14:textId="77777777" w:rsidR="00443289" w:rsidRPr="001F6BF7" w:rsidRDefault="00EA0646" w:rsidP="00D578FE">
      <w:pPr>
        <w:pStyle w:val="BodyText"/>
        <w:spacing w:before="0" w:line="240" w:lineRule="auto"/>
      </w:pPr>
      <w:r>
        <w:t>Section 734 of the Act contains a</w:t>
      </w:r>
      <w:r w:rsidR="001E5768">
        <w:t xml:space="preserve"> general prohibition on advertising and publicising an offer or intended offer</w:t>
      </w:r>
      <w:r>
        <w:t xml:space="preserve"> of securities</w:t>
      </w:r>
      <w:r w:rsidR="001E5768">
        <w:t xml:space="preserve"> before a disclosure document is lodged</w:t>
      </w:r>
      <w:r>
        <w:t xml:space="preserve"> with ASIC. One of the exceptions to this general prohibition</w:t>
      </w:r>
      <w:r w:rsidR="00AA1F42">
        <w:t xml:space="preserve"> (</w:t>
      </w:r>
      <w:r w:rsidR="00BE55B1">
        <w:t xml:space="preserve">contained in </w:t>
      </w:r>
      <w:r w:rsidR="00AA1F42">
        <w:t>subsection 734(5))</w:t>
      </w:r>
      <w:r w:rsidR="001E5768">
        <w:t xml:space="preserve"> requires an issuer</w:t>
      </w:r>
      <w:r>
        <w:t>—in order to qualify for that exception—</w:t>
      </w:r>
      <w:r w:rsidR="001E5768">
        <w:t>to make certain statements</w:t>
      </w:r>
      <w:r>
        <w:t xml:space="preserve"> regarding the </w:t>
      </w:r>
      <w:r w:rsidR="00BE55B1">
        <w:t>‘</w:t>
      </w:r>
      <w:r>
        <w:t>completion of an application form that will be in or will accompany the disclosure document</w:t>
      </w:r>
      <w:r w:rsidR="00BE55B1">
        <w:t>’</w:t>
      </w:r>
      <w:r>
        <w:t xml:space="preserve">.  </w:t>
      </w:r>
      <w:r w:rsidR="008C0CF9">
        <w:t>Because ASIC has</w:t>
      </w:r>
      <w:r w:rsidR="00B017D0">
        <w:t xml:space="preserve"> given relief from the </w:t>
      </w:r>
      <w:r w:rsidR="0059678D">
        <w:t xml:space="preserve">application form requirement, </w:t>
      </w:r>
      <w:r w:rsidR="008C0CF9">
        <w:t xml:space="preserve">ASIC </w:t>
      </w:r>
      <w:r w:rsidR="00AA1F42">
        <w:t>consider</w:t>
      </w:r>
      <w:r w:rsidR="008C0CF9">
        <w:t>s</w:t>
      </w:r>
      <w:r w:rsidR="00AA1F42">
        <w:t xml:space="preserve"> it </w:t>
      </w:r>
      <w:r w:rsidR="00BE55B1">
        <w:t xml:space="preserve">appropriate </w:t>
      </w:r>
      <w:r w:rsidR="00AA1F42">
        <w:t xml:space="preserve">to give additional relief such that an issuer relying on the </w:t>
      </w:r>
      <w:r w:rsidR="00BE55B1">
        <w:t xml:space="preserve">application </w:t>
      </w:r>
      <w:r w:rsidR="00AA1F42">
        <w:t xml:space="preserve">form relief will not be precluded from relying on the relevant exception in subsection 734(5) merely because an </w:t>
      </w:r>
      <w:r w:rsidR="00BE55B1">
        <w:t xml:space="preserve">application </w:t>
      </w:r>
      <w:r w:rsidR="00AA1F42">
        <w:t xml:space="preserve">form is not </w:t>
      </w:r>
      <w:r w:rsidR="00D6192D">
        <w:t>used for the offer.</w:t>
      </w:r>
      <w:r w:rsidR="00AA1F42">
        <w:t xml:space="preserve"> </w:t>
      </w:r>
    </w:p>
    <w:p w14:paraId="4E3D53D1" w14:textId="77777777" w:rsidR="005B0E3A" w:rsidRPr="00BE55B1" w:rsidRDefault="005B0E3A" w:rsidP="00D578FE">
      <w:pPr>
        <w:spacing w:after="0"/>
        <w:rPr>
          <w:sz w:val="24"/>
          <w:szCs w:val="24"/>
        </w:rPr>
      </w:pPr>
      <w:bookmarkStart w:id="3" w:name="Insert_a_level_3_heading_"/>
      <w:bookmarkEnd w:id="3"/>
    </w:p>
    <w:p w14:paraId="21C563B3" w14:textId="77777777" w:rsidR="005B0E3A" w:rsidRPr="00A807A7" w:rsidRDefault="005B0E3A" w:rsidP="00BE55B1">
      <w:pPr>
        <w:pStyle w:val="Heading3"/>
        <w:keepNext w:val="0"/>
        <w:widowControl w:val="0"/>
        <w:numPr>
          <w:ilvl w:val="0"/>
          <w:numId w:val="7"/>
        </w:numPr>
        <w:tabs>
          <w:tab w:val="left" w:pos="567"/>
        </w:tabs>
        <w:spacing w:after="0" w:line="240" w:lineRule="auto"/>
        <w:ind w:left="0" w:firstLine="0"/>
        <w:jc w:val="left"/>
        <w:rPr>
          <w:rFonts w:ascii="Arial" w:eastAsia="Arial" w:hAnsi="Arial" w:cs="Arial"/>
          <w:b/>
          <w:bCs/>
          <w:sz w:val="24"/>
          <w:szCs w:val="24"/>
        </w:rPr>
      </w:pPr>
      <w:bookmarkStart w:id="4" w:name="3._Operation_of_the_class_order_"/>
      <w:bookmarkEnd w:id="4"/>
      <w:r w:rsidRPr="00A807A7">
        <w:rPr>
          <w:rFonts w:ascii="Arial" w:hAnsi="Arial" w:cs="Arial"/>
          <w:b/>
          <w:spacing w:val="-1"/>
          <w:sz w:val="24"/>
          <w:szCs w:val="24"/>
        </w:rPr>
        <w:t>Operation</w:t>
      </w:r>
      <w:r w:rsidRPr="00A807A7">
        <w:rPr>
          <w:rFonts w:ascii="Arial" w:hAnsi="Arial" w:cs="Arial"/>
          <w:b/>
          <w:sz w:val="24"/>
          <w:szCs w:val="24"/>
        </w:rPr>
        <w:t xml:space="preserve"> </w:t>
      </w:r>
      <w:r w:rsidRPr="00A807A7">
        <w:rPr>
          <w:rFonts w:ascii="Arial" w:hAnsi="Arial" w:cs="Arial"/>
          <w:b/>
          <w:spacing w:val="-1"/>
          <w:sz w:val="24"/>
          <w:szCs w:val="24"/>
        </w:rPr>
        <w:t>of</w:t>
      </w:r>
      <w:r w:rsidRPr="00A807A7">
        <w:rPr>
          <w:rFonts w:ascii="Arial" w:hAnsi="Arial" w:cs="Arial"/>
          <w:b/>
          <w:sz w:val="24"/>
          <w:szCs w:val="24"/>
        </w:rPr>
        <w:t xml:space="preserve"> </w:t>
      </w:r>
      <w:r w:rsidRPr="00A807A7">
        <w:rPr>
          <w:rFonts w:ascii="Arial" w:hAnsi="Arial" w:cs="Arial"/>
          <w:b/>
          <w:spacing w:val="-1"/>
          <w:sz w:val="24"/>
          <w:szCs w:val="24"/>
        </w:rPr>
        <w:t>the</w:t>
      </w:r>
      <w:r w:rsidRPr="00A807A7">
        <w:rPr>
          <w:rFonts w:ascii="Arial" w:hAnsi="Arial" w:cs="Arial"/>
          <w:b/>
          <w:sz w:val="24"/>
          <w:szCs w:val="24"/>
        </w:rPr>
        <w:t xml:space="preserve"> instrument</w:t>
      </w:r>
    </w:p>
    <w:p w14:paraId="2C8E9DA6" w14:textId="77777777" w:rsidR="005B0E3A" w:rsidRPr="00BE55B1" w:rsidRDefault="005B0E3A" w:rsidP="00D578FE">
      <w:pPr>
        <w:spacing w:after="0"/>
        <w:rPr>
          <w:sz w:val="24"/>
          <w:szCs w:val="24"/>
        </w:rPr>
      </w:pPr>
    </w:p>
    <w:p w14:paraId="7642B80D" w14:textId="77777777" w:rsidR="00DC6464" w:rsidRDefault="008C0CF9" w:rsidP="00D578FE">
      <w:pPr>
        <w:pStyle w:val="BodyText"/>
        <w:spacing w:before="0" w:line="240" w:lineRule="auto"/>
      </w:pPr>
      <w:r w:rsidRPr="00BE55B1">
        <w:t>ASIC Corporations (Options—Bonus Issues) Instrument 2016</w:t>
      </w:r>
      <w:r w:rsidR="00BE55B1">
        <w:t>/77</w:t>
      </w:r>
      <w:r>
        <w:rPr>
          <w:i/>
        </w:rPr>
        <w:t xml:space="preserve"> </w:t>
      </w:r>
      <w:r w:rsidR="00AC2648">
        <w:t xml:space="preserve">operates to exempt </w:t>
      </w:r>
      <w:r w:rsidR="00584AD7">
        <w:t>bodies</w:t>
      </w:r>
      <w:r w:rsidR="00AC2648">
        <w:t xml:space="preserve"> undertaking a pro-rata bonus issue</w:t>
      </w:r>
      <w:r w:rsidR="006C7727">
        <w:t xml:space="preserve"> of options</w:t>
      </w:r>
      <w:r w:rsidR="00AC2648">
        <w:t xml:space="preserve"> for nil consideration from the requirements of subsection 723(1) of the Act to the extent that it only permits </w:t>
      </w:r>
      <w:r w:rsidR="00D47F78">
        <w:t>the issue of the options in response to an application form included in or accompanied by a disclosure document.</w:t>
      </w:r>
      <w:r w:rsidR="00064AA3">
        <w:t xml:space="preserve"> </w:t>
      </w:r>
    </w:p>
    <w:p w14:paraId="789BC740" w14:textId="77777777" w:rsidR="00DC6464" w:rsidRDefault="00DC6464" w:rsidP="00D578FE">
      <w:pPr>
        <w:pStyle w:val="BodyText"/>
        <w:spacing w:before="0" w:line="240" w:lineRule="auto"/>
      </w:pPr>
    </w:p>
    <w:p w14:paraId="0B37DE1C" w14:textId="77777777" w:rsidR="005B0E3A" w:rsidRDefault="00064AA3" w:rsidP="00D578FE">
      <w:pPr>
        <w:pStyle w:val="BodyText"/>
        <w:spacing w:before="0" w:line="240" w:lineRule="auto"/>
      </w:pPr>
      <w:r>
        <w:t xml:space="preserve">Practically, the exemption means that issuers do not need to include an application form with a disclosure document for such offers. Importantly, the instrument </w:t>
      </w:r>
      <w:r w:rsidR="00F470C8">
        <w:t xml:space="preserve">does not </w:t>
      </w:r>
      <w:r w:rsidR="00584AD7">
        <w:t xml:space="preserve">provide any exemption </w:t>
      </w:r>
      <w:r w:rsidR="00F470C8">
        <w:t xml:space="preserve">from the requirement to </w:t>
      </w:r>
      <w:r w:rsidR="000A5E59">
        <w:t xml:space="preserve">make the offer of pro-rata bonus options for nil consideration under a disclosure document. </w:t>
      </w:r>
    </w:p>
    <w:p w14:paraId="79509563" w14:textId="77777777" w:rsidR="00DC6464" w:rsidRPr="00DC6464" w:rsidRDefault="00DC6464" w:rsidP="00D578FE">
      <w:pPr>
        <w:pStyle w:val="BodyText"/>
        <w:spacing w:before="0" w:line="240" w:lineRule="auto"/>
      </w:pPr>
    </w:p>
    <w:p w14:paraId="237FE02B" w14:textId="77777777" w:rsidR="000A5E59" w:rsidRDefault="008C0CF9" w:rsidP="00D578FE">
      <w:pPr>
        <w:pStyle w:val="BodyText"/>
        <w:spacing w:before="0" w:line="240" w:lineRule="auto"/>
      </w:pPr>
      <w:r w:rsidRPr="00DC6464">
        <w:t>ASIC Corporations (Options—Bonus Issues) Instrument 2016</w:t>
      </w:r>
      <w:r w:rsidR="00DC6464">
        <w:t>/77</w:t>
      </w:r>
      <w:r>
        <w:rPr>
          <w:i/>
        </w:rPr>
        <w:t xml:space="preserve"> </w:t>
      </w:r>
      <w:r w:rsidR="001612D7">
        <w:t>also</w:t>
      </w:r>
      <w:r w:rsidR="00584AD7">
        <w:t xml:space="preserve"> exempts </w:t>
      </w:r>
      <w:r w:rsidR="006C7727">
        <w:t>bodies undertaking a pro-rata bonus issue of options for nil consideration</w:t>
      </w:r>
      <w:r w:rsidR="00584AD7">
        <w:t xml:space="preserve"> from</w:t>
      </w:r>
      <w:r w:rsidR="001612D7">
        <w:t xml:space="preserve"> the advertising restriction in subsection 734(2) provided the</w:t>
      </w:r>
      <w:r w:rsidR="001F27F0">
        <w:t xml:space="preserve"> relevant</w:t>
      </w:r>
      <w:r w:rsidR="001612D7">
        <w:t xml:space="preserve"> advertisement</w:t>
      </w:r>
      <w:r w:rsidR="001F27F0">
        <w:t xml:space="preserve"> or publication</w:t>
      </w:r>
      <w:r w:rsidR="001612D7">
        <w:t xml:space="preserve"> includes certain statements drawing attention to the availability of a disclosure document. The precise nature of the statement required depends on whether </w:t>
      </w:r>
      <w:r w:rsidR="001F27F0">
        <w:t xml:space="preserve">the advertisement or publication </w:t>
      </w:r>
      <w:r w:rsidR="0078217E">
        <w:t>is published before or after the disclosure document is lodged.</w:t>
      </w:r>
    </w:p>
    <w:p w14:paraId="7BC785FE" w14:textId="77777777" w:rsidR="005B0E3A" w:rsidRPr="00DC6464" w:rsidRDefault="005B0E3A" w:rsidP="00DC6464">
      <w:pPr>
        <w:pStyle w:val="Heading3"/>
        <w:keepNext w:val="0"/>
        <w:widowControl w:val="0"/>
        <w:tabs>
          <w:tab w:val="left" w:pos="567"/>
        </w:tabs>
        <w:spacing w:after="0" w:line="240" w:lineRule="auto"/>
        <w:ind w:left="0"/>
        <w:jc w:val="left"/>
        <w:rPr>
          <w:b/>
          <w:spacing w:val="-1"/>
          <w:sz w:val="24"/>
          <w:szCs w:val="24"/>
        </w:rPr>
      </w:pPr>
      <w:bookmarkStart w:id="5" w:name="4._Documents_incorporated_by_reference"/>
      <w:bookmarkEnd w:id="5"/>
    </w:p>
    <w:p w14:paraId="306C6034" w14:textId="77777777" w:rsidR="00A807A7" w:rsidRDefault="00A807A7">
      <w:pPr>
        <w:spacing w:after="0"/>
        <w:rPr>
          <w:b/>
          <w:spacing w:val="-1"/>
          <w:sz w:val="24"/>
          <w:szCs w:val="24"/>
        </w:rPr>
      </w:pPr>
      <w:bookmarkStart w:id="6" w:name="5._Consultation"/>
      <w:bookmarkEnd w:id="6"/>
      <w:r>
        <w:rPr>
          <w:b/>
          <w:spacing w:val="-1"/>
          <w:sz w:val="24"/>
          <w:szCs w:val="24"/>
        </w:rPr>
        <w:br w:type="page"/>
      </w:r>
    </w:p>
    <w:p w14:paraId="48B37931" w14:textId="77777777" w:rsidR="005B0E3A" w:rsidRPr="00A807A7" w:rsidRDefault="005B0E3A" w:rsidP="00DC6464">
      <w:pPr>
        <w:pStyle w:val="Heading3"/>
        <w:keepNext w:val="0"/>
        <w:widowControl w:val="0"/>
        <w:numPr>
          <w:ilvl w:val="0"/>
          <w:numId w:val="7"/>
        </w:numPr>
        <w:tabs>
          <w:tab w:val="left" w:pos="567"/>
        </w:tabs>
        <w:spacing w:after="0" w:line="240" w:lineRule="auto"/>
        <w:ind w:left="0" w:firstLine="0"/>
        <w:jc w:val="left"/>
        <w:rPr>
          <w:rFonts w:ascii="Arial" w:hAnsi="Arial" w:cs="Arial"/>
          <w:b/>
          <w:spacing w:val="-1"/>
          <w:sz w:val="24"/>
          <w:szCs w:val="24"/>
        </w:rPr>
      </w:pPr>
      <w:r w:rsidRPr="00A807A7">
        <w:rPr>
          <w:rFonts w:ascii="Arial" w:hAnsi="Arial" w:cs="Arial"/>
          <w:b/>
          <w:spacing w:val="-1"/>
          <w:sz w:val="24"/>
          <w:szCs w:val="24"/>
        </w:rPr>
        <w:lastRenderedPageBreak/>
        <w:t>Consultation</w:t>
      </w:r>
    </w:p>
    <w:p w14:paraId="283D1F86" w14:textId="77777777" w:rsidR="005B0E3A" w:rsidRDefault="005B0E3A" w:rsidP="00D578FE">
      <w:pPr>
        <w:spacing w:after="0"/>
      </w:pPr>
    </w:p>
    <w:p w14:paraId="4BEF1F89" w14:textId="77777777" w:rsidR="00DC6464" w:rsidRPr="00DC6464" w:rsidRDefault="00DC6464" w:rsidP="00DC6464">
      <w:pPr>
        <w:spacing w:after="0"/>
        <w:rPr>
          <w:sz w:val="24"/>
          <w:szCs w:val="24"/>
        </w:rPr>
      </w:pPr>
      <w:r w:rsidRPr="00DC6464">
        <w:rPr>
          <w:sz w:val="24"/>
          <w:szCs w:val="24"/>
        </w:rPr>
        <w:t xml:space="preserve">On 17 September 2015 ASIC released CP 239 </w:t>
      </w:r>
      <w:r w:rsidRPr="00DC6464">
        <w:rPr>
          <w:i/>
          <w:sz w:val="24"/>
          <w:szCs w:val="24"/>
        </w:rPr>
        <w:t>Disclosure documents: Update to ASIC instruments and guidance</w:t>
      </w:r>
      <w:r w:rsidRPr="00DC6464">
        <w:rPr>
          <w:sz w:val="24"/>
          <w:szCs w:val="24"/>
        </w:rPr>
        <w:t xml:space="preserve"> (</w:t>
      </w:r>
      <w:r w:rsidRPr="00DC6464">
        <w:rPr>
          <w:b/>
          <w:i/>
          <w:sz w:val="24"/>
          <w:szCs w:val="24"/>
        </w:rPr>
        <w:t>CP 239</w:t>
      </w:r>
      <w:r w:rsidRPr="00DC6464">
        <w:rPr>
          <w:sz w:val="24"/>
          <w:szCs w:val="24"/>
        </w:rPr>
        <w:t>) seeking feedback on proposals to update and consolidate a number of regulatory guides relating to Ch 6D of the Act. CP 239 also sought feedback on proposals to reissue the legislative instruments associated with ASIC’s updated guidance (including Class Order [CO 00/1092]) and to make legislative instruments addressing some discrete policy issues. The consultation period closed on 27 November 2015.</w:t>
      </w:r>
    </w:p>
    <w:p w14:paraId="2F99AC07" w14:textId="77777777" w:rsidR="00DC6464" w:rsidRPr="00DC6464" w:rsidRDefault="00DC6464" w:rsidP="00DC6464">
      <w:pPr>
        <w:spacing w:after="0"/>
        <w:rPr>
          <w:sz w:val="24"/>
          <w:szCs w:val="24"/>
        </w:rPr>
      </w:pPr>
    </w:p>
    <w:p w14:paraId="3569598B" w14:textId="77777777" w:rsidR="00DC6464" w:rsidRPr="00DC6464" w:rsidRDefault="00DC6464" w:rsidP="00DC6464">
      <w:pPr>
        <w:spacing w:after="0"/>
        <w:rPr>
          <w:sz w:val="24"/>
          <w:szCs w:val="24"/>
        </w:rPr>
      </w:pPr>
      <w:r w:rsidRPr="00DC6464">
        <w:rPr>
          <w:sz w:val="24"/>
          <w:szCs w:val="24"/>
        </w:rPr>
        <w:t xml:space="preserve">ASIC received four submissions in response to CP 239. Details of the submissions are contained in REP 473 </w:t>
      </w:r>
      <w:r w:rsidRPr="00DC6464">
        <w:rPr>
          <w:i/>
          <w:sz w:val="24"/>
          <w:szCs w:val="24"/>
        </w:rPr>
        <w:t>Response to submissions on CP 239 Disclosure documents: updates to ASIC instruments and guidance</w:t>
      </w:r>
      <w:r w:rsidRPr="00DC6464">
        <w:rPr>
          <w:sz w:val="24"/>
          <w:szCs w:val="24"/>
        </w:rPr>
        <w:t xml:space="preserve"> which is available on ASIC’s website at www.asic.gov.au.</w:t>
      </w:r>
    </w:p>
    <w:p w14:paraId="259CEA89" w14:textId="77777777" w:rsidR="00DC6464" w:rsidRPr="00DC6464" w:rsidRDefault="00DC6464" w:rsidP="00DC6464">
      <w:pPr>
        <w:spacing w:after="0"/>
        <w:rPr>
          <w:sz w:val="24"/>
          <w:szCs w:val="24"/>
        </w:rPr>
      </w:pPr>
    </w:p>
    <w:p w14:paraId="0FDE56B9" w14:textId="77777777" w:rsidR="00DC6464" w:rsidRPr="00DC6464" w:rsidRDefault="00DC6464" w:rsidP="00DC6464">
      <w:pPr>
        <w:spacing w:after="0"/>
        <w:rPr>
          <w:sz w:val="24"/>
          <w:szCs w:val="24"/>
        </w:rPr>
      </w:pPr>
      <w:r w:rsidRPr="00DC6464">
        <w:rPr>
          <w:sz w:val="24"/>
          <w:szCs w:val="24"/>
        </w:rPr>
        <w:t>Notwithstanding ASIC’s consultation, ASIC considers that ASIC Corporations (</w:t>
      </w:r>
      <w:r w:rsidR="001A6845">
        <w:rPr>
          <w:sz w:val="24"/>
          <w:szCs w:val="24"/>
        </w:rPr>
        <w:t>Options—Bonus Issues</w:t>
      </w:r>
      <w:r w:rsidRPr="00DC6464">
        <w:rPr>
          <w:sz w:val="24"/>
          <w:szCs w:val="24"/>
        </w:rPr>
        <w:t>) Instrument 2016/7</w:t>
      </w:r>
      <w:r w:rsidR="001A6845">
        <w:rPr>
          <w:sz w:val="24"/>
          <w:szCs w:val="24"/>
        </w:rPr>
        <w:t>7</w:t>
      </w:r>
      <w:r w:rsidRPr="00DC6464">
        <w:rPr>
          <w:sz w:val="24"/>
          <w:szCs w:val="24"/>
        </w:rPr>
        <w:t xml:space="preserve"> is of a minor or machinery nature and does not substantially alter existing arrangements.</w:t>
      </w:r>
    </w:p>
    <w:p w14:paraId="5FB1BF96" w14:textId="77777777" w:rsidR="00DC6464" w:rsidRPr="00DC6464" w:rsidRDefault="00DC6464">
      <w:pPr>
        <w:spacing w:after="0"/>
        <w:rPr>
          <w:sz w:val="24"/>
          <w:szCs w:val="24"/>
        </w:rPr>
      </w:pPr>
      <w:r w:rsidRPr="00DC6464">
        <w:rPr>
          <w:sz w:val="24"/>
          <w:szCs w:val="24"/>
        </w:rPr>
        <w:br w:type="page"/>
      </w:r>
    </w:p>
    <w:p w14:paraId="410FC92A" w14:textId="77777777" w:rsidR="00DC6464" w:rsidRPr="00DC6464" w:rsidRDefault="00DC6464" w:rsidP="00DC6464">
      <w:pPr>
        <w:spacing w:after="0"/>
      </w:pPr>
    </w:p>
    <w:p w14:paraId="15A52AC6" w14:textId="77777777" w:rsidR="000076D6" w:rsidRDefault="000076D6" w:rsidP="00D578FE">
      <w:pPr>
        <w:spacing w:after="0"/>
      </w:pPr>
      <w:r>
        <w:rPr>
          <w:noProof/>
        </w:rPr>
        <mc:AlternateContent>
          <mc:Choice Requires="wps">
            <w:drawing>
              <wp:anchor distT="0" distB="0" distL="114300" distR="114300" simplePos="0" relativeHeight="251659264" behindDoc="0" locked="0" layoutInCell="1" allowOverlap="1" wp14:anchorId="7C66B196" wp14:editId="0AB7C886">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5E0313F6" w14:textId="77777777" w:rsidR="000076D6" w:rsidRPr="00834797" w:rsidRDefault="000076D6" w:rsidP="000076D6">
                            <w:pPr>
                              <w:spacing w:before="360" w:after="120"/>
                              <w:jc w:val="center"/>
                              <w:rPr>
                                <w:b/>
                              </w:rPr>
                            </w:pPr>
                            <w:r w:rsidRPr="00834797">
                              <w:rPr>
                                <w:b/>
                              </w:rPr>
                              <w:t>Statement of Compatibility with Human Rights</w:t>
                            </w:r>
                          </w:p>
                          <w:p w14:paraId="37219F42" w14:textId="77777777" w:rsidR="000076D6" w:rsidRDefault="000076D6" w:rsidP="000076D6">
                            <w:pPr>
                              <w:spacing w:before="120" w:after="120"/>
                              <w:jc w:val="center"/>
                              <w:rPr>
                                <w:i/>
                              </w:rPr>
                            </w:pPr>
                            <w:r w:rsidRPr="00247F54">
                              <w:rPr>
                                <w:i/>
                              </w:rPr>
                              <w:t xml:space="preserve">Prepared in accordance with Part 3 of the Human Rights (Parliamentary </w:t>
                            </w:r>
                            <w:r w:rsidR="001A6845">
                              <w:rPr>
                                <w:i/>
                              </w:rPr>
                              <w:br/>
                            </w:r>
                            <w:r w:rsidRPr="00247F54">
                              <w:rPr>
                                <w:i/>
                              </w:rPr>
                              <w:t>Scrutiny) Act 2011</w:t>
                            </w:r>
                          </w:p>
                          <w:p w14:paraId="1FE7671E" w14:textId="77777777" w:rsidR="001A6845" w:rsidRPr="00247F54" w:rsidRDefault="001A6845" w:rsidP="000076D6">
                            <w:pPr>
                              <w:spacing w:before="120" w:after="120"/>
                              <w:jc w:val="center"/>
                            </w:pPr>
                          </w:p>
                          <w:p w14:paraId="0B6BAFF6" w14:textId="77777777" w:rsidR="000076D6" w:rsidRPr="00247F54" w:rsidRDefault="000076D6" w:rsidP="000076D6">
                            <w:pPr>
                              <w:spacing w:before="120" w:after="120"/>
                              <w:jc w:val="center"/>
                              <w:rPr>
                                <w:b/>
                              </w:rPr>
                            </w:pPr>
                            <w:r w:rsidRPr="00247F54">
                              <w:rPr>
                                <w:b/>
                              </w:rPr>
                              <w:t xml:space="preserve"> </w:t>
                            </w:r>
                            <w:r w:rsidR="0002742C" w:rsidRPr="0002742C">
                              <w:rPr>
                                <w:b/>
                              </w:rPr>
                              <w:t>ASI</w:t>
                            </w:r>
                            <w:r w:rsidR="00584AD7">
                              <w:rPr>
                                <w:b/>
                              </w:rPr>
                              <w:t>C Corporations (</w:t>
                            </w:r>
                            <w:r w:rsidR="0002742C" w:rsidRPr="0002742C">
                              <w:rPr>
                                <w:b/>
                              </w:rPr>
                              <w:t>Options—</w:t>
                            </w:r>
                            <w:r w:rsidR="00584AD7">
                              <w:rPr>
                                <w:b/>
                              </w:rPr>
                              <w:t>Bonus Issues</w:t>
                            </w:r>
                            <w:r w:rsidR="008C0CF9">
                              <w:rPr>
                                <w:b/>
                              </w:rPr>
                              <w:t>) Instrument 2016</w:t>
                            </w:r>
                            <w:r w:rsidR="001A6845">
                              <w:rPr>
                                <w:b/>
                              </w:rPr>
                              <w:t>/77</w:t>
                            </w:r>
                          </w:p>
                          <w:p w14:paraId="3D4A1D79" w14:textId="77777777" w:rsidR="000076D6" w:rsidRPr="00247F54" w:rsidRDefault="000076D6" w:rsidP="000076D6">
                            <w:pPr>
                              <w:spacing w:before="120" w:after="120"/>
                              <w:jc w:val="center"/>
                            </w:pPr>
                          </w:p>
                          <w:p w14:paraId="5F599222" w14:textId="77777777" w:rsidR="000076D6" w:rsidRPr="00247F54" w:rsidRDefault="0002742C" w:rsidP="000076D6">
                            <w:pPr>
                              <w:spacing w:before="120" w:after="120"/>
                              <w:jc w:val="center"/>
                            </w:pPr>
                            <w:r>
                              <w:t>ASI</w:t>
                            </w:r>
                            <w:r w:rsidR="00584AD7">
                              <w:t>C Corporations (</w:t>
                            </w:r>
                            <w:r>
                              <w:t>Op</w:t>
                            </w:r>
                            <w:r w:rsidR="00584AD7">
                              <w:t>tions—Bonus Issues</w:t>
                            </w:r>
                            <w:r>
                              <w:t>) Instrument 201</w:t>
                            </w:r>
                            <w:r w:rsidR="001A6845">
                              <w:t>6/77</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0A4800C4" w14:textId="77777777" w:rsidR="000076D6" w:rsidRPr="00247F54" w:rsidRDefault="000076D6" w:rsidP="000076D6">
                            <w:pPr>
                              <w:spacing w:before="120" w:after="120"/>
                              <w:jc w:val="center"/>
                            </w:pPr>
                          </w:p>
                          <w:p w14:paraId="07520D96" w14:textId="77777777" w:rsidR="000076D6" w:rsidRPr="00247F54" w:rsidRDefault="000076D6" w:rsidP="000076D6">
                            <w:pPr>
                              <w:spacing w:before="120" w:after="120"/>
                              <w:jc w:val="both"/>
                              <w:rPr>
                                <w:b/>
                              </w:rPr>
                            </w:pPr>
                            <w:r w:rsidRPr="00247F54">
                              <w:rPr>
                                <w:b/>
                              </w:rPr>
                              <w:t>Overview</w:t>
                            </w:r>
                          </w:p>
                          <w:p w14:paraId="71DFF7AD" w14:textId="77777777" w:rsidR="000076D6" w:rsidRDefault="00392934" w:rsidP="000076D6">
                            <w:pPr>
                              <w:spacing w:before="120" w:after="120"/>
                            </w:pPr>
                            <w:r w:rsidRPr="00392934">
                              <w:t>This legislative instrument addresses discrete minor and technical issues arising in relation to the operation of a certain procedural element of Chapter 6D</w:t>
                            </w:r>
                            <w:r w:rsidR="00D31A57">
                              <w:t xml:space="preserve"> of the Corporations Act</w:t>
                            </w:r>
                            <w:r w:rsidRPr="00392934">
                              <w:t xml:space="preserve"> in circumstances where a particular form of offer is made: a pro-rata bonus issue of options to existing members of a company for nil consideration</w:t>
                            </w:r>
                            <w:r>
                              <w:t xml:space="preserve">. </w:t>
                            </w:r>
                            <w:r w:rsidR="00D31A57">
                              <w:t>The instrument provides relief from the application form and advertising requirements set out in Chapter 6D in relation to offers of securities.</w:t>
                            </w:r>
                          </w:p>
                          <w:p w14:paraId="382D8CED" w14:textId="77777777" w:rsidR="00D31A57" w:rsidRPr="00883DB6" w:rsidRDefault="00D31A57" w:rsidP="000076D6">
                            <w:pPr>
                              <w:spacing w:before="120" w:after="120"/>
                            </w:pPr>
                          </w:p>
                          <w:p w14:paraId="46843B49" w14:textId="77777777" w:rsidR="000076D6" w:rsidRPr="00247F54" w:rsidRDefault="000076D6" w:rsidP="000076D6">
                            <w:pPr>
                              <w:spacing w:before="120" w:after="120"/>
                              <w:rPr>
                                <w:b/>
                              </w:rPr>
                            </w:pPr>
                            <w:r w:rsidRPr="00247F54">
                              <w:rPr>
                                <w:b/>
                              </w:rPr>
                              <w:t>Human rights implications</w:t>
                            </w:r>
                          </w:p>
                          <w:p w14:paraId="59E33B88"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7D6FAC57" w14:textId="77777777" w:rsidR="000076D6" w:rsidRPr="00247F54" w:rsidRDefault="000076D6" w:rsidP="000076D6">
                            <w:pPr>
                              <w:spacing w:before="120" w:after="120"/>
                            </w:pPr>
                          </w:p>
                          <w:p w14:paraId="403380F0" w14:textId="77777777" w:rsidR="000076D6" w:rsidRPr="00247F54" w:rsidRDefault="000076D6" w:rsidP="000076D6">
                            <w:pPr>
                              <w:spacing w:before="120" w:after="120"/>
                              <w:rPr>
                                <w:b/>
                              </w:rPr>
                            </w:pPr>
                            <w:r w:rsidRPr="00247F54">
                              <w:rPr>
                                <w:b/>
                              </w:rPr>
                              <w:t>Conclusion</w:t>
                            </w:r>
                          </w:p>
                          <w:p w14:paraId="12E65048"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8A28C83" w14:textId="77777777" w:rsidR="000076D6" w:rsidRPr="00E4135E" w:rsidRDefault="000076D6" w:rsidP="000076D6">
                            <w:pPr>
                              <w:spacing w:before="120" w:after="120"/>
                              <w:jc w:val="center"/>
                            </w:pPr>
                          </w:p>
                          <w:p w14:paraId="7EF53376" w14:textId="77777777" w:rsidR="000076D6" w:rsidRPr="00E4135E" w:rsidRDefault="0002742C"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5E0313F6" w14:textId="77777777" w:rsidR="000076D6" w:rsidRPr="00834797" w:rsidRDefault="000076D6" w:rsidP="000076D6">
                      <w:pPr>
                        <w:spacing w:before="360" w:after="120"/>
                        <w:jc w:val="center"/>
                        <w:rPr>
                          <w:b/>
                        </w:rPr>
                      </w:pPr>
                      <w:r w:rsidRPr="00834797">
                        <w:rPr>
                          <w:b/>
                        </w:rPr>
                        <w:t>Statement of Compatibility with Human Rights</w:t>
                      </w:r>
                    </w:p>
                    <w:p w14:paraId="37219F42" w14:textId="77777777" w:rsidR="000076D6" w:rsidRDefault="000076D6" w:rsidP="000076D6">
                      <w:pPr>
                        <w:spacing w:before="120" w:after="120"/>
                        <w:jc w:val="center"/>
                        <w:rPr>
                          <w:i/>
                        </w:rPr>
                      </w:pPr>
                      <w:r w:rsidRPr="00247F54">
                        <w:rPr>
                          <w:i/>
                        </w:rPr>
                        <w:t xml:space="preserve">Prepared in accordance with Part 3 of the Human Rights (Parliamentary </w:t>
                      </w:r>
                      <w:r w:rsidR="001A6845">
                        <w:rPr>
                          <w:i/>
                        </w:rPr>
                        <w:br/>
                      </w:r>
                      <w:r w:rsidRPr="00247F54">
                        <w:rPr>
                          <w:i/>
                        </w:rPr>
                        <w:t>Scrutiny) Act 2011</w:t>
                      </w:r>
                    </w:p>
                    <w:p w14:paraId="1FE7671E" w14:textId="77777777" w:rsidR="001A6845" w:rsidRPr="00247F54" w:rsidRDefault="001A6845" w:rsidP="000076D6">
                      <w:pPr>
                        <w:spacing w:before="120" w:after="120"/>
                        <w:jc w:val="center"/>
                      </w:pPr>
                    </w:p>
                    <w:p w14:paraId="0B6BAFF6" w14:textId="77777777" w:rsidR="000076D6" w:rsidRPr="00247F54" w:rsidRDefault="000076D6" w:rsidP="000076D6">
                      <w:pPr>
                        <w:spacing w:before="120" w:after="120"/>
                        <w:jc w:val="center"/>
                        <w:rPr>
                          <w:b/>
                        </w:rPr>
                      </w:pPr>
                      <w:r w:rsidRPr="00247F54">
                        <w:rPr>
                          <w:b/>
                        </w:rPr>
                        <w:t xml:space="preserve"> </w:t>
                      </w:r>
                      <w:r w:rsidR="0002742C" w:rsidRPr="0002742C">
                        <w:rPr>
                          <w:b/>
                        </w:rPr>
                        <w:t>ASI</w:t>
                      </w:r>
                      <w:r w:rsidR="00584AD7">
                        <w:rPr>
                          <w:b/>
                        </w:rPr>
                        <w:t>C Corporations (</w:t>
                      </w:r>
                      <w:r w:rsidR="0002742C" w:rsidRPr="0002742C">
                        <w:rPr>
                          <w:b/>
                        </w:rPr>
                        <w:t>Options—</w:t>
                      </w:r>
                      <w:r w:rsidR="00584AD7">
                        <w:rPr>
                          <w:b/>
                        </w:rPr>
                        <w:t>Bonus Issues</w:t>
                      </w:r>
                      <w:r w:rsidR="008C0CF9">
                        <w:rPr>
                          <w:b/>
                        </w:rPr>
                        <w:t>) Instrument 2016</w:t>
                      </w:r>
                      <w:r w:rsidR="001A6845">
                        <w:rPr>
                          <w:b/>
                        </w:rPr>
                        <w:t>/77</w:t>
                      </w:r>
                    </w:p>
                    <w:p w14:paraId="3D4A1D79" w14:textId="77777777" w:rsidR="000076D6" w:rsidRPr="00247F54" w:rsidRDefault="000076D6" w:rsidP="000076D6">
                      <w:pPr>
                        <w:spacing w:before="120" w:after="120"/>
                        <w:jc w:val="center"/>
                      </w:pPr>
                    </w:p>
                    <w:p w14:paraId="5F599222" w14:textId="77777777" w:rsidR="000076D6" w:rsidRPr="00247F54" w:rsidRDefault="0002742C" w:rsidP="000076D6">
                      <w:pPr>
                        <w:spacing w:before="120" w:after="120"/>
                        <w:jc w:val="center"/>
                      </w:pPr>
                      <w:r>
                        <w:t>ASI</w:t>
                      </w:r>
                      <w:r w:rsidR="00584AD7">
                        <w:t>C Corporations (</w:t>
                      </w:r>
                      <w:r>
                        <w:t>Op</w:t>
                      </w:r>
                      <w:r w:rsidR="00584AD7">
                        <w:t>tions—Bonus Issues</w:t>
                      </w:r>
                      <w:r>
                        <w:t>) Instrument 201</w:t>
                      </w:r>
                      <w:r w:rsidR="001A6845">
                        <w:t>6/77</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0A4800C4" w14:textId="77777777" w:rsidR="000076D6" w:rsidRPr="00247F54" w:rsidRDefault="000076D6" w:rsidP="000076D6">
                      <w:pPr>
                        <w:spacing w:before="120" w:after="120"/>
                        <w:jc w:val="center"/>
                      </w:pPr>
                    </w:p>
                    <w:p w14:paraId="07520D96" w14:textId="77777777" w:rsidR="000076D6" w:rsidRPr="00247F54" w:rsidRDefault="000076D6" w:rsidP="000076D6">
                      <w:pPr>
                        <w:spacing w:before="120" w:after="120"/>
                        <w:jc w:val="both"/>
                        <w:rPr>
                          <w:b/>
                        </w:rPr>
                      </w:pPr>
                      <w:r w:rsidRPr="00247F54">
                        <w:rPr>
                          <w:b/>
                        </w:rPr>
                        <w:t>Overview</w:t>
                      </w:r>
                    </w:p>
                    <w:p w14:paraId="71DFF7AD" w14:textId="77777777" w:rsidR="000076D6" w:rsidRDefault="00392934" w:rsidP="000076D6">
                      <w:pPr>
                        <w:spacing w:before="120" w:after="120"/>
                      </w:pPr>
                      <w:r w:rsidRPr="00392934">
                        <w:t>This legislative instrument addresses discrete minor and technical issues arising in relation to the operation of a certain procedural element of Chapter 6D</w:t>
                      </w:r>
                      <w:r w:rsidR="00D31A57">
                        <w:t xml:space="preserve"> of the Corporations Act</w:t>
                      </w:r>
                      <w:r w:rsidRPr="00392934">
                        <w:t xml:space="preserve"> in circumstances where a particular form of offer is made: a pro-rata bonus issue of options to existing members of a company for nil consideration</w:t>
                      </w:r>
                      <w:r>
                        <w:t xml:space="preserve">. </w:t>
                      </w:r>
                      <w:r w:rsidR="00D31A57">
                        <w:t>The instrument provides relief from the application form and advertising requirements set out in Chapter 6D in relation to offers of securities.</w:t>
                      </w:r>
                    </w:p>
                    <w:p w14:paraId="382D8CED" w14:textId="77777777" w:rsidR="00D31A57" w:rsidRPr="00883DB6" w:rsidRDefault="00D31A57" w:rsidP="000076D6">
                      <w:pPr>
                        <w:spacing w:before="120" w:after="120"/>
                      </w:pPr>
                    </w:p>
                    <w:p w14:paraId="46843B49" w14:textId="77777777" w:rsidR="000076D6" w:rsidRPr="00247F54" w:rsidRDefault="000076D6" w:rsidP="000076D6">
                      <w:pPr>
                        <w:spacing w:before="120" w:after="120"/>
                        <w:rPr>
                          <w:b/>
                        </w:rPr>
                      </w:pPr>
                      <w:r w:rsidRPr="00247F54">
                        <w:rPr>
                          <w:b/>
                        </w:rPr>
                        <w:t>Human rights implications</w:t>
                      </w:r>
                    </w:p>
                    <w:p w14:paraId="59E33B88"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7D6FAC57" w14:textId="77777777" w:rsidR="000076D6" w:rsidRPr="00247F54" w:rsidRDefault="000076D6" w:rsidP="000076D6">
                      <w:pPr>
                        <w:spacing w:before="120" w:after="120"/>
                      </w:pPr>
                    </w:p>
                    <w:p w14:paraId="403380F0" w14:textId="77777777" w:rsidR="000076D6" w:rsidRPr="00247F54" w:rsidRDefault="000076D6" w:rsidP="000076D6">
                      <w:pPr>
                        <w:spacing w:before="120" w:after="120"/>
                        <w:rPr>
                          <w:b/>
                        </w:rPr>
                      </w:pPr>
                      <w:r w:rsidRPr="00247F54">
                        <w:rPr>
                          <w:b/>
                        </w:rPr>
                        <w:t>Conclusion</w:t>
                      </w:r>
                    </w:p>
                    <w:p w14:paraId="12E65048"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8A28C83" w14:textId="77777777" w:rsidR="000076D6" w:rsidRPr="00E4135E" w:rsidRDefault="000076D6" w:rsidP="000076D6">
                      <w:pPr>
                        <w:spacing w:before="120" w:after="120"/>
                        <w:jc w:val="center"/>
                      </w:pPr>
                    </w:p>
                    <w:p w14:paraId="7EF53376" w14:textId="77777777" w:rsidR="000076D6" w:rsidRPr="00E4135E" w:rsidRDefault="0002742C" w:rsidP="000076D6">
                      <w:pPr>
                        <w:spacing w:before="120" w:after="120"/>
                        <w:jc w:val="center"/>
                      </w:pPr>
                      <w:r>
                        <w:rPr>
                          <w:b/>
                        </w:rPr>
                        <w:t>Australian Securities and Investments Commission</w:t>
                      </w:r>
                    </w:p>
                  </w:txbxContent>
                </v:textbox>
              </v:rect>
            </w:pict>
          </mc:Fallback>
        </mc:AlternateContent>
      </w:r>
    </w:p>
    <w:sectPr w:rsidR="000076D6" w:rsidSect="00A807A7">
      <w:headerReference w:type="even" r:id="rId13"/>
      <w:headerReference w:type="default" r:id="rId14"/>
      <w:footerReference w:type="even" r:id="rId15"/>
      <w:headerReference w:type="first" r:id="rId16"/>
      <w:pgSz w:w="11906" w:h="16838"/>
      <w:pgMar w:top="1440" w:right="1800" w:bottom="1440" w:left="180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76CC4" w14:textId="77777777" w:rsidR="00A807A7" w:rsidRDefault="00A807A7">
      <w:pPr>
        <w:spacing w:after="0"/>
      </w:pPr>
      <w:r>
        <w:separator/>
      </w:r>
    </w:p>
  </w:endnote>
  <w:endnote w:type="continuationSeparator" w:id="0">
    <w:p w14:paraId="064FEB2A" w14:textId="77777777" w:rsidR="00A807A7" w:rsidRDefault="00A807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FEB48"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7F1E1E1" w14:textId="77777777" w:rsidR="00C27A4B" w:rsidRDefault="00864664">
    <w:pPr>
      <w:pStyle w:val="Footer"/>
      <w:ind w:right="360"/>
    </w:pPr>
  </w:p>
  <w:p w14:paraId="55733B78" w14:textId="77777777" w:rsidR="00C27A4B" w:rsidRDefault="00864664"/>
  <w:p w14:paraId="40BD566A" w14:textId="77777777" w:rsidR="00C27A4B" w:rsidRDefault="00864664"/>
  <w:p w14:paraId="3AA908F5" w14:textId="77777777" w:rsidR="00C27A4B" w:rsidRDefault="00864664"/>
  <w:p w14:paraId="01C980CA" w14:textId="77777777" w:rsidR="00C27A4B" w:rsidRDefault="00864664"/>
  <w:p w14:paraId="2A5E7A6F" w14:textId="77777777" w:rsidR="00C27A4B" w:rsidRDefault="008646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467EA" w14:textId="77777777" w:rsidR="00A807A7" w:rsidRDefault="00A807A7">
      <w:pPr>
        <w:spacing w:after="0"/>
      </w:pPr>
      <w:r>
        <w:separator/>
      </w:r>
    </w:p>
  </w:footnote>
  <w:footnote w:type="continuationSeparator" w:id="0">
    <w:p w14:paraId="33C4A44F" w14:textId="77777777" w:rsidR="00A807A7" w:rsidRDefault="00A807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72FB2" w14:textId="77777777" w:rsidR="00C27A4B" w:rsidRDefault="00864664"/>
  <w:p w14:paraId="21BD65CE" w14:textId="77777777" w:rsidR="00C27A4B" w:rsidRDefault="008646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BE79B" w14:textId="77777777" w:rsidR="00C27A4B" w:rsidRPr="00A807A7" w:rsidRDefault="00A807A7" w:rsidP="00A807A7">
    <w:pPr>
      <w:pStyle w:val="ListParagraph"/>
      <w:ind w:left="0"/>
      <w:jc w:val="center"/>
      <w:rPr>
        <w:color w:val="117DC7"/>
        <w:sz w:val="24"/>
        <w:szCs w:val="24"/>
      </w:rPr>
    </w:pPr>
    <w:r w:rsidRPr="00A807A7">
      <w:rPr>
        <w:sz w:val="24"/>
        <w:szCs w:val="24"/>
      </w:rPr>
      <w:fldChar w:fldCharType="begin"/>
    </w:r>
    <w:r w:rsidRPr="00A807A7">
      <w:rPr>
        <w:sz w:val="24"/>
        <w:szCs w:val="24"/>
      </w:rPr>
      <w:instrText xml:space="preserve"> PAGE   \* MERGEFORMAT </w:instrText>
    </w:r>
    <w:r w:rsidRPr="00A807A7">
      <w:rPr>
        <w:sz w:val="24"/>
        <w:szCs w:val="24"/>
      </w:rPr>
      <w:fldChar w:fldCharType="separate"/>
    </w:r>
    <w:r w:rsidR="00864664">
      <w:rPr>
        <w:noProof/>
        <w:sz w:val="24"/>
        <w:szCs w:val="24"/>
      </w:rPr>
      <w:t>2</w:t>
    </w:r>
    <w:r w:rsidRPr="00A807A7">
      <w:rPr>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6A450" w14:textId="77777777" w:rsidR="00C27A4B" w:rsidRDefault="00864664">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333E7B"/>
    <w:multiLevelType w:val="hybridMultilevel"/>
    <w:tmpl w:val="48484D1E"/>
    <w:lvl w:ilvl="0" w:tplc="EB5E26DE">
      <w:start w:val="1"/>
      <w:numFmt w:val="decimal"/>
      <w:lvlText w:val="%1."/>
      <w:lvlJc w:val="left"/>
      <w:pPr>
        <w:ind w:left="1591" w:hanging="720"/>
      </w:pPr>
      <w:rPr>
        <w:rFonts w:ascii="Arial" w:eastAsia="Arial" w:hAnsi="Arial" w:cs="Times New Roman"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9"/>
  </w:num>
  <w:num w:numId="4">
    <w:abstractNumId w:val="12"/>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A7"/>
    <w:rsid w:val="000022A5"/>
    <w:rsid w:val="000047C0"/>
    <w:rsid w:val="000076D6"/>
    <w:rsid w:val="00014A91"/>
    <w:rsid w:val="000229A2"/>
    <w:rsid w:val="0002742C"/>
    <w:rsid w:val="000313C0"/>
    <w:rsid w:val="00064AA3"/>
    <w:rsid w:val="000A23FE"/>
    <w:rsid w:val="000A5E59"/>
    <w:rsid w:val="000D30B5"/>
    <w:rsid w:val="000F4965"/>
    <w:rsid w:val="0010039B"/>
    <w:rsid w:val="001068FE"/>
    <w:rsid w:val="00113ABC"/>
    <w:rsid w:val="00132134"/>
    <w:rsid w:val="0016106E"/>
    <w:rsid w:val="001612D7"/>
    <w:rsid w:val="00166F9A"/>
    <w:rsid w:val="00183412"/>
    <w:rsid w:val="001971D7"/>
    <w:rsid w:val="001A655D"/>
    <w:rsid w:val="001A6845"/>
    <w:rsid w:val="001B00E6"/>
    <w:rsid w:val="001C419F"/>
    <w:rsid w:val="001C56F8"/>
    <w:rsid w:val="001E5768"/>
    <w:rsid w:val="001F1A8C"/>
    <w:rsid w:val="001F27F0"/>
    <w:rsid w:val="001F6BF7"/>
    <w:rsid w:val="00283C8E"/>
    <w:rsid w:val="002F157B"/>
    <w:rsid w:val="00336B33"/>
    <w:rsid w:val="00357EE0"/>
    <w:rsid w:val="00372B2A"/>
    <w:rsid w:val="003834FF"/>
    <w:rsid w:val="00392934"/>
    <w:rsid w:val="003C3285"/>
    <w:rsid w:val="003C70C6"/>
    <w:rsid w:val="003F5FF5"/>
    <w:rsid w:val="00410C28"/>
    <w:rsid w:val="00443289"/>
    <w:rsid w:val="00446855"/>
    <w:rsid w:val="004557C4"/>
    <w:rsid w:val="00460854"/>
    <w:rsid w:val="00467F00"/>
    <w:rsid w:val="004B21BF"/>
    <w:rsid w:val="004B2358"/>
    <w:rsid w:val="004B5ACB"/>
    <w:rsid w:val="004C4C6C"/>
    <w:rsid w:val="004E364F"/>
    <w:rsid w:val="004F2CBE"/>
    <w:rsid w:val="004F4BE6"/>
    <w:rsid w:val="004F4E5E"/>
    <w:rsid w:val="00524478"/>
    <w:rsid w:val="00561B55"/>
    <w:rsid w:val="00562B96"/>
    <w:rsid w:val="00565338"/>
    <w:rsid w:val="00566D3A"/>
    <w:rsid w:val="0058137F"/>
    <w:rsid w:val="00584AD7"/>
    <w:rsid w:val="00587ABD"/>
    <w:rsid w:val="00592A28"/>
    <w:rsid w:val="00595357"/>
    <w:rsid w:val="0059678D"/>
    <w:rsid w:val="005A1995"/>
    <w:rsid w:val="005B0E3A"/>
    <w:rsid w:val="005B2902"/>
    <w:rsid w:val="005B7398"/>
    <w:rsid w:val="005D34C1"/>
    <w:rsid w:val="005F639A"/>
    <w:rsid w:val="00603809"/>
    <w:rsid w:val="0062051F"/>
    <w:rsid w:val="006227AB"/>
    <w:rsid w:val="00633E9D"/>
    <w:rsid w:val="00636746"/>
    <w:rsid w:val="00651D29"/>
    <w:rsid w:val="006638A8"/>
    <w:rsid w:val="00674429"/>
    <w:rsid w:val="00675478"/>
    <w:rsid w:val="006C7727"/>
    <w:rsid w:val="006F2A71"/>
    <w:rsid w:val="007550BA"/>
    <w:rsid w:val="007633EC"/>
    <w:rsid w:val="00776DAC"/>
    <w:rsid w:val="007820A5"/>
    <w:rsid w:val="0078217E"/>
    <w:rsid w:val="007B2277"/>
    <w:rsid w:val="007B70EC"/>
    <w:rsid w:val="007C64DB"/>
    <w:rsid w:val="007C7771"/>
    <w:rsid w:val="007D3AFA"/>
    <w:rsid w:val="00824309"/>
    <w:rsid w:val="00864664"/>
    <w:rsid w:val="008769A4"/>
    <w:rsid w:val="00893FEF"/>
    <w:rsid w:val="00895BCA"/>
    <w:rsid w:val="008A22E8"/>
    <w:rsid w:val="008C0CF9"/>
    <w:rsid w:val="009053AD"/>
    <w:rsid w:val="00930C4A"/>
    <w:rsid w:val="00933BF5"/>
    <w:rsid w:val="009340EE"/>
    <w:rsid w:val="00944D46"/>
    <w:rsid w:val="0095480A"/>
    <w:rsid w:val="009A77C5"/>
    <w:rsid w:val="009D4520"/>
    <w:rsid w:val="009E534D"/>
    <w:rsid w:val="009F1422"/>
    <w:rsid w:val="00A1362A"/>
    <w:rsid w:val="00A332A8"/>
    <w:rsid w:val="00A54CDD"/>
    <w:rsid w:val="00A57191"/>
    <w:rsid w:val="00A574E4"/>
    <w:rsid w:val="00A60A6D"/>
    <w:rsid w:val="00A63D36"/>
    <w:rsid w:val="00A807A7"/>
    <w:rsid w:val="00A85766"/>
    <w:rsid w:val="00A86080"/>
    <w:rsid w:val="00AA1F42"/>
    <w:rsid w:val="00AA2453"/>
    <w:rsid w:val="00AB2DE5"/>
    <w:rsid w:val="00AC02C2"/>
    <w:rsid w:val="00AC2648"/>
    <w:rsid w:val="00AD1203"/>
    <w:rsid w:val="00AD4271"/>
    <w:rsid w:val="00AE11B9"/>
    <w:rsid w:val="00AF4D3E"/>
    <w:rsid w:val="00B017D0"/>
    <w:rsid w:val="00B05943"/>
    <w:rsid w:val="00B16DE8"/>
    <w:rsid w:val="00B2118B"/>
    <w:rsid w:val="00B503B5"/>
    <w:rsid w:val="00B567A4"/>
    <w:rsid w:val="00B62F67"/>
    <w:rsid w:val="00B63D25"/>
    <w:rsid w:val="00B74B37"/>
    <w:rsid w:val="00B751A7"/>
    <w:rsid w:val="00B77503"/>
    <w:rsid w:val="00BA2977"/>
    <w:rsid w:val="00BE2357"/>
    <w:rsid w:val="00BE55B1"/>
    <w:rsid w:val="00BE61B5"/>
    <w:rsid w:val="00C01337"/>
    <w:rsid w:val="00C03474"/>
    <w:rsid w:val="00C041D7"/>
    <w:rsid w:val="00C20D4F"/>
    <w:rsid w:val="00C327A7"/>
    <w:rsid w:val="00C36883"/>
    <w:rsid w:val="00C63179"/>
    <w:rsid w:val="00C856FC"/>
    <w:rsid w:val="00C858D3"/>
    <w:rsid w:val="00CA3BA3"/>
    <w:rsid w:val="00CA3F87"/>
    <w:rsid w:val="00CB516F"/>
    <w:rsid w:val="00D05EF4"/>
    <w:rsid w:val="00D31A57"/>
    <w:rsid w:val="00D42C9D"/>
    <w:rsid w:val="00D47F78"/>
    <w:rsid w:val="00D51149"/>
    <w:rsid w:val="00D53301"/>
    <w:rsid w:val="00D578FE"/>
    <w:rsid w:val="00D6192D"/>
    <w:rsid w:val="00D7088C"/>
    <w:rsid w:val="00D930D6"/>
    <w:rsid w:val="00D95B3E"/>
    <w:rsid w:val="00DA41A7"/>
    <w:rsid w:val="00DB10A5"/>
    <w:rsid w:val="00DC6464"/>
    <w:rsid w:val="00E0290A"/>
    <w:rsid w:val="00E3574A"/>
    <w:rsid w:val="00E458BC"/>
    <w:rsid w:val="00E46CED"/>
    <w:rsid w:val="00E50B9F"/>
    <w:rsid w:val="00E622EB"/>
    <w:rsid w:val="00EA0646"/>
    <w:rsid w:val="00ED0F37"/>
    <w:rsid w:val="00F470C8"/>
    <w:rsid w:val="00F7381B"/>
    <w:rsid w:val="00F75BDA"/>
    <w:rsid w:val="00F90A47"/>
    <w:rsid w:val="00FA1479"/>
    <w:rsid w:val="00FA1A8E"/>
    <w:rsid w:val="00FE2E04"/>
    <w:rsid w:val="00FF5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FA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ecm.a1.asic.gov.au/activities/mcemrpp/PolicyProjects/Fundraising%20Sunsetting%202015-2016/Explanatory%20Statements/Explanatory%20Statement%20ASIC%20Corporations%20(Options%20-%20Bonus%20Issues)%20Instrument%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ateOrder12 xmlns="da7a9ac0-bc47-4684-84e6-3a8e9ac80c12">false</SenateOrder12>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Reviewers xmlns="17f478ab-373e-4295-9ff0-9b833ad01319">
      <UserInfo>
        <DisplayName/>
        <AccountId xsi:nil="true"/>
        <AccountType/>
      </UserInfo>
    </Reviewers>
    <Approvers xmlns="17f478ab-373e-4295-9ff0-9b833ad01319">
      <UserInfo>
        <DisplayName/>
        <AccountId xsi:nil="true"/>
        <AccountType/>
      </UserInfo>
    </Approvers>
    <TaxCatchAll xmlns="e9348453-31dc-4ff8-a944-f262a0a992aa">
      <Value>6</Value>
      <Value>45</Value>
      <Value>35</Value>
    </TaxCatchAll>
    <SignificantFlag xmlns="da7a9ac0-bc47-4684-84e6-3a8e9ac80c12">false</SignificantFlag>
    <RecordNumber xmlns="da7a9ac0-bc47-4684-84e6-3a8e9ac80c12">R20160000140614</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 xmlns="http://schemas.microsoft.com/office/infopath/2007/PartnerControls">Fundraising</TermName>
          <TermId xmlns="http://schemas.microsoft.com/office/infopath/2007/PartnerControls">57247f8c-7a2c-4c30-b3fe-5e4b2518355f</TermId>
        </TermInfo>
      </Terms>
    </o6f7b05c02124a86ab66ebac6d22533a>
    <f81d19442bcb4ccea91b7b9f4cc7063b xmlns="da7a9ac0-bc47-4684-84e6-3a8e9ac80c12" xsi:nil="true"/>
    <ded95d7ab059406991d558011d18c177 xmlns="da7a9ac0-bc47-4684-84e6-3a8e9ac80c12" xsi:nil="true"/>
    <j13b61425a27404b97e911f7cc058c3a xmlns="da7a9ac0-bc47-4684-84e6-3a8e9ac80c12" xsi:nil="true"/>
    <k48e9257605e4fa884546a6d62c7455f xmlns="e9348453-31dc-4ff8-a944-f262a0a992aa">
      <Terms xmlns="http://schemas.microsoft.com/office/infopath/2007/PartnerControls"/>
    </k48e9257605e4fa884546a6d62c7455f>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 xmlns="http://schemas.microsoft.com/office/infopath/2007/PartnerControls">Draft information sheet / guidance</TermName>
          <TermId xmlns="http://schemas.microsoft.com/office/infopath/2007/PartnerControls">4033bbf5-a63e-4c78-b5db-d9e223685187</TermId>
        </TermInfo>
      </Terms>
    </be88c94b67ae4f5686cb52243c3cb97f>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ADBE9-6339-4E4A-A68B-A629A827BC98}"/>
</file>

<file path=customXml/itemProps2.xml><?xml version="1.0" encoding="utf-8"?>
<ds:datastoreItem xmlns:ds="http://schemas.openxmlformats.org/officeDocument/2006/customXml" ds:itemID="{D64AF1CA-D6CB-447A-A0CD-3209B5CF54E8}"/>
</file>

<file path=customXml/itemProps3.xml><?xml version="1.0" encoding="utf-8"?>
<ds:datastoreItem xmlns:ds="http://schemas.openxmlformats.org/officeDocument/2006/customXml" ds:itemID="{D44B1B69-4C65-4FF1-8602-F07D8E940F59}"/>
</file>

<file path=customXml/itemProps4.xml><?xml version="1.0" encoding="utf-8"?>
<ds:datastoreItem xmlns:ds="http://schemas.openxmlformats.org/officeDocument/2006/customXml" ds:itemID="{6B324CC1-EDE2-4EF9-98C3-A72B825C518F}"/>
</file>

<file path=customXml/itemProps5.xml><?xml version="1.0" encoding="utf-8"?>
<ds:datastoreItem xmlns:ds="http://schemas.openxmlformats.org/officeDocument/2006/customXml" ds:itemID="{6F756A26-E7C4-4228-ADF8-CE9FEB0ACFBD}"/>
</file>

<file path=docProps/app.xml><?xml version="1.0" encoding="utf-8"?>
<Properties xmlns="http://schemas.openxmlformats.org/officeDocument/2006/extended-properties" xmlns:vt="http://schemas.openxmlformats.org/officeDocument/2006/docPropsVTypes">
  <Template>Explanatory%20Statement%20ASIC%20Corporations%20(Options%20-%20Bonus%20Issues)%20Instrument%202015.dotx</Template>
  <TotalTime>0</TotalTime>
  <Pages>5</Pages>
  <Words>1485</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
  <cp:lastModifiedBy>michael.jukes</cp:lastModifiedBy>
  <cp:revision>3</cp:revision>
  <cp:lastPrinted>2014-12-11T03:51:00Z</cp:lastPrinted>
  <dcterms:created xsi:type="dcterms:W3CDTF">2016-03-07T06:49:00Z</dcterms:created>
  <dcterms:modified xsi:type="dcterms:W3CDTF">2016-03-10T01:51:00Z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C312064</vt:lpwstr>
  </property>
  <property fmtid="{D5CDD505-2E9C-101B-9397-08002B2CF9AE}" pid="4" name="Objective-Title">
    <vt:lpwstr>Explanatory Statement ASIC Corporations (Bonus issue of options - application form and advertising relief) instrument 2015</vt:lpwstr>
  </property>
  <property fmtid="{D5CDD505-2E9C-101B-9397-08002B2CF9AE}" pid="5" name="Objective-Comment">
    <vt:lpwstr>
    </vt:lpwstr>
  </property>
  <property fmtid="{D5CDD505-2E9C-101B-9397-08002B2CF9AE}" pid="6" name="Objective-CreationStamp">
    <vt:filetime>2014-11-27T00:59:05Z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2016-01-22T11:58:14Z</vt:filetime>
  </property>
  <property fmtid="{D5CDD505-2E9C-101B-9397-08002B2CF9AE}" pid="10" name="Objective-ModificationStamp">
    <vt:filetime>2016-01-22T11:40:53Z</vt:filetime>
  </property>
  <property fmtid="{D5CDD505-2E9C-101B-9397-08002B2CF9AE}" pid="11" name="Objective-Owner">
    <vt:lpwstr>Ben.Phillips</vt:lpwstr>
  </property>
  <property fmtid="{D5CDD505-2E9C-101B-9397-08002B2CF9AE}" pid="12" name="Objective-Path">
    <vt:lpwstr>BCS:ASIC:REGULATION &amp; COMPLIANCE:Business Activity Projects:Corporations Projects:Market Disclosure:Fundraising Sunsetting Project:Explanatory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Order">
    <vt:r8>13800</vt:r8>
  </property>
  <property fmtid="{D5CDD505-2E9C-101B-9397-08002B2CF9AE}" pid="23" name="MailAttachments">
    <vt:bool>false</vt:bool>
  </property>
  <property fmtid="{D5CDD505-2E9C-101B-9397-08002B2CF9AE}" pid="24" name="ContentTypeId">
    <vt:lpwstr>0x010100B5F685A1365F544391EF8C813B164F3A4500EE62F54289E0A64A971A02886F5F2428</vt:lpwstr>
  </property>
  <property fmtid="{D5CDD505-2E9C-101B-9397-08002B2CF9AE}" pid="25" name="SecurityClassification">
    <vt:lpwstr>6;#Sensitive|19fd2cb8-3e97-4464-ae71-8c2c2095d028</vt:lpwstr>
  </property>
  <property fmtid="{D5CDD505-2E9C-101B-9397-08002B2CF9AE}" pid="26" name="Project Subject Matter">
    <vt:lpwstr>35;#Fundraising|57247f8c-7a2c-4c30-b3fe-5e4b2518355f</vt:lpwstr>
  </property>
  <property fmtid="{D5CDD505-2E9C-101B-9397-08002B2CF9AE}" pid="27" name="Corps_x0020_and_x0020_EMR_x0020_Project_x0020_Category">
    <vt:lpwstr/>
  </property>
  <property fmtid="{D5CDD505-2E9C-101B-9397-08002B2CF9AE}" pid="28" name="Coprs and EMR Project Document Type">
    <vt:lpwstr>45;#Draft information sheet / guidance|4033bbf5-a63e-4c78-b5db-d9e223685187</vt:lpwstr>
  </property>
  <property fmtid="{D5CDD505-2E9C-101B-9397-08002B2CF9AE}" pid="29" name="Corps and EMR Project Category">
    <vt:lpwstr/>
  </property>
  <property fmtid="{D5CDD505-2E9C-101B-9397-08002B2CF9AE}" pid="30" name="RecordPoint_WorkflowType">
    <vt:lpwstr>ActiveSubmitStub</vt:lpwstr>
  </property>
  <property fmtid="{D5CDD505-2E9C-101B-9397-08002B2CF9AE}" pid="31" name="RecordPoint_ActiveItemWebId">
    <vt:lpwstr>{e9348453-31dc-4ff8-a944-f262a0a992aa}</vt:lpwstr>
  </property>
  <property fmtid="{D5CDD505-2E9C-101B-9397-08002B2CF9AE}" pid="32" name="RecordPoint_ActiveItemSiteId">
    <vt:lpwstr>{391948b1-0a6e-44a7-97de-e041c6b33d8e}</vt:lpwstr>
  </property>
  <property fmtid="{D5CDD505-2E9C-101B-9397-08002B2CF9AE}" pid="33" name="RecordPoint_ActiveItemListId">
    <vt:lpwstr>{cc56f702-e3e0-43ff-9052-466a84efb4bf}</vt:lpwstr>
  </property>
  <property fmtid="{D5CDD505-2E9C-101B-9397-08002B2CF9AE}" pid="34" name="RecordPoint_ActiveItemUniqueId">
    <vt:lpwstr>{5d94fae2-4b55-451a-8938-371b5f915aa1}</vt:lpwstr>
  </property>
  <property fmtid="{D5CDD505-2E9C-101B-9397-08002B2CF9AE}" pid="35" name="RecordPoint_RecordNumberSubmitted">
    <vt:lpwstr>R20160000140614</vt:lpwstr>
  </property>
  <property fmtid="{D5CDD505-2E9C-101B-9397-08002B2CF9AE}" pid="36" name="IconOverlay">
    <vt:lpwstr/>
  </property>
  <property fmtid="{D5CDD505-2E9C-101B-9397-08002B2CF9AE}" pid="37" name="RecordPoint_SubmissionCompleted">
    <vt:lpwstr>2016-03-10T04:16:55.4848443+11:00</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ies>
</file>