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FB8F73" w14:textId="77777777" w:rsidR="00AC02C2" w:rsidRDefault="00AC02C2" w:rsidP="00FA1686">
      <w:pPr>
        <w:pStyle w:val="Title"/>
        <w:spacing w:after="0"/>
      </w:pPr>
      <w:bookmarkStart w:id="0" w:name="_GoBack"/>
      <w:bookmarkEnd w:id="0"/>
    </w:p>
    <w:p w14:paraId="640E948C" w14:textId="77777777" w:rsidR="00FA1686" w:rsidRDefault="005B0E3A" w:rsidP="00FA1686">
      <w:pPr>
        <w:spacing w:after="0"/>
        <w:jc w:val="center"/>
        <w:rPr>
          <w:b/>
          <w:color w:val="000000"/>
          <w:spacing w:val="-1"/>
          <w:sz w:val="28"/>
        </w:rPr>
      </w:pPr>
      <w:r>
        <w:rPr>
          <w:b/>
          <w:color w:val="000000"/>
          <w:sz w:val="28"/>
        </w:rPr>
        <w:t>EXPLANATORY</w:t>
      </w:r>
      <w:r>
        <w:rPr>
          <w:b/>
          <w:color w:val="000000"/>
          <w:spacing w:val="-39"/>
          <w:sz w:val="28"/>
        </w:rPr>
        <w:t xml:space="preserve"> </w:t>
      </w:r>
      <w:r>
        <w:rPr>
          <w:b/>
          <w:color w:val="000000"/>
          <w:spacing w:val="-1"/>
          <w:sz w:val="28"/>
        </w:rPr>
        <w:t xml:space="preserve">STATEMENT for </w:t>
      </w:r>
    </w:p>
    <w:p w14:paraId="67FB8F74" w14:textId="372BBC71" w:rsidR="005B0E3A" w:rsidRDefault="005B0E3A" w:rsidP="00FA1686">
      <w:pPr>
        <w:spacing w:after="0"/>
        <w:jc w:val="center"/>
        <w:rPr>
          <w:b/>
          <w:color w:val="000000"/>
          <w:spacing w:val="-1"/>
          <w:sz w:val="28"/>
        </w:rPr>
      </w:pPr>
      <w:r>
        <w:rPr>
          <w:b/>
          <w:color w:val="000000"/>
          <w:spacing w:val="-1"/>
          <w:sz w:val="28"/>
        </w:rPr>
        <w:br/>
      </w:r>
      <w:r w:rsidR="00FA1686" w:rsidRPr="00286533">
        <w:rPr>
          <w:b/>
          <w:color w:val="000000"/>
          <w:spacing w:val="-1"/>
          <w:sz w:val="28"/>
        </w:rPr>
        <w:t>ASIC CORPORATIONS (</w:t>
      </w:r>
      <w:r w:rsidR="00FA1686">
        <w:rPr>
          <w:b/>
          <w:color w:val="000000"/>
          <w:spacing w:val="-1"/>
          <w:sz w:val="28"/>
        </w:rPr>
        <w:t>EXPOSURE PERIOD) INSTRUMENT 2016/74</w:t>
      </w:r>
    </w:p>
    <w:p w14:paraId="3CE1A2B5" w14:textId="77777777" w:rsidR="00FA1686" w:rsidRDefault="00FA1686" w:rsidP="00FA1686">
      <w:pPr>
        <w:spacing w:after="0"/>
        <w:jc w:val="center"/>
        <w:rPr>
          <w:sz w:val="28"/>
          <w:szCs w:val="28"/>
        </w:rPr>
      </w:pPr>
    </w:p>
    <w:p w14:paraId="67FB8F75" w14:textId="77777777" w:rsidR="005B0E3A" w:rsidRDefault="005B0E3A" w:rsidP="00FA1686">
      <w:pPr>
        <w:pStyle w:val="BodyText"/>
        <w:spacing w:before="0" w:line="240" w:lineRule="auto"/>
        <w:jc w:val="center"/>
      </w:pPr>
      <w:r>
        <w:t>Prepared by the Australian Securities and Investments Commission</w:t>
      </w:r>
    </w:p>
    <w:p w14:paraId="67FB8F76" w14:textId="77777777" w:rsidR="005B0E3A" w:rsidRDefault="005B0E3A" w:rsidP="00FA1686">
      <w:pPr>
        <w:spacing w:after="0"/>
        <w:jc w:val="center"/>
      </w:pPr>
    </w:p>
    <w:p w14:paraId="67FB8F77" w14:textId="77777777" w:rsidR="005B0E3A" w:rsidRDefault="005B0E3A" w:rsidP="00FA1686">
      <w:pPr>
        <w:spacing w:after="0"/>
        <w:jc w:val="center"/>
        <w:rPr>
          <w:sz w:val="24"/>
          <w:szCs w:val="24"/>
        </w:rPr>
      </w:pPr>
      <w:r>
        <w:rPr>
          <w:i/>
          <w:sz w:val="24"/>
        </w:rPr>
        <w:t>Corporations Act 2001</w:t>
      </w:r>
    </w:p>
    <w:p w14:paraId="67FB8F78" w14:textId="77777777" w:rsidR="00DB6845" w:rsidRDefault="00DB6845" w:rsidP="00FA1686">
      <w:pPr>
        <w:pStyle w:val="BodyText"/>
        <w:spacing w:before="0" w:line="240" w:lineRule="auto"/>
        <w:jc w:val="both"/>
      </w:pPr>
    </w:p>
    <w:p w14:paraId="21C9D974" w14:textId="4D5652E6" w:rsidR="00A24796" w:rsidRPr="00A24796" w:rsidRDefault="00A24796" w:rsidP="00FA1686">
      <w:pPr>
        <w:pStyle w:val="BodyText"/>
        <w:spacing w:before="0" w:line="240" w:lineRule="auto"/>
        <w:rPr>
          <w:spacing w:val="-1"/>
        </w:rPr>
      </w:pPr>
      <w:r w:rsidRPr="00A24796">
        <w:rPr>
          <w:spacing w:val="-1"/>
        </w:rPr>
        <w:t>The Australian Securities and Investments Commission (</w:t>
      </w:r>
      <w:r w:rsidRPr="00FA1686">
        <w:rPr>
          <w:b/>
          <w:i/>
          <w:spacing w:val="-1"/>
        </w:rPr>
        <w:t>ASIC</w:t>
      </w:r>
      <w:r w:rsidRPr="00A24796">
        <w:rPr>
          <w:spacing w:val="-1"/>
        </w:rPr>
        <w:t xml:space="preserve">) makes </w:t>
      </w:r>
      <w:r w:rsidRPr="00A24796">
        <w:rPr>
          <w:i/>
          <w:spacing w:val="-1"/>
        </w:rPr>
        <w:t>ASIC Corporations (</w:t>
      </w:r>
      <w:r>
        <w:rPr>
          <w:i/>
          <w:spacing w:val="-1"/>
        </w:rPr>
        <w:t>Exposure Period</w:t>
      </w:r>
      <w:r w:rsidR="007C2359">
        <w:rPr>
          <w:i/>
          <w:spacing w:val="-1"/>
        </w:rPr>
        <w:t>) Instrument 2016</w:t>
      </w:r>
      <w:r w:rsidR="00FA1686">
        <w:rPr>
          <w:i/>
          <w:spacing w:val="-1"/>
        </w:rPr>
        <w:t>/74</w:t>
      </w:r>
      <w:r w:rsidRPr="00A24796">
        <w:rPr>
          <w:spacing w:val="-1"/>
        </w:rPr>
        <w:t xml:space="preserve"> under section</w:t>
      </w:r>
      <w:r w:rsidR="00927361">
        <w:rPr>
          <w:spacing w:val="-1"/>
        </w:rPr>
        <w:t>s</w:t>
      </w:r>
      <w:r w:rsidRPr="00A24796">
        <w:rPr>
          <w:spacing w:val="-1"/>
        </w:rPr>
        <w:t xml:space="preserve"> 741</w:t>
      </w:r>
      <w:r w:rsidR="00927361">
        <w:rPr>
          <w:spacing w:val="-1"/>
        </w:rPr>
        <w:t xml:space="preserve"> and 1020F</w:t>
      </w:r>
      <w:r w:rsidRPr="00A24796">
        <w:rPr>
          <w:spacing w:val="-1"/>
        </w:rPr>
        <w:t xml:space="preserve"> of the </w:t>
      </w:r>
      <w:r w:rsidRPr="00A24796">
        <w:rPr>
          <w:i/>
          <w:spacing w:val="-1"/>
        </w:rPr>
        <w:t xml:space="preserve">Corporations Act 2001 </w:t>
      </w:r>
      <w:r w:rsidRPr="00A24796">
        <w:rPr>
          <w:spacing w:val="-1"/>
        </w:rPr>
        <w:t xml:space="preserve">(the </w:t>
      </w:r>
      <w:r w:rsidRPr="00A24796">
        <w:rPr>
          <w:b/>
          <w:i/>
          <w:spacing w:val="-1"/>
        </w:rPr>
        <w:t>Act</w:t>
      </w:r>
      <w:r w:rsidRPr="00A24796">
        <w:rPr>
          <w:spacing w:val="-1"/>
        </w:rPr>
        <w:t xml:space="preserve">). </w:t>
      </w:r>
    </w:p>
    <w:p w14:paraId="709F514E" w14:textId="77777777" w:rsidR="00A24796" w:rsidRPr="00A24796" w:rsidRDefault="00A24796" w:rsidP="00FA1686">
      <w:pPr>
        <w:pStyle w:val="BodyText"/>
        <w:spacing w:before="0" w:line="240" w:lineRule="auto"/>
        <w:rPr>
          <w:spacing w:val="-1"/>
        </w:rPr>
      </w:pPr>
    </w:p>
    <w:p w14:paraId="67FB8F8A" w14:textId="62599AE1" w:rsidR="00FC48B6" w:rsidRPr="00FA1686" w:rsidRDefault="00927361" w:rsidP="00FA1686">
      <w:pPr>
        <w:pStyle w:val="BodyText"/>
        <w:spacing w:before="0" w:line="240" w:lineRule="auto"/>
        <w:rPr>
          <w:spacing w:val="-1"/>
        </w:rPr>
      </w:pPr>
      <w:r>
        <w:rPr>
          <w:spacing w:val="-1"/>
        </w:rPr>
        <w:t xml:space="preserve">Paragraphs 741(1)(a) and 1020F(1)(a) </w:t>
      </w:r>
      <w:r w:rsidR="00A24796" w:rsidRPr="00A24796">
        <w:rPr>
          <w:spacing w:val="-1"/>
        </w:rPr>
        <w:t xml:space="preserve">of the Act provide that ASIC may exempt </w:t>
      </w:r>
      <w:r>
        <w:rPr>
          <w:spacing w:val="-1"/>
        </w:rPr>
        <w:t xml:space="preserve">a person </w:t>
      </w:r>
      <w:r w:rsidR="00A24796" w:rsidRPr="00A24796">
        <w:rPr>
          <w:spacing w:val="-1"/>
        </w:rPr>
        <w:t>from all or specified provisions of Cha</w:t>
      </w:r>
      <w:r>
        <w:rPr>
          <w:spacing w:val="-1"/>
        </w:rPr>
        <w:t>p</w:t>
      </w:r>
      <w:r w:rsidR="00A24796" w:rsidRPr="00A24796">
        <w:rPr>
          <w:spacing w:val="-1"/>
        </w:rPr>
        <w:t xml:space="preserve">ter 6D </w:t>
      </w:r>
      <w:r>
        <w:rPr>
          <w:spacing w:val="-1"/>
        </w:rPr>
        <w:t xml:space="preserve">and Part 7.9 </w:t>
      </w:r>
      <w:r w:rsidR="00A24796" w:rsidRPr="00A24796">
        <w:rPr>
          <w:spacing w:val="-1"/>
        </w:rPr>
        <w:t>of the Act</w:t>
      </w:r>
      <w:r>
        <w:rPr>
          <w:spacing w:val="-1"/>
        </w:rPr>
        <w:t>.</w:t>
      </w:r>
      <w:r w:rsidR="00A24796" w:rsidRPr="00A24796">
        <w:rPr>
          <w:spacing w:val="-1"/>
        </w:rPr>
        <w:t xml:space="preserve"> </w:t>
      </w:r>
    </w:p>
    <w:p w14:paraId="67FB8F8B" w14:textId="77777777" w:rsidR="009D73CD" w:rsidRPr="00286533" w:rsidRDefault="009D73CD" w:rsidP="00FA1686">
      <w:pPr>
        <w:pStyle w:val="BodyText"/>
        <w:spacing w:before="0" w:line="240" w:lineRule="auto"/>
        <w:rPr>
          <w:highlight w:val="yellow"/>
        </w:rPr>
      </w:pPr>
    </w:p>
    <w:p w14:paraId="67FB8F8C" w14:textId="77777777" w:rsidR="005B0E3A" w:rsidRPr="00FC48B6" w:rsidRDefault="005B0E3A" w:rsidP="00FA1686">
      <w:pPr>
        <w:widowControl w:val="0"/>
        <w:numPr>
          <w:ilvl w:val="0"/>
          <w:numId w:val="7"/>
        </w:numPr>
        <w:tabs>
          <w:tab w:val="left" w:pos="567"/>
        </w:tabs>
        <w:spacing w:after="0"/>
        <w:ind w:left="0" w:firstLine="0"/>
        <w:rPr>
          <w:rFonts w:ascii="Arial" w:eastAsia="Arial" w:hAnsi="Arial" w:cs="Arial"/>
          <w:sz w:val="24"/>
          <w:szCs w:val="24"/>
        </w:rPr>
      </w:pPr>
      <w:bookmarkStart w:id="1" w:name="1._Background"/>
      <w:bookmarkEnd w:id="1"/>
      <w:r w:rsidRPr="00FC48B6">
        <w:rPr>
          <w:rFonts w:ascii="Arial"/>
          <w:b/>
          <w:spacing w:val="-1"/>
          <w:sz w:val="24"/>
        </w:rPr>
        <w:t>Background</w:t>
      </w:r>
    </w:p>
    <w:p w14:paraId="67FB8F8D" w14:textId="77777777" w:rsidR="00566718" w:rsidRDefault="00566718" w:rsidP="00FA1686">
      <w:pPr>
        <w:pStyle w:val="ListParagraph"/>
        <w:overflowPunct w:val="0"/>
        <w:autoSpaceDE w:val="0"/>
        <w:autoSpaceDN w:val="0"/>
        <w:adjustRightInd w:val="0"/>
        <w:spacing w:after="0"/>
        <w:ind w:left="0"/>
        <w:contextualSpacing w:val="0"/>
        <w:textAlignment w:val="baseline"/>
        <w:rPr>
          <w:sz w:val="24"/>
          <w:szCs w:val="24"/>
          <w:highlight w:val="yellow"/>
        </w:rPr>
      </w:pPr>
    </w:p>
    <w:p w14:paraId="73EE45B8" w14:textId="77777777" w:rsidR="00A24796" w:rsidRPr="00D809C4" w:rsidRDefault="00A24796" w:rsidP="00FA1686">
      <w:pPr>
        <w:pStyle w:val="ListParagraph"/>
        <w:spacing w:after="0"/>
        <w:ind w:left="0"/>
        <w:contextualSpacing w:val="0"/>
        <w:rPr>
          <w:sz w:val="24"/>
          <w:szCs w:val="24"/>
        </w:rPr>
      </w:pPr>
      <w:r w:rsidRPr="00D809C4">
        <w:rPr>
          <w:sz w:val="24"/>
          <w:szCs w:val="24"/>
        </w:rPr>
        <w:t>Chapter 6D of the Act establishes the statutory regime applying to fundraising through the offer of securities for issue or sale in Australia. It addresses the circumstances in which a person offering securities for issue or sale must lodge a disclosure document with ASIC and the relevant form, content and procedural requirements applying to that disclosure document. Chapter 6D also sets out certain prohibited conduct in relation to fundraising activity and outlines the circumstances in and extent to which persons may be liable for defective disclosure documents. Chapter 6D also provides certain statutory remedies for investors.</w:t>
      </w:r>
    </w:p>
    <w:p w14:paraId="24EE3E99" w14:textId="77777777" w:rsidR="00A24796" w:rsidRPr="00A24796" w:rsidRDefault="00A24796" w:rsidP="00FA1686">
      <w:pPr>
        <w:pStyle w:val="ListParagraph"/>
        <w:spacing w:after="0"/>
        <w:ind w:left="0"/>
        <w:contextualSpacing w:val="0"/>
        <w:rPr>
          <w:szCs w:val="24"/>
        </w:rPr>
      </w:pPr>
    </w:p>
    <w:p w14:paraId="16F5AA6B" w14:textId="77777777" w:rsidR="00A24796" w:rsidRPr="00A24796" w:rsidRDefault="00A24796" w:rsidP="00FA1686">
      <w:pPr>
        <w:pStyle w:val="ListParagraph"/>
        <w:spacing w:after="0"/>
        <w:ind w:left="0"/>
        <w:contextualSpacing w:val="0"/>
        <w:rPr>
          <w:sz w:val="24"/>
          <w:szCs w:val="24"/>
        </w:rPr>
      </w:pPr>
      <w:r w:rsidRPr="00A24796">
        <w:rPr>
          <w:sz w:val="24"/>
          <w:szCs w:val="24"/>
        </w:rPr>
        <w:t xml:space="preserve">The statutory regime applying to fundraising through the offer of securities for issue or sale was substantially rewritten in March 2000 by the </w:t>
      </w:r>
      <w:r w:rsidRPr="00A24796">
        <w:rPr>
          <w:i/>
          <w:sz w:val="24"/>
          <w:szCs w:val="24"/>
        </w:rPr>
        <w:t>Corporate Law Economic Reform Program Act 1999</w:t>
      </w:r>
      <w:r w:rsidRPr="00A24796">
        <w:rPr>
          <w:sz w:val="24"/>
          <w:szCs w:val="24"/>
        </w:rPr>
        <w:t xml:space="preserve"> (the </w:t>
      </w:r>
      <w:r w:rsidRPr="00A24796">
        <w:rPr>
          <w:b/>
          <w:i/>
          <w:sz w:val="24"/>
          <w:szCs w:val="24"/>
        </w:rPr>
        <w:t>CLERP Act</w:t>
      </w:r>
      <w:r w:rsidRPr="00A24796">
        <w:rPr>
          <w:sz w:val="24"/>
          <w:szCs w:val="24"/>
        </w:rPr>
        <w:t xml:space="preserve">). The CLERP Act amended the </w:t>
      </w:r>
      <w:r w:rsidRPr="00A24796">
        <w:rPr>
          <w:i/>
          <w:sz w:val="24"/>
          <w:szCs w:val="24"/>
        </w:rPr>
        <w:t>Corporations Law (</w:t>
      </w:r>
      <w:r w:rsidRPr="00A24796">
        <w:rPr>
          <w:sz w:val="24"/>
          <w:szCs w:val="24"/>
        </w:rPr>
        <w:t xml:space="preserve">the </w:t>
      </w:r>
      <w:r w:rsidRPr="00A24796">
        <w:rPr>
          <w:b/>
          <w:i/>
          <w:sz w:val="24"/>
          <w:szCs w:val="24"/>
        </w:rPr>
        <w:t>Law</w:t>
      </w:r>
      <w:r w:rsidRPr="00A24796">
        <w:rPr>
          <w:i/>
          <w:sz w:val="24"/>
          <w:szCs w:val="24"/>
        </w:rPr>
        <w:t>)</w:t>
      </w:r>
      <w:r w:rsidRPr="00A24796">
        <w:rPr>
          <w:sz w:val="24"/>
          <w:szCs w:val="24"/>
        </w:rPr>
        <w:t xml:space="preserve">  by repealing Part 7.12—which previously contained the fundraising provisions— and inserting  new Chapter 6D. Chapter 6D of the Law was retained in substantially the same form with the enactment of the Act in 2001.</w:t>
      </w:r>
    </w:p>
    <w:p w14:paraId="320C191D" w14:textId="77777777" w:rsidR="00A24796" w:rsidRPr="00A24796" w:rsidRDefault="00A24796" w:rsidP="00FA1686">
      <w:pPr>
        <w:pStyle w:val="ListParagraph"/>
        <w:spacing w:after="0"/>
        <w:ind w:left="0"/>
        <w:contextualSpacing w:val="0"/>
        <w:rPr>
          <w:sz w:val="24"/>
          <w:szCs w:val="24"/>
        </w:rPr>
      </w:pPr>
    </w:p>
    <w:p w14:paraId="78F41F06" w14:textId="3E71D640" w:rsidR="00A24796" w:rsidRDefault="005601E2" w:rsidP="00FA1686">
      <w:pPr>
        <w:pStyle w:val="ListParagraph"/>
        <w:spacing w:after="0"/>
        <w:ind w:left="0"/>
        <w:contextualSpacing w:val="0"/>
        <w:rPr>
          <w:sz w:val="24"/>
          <w:szCs w:val="24"/>
        </w:rPr>
      </w:pPr>
      <w:r w:rsidRPr="005601E2">
        <w:rPr>
          <w:sz w:val="24"/>
          <w:szCs w:val="24"/>
        </w:rPr>
        <w:t>Since the implementation of the CLERP Act, ASIC has made a number of exemptions from, and modifications to, the fundraising provisions in Chapter 6D with a view to addressing certain technical issues and anomalies in relation to their operation</w:t>
      </w:r>
      <w:r w:rsidR="00A24796" w:rsidRPr="00A24796">
        <w:rPr>
          <w:sz w:val="24"/>
          <w:szCs w:val="24"/>
        </w:rPr>
        <w:t xml:space="preserve">. </w:t>
      </w:r>
      <w:r w:rsidR="00A24796">
        <w:rPr>
          <w:sz w:val="24"/>
          <w:szCs w:val="24"/>
        </w:rPr>
        <w:t>These include:</w:t>
      </w:r>
    </w:p>
    <w:p w14:paraId="6D1EBAD5" w14:textId="77777777" w:rsidR="00FA1686" w:rsidRDefault="00FA1686" w:rsidP="00FA1686">
      <w:pPr>
        <w:pStyle w:val="ListParagraph"/>
        <w:spacing w:after="0"/>
        <w:ind w:left="0"/>
        <w:contextualSpacing w:val="0"/>
        <w:rPr>
          <w:sz w:val="24"/>
          <w:szCs w:val="24"/>
        </w:rPr>
      </w:pPr>
    </w:p>
    <w:p w14:paraId="7CC60251" w14:textId="04FC93E2" w:rsidR="00A24796" w:rsidRPr="00FA1686" w:rsidRDefault="00A24796" w:rsidP="00FA1686">
      <w:pPr>
        <w:pStyle w:val="ListParagraph"/>
        <w:numPr>
          <w:ilvl w:val="0"/>
          <w:numId w:val="43"/>
        </w:numPr>
        <w:spacing w:after="0"/>
        <w:ind w:left="567" w:hanging="567"/>
        <w:contextualSpacing w:val="0"/>
        <w:rPr>
          <w:sz w:val="24"/>
          <w:szCs w:val="24"/>
        </w:rPr>
      </w:pPr>
      <w:r w:rsidRPr="00A24796">
        <w:rPr>
          <w:sz w:val="24"/>
          <w:szCs w:val="24"/>
        </w:rPr>
        <w:t xml:space="preserve">ASIC Class Order </w:t>
      </w:r>
      <w:r>
        <w:rPr>
          <w:sz w:val="24"/>
          <w:szCs w:val="24"/>
        </w:rPr>
        <w:t>[CO 00/168</w:t>
      </w:r>
      <w:r w:rsidRPr="00A24796">
        <w:rPr>
          <w:sz w:val="24"/>
          <w:szCs w:val="24"/>
        </w:rPr>
        <w:t xml:space="preserve">] </w:t>
      </w:r>
      <w:r>
        <w:rPr>
          <w:i/>
          <w:sz w:val="24"/>
          <w:szCs w:val="24"/>
        </w:rPr>
        <w:t>Relief from exposure period: quoted securities</w:t>
      </w:r>
      <w:r w:rsidR="00FA1686" w:rsidRPr="00FA1686">
        <w:rPr>
          <w:sz w:val="24"/>
          <w:szCs w:val="24"/>
        </w:rPr>
        <w:t>;</w:t>
      </w:r>
    </w:p>
    <w:p w14:paraId="18FD9112" w14:textId="77777777" w:rsidR="00FA1686" w:rsidRPr="00A24796" w:rsidRDefault="00FA1686" w:rsidP="00FA1686">
      <w:pPr>
        <w:pStyle w:val="ListParagraph"/>
        <w:spacing w:after="0"/>
        <w:ind w:left="567"/>
        <w:contextualSpacing w:val="0"/>
        <w:rPr>
          <w:sz w:val="24"/>
          <w:szCs w:val="24"/>
        </w:rPr>
      </w:pPr>
    </w:p>
    <w:p w14:paraId="20AF51D2" w14:textId="0E2EEAF8" w:rsidR="00A24796" w:rsidRPr="00FA1686" w:rsidRDefault="00A24796" w:rsidP="00FA1686">
      <w:pPr>
        <w:pStyle w:val="ListParagraph"/>
        <w:numPr>
          <w:ilvl w:val="0"/>
          <w:numId w:val="43"/>
        </w:numPr>
        <w:spacing w:after="0"/>
        <w:ind w:left="567" w:hanging="567"/>
        <w:contextualSpacing w:val="0"/>
        <w:rPr>
          <w:i/>
          <w:sz w:val="24"/>
          <w:szCs w:val="24"/>
        </w:rPr>
      </w:pPr>
      <w:r>
        <w:rPr>
          <w:sz w:val="24"/>
          <w:szCs w:val="24"/>
        </w:rPr>
        <w:t xml:space="preserve">ASIC Class Order [CO 00/169] </w:t>
      </w:r>
      <w:r w:rsidRPr="00A24796">
        <w:rPr>
          <w:i/>
          <w:sz w:val="24"/>
          <w:szCs w:val="24"/>
        </w:rPr>
        <w:t>Relief from exposure period: supplementary and replacement prospectuses</w:t>
      </w:r>
      <w:r w:rsidRPr="00FA1686">
        <w:rPr>
          <w:sz w:val="24"/>
          <w:szCs w:val="24"/>
        </w:rPr>
        <w:t>;</w:t>
      </w:r>
      <w:r>
        <w:rPr>
          <w:i/>
          <w:sz w:val="24"/>
          <w:szCs w:val="24"/>
        </w:rPr>
        <w:t xml:space="preserve"> </w:t>
      </w:r>
      <w:r w:rsidRPr="00A24796">
        <w:rPr>
          <w:sz w:val="24"/>
          <w:szCs w:val="24"/>
        </w:rPr>
        <w:t>and</w:t>
      </w:r>
    </w:p>
    <w:p w14:paraId="2F88A109" w14:textId="77777777" w:rsidR="00FA1686" w:rsidRDefault="00FA1686" w:rsidP="00FA1686">
      <w:pPr>
        <w:pStyle w:val="ListParagraph"/>
        <w:spacing w:after="0"/>
        <w:ind w:left="567"/>
        <w:contextualSpacing w:val="0"/>
        <w:rPr>
          <w:i/>
          <w:sz w:val="24"/>
          <w:szCs w:val="24"/>
        </w:rPr>
      </w:pPr>
    </w:p>
    <w:p w14:paraId="75245F00" w14:textId="102BBAC7" w:rsidR="00A24796" w:rsidRPr="00A24796" w:rsidRDefault="00A24796" w:rsidP="00FA1686">
      <w:pPr>
        <w:pStyle w:val="ListParagraph"/>
        <w:numPr>
          <w:ilvl w:val="0"/>
          <w:numId w:val="43"/>
        </w:numPr>
        <w:spacing w:after="0"/>
        <w:ind w:left="567" w:hanging="567"/>
        <w:contextualSpacing w:val="0"/>
        <w:rPr>
          <w:i/>
          <w:sz w:val="24"/>
          <w:szCs w:val="24"/>
        </w:rPr>
      </w:pPr>
      <w:r>
        <w:rPr>
          <w:sz w:val="24"/>
          <w:szCs w:val="24"/>
        </w:rPr>
        <w:t xml:space="preserve">ASIC Class Order [CO 00/843] </w:t>
      </w:r>
      <w:r w:rsidRPr="00A24796">
        <w:rPr>
          <w:i/>
          <w:sz w:val="24"/>
          <w:szCs w:val="24"/>
        </w:rPr>
        <w:t>Options over listed sec</w:t>
      </w:r>
      <w:r w:rsidR="00FA1686">
        <w:rPr>
          <w:i/>
          <w:sz w:val="24"/>
          <w:szCs w:val="24"/>
        </w:rPr>
        <w:t>urities: exposure period relief</w:t>
      </w:r>
      <w:r w:rsidR="00FA1686">
        <w:rPr>
          <w:sz w:val="24"/>
          <w:szCs w:val="24"/>
        </w:rPr>
        <w:t>.</w:t>
      </w:r>
    </w:p>
    <w:p w14:paraId="152C4BB9" w14:textId="77777777" w:rsidR="00A24796" w:rsidRPr="00A24796" w:rsidRDefault="00A24796" w:rsidP="00FA1686">
      <w:pPr>
        <w:pStyle w:val="ListParagraph"/>
        <w:spacing w:after="0"/>
        <w:ind w:left="0"/>
        <w:contextualSpacing w:val="0"/>
        <w:rPr>
          <w:sz w:val="24"/>
          <w:szCs w:val="24"/>
        </w:rPr>
      </w:pPr>
    </w:p>
    <w:p w14:paraId="0F5D7113" w14:textId="0D4610DF" w:rsidR="00A24796" w:rsidRDefault="00A24796" w:rsidP="00FA1686">
      <w:pPr>
        <w:pStyle w:val="ListParagraph"/>
        <w:spacing w:after="0"/>
        <w:ind w:left="0"/>
        <w:contextualSpacing w:val="0"/>
        <w:rPr>
          <w:i/>
          <w:sz w:val="24"/>
          <w:szCs w:val="24"/>
        </w:rPr>
      </w:pPr>
      <w:r w:rsidRPr="00A24796">
        <w:rPr>
          <w:sz w:val="24"/>
          <w:szCs w:val="24"/>
        </w:rPr>
        <w:t>ASIC has recently reviewed the policy underlying</w:t>
      </w:r>
      <w:r>
        <w:rPr>
          <w:sz w:val="24"/>
          <w:szCs w:val="24"/>
        </w:rPr>
        <w:t xml:space="preserve"> each of</w:t>
      </w:r>
      <w:r w:rsidRPr="00A24796">
        <w:rPr>
          <w:sz w:val="24"/>
          <w:szCs w:val="24"/>
        </w:rPr>
        <w:t xml:space="preserve"> Class Order</w:t>
      </w:r>
      <w:r>
        <w:rPr>
          <w:sz w:val="24"/>
          <w:szCs w:val="24"/>
        </w:rPr>
        <w:t>s</w:t>
      </w:r>
      <w:r w:rsidRPr="00A24796">
        <w:rPr>
          <w:sz w:val="24"/>
          <w:szCs w:val="24"/>
        </w:rPr>
        <w:t xml:space="preserve"> [CO 00/</w:t>
      </w:r>
      <w:r>
        <w:rPr>
          <w:sz w:val="24"/>
          <w:szCs w:val="24"/>
        </w:rPr>
        <w:t>168</w:t>
      </w:r>
      <w:r w:rsidRPr="00A24796">
        <w:rPr>
          <w:sz w:val="24"/>
          <w:szCs w:val="24"/>
        </w:rPr>
        <w:t>]</w:t>
      </w:r>
      <w:r w:rsidR="00DF7E66">
        <w:rPr>
          <w:sz w:val="24"/>
          <w:szCs w:val="24"/>
        </w:rPr>
        <w:t>, [CO </w:t>
      </w:r>
      <w:r>
        <w:rPr>
          <w:sz w:val="24"/>
          <w:szCs w:val="24"/>
        </w:rPr>
        <w:t>00/169] and [CO</w:t>
      </w:r>
      <w:r w:rsidR="00DF7E66">
        <w:rPr>
          <w:sz w:val="24"/>
          <w:szCs w:val="24"/>
        </w:rPr>
        <w:t xml:space="preserve"> </w:t>
      </w:r>
      <w:r>
        <w:rPr>
          <w:sz w:val="24"/>
          <w:szCs w:val="24"/>
        </w:rPr>
        <w:t>00/843]</w:t>
      </w:r>
      <w:r w:rsidRPr="00A24796">
        <w:rPr>
          <w:sz w:val="24"/>
          <w:szCs w:val="24"/>
        </w:rPr>
        <w:t xml:space="preserve"> as part of a wider review of class orders relating to the fundraising provisions in Chapter 6D and considers that the relief in </w:t>
      </w:r>
      <w:r w:rsidR="004E39F7">
        <w:rPr>
          <w:sz w:val="24"/>
          <w:szCs w:val="24"/>
        </w:rPr>
        <w:t>these</w:t>
      </w:r>
      <w:r w:rsidRPr="00A24796">
        <w:rPr>
          <w:sz w:val="24"/>
          <w:szCs w:val="24"/>
        </w:rPr>
        <w:t xml:space="preserve"> class order</w:t>
      </w:r>
      <w:r w:rsidR="004E39F7">
        <w:rPr>
          <w:sz w:val="24"/>
          <w:szCs w:val="24"/>
        </w:rPr>
        <w:t>s</w:t>
      </w:r>
      <w:r w:rsidRPr="00A24796">
        <w:rPr>
          <w:sz w:val="24"/>
          <w:szCs w:val="24"/>
        </w:rPr>
        <w:t xml:space="preserve"> is still both necessary and appropriate.</w:t>
      </w:r>
      <w:r w:rsidR="004E39F7">
        <w:rPr>
          <w:sz w:val="24"/>
          <w:szCs w:val="24"/>
        </w:rPr>
        <w:t xml:space="preserve"> ASIC has also reviewed, and reached the same conclusion in relation to, analogous product disclosure statement exposure period relief in ASIC Class </w:t>
      </w:r>
      <w:r w:rsidR="004E39F7">
        <w:rPr>
          <w:sz w:val="24"/>
          <w:szCs w:val="24"/>
        </w:rPr>
        <w:lastRenderedPageBreak/>
        <w:t xml:space="preserve">Order [CO 02/145] </w:t>
      </w:r>
      <w:r w:rsidR="004E39F7" w:rsidRPr="004E39F7">
        <w:rPr>
          <w:i/>
          <w:sz w:val="24"/>
          <w:szCs w:val="24"/>
        </w:rPr>
        <w:t>Relief from exposure period: managed investment products</w:t>
      </w:r>
      <w:r w:rsidR="004E39F7">
        <w:rPr>
          <w:i/>
          <w:sz w:val="24"/>
          <w:szCs w:val="24"/>
        </w:rPr>
        <w:t xml:space="preserve"> able to be traded on a licenced</w:t>
      </w:r>
      <w:r w:rsidR="004E39F7" w:rsidRPr="004E39F7">
        <w:rPr>
          <w:i/>
          <w:sz w:val="24"/>
          <w:szCs w:val="24"/>
        </w:rPr>
        <w:t xml:space="preserve"> market</w:t>
      </w:r>
      <w:r w:rsidR="004E39F7">
        <w:rPr>
          <w:sz w:val="24"/>
          <w:szCs w:val="24"/>
        </w:rPr>
        <w:t>.</w:t>
      </w:r>
      <w:r w:rsidRPr="00A24796">
        <w:rPr>
          <w:sz w:val="24"/>
          <w:szCs w:val="24"/>
        </w:rPr>
        <w:t xml:space="preserve"> Accordingly, ASIC has decided to</w:t>
      </w:r>
      <w:r w:rsidR="00D809C4">
        <w:rPr>
          <w:sz w:val="24"/>
          <w:szCs w:val="24"/>
        </w:rPr>
        <w:t xml:space="preserve"> consolidate and</w:t>
      </w:r>
      <w:r w:rsidRPr="00A24796">
        <w:rPr>
          <w:sz w:val="24"/>
          <w:szCs w:val="24"/>
        </w:rPr>
        <w:t xml:space="preserve"> reissue the relief </w:t>
      </w:r>
      <w:r w:rsidR="00D809C4">
        <w:rPr>
          <w:sz w:val="24"/>
          <w:szCs w:val="24"/>
        </w:rPr>
        <w:t>in</w:t>
      </w:r>
      <w:r w:rsidRPr="00A24796">
        <w:rPr>
          <w:sz w:val="24"/>
          <w:szCs w:val="24"/>
        </w:rPr>
        <w:t xml:space="preserve"> Class Order</w:t>
      </w:r>
      <w:r w:rsidR="004E39F7">
        <w:rPr>
          <w:sz w:val="24"/>
          <w:szCs w:val="24"/>
        </w:rPr>
        <w:t>s</w:t>
      </w:r>
      <w:r w:rsidRPr="00A24796">
        <w:rPr>
          <w:sz w:val="24"/>
          <w:szCs w:val="24"/>
        </w:rPr>
        <w:t xml:space="preserve"> [CO 00/</w:t>
      </w:r>
      <w:r w:rsidR="004E39F7">
        <w:rPr>
          <w:sz w:val="24"/>
          <w:szCs w:val="24"/>
        </w:rPr>
        <w:t>168</w:t>
      </w:r>
      <w:r w:rsidR="00FA1686">
        <w:rPr>
          <w:sz w:val="24"/>
          <w:szCs w:val="24"/>
        </w:rPr>
        <w:t>]</w:t>
      </w:r>
      <w:r w:rsidR="004E39F7">
        <w:rPr>
          <w:sz w:val="24"/>
          <w:szCs w:val="24"/>
        </w:rPr>
        <w:t>, [CO 00/169</w:t>
      </w:r>
      <w:r w:rsidRPr="00A24796">
        <w:rPr>
          <w:sz w:val="24"/>
          <w:szCs w:val="24"/>
        </w:rPr>
        <w:t>]</w:t>
      </w:r>
      <w:r w:rsidR="004E39F7">
        <w:rPr>
          <w:sz w:val="24"/>
          <w:szCs w:val="24"/>
        </w:rPr>
        <w:t>, [CO 00/843] and [CO 02/145]</w:t>
      </w:r>
      <w:r w:rsidRPr="00A24796">
        <w:rPr>
          <w:sz w:val="24"/>
          <w:szCs w:val="24"/>
        </w:rPr>
        <w:t xml:space="preserve"> in </w:t>
      </w:r>
      <w:r w:rsidRPr="00C1178D">
        <w:rPr>
          <w:sz w:val="24"/>
          <w:szCs w:val="24"/>
        </w:rPr>
        <w:t>ASIC Corporations (</w:t>
      </w:r>
      <w:r w:rsidR="004E39F7" w:rsidRPr="00C1178D">
        <w:rPr>
          <w:sz w:val="24"/>
          <w:szCs w:val="24"/>
        </w:rPr>
        <w:t>Exposure Period</w:t>
      </w:r>
      <w:r w:rsidRPr="00C1178D">
        <w:rPr>
          <w:sz w:val="24"/>
          <w:szCs w:val="24"/>
        </w:rPr>
        <w:t>)</w:t>
      </w:r>
      <w:r w:rsidR="00D809C4" w:rsidRPr="00C1178D">
        <w:rPr>
          <w:sz w:val="24"/>
          <w:szCs w:val="24"/>
        </w:rPr>
        <w:t xml:space="preserve"> Instrument 2016</w:t>
      </w:r>
      <w:r w:rsidR="00FA1686" w:rsidRPr="00C1178D">
        <w:rPr>
          <w:sz w:val="24"/>
          <w:szCs w:val="24"/>
        </w:rPr>
        <w:t>/74</w:t>
      </w:r>
      <w:r w:rsidRPr="00A24796">
        <w:rPr>
          <w:i/>
          <w:sz w:val="24"/>
          <w:szCs w:val="24"/>
        </w:rPr>
        <w:t>.</w:t>
      </w:r>
    </w:p>
    <w:p w14:paraId="56A2FF79" w14:textId="77777777" w:rsidR="00A24796" w:rsidRPr="00A24796" w:rsidRDefault="00A24796" w:rsidP="00FA1686">
      <w:pPr>
        <w:pStyle w:val="ListParagraph"/>
        <w:spacing w:after="0"/>
        <w:ind w:left="0"/>
        <w:contextualSpacing w:val="0"/>
        <w:rPr>
          <w:sz w:val="24"/>
          <w:szCs w:val="24"/>
        </w:rPr>
      </w:pPr>
    </w:p>
    <w:p w14:paraId="60566A90" w14:textId="77777777" w:rsidR="00FA1686" w:rsidRDefault="00A24796" w:rsidP="00FA1686">
      <w:pPr>
        <w:pStyle w:val="ListParagraph"/>
        <w:spacing w:after="0"/>
        <w:ind w:left="0"/>
        <w:contextualSpacing w:val="0"/>
        <w:rPr>
          <w:sz w:val="24"/>
          <w:szCs w:val="24"/>
        </w:rPr>
      </w:pPr>
      <w:r w:rsidRPr="00A24796">
        <w:rPr>
          <w:sz w:val="24"/>
          <w:szCs w:val="24"/>
        </w:rPr>
        <w:t xml:space="preserve">The </w:t>
      </w:r>
      <w:r w:rsidR="00FA1686">
        <w:rPr>
          <w:i/>
          <w:sz w:val="24"/>
          <w:szCs w:val="24"/>
        </w:rPr>
        <w:t xml:space="preserve">Legislation Act </w:t>
      </w:r>
      <w:r w:rsidRPr="00A24796">
        <w:rPr>
          <w:i/>
          <w:sz w:val="24"/>
          <w:szCs w:val="24"/>
        </w:rPr>
        <w:t>2003</w:t>
      </w:r>
      <w:r w:rsidRPr="00A24796">
        <w:rPr>
          <w:sz w:val="24"/>
          <w:szCs w:val="24"/>
        </w:rPr>
        <w:t xml:space="preserve"> (the </w:t>
      </w:r>
      <w:r w:rsidRPr="00A24796">
        <w:rPr>
          <w:b/>
          <w:i/>
          <w:sz w:val="24"/>
          <w:szCs w:val="24"/>
        </w:rPr>
        <w:t>LA</w:t>
      </w:r>
      <w:r w:rsidRPr="00A24796">
        <w:rPr>
          <w:sz w:val="24"/>
          <w:szCs w:val="24"/>
        </w:rPr>
        <w:t>) provides for the periodic expi</w:t>
      </w:r>
      <w:r w:rsidR="00FA1686">
        <w:rPr>
          <w:sz w:val="24"/>
          <w:szCs w:val="24"/>
        </w:rPr>
        <w:t>ry of legislative instruments (‘sunsetting’</w:t>
      </w:r>
      <w:r w:rsidRPr="00A24796">
        <w:rPr>
          <w:sz w:val="24"/>
          <w:szCs w:val="24"/>
        </w:rPr>
        <w:t>) to ensure that they are kept up to date and only remain in force for as long as they are needed. Class Order</w:t>
      </w:r>
      <w:r w:rsidR="00D809C4">
        <w:rPr>
          <w:sz w:val="24"/>
          <w:szCs w:val="24"/>
        </w:rPr>
        <w:t xml:space="preserve">s </w:t>
      </w:r>
      <w:r w:rsidR="00D809C4" w:rsidRPr="00A24796">
        <w:rPr>
          <w:sz w:val="24"/>
          <w:szCs w:val="24"/>
        </w:rPr>
        <w:t>[CO 00/</w:t>
      </w:r>
      <w:r w:rsidR="00D809C4">
        <w:rPr>
          <w:sz w:val="24"/>
          <w:szCs w:val="24"/>
        </w:rPr>
        <w:t>168</w:t>
      </w:r>
      <w:r w:rsidR="00FA1686">
        <w:rPr>
          <w:sz w:val="24"/>
          <w:szCs w:val="24"/>
        </w:rPr>
        <w:t>]</w:t>
      </w:r>
      <w:r w:rsidR="00D809C4">
        <w:rPr>
          <w:sz w:val="24"/>
          <w:szCs w:val="24"/>
        </w:rPr>
        <w:t>, [CO 00/169</w:t>
      </w:r>
      <w:r w:rsidR="00D809C4" w:rsidRPr="00A24796">
        <w:rPr>
          <w:sz w:val="24"/>
          <w:szCs w:val="24"/>
        </w:rPr>
        <w:t>]</w:t>
      </w:r>
      <w:r w:rsidR="00D809C4">
        <w:rPr>
          <w:sz w:val="24"/>
          <w:szCs w:val="24"/>
        </w:rPr>
        <w:t xml:space="preserve">, [CO 00/843] and [CO 02/145], </w:t>
      </w:r>
      <w:r w:rsidR="00FA1686" w:rsidRPr="00FA1686">
        <w:rPr>
          <w:sz w:val="24"/>
          <w:szCs w:val="24"/>
        </w:rPr>
        <w:t xml:space="preserve">are legislative instruments and were scheduled to eventually expire under the sunsetting provisions of the LA. </w:t>
      </w:r>
    </w:p>
    <w:p w14:paraId="196E350F" w14:textId="77777777" w:rsidR="00FA1686" w:rsidRDefault="00FA1686" w:rsidP="00FA1686">
      <w:pPr>
        <w:pStyle w:val="ListParagraph"/>
        <w:spacing w:after="0"/>
        <w:ind w:left="0"/>
        <w:contextualSpacing w:val="0"/>
        <w:rPr>
          <w:sz w:val="24"/>
          <w:szCs w:val="24"/>
        </w:rPr>
      </w:pPr>
    </w:p>
    <w:p w14:paraId="0EC792F0" w14:textId="2297A0BA" w:rsidR="00A24796" w:rsidRPr="00A24796" w:rsidRDefault="00A24796" w:rsidP="00FA1686">
      <w:pPr>
        <w:pStyle w:val="ListParagraph"/>
        <w:spacing w:after="0"/>
        <w:ind w:left="0"/>
        <w:contextualSpacing w:val="0"/>
        <w:rPr>
          <w:sz w:val="24"/>
          <w:szCs w:val="24"/>
        </w:rPr>
      </w:pPr>
      <w:r w:rsidRPr="00A24796">
        <w:rPr>
          <w:sz w:val="24"/>
          <w:szCs w:val="24"/>
        </w:rPr>
        <w:t>ASIC</w:t>
      </w:r>
      <w:r w:rsidR="00FA1686">
        <w:rPr>
          <w:sz w:val="24"/>
          <w:szCs w:val="24"/>
        </w:rPr>
        <w:t>’</w:t>
      </w:r>
      <w:r w:rsidRPr="00A24796">
        <w:rPr>
          <w:sz w:val="24"/>
          <w:szCs w:val="24"/>
        </w:rPr>
        <w:t>s review of the policy underlying Class Order</w:t>
      </w:r>
      <w:r w:rsidR="00D809C4">
        <w:rPr>
          <w:sz w:val="24"/>
          <w:szCs w:val="24"/>
        </w:rPr>
        <w:t>s</w:t>
      </w:r>
      <w:r w:rsidRPr="00A24796">
        <w:rPr>
          <w:sz w:val="24"/>
          <w:szCs w:val="24"/>
        </w:rPr>
        <w:t xml:space="preserve"> </w:t>
      </w:r>
      <w:r w:rsidR="00D809C4" w:rsidRPr="00A24796">
        <w:rPr>
          <w:sz w:val="24"/>
          <w:szCs w:val="24"/>
        </w:rPr>
        <w:t>[CO 00/</w:t>
      </w:r>
      <w:r w:rsidR="00D809C4">
        <w:rPr>
          <w:sz w:val="24"/>
          <w:szCs w:val="24"/>
        </w:rPr>
        <w:t>168</w:t>
      </w:r>
      <w:r w:rsidR="00927361">
        <w:rPr>
          <w:sz w:val="24"/>
          <w:szCs w:val="24"/>
        </w:rPr>
        <w:t>]</w:t>
      </w:r>
      <w:r w:rsidR="00D809C4">
        <w:rPr>
          <w:sz w:val="24"/>
          <w:szCs w:val="24"/>
        </w:rPr>
        <w:t>, [CO 00/169</w:t>
      </w:r>
      <w:r w:rsidR="00D809C4" w:rsidRPr="00A24796">
        <w:rPr>
          <w:sz w:val="24"/>
          <w:szCs w:val="24"/>
        </w:rPr>
        <w:t>]</w:t>
      </w:r>
      <w:r w:rsidR="00D809C4">
        <w:rPr>
          <w:sz w:val="24"/>
          <w:szCs w:val="24"/>
        </w:rPr>
        <w:t>, [CO 00/843] and [CO 02/145]</w:t>
      </w:r>
      <w:r w:rsidRPr="00A24796">
        <w:rPr>
          <w:sz w:val="24"/>
          <w:szCs w:val="24"/>
        </w:rPr>
        <w:t xml:space="preserve">— and subsequent decision to reissue the relief — has provided an opportunity to deal with this imminent expiry and ensure that the relevant relief will continue to be available. </w:t>
      </w:r>
    </w:p>
    <w:p w14:paraId="5F61B80B" w14:textId="77777777" w:rsidR="00A24796" w:rsidRPr="00A24796" w:rsidRDefault="00A24796" w:rsidP="00FA1686">
      <w:pPr>
        <w:pStyle w:val="ListParagraph"/>
        <w:spacing w:after="0"/>
        <w:ind w:left="0"/>
        <w:contextualSpacing w:val="0"/>
        <w:rPr>
          <w:sz w:val="24"/>
          <w:szCs w:val="24"/>
        </w:rPr>
      </w:pPr>
    </w:p>
    <w:p w14:paraId="3E30EC52" w14:textId="63EED4EF" w:rsidR="00A24796" w:rsidRPr="00A24796" w:rsidRDefault="00FA1686" w:rsidP="00FA1686">
      <w:pPr>
        <w:pStyle w:val="ListParagraph"/>
        <w:overflowPunct w:val="0"/>
        <w:autoSpaceDE w:val="0"/>
        <w:autoSpaceDN w:val="0"/>
        <w:adjustRightInd w:val="0"/>
        <w:spacing w:after="0"/>
        <w:ind w:left="0"/>
        <w:contextualSpacing w:val="0"/>
        <w:textAlignment w:val="baseline"/>
        <w:rPr>
          <w:sz w:val="24"/>
          <w:szCs w:val="24"/>
        </w:rPr>
      </w:pPr>
      <w:r w:rsidRPr="00FA1686">
        <w:rPr>
          <w:sz w:val="24"/>
          <w:szCs w:val="24"/>
        </w:rPr>
        <w:t>Under ASIC Corpora</w:t>
      </w:r>
      <w:r>
        <w:rPr>
          <w:sz w:val="24"/>
          <w:szCs w:val="24"/>
        </w:rPr>
        <w:t>tions (Repeal) Instrument 2016/</w:t>
      </w:r>
      <w:r w:rsidRPr="00FA1686">
        <w:rPr>
          <w:sz w:val="24"/>
          <w:szCs w:val="24"/>
        </w:rPr>
        <w:t>171</w:t>
      </w:r>
      <w:r w:rsidR="00A24796" w:rsidRPr="00A24796">
        <w:rPr>
          <w:sz w:val="24"/>
          <w:szCs w:val="24"/>
        </w:rPr>
        <w:t xml:space="preserve">, ASIC has </w:t>
      </w:r>
      <w:r w:rsidR="00526FCD">
        <w:rPr>
          <w:sz w:val="24"/>
          <w:szCs w:val="24"/>
        </w:rPr>
        <w:t xml:space="preserve">repealed </w:t>
      </w:r>
      <w:r w:rsidR="00D809C4">
        <w:rPr>
          <w:sz w:val="24"/>
          <w:szCs w:val="24"/>
        </w:rPr>
        <w:t xml:space="preserve">each of </w:t>
      </w:r>
      <w:r w:rsidR="00A24796" w:rsidRPr="00A24796">
        <w:rPr>
          <w:sz w:val="24"/>
          <w:szCs w:val="24"/>
        </w:rPr>
        <w:t>Class Order</w:t>
      </w:r>
      <w:r w:rsidR="00D809C4">
        <w:rPr>
          <w:sz w:val="24"/>
          <w:szCs w:val="24"/>
        </w:rPr>
        <w:t>s</w:t>
      </w:r>
      <w:r w:rsidR="00A24796" w:rsidRPr="00A24796">
        <w:rPr>
          <w:sz w:val="24"/>
          <w:szCs w:val="24"/>
        </w:rPr>
        <w:t xml:space="preserve"> </w:t>
      </w:r>
      <w:r w:rsidR="00D809C4" w:rsidRPr="00A24796">
        <w:rPr>
          <w:sz w:val="24"/>
          <w:szCs w:val="24"/>
        </w:rPr>
        <w:t>[CO 00/</w:t>
      </w:r>
      <w:r w:rsidR="00D809C4">
        <w:rPr>
          <w:sz w:val="24"/>
          <w:szCs w:val="24"/>
        </w:rPr>
        <w:t>168</w:t>
      </w:r>
      <w:r>
        <w:rPr>
          <w:sz w:val="24"/>
          <w:szCs w:val="24"/>
        </w:rPr>
        <w:t>]</w:t>
      </w:r>
      <w:r w:rsidR="00D809C4">
        <w:rPr>
          <w:sz w:val="24"/>
          <w:szCs w:val="24"/>
        </w:rPr>
        <w:t>, [CO 00/169</w:t>
      </w:r>
      <w:r w:rsidR="00D809C4" w:rsidRPr="00A24796">
        <w:rPr>
          <w:sz w:val="24"/>
          <w:szCs w:val="24"/>
        </w:rPr>
        <w:t>]</w:t>
      </w:r>
      <w:r w:rsidR="00D809C4">
        <w:rPr>
          <w:sz w:val="24"/>
          <w:szCs w:val="24"/>
        </w:rPr>
        <w:t xml:space="preserve">, [CO 00/843] and [CO 02/145] </w:t>
      </w:r>
      <w:r w:rsidR="00A24796" w:rsidRPr="00A24796">
        <w:rPr>
          <w:sz w:val="24"/>
          <w:szCs w:val="24"/>
        </w:rPr>
        <w:t xml:space="preserve">effective from the date that </w:t>
      </w:r>
      <w:r w:rsidR="00A24796" w:rsidRPr="00C1178D">
        <w:rPr>
          <w:sz w:val="24"/>
          <w:szCs w:val="24"/>
        </w:rPr>
        <w:t>ASIC Corporations (</w:t>
      </w:r>
      <w:r w:rsidR="00D809C4" w:rsidRPr="00C1178D">
        <w:rPr>
          <w:sz w:val="24"/>
          <w:szCs w:val="24"/>
        </w:rPr>
        <w:t>Exposure Periods</w:t>
      </w:r>
      <w:r w:rsidR="007C2359" w:rsidRPr="00C1178D">
        <w:rPr>
          <w:sz w:val="24"/>
          <w:szCs w:val="24"/>
        </w:rPr>
        <w:t>) Instrument 2016</w:t>
      </w:r>
      <w:r w:rsidRPr="00C1178D">
        <w:rPr>
          <w:sz w:val="24"/>
          <w:szCs w:val="24"/>
        </w:rPr>
        <w:t>/74</w:t>
      </w:r>
      <w:r w:rsidR="00A24796" w:rsidRPr="00A24796">
        <w:rPr>
          <w:sz w:val="24"/>
          <w:szCs w:val="24"/>
        </w:rPr>
        <w:t xml:space="preserve"> commences.</w:t>
      </w:r>
    </w:p>
    <w:p w14:paraId="67FB8F93" w14:textId="44157B35" w:rsidR="00890CD6" w:rsidRPr="00D809C4" w:rsidRDefault="00890CD6" w:rsidP="00FA1686">
      <w:pPr>
        <w:pStyle w:val="ListParagraph"/>
        <w:overflowPunct w:val="0"/>
        <w:autoSpaceDE w:val="0"/>
        <w:autoSpaceDN w:val="0"/>
        <w:adjustRightInd w:val="0"/>
        <w:spacing w:after="0"/>
        <w:ind w:left="0"/>
        <w:contextualSpacing w:val="0"/>
        <w:textAlignment w:val="baseline"/>
        <w:rPr>
          <w:sz w:val="24"/>
          <w:szCs w:val="24"/>
          <w:highlight w:val="yellow"/>
        </w:rPr>
      </w:pPr>
    </w:p>
    <w:p w14:paraId="67FB8F94" w14:textId="77777777" w:rsidR="005B0E3A" w:rsidRPr="00062184" w:rsidRDefault="005B0E3A" w:rsidP="00FA1686">
      <w:pPr>
        <w:pStyle w:val="Heading3"/>
        <w:keepNext w:val="0"/>
        <w:widowControl w:val="0"/>
        <w:numPr>
          <w:ilvl w:val="0"/>
          <w:numId w:val="7"/>
        </w:numPr>
        <w:tabs>
          <w:tab w:val="left" w:pos="567"/>
        </w:tabs>
        <w:spacing w:after="0" w:line="240" w:lineRule="auto"/>
        <w:ind w:left="0" w:firstLine="0"/>
        <w:jc w:val="left"/>
        <w:rPr>
          <w:rFonts w:ascii="Arial" w:eastAsia="Arial" w:hAnsi="Arial" w:cs="Arial"/>
          <w:b/>
          <w:bCs/>
          <w:sz w:val="24"/>
          <w:szCs w:val="24"/>
        </w:rPr>
      </w:pPr>
      <w:bookmarkStart w:id="2" w:name="2._Purpose_of_the_class_order_"/>
      <w:bookmarkEnd w:id="2"/>
      <w:r w:rsidRPr="00062184">
        <w:rPr>
          <w:rFonts w:ascii="Arial" w:hAnsi="Arial" w:cs="Arial"/>
          <w:b/>
          <w:spacing w:val="-1"/>
          <w:sz w:val="24"/>
          <w:szCs w:val="24"/>
        </w:rPr>
        <w:t>Purpose</w:t>
      </w:r>
      <w:r w:rsidRPr="00062184">
        <w:rPr>
          <w:rFonts w:ascii="Arial" w:hAnsi="Arial" w:cs="Arial"/>
          <w:b/>
          <w:sz w:val="24"/>
          <w:szCs w:val="24"/>
        </w:rPr>
        <w:t xml:space="preserve"> of </w:t>
      </w:r>
      <w:r w:rsidRPr="00062184">
        <w:rPr>
          <w:rFonts w:ascii="Arial" w:hAnsi="Arial" w:cs="Arial"/>
          <w:b/>
          <w:spacing w:val="-1"/>
          <w:sz w:val="24"/>
          <w:szCs w:val="24"/>
        </w:rPr>
        <w:t>the</w:t>
      </w:r>
      <w:r w:rsidRPr="00062184">
        <w:rPr>
          <w:rFonts w:ascii="Arial" w:hAnsi="Arial" w:cs="Arial"/>
          <w:b/>
          <w:sz w:val="24"/>
          <w:szCs w:val="24"/>
        </w:rPr>
        <w:t xml:space="preserve"> </w:t>
      </w:r>
      <w:r w:rsidRPr="00062184">
        <w:rPr>
          <w:rFonts w:ascii="Arial" w:hAnsi="Arial" w:cs="Arial"/>
          <w:b/>
          <w:spacing w:val="-1"/>
          <w:sz w:val="24"/>
          <w:szCs w:val="24"/>
        </w:rPr>
        <w:t>instrument</w:t>
      </w:r>
    </w:p>
    <w:p w14:paraId="312B584A" w14:textId="326F9CF1" w:rsidR="00862AB1" w:rsidRPr="00862AB1" w:rsidRDefault="00862AB1" w:rsidP="00FA1686">
      <w:pPr>
        <w:spacing w:after="0"/>
        <w:rPr>
          <w:sz w:val="24"/>
          <w:szCs w:val="24"/>
        </w:rPr>
      </w:pPr>
    </w:p>
    <w:p w14:paraId="7A192CDB" w14:textId="4876740D" w:rsidR="00862AB1" w:rsidRPr="00862AB1" w:rsidRDefault="00862AB1" w:rsidP="00FA1686">
      <w:pPr>
        <w:spacing w:after="0"/>
        <w:rPr>
          <w:sz w:val="24"/>
          <w:szCs w:val="24"/>
        </w:rPr>
      </w:pPr>
      <w:r w:rsidRPr="00862AB1">
        <w:rPr>
          <w:sz w:val="24"/>
          <w:szCs w:val="24"/>
        </w:rPr>
        <w:t xml:space="preserve">Where a disclosure document offering non-quoted securities is lodged, s727(3) imposes a waiting period of </w:t>
      </w:r>
      <w:r w:rsidR="00FA1686">
        <w:rPr>
          <w:sz w:val="24"/>
          <w:szCs w:val="24"/>
        </w:rPr>
        <w:t>seven</w:t>
      </w:r>
      <w:r w:rsidRPr="00862AB1">
        <w:rPr>
          <w:sz w:val="24"/>
          <w:szCs w:val="24"/>
        </w:rPr>
        <w:t xml:space="preserve"> days from the date of lodgement during which a person must not accept applications for, transfer or issue, securities under the disclosure document (commonly referred to as the </w:t>
      </w:r>
      <w:r>
        <w:rPr>
          <w:sz w:val="24"/>
          <w:szCs w:val="24"/>
        </w:rPr>
        <w:t>‘</w:t>
      </w:r>
      <w:r w:rsidRPr="00862AB1">
        <w:rPr>
          <w:sz w:val="24"/>
          <w:szCs w:val="24"/>
        </w:rPr>
        <w:t>exposure period</w:t>
      </w:r>
      <w:r>
        <w:rPr>
          <w:sz w:val="24"/>
          <w:szCs w:val="24"/>
        </w:rPr>
        <w:t>’</w:t>
      </w:r>
      <w:r w:rsidRPr="00862AB1">
        <w:rPr>
          <w:sz w:val="24"/>
          <w:szCs w:val="24"/>
        </w:rPr>
        <w:t xml:space="preserve">). Where a PDS offering managed investment products that are not able to be traded is lodged, s1016B imposes an exposure period of </w:t>
      </w:r>
      <w:r w:rsidR="00FA1686">
        <w:rPr>
          <w:sz w:val="24"/>
          <w:szCs w:val="24"/>
        </w:rPr>
        <w:t>seven</w:t>
      </w:r>
      <w:r w:rsidRPr="00862AB1">
        <w:rPr>
          <w:sz w:val="24"/>
          <w:szCs w:val="24"/>
        </w:rPr>
        <w:t xml:space="preserve"> days from the date of lodgement during which a person must not accept applications for, transfer or issue, securities under the PDS. Both periods may be extended to up to 14 days by ASIC. </w:t>
      </w:r>
    </w:p>
    <w:p w14:paraId="3DCA7953" w14:textId="77777777" w:rsidR="00862AB1" w:rsidRDefault="00862AB1" w:rsidP="00FA1686">
      <w:pPr>
        <w:spacing w:after="0"/>
        <w:rPr>
          <w:b/>
          <w:sz w:val="24"/>
          <w:szCs w:val="24"/>
        </w:rPr>
      </w:pPr>
    </w:p>
    <w:p w14:paraId="67FB8FA7" w14:textId="4F00DFEE" w:rsidR="00903AE0" w:rsidRPr="00FA1686" w:rsidRDefault="00862AB1" w:rsidP="00FA1686">
      <w:pPr>
        <w:spacing w:after="0"/>
        <w:rPr>
          <w:b/>
          <w:i/>
          <w:sz w:val="24"/>
          <w:szCs w:val="24"/>
        </w:rPr>
      </w:pPr>
      <w:r w:rsidRPr="00FA1686">
        <w:rPr>
          <w:b/>
          <w:i/>
          <w:sz w:val="24"/>
          <w:szCs w:val="24"/>
        </w:rPr>
        <w:t>Supplementary and replacement disclosure documents</w:t>
      </w:r>
    </w:p>
    <w:p w14:paraId="0D8FDE25" w14:textId="77777777" w:rsidR="00862AB1" w:rsidRDefault="00862AB1" w:rsidP="00FA1686">
      <w:pPr>
        <w:spacing w:after="0"/>
        <w:rPr>
          <w:b/>
          <w:sz w:val="24"/>
          <w:szCs w:val="24"/>
        </w:rPr>
      </w:pPr>
    </w:p>
    <w:p w14:paraId="6349E5AA" w14:textId="4009E386" w:rsidR="00862AB1" w:rsidRPr="00862AB1" w:rsidRDefault="00862AB1" w:rsidP="00FA1686">
      <w:pPr>
        <w:spacing w:after="0"/>
        <w:rPr>
          <w:b/>
          <w:sz w:val="24"/>
          <w:szCs w:val="24"/>
        </w:rPr>
      </w:pPr>
      <w:r w:rsidRPr="00862AB1">
        <w:rPr>
          <w:sz w:val="24"/>
          <w:szCs w:val="24"/>
        </w:rPr>
        <w:t>S</w:t>
      </w:r>
      <w:r w:rsidR="00FA1686">
        <w:rPr>
          <w:sz w:val="24"/>
          <w:szCs w:val="24"/>
        </w:rPr>
        <w:t>ubs</w:t>
      </w:r>
      <w:r w:rsidRPr="00862AB1">
        <w:rPr>
          <w:sz w:val="24"/>
          <w:szCs w:val="24"/>
        </w:rPr>
        <w:t>ections 719(4) and (5) provide that—for the purposes of applying Chapter 6D—a ‘disclosure document’ is either the original document read together with the supplementary document</w:t>
      </w:r>
      <w:r w:rsidR="00927361">
        <w:rPr>
          <w:sz w:val="24"/>
          <w:szCs w:val="24"/>
        </w:rPr>
        <w:t>,</w:t>
      </w:r>
      <w:r w:rsidRPr="00862AB1">
        <w:rPr>
          <w:sz w:val="24"/>
          <w:szCs w:val="24"/>
        </w:rPr>
        <w:t xml:space="preserve"> or the replacement document (as applicable) for events that occur after their lodgment. The exposure period </w:t>
      </w:r>
      <w:r w:rsidR="00FA1686">
        <w:rPr>
          <w:sz w:val="24"/>
          <w:szCs w:val="24"/>
        </w:rPr>
        <w:t xml:space="preserve">imposed by </w:t>
      </w:r>
      <w:r w:rsidR="00FA1686" w:rsidRPr="00862AB1">
        <w:rPr>
          <w:sz w:val="24"/>
          <w:szCs w:val="24"/>
        </w:rPr>
        <w:t xml:space="preserve">s727(3) </w:t>
      </w:r>
      <w:r w:rsidRPr="00862AB1">
        <w:rPr>
          <w:sz w:val="24"/>
          <w:szCs w:val="24"/>
        </w:rPr>
        <w:t>therefore applies to supplementary and replacement disclosure documents (</w:t>
      </w:r>
      <w:r w:rsidR="00FA1686">
        <w:rPr>
          <w:sz w:val="24"/>
          <w:szCs w:val="24"/>
        </w:rPr>
        <w:t xml:space="preserve">even </w:t>
      </w:r>
      <w:r w:rsidRPr="00862AB1">
        <w:rPr>
          <w:sz w:val="24"/>
          <w:szCs w:val="24"/>
        </w:rPr>
        <w:t>where the document being supplemented or replaced has already been subject to an exposure period). ASIC Corporations (Exposure Period) Instrument 2016</w:t>
      </w:r>
      <w:r w:rsidR="00FA1686">
        <w:rPr>
          <w:sz w:val="24"/>
          <w:szCs w:val="24"/>
        </w:rPr>
        <w:t>/74</w:t>
      </w:r>
      <w:r w:rsidRPr="00862AB1">
        <w:rPr>
          <w:sz w:val="24"/>
          <w:szCs w:val="24"/>
        </w:rPr>
        <w:t xml:space="preserve"> provides minor and technical relief to ensure that </w:t>
      </w:r>
      <w:r w:rsidR="00FA1686">
        <w:rPr>
          <w:sz w:val="24"/>
          <w:szCs w:val="24"/>
        </w:rPr>
        <w:t xml:space="preserve">the </w:t>
      </w:r>
      <w:r w:rsidRPr="00862AB1">
        <w:rPr>
          <w:sz w:val="24"/>
          <w:szCs w:val="24"/>
        </w:rPr>
        <w:t xml:space="preserve">replacement and supplementary disclosure documents are not subject to </w:t>
      </w:r>
      <w:r w:rsidR="00927361">
        <w:rPr>
          <w:sz w:val="24"/>
          <w:szCs w:val="24"/>
        </w:rPr>
        <w:t xml:space="preserve">a separate </w:t>
      </w:r>
      <w:r w:rsidRPr="00862AB1">
        <w:rPr>
          <w:sz w:val="24"/>
          <w:szCs w:val="24"/>
        </w:rPr>
        <w:t>exposure period because the legislative policy is clearly framed around one exposure period only.</w:t>
      </w:r>
    </w:p>
    <w:p w14:paraId="22C14196" w14:textId="77777777" w:rsidR="00862AB1" w:rsidRDefault="00862AB1" w:rsidP="00FA1686">
      <w:pPr>
        <w:spacing w:after="0"/>
        <w:rPr>
          <w:b/>
          <w:sz w:val="24"/>
          <w:szCs w:val="24"/>
        </w:rPr>
      </w:pPr>
    </w:p>
    <w:p w14:paraId="712D0BEA" w14:textId="77777777" w:rsidR="00FA1686" w:rsidRPr="00862AB1" w:rsidRDefault="00FA1686" w:rsidP="00FA1686">
      <w:pPr>
        <w:spacing w:after="0"/>
        <w:rPr>
          <w:b/>
          <w:sz w:val="24"/>
          <w:szCs w:val="24"/>
        </w:rPr>
      </w:pPr>
    </w:p>
    <w:p w14:paraId="03D07369" w14:textId="4AD2A371" w:rsidR="00862AB1" w:rsidRPr="00FA1686" w:rsidRDefault="00862AB1" w:rsidP="00FA1686">
      <w:pPr>
        <w:spacing w:after="0"/>
        <w:rPr>
          <w:b/>
          <w:i/>
          <w:sz w:val="24"/>
          <w:szCs w:val="24"/>
        </w:rPr>
      </w:pPr>
      <w:r w:rsidRPr="00FA1686">
        <w:rPr>
          <w:b/>
          <w:i/>
          <w:sz w:val="24"/>
          <w:szCs w:val="24"/>
        </w:rPr>
        <w:t>Quoted securities</w:t>
      </w:r>
    </w:p>
    <w:p w14:paraId="1F5995C0" w14:textId="77777777" w:rsidR="004E20D3" w:rsidRDefault="004E20D3" w:rsidP="00FA1686">
      <w:pPr>
        <w:spacing w:after="0"/>
        <w:rPr>
          <w:b/>
          <w:sz w:val="24"/>
          <w:szCs w:val="24"/>
        </w:rPr>
      </w:pPr>
    </w:p>
    <w:p w14:paraId="30A6B530" w14:textId="37678BB6" w:rsidR="00862AB1" w:rsidRDefault="004E20D3" w:rsidP="00FA1686">
      <w:pPr>
        <w:spacing w:after="0"/>
        <w:rPr>
          <w:sz w:val="24"/>
          <w:szCs w:val="24"/>
        </w:rPr>
      </w:pPr>
      <w:r w:rsidRPr="004E20D3">
        <w:rPr>
          <w:sz w:val="24"/>
          <w:szCs w:val="24"/>
        </w:rPr>
        <w:t>Arguably, s727(3) imposes an exposure period on all disclosure documents because</w:t>
      </w:r>
      <w:r w:rsidRPr="004E20D3">
        <w:rPr>
          <w:sz w:val="24"/>
          <w:szCs w:val="24"/>
        </w:rPr>
        <w:softHyphen/>
        <w:t xml:space="preserve">—even where securities are in the same class as securities that are quoted on a prescribed financial market—the actual new securities offered will be non-quoted at the time the disclosure document is lodged (for example, under the listing rules of the Australian Securities Exchange </w:t>
      </w:r>
      <w:r w:rsidRPr="004E20D3">
        <w:rPr>
          <w:sz w:val="24"/>
          <w:szCs w:val="24"/>
        </w:rPr>
        <w:lastRenderedPageBreak/>
        <w:t xml:space="preserve">Ltd, new securities are not automatically granted quotation even if they are in the same class as securities that are already quoted). </w:t>
      </w:r>
      <w:r>
        <w:rPr>
          <w:sz w:val="24"/>
          <w:szCs w:val="24"/>
        </w:rPr>
        <w:t>ASIC Corporations (</w:t>
      </w:r>
      <w:r w:rsidR="00FA1686">
        <w:rPr>
          <w:sz w:val="24"/>
          <w:szCs w:val="24"/>
        </w:rPr>
        <w:t>Exposure Period) Instrument 2016/74</w:t>
      </w:r>
      <w:r>
        <w:rPr>
          <w:sz w:val="24"/>
          <w:szCs w:val="24"/>
        </w:rPr>
        <w:t xml:space="preserve"> </w:t>
      </w:r>
      <w:r w:rsidRPr="004E20D3">
        <w:rPr>
          <w:sz w:val="24"/>
          <w:szCs w:val="24"/>
        </w:rPr>
        <w:t>provides minor and technical relief to the effect that disclosure documents for an offer of securities that are in the same class as securities which at the time of the lodgement are quoted on a prescribed financial market are not subject to the exposure period</w:t>
      </w:r>
      <w:r w:rsidR="00FA1686">
        <w:rPr>
          <w:sz w:val="24"/>
          <w:szCs w:val="24"/>
        </w:rPr>
        <w:t xml:space="preserve"> imposed by </w:t>
      </w:r>
      <w:r w:rsidR="00FA1686" w:rsidRPr="004E20D3">
        <w:rPr>
          <w:sz w:val="24"/>
          <w:szCs w:val="24"/>
        </w:rPr>
        <w:t>s727(3)</w:t>
      </w:r>
      <w:r w:rsidRPr="004E20D3">
        <w:rPr>
          <w:sz w:val="24"/>
          <w:szCs w:val="24"/>
        </w:rPr>
        <w:t>.</w:t>
      </w:r>
    </w:p>
    <w:p w14:paraId="034EECD2" w14:textId="77777777" w:rsidR="00FA1686" w:rsidRPr="00862AB1" w:rsidRDefault="00FA1686" w:rsidP="00FA1686">
      <w:pPr>
        <w:spacing w:after="0"/>
        <w:rPr>
          <w:b/>
          <w:sz w:val="24"/>
          <w:szCs w:val="24"/>
        </w:rPr>
      </w:pPr>
    </w:p>
    <w:p w14:paraId="450B7419" w14:textId="7C653225" w:rsidR="00862AB1" w:rsidRPr="00FA1686" w:rsidRDefault="00862AB1" w:rsidP="00FA1686">
      <w:pPr>
        <w:spacing w:after="0"/>
        <w:rPr>
          <w:b/>
          <w:i/>
          <w:sz w:val="24"/>
          <w:szCs w:val="24"/>
        </w:rPr>
      </w:pPr>
      <w:r w:rsidRPr="00FA1686">
        <w:rPr>
          <w:b/>
          <w:i/>
          <w:sz w:val="24"/>
          <w:szCs w:val="24"/>
        </w:rPr>
        <w:t>Options to acquire quoted securities</w:t>
      </w:r>
    </w:p>
    <w:p w14:paraId="7C1518C1" w14:textId="2F668485" w:rsidR="004E20D3" w:rsidRDefault="004E20D3" w:rsidP="00FA1686">
      <w:pPr>
        <w:spacing w:after="0"/>
        <w:rPr>
          <w:b/>
          <w:sz w:val="24"/>
          <w:szCs w:val="24"/>
        </w:rPr>
      </w:pPr>
    </w:p>
    <w:p w14:paraId="497BD9FC" w14:textId="4A4C2AD0" w:rsidR="004E20D3" w:rsidRPr="007C2359" w:rsidRDefault="004E20D3" w:rsidP="00FA1686">
      <w:pPr>
        <w:spacing w:after="0"/>
        <w:rPr>
          <w:b/>
          <w:sz w:val="24"/>
          <w:szCs w:val="24"/>
        </w:rPr>
      </w:pPr>
      <w:r w:rsidRPr="007C2359">
        <w:rPr>
          <w:sz w:val="24"/>
          <w:szCs w:val="24"/>
        </w:rPr>
        <w:t>Chapter 6D of the Act recognises the intrinsic link between an option to acquire a quoted security and the quoted security itself. ASIC Corporations (Exposure Period) Instrument 201</w:t>
      </w:r>
      <w:r w:rsidR="00FA1686">
        <w:rPr>
          <w:sz w:val="24"/>
          <w:szCs w:val="24"/>
        </w:rPr>
        <w:t>6/74</w:t>
      </w:r>
      <w:r w:rsidRPr="007C2359">
        <w:rPr>
          <w:sz w:val="24"/>
          <w:szCs w:val="24"/>
        </w:rPr>
        <w:t xml:space="preserve"> extends exposure period relief to disclosure documents offering options to acquire quoted securities.</w:t>
      </w:r>
    </w:p>
    <w:p w14:paraId="3ADBD097" w14:textId="77777777" w:rsidR="00862AB1" w:rsidRDefault="00862AB1" w:rsidP="00FA1686">
      <w:pPr>
        <w:spacing w:after="0"/>
        <w:rPr>
          <w:b/>
          <w:sz w:val="24"/>
          <w:szCs w:val="24"/>
        </w:rPr>
      </w:pPr>
    </w:p>
    <w:p w14:paraId="1DDE1530" w14:textId="6BDF8E3A" w:rsidR="00862AB1" w:rsidRPr="00FA1686" w:rsidRDefault="00862AB1" w:rsidP="00FA1686">
      <w:pPr>
        <w:spacing w:after="0"/>
        <w:rPr>
          <w:b/>
          <w:i/>
          <w:sz w:val="24"/>
          <w:szCs w:val="24"/>
        </w:rPr>
      </w:pPr>
      <w:r w:rsidRPr="00FA1686">
        <w:rPr>
          <w:b/>
          <w:i/>
          <w:sz w:val="24"/>
          <w:szCs w:val="24"/>
        </w:rPr>
        <w:t>Managed investment products able to be traded on a market</w:t>
      </w:r>
    </w:p>
    <w:p w14:paraId="23766A6E" w14:textId="77777777" w:rsidR="004E20D3" w:rsidRPr="00862AB1" w:rsidRDefault="004E20D3" w:rsidP="00FA1686">
      <w:pPr>
        <w:spacing w:after="0"/>
        <w:rPr>
          <w:b/>
          <w:sz w:val="24"/>
          <w:szCs w:val="24"/>
        </w:rPr>
      </w:pPr>
    </w:p>
    <w:p w14:paraId="65C6B039" w14:textId="3C9F21DB" w:rsidR="00862AB1" w:rsidRPr="004E20D3" w:rsidRDefault="004E20D3" w:rsidP="00FA1686">
      <w:pPr>
        <w:spacing w:after="0"/>
        <w:rPr>
          <w:sz w:val="24"/>
          <w:szCs w:val="24"/>
        </w:rPr>
      </w:pPr>
      <w:r w:rsidRPr="004E20D3">
        <w:rPr>
          <w:sz w:val="24"/>
          <w:szCs w:val="24"/>
        </w:rPr>
        <w:t xml:space="preserve">Arguably s1016B imposes an exposure period on all PDSs because—even where the managed investment products are in the same class as managed investment products able to be traded on a prescribed financial market, the actual new managed investment products offered will not be able to be traded at the time the PDS is lodged. </w:t>
      </w:r>
      <w:r>
        <w:rPr>
          <w:sz w:val="24"/>
          <w:szCs w:val="24"/>
        </w:rPr>
        <w:t>ASIC Corporations (Exposure Period) Instrument 2016</w:t>
      </w:r>
      <w:r w:rsidR="00FA1686">
        <w:rPr>
          <w:sz w:val="24"/>
          <w:szCs w:val="24"/>
        </w:rPr>
        <w:t>/74</w:t>
      </w:r>
      <w:r w:rsidRPr="004E20D3">
        <w:rPr>
          <w:sz w:val="24"/>
          <w:szCs w:val="24"/>
        </w:rPr>
        <w:t xml:space="preserve"> provides </w:t>
      </w:r>
      <w:r>
        <w:rPr>
          <w:sz w:val="24"/>
          <w:szCs w:val="24"/>
        </w:rPr>
        <w:t xml:space="preserve">exposure period relief </w:t>
      </w:r>
      <w:r w:rsidRPr="004E20D3">
        <w:rPr>
          <w:sz w:val="24"/>
          <w:szCs w:val="24"/>
        </w:rPr>
        <w:t xml:space="preserve">for offers of managed investment products under a PDS, taking into account the slightly different drafting of the exposure period in s1016B (which imposes </w:t>
      </w:r>
      <w:r w:rsidR="00320AA0">
        <w:rPr>
          <w:sz w:val="24"/>
          <w:szCs w:val="24"/>
        </w:rPr>
        <w:t xml:space="preserve">an exposure period on </w:t>
      </w:r>
      <w:r w:rsidRPr="004E20D3">
        <w:rPr>
          <w:sz w:val="24"/>
          <w:szCs w:val="24"/>
        </w:rPr>
        <w:t>an offer of managed investment products not able to be traded as opposed to s727(3), which refers to non-quoted securities).</w:t>
      </w:r>
    </w:p>
    <w:p w14:paraId="67FB8FAB" w14:textId="77777777" w:rsidR="00C306BD" w:rsidRDefault="00C306BD" w:rsidP="00FA1686">
      <w:pPr>
        <w:spacing w:after="0"/>
        <w:rPr>
          <w:sz w:val="24"/>
          <w:szCs w:val="24"/>
        </w:rPr>
      </w:pPr>
    </w:p>
    <w:p w14:paraId="67FB8FAC" w14:textId="77777777" w:rsidR="005B0E3A" w:rsidRPr="00B85DFD" w:rsidRDefault="005B0E3A" w:rsidP="00320AA0">
      <w:pPr>
        <w:pStyle w:val="Heading3"/>
        <w:keepNext w:val="0"/>
        <w:widowControl w:val="0"/>
        <w:numPr>
          <w:ilvl w:val="0"/>
          <w:numId w:val="7"/>
        </w:numPr>
        <w:tabs>
          <w:tab w:val="left" w:pos="567"/>
        </w:tabs>
        <w:spacing w:after="0" w:line="240" w:lineRule="auto"/>
        <w:ind w:left="0" w:firstLine="0"/>
        <w:jc w:val="left"/>
        <w:rPr>
          <w:rFonts w:ascii="Arial" w:eastAsia="Arial" w:hAnsi="Arial" w:cs="Arial"/>
          <w:b/>
          <w:bCs/>
          <w:sz w:val="24"/>
          <w:szCs w:val="24"/>
        </w:rPr>
      </w:pPr>
      <w:bookmarkStart w:id="3" w:name="Insert_a_level_3_heading_"/>
      <w:bookmarkStart w:id="4" w:name="3._Operation_of_the_class_order_"/>
      <w:bookmarkEnd w:id="3"/>
      <w:bookmarkEnd w:id="4"/>
      <w:r w:rsidRPr="00B85DFD">
        <w:rPr>
          <w:rFonts w:ascii="Arial" w:hAnsi="Arial" w:cs="Arial"/>
          <w:b/>
          <w:spacing w:val="-1"/>
          <w:sz w:val="24"/>
          <w:szCs w:val="24"/>
        </w:rPr>
        <w:t>Operation</w:t>
      </w:r>
      <w:r w:rsidRPr="00B85DFD">
        <w:rPr>
          <w:rFonts w:ascii="Arial" w:hAnsi="Arial" w:cs="Arial"/>
          <w:b/>
          <w:sz w:val="24"/>
          <w:szCs w:val="24"/>
        </w:rPr>
        <w:t xml:space="preserve"> </w:t>
      </w:r>
      <w:r w:rsidRPr="00B85DFD">
        <w:rPr>
          <w:rFonts w:ascii="Arial" w:hAnsi="Arial" w:cs="Arial"/>
          <w:b/>
          <w:spacing w:val="-1"/>
          <w:sz w:val="24"/>
          <w:szCs w:val="24"/>
        </w:rPr>
        <w:t>of</w:t>
      </w:r>
      <w:r w:rsidRPr="00B85DFD">
        <w:rPr>
          <w:rFonts w:ascii="Arial" w:hAnsi="Arial" w:cs="Arial"/>
          <w:b/>
          <w:sz w:val="24"/>
          <w:szCs w:val="24"/>
        </w:rPr>
        <w:t xml:space="preserve"> </w:t>
      </w:r>
      <w:r w:rsidRPr="00B85DFD">
        <w:rPr>
          <w:rFonts w:ascii="Arial" w:hAnsi="Arial" w:cs="Arial"/>
          <w:b/>
          <w:spacing w:val="-1"/>
          <w:sz w:val="24"/>
          <w:szCs w:val="24"/>
        </w:rPr>
        <w:t>the</w:t>
      </w:r>
      <w:r w:rsidRPr="00B85DFD">
        <w:rPr>
          <w:rFonts w:ascii="Arial" w:hAnsi="Arial" w:cs="Arial"/>
          <w:b/>
          <w:sz w:val="24"/>
          <w:szCs w:val="24"/>
        </w:rPr>
        <w:t xml:space="preserve"> instrument</w:t>
      </w:r>
    </w:p>
    <w:p w14:paraId="67FB8FAD" w14:textId="77777777" w:rsidR="00566718" w:rsidRPr="00B85DFD" w:rsidRDefault="00566718" w:rsidP="00FA1686">
      <w:pPr>
        <w:pStyle w:val="BodyText"/>
        <w:tabs>
          <w:tab w:val="left" w:pos="0"/>
        </w:tabs>
        <w:spacing w:before="0" w:line="240" w:lineRule="auto"/>
        <w:rPr>
          <w:szCs w:val="24"/>
        </w:rPr>
      </w:pPr>
    </w:p>
    <w:p w14:paraId="136C849D" w14:textId="116BFAD0" w:rsidR="00EA0932" w:rsidRDefault="002D4469" w:rsidP="00FA1686">
      <w:pPr>
        <w:spacing w:after="0"/>
        <w:rPr>
          <w:sz w:val="24"/>
          <w:szCs w:val="24"/>
        </w:rPr>
      </w:pPr>
      <w:r w:rsidRPr="002D4469">
        <w:rPr>
          <w:sz w:val="24"/>
          <w:szCs w:val="24"/>
        </w:rPr>
        <w:t>ASIC Corporations (Exposure P</w:t>
      </w:r>
      <w:r>
        <w:rPr>
          <w:sz w:val="24"/>
          <w:szCs w:val="24"/>
        </w:rPr>
        <w:t>eriod) Instrument 2016</w:t>
      </w:r>
      <w:r w:rsidR="00320AA0">
        <w:rPr>
          <w:sz w:val="24"/>
          <w:szCs w:val="24"/>
        </w:rPr>
        <w:t>/74</w:t>
      </w:r>
      <w:r>
        <w:rPr>
          <w:sz w:val="24"/>
          <w:szCs w:val="24"/>
        </w:rPr>
        <w:t xml:space="preserve"> sets out </w:t>
      </w:r>
      <w:r w:rsidRPr="002D4469">
        <w:rPr>
          <w:sz w:val="24"/>
          <w:szCs w:val="24"/>
        </w:rPr>
        <w:t>four exemptions</w:t>
      </w:r>
      <w:r w:rsidR="00EA0932">
        <w:rPr>
          <w:sz w:val="24"/>
          <w:szCs w:val="24"/>
        </w:rPr>
        <w:t>:</w:t>
      </w:r>
    </w:p>
    <w:p w14:paraId="417D92E5" w14:textId="77777777" w:rsidR="00320AA0" w:rsidRDefault="00320AA0" w:rsidP="00FA1686">
      <w:pPr>
        <w:spacing w:after="0"/>
        <w:rPr>
          <w:sz w:val="24"/>
          <w:szCs w:val="24"/>
        </w:rPr>
      </w:pPr>
    </w:p>
    <w:p w14:paraId="222E4596" w14:textId="6262DB66" w:rsidR="002D4469" w:rsidRDefault="00EA0932" w:rsidP="00320AA0">
      <w:pPr>
        <w:pStyle w:val="ListParagraph"/>
        <w:numPr>
          <w:ilvl w:val="0"/>
          <w:numId w:val="44"/>
        </w:numPr>
        <w:spacing w:after="0"/>
        <w:ind w:left="567" w:hanging="567"/>
        <w:contextualSpacing w:val="0"/>
        <w:rPr>
          <w:sz w:val="24"/>
          <w:szCs w:val="24"/>
        </w:rPr>
      </w:pPr>
      <w:r w:rsidRPr="00EA0932">
        <w:rPr>
          <w:sz w:val="24"/>
          <w:szCs w:val="24"/>
        </w:rPr>
        <w:t>three</w:t>
      </w:r>
      <w:r w:rsidR="002D4469" w:rsidRPr="00EA0932">
        <w:rPr>
          <w:sz w:val="24"/>
          <w:szCs w:val="24"/>
        </w:rPr>
        <w:t xml:space="preserve"> of which exempt an issuer from the operation of s727(3)</w:t>
      </w:r>
      <w:r w:rsidR="002D34D7">
        <w:rPr>
          <w:sz w:val="24"/>
          <w:szCs w:val="24"/>
        </w:rPr>
        <w:t>;</w:t>
      </w:r>
      <w:r>
        <w:rPr>
          <w:sz w:val="24"/>
          <w:szCs w:val="24"/>
        </w:rPr>
        <w:t xml:space="preserve"> and</w:t>
      </w:r>
    </w:p>
    <w:p w14:paraId="06E4C7DD" w14:textId="77777777" w:rsidR="00320AA0" w:rsidRDefault="00320AA0" w:rsidP="00320AA0">
      <w:pPr>
        <w:pStyle w:val="ListParagraph"/>
        <w:spacing w:after="0"/>
        <w:ind w:left="567" w:hanging="567"/>
        <w:contextualSpacing w:val="0"/>
        <w:rPr>
          <w:sz w:val="24"/>
          <w:szCs w:val="24"/>
        </w:rPr>
      </w:pPr>
    </w:p>
    <w:p w14:paraId="541AB08B" w14:textId="0F6AB837" w:rsidR="002D34D7" w:rsidRDefault="00EA0932" w:rsidP="00320AA0">
      <w:pPr>
        <w:pStyle w:val="ListParagraph"/>
        <w:numPr>
          <w:ilvl w:val="0"/>
          <w:numId w:val="44"/>
        </w:numPr>
        <w:spacing w:after="0"/>
        <w:ind w:left="567" w:hanging="567"/>
        <w:contextualSpacing w:val="0"/>
        <w:rPr>
          <w:sz w:val="24"/>
          <w:szCs w:val="24"/>
        </w:rPr>
      </w:pPr>
      <w:r>
        <w:rPr>
          <w:sz w:val="24"/>
          <w:szCs w:val="24"/>
        </w:rPr>
        <w:t xml:space="preserve">one that exempts a responsible </w:t>
      </w:r>
      <w:r w:rsidR="002D34D7">
        <w:rPr>
          <w:sz w:val="24"/>
          <w:szCs w:val="24"/>
        </w:rPr>
        <w:t>person from the operation of s1016B(1)</w:t>
      </w:r>
      <w:r w:rsidR="00320AA0">
        <w:rPr>
          <w:sz w:val="24"/>
          <w:szCs w:val="24"/>
        </w:rPr>
        <w:t>,</w:t>
      </w:r>
    </w:p>
    <w:p w14:paraId="29576A73" w14:textId="77777777" w:rsidR="00320AA0" w:rsidRPr="002D34D7" w:rsidRDefault="00320AA0" w:rsidP="00320AA0">
      <w:pPr>
        <w:pStyle w:val="ListParagraph"/>
        <w:spacing w:after="0"/>
        <w:ind w:left="360"/>
        <w:contextualSpacing w:val="0"/>
        <w:rPr>
          <w:sz w:val="24"/>
          <w:szCs w:val="24"/>
        </w:rPr>
      </w:pPr>
    </w:p>
    <w:p w14:paraId="0557781D" w14:textId="6C1F8C5B" w:rsidR="002D34D7" w:rsidRPr="002D34D7" w:rsidRDefault="002D34D7" w:rsidP="00FA1686">
      <w:pPr>
        <w:spacing w:after="0"/>
        <w:rPr>
          <w:sz w:val="24"/>
          <w:szCs w:val="24"/>
        </w:rPr>
      </w:pPr>
      <w:r>
        <w:rPr>
          <w:sz w:val="24"/>
          <w:szCs w:val="24"/>
        </w:rPr>
        <w:t>in certai</w:t>
      </w:r>
      <w:r w:rsidR="00320AA0">
        <w:rPr>
          <w:sz w:val="24"/>
          <w:szCs w:val="24"/>
        </w:rPr>
        <w:t>n circumstances, as set out below.</w:t>
      </w:r>
    </w:p>
    <w:p w14:paraId="2C7BE448" w14:textId="77777777" w:rsidR="002D4469" w:rsidRDefault="002D4469" w:rsidP="00FA1686">
      <w:pPr>
        <w:spacing w:after="0"/>
        <w:rPr>
          <w:b/>
          <w:sz w:val="24"/>
          <w:szCs w:val="24"/>
        </w:rPr>
      </w:pPr>
    </w:p>
    <w:p w14:paraId="7989CDED" w14:textId="263A8810" w:rsidR="00862AB1" w:rsidRPr="00320AA0" w:rsidRDefault="002D4469" w:rsidP="00FA1686">
      <w:pPr>
        <w:spacing w:after="0"/>
        <w:rPr>
          <w:b/>
          <w:i/>
          <w:sz w:val="24"/>
          <w:szCs w:val="24"/>
        </w:rPr>
      </w:pPr>
      <w:r w:rsidRPr="00320AA0">
        <w:rPr>
          <w:b/>
          <w:i/>
          <w:sz w:val="24"/>
          <w:szCs w:val="24"/>
        </w:rPr>
        <w:t>S</w:t>
      </w:r>
      <w:r w:rsidR="00862AB1" w:rsidRPr="00320AA0">
        <w:rPr>
          <w:b/>
          <w:i/>
          <w:sz w:val="24"/>
          <w:szCs w:val="24"/>
        </w:rPr>
        <w:t>upplementary and replacement disclosure documents</w:t>
      </w:r>
    </w:p>
    <w:p w14:paraId="78566A57" w14:textId="77777777" w:rsidR="002D4469" w:rsidRDefault="002D4469" w:rsidP="00FA1686">
      <w:pPr>
        <w:spacing w:after="0"/>
        <w:rPr>
          <w:b/>
          <w:sz w:val="24"/>
          <w:szCs w:val="24"/>
        </w:rPr>
      </w:pPr>
    </w:p>
    <w:p w14:paraId="45FC4031" w14:textId="7FB03DD0" w:rsidR="002D4469" w:rsidRPr="00E61517" w:rsidRDefault="002D4469" w:rsidP="00FA1686">
      <w:pPr>
        <w:spacing w:after="0"/>
        <w:rPr>
          <w:sz w:val="24"/>
          <w:szCs w:val="24"/>
        </w:rPr>
      </w:pPr>
      <w:r>
        <w:rPr>
          <w:sz w:val="24"/>
          <w:szCs w:val="24"/>
        </w:rPr>
        <w:t xml:space="preserve">A person who lodges a </w:t>
      </w:r>
      <w:r w:rsidRPr="002D4469">
        <w:rPr>
          <w:sz w:val="24"/>
          <w:szCs w:val="24"/>
        </w:rPr>
        <w:t>supplementary or replacement</w:t>
      </w:r>
      <w:r>
        <w:rPr>
          <w:sz w:val="24"/>
          <w:szCs w:val="24"/>
        </w:rPr>
        <w:t xml:space="preserve"> disclosure</w:t>
      </w:r>
      <w:r w:rsidRPr="002D4469">
        <w:rPr>
          <w:sz w:val="24"/>
          <w:szCs w:val="24"/>
        </w:rPr>
        <w:t xml:space="preserve"> document after the expiration of the exposure period in relation to a disclosure document that is being supplemented or replaced does not have to comply with subsection 727(3) of the Act to the extent it would otherwise prohibit the person from accepting an application for, or issuing or transferring, securities offered under the updating document until the period of </w:t>
      </w:r>
      <w:r w:rsidR="00320AA0">
        <w:rPr>
          <w:sz w:val="24"/>
          <w:szCs w:val="24"/>
        </w:rPr>
        <w:t>seven</w:t>
      </w:r>
      <w:r w:rsidRPr="002D4469">
        <w:rPr>
          <w:sz w:val="24"/>
          <w:szCs w:val="24"/>
        </w:rPr>
        <w:t xml:space="preserve"> days after the lodgment of the</w:t>
      </w:r>
      <w:r>
        <w:rPr>
          <w:sz w:val="24"/>
          <w:szCs w:val="24"/>
        </w:rPr>
        <w:t xml:space="preserve"> supplementary or replacement</w:t>
      </w:r>
      <w:r w:rsidRPr="002D4469">
        <w:rPr>
          <w:sz w:val="24"/>
          <w:szCs w:val="24"/>
        </w:rPr>
        <w:t xml:space="preserve"> document has ended</w:t>
      </w:r>
      <w:r>
        <w:rPr>
          <w:sz w:val="24"/>
          <w:szCs w:val="24"/>
        </w:rPr>
        <w:t>.</w:t>
      </w:r>
    </w:p>
    <w:p w14:paraId="67FB8FE6" w14:textId="77777777" w:rsidR="003F7027" w:rsidRDefault="003F7027" w:rsidP="00FA1686">
      <w:pPr>
        <w:pStyle w:val="BodyText"/>
        <w:tabs>
          <w:tab w:val="left" w:pos="0"/>
        </w:tabs>
        <w:spacing w:before="0" w:line="240" w:lineRule="auto"/>
        <w:rPr>
          <w:b/>
          <w:szCs w:val="24"/>
        </w:rPr>
      </w:pPr>
    </w:p>
    <w:p w14:paraId="627646D2" w14:textId="7699D3AA" w:rsidR="00E61517" w:rsidRPr="00E61517" w:rsidRDefault="00E61517" w:rsidP="00FA1686">
      <w:pPr>
        <w:pStyle w:val="BodyText"/>
        <w:tabs>
          <w:tab w:val="left" w:pos="0"/>
        </w:tabs>
        <w:spacing w:before="0" w:line="240" w:lineRule="auto"/>
        <w:rPr>
          <w:szCs w:val="24"/>
        </w:rPr>
      </w:pPr>
      <w:r w:rsidRPr="00E61517">
        <w:rPr>
          <w:szCs w:val="24"/>
        </w:rPr>
        <w:t>ASIC Corporations (Exposure Period) Instrument 2016</w:t>
      </w:r>
      <w:r w:rsidR="00320AA0">
        <w:rPr>
          <w:szCs w:val="24"/>
        </w:rPr>
        <w:t>/74</w:t>
      </w:r>
      <w:r w:rsidRPr="00E61517">
        <w:rPr>
          <w:szCs w:val="24"/>
        </w:rPr>
        <w:t xml:space="preserve"> does not exempt issuers from the operation of s727(3) as it applies to a supplementary or replacement disclosure document in circumstances where the supplementary or replacement is lodged at a point in time at which the document being supplemented or replaced is itself still subject to the exposure period. The relief for the supplementary or replacement disclosure document is activated once the </w:t>
      </w:r>
      <w:r w:rsidRPr="00E61517">
        <w:rPr>
          <w:szCs w:val="24"/>
        </w:rPr>
        <w:lastRenderedPageBreak/>
        <w:t>exposure period (or extended exposure period) applying to the document being supplemented or replaced expires.</w:t>
      </w:r>
    </w:p>
    <w:p w14:paraId="3B4E6348" w14:textId="77777777" w:rsidR="00E61517" w:rsidRPr="00320AA0" w:rsidRDefault="00E61517" w:rsidP="00FA1686">
      <w:pPr>
        <w:pStyle w:val="BodyText"/>
        <w:tabs>
          <w:tab w:val="left" w:pos="0"/>
        </w:tabs>
        <w:spacing w:before="0" w:line="240" w:lineRule="auto"/>
        <w:rPr>
          <w:b/>
          <w:i/>
          <w:szCs w:val="24"/>
        </w:rPr>
      </w:pPr>
    </w:p>
    <w:p w14:paraId="6795EDF8" w14:textId="7CDF6B8F" w:rsidR="00862AB1" w:rsidRPr="00320AA0" w:rsidRDefault="002D4469" w:rsidP="00FA1686">
      <w:pPr>
        <w:pStyle w:val="BodyText"/>
        <w:tabs>
          <w:tab w:val="left" w:pos="0"/>
        </w:tabs>
        <w:spacing w:before="0" w:line="240" w:lineRule="auto"/>
        <w:rPr>
          <w:b/>
          <w:i/>
          <w:szCs w:val="24"/>
        </w:rPr>
      </w:pPr>
      <w:r w:rsidRPr="00320AA0">
        <w:rPr>
          <w:b/>
          <w:i/>
          <w:szCs w:val="24"/>
        </w:rPr>
        <w:t>Q</w:t>
      </w:r>
      <w:r w:rsidR="00862AB1" w:rsidRPr="00320AA0">
        <w:rPr>
          <w:b/>
          <w:i/>
          <w:szCs w:val="24"/>
        </w:rPr>
        <w:t>uoted securities</w:t>
      </w:r>
    </w:p>
    <w:p w14:paraId="3DC74A69" w14:textId="172CA4F2" w:rsidR="00E61517" w:rsidRDefault="00E61517" w:rsidP="00FA1686">
      <w:pPr>
        <w:pStyle w:val="BodyText"/>
        <w:tabs>
          <w:tab w:val="left" w:pos="0"/>
        </w:tabs>
        <w:spacing w:before="0" w:line="240" w:lineRule="auto"/>
        <w:rPr>
          <w:b/>
          <w:szCs w:val="24"/>
        </w:rPr>
      </w:pPr>
    </w:p>
    <w:p w14:paraId="75A6B2F7" w14:textId="11645B00" w:rsidR="00E61517" w:rsidRPr="00862AB1" w:rsidRDefault="00E61517" w:rsidP="00FA1686">
      <w:pPr>
        <w:pStyle w:val="BodyText"/>
        <w:tabs>
          <w:tab w:val="left" w:pos="0"/>
        </w:tabs>
        <w:spacing w:before="0" w:line="240" w:lineRule="auto"/>
        <w:rPr>
          <w:b/>
          <w:szCs w:val="24"/>
        </w:rPr>
      </w:pPr>
      <w:r>
        <w:t xml:space="preserve">A person does not have to comply with the exposure period requirements in s727(3) if, at the time of lodgment of the </w:t>
      </w:r>
      <w:r w:rsidRPr="008B0E34">
        <w:t xml:space="preserve">disclosure document, </w:t>
      </w:r>
      <w:r>
        <w:t xml:space="preserve">the securities offered therein </w:t>
      </w:r>
      <w:r w:rsidRPr="008B0E34">
        <w:t xml:space="preserve">are in a class of securities that are quoted </w:t>
      </w:r>
      <w:r>
        <w:t>on a prescribed financial market.</w:t>
      </w:r>
    </w:p>
    <w:p w14:paraId="0940F52B" w14:textId="77777777" w:rsidR="00862AB1" w:rsidRPr="00320AA0" w:rsidRDefault="00862AB1" w:rsidP="00FA1686">
      <w:pPr>
        <w:pStyle w:val="BodyText"/>
        <w:tabs>
          <w:tab w:val="left" w:pos="0"/>
        </w:tabs>
        <w:spacing w:before="0" w:line="240" w:lineRule="auto"/>
        <w:rPr>
          <w:b/>
          <w:i/>
          <w:szCs w:val="24"/>
        </w:rPr>
      </w:pPr>
    </w:p>
    <w:p w14:paraId="5141C082" w14:textId="5A505D8A" w:rsidR="00862AB1" w:rsidRPr="00320AA0" w:rsidRDefault="00862AB1" w:rsidP="00FA1686">
      <w:pPr>
        <w:pStyle w:val="BodyText"/>
        <w:tabs>
          <w:tab w:val="left" w:pos="0"/>
        </w:tabs>
        <w:spacing w:before="0" w:line="240" w:lineRule="auto"/>
        <w:rPr>
          <w:b/>
          <w:i/>
          <w:szCs w:val="24"/>
        </w:rPr>
      </w:pPr>
      <w:r w:rsidRPr="00320AA0">
        <w:rPr>
          <w:b/>
          <w:i/>
          <w:szCs w:val="24"/>
        </w:rPr>
        <w:t>Options to acquire quoted securities</w:t>
      </w:r>
    </w:p>
    <w:p w14:paraId="5203BEE1" w14:textId="56BFA875" w:rsidR="00E61517" w:rsidRDefault="00E61517" w:rsidP="00FA1686">
      <w:pPr>
        <w:pStyle w:val="BodyText"/>
        <w:tabs>
          <w:tab w:val="left" w:pos="0"/>
        </w:tabs>
        <w:spacing w:before="0" w:line="240" w:lineRule="auto"/>
        <w:rPr>
          <w:b/>
          <w:szCs w:val="24"/>
        </w:rPr>
      </w:pPr>
    </w:p>
    <w:p w14:paraId="3F983449" w14:textId="77777777" w:rsidR="00D45E0E" w:rsidRPr="00D45E0E" w:rsidRDefault="00D45E0E" w:rsidP="00FA1686">
      <w:pPr>
        <w:pStyle w:val="BodyText"/>
        <w:tabs>
          <w:tab w:val="left" w:pos="0"/>
        </w:tabs>
        <w:spacing w:before="0" w:line="240" w:lineRule="auto"/>
        <w:rPr>
          <w:szCs w:val="24"/>
        </w:rPr>
      </w:pPr>
      <w:r w:rsidRPr="00D45E0E">
        <w:rPr>
          <w:szCs w:val="24"/>
        </w:rPr>
        <w:t>A person does not have to comply with subsection 727(3) of the Act in relation to an offer of options to acquire securities if, at the time of lodgment of the disclosure document for the options, the underlying securities are in a class of securities that are quoted on a prescribed financial market.</w:t>
      </w:r>
    </w:p>
    <w:p w14:paraId="7A604552" w14:textId="77777777" w:rsidR="00862AB1" w:rsidRDefault="00862AB1" w:rsidP="00FA1686">
      <w:pPr>
        <w:pStyle w:val="BodyText"/>
        <w:tabs>
          <w:tab w:val="left" w:pos="0"/>
        </w:tabs>
        <w:spacing w:before="0" w:line="240" w:lineRule="auto"/>
        <w:rPr>
          <w:b/>
          <w:szCs w:val="24"/>
        </w:rPr>
      </w:pPr>
    </w:p>
    <w:p w14:paraId="16B81336" w14:textId="736879B9" w:rsidR="00862AB1" w:rsidRPr="00320AA0" w:rsidRDefault="00862AB1" w:rsidP="00FA1686">
      <w:pPr>
        <w:pStyle w:val="BodyText"/>
        <w:tabs>
          <w:tab w:val="left" w:pos="0"/>
        </w:tabs>
        <w:spacing w:before="0" w:line="240" w:lineRule="auto"/>
        <w:rPr>
          <w:b/>
          <w:i/>
          <w:szCs w:val="24"/>
        </w:rPr>
      </w:pPr>
      <w:r w:rsidRPr="00320AA0">
        <w:rPr>
          <w:b/>
          <w:i/>
          <w:szCs w:val="24"/>
        </w:rPr>
        <w:t>Managed investment products that are able to be traded on a market</w:t>
      </w:r>
    </w:p>
    <w:p w14:paraId="6A0D303B" w14:textId="03BE3F81" w:rsidR="00D45E0E" w:rsidRDefault="00D45E0E" w:rsidP="00FA1686">
      <w:pPr>
        <w:pStyle w:val="BodyText"/>
        <w:tabs>
          <w:tab w:val="left" w:pos="0"/>
        </w:tabs>
        <w:spacing w:before="0" w:line="240" w:lineRule="auto"/>
        <w:rPr>
          <w:b/>
          <w:szCs w:val="24"/>
        </w:rPr>
      </w:pPr>
    </w:p>
    <w:p w14:paraId="3BCB5D12" w14:textId="71B1E7F1" w:rsidR="00D45E0E" w:rsidRPr="00D45E0E" w:rsidRDefault="00D45E0E" w:rsidP="00FA1686">
      <w:pPr>
        <w:pStyle w:val="BodyText"/>
        <w:tabs>
          <w:tab w:val="left" w:pos="0"/>
        </w:tabs>
        <w:spacing w:before="0" w:line="240" w:lineRule="auto"/>
        <w:rPr>
          <w:szCs w:val="24"/>
        </w:rPr>
      </w:pPr>
      <w:r w:rsidRPr="00D45E0E">
        <w:rPr>
          <w:szCs w:val="24"/>
        </w:rPr>
        <w:t xml:space="preserve">A responsible person does not have to comply with subsection 1016B(1) of the Act in relation to an application made in response to a Product Disclosure Statement for a managed investment product if, at the time of lodgment of the </w:t>
      </w:r>
      <w:r w:rsidR="00320AA0" w:rsidRPr="00D45E0E">
        <w:rPr>
          <w:szCs w:val="24"/>
        </w:rPr>
        <w:t xml:space="preserve">Product Disclosure </w:t>
      </w:r>
      <w:r w:rsidRPr="00D45E0E">
        <w:rPr>
          <w:szCs w:val="24"/>
        </w:rPr>
        <w:t>Statement, the managed investment product is in a class of managed investment products that are able to be traded on a prescribed financial market.</w:t>
      </w:r>
    </w:p>
    <w:p w14:paraId="283C6225" w14:textId="77777777" w:rsidR="00D45E0E" w:rsidRDefault="00D45E0E" w:rsidP="00FA1686">
      <w:pPr>
        <w:pStyle w:val="BodyText"/>
        <w:tabs>
          <w:tab w:val="left" w:pos="0"/>
        </w:tabs>
        <w:spacing w:before="0" w:line="240" w:lineRule="auto"/>
        <w:rPr>
          <w:b/>
          <w:szCs w:val="24"/>
        </w:rPr>
      </w:pPr>
    </w:p>
    <w:p w14:paraId="6AF56238" w14:textId="08E52C31" w:rsidR="00D45E0E" w:rsidRPr="00D45E0E" w:rsidRDefault="00D45E0E" w:rsidP="00FA1686">
      <w:pPr>
        <w:pStyle w:val="BodyText"/>
        <w:tabs>
          <w:tab w:val="left" w:pos="0"/>
        </w:tabs>
        <w:spacing w:before="0" w:line="240" w:lineRule="auto"/>
        <w:rPr>
          <w:szCs w:val="24"/>
        </w:rPr>
      </w:pPr>
      <w:r w:rsidRPr="00D45E0E">
        <w:rPr>
          <w:szCs w:val="24"/>
        </w:rPr>
        <w:t>ASIC Corporations (</w:t>
      </w:r>
      <w:r>
        <w:rPr>
          <w:szCs w:val="24"/>
        </w:rPr>
        <w:t>Exposure Period) Instrument 2016</w:t>
      </w:r>
      <w:r w:rsidR="00320AA0">
        <w:rPr>
          <w:szCs w:val="24"/>
        </w:rPr>
        <w:t>/74</w:t>
      </w:r>
      <w:r w:rsidRPr="00D45E0E">
        <w:rPr>
          <w:szCs w:val="24"/>
        </w:rPr>
        <w:t xml:space="preserve"> also clarifies that, for the purposes of </w:t>
      </w:r>
      <w:r w:rsidR="00320AA0">
        <w:rPr>
          <w:szCs w:val="24"/>
        </w:rPr>
        <w:t>s</w:t>
      </w:r>
      <w:r w:rsidRPr="00D45E0E">
        <w:rPr>
          <w:szCs w:val="24"/>
        </w:rPr>
        <w:t>1016B(1), a class of managed investment products is not to be taken as not being able to be traded on a prescribed financial market merely because, at the time of lodg</w:t>
      </w:r>
      <w:r w:rsidR="00320AA0">
        <w:rPr>
          <w:szCs w:val="24"/>
        </w:rPr>
        <w:t>e</w:t>
      </w:r>
      <w:r w:rsidRPr="00D45E0E">
        <w:rPr>
          <w:szCs w:val="24"/>
        </w:rPr>
        <w:t xml:space="preserve">ment of the </w:t>
      </w:r>
      <w:r w:rsidR="00320AA0">
        <w:rPr>
          <w:szCs w:val="24"/>
        </w:rPr>
        <w:t xml:space="preserve">Product Disclosure </w:t>
      </w:r>
      <w:r w:rsidRPr="00D45E0E">
        <w:rPr>
          <w:szCs w:val="24"/>
        </w:rPr>
        <w:t>Statement, trading in that class has been suspended.</w:t>
      </w:r>
    </w:p>
    <w:p w14:paraId="67FB8FE8" w14:textId="77777777" w:rsidR="003F7027" w:rsidRDefault="003F7027" w:rsidP="00FA1686">
      <w:pPr>
        <w:pStyle w:val="BodyText"/>
        <w:tabs>
          <w:tab w:val="left" w:pos="0"/>
        </w:tabs>
        <w:spacing w:before="0" w:line="240" w:lineRule="auto"/>
        <w:rPr>
          <w:szCs w:val="24"/>
        </w:rPr>
      </w:pPr>
    </w:p>
    <w:p w14:paraId="67FB8FE9" w14:textId="77777777" w:rsidR="005B0E3A" w:rsidRPr="00FE742F" w:rsidRDefault="005B0E3A" w:rsidP="00320AA0">
      <w:pPr>
        <w:pStyle w:val="Heading3"/>
        <w:keepNext w:val="0"/>
        <w:widowControl w:val="0"/>
        <w:numPr>
          <w:ilvl w:val="0"/>
          <w:numId w:val="7"/>
        </w:numPr>
        <w:tabs>
          <w:tab w:val="left" w:pos="567"/>
        </w:tabs>
        <w:spacing w:after="0" w:line="240" w:lineRule="auto"/>
        <w:ind w:left="0" w:firstLine="0"/>
        <w:jc w:val="left"/>
        <w:rPr>
          <w:rFonts w:ascii="Arial" w:eastAsia="Arial" w:hAnsi="Arial" w:cs="Arial"/>
          <w:b/>
          <w:bCs/>
          <w:sz w:val="24"/>
          <w:szCs w:val="24"/>
        </w:rPr>
      </w:pPr>
      <w:bookmarkStart w:id="5" w:name="4._Documents_incorporated_by_reference"/>
      <w:bookmarkStart w:id="6" w:name="5._Consultation"/>
      <w:bookmarkEnd w:id="5"/>
      <w:bookmarkEnd w:id="6"/>
      <w:r w:rsidRPr="00FE742F">
        <w:rPr>
          <w:rFonts w:ascii="Arial" w:hAnsi="Arial" w:cs="Arial"/>
          <w:b/>
          <w:sz w:val="24"/>
          <w:szCs w:val="24"/>
        </w:rPr>
        <w:t>Consultation</w:t>
      </w:r>
    </w:p>
    <w:p w14:paraId="67FB8FEA" w14:textId="77777777" w:rsidR="004C1951" w:rsidRDefault="004C1951" w:rsidP="00FA1686">
      <w:pPr>
        <w:spacing w:after="0"/>
        <w:rPr>
          <w:i/>
          <w:color w:val="0000FF"/>
          <w:sz w:val="24"/>
        </w:rPr>
      </w:pPr>
    </w:p>
    <w:p w14:paraId="24CF27AB" w14:textId="0F67C02C" w:rsidR="00320AA0" w:rsidRPr="00320AA0" w:rsidRDefault="00320AA0" w:rsidP="00320AA0">
      <w:pPr>
        <w:pStyle w:val="BodyText"/>
        <w:tabs>
          <w:tab w:val="left" w:pos="0"/>
        </w:tabs>
        <w:spacing w:before="0" w:line="240" w:lineRule="auto"/>
        <w:rPr>
          <w:szCs w:val="24"/>
        </w:rPr>
      </w:pPr>
      <w:r w:rsidRPr="00320AA0">
        <w:rPr>
          <w:szCs w:val="24"/>
        </w:rPr>
        <w:t xml:space="preserve">On 17 September 2015 ASIC released CP 239 </w:t>
      </w:r>
      <w:r w:rsidRPr="00320AA0">
        <w:rPr>
          <w:i/>
          <w:szCs w:val="24"/>
        </w:rPr>
        <w:t>Disclosure documents: Update to ASIC instruments and guidance</w:t>
      </w:r>
      <w:r w:rsidRPr="00320AA0">
        <w:rPr>
          <w:szCs w:val="24"/>
        </w:rPr>
        <w:t xml:space="preserve"> (</w:t>
      </w:r>
      <w:r w:rsidRPr="00320AA0">
        <w:rPr>
          <w:b/>
          <w:i/>
          <w:szCs w:val="24"/>
        </w:rPr>
        <w:t>CP 239</w:t>
      </w:r>
      <w:r w:rsidRPr="00320AA0">
        <w:rPr>
          <w:szCs w:val="24"/>
        </w:rPr>
        <w:t>) seeking feedback on proposals to update and consolidate a number of regulatory guides relating to Ch 6D of the Act. CP 239 also sought feedback on proposals to reissue the legislative instruments associated with ASIC’s updated guidance (including ASIC Class Orders</w:t>
      </w:r>
      <w:r w:rsidR="00DF7E66" w:rsidRPr="00DF7E66">
        <w:rPr>
          <w:szCs w:val="24"/>
        </w:rPr>
        <w:t xml:space="preserve"> </w:t>
      </w:r>
      <w:r w:rsidR="00DF7E66" w:rsidRPr="00A24796">
        <w:rPr>
          <w:szCs w:val="24"/>
        </w:rPr>
        <w:t>[CO 00/</w:t>
      </w:r>
      <w:r w:rsidR="00DF7E66">
        <w:rPr>
          <w:szCs w:val="24"/>
        </w:rPr>
        <w:t>168], [CO 00/169</w:t>
      </w:r>
      <w:r w:rsidR="00DF7E66" w:rsidRPr="00A24796">
        <w:rPr>
          <w:szCs w:val="24"/>
        </w:rPr>
        <w:t>]</w:t>
      </w:r>
      <w:r w:rsidR="00DF7E66">
        <w:rPr>
          <w:szCs w:val="24"/>
        </w:rPr>
        <w:t>, [CO 00/843] and [CO 02/145]</w:t>
      </w:r>
      <w:r w:rsidRPr="00320AA0">
        <w:rPr>
          <w:szCs w:val="24"/>
        </w:rPr>
        <w:t>) and to make legislative instruments addressing some discrete policy issues. The consultation period closed on 27 November 2015.</w:t>
      </w:r>
    </w:p>
    <w:p w14:paraId="3A3189FD" w14:textId="77777777" w:rsidR="00320AA0" w:rsidRPr="00320AA0" w:rsidRDefault="00320AA0" w:rsidP="00320AA0">
      <w:pPr>
        <w:pStyle w:val="BodyText"/>
        <w:tabs>
          <w:tab w:val="left" w:pos="0"/>
        </w:tabs>
        <w:spacing w:before="0" w:line="240" w:lineRule="auto"/>
        <w:rPr>
          <w:szCs w:val="24"/>
        </w:rPr>
      </w:pPr>
    </w:p>
    <w:p w14:paraId="19877199" w14:textId="77777777" w:rsidR="00320AA0" w:rsidRPr="00320AA0" w:rsidRDefault="00320AA0" w:rsidP="00320AA0">
      <w:pPr>
        <w:pStyle w:val="BodyText"/>
        <w:tabs>
          <w:tab w:val="left" w:pos="0"/>
        </w:tabs>
        <w:spacing w:before="0" w:line="240" w:lineRule="auto"/>
        <w:rPr>
          <w:szCs w:val="24"/>
        </w:rPr>
      </w:pPr>
      <w:r w:rsidRPr="00320AA0">
        <w:rPr>
          <w:szCs w:val="24"/>
        </w:rPr>
        <w:t xml:space="preserve">ASIC received four submissions in response to CP 239. Details of the submissions are contained in REP 473 </w:t>
      </w:r>
      <w:r w:rsidRPr="00320AA0">
        <w:rPr>
          <w:i/>
          <w:szCs w:val="24"/>
        </w:rPr>
        <w:t>Response to submissions on CP 239 Disclosure documents: updates to ASIC instruments and guidance</w:t>
      </w:r>
      <w:r w:rsidRPr="00320AA0">
        <w:rPr>
          <w:szCs w:val="24"/>
        </w:rPr>
        <w:t xml:space="preserve"> which is available on ASIC’s website at www.asic.gov.au.</w:t>
      </w:r>
    </w:p>
    <w:p w14:paraId="7C1DC761" w14:textId="77777777" w:rsidR="00320AA0" w:rsidRPr="00320AA0" w:rsidRDefault="00320AA0" w:rsidP="00320AA0">
      <w:pPr>
        <w:pStyle w:val="BodyText"/>
        <w:tabs>
          <w:tab w:val="left" w:pos="0"/>
        </w:tabs>
        <w:spacing w:before="0" w:line="240" w:lineRule="auto"/>
        <w:rPr>
          <w:szCs w:val="24"/>
        </w:rPr>
      </w:pPr>
    </w:p>
    <w:p w14:paraId="67FB8FEC" w14:textId="28BA5A68" w:rsidR="005B0E3A" w:rsidRDefault="00320AA0" w:rsidP="00320AA0">
      <w:pPr>
        <w:pStyle w:val="BodyText"/>
        <w:tabs>
          <w:tab w:val="left" w:pos="0"/>
        </w:tabs>
        <w:spacing w:before="0" w:line="240" w:lineRule="auto"/>
        <w:sectPr w:rsidR="005B0E3A" w:rsidSect="001610F2">
          <w:headerReference w:type="even" r:id="rId13"/>
          <w:headerReference w:type="default" r:id="rId14"/>
          <w:footerReference w:type="even" r:id="rId15"/>
          <w:headerReference w:type="first" r:id="rId16"/>
          <w:pgSz w:w="11906" w:h="16838" w:code="9"/>
          <w:pgMar w:top="1644" w:right="1418" w:bottom="1418" w:left="1418" w:header="567" w:footer="567" w:gutter="0"/>
          <w:cols w:space="720"/>
          <w:titlePg/>
          <w:docGrid w:linePitch="299"/>
        </w:sectPr>
      </w:pPr>
      <w:r w:rsidRPr="00320AA0">
        <w:rPr>
          <w:szCs w:val="24"/>
        </w:rPr>
        <w:t>Notwithstanding ASIC’s consultation, ASIC considers that ASIC Corporations (</w:t>
      </w:r>
      <w:r>
        <w:rPr>
          <w:szCs w:val="24"/>
        </w:rPr>
        <w:t>Exposure Period</w:t>
      </w:r>
      <w:r w:rsidRPr="00320AA0">
        <w:rPr>
          <w:szCs w:val="24"/>
        </w:rPr>
        <w:t>) Instrument 2016/7</w:t>
      </w:r>
      <w:r>
        <w:rPr>
          <w:szCs w:val="24"/>
        </w:rPr>
        <w:t>4</w:t>
      </w:r>
      <w:r w:rsidRPr="00320AA0">
        <w:rPr>
          <w:szCs w:val="24"/>
        </w:rPr>
        <w:t xml:space="preserve"> is of a minor or machinery nature and does not substantially alter existing arrangements</w:t>
      </w:r>
      <w:r>
        <w:t>.</w:t>
      </w:r>
    </w:p>
    <w:p w14:paraId="67FB8FED" w14:textId="77777777" w:rsidR="000076D6" w:rsidRDefault="000076D6" w:rsidP="00FA1686">
      <w:pPr>
        <w:spacing w:after="0"/>
      </w:pPr>
      <w:r>
        <w:rPr>
          <w:noProof/>
        </w:rPr>
        <w:lastRenderedPageBreak/>
        <mc:AlternateContent>
          <mc:Choice Requires="wps">
            <w:drawing>
              <wp:anchor distT="0" distB="0" distL="114300" distR="114300" simplePos="0" relativeHeight="251658240" behindDoc="0" locked="0" layoutInCell="1" allowOverlap="1" wp14:anchorId="67FB8FEE" wp14:editId="67FB8FEF">
                <wp:simplePos x="0" y="0"/>
                <wp:positionH relativeFrom="column">
                  <wp:posOffset>19050</wp:posOffset>
                </wp:positionH>
                <wp:positionV relativeFrom="paragraph">
                  <wp:posOffset>492760</wp:posOffset>
                </wp:positionV>
                <wp:extent cx="5311140" cy="6791325"/>
                <wp:effectExtent l="38100" t="38100" r="41910" b="476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1140" cy="6791325"/>
                        </a:xfrm>
                        <a:prstGeom prst="rect">
                          <a:avLst/>
                        </a:prstGeom>
                        <a:solidFill>
                          <a:srgbClr val="FFFFFF"/>
                        </a:solidFill>
                        <a:ln w="76200" cmpd="tri">
                          <a:solidFill>
                            <a:srgbClr val="000000"/>
                          </a:solidFill>
                          <a:miter lim="800000"/>
                          <a:headEnd/>
                          <a:tailEnd/>
                        </a:ln>
                      </wps:spPr>
                      <wps:txbx>
                        <w:txbxContent>
                          <w:p w14:paraId="67FB900A" w14:textId="77777777" w:rsidR="00DF7E66" w:rsidRPr="00834797" w:rsidRDefault="00DF7E66" w:rsidP="000076D6">
                            <w:pPr>
                              <w:spacing w:before="360" w:after="120"/>
                              <w:jc w:val="center"/>
                              <w:rPr>
                                <w:b/>
                              </w:rPr>
                            </w:pPr>
                            <w:r w:rsidRPr="00834797">
                              <w:rPr>
                                <w:b/>
                              </w:rPr>
                              <w:t>Statement of Compatibility with Human Rights</w:t>
                            </w:r>
                          </w:p>
                          <w:p w14:paraId="67FB900B" w14:textId="77777777" w:rsidR="00DF7E66" w:rsidRPr="00247F54" w:rsidRDefault="00DF7E66" w:rsidP="000076D6">
                            <w:pPr>
                              <w:spacing w:before="120" w:after="120"/>
                              <w:jc w:val="center"/>
                            </w:pPr>
                            <w:r w:rsidRPr="00247F54">
                              <w:rPr>
                                <w:i/>
                              </w:rPr>
                              <w:t>Prepared in accordance with Part 3 of the Human Rights (Parliamentary Scrutiny) Act 2011</w:t>
                            </w:r>
                          </w:p>
                          <w:p w14:paraId="67FB900C" w14:textId="77777777" w:rsidR="00DF7E66" w:rsidRDefault="00DF7E66" w:rsidP="000076D6">
                            <w:pPr>
                              <w:spacing w:before="120" w:after="120"/>
                              <w:jc w:val="center"/>
                              <w:rPr>
                                <w:b/>
                              </w:rPr>
                            </w:pPr>
                          </w:p>
                          <w:p w14:paraId="67FB900D" w14:textId="599A010E" w:rsidR="00DF7E66" w:rsidRPr="00870F73" w:rsidRDefault="00DF7E66" w:rsidP="000076D6">
                            <w:pPr>
                              <w:spacing w:before="120" w:after="120"/>
                              <w:jc w:val="center"/>
                              <w:rPr>
                                <w:b/>
                              </w:rPr>
                            </w:pPr>
                            <w:r w:rsidRPr="00AF5F35">
                              <w:rPr>
                                <w:b/>
                              </w:rPr>
                              <w:t>ASIC Corporations (</w:t>
                            </w:r>
                            <w:r>
                              <w:rPr>
                                <w:b/>
                              </w:rPr>
                              <w:t>Exposure Period) Instrument 2016</w:t>
                            </w:r>
                            <w:r w:rsidR="00EC4A94">
                              <w:rPr>
                                <w:b/>
                              </w:rPr>
                              <w:t>/74</w:t>
                            </w:r>
                          </w:p>
                          <w:p w14:paraId="67FB900E" w14:textId="77777777" w:rsidR="00DF7E66" w:rsidRDefault="00DF7E66" w:rsidP="000076D6">
                            <w:pPr>
                              <w:spacing w:before="120" w:after="120"/>
                              <w:jc w:val="center"/>
                            </w:pPr>
                          </w:p>
                          <w:p w14:paraId="67FB900F" w14:textId="3ADB5A78" w:rsidR="00DF7E66" w:rsidRPr="00247F54" w:rsidRDefault="00DF7E66" w:rsidP="000076D6">
                            <w:pPr>
                              <w:spacing w:before="120" w:after="120"/>
                              <w:jc w:val="center"/>
                            </w:pPr>
                            <w:r w:rsidRPr="00271E30">
                              <w:t>ASIC Corporations (</w:t>
                            </w:r>
                            <w:r>
                              <w:t>Exposure Period</w:t>
                            </w:r>
                            <w:r w:rsidRPr="00271E30">
                              <w:t>) Instrument 201</w:t>
                            </w:r>
                            <w:r>
                              <w:t>6/74</w:t>
                            </w:r>
                            <w:r w:rsidRPr="00271E30">
                              <w:rPr>
                                <w:spacing w:val="-1"/>
                              </w:rPr>
                              <w:t xml:space="preserve"> </w:t>
                            </w:r>
                            <w:r w:rsidRPr="00247F54">
                              <w:t xml:space="preserve">is compatible with the human rights and freedoms recognised or declared in the international instruments listed in section 3 of the </w:t>
                            </w:r>
                            <w:r w:rsidRPr="00247F54">
                              <w:rPr>
                                <w:i/>
                              </w:rPr>
                              <w:t>Human Rights (Parliamentary Scrutiny) Act 2011</w:t>
                            </w:r>
                            <w:r w:rsidRPr="00247F54">
                              <w:t>.</w:t>
                            </w:r>
                          </w:p>
                          <w:p w14:paraId="67FB9010" w14:textId="77777777" w:rsidR="00DF7E66" w:rsidRPr="00247F54" w:rsidRDefault="00DF7E66" w:rsidP="000076D6">
                            <w:pPr>
                              <w:spacing w:before="120" w:after="120"/>
                              <w:jc w:val="center"/>
                            </w:pPr>
                          </w:p>
                          <w:p w14:paraId="67FB9011" w14:textId="77777777" w:rsidR="00DF7E66" w:rsidRDefault="00DF7E66" w:rsidP="00320AA0">
                            <w:pPr>
                              <w:spacing w:before="120" w:after="120"/>
                              <w:jc w:val="both"/>
                              <w:rPr>
                                <w:b/>
                              </w:rPr>
                            </w:pPr>
                            <w:r w:rsidRPr="00247F54">
                              <w:rPr>
                                <w:b/>
                              </w:rPr>
                              <w:t>Overview</w:t>
                            </w:r>
                          </w:p>
                          <w:p w14:paraId="7FEC4CC8" w14:textId="024B116A" w:rsidR="00DF7E66" w:rsidRPr="004976E0" w:rsidRDefault="00DF7E66" w:rsidP="00320AA0">
                            <w:pPr>
                              <w:spacing w:before="120" w:after="120"/>
                              <w:jc w:val="both"/>
                            </w:pPr>
                            <w:r w:rsidRPr="004976E0">
                              <w:t>ASIC Corporations (Exposure Period) Instrument 2016</w:t>
                            </w:r>
                            <w:r>
                              <w:t>/74</w:t>
                            </w:r>
                            <w:r w:rsidRPr="004976E0">
                              <w:t xml:space="preserve"> sets out four exemptions:</w:t>
                            </w:r>
                          </w:p>
                          <w:p w14:paraId="274A8F17" w14:textId="77777777" w:rsidR="00DF7E66" w:rsidRPr="004976E0" w:rsidRDefault="00DF7E66" w:rsidP="00320AA0">
                            <w:pPr>
                              <w:numPr>
                                <w:ilvl w:val="0"/>
                                <w:numId w:val="41"/>
                              </w:numPr>
                              <w:spacing w:before="120" w:after="120"/>
                              <w:ind w:left="567" w:hanging="567"/>
                              <w:jc w:val="both"/>
                            </w:pPr>
                            <w:r w:rsidRPr="004976E0">
                              <w:t>three of which exempt an issuer from the operation of s727(3); and</w:t>
                            </w:r>
                          </w:p>
                          <w:p w14:paraId="726037B3" w14:textId="4A5BED05" w:rsidR="00DF7E66" w:rsidRPr="004976E0" w:rsidRDefault="00DF7E66" w:rsidP="00320AA0">
                            <w:pPr>
                              <w:numPr>
                                <w:ilvl w:val="0"/>
                                <w:numId w:val="41"/>
                              </w:numPr>
                              <w:spacing w:before="120" w:after="120"/>
                              <w:ind w:left="567" w:hanging="567"/>
                              <w:jc w:val="both"/>
                            </w:pPr>
                            <w:r w:rsidRPr="004976E0">
                              <w:t>one that exempts a responsible person from the operation of s1016B(1)</w:t>
                            </w:r>
                            <w:r>
                              <w:t>,</w:t>
                            </w:r>
                          </w:p>
                          <w:p w14:paraId="7045BFC4" w14:textId="77777777" w:rsidR="00DF7E66" w:rsidRDefault="00DF7E66" w:rsidP="00320AA0">
                            <w:pPr>
                              <w:spacing w:before="120" w:after="120"/>
                              <w:jc w:val="both"/>
                            </w:pPr>
                            <w:r w:rsidRPr="004976E0">
                              <w:t>in certain circumstances (set out below):</w:t>
                            </w:r>
                          </w:p>
                          <w:p w14:paraId="54B8DD1E" w14:textId="7960C990" w:rsidR="00DF7E66" w:rsidRDefault="005908CB" w:rsidP="00320AA0">
                            <w:pPr>
                              <w:pStyle w:val="ListParagraph"/>
                              <w:numPr>
                                <w:ilvl w:val="0"/>
                                <w:numId w:val="42"/>
                              </w:numPr>
                              <w:spacing w:before="120" w:after="120"/>
                              <w:ind w:left="567" w:hanging="567"/>
                              <w:contextualSpacing w:val="0"/>
                              <w:jc w:val="both"/>
                            </w:pPr>
                            <w:r>
                              <w:t>s</w:t>
                            </w:r>
                            <w:r w:rsidR="00DF7E66">
                              <w:t>upplementary and replacement disclosure documents;</w:t>
                            </w:r>
                          </w:p>
                          <w:p w14:paraId="5307AA5A" w14:textId="5086F4A6" w:rsidR="00DF7E66" w:rsidRDefault="005908CB" w:rsidP="00320AA0">
                            <w:pPr>
                              <w:pStyle w:val="ListParagraph"/>
                              <w:numPr>
                                <w:ilvl w:val="0"/>
                                <w:numId w:val="42"/>
                              </w:numPr>
                              <w:spacing w:before="120" w:after="120"/>
                              <w:ind w:left="567" w:hanging="567"/>
                              <w:contextualSpacing w:val="0"/>
                              <w:jc w:val="both"/>
                            </w:pPr>
                            <w:r>
                              <w:t>o</w:t>
                            </w:r>
                            <w:r w:rsidR="00DF7E66">
                              <w:t>ptions to acquire quoted securities</w:t>
                            </w:r>
                            <w:r>
                              <w:t>;</w:t>
                            </w:r>
                          </w:p>
                          <w:p w14:paraId="681F3275" w14:textId="7A205BBD" w:rsidR="00DF7E66" w:rsidRDefault="005908CB" w:rsidP="00320AA0">
                            <w:pPr>
                              <w:pStyle w:val="ListParagraph"/>
                              <w:numPr>
                                <w:ilvl w:val="0"/>
                                <w:numId w:val="42"/>
                              </w:numPr>
                              <w:spacing w:before="120" w:after="120"/>
                              <w:ind w:left="567" w:hanging="567"/>
                              <w:contextualSpacing w:val="0"/>
                              <w:jc w:val="both"/>
                            </w:pPr>
                            <w:r>
                              <w:t>q</w:t>
                            </w:r>
                            <w:r w:rsidR="00DF7E66">
                              <w:t>uoted securities</w:t>
                            </w:r>
                            <w:r>
                              <w:t>; and</w:t>
                            </w:r>
                          </w:p>
                          <w:p w14:paraId="63719211" w14:textId="255D380F" w:rsidR="00DF7E66" w:rsidRPr="004976E0" w:rsidRDefault="005908CB" w:rsidP="00320AA0">
                            <w:pPr>
                              <w:pStyle w:val="ListParagraph"/>
                              <w:numPr>
                                <w:ilvl w:val="0"/>
                                <w:numId w:val="42"/>
                              </w:numPr>
                              <w:spacing w:before="120" w:after="120"/>
                              <w:ind w:left="567" w:hanging="567"/>
                              <w:contextualSpacing w:val="0"/>
                              <w:jc w:val="both"/>
                            </w:pPr>
                            <w:r>
                              <w:t>m</w:t>
                            </w:r>
                            <w:r w:rsidR="00DF7E66">
                              <w:t>anaged investment products able to be traded on a market</w:t>
                            </w:r>
                            <w:r w:rsidR="00911026">
                              <w:t>.</w:t>
                            </w:r>
                          </w:p>
                          <w:p w14:paraId="1A76C787" w14:textId="77777777" w:rsidR="00DF7E66" w:rsidRPr="00247F54" w:rsidRDefault="00DF7E66" w:rsidP="000076D6">
                            <w:pPr>
                              <w:spacing w:before="120" w:after="120"/>
                              <w:jc w:val="both"/>
                              <w:rPr>
                                <w:b/>
                              </w:rPr>
                            </w:pPr>
                          </w:p>
                          <w:p w14:paraId="67FB9017" w14:textId="77777777" w:rsidR="00DF7E66" w:rsidRPr="00247F54" w:rsidRDefault="00DF7E66" w:rsidP="000076D6">
                            <w:pPr>
                              <w:spacing w:before="120" w:after="120"/>
                              <w:rPr>
                                <w:b/>
                              </w:rPr>
                            </w:pPr>
                            <w:r w:rsidRPr="00247F54">
                              <w:rPr>
                                <w:b/>
                              </w:rPr>
                              <w:t>Human rights implications</w:t>
                            </w:r>
                          </w:p>
                          <w:p w14:paraId="67FB9018" w14:textId="77777777" w:rsidR="00DF7E66" w:rsidRDefault="00DF7E66" w:rsidP="00CD092B">
                            <w:pPr>
                              <w:spacing w:before="120" w:after="0"/>
                            </w:pPr>
                            <w:r w:rsidRPr="00247F54">
                              <w:t xml:space="preserve">This </w:t>
                            </w:r>
                            <w:r>
                              <w:t>l</w:t>
                            </w:r>
                            <w:r w:rsidRPr="00247F54">
                              <w:t xml:space="preserve">egislative </w:t>
                            </w:r>
                            <w:r>
                              <w:t>i</w:t>
                            </w:r>
                            <w:r w:rsidRPr="00247F54">
                              <w:t>nstrument does not engage any of the applicable rights or freedoms.</w:t>
                            </w:r>
                          </w:p>
                          <w:p w14:paraId="25BF2F0A" w14:textId="77777777" w:rsidR="00DF7E66" w:rsidRDefault="00DF7E66" w:rsidP="00CD092B">
                            <w:pPr>
                              <w:spacing w:before="120" w:after="0"/>
                            </w:pPr>
                          </w:p>
                          <w:p w14:paraId="67FB9019" w14:textId="77777777" w:rsidR="00DF7E66" w:rsidRPr="00247F54" w:rsidRDefault="00DF7E66" w:rsidP="000076D6">
                            <w:pPr>
                              <w:spacing w:before="120" w:after="120"/>
                              <w:rPr>
                                <w:b/>
                              </w:rPr>
                            </w:pPr>
                            <w:r w:rsidRPr="00247F54">
                              <w:rPr>
                                <w:b/>
                              </w:rPr>
                              <w:t>Conclusion</w:t>
                            </w:r>
                          </w:p>
                          <w:p w14:paraId="67FB901A" w14:textId="77777777" w:rsidR="00DF7E66" w:rsidRDefault="00DF7E66" w:rsidP="00CD092B">
                            <w:pPr>
                              <w:spacing w:before="120" w:after="0"/>
                            </w:pPr>
                            <w:r w:rsidRPr="00247F54">
                              <w:t xml:space="preserve">This </w:t>
                            </w:r>
                            <w:r>
                              <w:t>l</w:t>
                            </w:r>
                            <w:r w:rsidRPr="00247F54">
                              <w:t xml:space="preserve">egislative </w:t>
                            </w:r>
                            <w:r>
                              <w:t>i</w:t>
                            </w:r>
                            <w:r w:rsidRPr="00247F54">
                              <w:t>nstrument is compatible with human rights as it does not raise any human rights issues.</w:t>
                            </w:r>
                          </w:p>
                          <w:p w14:paraId="6A4B5440" w14:textId="77777777" w:rsidR="00DF7E66" w:rsidRDefault="00DF7E66" w:rsidP="00CD092B">
                            <w:pPr>
                              <w:spacing w:before="120" w:after="0"/>
                            </w:pPr>
                          </w:p>
                          <w:p w14:paraId="67FB901B" w14:textId="77777777" w:rsidR="00DF7E66" w:rsidRPr="00870F73" w:rsidRDefault="00DF7E66" w:rsidP="00870F73">
                            <w:pPr>
                              <w:spacing w:before="120" w:after="120"/>
                              <w:jc w:val="center"/>
                              <w:rPr>
                                <w:b/>
                              </w:rPr>
                            </w:pPr>
                            <w:r w:rsidRPr="00870F73">
                              <w:rPr>
                                <w:b/>
                              </w:rPr>
                              <w:t>Australian Securities and Investments Commission</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5pt;margin-top:38.8pt;width:418.2pt;height:53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" strokeweight="6pt">
                <v:stroke linestyle="thickBetweenThin"/>
                <v:textbox inset="5mm,,5mm">
                  <w:txbxContent>
                    <w:p w14:paraId="67FB900A" w14:textId="77777777" w:rsidR="00DF7E66" w:rsidRPr="00834797" w:rsidRDefault="00DF7E66" w:rsidP="000076D6">
                      <w:pPr>
                        <w:spacing w:before="360" w:after="120"/>
                        <w:jc w:val="center"/>
                        <w:rPr>
                          <w:b/>
                        </w:rPr>
                      </w:pPr>
                      <w:r w:rsidRPr="00834797">
                        <w:rPr>
                          <w:b/>
                        </w:rPr>
                        <w:t>Statement of Compatibility with Human Rights</w:t>
                      </w:r>
                    </w:p>
                    <w:p w14:paraId="67FB900B" w14:textId="77777777" w:rsidR="00DF7E66" w:rsidRPr="00247F54" w:rsidRDefault="00DF7E66" w:rsidP="000076D6">
                      <w:pPr>
                        <w:spacing w:before="120" w:after="120"/>
                        <w:jc w:val="center"/>
                      </w:pPr>
                      <w:r w:rsidRPr="00247F54">
                        <w:rPr>
                          <w:i/>
                        </w:rPr>
                        <w:t>Prepared in accordance with Part 3 of the Human Rights (Parliamentary Scrutiny) Act 2011</w:t>
                      </w:r>
                    </w:p>
                    <w:p w14:paraId="67FB900C" w14:textId="77777777" w:rsidR="00DF7E66" w:rsidRDefault="00DF7E66" w:rsidP="000076D6">
                      <w:pPr>
                        <w:spacing w:before="120" w:after="120"/>
                        <w:jc w:val="center"/>
                        <w:rPr>
                          <w:b/>
                        </w:rPr>
                      </w:pPr>
                    </w:p>
                    <w:p w14:paraId="67FB900D" w14:textId="599A010E" w:rsidR="00DF7E66" w:rsidRPr="00870F73" w:rsidRDefault="00DF7E66" w:rsidP="000076D6">
                      <w:pPr>
                        <w:spacing w:before="120" w:after="120"/>
                        <w:jc w:val="center"/>
                        <w:rPr>
                          <w:b/>
                        </w:rPr>
                      </w:pPr>
                      <w:r w:rsidRPr="00AF5F35">
                        <w:rPr>
                          <w:b/>
                        </w:rPr>
                        <w:t>ASIC Corporations (</w:t>
                      </w:r>
                      <w:r>
                        <w:rPr>
                          <w:b/>
                        </w:rPr>
                        <w:t>Exposure Period) Instrument 2016</w:t>
                      </w:r>
                      <w:r w:rsidR="00EC4A94">
                        <w:rPr>
                          <w:b/>
                        </w:rPr>
                        <w:t>/74</w:t>
                      </w:r>
                    </w:p>
                    <w:p w14:paraId="67FB900E" w14:textId="77777777" w:rsidR="00DF7E66" w:rsidRDefault="00DF7E66" w:rsidP="000076D6">
                      <w:pPr>
                        <w:spacing w:before="120" w:after="120"/>
                        <w:jc w:val="center"/>
                      </w:pPr>
                    </w:p>
                    <w:p w14:paraId="67FB900F" w14:textId="3ADB5A78" w:rsidR="00DF7E66" w:rsidRPr="00247F54" w:rsidRDefault="00DF7E66" w:rsidP="000076D6">
                      <w:pPr>
                        <w:spacing w:before="120" w:after="120"/>
                        <w:jc w:val="center"/>
                      </w:pPr>
                      <w:r w:rsidRPr="00271E30">
                        <w:t>ASIC Corporations (</w:t>
                      </w:r>
                      <w:r>
                        <w:t>Exposure Period</w:t>
                      </w:r>
                      <w:r w:rsidRPr="00271E30">
                        <w:t>) Instrument 201</w:t>
                      </w:r>
                      <w:r>
                        <w:t>6/74</w:t>
                      </w:r>
                      <w:r w:rsidRPr="00271E30">
                        <w:rPr>
                          <w:spacing w:val="-1"/>
                        </w:rPr>
                        <w:t xml:space="preserve"> </w:t>
                      </w:r>
                      <w:r w:rsidRPr="00247F54">
                        <w:t xml:space="preserve">is compatible with the human rights and freedoms recognised or declared in the international instruments listed in section 3 of the </w:t>
                      </w:r>
                      <w:r w:rsidRPr="00247F54">
                        <w:rPr>
                          <w:i/>
                        </w:rPr>
                        <w:t>Human Rights (Parliamentary Scrutiny) Act 2011</w:t>
                      </w:r>
                      <w:r w:rsidRPr="00247F54">
                        <w:t>.</w:t>
                      </w:r>
                    </w:p>
                    <w:p w14:paraId="67FB9010" w14:textId="77777777" w:rsidR="00DF7E66" w:rsidRPr="00247F54" w:rsidRDefault="00DF7E66" w:rsidP="000076D6">
                      <w:pPr>
                        <w:spacing w:before="120" w:after="120"/>
                        <w:jc w:val="center"/>
                      </w:pPr>
                    </w:p>
                    <w:p w14:paraId="67FB9011" w14:textId="77777777" w:rsidR="00DF7E66" w:rsidRDefault="00DF7E66" w:rsidP="00320AA0">
                      <w:pPr>
                        <w:spacing w:before="120" w:after="120"/>
                        <w:jc w:val="both"/>
                        <w:rPr>
                          <w:b/>
                        </w:rPr>
                      </w:pPr>
                      <w:r w:rsidRPr="00247F54">
                        <w:rPr>
                          <w:b/>
                        </w:rPr>
                        <w:t>Overview</w:t>
                      </w:r>
                    </w:p>
                    <w:p w14:paraId="7FEC4CC8" w14:textId="024B116A" w:rsidR="00DF7E66" w:rsidRPr="004976E0" w:rsidRDefault="00DF7E66" w:rsidP="00320AA0">
                      <w:pPr>
                        <w:spacing w:before="120" w:after="120"/>
                        <w:jc w:val="both"/>
                      </w:pPr>
                      <w:r w:rsidRPr="004976E0">
                        <w:t>ASIC Corporations (Exposure Period) Instrument 2016</w:t>
                      </w:r>
                      <w:r>
                        <w:t>/74</w:t>
                      </w:r>
                      <w:r w:rsidRPr="004976E0">
                        <w:t xml:space="preserve"> sets out four exemptions:</w:t>
                      </w:r>
                    </w:p>
                    <w:p w14:paraId="274A8F17" w14:textId="77777777" w:rsidR="00DF7E66" w:rsidRPr="004976E0" w:rsidRDefault="00DF7E66" w:rsidP="00320AA0">
                      <w:pPr>
                        <w:numPr>
                          <w:ilvl w:val="0"/>
                          <w:numId w:val="41"/>
                        </w:numPr>
                        <w:spacing w:before="120" w:after="120"/>
                        <w:ind w:left="567" w:hanging="567"/>
                        <w:jc w:val="both"/>
                      </w:pPr>
                      <w:r w:rsidRPr="004976E0">
                        <w:t>three of which exempt an issuer from the operation of s727(3); and</w:t>
                      </w:r>
                    </w:p>
                    <w:p w14:paraId="726037B3" w14:textId="4A5BED05" w:rsidR="00DF7E66" w:rsidRPr="004976E0" w:rsidRDefault="00DF7E66" w:rsidP="00320AA0">
                      <w:pPr>
                        <w:numPr>
                          <w:ilvl w:val="0"/>
                          <w:numId w:val="41"/>
                        </w:numPr>
                        <w:spacing w:before="120" w:after="120"/>
                        <w:ind w:left="567" w:hanging="567"/>
                        <w:jc w:val="both"/>
                      </w:pPr>
                      <w:r w:rsidRPr="004976E0">
                        <w:t>one that exempts a responsible person from the operation of s1016B(1)</w:t>
                      </w:r>
                      <w:r>
                        <w:t>,</w:t>
                      </w:r>
                    </w:p>
                    <w:p w14:paraId="7045BFC4" w14:textId="77777777" w:rsidR="00DF7E66" w:rsidRDefault="00DF7E66" w:rsidP="00320AA0">
                      <w:pPr>
                        <w:spacing w:before="120" w:after="120"/>
                        <w:jc w:val="both"/>
                      </w:pPr>
                      <w:r w:rsidRPr="004976E0">
                        <w:t>in certain circumstances (set out below):</w:t>
                      </w:r>
                    </w:p>
                    <w:p w14:paraId="54B8DD1E" w14:textId="7960C990" w:rsidR="00DF7E66" w:rsidRDefault="005908CB" w:rsidP="00320AA0">
                      <w:pPr>
                        <w:pStyle w:val="ListParagraph"/>
                        <w:numPr>
                          <w:ilvl w:val="0"/>
                          <w:numId w:val="42"/>
                        </w:numPr>
                        <w:spacing w:before="120" w:after="120"/>
                        <w:ind w:left="567" w:hanging="567"/>
                        <w:contextualSpacing w:val="0"/>
                        <w:jc w:val="both"/>
                      </w:pPr>
                      <w:r>
                        <w:t>s</w:t>
                      </w:r>
                      <w:r w:rsidR="00DF7E66">
                        <w:t>upplementary and replacement disclosure documents;</w:t>
                      </w:r>
                    </w:p>
                    <w:p w14:paraId="5307AA5A" w14:textId="5086F4A6" w:rsidR="00DF7E66" w:rsidRDefault="005908CB" w:rsidP="00320AA0">
                      <w:pPr>
                        <w:pStyle w:val="ListParagraph"/>
                        <w:numPr>
                          <w:ilvl w:val="0"/>
                          <w:numId w:val="42"/>
                        </w:numPr>
                        <w:spacing w:before="120" w:after="120"/>
                        <w:ind w:left="567" w:hanging="567"/>
                        <w:contextualSpacing w:val="0"/>
                        <w:jc w:val="both"/>
                      </w:pPr>
                      <w:r>
                        <w:t>o</w:t>
                      </w:r>
                      <w:r w:rsidR="00DF7E66">
                        <w:t>ptions to acquire quoted securities</w:t>
                      </w:r>
                      <w:r>
                        <w:t>;</w:t>
                      </w:r>
                    </w:p>
                    <w:p w14:paraId="681F3275" w14:textId="7A205BBD" w:rsidR="00DF7E66" w:rsidRDefault="005908CB" w:rsidP="00320AA0">
                      <w:pPr>
                        <w:pStyle w:val="ListParagraph"/>
                        <w:numPr>
                          <w:ilvl w:val="0"/>
                          <w:numId w:val="42"/>
                        </w:numPr>
                        <w:spacing w:before="120" w:after="120"/>
                        <w:ind w:left="567" w:hanging="567"/>
                        <w:contextualSpacing w:val="0"/>
                        <w:jc w:val="both"/>
                      </w:pPr>
                      <w:r>
                        <w:t>q</w:t>
                      </w:r>
                      <w:r w:rsidR="00DF7E66">
                        <w:t>uoted securities</w:t>
                      </w:r>
                      <w:r>
                        <w:t>; and</w:t>
                      </w:r>
                    </w:p>
                    <w:p w14:paraId="63719211" w14:textId="255D380F" w:rsidR="00DF7E66" w:rsidRPr="004976E0" w:rsidRDefault="005908CB" w:rsidP="00320AA0">
                      <w:pPr>
                        <w:pStyle w:val="ListParagraph"/>
                        <w:numPr>
                          <w:ilvl w:val="0"/>
                          <w:numId w:val="42"/>
                        </w:numPr>
                        <w:spacing w:before="120" w:after="120"/>
                        <w:ind w:left="567" w:hanging="567"/>
                        <w:contextualSpacing w:val="0"/>
                        <w:jc w:val="both"/>
                      </w:pPr>
                      <w:r>
                        <w:t>m</w:t>
                      </w:r>
                      <w:r w:rsidR="00DF7E66">
                        <w:t>anaged investment products able to be traded on a market</w:t>
                      </w:r>
                      <w:r w:rsidR="00911026">
                        <w:t>.</w:t>
                      </w:r>
                    </w:p>
                    <w:p w14:paraId="1A76C787" w14:textId="77777777" w:rsidR="00DF7E66" w:rsidRPr="00247F54" w:rsidRDefault="00DF7E66" w:rsidP="000076D6">
                      <w:pPr>
                        <w:spacing w:before="120" w:after="120"/>
                        <w:jc w:val="both"/>
                        <w:rPr>
                          <w:b/>
                        </w:rPr>
                      </w:pPr>
                    </w:p>
                    <w:p w14:paraId="67FB9017" w14:textId="77777777" w:rsidR="00DF7E66" w:rsidRPr="00247F54" w:rsidRDefault="00DF7E66" w:rsidP="000076D6">
                      <w:pPr>
                        <w:spacing w:before="120" w:after="120"/>
                        <w:rPr>
                          <w:b/>
                        </w:rPr>
                      </w:pPr>
                      <w:r w:rsidRPr="00247F54">
                        <w:rPr>
                          <w:b/>
                        </w:rPr>
                        <w:t>Human rights implications</w:t>
                      </w:r>
                    </w:p>
                    <w:p w14:paraId="67FB9018" w14:textId="77777777" w:rsidR="00DF7E66" w:rsidRDefault="00DF7E66" w:rsidP="00CD092B">
                      <w:pPr>
                        <w:spacing w:before="120" w:after="0"/>
                      </w:pPr>
                      <w:r w:rsidRPr="00247F54">
                        <w:t xml:space="preserve">This </w:t>
                      </w:r>
                      <w:r>
                        <w:t>l</w:t>
                      </w:r>
                      <w:r w:rsidRPr="00247F54">
                        <w:t xml:space="preserve">egislative </w:t>
                      </w:r>
                      <w:r>
                        <w:t>i</w:t>
                      </w:r>
                      <w:r w:rsidRPr="00247F54">
                        <w:t>nstrument does not engage any of the applicable rights or freedoms.</w:t>
                      </w:r>
                    </w:p>
                    <w:p w14:paraId="25BF2F0A" w14:textId="77777777" w:rsidR="00DF7E66" w:rsidRDefault="00DF7E66" w:rsidP="00CD092B">
                      <w:pPr>
                        <w:spacing w:before="120" w:after="0"/>
                      </w:pPr>
                    </w:p>
                    <w:p w14:paraId="67FB9019" w14:textId="77777777" w:rsidR="00DF7E66" w:rsidRPr="00247F54" w:rsidRDefault="00DF7E66" w:rsidP="000076D6">
                      <w:pPr>
                        <w:spacing w:before="120" w:after="120"/>
                        <w:rPr>
                          <w:b/>
                        </w:rPr>
                      </w:pPr>
                      <w:r w:rsidRPr="00247F54">
                        <w:rPr>
                          <w:b/>
                        </w:rPr>
                        <w:t>Conclusion</w:t>
                      </w:r>
                    </w:p>
                    <w:p w14:paraId="67FB901A" w14:textId="77777777" w:rsidR="00DF7E66" w:rsidRDefault="00DF7E66" w:rsidP="00CD092B">
                      <w:pPr>
                        <w:spacing w:before="120" w:after="0"/>
                      </w:pPr>
                      <w:r w:rsidRPr="00247F54">
                        <w:t xml:space="preserve">This </w:t>
                      </w:r>
                      <w:r>
                        <w:t>l</w:t>
                      </w:r>
                      <w:r w:rsidRPr="00247F54">
                        <w:t xml:space="preserve">egislative </w:t>
                      </w:r>
                      <w:r>
                        <w:t>i</w:t>
                      </w:r>
                      <w:r w:rsidRPr="00247F54">
                        <w:t>nstrument is compatible with human rights as it does not raise any human rights issues.</w:t>
                      </w:r>
                    </w:p>
                    <w:p w14:paraId="6A4B5440" w14:textId="77777777" w:rsidR="00DF7E66" w:rsidRDefault="00DF7E66" w:rsidP="00CD092B">
                      <w:pPr>
                        <w:spacing w:before="120" w:after="0"/>
                      </w:pPr>
                    </w:p>
                    <w:p w14:paraId="67FB901B" w14:textId="77777777" w:rsidR="00DF7E66" w:rsidRPr="00870F73" w:rsidRDefault="00DF7E66" w:rsidP="00870F73">
                      <w:pPr>
                        <w:spacing w:before="120" w:after="120"/>
                        <w:jc w:val="center"/>
                        <w:rPr>
                          <w:b/>
                        </w:rPr>
                      </w:pPr>
                      <w:r w:rsidRPr="00870F73">
                        <w:rPr>
                          <w:b/>
                        </w:rPr>
                        <w:t>Australian Securities and Investments Commission</w:t>
                      </w:r>
                    </w:p>
                  </w:txbxContent>
                </v:textbox>
              </v:rect>
            </w:pict>
          </mc:Fallback>
        </mc:AlternateContent>
      </w:r>
    </w:p>
    <w:sectPr w:rsidR="000076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50853D" w14:textId="77777777" w:rsidR="00DF7E66" w:rsidRDefault="00DF7E66">
      <w:pPr>
        <w:spacing w:after="0"/>
      </w:pPr>
      <w:r>
        <w:separator/>
      </w:r>
    </w:p>
  </w:endnote>
  <w:endnote w:type="continuationSeparator" w:id="0">
    <w:p w14:paraId="3A96F197" w14:textId="77777777" w:rsidR="00DF7E66" w:rsidRDefault="00DF7E66">
      <w:pPr>
        <w:spacing w:after="0"/>
      </w:pPr>
      <w:r>
        <w:continuationSeparator/>
      </w:r>
    </w:p>
  </w:endnote>
  <w:endnote w:type="continuationNotice" w:id="1">
    <w:p w14:paraId="2E754AD2" w14:textId="77777777" w:rsidR="00DD51F5" w:rsidRDefault="00DD51F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B8FFA" w14:textId="77777777" w:rsidR="00DF7E66" w:rsidRDefault="00DF7E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67FB8FFB" w14:textId="77777777" w:rsidR="00DF7E66" w:rsidRDefault="00DF7E66">
    <w:pPr>
      <w:pStyle w:val="Footer"/>
      <w:ind w:right="360"/>
    </w:pPr>
  </w:p>
  <w:p w14:paraId="67FB8FFC" w14:textId="77777777" w:rsidR="00DF7E66" w:rsidRDefault="00DF7E66"/>
  <w:p w14:paraId="67FB8FFD" w14:textId="77777777" w:rsidR="00DF7E66" w:rsidRDefault="00DF7E66"/>
  <w:p w14:paraId="67FB8FFE" w14:textId="77777777" w:rsidR="00DF7E66" w:rsidRDefault="00DF7E66"/>
  <w:p w14:paraId="67FB8FFF" w14:textId="77777777" w:rsidR="00DF7E66" w:rsidRDefault="00DF7E66"/>
  <w:p w14:paraId="67FB9000" w14:textId="77777777" w:rsidR="00DF7E66" w:rsidRDefault="00DF7E6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5DBB80" w14:textId="77777777" w:rsidR="00DF7E66" w:rsidRDefault="00DF7E66">
      <w:pPr>
        <w:spacing w:after="0"/>
      </w:pPr>
      <w:r>
        <w:separator/>
      </w:r>
    </w:p>
  </w:footnote>
  <w:footnote w:type="continuationSeparator" w:id="0">
    <w:p w14:paraId="78B81B0B" w14:textId="77777777" w:rsidR="00DF7E66" w:rsidRDefault="00DF7E66">
      <w:pPr>
        <w:spacing w:after="0"/>
      </w:pPr>
      <w:r>
        <w:continuationSeparator/>
      </w:r>
    </w:p>
  </w:footnote>
  <w:footnote w:type="continuationNotice" w:id="1">
    <w:p w14:paraId="0DA8FAC2" w14:textId="77777777" w:rsidR="00DD51F5" w:rsidRDefault="00DD51F5">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B8FF6" w14:textId="77777777" w:rsidR="00DF7E66" w:rsidRDefault="00DF7E66"/>
  <w:p w14:paraId="67FB8FF7" w14:textId="77777777" w:rsidR="00DF7E66" w:rsidRDefault="00DF7E6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B8FF9" w14:textId="66FCE8AB" w:rsidR="00DF7E66" w:rsidRPr="001610F2" w:rsidRDefault="001610F2" w:rsidP="001610F2">
    <w:pPr>
      <w:pStyle w:val="ListParagraph"/>
      <w:ind w:left="0"/>
      <w:jc w:val="center"/>
      <w:rPr>
        <w:rStyle w:val="Strong"/>
        <w:b w:val="0"/>
        <w:sz w:val="24"/>
        <w:szCs w:val="24"/>
      </w:rPr>
    </w:pPr>
    <w:r w:rsidRPr="001610F2">
      <w:rPr>
        <w:rStyle w:val="Strong"/>
        <w:b w:val="0"/>
        <w:sz w:val="24"/>
        <w:szCs w:val="24"/>
      </w:rPr>
      <w:fldChar w:fldCharType="begin"/>
    </w:r>
    <w:r w:rsidRPr="001610F2">
      <w:rPr>
        <w:rStyle w:val="Strong"/>
        <w:b w:val="0"/>
        <w:sz w:val="24"/>
        <w:szCs w:val="24"/>
      </w:rPr>
      <w:instrText xml:space="preserve"> PAGE   \* MERGEFORMAT </w:instrText>
    </w:r>
    <w:r w:rsidRPr="001610F2">
      <w:rPr>
        <w:rStyle w:val="Strong"/>
        <w:b w:val="0"/>
        <w:sz w:val="24"/>
        <w:szCs w:val="24"/>
      </w:rPr>
      <w:fldChar w:fldCharType="separate"/>
    </w:r>
    <w:r w:rsidR="00FF4C2D">
      <w:rPr>
        <w:rStyle w:val="Strong"/>
        <w:b w:val="0"/>
        <w:noProof/>
        <w:sz w:val="24"/>
        <w:szCs w:val="24"/>
      </w:rPr>
      <w:t>4</w:t>
    </w:r>
    <w:r w:rsidRPr="001610F2">
      <w:rPr>
        <w:rStyle w:val="Strong"/>
        <w:b w:val="0"/>
        <w:noProof/>
        <w:sz w:val="24"/>
        <w:szCs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B9002" w14:textId="1AEE5875" w:rsidR="00DF7E66" w:rsidRDefault="00DF7E66">
    <w:pPr>
      <w:pStyle w:val="Header"/>
      <w:pBdr>
        <w:bottom w:val="none" w:sz="0" w:space="0" w:color="auto"/>
      </w:pBdr>
      <w:jc w:val="center"/>
      <w:rPr>
        <w:b/>
        <w:bCs/>
        <w:color w:val="C0C0C0"/>
        <w:sz w:val="48"/>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66FB"/>
    <w:multiLevelType w:val="hybridMultilevel"/>
    <w:tmpl w:val="0914A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9936DA2"/>
    <w:multiLevelType w:val="hybridMultilevel"/>
    <w:tmpl w:val="7DDCF908"/>
    <w:lvl w:ilvl="0" w:tplc="582C0F5A">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B957CCC"/>
    <w:multiLevelType w:val="hybridMultilevel"/>
    <w:tmpl w:val="DC38FDD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5953580"/>
    <w:multiLevelType w:val="hybridMultilevel"/>
    <w:tmpl w:val="6F36FAF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59D5EBF"/>
    <w:multiLevelType w:val="hybridMultilevel"/>
    <w:tmpl w:val="02AE4EDA"/>
    <w:lvl w:ilvl="0" w:tplc="4DAE7A4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E0C6808"/>
    <w:multiLevelType w:val="multilevel"/>
    <w:tmpl w:val="A044F19C"/>
    <w:lvl w:ilvl="0">
      <w:start w:val="1"/>
      <w:numFmt w:val="decimal"/>
      <w:lvlText w:val="%1"/>
      <w:lvlJc w:val="left"/>
      <w:pPr>
        <w:tabs>
          <w:tab w:val="num" w:pos="1134"/>
        </w:tabs>
        <w:ind w:left="1134"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6">
    <w:nsid w:val="1E3503A1"/>
    <w:multiLevelType w:val="hybridMultilevel"/>
    <w:tmpl w:val="081A4A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1BE34CF"/>
    <w:multiLevelType w:val="hybridMultilevel"/>
    <w:tmpl w:val="16C869DC"/>
    <w:lvl w:ilvl="0" w:tplc="DBF865FE">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43A042E"/>
    <w:multiLevelType w:val="hybridMultilevel"/>
    <w:tmpl w:val="4622F2B2"/>
    <w:lvl w:ilvl="0" w:tplc="11A2C900">
      <w:start w:val="1"/>
      <w:numFmt w:val="decimal"/>
      <w:lvlText w:val="%1."/>
      <w:lvlJc w:val="left"/>
      <w:pPr>
        <w:ind w:left="360" w:hanging="360"/>
      </w:pPr>
      <w:rPr>
        <w:b w:val="0"/>
        <w:i w:val="0"/>
      </w:rPr>
    </w:lvl>
    <w:lvl w:ilvl="1" w:tplc="582C0F5A">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243B1A7D"/>
    <w:multiLevelType w:val="multilevel"/>
    <w:tmpl w:val="2BF2360A"/>
    <w:name w:val="ASIC proposal"/>
    <w:lvl w:ilvl="0">
      <w:start w:val="1"/>
      <w:numFmt w:val="upperLetter"/>
      <w:lvlText w:val="%1"/>
      <w:lvlJc w:val="left"/>
      <w:pPr>
        <w:tabs>
          <w:tab w:val="num" w:pos="851"/>
        </w:tabs>
        <w:ind w:left="851" w:hanging="851"/>
      </w:pPr>
      <w:rPr>
        <w:rFonts w:hint="default"/>
        <w:b/>
        <w:i w:val="0"/>
        <w:color w:val="117DC7"/>
        <w:sz w:val="36"/>
        <w:szCs w:val="72"/>
      </w:rPr>
    </w:lvl>
    <w:lvl w:ilvl="1">
      <w:start w:val="1"/>
      <w:numFmt w:val="decimal"/>
      <w:lvlText w:val="%1%2"/>
      <w:lvlJc w:val="left"/>
      <w:pPr>
        <w:tabs>
          <w:tab w:val="num" w:pos="2693"/>
        </w:tabs>
        <w:ind w:left="2693" w:hanging="425"/>
      </w:pPr>
      <w:rPr>
        <w:rFonts w:hint="default"/>
        <w:b/>
        <w:i w:val="0"/>
        <w:color w:val="auto"/>
        <w:sz w:val="16"/>
        <w:szCs w:val="16"/>
      </w:rPr>
    </w:lvl>
    <w:lvl w:ilvl="2">
      <w:start w:val="1"/>
      <w:numFmt w:val="lowerLetter"/>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544"/>
        </w:tabs>
        <w:ind w:left="3544" w:hanging="425"/>
      </w:pPr>
      <w:rPr>
        <w:rFonts w:hint="default"/>
        <w:sz w:val="18"/>
        <w:szCs w:val="18"/>
      </w:rPr>
    </w:lvl>
    <w:lvl w:ilvl="4">
      <w:start w:val="1"/>
      <w:numFmt w:val="decimal"/>
      <w:lvlText w:val="%1%2Q%5"/>
      <w:lvlJc w:val="left"/>
      <w:pPr>
        <w:tabs>
          <w:tab w:val="num" w:pos="3799"/>
        </w:tabs>
        <w:ind w:left="3799" w:hanging="567"/>
      </w:pPr>
      <w:rPr>
        <w:rFonts w:hint="default"/>
        <w:sz w:val="16"/>
        <w:szCs w:val="16"/>
      </w:rPr>
    </w:lvl>
    <w:lvl w:ilvl="5">
      <w:start w:val="1"/>
      <w:numFmt w:val="lowerLetter"/>
      <w:lvlText w:val="             (%6)"/>
      <w:lvlJc w:val="left"/>
      <w:pPr>
        <w:tabs>
          <w:tab w:val="num" w:pos="4139"/>
        </w:tabs>
        <w:ind w:left="4139" w:hanging="907"/>
      </w:pPr>
      <w:rPr>
        <w:rFonts w:hint="default"/>
        <w:sz w:val="16"/>
        <w:szCs w:val="16"/>
      </w:rPr>
    </w:lvl>
    <w:lvl w:ilvl="6">
      <w:start w:val="1"/>
      <w:numFmt w:val="lowerRoma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0">
    <w:nsid w:val="26D1652F"/>
    <w:multiLevelType w:val="hybridMultilevel"/>
    <w:tmpl w:val="2A2AD262"/>
    <w:lvl w:ilvl="0" w:tplc="0C090009">
      <w:start w:val="1"/>
      <w:numFmt w:val="bullet"/>
      <w:lvlText w:val=""/>
      <w:lvlJc w:val="left"/>
      <w:pPr>
        <w:ind w:left="1210" w:hanging="360"/>
      </w:pPr>
      <w:rPr>
        <w:rFonts w:ascii="Wingdings" w:hAnsi="Wingdings"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11">
    <w:nsid w:val="2ECD1FD6"/>
    <w:multiLevelType w:val="hybridMultilevel"/>
    <w:tmpl w:val="61F8EDA2"/>
    <w:lvl w:ilvl="0" w:tplc="582C0F5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F64475F"/>
    <w:multiLevelType w:val="hybridMultilevel"/>
    <w:tmpl w:val="A4A6E412"/>
    <w:lvl w:ilvl="0" w:tplc="4DAE7A4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1DD1F28"/>
    <w:multiLevelType w:val="hybridMultilevel"/>
    <w:tmpl w:val="2552346E"/>
    <w:lvl w:ilvl="0" w:tplc="582C0F5A">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320A6FAB"/>
    <w:multiLevelType w:val="hybridMultilevel"/>
    <w:tmpl w:val="076E7864"/>
    <w:lvl w:ilvl="0" w:tplc="2F9CC6CA">
      <w:start w:val="1"/>
      <w:numFmt w:val="lowerLetter"/>
      <w:lvlText w:val="(%1)"/>
      <w:lvlJc w:val="left"/>
      <w:pPr>
        <w:ind w:left="720" w:hanging="360"/>
      </w:pPr>
      <w:rPr>
        <w:rFonts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4387B9F"/>
    <w:multiLevelType w:val="hybridMultilevel"/>
    <w:tmpl w:val="DF485286"/>
    <w:lvl w:ilvl="0" w:tplc="D16CB45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4B84359"/>
    <w:multiLevelType w:val="hybridMultilevel"/>
    <w:tmpl w:val="FA8EC35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5775F9E"/>
    <w:multiLevelType w:val="hybridMultilevel"/>
    <w:tmpl w:val="F0C44878"/>
    <w:lvl w:ilvl="0" w:tplc="582C0F5A">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3A713697"/>
    <w:multiLevelType w:val="hybridMultilevel"/>
    <w:tmpl w:val="173EFA72"/>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nsid w:val="3A951A98"/>
    <w:multiLevelType w:val="hybridMultilevel"/>
    <w:tmpl w:val="1FD8FF18"/>
    <w:lvl w:ilvl="0" w:tplc="582C0F5A">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F333E7B"/>
    <w:multiLevelType w:val="hybridMultilevel"/>
    <w:tmpl w:val="480E8D74"/>
    <w:lvl w:ilvl="0" w:tplc="230AAAF4">
      <w:start w:val="1"/>
      <w:numFmt w:val="decimal"/>
      <w:lvlText w:val="%1."/>
      <w:lvlJc w:val="left"/>
      <w:pPr>
        <w:ind w:left="1591" w:hanging="720"/>
      </w:pPr>
      <w:rPr>
        <w:rFonts w:ascii="Arial" w:eastAsia="Arial" w:hAnsi="Arial" w:hint="default"/>
        <w:b/>
        <w:bCs/>
        <w:spacing w:val="-1"/>
        <w:sz w:val="24"/>
        <w:szCs w:val="24"/>
      </w:rPr>
    </w:lvl>
    <w:lvl w:ilvl="1" w:tplc="EBDE478C">
      <w:start w:val="1"/>
      <w:numFmt w:val="bullet"/>
      <w:lvlText w:val="•"/>
      <w:lvlJc w:val="left"/>
      <w:pPr>
        <w:ind w:left="2324" w:hanging="720"/>
      </w:pPr>
      <w:rPr>
        <w:rFonts w:hint="default"/>
      </w:rPr>
    </w:lvl>
    <w:lvl w:ilvl="2" w:tplc="32C2B520">
      <w:start w:val="1"/>
      <w:numFmt w:val="bullet"/>
      <w:lvlText w:val="•"/>
      <w:lvlJc w:val="left"/>
      <w:pPr>
        <w:ind w:left="3057" w:hanging="720"/>
      </w:pPr>
      <w:rPr>
        <w:rFonts w:hint="default"/>
      </w:rPr>
    </w:lvl>
    <w:lvl w:ilvl="3" w:tplc="349E1F8C">
      <w:start w:val="1"/>
      <w:numFmt w:val="bullet"/>
      <w:lvlText w:val="•"/>
      <w:lvlJc w:val="left"/>
      <w:pPr>
        <w:ind w:left="3790" w:hanging="720"/>
      </w:pPr>
      <w:rPr>
        <w:rFonts w:hint="default"/>
      </w:rPr>
    </w:lvl>
    <w:lvl w:ilvl="4" w:tplc="8CB208BC">
      <w:start w:val="1"/>
      <w:numFmt w:val="bullet"/>
      <w:lvlText w:val="•"/>
      <w:lvlJc w:val="left"/>
      <w:pPr>
        <w:ind w:left="4523" w:hanging="720"/>
      </w:pPr>
      <w:rPr>
        <w:rFonts w:hint="default"/>
      </w:rPr>
    </w:lvl>
    <w:lvl w:ilvl="5" w:tplc="6CBE2404">
      <w:start w:val="1"/>
      <w:numFmt w:val="bullet"/>
      <w:lvlText w:val="•"/>
      <w:lvlJc w:val="left"/>
      <w:pPr>
        <w:ind w:left="5255" w:hanging="720"/>
      </w:pPr>
      <w:rPr>
        <w:rFonts w:hint="default"/>
      </w:rPr>
    </w:lvl>
    <w:lvl w:ilvl="6" w:tplc="122C6A98">
      <w:start w:val="1"/>
      <w:numFmt w:val="bullet"/>
      <w:lvlText w:val="•"/>
      <w:lvlJc w:val="left"/>
      <w:pPr>
        <w:ind w:left="5988" w:hanging="720"/>
      </w:pPr>
      <w:rPr>
        <w:rFonts w:hint="default"/>
      </w:rPr>
    </w:lvl>
    <w:lvl w:ilvl="7" w:tplc="B3AA378A">
      <w:start w:val="1"/>
      <w:numFmt w:val="bullet"/>
      <w:lvlText w:val="•"/>
      <w:lvlJc w:val="left"/>
      <w:pPr>
        <w:ind w:left="6721" w:hanging="720"/>
      </w:pPr>
      <w:rPr>
        <w:rFonts w:hint="default"/>
      </w:rPr>
    </w:lvl>
    <w:lvl w:ilvl="8" w:tplc="1C92557E">
      <w:start w:val="1"/>
      <w:numFmt w:val="bullet"/>
      <w:lvlText w:val="•"/>
      <w:lvlJc w:val="left"/>
      <w:pPr>
        <w:ind w:left="7454" w:hanging="720"/>
      </w:pPr>
      <w:rPr>
        <w:rFonts w:hint="default"/>
      </w:rPr>
    </w:lvl>
  </w:abstractNum>
  <w:abstractNum w:abstractNumId="21">
    <w:nsid w:val="44E12992"/>
    <w:multiLevelType w:val="hybridMultilevel"/>
    <w:tmpl w:val="40046D04"/>
    <w:lvl w:ilvl="0" w:tplc="9D02CC36">
      <w:start w:val="1"/>
      <w:numFmt w:val="lowerRoman"/>
      <w:pStyle w:val="Subsubpara"/>
      <w:lvlText w:val="(%1)"/>
      <w:lvlJc w:val="left"/>
      <w:pPr>
        <w:tabs>
          <w:tab w:val="num" w:pos="1799"/>
        </w:tabs>
        <w:ind w:left="1259"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AF139B3"/>
    <w:multiLevelType w:val="hybridMultilevel"/>
    <w:tmpl w:val="34980B3A"/>
    <w:lvl w:ilvl="0" w:tplc="635C1624">
      <w:start w:val="12"/>
      <w:numFmt w:val="decimal"/>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nsid w:val="4C38579B"/>
    <w:multiLevelType w:val="hybridMultilevel"/>
    <w:tmpl w:val="F0A8E880"/>
    <w:lvl w:ilvl="0" w:tplc="4DAE7A48">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FA2528C"/>
    <w:multiLevelType w:val="hybridMultilevel"/>
    <w:tmpl w:val="0A5CB718"/>
    <w:lvl w:ilvl="0" w:tplc="FA4A8B5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FE72A03"/>
    <w:multiLevelType w:val="hybridMultilevel"/>
    <w:tmpl w:val="C070255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36104E2"/>
    <w:multiLevelType w:val="hybridMultilevel"/>
    <w:tmpl w:val="07161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C0D244C"/>
    <w:multiLevelType w:val="hybridMultilevel"/>
    <w:tmpl w:val="793ED90E"/>
    <w:lvl w:ilvl="0" w:tplc="E25C95EE">
      <w:start w:val="1"/>
      <w:numFmt w:val="upperLetter"/>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28">
    <w:nsid w:val="5C2831C4"/>
    <w:multiLevelType w:val="hybridMultilevel"/>
    <w:tmpl w:val="DD3CE522"/>
    <w:lvl w:ilvl="0" w:tplc="582C0F5A">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5D0144D3"/>
    <w:multiLevelType w:val="hybridMultilevel"/>
    <w:tmpl w:val="1FD8FF18"/>
    <w:lvl w:ilvl="0" w:tplc="582C0F5A">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E3026D6"/>
    <w:multiLevelType w:val="hybridMultilevel"/>
    <w:tmpl w:val="2E2E15F8"/>
    <w:lvl w:ilvl="0" w:tplc="582C0F5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5EEC599D"/>
    <w:multiLevelType w:val="hybridMultilevel"/>
    <w:tmpl w:val="A4A6E412"/>
    <w:lvl w:ilvl="0" w:tplc="4DAE7A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61B06D0E"/>
    <w:multiLevelType w:val="hybridMultilevel"/>
    <w:tmpl w:val="8EF02D1A"/>
    <w:lvl w:ilvl="0" w:tplc="61A21726">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1FD6F99"/>
    <w:multiLevelType w:val="hybridMultilevel"/>
    <w:tmpl w:val="116CBB1A"/>
    <w:lvl w:ilvl="0" w:tplc="0C09001B">
      <w:start w:val="1"/>
      <w:numFmt w:val="lowerRoman"/>
      <w:lvlText w:val="%1."/>
      <w:lvlJc w:val="righ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34">
    <w:nsid w:val="64987978"/>
    <w:multiLevelType w:val="hybridMultilevel"/>
    <w:tmpl w:val="824AB97C"/>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6AF212A1"/>
    <w:multiLevelType w:val="hybridMultilevel"/>
    <w:tmpl w:val="B868FD26"/>
    <w:lvl w:ilvl="0" w:tplc="DBF865FE">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6B7B2966"/>
    <w:multiLevelType w:val="hybridMultilevel"/>
    <w:tmpl w:val="1FD8FF18"/>
    <w:lvl w:ilvl="0" w:tplc="582C0F5A">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6B9B5C87"/>
    <w:multiLevelType w:val="hybridMultilevel"/>
    <w:tmpl w:val="E11C976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39">
    <w:nsid w:val="6CC45772"/>
    <w:multiLevelType w:val="hybridMultilevel"/>
    <w:tmpl w:val="A8B472B4"/>
    <w:lvl w:ilvl="0" w:tplc="0C09001B">
      <w:start w:val="1"/>
      <w:numFmt w:val="lowerRoman"/>
      <w:lvlText w:val="%1."/>
      <w:lvlJc w:val="righ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nsid w:val="72A875E1"/>
    <w:multiLevelType w:val="hybridMultilevel"/>
    <w:tmpl w:val="160410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3CC316C"/>
    <w:multiLevelType w:val="hybridMultilevel"/>
    <w:tmpl w:val="23749552"/>
    <w:lvl w:ilvl="0" w:tplc="C780F0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77857696"/>
    <w:multiLevelType w:val="hybridMultilevel"/>
    <w:tmpl w:val="4E6618A8"/>
    <w:lvl w:ilvl="0" w:tplc="5726AC30">
      <w:start w:val="1"/>
      <w:numFmt w:val="lowerLetter"/>
      <w:pStyle w:val="Subpara"/>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F104F84"/>
    <w:multiLevelType w:val="hybridMultilevel"/>
    <w:tmpl w:val="6116F2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42"/>
  </w:num>
  <w:num w:numId="3">
    <w:abstractNumId w:val="21"/>
  </w:num>
  <w:num w:numId="4">
    <w:abstractNumId w:val="38"/>
  </w:num>
  <w:num w:numId="5">
    <w:abstractNumId w:val="9"/>
  </w:num>
  <w:num w:numId="6">
    <w:abstractNumId w:val="5"/>
  </w:num>
  <w:num w:numId="7">
    <w:abstractNumId w:val="20"/>
  </w:num>
  <w:num w:numId="8">
    <w:abstractNumId w:val="3"/>
  </w:num>
  <w:num w:numId="9">
    <w:abstractNumId w:val="2"/>
  </w:num>
  <w:num w:numId="10">
    <w:abstractNumId w:val="0"/>
  </w:num>
  <w:num w:numId="11">
    <w:abstractNumId w:val="16"/>
  </w:num>
  <w:num w:numId="12">
    <w:abstractNumId w:val="37"/>
  </w:num>
  <w:num w:numId="13">
    <w:abstractNumId w:val="25"/>
  </w:num>
  <w:num w:numId="14">
    <w:abstractNumId w:val="10"/>
  </w:num>
  <w:num w:numId="15">
    <w:abstractNumId w:val="8"/>
  </w:num>
  <w:num w:numId="16">
    <w:abstractNumId w:val="15"/>
  </w:num>
  <w:num w:numId="17">
    <w:abstractNumId w:val="32"/>
  </w:num>
  <w:num w:numId="18">
    <w:abstractNumId w:val="39"/>
  </w:num>
  <w:num w:numId="19">
    <w:abstractNumId w:val="33"/>
  </w:num>
  <w:num w:numId="20">
    <w:abstractNumId w:val="28"/>
  </w:num>
  <w:num w:numId="21">
    <w:abstractNumId w:val="12"/>
  </w:num>
  <w:num w:numId="22">
    <w:abstractNumId w:val="22"/>
  </w:num>
  <w:num w:numId="23">
    <w:abstractNumId w:val="31"/>
  </w:num>
  <w:num w:numId="24">
    <w:abstractNumId w:val="1"/>
  </w:num>
  <w:num w:numId="25">
    <w:abstractNumId w:val="23"/>
  </w:num>
  <w:num w:numId="26">
    <w:abstractNumId w:val="29"/>
  </w:num>
  <w:num w:numId="27">
    <w:abstractNumId w:val="36"/>
  </w:num>
  <w:num w:numId="28">
    <w:abstractNumId w:val="7"/>
  </w:num>
  <w:num w:numId="29">
    <w:abstractNumId w:val="41"/>
  </w:num>
  <w:num w:numId="30">
    <w:abstractNumId w:val="19"/>
  </w:num>
  <w:num w:numId="31">
    <w:abstractNumId w:val="35"/>
  </w:num>
  <w:num w:numId="32">
    <w:abstractNumId w:val="27"/>
  </w:num>
  <w:num w:numId="33">
    <w:abstractNumId w:val="30"/>
  </w:num>
  <w:num w:numId="34">
    <w:abstractNumId w:val="11"/>
  </w:num>
  <w:num w:numId="35">
    <w:abstractNumId w:val="43"/>
  </w:num>
  <w:num w:numId="36">
    <w:abstractNumId w:val="34"/>
  </w:num>
  <w:num w:numId="37">
    <w:abstractNumId w:val="40"/>
  </w:num>
  <w:num w:numId="38">
    <w:abstractNumId w:val="18"/>
  </w:num>
  <w:num w:numId="39">
    <w:abstractNumId w:val="26"/>
  </w:num>
  <w:num w:numId="40">
    <w:abstractNumId w:val="6"/>
  </w:num>
  <w:num w:numId="41">
    <w:abstractNumId w:val="13"/>
  </w:num>
  <w:num w:numId="42">
    <w:abstractNumId w:val="24"/>
  </w:num>
  <w:num w:numId="43">
    <w:abstractNumId w:val="14"/>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6D3"/>
    <w:rsid w:val="00002860"/>
    <w:rsid w:val="000076D6"/>
    <w:rsid w:val="000108AB"/>
    <w:rsid w:val="00012867"/>
    <w:rsid w:val="00012E0C"/>
    <w:rsid w:val="00014BFE"/>
    <w:rsid w:val="000555CA"/>
    <w:rsid w:val="00062184"/>
    <w:rsid w:val="00074391"/>
    <w:rsid w:val="000A16D3"/>
    <w:rsid w:val="000B02CC"/>
    <w:rsid w:val="000C1F7B"/>
    <w:rsid w:val="000C75CD"/>
    <w:rsid w:val="000D5F19"/>
    <w:rsid w:val="000F2E31"/>
    <w:rsid w:val="00133E37"/>
    <w:rsid w:val="00137BD2"/>
    <w:rsid w:val="00152F5D"/>
    <w:rsid w:val="001610F2"/>
    <w:rsid w:val="00190E5C"/>
    <w:rsid w:val="001C2F0D"/>
    <w:rsid w:val="001F4A62"/>
    <w:rsid w:val="002042EE"/>
    <w:rsid w:val="00225A98"/>
    <w:rsid w:val="00226F65"/>
    <w:rsid w:val="00246100"/>
    <w:rsid w:val="00256E0A"/>
    <w:rsid w:val="00270DA1"/>
    <w:rsid w:val="00271E30"/>
    <w:rsid w:val="00277410"/>
    <w:rsid w:val="00286533"/>
    <w:rsid w:val="002971B7"/>
    <w:rsid w:val="002A44B3"/>
    <w:rsid w:val="002C0A65"/>
    <w:rsid w:val="002D34D7"/>
    <w:rsid w:val="002D4469"/>
    <w:rsid w:val="002D5A8C"/>
    <w:rsid w:val="002D5B32"/>
    <w:rsid w:val="00320AA0"/>
    <w:rsid w:val="00351299"/>
    <w:rsid w:val="00374FA2"/>
    <w:rsid w:val="003809A1"/>
    <w:rsid w:val="003A5873"/>
    <w:rsid w:val="003D0EC8"/>
    <w:rsid w:val="003F7027"/>
    <w:rsid w:val="00420714"/>
    <w:rsid w:val="00420B7C"/>
    <w:rsid w:val="0043164D"/>
    <w:rsid w:val="0045080D"/>
    <w:rsid w:val="00464112"/>
    <w:rsid w:val="00485FB8"/>
    <w:rsid w:val="004976E0"/>
    <w:rsid w:val="004C1951"/>
    <w:rsid w:val="004D7A76"/>
    <w:rsid w:val="004E20D3"/>
    <w:rsid w:val="004E365E"/>
    <w:rsid w:val="004E39F7"/>
    <w:rsid w:val="004F577E"/>
    <w:rsid w:val="00516B69"/>
    <w:rsid w:val="00522FA6"/>
    <w:rsid w:val="00526FCD"/>
    <w:rsid w:val="00536C11"/>
    <w:rsid w:val="00546748"/>
    <w:rsid w:val="005601E2"/>
    <w:rsid w:val="00561033"/>
    <w:rsid w:val="00566718"/>
    <w:rsid w:val="00583FF1"/>
    <w:rsid w:val="005908CB"/>
    <w:rsid w:val="005A30EE"/>
    <w:rsid w:val="005B0E3A"/>
    <w:rsid w:val="005F6048"/>
    <w:rsid w:val="00603217"/>
    <w:rsid w:val="00624E22"/>
    <w:rsid w:val="006331FF"/>
    <w:rsid w:val="00641465"/>
    <w:rsid w:val="006647A1"/>
    <w:rsid w:val="006C29FA"/>
    <w:rsid w:val="006C775D"/>
    <w:rsid w:val="006D1C5B"/>
    <w:rsid w:val="00712CCB"/>
    <w:rsid w:val="00730AA4"/>
    <w:rsid w:val="00736265"/>
    <w:rsid w:val="007567D7"/>
    <w:rsid w:val="0076239B"/>
    <w:rsid w:val="0078335A"/>
    <w:rsid w:val="007B463F"/>
    <w:rsid w:val="007B773E"/>
    <w:rsid w:val="007C18D5"/>
    <w:rsid w:val="007C2359"/>
    <w:rsid w:val="007D583D"/>
    <w:rsid w:val="007E6C16"/>
    <w:rsid w:val="007F2F81"/>
    <w:rsid w:val="0082302E"/>
    <w:rsid w:val="00855672"/>
    <w:rsid w:val="00862AB1"/>
    <w:rsid w:val="00863591"/>
    <w:rsid w:val="00870F73"/>
    <w:rsid w:val="00874214"/>
    <w:rsid w:val="00890CD6"/>
    <w:rsid w:val="008934DF"/>
    <w:rsid w:val="008B39DB"/>
    <w:rsid w:val="008B462A"/>
    <w:rsid w:val="008B4F29"/>
    <w:rsid w:val="008B75FB"/>
    <w:rsid w:val="008C4190"/>
    <w:rsid w:val="008E436A"/>
    <w:rsid w:val="008E58EB"/>
    <w:rsid w:val="00903AE0"/>
    <w:rsid w:val="00911026"/>
    <w:rsid w:val="009254CB"/>
    <w:rsid w:val="00927361"/>
    <w:rsid w:val="009404C7"/>
    <w:rsid w:val="00941B05"/>
    <w:rsid w:val="00963F3B"/>
    <w:rsid w:val="009A0D91"/>
    <w:rsid w:val="009A1ECF"/>
    <w:rsid w:val="009C1030"/>
    <w:rsid w:val="009D73CD"/>
    <w:rsid w:val="00A05643"/>
    <w:rsid w:val="00A13BF7"/>
    <w:rsid w:val="00A24796"/>
    <w:rsid w:val="00A25DDD"/>
    <w:rsid w:val="00A54261"/>
    <w:rsid w:val="00A744E9"/>
    <w:rsid w:val="00A812D1"/>
    <w:rsid w:val="00A96E0D"/>
    <w:rsid w:val="00AB002C"/>
    <w:rsid w:val="00AC02C2"/>
    <w:rsid w:val="00AE04F7"/>
    <w:rsid w:val="00AF5F35"/>
    <w:rsid w:val="00B06339"/>
    <w:rsid w:val="00B21A0C"/>
    <w:rsid w:val="00B23DD4"/>
    <w:rsid w:val="00B42690"/>
    <w:rsid w:val="00B77E00"/>
    <w:rsid w:val="00B85DFD"/>
    <w:rsid w:val="00BB6134"/>
    <w:rsid w:val="00BD2C01"/>
    <w:rsid w:val="00BE0EB8"/>
    <w:rsid w:val="00BE5B6D"/>
    <w:rsid w:val="00C005FB"/>
    <w:rsid w:val="00C1178D"/>
    <w:rsid w:val="00C306BD"/>
    <w:rsid w:val="00C307C9"/>
    <w:rsid w:val="00C532D9"/>
    <w:rsid w:val="00C67DB3"/>
    <w:rsid w:val="00C86429"/>
    <w:rsid w:val="00CD092B"/>
    <w:rsid w:val="00CD255E"/>
    <w:rsid w:val="00CF1854"/>
    <w:rsid w:val="00D2359D"/>
    <w:rsid w:val="00D26909"/>
    <w:rsid w:val="00D4021D"/>
    <w:rsid w:val="00D4082E"/>
    <w:rsid w:val="00D42054"/>
    <w:rsid w:val="00D45E0E"/>
    <w:rsid w:val="00D70F20"/>
    <w:rsid w:val="00D809C4"/>
    <w:rsid w:val="00DA2B36"/>
    <w:rsid w:val="00DB6845"/>
    <w:rsid w:val="00DD51F5"/>
    <w:rsid w:val="00DF7E66"/>
    <w:rsid w:val="00E03DFD"/>
    <w:rsid w:val="00E11CCF"/>
    <w:rsid w:val="00E23614"/>
    <w:rsid w:val="00E4476B"/>
    <w:rsid w:val="00E47257"/>
    <w:rsid w:val="00E61517"/>
    <w:rsid w:val="00E81341"/>
    <w:rsid w:val="00EA0932"/>
    <w:rsid w:val="00EA0AFA"/>
    <w:rsid w:val="00EB4501"/>
    <w:rsid w:val="00EC4A94"/>
    <w:rsid w:val="00EC6A85"/>
    <w:rsid w:val="00ED017E"/>
    <w:rsid w:val="00EE2AD7"/>
    <w:rsid w:val="00EE57D0"/>
    <w:rsid w:val="00EF444B"/>
    <w:rsid w:val="00F33A14"/>
    <w:rsid w:val="00F546D9"/>
    <w:rsid w:val="00F85CF7"/>
    <w:rsid w:val="00F8685C"/>
    <w:rsid w:val="00F94ABC"/>
    <w:rsid w:val="00FA1686"/>
    <w:rsid w:val="00FB1417"/>
    <w:rsid w:val="00FB409E"/>
    <w:rsid w:val="00FB6C13"/>
    <w:rsid w:val="00FC48B6"/>
    <w:rsid w:val="00FE1484"/>
    <w:rsid w:val="00FE1C07"/>
    <w:rsid w:val="00FE742F"/>
    <w:rsid w:val="00FF4C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7FB8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character" w:customStyle="1" w:styleId="BodyTextChar">
    <w:name w:val="Body Text Char"/>
    <w:basedOn w:val="DefaultParagraphFont"/>
    <w:link w:val="BodyText"/>
    <w:rsid w:val="00A25DDD"/>
    <w:rPr>
      <w:sz w:val="24"/>
      <w:lang w:eastAsia="en-US"/>
    </w:rPr>
  </w:style>
  <w:style w:type="paragraph" w:styleId="BalloonText">
    <w:name w:val="Balloon Text"/>
    <w:basedOn w:val="Normal"/>
    <w:link w:val="BalloonTextChar"/>
    <w:uiPriority w:val="99"/>
    <w:semiHidden/>
    <w:unhideWhenUsed/>
    <w:rsid w:val="00AE04F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04F7"/>
    <w:rPr>
      <w:rFonts w:ascii="Tahoma" w:hAnsi="Tahoma" w:cs="Tahoma"/>
      <w:sz w:val="16"/>
      <w:szCs w:val="16"/>
    </w:rPr>
  </w:style>
  <w:style w:type="paragraph" w:styleId="FootnoteText">
    <w:name w:val="footnote text"/>
    <w:basedOn w:val="Normal"/>
    <w:link w:val="FootnoteTextChar"/>
    <w:uiPriority w:val="99"/>
    <w:semiHidden/>
    <w:unhideWhenUsed/>
    <w:rsid w:val="000C1F7B"/>
    <w:pPr>
      <w:spacing w:after="0"/>
    </w:pPr>
    <w:rPr>
      <w:sz w:val="20"/>
    </w:rPr>
  </w:style>
  <w:style w:type="character" w:customStyle="1" w:styleId="FootnoteTextChar">
    <w:name w:val="Footnote Text Char"/>
    <w:basedOn w:val="DefaultParagraphFont"/>
    <w:link w:val="FootnoteText"/>
    <w:uiPriority w:val="99"/>
    <w:semiHidden/>
    <w:rsid w:val="000C1F7B"/>
  </w:style>
  <w:style w:type="character" w:styleId="FootnoteReference">
    <w:name w:val="footnote reference"/>
    <w:basedOn w:val="DefaultParagraphFont"/>
    <w:uiPriority w:val="99"/>
    <w:semiHidden/>
    <w:unhideWhenUsed/>
    <w:rsid w:val="000C1F7B"/>
    <w:rPr>
      <w:vertAlign w:val="superscript"/>
    </w:rPr>
  </w:style>
  <w:style w:type="character" w:customStyle="1" w:styleId="OPCCharBase">
    <w:name w:val="OPCCharBase"/>
    <w:uiPriority w:val="1"/>
    <w:qFormat/>
    <w:rsid w:val="007B463F"/>
  </w:style>
  <w:style w:type="paragraph" w:customStyle="1" w:styleId="LI-BodyTextUnnumbered">
    <w:name w:val="LI - Body Text Unnumbered"/>
    <w:basedOn w:val="Normal"/>
    <w:link w:val="LI-BodyTextUnnumberedChar"/>
    <w:rsid w:val="007B463F"/>
    <w:pPr>
      <w:spacing w:before="240" w:after="0"/>
      <w:ind w:left="1134"/>
    </w:pPr>
    <w:rPr>
      <w:sz w:val="24"/>
    </w:rPr>
  </w:style>
  <w:style w:type="character" w:customStyle="1" w:styleId="LI-BodyTextUnnumberedChar">
    <w:name w:val="LI - Body Text Unnumbered Char"/>
    <w:link w:val="LI-BodyTextUnnumbered"/>
    <w:rsid w:val="007B463F"/>
    <w:rPr>
      <w:sz w:val="24"/>
    </w:rPr>
  </w:style>
  <w:style w:type="paragraph" w:customStyle="1" w:styleId="ListE">
    <w:name w:val="ListE"/>
    <w:basedOn w:val="Normal"/>
    <w:next w:val="Normal"/>
    <w:rsid w:val="000C75CD"/>
    <w:pPr>
      <w:autoSpaceDE w:val="0"/>
      <w:autoSpaceDN w:val="0"/>
      <w:adjustRightInd w:val="0"/>
      <w:spacing w:before="60" w:after="60"/>
      <w:ind w:left="3555" w:hanging="720"/>
    </w:pPr>
    <w:rPr>
      <w:sz w:val="24"/>
      <w:szCs w:val="24"/>
      <w:lang w:val="en-US" w:eastAsia="en-US"/>
    </w:rPr>
  </w:style>
  <w:style w:type="paragraph" w:customStyle="1" w:styleId="Default">
    <w:name w:val="Default"/>
    <w:rsid w:val="008B462A"/>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E23614"/>
    <w:rPr>
      <w:sz w:val="16"/>
      <w:szCs w:val="16"/>
    </w:rPr>
  </w:style>
  <w:style w:type="paragraph" w:styleId="CommentSubject">
    <w:name w:val="annotation subject"/>
    <w:basedOn w:val="CommentText"/>
    <w:next w:val="CommentText"/>
    <w:link w:val="CommentSubjectChar"/>
    <w:uiPriority w:val="99"/>
    <w:semiHidden/>
    <w:unhideWhenUsed/>
    <w:rsid w:val="00E23614"/>
    <w:rPr>
      <w:b/>
      <w:bCs/>
    </w:rPr>
  </w:style>
  <w:style w:type="character" w:customStyle="1" w:styleId="CommentTextChar">
    <w:name w:val="Comment Text Char"/>
    <w:basedOn w:val="DefaultParagraphFont"/>
    <w:link w:val="CommentText"/>
    <w:semiHidden/>
    <w:rsid w:val="00E23614"/>
  </w:style>
  <w:style w:type="character" w:customStyle="1" w:styleId="CommentSubjectChar">
    <w:name w:val="Comment Subject Char"/>
    <w:basedOn w:val="CommentTextChar"/>
    <w:link w:val="CommentSubject"/>
    <w:uiPriority w:val="99"/>
    <w:semiHidden/>
    <w:rsid w:val="00E23614"/>
    <w:rPr>
      <w:b/>
      <w:bCs/>
    </w:rPr>
  </w:style>
  <w:style w:type="character" w:styleId="Strong">
    <w:name w:val="Strong"/>
    <w:basedOn w:val="DefaultParagraphFont"/>
    <w:uiPriority w:val="22"/>
    <w:qFormat/>
    <w:rsid w:val="00FA168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character" w:customStyle="1" w:styleId="BodyTextChar">
    <w:name w:val="Body Text Char"/>
    <w:basedOn w:val="DefaultParagraphFont"/>
    <w:link w:val="BodyText"/>
    <w:rsid w:val="00A25DDD"/>
    <w:rPr>
      <w:sz w:val="24"/>
      <w:lang w:eastAsia="en-US"/>
    </w:rPr>
  </w:style>
  <w:style w:type="paragraph" w:styleId="BalloonText">
    <w:name w:val="Balloon Text"/>
    <w:basedOn w:val="Normal"/>
    <w:link w:val="BalloonTextChar"/>
    <w:uiPriority w:val="99"/>
    <w:semiHidden/>
    <w:unhideWhenUsed/>
    <w:rsid w:val="00AE04F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04F7"/>
    <w:rPr>
      <w:rFonts w:ascii="Tahoma" w:hAnsi="Tahoma" w:cs="Tahoma"/>
      <w:sz w:val="16"/>
      <w:szCs w:val="16"/>
    </w:rPr>
  </w:style>
  <w:style w:type="paragraph" w:styleId="FootnoteText">
    <w:name w:val="footnote text"/>
    <w:basedOn w:val="Normal"/>
    <w:link w:val="FootnoteTextChar"/>
    <w:uiPriority w:val="99"/>
    <w:semiHidden/>
    <w:unhideWhenUsed/>
    <w:rsid w:val="000C1F7B"/>
    <w:pPr>
      <w:spacing w:after="0"/>
    </w:pPr>
    <w:rPr>
      <w:sz w:val="20"/>
    </w:rPr>
  </w:style>
  <w:style w:type="character" w:customStyle="1" w:styleId="FootnoteTextChar">
    <w:name w:val="Footnote Text Char"/>
    <w:basedOn w:val="DefaultParagraphFont"/>
    <w:link w:val="FootnoteText"/>
    <w:uiPriority w:val="99"/>
    <w:semiHidden/>
    <w:rsid w:val="000C1F7B"/>
  </w:style>
  <w:style w:type="character" w:styleId="FootnoteReference">
    <w:name w:val="footnote reference"/>
    <w:basedOn w:val="DefaultParagraphFont"/>
    <w:uiPriority w:val="99"/>
    <w:semiHidden/>
    <w:unhideWhenUsed/>
    <w:rsid w:val="000C1F7B"/>
    <w:rPr>
      <w:vertAlign w:val="superscript"/>
    </w:rPr>
  </w:style>
  <w:style w:type="character" w:customStyle="1" w:styleId="OPCCharBase">
    <w:name w:val="OPCCharBase"/>
    <w:uiPriority w:val="1"/>
    <w:qFormat/>
    <w:rsid w:val="007B463F"/>
  </w:style>
  <w:style w:type="paragraph" w:customStyle="1" w:styleId="LI-BodyTextUnnumbered">
    <w:name w:val="LI - Body Text Unnumbered"/>
    <w:basedOn w:val="Normal"/>
    <w:link w:val="LI-BodyTextUnnumberedChar"/>
    <w:rsid w:val="007B463F"/>
    <w:pPr>
      <w:spacing w:before="240" w:after="0"/>
      <w:ind w:left="1134"/>
    </w:pPr>
    <w:rPr>
      <w:sz w:val="24"/>
    </w:rPr>
  </w:style>
  <w:style w:type="character" w:customStyle="1" w:styleId="LI-BodyTextUnnumberedChar">
    <w:name w:val="LI - Body Text Unnumbered Char"/>
    <w:link w:val="LI-BodyTextUnnumbered"/>
    <w:rsid w:val="007B463F"/>
    <w:rPr>
      <w:sz w:val="24"/>
    </w:rPr>
  </w:style>
  <w:style w:type="paragraph" w:customStyle="1" w:styleId="ListE">
    <w:name w:val="ListE"/>
    <w:basedOn w:val="Normal"/>
    <w:next w:val="Normal"/>
    <w:rsid w:val="000C75CD"/>
    <w:pPr>
      <w:autoSpaceDE w:val="0"/>
      <w:autoSpaceDN w:val="0"/>
      <w:adjustRightInd w:val="0"/>
      <w:spacing w:before="60" w:after="60"/>
      <w:ind w:left="3555" w:hanging="720"/>
    </w:pPr>
    <w:rPr>
      <w:sz w:val="24"/>
      <w:szCs w:val="24"/>
      <w:lang w:val="en-US" w:eastAsia="en-US"/>
    </w:rPr>
  </w:style>
  <w:style w:type="paragraph" w:customStyle="1" w:styleId="Default">
    <w:name w:val="Default"/>
    <w:rsid w:val="008B462A"/>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E23614"/>
    <w:rPr>
      <w:sz w:val="16"/>
      <w:szCs w:val="16"/>
    </w:rPr>
  </w:style>
  <w:style w:type="paragraph" w:styleId="CommentSubject">
    <w:name w:val="annotation subject"/>
    <w:basedOn w:val="CommentText"/>
    <w:next w:val="CommentText"/>
    <w:link w:val="CommentSubjectChar"/>
    <w:uiPriority w:val="99"/>
    <w:semiHidden/>
    <w:unhideWhenUsed/>
    <w:rsid w:val="00E23614"/>
    <w:rPr>
      <w:b/>
      <w:bCs/>
    </w:rPr>
  </w:style>
  <w:style w:type="character" w:customStyle="1" w:styleId="CommentTextChar">
    <w:name w:val="Comment Text Char"/>
    <w:basedOn w:val="DefaultParagraphFont"/>
    <w:link w:val="CommentText"/>
    <w:semiHidden/>
    <w:rsid w:val="00E23614"/>
  </w:style>
  <w:style w:type="character" w:customStyle="1" w:styleId="CommentSubjectChar">
    <w:name w:val="Comment Subject Char"/>
    <w:basedOn w:val="CommentTextChar"/>
    <w:link w:val="CommentSubject"/>
    <w:uiPriority w:val="99"/>
    <w:semiHidden/>
    <w:rsid w:val="00E23614"/>
    <w:rPr>
      <w:b/>
      <w:bCs/>
    </w:rPr>
  </w:style>
  <w:style w:type="character" w:styleId="Strong">
    <w:name w:val="Strong"/>
    <w:basedOn w:val="DefaultParagraphFont"/>
    <w:uiPriority w:val="22"/>
    <w:qFormat/>
    <w:rsid w:val="00FA16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273127">
      <w:bodyDiv w:val="1"/>
      <w:marLeft w:val="0"/>
      <w:marRight w:val="0"/>
      <w:marTop w:val="0"/>
      <w:marBottom w:val="0"/>
      <w:divBdr>
        <w:top w:val="none" w:sz="0" w:space="0" w:color="auto"/>
        <w:left w:val="none" w:sz="0" w:space="0" w:color="auto"/>
        <w:bottom w:val="none" w:sz="0" w:space="0" w:color="auto"/>
        <w:right w:val="none" w:sz="0" w:space="0" w:color="auto"/>
      </w:divBdr>
      <w:divsChild>
        <w:div w:id="1986856497">
          <w:marLeft w:val="0"/>
          <w:marRight w:val="0"/>
          <w:marTop w:val="0"/>
          <w:marBottom w:val="0"/>
          <w:divBdr>
            <w:top w:val="none" w:sz="0" w:space="0" w:color="auto"/>
            <w:left w:val="none" w:sz="0" w:space="0" w:color="auto"/>
            <w:bottom w:val="none" w:sz="0" w:space="0" w:color="auto"/>
            <w:right w:val="none" w:sz="0" w:space="0" w:color="auto"/>
          </w:divBdr>
          <w:divsChild>
            <w:div w:id="1841850098">
              <w:marLeft w:val="0"/>
              <w:marRight w:val="0"/>
              <w:marTop w:val="0"/>
              <w:marBottom w:val="0"/>
              <w:divBdr>
                <w:top w:val="none" w:sz="0" w:space="0" w:color="auto"/>
                <w:left w:val="none" w:sz="0" w:space="0" w:color="auto"/>
                <w:bottom w:val="none" w:sz="0" w:space="0" w:color="auto"/>
                <w:right w:val="none" w:sz="0" w:space="0" w:color="auto"/>
              </w:divBdr>
              <w:divsChild>
                <w:div w:id="1739085356">
                  <w:marLeft w:val="0"/>
                  <w:marRight w:val="0"/>
                  <w:marTop w:val="100"/>
                  <w:marBottom w:val="100"/>
                  <w:divBdr>
                    <w:top w:val="none" w:sz="0" w:space="0" w:color="auto"/>
                    <w:left w:val="none" w:sz="0" w:space="0" w:color="auto"/>
                    <w:bottom w:val="none" w:sz="0" w:space="0" w:color="auto"/>
                    <w:right w:val="none" w:sz="0" w:space="0" w:color="auto"/>
                  </w:divBdr>
                  <w:divsChild>
                    <w:div w:id="868835427">
                      <w:marLeft w:val="1"/>
                      <w:marRight w:val="1"/>
                      <w:marTop w:val="0"/>
                      <w:marBottom w:val="0"/>
                      <w:divBdr>
                        <w:top w:val="none" w:sz="0" w:space="0" w:color="auto"/>
                        <w:left w:val="none" w:sz="0" w:space="0" w:color="auto"/>
                        <w:bottom w:val="none" w:sz="0" w:space="0" w:color="auto"/>
                        <w:right w:val="none" w:sz="0" w:space="0" w:color="auto"/>
                      </w:divBdr>
                      <w:divsChild>
                        <w:div w:id="1669942719">
                          <w:marLeft w:val="-1"/>
                          <w:marRight w:val="-1"/>
                          <w:marTop w:val="0"/>
                          <w:marBottom w:val="0"/>
                          <w:divBdr>
                            <w:top w:val="none" w:sz="0" w:space="0" w:color="auto"/>
                            <w:left w:val="none" w:sz="0" w:space="0" w:color="auto"/>
                            <w:bottom w:val="none" w:sz="0" w:space="0" w:color="auto"/>
                            <w:right w:val="none" w:sz="0" w:space="0" w:color="auto"/>
                          </w:divBdr>
                          <w:divsChild>
                            <w:div w:id="683282692">
                              <w:marLeft w:val="0"/>
                              <w:marRight w:val="0"/>
                              <w:marTop w:val="0"/>
                              <w:marBottom w:val="600"/>
                              <w:divBdr>
                                <w:top w:val="none" w:sz="0" w:space="0" w:color="auto"/>
                                <w:left w:val="none" w:sz="0" w:space="0" w:color="auto"/>
                                <w:bottom w:val="none" w:sz="0" w:space="0" w:color="auto"/>
                                <w:right w:val="none" w:sz="0" w:space="0" w:color="auto"/>
                              </w:divBdr>
                              <w:divsChild>
                                <w:div w:id="193686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8962643">
      <w:bodyDiv w:val="1"/>
      <w:marLeft w:val="0"/>
      <w:marRight w:val="0"/>
      <w:marTop w:val="0"/>
      <w:marBottom w:val="0"/>
      <w:divBdr>
        <w:top w:val="none" w:sz="0" w:space="0" w:color="auto"/>
        <w:left w:val="none" w:sz="0" w:space="0" w:color="auto"/>
        <w:bottom w:val="none" w:sz="0" w:space="0" w:color="auto"/>
        <w:right w:val="none" w:sz="0" w:space="0" w:color="auto"/>
      </w:divBdr>
      <w:divsChild>
        <w:div w:id="1349722319">
          <w:marLeft w:val="0"/>
          <w:marRight w:val="0"/>
          <w:marTop w:val="0"/>
          <w:marBottom w:val="0"/>
          <w:divBdr>
            <w:top w:val="none" w:sz="0" w:space="0" w:color="auto"/>
            <w:left w:val="none" w:sz="0" w:space="0" w:color="auto"/>
            <w:bottom w:val="none" w:sz="0" w:space="0" w:color="auto"/>
            <w:right w:val="none" w:sz="0" w:space="0" w:color="auto"/>
          </w:divBdr>
          <w:divsChild>
            <w:div w:id="1995524970">
              <w:marLeft w:val="0"/>
              <w:marRight w:val="0"/>
              <w:marTop w:val="0"/>
              <w:marBottom w:val="0"/>
              <w:divBdr>
                <w:top w:val="none" w:sz="0" w:space="0" w:color="auto"/>
                <w:left w:val="none" w:sz="0" w:space="0" w:color="auto"/>
                <w:bottom w:val="none" w:sz="0" w:space="0" w:color="auto"/>
                <w:right w:val="none" w:sz="0" w:space="0" w:color="auto"/>
              </w:divBdr>
              <w:divsChild>
                <w:div w:id="1998877680">
                  <w:marLeft w:val="0"/>
                  <w:marRight w:val="0"/>
                  <w:marTop w:val="100"/>
                  <w:marBottom w:val="100"/>
                  <w:divBdr>
                    <w:top w:val="none" w:sz="0" w:space="0" w:color="auto"/>
                    <w:left w:val="none" w:sz="0" w:space="0" w:color="auto"/>
                    <w:bottom w:val="none" w:sz="0" w:space="0" w:color="auto"/>
                    <w:right w:val="none" w:sz="0" w:space="0" w:color="auto"/>
                  </w:divBdr>
                  <w:divsChild>
                    <w:div w:id="657421236">
                      <w:marLeft w:val="1"/>
                      <w:marRight w:val="1"/>
                      <w:marTop w:val="0"/>
                      <w:marBottom w:val="0"/>
                      <w:divBdr>
                        <w:top w:val="none" w:sz="0" w:space="0" w:color="auto"/>
                        <w:left w:val="none" w:sz="0" w:space="0" w:color="auto"/>
                        <w:bottom w:val="none" w:sz="0" w:space="0" w:color="auto"/>
                        <w:right w:val="none" w:sz="0" w:space="0" w:color="auto"/>
                      </w:divBdr>
                      <w:divsChild>
                        <w:div w:id="5256817">
                          <w:marLeft w:val="-1"/>
                          <w:marRight w:val="-1"/>
                          <w:marTop w:val="0"/>
                          <w:marBottom w:val="0"/>
                          <w:divBdr>
                            <w:top w:val="none" w:sz="0" w:space="0" w:color="auto"/>
                            <w:left w:val="none" w:sz="0" w:space="0" w:color="auto"/>
                            <w:bottom w:val="none" w:sz="0" w:space="0" w:color="auto"/>
                            <w:right w:val="none" w:sz="0" w:space="0" w:color="auto"/>
                          </w:divBdr>
                          <w:divsChild>
                            <w:div w:id="30127086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1.FIS\AppData\Local\Temp\notes5C4E79\ASIC%20CLASS%20ORDER%20EXPLANATORY%20STATE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enateOrder12 xmlns="da7a9ac0-bc47-4684-84e6-3a8e9ac80c12">false</SenateOrder12>
    <p8fbc6b719804e59bcdb664964f27765 xmlns="e9348453-31dc-4ff8-a944-f262a0a992aa">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p8fbc6b719804e59bcdb664964f27765>
    <Reviewers xmlns="17f478ab-373e-4295-9ff0-9b833ad01319">
      <UserInfo>
        <DisplayName/>
        <AccountId xsi:nil="true"/>
        <AccountType/>
      </UserInfo>
    </Reviewers>
    <Approvers xmlns="17f478ab-373e-4295-9ff0-9b833ad01319">
      <UserInfo>
        <DisplayName/>
        <AccountId xsi:nil="true"/>
        <AccountType/>
      </UserInfo>
    </Approvers>
    <TaxCatchAll xmlns="e9348453-31dc-4ff8-a944-f262a0a992aa">
      <Value>6</Value>
      <Value>45</Value>
      <Value>35</Value>
    </TaxCatchAll>
    <SignificantFlag xmlns="da7a9ac0-bc47-4684-84e6-3a8e9ac80c12">false</SignificantFlag>
    <RecordNumber xmlns="da7a9ac0-bc47-4684-84e6-3a8e9ac80c12">R20160000138023</RecordNumber>
    <ObjectiveID xmlns="da7a9ac0-bc47-4684-84e6-3a8e9ac80c12" xsi:nil="true"/>
    <lfd994af4f174f368903e05bb6d3ffd0 xmlns="da7a9ac0-bc47-4684-84e6-3a8e9ac80c12" xsi:nil="true"/>
    <o6f7b05c02124a86ab66ebac6d22533a xmlns="e9348453-31dc-4ff8-a944-f262a0a992aa">
      <Terms xmlns="http://schemas.microsoft.com/office/infopath/2007/PartnerControls">
        <TermInfo xmlns="http://schemas.microsoft.com/office/infopath/2007/PartnerControls">
          <TermName xmlns="http://schemas.microsoft.com/office/infopath/2007/PartnerControls">Fundraising</TermName>
          <TermId xmlns="http://schemas.microsoft.com/office/infopath/2007/PartnerControls">57247f8c-7a2c-4c30-b3fe-5e4b2518355f</TermId>
        </TermInfo>
      </Terms>
    </o6f7b05c02124a86ab66ebac6d22533a>
    <f81d19442bcb4ccea91b7b9f4cc7063b xmlns="da7a9ac0-bc47-4684-84e6-3a8e9ac80c12" xsi:nil="true"/>
    <ded95d7ab059406991d558011d18c177 xmlns="da7a9ac0-bc47-4684-84e6-3a8e9ac80c12" xsi:nil="true"/>
    <j13b61425a27404b97e911f7cc058c3a xmlns="da7a9ac0-bc47-4684-84e6-3a8e9ac80c12" xsi:nil="true"/>
    <k48e9257605e4fa884546a6d62c7455f xmlns="e9348453-31dc-4ff8-a944-f262a0a992aa">
      <Terms xmlns="http://schemas.microsoft.com/office/infopath/2007/PartnerControls"/>
    </k48e9257605e4fa884546a6d62c7455f>
    <SignificantReason xmlns="da7a9ac0-bc47-4684-84e6-3a8e9ac80c12" xsi:nil="true"/>
    <be88c94b67ae4f5686cb52243c3cb97f xmlns="e9348453-31dc-4ff8-a944-f262a0a992aa">
      <Terms xmlns="http://schemas.microsoft.com/office/infopath/2007/PartnerControls">
        <TermInfo xmlns="http://schemas.microsoft.com/office/infopath/2007/PartnerControls">
          <TermName xmlns="http://schemas.microsoft.com/office/infopath/2007/PartnerControls">Draft information sheet / guidance</TermName>
          <TermId xmlns="http://schemas.microsoft.com/office/infopath/2007/PartnerControls">4033bbf5-a63e-4c78-b5db-d9e223685187</TermId>
        </TermInfo>
      </Terms>
    </be88c94b67ae4f5686cb52243c3cb97f>
    <NotesLinks xmlns="da7a9ac0-bc47-4684-84e6-3a8e9ac80c1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Corporations and EMR Project Document" ma:contentTypeID="0x010100B5F685A1365F544391EF8C813B164F3A4500EE62F54289E0A64A971A02886F5F2428" ma:contentTypeVersion="24" ma:contentTypeDescription="" ma:contentTypeScope="" ma:versionID="888ca9f2f488c2346a75b4d695531a98">
  <xsd:schema xmlns:xsd="http://www.w3.org/2001/XMLSchema" xmlns:xs="http://www.w3.org/2001/XMLSchema" xmlns:p="http://schemas.microsoft.com/office/2006/metadata/properties" xmlns:ns2="da7a9ac0-bc47-4684-84e6-3a8e9ac80c12" xmlns:ns3="e9348453-31dc-4ff8-a944-f262a0a992aa" xmlns:ns4="17f478ab-373e-4295-9ff0-9b833ad01319" targetNamespace="http://schemas.microsoft.com/office/2006/metadata/properties" ma:root="true" ma:fieldsID="200fbdfdd37cc7d3a053745e836f1cf5" ns2:_="" ns3:_="" ns4:_="">
    <xsd:import namespace="da7a9ac0-bc47-4684-84e6-3a8e9ac80c12"/>
    <xsd:import namespace="e9348453-31dc-4ff8-a944-f262a0a992aa"/>
    <xsd:import namespace="17f478ab-373e-4295-9ff0-9b833ad01319"/>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2:f81d19442bcb4ccea91b7b9f4cc7063b" minOccurs="0"/>
                <xsd:element ref="ns2:lfd994af4f174f368903e05bb6d3ffd0" minOccurs="0"/>
                <xsd:element ref="ns2:j13b61425a27404b97e911f7cc058c3a" minOccurs="0"/>
                <xsd:element ref="ns3:be88c94b67ae4f5686cb52243c3cb97f" minOccurs="0"/>
                <xsd:element ref="ns3:p8fbc6b719804e59bcdb664964f27765" minOccurs="0"/>
                <xsd:element ref="ns3:k48e9257605e4fa884546a6d62c7455f" minOccurs="0"/>
                <xsd:element ref="ns3:o6f7b05c02124a86ab66ebac6d22533a" minOccurs="0"/>
                <xsd:element ref="ns2:NotesLinks" minOccurs="0"/>
                <xsd:element ref="ns4:Reviewers" minOccurs="0"/>
                <xsd:element ref="ns4:Approv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ma:readOnly="false">
      <xsd:simpleType>
        <xsd:restriction base="dms:Text">
          <xsd:maxLength value="255"/>
        </xsd:restriction>
      </xsd:simpleType>
    </xsd:element>
    <xsd:element name="ObjectiveID" ma:index="3" nillable="true" ma:displayName="Objective ID" ma:hidden="true" ma:internalName="ObjectiveID" ma:readOnly="false">
      <xsd:simpleType>
        <xsd:restriction base="dms:Text">
          <xsd:maxLength value="255"/>
        </xsd:restriction>
      </xsd:simpleType>
    </xsd:element>
    <xsd:element name="SenateOrder12" ma:index="4" nillable="true" ma:displayName="Senate Order #12" ma:default="0" ma:hidden="true" ma:internalName="SenateOrder12" ma:readOnly="false">
      <xsd:simpleType>
        <xsd:restriction base="dms:Boolean"/>
      </xsd:simpleType>
    </xsd:element>
    <xsd:element name="SignificantFlag" ma:index="5" nillable="true" ma:displayName="Significant Flag" ma:default="0" ma:hidden="true" ma:internalName="SignificantFlag" ma:readOnly="false">
      <xsd:simpleType>
        <xsd:restriction base="dms:Boolean"/>
      </xsd:simpleType>
    </xsd:element>
    <xsd:element name="SignificantReason" ma:index="6" nillable="true" ma:displayName="Significant Reason" ma:hidden="true" ma:internalName="SignificantReason" ma:readOnly="false">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f81d19442bcb4ccea91b7b9f4cc7063b" ma:index="17" nillable="true" ma:displayName="Corps and EMR Project Category_0" ma:hidden="true" ma:internalName="f81d19442bcb4ccea91b7b9f4cc7063b" ma:readOnly="false">
      <xsd:simpleType>
        <xsd:restriction base="dms:Note"/>
      </xsd:simpleType>
    </xsd:element>
    <xsd:element name="lfd994af4f174f368903e05bb6d3ffd0" ma:index="19" nillable="true" ma:displayName="Project Subject Matter_0" ma:hidden="true" ma:internalName="lfd994af4f174f368903e05bb6d3ffd0" ma:readOnly="false">
      <xsd:simpleType>
        <xsd:restriction base="dms:Note"/>
      </xsd:simpleType>
    </xsd:element>
    <xsd:element name="j13b61425a27404b97e911f7cc058c3a" ma:index="21" nillable="true" ma:displayName="Coprs and EMR Project Document Type_0" ma:hidden="true" ma:internalName="j13b61425a27404b97e911f7cc058c3a" ma:readOnly="false">
      <xsd:simpleType>
        <xsd:restriction base="dms:Note"/>
      </xsd:simpleType>
    </xsd:element>
    <xsd:element name="NotesLinks" ma:index="27"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348453-31dc-4ff8-a944-f262a0a992aa"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57882281-a766-4cec-b1e7-8f11ca1709f1}" ma:internalName="TaxCatchAll" ma:showField="CatchAllData" ma:web="e9348453-31dc-4ff8-a944-f262a0a992aa">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57882281-a766-4cec-b1e7-8f11ca1709f1}" ma:internalName="TaxCatchAllLabel" ma:readOnly="true" ma:showField="CatchAllDataLabel" ma:web="e9348453-31dc-4ff8-a944-f262a0a992aa">
      <xsd:complexType>
        <xsd:complexContent>
          <xsd:extension base="dms:MultiChoiceLookup">
            <xsd:sequence>
              <xsd:element name="Value" type="dms:Lookup" maxOccurs="unbounded" minOccurs="0" nillable="true"/>
            </xsd:sequence>
          </xsd:extension>
        </xsd:complexContent>
      </xsd:complexType>
    </xsd:element>
    <xsd:element name="be88c94b67ae4f5686cb52243c3cb97f" ma:index="23" ma:taxonomy="true" ma:internalName="be88c94b67ae4f5686cb52243c3cb97f" ma:taxonomyFieldName="Coprs_x0020_and_x0020_EMR_x0020_Project_x0020_Document_x0020_Type" ma:displayName="Corps and EMR Project Document Type" ma:readOnly="false" ma:fieldId="{be88c94b-67ae-4f56-86cb-52243c3cb97f}" ma:sspId="b38671ba-7d76-46f8-b8a5-5fc3a7d6229d" ma:termSetId="0b01b704-a041-4ae4-a682-668b6997fade" ma:anchorId="b20bd28f-2c99-4a8d-b2dc-be27d16da788" ma:open="false" ma:isKeyword="false">
      <xsd:complexType>
        <xsd:sequence>
          <xsd:element ref="pc:Terms" minOccurs="0" maxOccurs="1"/>
        </xsd:sequence>
      </xsd:complexType>
    </xsd:element>
    <xsd:element name="p8fbc6b719804e59bcdb664964f27765" ma:index="24" ma:taxonomy="true" ma:internalName="p8fbc6b719804e59bcdb664964f27765" ma:taxonomyFieldName="SecurityClassification" ma:displayName="Security Classification" ma:readOnly="false" ma:default="6;#Sensitive|19fd2cb8-3e97-4464-ae71-8c2c2095d028" ma:fieldId="{98fbc6b7-1980-4e59-bcdb-664964f27765}" ma:sspId="b38671ba-7d76-46f8-b8a5-5fc3a7d6229d" ma:termSetId="1d2f2699-c9ac-44b7-aa84-d64945e6f0bf" ma:anchorId="00000000-0000-0000-0000-000000000000" ma:open="false" ma:isKeyword="false">
      <xsd:complexType>
        <xsd:sequence>
          <xsd:element ref="pc:Terms" minOccurs="0" maxOccurs="1"/>
        </xsd:sequence>
      </xsd:complexType>
    </xsd:element>
    <xsd:element name="k48e9257605e4fa884546a6d62c7455f" ma:index="25" nillable="true" ma:taxonomy="true" ma:internalName="k48e9257605e4fa884546a6d62c7455f" ma:taxonomyFieldName="Corps_x0020_and_x0020_EMR_x0020_Project_x0020_Category" ma:displayName="Corps and EMR Project Category" ma:readOnly="false" ma:fieldId="{448e9257-605e-4fa8-8454-6a6d62c7455f}" ma:sspId="b38671ba-7d76-46f8-b8a5-5fc3a7d6229d" ma:termSetId="0b01b704-a041-4ae4-a682-668b6997fade" ma:anchorId="ad7daaac-5606-4b12-9c8f-f950ddfe7646" ma:open="false" ma:isKeyword="false">
      <xsd:complexType>
        <xsd:sequence>
          <xsd:element ref="pc:Terms" minOccurs="0" maxOccurs="1"/>
        </xsd:sequence>
      </xsd:complexType>
    </xsd:element>
    <xsd:element name="o6f7b05c02124a86ab66ebac6d22533a" ma:index="26" ma:taxonomy="true" ma:internalName="o6f7b05c02124a86ab66ebac6d22533a" ma:taxonomyFieldName="Project_x0020_Subject_x0020_Matter" ma:displayName="Corps and EMR Project Subject Matter" ma:readOnly="false" ma:fieldId="{86f7b05c-0212-4a86-ab66-ebac6d22533a}" ma:sspId="b38671ba-7d76-46f8-b8a5-5fc3a7d6229d" ma:termSetId="0b01b704-a041-4ae4-a682-668b6997fade" ma:anchorId="c7bd51d9-2117-439c-8f58-7844e90a3f04"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8"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9"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45ACF-C33F-494A-9442-12B5905E5817}"/>
</file>

<file path=customXml/itemProps2.xml><?xml version="1.0" encoding="utf-8"?>
<ds:datastoreItem xmlns:ds="http://schemas.openxmlformats.org/officeDocument/2006/customXml" ds:itemID="{E6BA675F-BC3C-4CD0-80F5-C127E9E59947}"/>
</file>

<file path=customXml/itemProps3.xml><?xml version="1.0" encoding="utf-8"?>
<ds:datastoreItem xmlns:ds="http://schemas.openxmlformats.org/officeDocument/2006/customXml" ds:itemID="{35A7816A-FE39-43EA-B173-007FE8694F18}"/>
</file>

<file path=customXml/itemProps4.xml><?xml version="1.0" encoding="utf-8"?>
<ds:datastoreItem xmlns:ds="http://schemas.openxmlformats.org/officeDocument/2006/customXml" ds:itemID="{9807BD16-3D79-4C68-B689-3F07A15D5350}"/>
</file>

<file path=customXml/itemProps5.xml><?xml version="1.0" encoding="utf-8"?>
<ds:datastoreItem xmlns:ds="http://schemas.openxmlformats.org/officeDocument/2006/customXml" ds:itemID="{E9E32DA3-BF0F-46FD-95E6-AD3A3EFEE808}"/>
</file>

<file path=docProps/app.xml><?xml version="1.0" encoding="utf-8"?>
<Properties xmlns="http://schemas.openxmlformats.org/officeDocument/2006/extended-properties" xmlns:vt="http://schemas.openxmlformats.org/officeDocument/2006/docPropsVTypes">
  <Template>ASIC CLASS ORDER EXPLANATORY STATEMENT TEMPLATE.dotx</Template>
  <TotalTime>6</TotalTime>
  <Pages>5</Pages>
  <Words>1723</Words>
  <Characters>9482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ASIC CLASS ORDER [CO xx/xxx]</vt:lpstr>
    </vt:vector>
  </TitlesOfParts>
  <Company>ASIC</Company>
  <LinksUpToDate>false</LinksUpToDate>
  <CharactersWithSpaces>11183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CLASS ORDER [CO xx/xxx]</dc:title>
  <dc:creator/>
  <cp:lastModifiedBy>michael.jukes</cp:lastModifiedBy>
  <cp:revision>8</cp:revision>
  <cp:lastPrinted>2015-06-22T02:02:00Z</cp:lastPrinted>
  <dcterms:created xsi:type="dcterms:W3CDTF">2016-03-07T02:55:00Z</dcterms:created>
  <dcterms:modified xsi:type="dcterms:W3CDTF">2016-03-10T01:55:00Z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B965938</vt:lpwstr>
  </property>
  <property fmtid="{D5CDD505-2E9C-101B-9397-08002B2CF9AE}" pid="4" name="Objective-Title">
    <vt:lpwstr>Explanatory Statement - ASIC Corporations (Consent to include statements in regulated documents) Instrument 2015</vt:lpwstr>
  </property>
  <property fmtid="{D5CDD505-2E9C-101B-9397-08002B2CF9AE}" pid="5" name="Objective-Comment">
    <vt:lpwstr>
    </vt:lpwstr>
  </property>
  <property fmtid="{D5CDD505-2E9C-101B-9397-08002B2CF9AE}" pid="6" name="Objective-CreationStamp">
    <vt:filetime>2015-05-27T06:18:34Z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2015-06-22T02:31:31Z</vt:filetime>
  </property>
  <property fmtid="{D5CDD505-2E9C-101B-9397-08002B2CF9AE}" pid="10" name="Objective-ModificationStamp">
    <vt:filetime>2015-11-05T03:43:23Z</vt:filetime>
  </property>
  <property fmtid="{D5CDD505-2E9C-101B-9397-08002B2CF9AE}" pid="11" name="Objective-Owner">
    <vt:lpwstr>Joshua Fisher</vt:lpwstr>
  </property>
  <property fmtid="{D5CDD505-2E9C-101B-9397-08002B2CF9AE}" pid="12" name="Objective-Path">
    <vt:lpwstr>BCS:ASIC:REGULATION &amp; COMPLIANCE:Business Activity Projects:Corporations Projects:Market Disclosure:Fundraising Sunsetting Project:Explanatory Statements:</vt:lpwstr>
  </property>
  <property fmtid="{D5CDD505-2E9C-101B-9397-08002B2CF9AE}" pid="13" name="Objective-Parent">
    <vt:lpwstr>Explanatory Statements</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10</vt:i4>
  </property>
  <property fmtid="{D5CDD505-2E9C-101B-9397-08002B2CF9AE}" pid="17" name="Objective-VersionComment">
    <vt:lpwstr>
    </vt:lpwstr>
  </property>
  <property fmtid="{D5CDD505-2E9C-101B-9397-08002B2CF9AE}" pid="18" name="Objective-FileNumber">
    <vt:lpwstr>2014 - 002281</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y fmtid="{D5CDD505-2E9C-101B-9397-08002B2CF9AE}" pid="22" name="Order">
    <vt:r8>13500</vt:r8>
  </property>
  <property fmtid="{D5CDD505-2E9C-101B-9397-08002B2CF9AE}" pid="23" name="MailAttachments">
    <vt:bool>false</vt:bool>
  </property>
  <property fmtid="{D5CDD505-2E9C-101B-9397-08002B2CF9AE}" pid="24" name="ContentTypeId">
    <vt:lpwstr>0x010100B5F685A1365F544391EF8C813B164F3A4500EE62F54289E0A64A971A02886F5F2428</vt:lpwstr>
  </property>
  <property fmtid="{D5CDD505-2E9C-101B-9397-08002B2CF9AE}" pid="25" name="SecurityClassification">
    <vt:lpwstr>6;#Sensitive|19fd2cb8-3e97-4464-ae71-8c2c2095d028</vt:lpwstr>
  </property>
  <property fmtid="{D5CDD505-2E9C-101B-9397-08002B2CF9AE}" pid="26" name="Project Subject Matter">
    <vt:lpwstr>35;#Fundraising|57247f8c-7a2c-4c30-b3fe-5e4b2518355f</vt:lpwstr>
  </property>
  <property fmtid="{D5CDD505-2E9C-101B-9397-08002B2CF9AE}" pid="27" name="Corps_x0020_and_x0020_EMR_x0020_Project_x0020_Category">
    <vt:lpwstr/>
  </property>
  <property fmtid="{D5CDD505-2E9C-101B-9397-08002B2CF9AE}" pid="28" name="Coprs and EMR Project Document Type">
    <vt:lpwstr>45;#Draft information sheet / guidance|4033bbf5-a63e-4c78-b5db-d9e223685187</vt:lpwstr>
  </property>
  <property fmtid="{D5CDD505-2E9C-101B-9397-08002B2CF9AE}" pid="29" name="Corps and EMR Project Category">
    <vt:lpwstr/>
  </property>
  <property fmtid="{D5CDD505-2E9C-101B-9397-08002B2CF9AE}" pid="30" name="RecordPoint_WorkflowType">
    <vt:lpwstr>ActiveSubmitStub</vt:lpwstr>
  </property>
  <property fmtid="{D5CDD505-2E9C-101B-9397-08002B2CF9AE}" pid="31" name="RecordPoint_ActiveItemWebId">
    <vt:lpwstr>{e9348453-31dc-4ff8-a944-f262a0a992aa}</vt:lpwstr>
  </property>
  <property fmtid="{D5CDD505-2E9C-101B-9397-08002B2CF9AE}" pid="32" name="RecordPoint_ActiveItemSiteId">
    <vt:lpwstr>{391948b1-0a6e-44a7-97de-e041c6b33d8e}</vt:lpwstr>
  </property>
  <property fmtid="{D5CDD505-2E9C-101B-9397-08002B2CF9AE}" pid="33" name="RecordPoint_ActiveItemListId">
    <vt:lpwstr>{cc56f702-e3e0-43ff-9052-466a84efb4bf}</vt:lpwstr>
  </property>
  <property fmtid="{D5CDD505-2E9C-101B-9397-08002B2CF9AE}" pid="34" name="RecordPoint_ActiveItemUniqueId">
    <vt:lpwstr>{5d647ae1-6562-4acf-b5a6-644ad83a04fa}</vt:lpwstr>
  </property>
  <property fmtid="{D5CDD505-2E9C-101B-9397-08002B2CF9AE}" pid="35" name="RecordPoint_SubmissionDate">
    <vt:lpwstr/>
  </property>
  <property fmtid="{D5CDD505-2E9C-101B-9397-08002B2CF9AE}" pid="36" name="RecordPoint_RecordNumberSubmitted">
    <vt:lpwstr>R20160000138023</vt:lpwstr>
  </property>
  <property fmtid="{D5CDD505-2E9C-101B-9397-08002B2CF9AE}" pid="37" name="RecordPoint_ActiveItemMoved">
    <vt:lpwstr/>
  </property>
  <property fmtid="{D5CDD505-2E9C-101B-9397-08002B2CF9AE}" pid="38" name="RecordPoint_RecordFormat">
    <vt:lpwstr/>
  </property>
  <property fmtid="{D5CDD505-2E9C-101B-9397-08002B2CF9AE}" pid="39" name="RecordPoint_SubmissionCompleted">
    <vt:lpwstr>2016-03-10T04:15:44.4373802+11:00</vt:lpwstr>
  </property>
  <property fmtid="{D5CDD505-2E9C-101B-9397-08002B2CF9AE}" pid="40" name="IconOverlay">
    <vt:lpwstr/>
  </property>
</Properties>
</file>