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56" w:rsidRPr="00BC76EB" w:rsidRDefault="00F15C56" w:rsidP="00F15C56">
      <w:pPr>
        <w:spacing w:before="0" w:after="120"/>
        <w:ind w:right="91"/>
        <w:jc w:val="center"/>
        <w:rPr>
          <w:rFonts w:ascii="Arial" w:hAnsi="Arial" w:cs="Arial"/>
          <w:b/>
          <w:szCs w:val="24"/>
          <w:u w:val="single"/>
        </w:rPr>
      </w:pPr>
      <w:bookmarkStart w:id="0" w:name="_Toc290210739"/>
      <w:bookmarkStart w:id="1" w:name="_GoBack"/>
      <w:bookmarkEnd w:id="1"/>
      <w:r w:rsidRPr="00BC76EB">
        <w:rPr>
          <w:rFonts w:ascii="Arial" w:hAnsi="Arial" w:cs="Arial"/>
          <w:b/>
          <w:szCs w:val="24"/>
          <w:u w:val="single"/>
        </w:rPr>
        <w:t>EXPLANATORY STATEMENT</w:t>
      </w:r>
    </w:p>
    <w:p w:rsidR="00F15C56" w:rsidRPr="00BC76EB" w:rsidRDefault="00F15C56" w:rsidP="00F15C56">
      <w:pPr>
        <w:spacing w:before="0"/>
        <w:ind w:right="91"/>
        <w:jc w:val="center"/>
        <w:rPr>
          <w:rFonts w:ascii="Arial" w:hAnsi="Arial" w:cs="Arial"/>
          <w:b/>
          <w:szCs w:val="24"/>
          <w:u w:val="single"/>
        </w:rPr>
      </w:pPr>
    </w:p>
    <w:p w:rsidR="00F15C56" w:rsidRPr="00BC76EB" w:rsidRDefault="00F15C56" w:rsidP="00F15C56">
      <w:pPr>
        <w:spacing w:before="0"/>
        <w:ind w:right="91"/>
        <w:jc w:val="center"/>
        <w:rPr>
          <w:rFonts w:ascii="Arial" w:hAnsi="Arial" w:cs="Arial"/>
          <w:szCs w:val="24"/>
        </w:rPr>
      </w:pPr>
      <w:r w:rsidRPr="00BC76EB">
        <w:rPr>
          <w:rFonts w:ascii="Arial" w:hAnsi="Arial" w:cs="Arial"/>
          <w:szCs w:val="24"/>
        </w:rPr>
        <w:t xml:space="preserve">Issued by the authority of the </w:t>
      </w:r>
      <w:r w:rsidR="00BD47B5">
        <w:rPr>
          <w:rFonts w:ascii="Arial" w:hAnsi="Arial" w:cs="Arial"/>
          <w:szCs w:val="24"/>
        </w:rPr>
        <w:t>Secretary of the Department of Health</w:t>
      </w:r>
    </w:p>
    <w:p w:rsidR="00F15C56" w:rsidRPr="00BC76EB" w:rsidRDefault="00F15C56" w:rsidP="00F15C56">
      <w:pPr>
        <w:spacing w:before="0"/>
        <w:ind w:right="91"/>
        <w:jc w:val="center"/>
        <w:rPr>
          <w:rFonts w:ascii="Arial" w:hAnsi="Arial" w:cs="Arial"/>
          <w:i/>
          <w:szCs w:val="24"/>
        </w:rPr>
      </w:pPr>
    </w:p>
    <w:p w:rsidR="00F15C56" w:rsidRPr="009F1E35" w:rsidRDefault="00F15C56" w:rsidP="00F15C56">
      <w:pPr>
        <w:spacing w:before="0"/>
        <w:ind w:right="91"/>
        <w:jc w:val="center"/>
        <w:rPr>
          <w:rFonts w:ascii="Arial" w:hAnsi="Arial" w:cs="Arial"/>
          <w:i/>
          <w:szCs w:val="24"/>
        </w:rPr>
      </w:pPr>
      <w:r w:rsidRPr="009F1E35">
        <w:rPr>
          <w:rFonts w:ascii="Arial" w:hAnsi="Arial" w:cs="Arial"/>
          <w:i/>
          <w:szCs w:val="24"/>
        </w:rPr>
        <w:t>Aged Care Act 1997</w:t>
      </w:r>
    </w:p>
    <w:p w:rsidR="00F15C56" w:rsidRPr="00BC76EB" w:rsidRDefault="00F15C56" w:rsidP="00F15C56">
      <w:pPr>
        <w:spacing w:before="0"/>
        <w:ind w:right="91"/>
        <w:jc w:val="center"/>
        <w:rPr>
          <w:rFonts w:ascii="Arial" w:hAnsi="Arial" w:cs="Arial"/>
          <w:szCs w:val="24"/>
        </w:rPr>
      </w:pPr>
    </w:p>
    <w:p w:rsidR="00F15C56" w:rsidRPr="009F1E35" w:rsidRDefault="00F15C56" w:rsidP="00F15C56">
      <w:pPr>
        <w:spacing w:before="0"/>
        <w:ind w:right="91"/>
        <w:jc w:val="center"/>
        <w:rPr>
          <w:rFonts w:ascii="Arial" w:hAnsi="Arial" w:cs="Arial"/>
          <w:i/>
          <w:szCs w:val="24"/>
        </w:rPr>
      </w:pPr>
      <w:r w:rsidRPr="009F1E35">
        <w:rPr>
          <w:rFonts w:ascii="Arial" w:hAnsi="Arial" w:cs="Arial"/>
          <w:i/>
          <w:szCs w:val="24"/>
        </w:rPr>
        <w:t>Aged Care</w:t>
      </w:r>
      <w:r w:rsidR="00BD47B5">
        <w:rPr>
          <w:rFonts w:ascii="Arial" w:hAnsi="Arial" w:cs="Arial"/>
          <w:i/>
          <w:szCs w:val="24"/>
        </w:rPr>
        <w:t xml:space="preserve"> </w:t>
      </w:r>
      <w:r w:rsidRPr="009F1E35">
        <w:rPr>
          <w:rFonts w:ascii="Arial" w:hAnsi="Arial" w:cs="Arial"/>
          <w:i/>
          <w:szCs w:val="24"/>
        </w:rPr>
        <w:t>(</w:t>
      </w:r>
      <w:r w:rsidR="00BD47B5">
        <w:rPr>
          <w:rFonts w:ascii="Arial" w:hAnsi="Arial" w:cs="Arial"/>
          <w:i/>
          <w:szCs w:val="24"/>
        </w:rPr>
        <w:t>Conditions of Allocation</w:t>
      </w:r>
      <w:r w:rsidRPr="009F1E35">
        <w:rPr>
          <w:rFonts w:ascii="Arial" w:hAnsi="Arial" w:cs="Arial"/>
          <w:i/>
          <w:szCs w:val="24"/>
        </w:rPr>
        <w:t>) Determination 2016</w:t>
      </w:r>
    </w:p>
    <w:p w:rsidR="00F15C56" w:rsidRPr="00BC76EB" w:rsidRDefault="00F15C56" w:rsidP="00F15C56">
      <w:pPr>
        <w:spacing w:before="0"/>
        <w:ind w:right="91"/>
        <w:jc w:val="center"/>
        <w:rPr>
          <w:rFonts w:ascii="Arial" w:hAnsi="Arial" w:cs="Arial"/>
          <w:i/>
          <w:szCs w:val="24"/>
        </w:rPr>
      </w:pPr>
    </w:p>
    <w:p w:rsidR="00F15C56" w:rsidRPr="00BC76EB" w:rsidRDefault="00F15C56" w:rsidP="00F15C56">
      <w:pPr>
        <w:spacing w:before="0"/>
        <w:ind w:right="91"/>
        <w:rPr>
          <w:rFonts w:ascii="Arial" w:hAnsi="Arial" w:cs="Arial"/>
          <w:b/>
          <w:szCs w:val="24"/>
        </w:rPr>
      </w:pPr>
      <w:r w:rsidRPr="00BC76EB">
        <w:rPr>
          <w:rFonts w:ascii="Arial" w:hAnsi="Arial" w:cs="Arial"/>
          <w:b/>
          <w:szCs w:val="24"/>
        </w:rPr>
        <w:t>Purpose</w:t>
      </w:r>
    </w:p>
    <w:p w:rsidR="003863FD" w:rsidRDefault="003863FD" w:rsidP="003863FD">
      <w:pPr>
        <w:rPr>
          <w:rFonts w:ascii="Arial" w:hAnsi="Arial" w:cs="Arial"/>
          <w:szCs w:val="24"/>
        </w:rPr>
      </w:pPr>
      <w:r w:rsidRPr="00377397">
        <w:rPr>
          <w:rFonts w:ascii="Arial" w:hAnsi="Arial" w:cs="Arial"/>
          <w:szCs w:val="24"/>
        </w:rPr>
        <w:t>The </w:t>
      </w:r>
      <w:r w:rsidRPr="00377397">
        <w:rPr>
          <w:rFonts w:ascii="Arial" w:hAnsi="Arial" w:cs="Arial"/>
          <w:i/>
          <w:iCs/>
          <w:szCs w:val="24"/>
        </w:rPr>
        <w:t>Aged Care Act 1997</w:t>
      </w:r>
      <w:r w:rsidRPr="00377397">
        <w:rPr>
          <w:rFonts w:ascii="Arial" w:hAnsi="Arial" w:cs="Arial"/>
          <w:szCs w:val="24"/>
        </w:rPr>
        <w:t xml:space="preserve"> (the Act) provides for the </w:t>
      </w:r>
      <w:r>
        <w:rPr>
          <w:rFonts w:ascii="Arial" w:hAnsi="Arial" w:cs="Arial"/>
          <w:szCs w:val="24"/>
        </w:rPr>
        <w:t>allocation of aged care places to a person to provide aged care services for a region.  The Act allows the Secretary to allocate places, in respect of a particular type of subsidy, to a person to provide aged care services for a region.  Places may be allocated to a person who is approved under section 8-1 of the Act to provide aged care in respect of which the places are allocated, or will be approved to provide aged care in respect of which the places are allocated once the allocations take effect, or begins to be in force.</w:t>
      </w:r>
    </w:p>
    <w:p w:rsidR="003863FD" w:rsidRPr="00377397" w:rsidRDefault="003863FD" w:rsidP="003863FD">
      <w:pPr>
        <w:rPr>
          <w:rFonts w:ascii="Arial" w:hAnsi="Arial" w:cs="Arial"/>
          <w:szCs w:val="24"/>
        </w:rPr>
      </w:pPr>
      <w:r>
        <w:rPr>
          <w:rFonts w:ascii="Arial" w:hAnsi="Arial" w:cs="Arial"/>
          <w:szCs w:val="24"/>
        </w:rPr>
        <w:t>Allocations of places made under the Act may be subject to conditions with which the person receiving the allocation must comply.  The Secretary may make conditions in respect of a particular allocation of places (section 14-5 of the Act), or conditions that apply either</w:t>
      </w:r>
      <w:r w:rsidR="00E41BEF">
        <w:rPr>
          <w:rFonts w:ascii="Arial" w:hAnsi="Arial" w:cs="Arial"/>
          <w:szCs w:val="24"/>
        </w:rPr>
        <w:t xml:space="preserve"> to</w:t>
      </w:r>
      <w:r>
        <w:rPr>
          <w:rFonts w:ascii="Arial" w:hAnsi="Arial" w:cs="Arial"/>
          <w:szCs w:val="24"/>
        </w:rPr>
        <w:t xml:space="preserve"> general or a specified kind of allocation (section 14-6 of the Act).  Approved providers must comply with any relevant condition of allocation made under sections 14-5 and 14-6 of the Act.</w:t>
      </w:r>
    </w:p>
    <w:p w:rsidR="003863FD" w:rsidRDefault="003863FD" w:rsidP="003863FD">
      <w:pPr>
        <w:rPr>
          <w:rStyle w:val="BookTitle"/>
          <w:rFonts w:ascii="Arial" w:hAnsi="Arial" w:cs="Arial"/>
          <w:i w:val="0"/>
          <w:iCs w:val="0"/>
          <w:smallCaps w:val="0"/>
          <w:spacing w:val="0"/>
          <w:szCs w:val="24"/>
        </w:rPr>
      </w:pPr>
      <w:r>
        <w:rPr>
          <w:rFonts w:ascii="Arial" w:hAnsi="Arial" w:cs="Arial"/>
          <w:szCs w:val="24"/>
        </w:rPr>
        <w:t xml:space="preserve">Conditions of allocation made under section 14-6 are </w:t>
      </w:r>
      <w:r w:rsidR="007D43B6">
        <w:rPr>
          <w:rFonts w:ascii="Arial" w:hAnsi="Arial" w:cs="Arial"/>
          <w:szCs w:val="24"/>
        </w:rPr>
        <w:t xml:space="preserve">currently </w:t>
      </w:r>
      <w:r>
        <w:rPr>
          <w:rFonts w:ascii="Arial" w:hAnsi="Arial" w:cs="Arial"/>
          <w:szCs w:val="24"/>
        </w:rPr>
        <w:t>contained within several separate determination instruments.  Some of these conditions of allocation are due to sunset in October 2016 and need to be renewed, others are no longer relevant as the programs they relate to have ceased to operate</w:t>
      </w:r>
      <w:r w:rsidR="00E41BEF">
        <w:rPr>
          <w:rFonts w:ascii="Arial" w:hAnsi="Arial" w:cs="Arial"/>
          <w:szCs w:val="24"/>
        </w:rPr>
        <w:t xml:space="preserve">, while others needed re-drafting to reflect current </w:t>
      </w:r>
      <w:r w:rsidR="00A1432E">
        <w:rPr>
          <w:rFonts w:ascii="Arial" w:hAnsi="Arial" w:cs="Arial"/>
          <w:szCs w:val="24"/>
        </w:rPr>
        <w:t>legislative amendments</w:t>
      </w:r>
      <w:r>
        <w:rPr>
          <w:rFonts w:ascii="Arial" w:hAnsi="Arial" w:cs="Arial"/>
          <w:szCs w:val="24"/>
        </w:rPr>
        <w:t>.</w:t>
      </w:r>
      <w:r w:rsidRPr="00377397">
        <w:rPr>
          <w:rFonts w:ascii="Arial" w:hAnsi="Arial" w:cs="Arial"/>
          <w:szCs w:val="24"/>
        </w:rPr>
        <w:t xml:space="preserve"> </w:t>
      </w:r>
    </w:p>
    <w:p w:rsidR="00A63038" w:rsidRDefault="003863FD" w:rsidP="003863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w:t>
      </w:r>
      <w:r w:rsidR="00A63038">
        <w:rPr>
          <w:rStyle w:val="BookTitle"/>
          <w:rFonts w:ascii="Arial" w:hAnsi="Arial" w:cs="Arial"/>
          <w:i w:val="0"/>
          <w:iCs w:val="0"/>
          <w:smallCaps w:val="0"/>
          <w:spacing w:val="0"/>
          <w:szCs w:val="24"/>
        </w:rPr>
        <w:t xml:space="preserve"> the </w:t>
      </w:r>
      <w:r w:rsidR="00A63038" w:rsidRPr="00A63038">
        <w:rPr>
          <w:rFonts w:ascii="Arial" w:hAnsi="Arial" w:cs="Arial"/>
          <w:i/>
          <w:szCs w:val="24"/>
        </w:rPr>
        <w:t>Aged Care (Conditions of Allocation) Determination 2016</w:t>
      </w:r>
      <w:r w:rsidR="00A63038">
        <w:rPr>
          <w:rFonts w:ascii="Arial" w:hAnsi="Arial" w:cs="Arial"/>
          <w:i/>
          <w:szCs w:val="24"/>
        </w:rPr>
        <w:t xml:space="preserve"> </w:t>
      </w:r>
      <w:r w:rsidR="00A63038" w:rsidRPr="00A63038">
        <w:rPr>
          <w:rFonts w:ascii="Arial" w:hAnsi="Arial" w:cs="Arial"/>
          <w:szCs w:val="24"/>
        </w:rPr>
        <w:t xml:space="preserve">(this </w:t>
      </w:r>
      <w:r>
        <w:rPr>
          <w:rStyle w:val="BookTitle"/>
          <w:rFonts w:ascii="Arial" w:hAnsi="Arial" w:cs="Arial"/>
          <w:i w:val="0"/>
          <w:iCs w:val="0"/>
          <w:smallCaps w:val="0"/>
          <w:spacing w:val="0"/>
          <w:szCs w:val="24"/>
        </w:rPr>
        <w:t>instrument</w:t>
      </w:r>
      <w:r w:rsidR="00A6303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and the </w:t>
      </w:r>
      <w:r w:rsidRPr="008F6D69">
        <w:rPr>
          <w:rStyle w:val="BookTitle"/>
          <w:rFonts w:ascii="Arial" w:hAnsi="Arial" w:cs="Arial"/>
          <w:iCs w:val="0"/>
          <w:smallCaps w:val="0"/>
          <w:spacing w:val="0"/>
          <w:szCs w:val="24"/>
        </w:rPr>
        <w:t>Aged Care (Conditions of Allocation</w:t>
      </w:r>
      <w:r w:rsidR="006B7C0A">
        <w:rPr>
          <w:rStyle w:val="BookTitle"/>
          <w:rFonts w:ascii="Arial" w:hAnsi="Arial" w:cs="Arial"/>
          <w:iCs w:val="0"/>
          <w:smallCaps w:val="0"/>
          <w:spacing w:val="0"/>
          <w:szCs w:val="24"/>
        </w:rPr>
        <w:t xml:space="preserve"> Instruments</w:t>
      </w:r>
      <w:r w:rsidRPr="008F6D69">
        <w:rPr>
          <w:rStyle w:val="BookTitle"/>
          <w:rFonts w:ascii="Arial" w:hAnsi="Arial" w:cs="Arial"/>
          <w:iCs w:val="0"/>
          <w:smallCaps w:val="0"/>
          <w:spacing w:val="0"/>
          <w:szCs w:val="24"/>
        </w:rPr>
        <w:t>)</w:t>
      </w:r>
      <w:r w:rsidR="006B7C0A">
        <w:rPr>
          <w:rStyle w:val="BookTitle"/>
          <w:rFonts w:ascii="Arial" w:hAnsi="Arial" w:cs="Arial"/>
          <w:iCs w:val="0"/>
          <w:smallCaps w:val="0"/>
          <w:spacing w:val="0"/>
          <w:szCs w:val="24"/>
        </w:rPr>
        <w:t xml:space="preserve"> Repeal</w:t>
      </w:r>
      <w:r w:rsidRPr="008F6D69">
        <w:rPr>
          <w:rStyle w:val="BookTitle"/>
          <w:rFonts w:ascii="Arial" w:hAnsi="Arial" w:cs="Arial"/>
          <w:iCs w:val="0"/>
          <w:smallCaps w:val="0"/>
          <w:spacing w:val="0"/>
          <w:szCs w:val="24"/>
        </w:rPr>
        <w:t xml:space="preserve"> Determination 2016</w:t>
      </w:r>
      <w:r>
        <w:rPr>
          <w:rStyle w:val="BookTitle"/>
          <w:rFonts w:ascii="Arial" w:hAnsi="Arial" w:cs="Arial"/>
          <w:i w:val="0"/>
          <w:iCs w:val="0"/>
          <w:smallCaps w:val="0"/>
          <w:spacing w:val="0"/>
          <w:szCs w:val="24"/>
        </w:rPr>
        <w:t xml:space="preserve"> </w:t>
      </w:r>
      <w:r w:rsidR="00A63038">
        <w:rPr>
          <w:rStyle w:val="BookTitle"/>
          <w:rFonts w:ascii="Arial" w:hAnsi="Arial" w:cs="Arial"/>
          <w:i w:val="0"/>
          <w:iCs w:val="0"/>
          <w:smallCaps w:val="0"/>
          <w:spacing w:val="0"/>
          <w:szCs w:val="24"/>
        </w:rPr>
        <w:t xml:space="preserve">(the repeal instrument) </w:t>
      </w:r>
      <w:r>
        <w:rPr>
          <w:rStyle w:val="BookTitle"/>
          <w:rFonts w:ascii="Arial" w:hAnsi="Arial" w:cs="Arial"/>
          <w:i w:val="0"/>
          <w:iCs w:val="0"/>
          <w:smallCaps w:val="0"/>
          <w:spacing w:val="0"/>
          <w:szCs w:val="24"/>
        </w:rPr>
        <w:t>is to consolidate all conditions of allocations made under section 14-6 of the Act into a single determination</w:t>
      </w:r>
      <w:r w:rsidR="00A63038">
        <w:rPr>
          <w:rStyle w:val="BookTitle"/>
          <w:rFonts w:ascii="Arial" w:hAnsi="Arial" w:cs="Arial"/>
          <w:i w:val="0"/>
          <w:iCs w:val="0"/>
          <w:smallCaps w:val="0"/>
          <w:spacing w:val="0"/>
          <w:szCs w:val="24"/>
        </w:rPr>
        <w:t>, and ensure that relevant conditions of allocation are not automatically repealed via the sunset clause set out in section 50 of the Legislation Act 2003</w:t>
      </w:r>
      <w:r>
        <w:rPr>
          <w:rStyle w:val="BookTitle"/>
          <w:rFonts w:ascii="Arial" w:hAnsi="Arial" w:cs="Arial"/>
          <w:i w:val="0"/>
          <w:iCs w:val="0"/>
          <w:smallCaps w:val="0"/>
          <w:spacing w:val="0"/>
          <w:szCs w:val="24"/>
        </w:rPr>
        <w:t xml:space="preserve">.  </w:t>
      </w:r>
    </w:p>
    <w:p w:rsidR="003863FD" w:rsidRDefault="003863FD" w:rsidP="003863F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w:t>
      </w:r>
      <w:r w:rsidR="00A63038">
        <w:rPr>
          <w:rStyle w:val="BookTitle"/>
          <w:rFonts w:ascii="Arial" w:hAnsi="Arial" w:cs="Arial"/>
          <w:i w:val="0"/>
          <w:iCs w:val="0"/>
          <w:smallCaps w:val="0"/>
          <w:spacing w:val="0"/>
          <w:szCs w:val="24"/>
        </w:rPr>
        <w:t xml:space="preserve">a result </w:t>
      </w:r>
      <w:r>
        <w:rPr>
          <w:rStyle w:val="BookTitle"/>
          <w:rFonts w:ascii="Arial" w:hAnsi="Arial" w:cs="Arial"/>
          <w:i w:val="0"/>
          <w:iCs w:val="0"/>
          <w:smallCaps w:val="0"/>
          <w:spacing w:val="0"/>
          <w:szCs w:val="24"/>
        </w:rPr>
        <w:t xml:space="preserve">of this consolidation process, any conditions of allocation that are no longer relevant </w:t>
      </w:r>
      <w:r w:rsidR="00A63038">
        <w:rPr>
          <w:rStyle w:val="BookTitle"/>
          <w:rFonts w:ascii="Arial" w:hAnsi="Arial" w:cs="Arial"/>
          <w:i w:val="0"/>
          <w:iCs w:val="0"/>
          <w:smallCaps w:val="0"/>
          <w:spacing w:val="0"/>
          <w:szCs w:val="24"/>
        </w:rPr>
        <w:t>will be</w:t>
      </w:r>
      <w:r>
        <w:rPr>
          <w:rStyle w:val="BookTitle"/>
          <w:rFonts w:ascii="Arial" w:hAnsi="Arial" w:cs="Arial"/>
          <w:i w:val="0"/>
          <w:iCs w:val="0"/>
          <w:smallCaps w:val="0"/>
          <w:spacing w:val="0"/>
          <w:szCs w:val="24"/>
        </w:rPr>
        <w:t xml:space="preserve"> repealed</w:t>
      </w:r>
      <w:r w:rsidR="00A63038">
        <w:rPr>
          <w:rStyle w:val="BookTitle"/>
          <w:rFonts w:ascii="Arial" w:hAnsi="Arial" w:cs="Arial"/>
          <w:i w:val="0"/>
          <w:iCs w:val="0"/>
          <w:smallCaps w:val="0"/>
          <w:spacing w:val="0"/>
          <w:szCs w:val="24"/>
        </w:rPr>
        <w:t xml:space="preserve"> by the repeal instrument</w:t>
      </w:r>
      <w:r>
        <w:rPr>
          <w:rStyle w:val="BookTitle"/>
          <w:rFonts w:ascii="Arial" w:hAnsi="Arial" w:cs="Arial"/>
          <w:i w:val="0"/>
          <w:iCs w:val="0"/>
          <w:smallCaps w:val="0"/>
          <w:spacing w:val="0"/>
          <w:szCs w:val="24"/>
        </w:rPr>
        <w:t>.  This will assist the aged care industry to easily find the conditions of allocation that must be complied with</w:t>
      </w:r>
      <w:r w:rsidR="00A63038">
        <w:rPr>
          <w:rStyle w:val="BookTitle"/>
          <w:rFonts w:ascii="Arial" w:hAnsi="Arial" w:cs="Arial"/>
          <w:i w:val="0"/>
          <w:iCs w:val="0"/>
          <w:smallCaps w:val="0"/>
          <w:spacing w:val="0"/>
          <w:szCs w:val="24"/>
        </w:rPr>
        <w:t xml:space="preserve"> as all section 14-6 conditions of allocations will be contained in the one instrument.  </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3863FD" w:rsidRPr="00992429" w:rsidRDefault="003863FD" w:rsidP="003863FD">
      <w:pPr>
        <w:rPr>
          <w:rFonts w:ascii="Arial" w:hAnsi="Arial" w:cs="Arial"/>
          <w:szCs w:val="24"/>
          <w:lang w:val="en-US"/>
        </w:rPr>
      </w:pPr>
      <w:r>
        <w:rPr>
          <w:rFonts w:ascii="Arial" w:hAnsi="Arial" w:cs="Arial"/>
          <w:szCs w:val="24"/>
        </w:rPr>
        <w:t>Section 14-6 of the Act</w:t>
      </w:r>
      <w:r w:rsidRPr="00992429">
        <w:rPr>
          <w:rFonts w:ascii="Arial" w:hAnsi="Arial" w:cs="Arial"/>
          <w:szCs w:val="24"/>
        </w:rPr>
        <w:t xml:space="preserve"> </w:t>
      </w:r>
      <w:r w:rsidRPr="00992429">
        <w:rPr>
          <w:rFonts w:ascii="Arial" w:hAnsi="Arial" w:cs="Arial"/>
          <w:szCs w:val="24"/>
          <w:lang w:val="en-US"/>
        </w:rPr>
        <w:t>provides that an allocation of places is also subject to such conditions as are from time to time determined by the Secretary, in writing, in respect of allocations of places generally or allocations of places of a specified kind that includes the allocation of places in question.</w:t>
      </w:r>
    </w:p>
    <w:p w:rsidR="003863FD" w:rsidRPr="00992429" w:rsidRDefault="003863FD" w:rsidP="003863FD">
      <w:pPr>
        <w:rPr>
          <w:rFonts w:ascii="Arial" w:hAnsi="Arial" w:cs="Arial"/>
          <w:szCs w:val="24"/>
          <w:lang w:val="en-US"/>
        </w:rPr>
      </w:pPr>
      <w:r>
        <w:rPr>
          <w:rFonts w:ascii="Arial" w:hAnsi="Arial" w:cs="Arial"/>
          <w:szCs w:val="24"/>
          <w:lang w:val="en-US"/>
        </w:rPr>
        <w:lastRenderedPageBreak/>
        <w:t>A number of d</w:t>
      </w:r>
      <w:r w:rsidRPr="00992429">
        <w:rPr>
          <w:rFonts w:ascii="Arial" w:hAnsi="Arial" w:cs="Arial"/>
          <w:szCs w:val="24"/>
          <w:lang w:val="en-US"/>
        </w:rPr>
        <w:t>eterminations have been made under s</w:t>
      </w:r>
      <w:r>
        <w:rPr>
          <w:rFonts w:ascii="Arial" w:hAnsi="Arial" w:cs="Arial"/>
          <w:szCs w:val="24"/>
          <w:lang w:val="en-US"/>
        </w:rPr>
        <w:t xml:space="preserve">ection </w:t>
      </w:r>
      <w:r w:rsidRPr="00992429">
        <w:rPr>
          <w:rFonts w:ascii="Arial" w:hAnsi="Arial" w:cs="Arial"/>
          <w:szCs w:val="24"/>
          <w:lang w:val="en-US"/>
        </w:rPr>
        <w:t xml:space="preserve">14-6 </w:t>
      </w:r>
      <w:r>
        <w:rPr>
          <w:rFonts w:ascii="Arial" w:hAnsi="Arial" w:cs="Arial"/>
          <w:szCs w:val="24"/>
          <w:lang w:val="en-US"/>
        </w:rPr>
        <w:t xml:space="preserve">of the Act </w:t>
      </w:r>
      <w:r w:rsidRPr="00992429">
        <w:rPr>
          <w:rFonts w:ascii="Arial" w:hAnsi="Arial" w:cs="Arial"/>
          <w:szCs w:val="24"/>
          <w:lang w:val="en-US"/>
        </w:rPr>
        <w:t xml:space="preserve">and have not been reviewed for some time. As a result, a number of the </w:t>
      </w:r>
      <w:r>
        <w:rPr>
          <w:rFonts w:ascii="Arial" w:hAnsi="Arial" w:cs="Arial"/>
          <w:szCs w:val="24"/>
          <w:lang w:val="en-US"/>
        </w:rPr>
        <w:t>conditions of allocations in the determinations</w:t>
      </w:r>
      <w:r w:rsidRPr="00992429">
        <w:rPr>
          <w:rFonts w:ascii="Arial" w:hAnsi="Arial" w:cs="Arial"/>
          <w:szCs w:val="24"/>
          <w:lang w:val="en-US"/>
        </w:rPr>
        <w:t xml:space="preserve"> are no longer relevant, replicate provisions in the Principles or include information that is better located in the Principles (where the requirement is more transparent and more readily identified by approved providers).</w:t>
      </w:r>
    </w:p>
    <w:p w:rsidR="002F3543" w:rsidRDefault="00992429" w:rsidP="002F3543">
      <w:pPr>
        <w:rPr>
          <w:rFonts w:ascii="Arial" w:hAnsi="Arial" w:cs="Arial"/>
          <w:szCs w:val="24"/>
        </w:rPr>
      </w:pPr>
      <w:r>
        <w:rPr>
          <w:rFonts w:ascii="Arial" w:hAnsi="Arial" w:cs="Arial"/>
          <w:szCs w:val="24"/>
          <w:lang w:val="en-US"/>
        </w:rPr>
        <w:t xml:space="preserve">This instrument is necessary to </w:t>
      </w:r>
      <w:r w:rsidR="002F3543">
        <w:rPr>
          <w:rFonts w:ascii="Arial" w:hAnsi="Arial" w:cs="Arial"/>
          <w:szCs w:val="24"/>
          <w:lang w:val="en-US"/>
        </w:rPr>
        <w:t>consolidate the relevant conditions of allocation contained in</w:t>
      </w:r>
      <w:r>
        <w:rPr>
          <w:rFonts w:ascii="Arial" w:hAnsi="Arial" w:cs="Arial"/>
          <w:szCs w:val="24"/>
          <w:lang w:val="en-US"/>
        </w:rPr>
        <w:t xml:space="preserve"> all previous section 14-6 determinations</w:t>
      </w:r>
      <w:r w:rsidR="002F3543">
        <w:rPr>
          <w:rFonts w:ascii="Arial" w:hAnsi="Arial" w:cs="Arial"/>
          <w:szCs w:val="24"/>
          <w:lang w:val="en-US"/>
        </w:rPr>
        <w:t xml:space="preserve"> to ensure that these conditions of allocation do not sunset pursuant to section 50 of the </w:t>
      </w:r>
      <w:r w:rsidR="002F3543" w:rsidRPr="003863FD">
        <w:rPr>
          <w:rFonts w:ascii="Arial" w:hAnsi="Arial" w:cs="Arial"/>
          <w:i/>
          <w:szCs w:val="24"/>
          <w:lang w:val="en-US"/>
        </w:rPr>
        <w:t>Legislation Act 2003</w:t>
      </w:r>
      <w:r w:rsidR="002F3543">
        <w:rPr>
          <w:rFonts w:ascii="Arial" w:hAnsi="Arial" w:cs="Arial"/>
          <w:szCs w:val="24"/>
          <w:lang w:val="en-US"/>
        </w:rPr>
        <w:t xml:space="preserve">, and so that it is easier for approved providers to understand the conditions of allocations that apply to their provisionally allocated places. </w:t>
      </w:r>
      <w:r w:rsidR="006B7C0A">
        <w:rPr>
          <w:rFonts w:ascii="Arial" w:hAnsi="Arial" w:cs="Arial"/>
          <w:szCs w:val="24"/>
          <w:lang w:val="en-US"/>
        </w:rPr>
        <w:t xml:space="preserve"> The</w:t>
      </w:r>
      <w:r w:rsidR="002F3543">
        <w:rPr>
          <w:rFonts w:ascii="Arial" w:hAnsi="Arial" w:cs="Arial"/>
          <w:szCs w:val="24"/>
          <w:lang w:val="en-US"/>
        </w:rPr>
        <w:t xml:space="preserve"> </w:t>
      </w:r>
      <w:r w:rsidR="002F3543" w:rsidRPr="002F3543">
        <w:rPr>
          <w:rFonts w:ascii="Arial" w:hAnsi="Arial" w:cs="Arial"/>
          <w:i/>
          <w:szCs w:val="24"/>
        </w:rPr>
        <w:t>Aged Care (Conditions of Allocation</w:t>
      </w:r>
      <w:r w:rsidR="006B7C0A">
        <w:rPr>
          <w:rFonts w:ascii="Arial" w:hAnsi="Arial" w:cs="Arial"/>
          <w:i/>
          <w:szCs w:val="24"/>
        </w:rPr>
        <w:t xml:space="preserve"> Instruments</w:t>
      </w:r>
      <w:r w:rsidR="002F3543" w:rsidRPr="002F3543">
        <w:rPr>
          <w:rFonts w:ascii="Arial" w:hAnsi="Arial" w:cs="Arial"/>
          <w:i/>
          <w:szCs w:val="24"/>
        </w:rPr>
        <w:t>)</w:t>
      </w:r>
      <w:r w:rsidR="006B7C0A">
        <w:rPr>
          <w:rFonts w:ascii="Arial" w:hAnsi="Arial" w:cs="Arial"/>
          <w:i/>
          <w:szCs w:val="24"/>
        </w:rPr>
        <w:t xml:space="preserve"> Repeal</w:t>
      </w:r>
      <w:r w:rsidR="002F3543" w:rsidRPr="002F3543">
        <w:rPr>
          <w:rFonts w:ascii="Arial" w:hAnsi="Arial" w:cs="Arial"/>
          <w:i/>
          <w:szCs w:val="24"/>
        </w:rPr>
        <w:t xml:space="preserve"> Determination 2016</w:t>
      </w:r>
      <w:r w:rsidR="002F3543">
        <w:rPr>
          <w:rFonts w:ascii="Arial" w:hAnsi="Arial" w:cs="Arial"/>
          <w:i/>
          <w:szCs w:val="24"/>
        </w:rPr>
        <w:t xml:space="preserve"> </w:t>
      </w:r>
      <w:r w:rsidR="002F3543">
        <w:rPr>
          <w:rFonts w:ascii="Arial" w:hAnsi="Arial" w:cs="Arial"/>
          <w:szCs w:val="24"/>
        </w:rPr>
        <w:t>repeals all section 14-6 determinations that are in force as at the day before the commencement of this instrument.</w:t>
      </w:r>
    </w:p>
    <w:p w:rsidR="00A63038" w:rsidRPr="00BC76EB" w:rsidRDefault="00A63038" w:rsidP="00A63038">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A63038" w:rsidRPr="008F6D69" w:rsidRDefault="00A63038" w:rsidP="00A63038">
      <w:pPr>
        <w:rPr>
          <w:rFonts w:ascii="Arial" w:hAnsi="Arial" w:cs="Arial"/>
          <w:szCs w:val="24"/>
          <w:lang w:val="en-US"/>
        </w:rPr>
      </w:pPr>
      <w:r>
        <w:rPr>
          <w:rFonts w:ascii="Arial" w:hAnsi="Arial" w:cs="Arial"/>
          <w:szCs w:val="24"/>
        </w:rPr>
        <w:t xml:space="preserve">This instrument and the repeal instrument operate to </w:t>
      </w:r>
      <w:r>
        <w:rPr>
          <w:rStyle w:val="BookTitle"/>
          <w:rFonts w:ascii="Arial" w:hAnsi="Arial" w:cs="Arial"/>
          <w:i w:val="0"/>
          <w:iCs w:val="0"/>
          <w:smallCaps w:val="0"/>
          <w:spacing w:val="0"/>
          <w:szCs w:val="24"/>
        </w:rPr>
        <w:t xml:space="preserve">repeal conditions of allocation which are no longer relevant (as the programs to which they relate have ceased operating), and will create a new determination under section 14-6 of the </w:t>
      </w:r>
      <w:r w:rsidRPr="00A63038">
        <w:rPr>
          <w:rStyle w:val="BookTitle"/>
          <w:rFonts w:ascii="Arial" w:hAnsi="Arial" w:cs="Arial"/>
          <w:iCs w:val="0"/>
          <w:smallCaps w:val="0"/>
          <w:spacing w:val="0"/>
          <w:szCs w:val="24"/>
        </w:rPr>
        <w:t>Aged Care Act 1997</w:t>
      </w:r>
      <w:r>
        <w:rPr>
          <w:rStyle w:val="BookTitle"/>
          <w:rFonts w:ascii="Arial" w:hAnsi="Arial" w:cs="Arial"/>
          <w:i w:val="0"/>
          <w:iCs w:val="0"/>
          <w:smallCaps w:val="0"/>
          <w:spacing w:val="0"/>
          <w:szCs w:val="24"/>
        </w:rPr>
        <w:t xml:space="preserve"> which renews conditions of allocations that are still in operation so that they do not sunset under section 50 of the </w:t>
      </w:r>
      <w:r w:rsidRPr="0080592C">
        <w:rPr>
          <w:rStyle w:val="BookTitle"/>
          <w:rFonts w:ascii="Arial" w:hAnsi="Arial" w:cs="Arial"/>
          <w:iCs w:val="0"/>
          <w:smallCaps w:val="0"/>
          <w:spacing w:val="0"/>
          <w:szCs w:val="24"/>
        </w:rPr>
        <w:t>Legislation Act 2003</w:t>
      </w:r>
      <w:r>
        <w:rPr>
          <w:rStyle w:val="BookTitle"/>
          <w:rFonts w:ascii="Arial" w:hAnsi="Arial" w:cs="Arial"/>
          <w:i w:val="0"/>
          <w:iCs w:val="0"/>
          <w:smallCaps w:val="0"/>
          <w:spacing w:val="0"/>
          <w:szCs w:val="24"/>
        </w:rPr>
        <w:t>.</w:t>
      </w:r>
    </w:p>
    <w:p w:rsidR="00A63038" w:rsidRDefault="00A63038" w:rsidP="00A63038">
      <w:pPr>
        <w:spacing w:before="120"/>
        <w:rPr>
          <w:rFonts w:ascii="Arial" w:hAnsi="Arial" w:cs="Arial"/>
          <w:szCs w:val="24"/>
        </w:rPr>
      </w:pPr>
      <w:r>
        <w:rPr>
          <w:rStyle w:val="BookTitle"/>
          <w:rFonts w:ascii="Arial" w:hAnsi="Arial" w:cs="Arial"/>
          <w:i w:val="0"/>
          <w:iCs w:val="0"/>
          <w:smallCaps w:val="0"/>
          <w:spacing w:val="0"/>
          <w:szCs w:val="24"/>
        </w:rPr>
        <w:t>Neither this instrument nor the repeal instrument introduce new conditions of allocation.  The instruments only consolidate existing conditions of allocation that are still in operation and make necessary updates to reflect recent legislative amendments.  As there has been no impact to industry as a result of the operation of these instruments, no specific consultation was undertaken with r</w:t>
      </w:r>
      <w:r w:rsidR="00371ECB">
        <w:rPr>
          <w:rStyle w:val="BookTitle"/>
          <w:rFonts w:ascii="Arial" w:hAnsi="Arial" w:cs="Arial"/>
          <w:i w:val="0"/>
          <w:iCs w:val="0"/>
          <w:smallCaps w:val="0"/>
          <w:spacing w:val="0"/>
          <w:szCs w:val="24"/>
        </w:rPr>
        <w:t>espect to this instrument or the repeal instrument</w:t>
      </w:r>
      <w:r>
        <w:rPr>
          <w:rStyle w:val="BookTitle"/>
          <w:rFonts w:ascii="Arial" w:hAnsi="Arial" w:cs="Arial"/>
          <w:iCs w:val="0"/>
          <w:smallCaps w:val="0"/>
          <w:spacing w:val="0"/>
          <w:szCs w:val="24"/>
        </w:rPr>
        <w:t>.</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3863FD" w:rsidRDefault="003863FD" w:rsidP="003863FD">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 on </w:t>
      </w:r>
      <w:r>
        <w:rPr>
          <w:rStyle w:val="BookTitle"/>
          <w:rFonts w:ascii="Arial" w:hAnsi="Arial" w:cs="Arial"/>
          <w:i w:val="0"/>
          <w:iCs w:val="0"/>
          <w:smallCaps w:val="0"/>
          <w:spacing w:val="0"/>
          <w:szCs w:val="24"/>
        </w:rPr>
        <w:t>the day of registration.</w:t>
      </w:r>
    </w:p>
    <w:p w:rsidR="00F15C56" w:rsidRPr="008140D6" w:rsidRDefault="00F15C56" w:rsidP="00F15C56">
      <w:pPr>
        <w:spacing w:after="240"/>
        <w:jc w:val="both"/>
        <w:rPr>
          <w:rFonts w:ascii="Arial" w:hAnsi="Arial" w:cs="Arial"/>
          <w:b/>
          <w:szCs w:val="24"/>
        </w:rPr>
      </w:pPr>
      <w:r w:rsidRPr="008140D6">
        <w:rPr>
          <w:rFonts w:ascii="Arial" w:hAnsi="Arial" w:cs="Arial"/>
          <w:b/>
          <w:szCs w:val="24"/>
        </w:rPr>
        <w:t>Regulation Impact Statement (RIS)</w:t>
      </w:r>
    </w:p>
    <w:p w:rsidR="00EE68BD" w:rsidRPr="00F97999" w:rsidRDefault="00EE68BD" w:rsidP="00EE68BD">
      <w:pPr>
        <w:tabs>
          <w:tab w:val="left" w:pos="720"/>
        </w:tabs>
        <w:rPr>
          <w:rFonts w:ascii="Arial" w:hAnsi="Arial" w:cs="Arial"/>
          <w:szCs w:val="24"/>
          <w:lang w:val="en-US"/>
        </w:rPr>
      </w:pPr>
      <w:r w:rsidRPr="00F97999">
        <w:rPr>
          <w:rFonts w:ascii="Arial" w:hAnsi="Arial" w:cs="Arial"/>
          <w:szCs w:val="24"/>
          <w:lang w:val="en-US"/>
        </w:rPr>
        <w:t>The Office of Best Practice Regulation (OBPR) has advised that no Regulati</w:t>
      </w:r>
      <w:r w:rsidR="00E41BEF" w:rsidRPr="00F97999">
        <w:rPr>
          <w:rFonts w:ascii="Arial" w:hAnsi="Arial" w:cs="Arial"/>
          <w:szCs w:val="24"/>
          <w:lang w:val="en-US"/>
        </w:rPr>
        <w:t>on Impact Statement is required</w:t>
      </w:r>
      <w:r w:rsidR="006F6654" w:rsidRPr="00F97999">
        <w:rPr>
          <w:rFonts w:ascii="Arial" w:hAnsi="Arial" w:cs="Arial"/>
          <w:szCs w:val="24"/>
          <w:lang w:val="en-US"/>
        </w:rPr>
        <w:t xml:space="preserve"> (OBPR ID 20636)</w:t>
      </w:r>
      <w:r w:rsidR="00E41BEF" w:rsidRPr="00F97999">
        <w:rPr>
          <w:rFonts w:ascii="Arial" w:hAnsi="Arial" w:cs="Arial"/>
          <w:szCs w:val="24"/>
          <w:lang w:val="en-US"/>
        </w:rPr>
        <w:t>.</w:t>
      </w:r>
    </w:p>
    <w:p w:rsidR="00F15C56" w:rsidRPr="004E08B3" w:rsidRDefault="00F15C56" w:rsidP="00F15C56">
      <w:pPr>
        <w:spacing w:before="120"/>
        <w:rPr>
          <w:rFonts w:ascii="Arial" w:hAnsi="Arial" w:cs="Arial"/>
          <w:szCs w:val="24"/>
        </w:rPr>
      </w:pPr>
      <w:r w:rsidRPr="008140D6">
        <w:rPr>
          <w:rFonts w:ascii="Arial" w:hAnsi="Arial" w:cs="Arial"/>
          <w:szCs w:val="24"/>
        </w:rPr>
        <w:t>This instrument is a legislative ins</w:t>
      </w:r>
      <w:r w:rsidR="00A63038">
        <w:rPr>
          <w:rFonts w:ascii="Arial" w:hAnsi="Arial" w:cs="Arial"/>
          <w:szCs w:val="24"/>
        </w:rPr>
        <w:t>trument for the purposes of the</w:t>
      </w:r>
      <w:r w:rsidRPr="008140D6">
        <w:rPr>
          <w:rFonts w:ascii="Arial" w:hAnsi="Arial" w:cs="Arial"/>
          <w:i/>
          <w:szCs w:val="24"/>
        </w:rPr>
        <w:t xml:space="preserve"> </w:t>
      </w:r>
      <w:r w:rsidR="007D43B6" w:rsidRPr="008140D6">
        <w:rPr>
          <w:rFonts w:ascii="Arial" w:hAnsi="Arial" w:cs="Arial"/>
          <w:i/>
          <w:szCs w:val="24"/>
        </w:rPr>
        <w:t xml:space="preserve">Legislation </w:t>
      </w:r>
      <w:r w:rsidRPr="008140D6">
        <w:rPr>
          <w:rFonts w:ascii="Arial" w:hAnsi="Arial" w:cs="Arial"/>
          <w:i/>
          <w:szCs w:val="24"/>
        </w:rPr>
        <w:t>Act 2003</w:t>
      </w:r>
      <w:r w:rsidRPr="008140D6">
        <w:rPr>
          <w:rFonts w:ascii="Arial" w:hAnsi="Arial" w:cs="Arial"/>
          <w:szCs w:val="24"/>
        </w:rPr>
        <w:t>.</w:t>
      </w:r>
    </w:p>
    <w:p w:rsidR="00F15C56" w:rsidRDefault="00F15C56" w:rsidP="00F15C56">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rsidR="009570E2" w:rsidRDefault="009570E2" w:rsidP="00F15C5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1 - Preliminary</w:t>
      </w:r>
    </w:p>
    <w:p w:rsidR="00F15C56" w:rsidRPr="00BC76EB" w:rsidRDefault="00EE68BD"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w:t>
      </w:r>
      <w:r w:rsidR="00F15C56" w:rsidRPr="00BC76EB">
        <w:rPr>
          <w:rStyle w:val="BookTitle"/>
          <w:rFonts w:ascii="Arial" w:hAnsi="Arial" w:cs="Arial"/>
          <w:i w:val="0"/>
          <w:iCs w:val="0"/>
          <w:smallCaps w:val="0"/>
          <w:spacing w:val="0"/>
          <w:szCs w:val="24"/>
          <w:u w:val="single"/>
        </w:rPr>
        <w:t xml:space="preserve"> 1</w:t>
      </w:r>
    </w:p>
    <w:p w:rsidR="00F15C56" w:rsidRPr="004E08B3"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Pr="00BC76EB">
        <w:rPr>
          <w:rStyle w:val="BookTitle"/>
          <w:rFonts w:ascii="Arial" w:hAnsi="Arial" w:cs="Arial"/>
          <w:i w:val="0"/>
          <w:iCs w:val="0"/>
          <w:smallCaps w:val="0"/>
          <w:spacing w:val="0"/>
          <w:szCs w:val="24"/>
        </w:rPr>
        <w:t xml:space="preserve">his section provides how the proposed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is to be cited, that is, as</w:t>
      </w:r>
      <w:r>
        <w:rPr>
          <w:rStyle w:val="BookTitle"/>
          <w:rFonts w:ascii="Arial" w:hAnsi="Arial" w:cs="Arial"/>
          <w:i w:val="0"/>
          <w:iCs w:val="0"/>
          <w:smallCaps w:val="0"/>
          <w:spacing w:val="0"/>
          <w:szCs w:val="24"/>
        </w:rPr>
        <w:t xml:space="preserve"> </w:t>
      </w:r>
      <w:r w:rsidRPr="00624D5B">
        <w:rPr>
          <w:rStyle w:val="BookTitle"/>
          <w:rFonts w:ascii="Arial" w:hAnsi="Arial" w:cs="Arial"/>
          <w:iCs w:val="0"/>
          <w:smallCaps w:val="0"/>
          <w:spacing w:val="0"/>
          <w:szCs w:val="24"/>
        </w:rPr>
        <w:t>Aged Care (</w:t>
      </w:r>
      <w:r w:rsidR="00EE68BD">
        <w:rPr>
          <w:rStyle w:val="BookTitle"/>
          <w:rFonts w:ascii="Arial" w:hAnsi="Arial" w:cs="Arial"/>
          <w:iCs w:val="0"/>
          <w:smallCaps w:val="0"/>
          <w:spacing w:val="0"/>
          <w:szCs w:val="24"/>
        </w:rPr>
        <w:t>Conditions of Allocation</w:t>
      </w:r>
      <w:r w:rsidRPr="00624D5B">
        <w:rPr>
          <w:rStyle w:val="BookTitle"/>
          <w:rFonts w:ascii="Arial" w:hAnsi="Arial" w:cs="Arial"/>
          <w:iCs w:val="0"/>
          <w:smallCaps w:val="0"/>
          <w:spacing w:val="0"/>
          <w:szCs w:val="24"/>
        </w:rPr>
        <w:t>) Determination 2016</w:t>
      </w:r>
      <w:r w:rsidRPr="00624D5B">
        <w:rPr>
          <w:rStyle w:val="BookTitle"/>
          <w:rFonts w:ascii="Arial" w:hAnsi="Arial" w:cs="Arial"/>
          <w:i w:val="0"/>
          <w:iCs w:val="0"/>
          <w:smallCaps w:val="0"/>
          <w:spacing w:val="0"/>
          <w:szCs w:val="24"/>
        </w:rPr>
        <w:t>.</w:t>
      </w:r>
    </w:p>
    <w:p w:rsidR="00F15C56" w:rsidRDefault="00EE68BD" w:rsidP="00F15C5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w:t>
      </w:r>
      <w:r w:rsidR="00F15C56">
        <w:rPr>
          <w:rStyle w:val="BookTitle"/>
          <w:rFonts w:ascii="Arial" w:hAnsi="Arial" w:cs="Arial"/>
          <w:i w:val="0"/>
          <w:iCs w:val="0"/>
          <w:smallCaps w:val="0"/>
          <w:spacing w:val="0"/>
          <w:szCs w:val="24"/>
          <w:u w:val="single"/>
        </w:rPr>
        <w:t xml:space="preserve"> 2</w:t>
      </w:r>
    </w:p>
    <w:p w:rsidR="00F15C56" w:rsidRPr="00E513B7"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sets out the commencement of </w:t>
      </w:r>
      <w:r w:rsidR="00377397">
        <w:rPr>
          <w:rStyle w:val="BookTitle"/>
          <w:rFonts w:ascii="Arial" w:hAnsi="Arial" w:cs="Arial"/>
          <w:i w:val="0"/>
          <w:iCs w:val="0"/>
          <w:smallCaps w:val="0"/>
          <w:spacing w:val="0"/>
          <w:szCs w:val="24"/>
        </w:rPr>
        <w:t>this instrument</w:t>
      </w:r>
      <w:r>
        <w:rPr>
          <w:rStyle w:val="BookTitle"/>
          <w:rFonts w:ascii="Arial" w:hAnsi="Arial" w:cs="Arial"/>
          <w:i w:val="0"/>
          <w:iCs w:val="0"/>
          <w:smallCaps w:val="0"/>
          <w:spacing w:val="0"/>
          <w:szCs w:val="24"/>
        </w:rPr>
        <w:t xml:space="preserve">.  The commencement date is </w:t>
      </w:r>
      <w:r w:rsidR="00EE68BD">
        <w:rPr>
          <w:rStyle w:val="BookTitle"/>
          <w:rFonts w:ascii="Arial" w:hAnsi="Arial" w:cs="Arial"/>
          <w:i w:val="0"/>
          <w:iCs w:val="0"/>
          <w:smallCaps w:val="0"/>
          <w:spacing w:val="0"/>
          <w:szCs w:val="24"/>
        </w:rPr>
        <w:t>the day the instrument is registered</w:t>
      </w:r>
      <w:r>
        <w:rPr>
          <w:rStyle w:val="BookTitle"/>
          <w:rFonts w:ascii="Arial" w:hAnsi="Arial" w:cs="Arial"/>
          <w:iCs w:val="0"/>
          <w:smallCaps w:val="0"/>
          <w:spacing w:val="0"/>
          <w:szCs w:val="24"/>
        </w:rPr>
        <w:t>.</w:t>
      </w:r>
    </w:p>
    <w:p w:rsidR="00F15C56" w:rsidRPr="00241C7B" w:rsidRDefault="00F15C56" w:rsidP="00F15C56">
      <w:pPr>
        <w:rPr>
          <w:rStyle w:val="BookTitle"/>
          <w:rFonts w:ascii="Arial" w:hAnsi="Arial" w:cs="Arial"/>
          <w:i w:val="0"/>
          <w:iCs w:val="0"/>
          <w:smallCaps w:val="0"/>
          <w:spacing w:val="0"/>
          <w:szCs w:val="24"/>
          <w:u w:val="single"/>
        </w:rPr>
      </w:pPr>
      <w:r w:rsidRPr="00241C7B">
        <w:rPr>
          <w:rStyle w:val="BookTitle"/>
          <w:rFonts w:ascii="Arial" w:hAnsi="Arial" w:cs="Arial"/>
          <w:i w:val="0"/>
          <w:iCs w:val="0"/>
          <w:smallCaps w:val="0"/>
          <w:spacing w:val="0"/>
          <w:szCs w:val="24"/>
          <w:u w:val="single"/>
        </w:rPr>
        <w:t>Section 3</w:t>
      </w:r>
    </w:p>
    <w:p w:rsidR="00F15C56"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authority for making </w:t>
      </w:r>
      <w:r w:rsidR="00377397">
        <w:rPr>
          <w:rStyle w:val="BookTitle"/>
          <w:rFonts w:ascii="Arial" w:hAnsi="Arial" w:cs="Arial"/>
          <w:i w:val="0"/>
          <w:iCs w:val="0"/>
          <w:smallCaps w:val="0"/>
          <w:spacing w:val="0"/>
          <w:szCs w:val="24"/>
        </w:rPr>
        <w:t>this instrument</w:t>
      </w:r>
      <w:r>
        <w:rPr>
          <w:rStyle w:val="BookTitle"/>
          <w:rFonts w:ascii="Arial" w:hAnsi="Arial" w:cs="Arial"/>
          <w:i w:val="0"/>
          <w:iCs w:val="0"/>
          <w:smallCaps w:val="0"/>
          <w:spacing w:val="0"/>
          <w:szCs w:val="24"/>
        </w:rPr>
        <w:t>. This</w:t>
      </w:r>
      <w:r w:rsidRPr="00CC2B60">
        <w:t xml:space="preserve"> </w:t>
      </w:r>
      <w:r w:rsidRPr="00CC2B60">
        <w:rPr>
          <w:rStyle w:val="BookTitle"/>
          <w:rFonts w:ascii="Arial" w:hAnsi="Arial" w:cs="Arial"/>
          <w:i w:val="0"/>
          <w:iCs w:val="0"/>
          <w:smallCaps w:val="0"/>
          <w:spacing w:val="0"/>
          <w:szCs w:val="24"/>
        </w:rPr>
        <w:t>instrument is made under</w:t>
      </w:r>
      <w:r w:rsidR="00377397">
        <w:rPr>
          <w:rStyle w:val="BookTitle"/>
          <w:rFonts w:ascii="Arial" w:hAnsi="Arial" w:cs="Arial"/>
          <w:i w:val="0"/>
          <w:iCs w:val="0"/>
          <w:smallCaps w:val="0"/>
          <w:spacing w:val="0"/>
          <w:szCs w:val="24"/>
        </w:rPr>
        <w:t xml:space="preserve"> </w:t>
      </w:r>
      <w:r w:rsidR="007049E0">
        <w:rPr>
          <w:rStyle w:val="BookTitle"/>
          <w:rFonts w:ascii="Arial" w:hAnsi="Arial" w:cs="Arial"/>
          <w:i w:val="0"/>
          <w:iCs w:val="0"/>
          <w:smallCaps w:val="0"/>
          <w:spacing w:val="0"/>
          <w:szCs w:val="24"/>
        </w:rPr>
        <w:t>sub</w:t>
      </w:r>
      <w:r w:rsidR="00377397">
        <w:rPr>
          <w:rStyle w:val="BookTitle"/>
          <w:rFonts w:ascii="Arial" w:hAnsi="Arial" w:cs="Arial"/>
          <w:i w:val="0"/>
          <w:iCs w:val="0"/>
          <w:smallCaps w:val="0"/>
          <w:spacing w:val="0"/>
          <w:szCs w:val="24"/>
        </w:rPr>
        <w:t>section </w:t>
      </w:r>
      <w:r w:rsidR="00EE68BD">
        <w:rPr>
          <w:rStyle w:val="BookTitle"/>
          <w:rFonts w:ascii="Arial" w:hAnsi="Arial" w:cs="Arial"/>
          <w:i w:val="0"/>
          <w:iCs w:val="0"/>
          <w:smallCaps w:val="0"/>
          <w:spacing w:val="0"/>
          <w:szCs w:val="24"/>
        </w:rPr>
        <w:t>14-6</w:t>
      </w:r>
      <w:r w:rsidR="007049E0">
        <w:rPr>
          <w:rStyle w:val="BookTitle"/>
          <w:rFonts w:ascii="Arial" w:hAnsi="Arial" w:cs="Arial"/>
          <w:i w:val="0"/>
          <w:iCs w:val="0"/>
          <w:smallCaps w:val="0"/>
          <w:spacing w:val="0"/>
          <w:szCs w:val="24"/>
        </w:rPr>
        <w:t>(1)</w:t>
      </w:r>
      <w:r w:rsidR="00377397">
        <w:rPr>
          <w:rStyle w:val="BookTitle"/>
          <w:rFonts w:ascii="Arial" w:hAnsi="Arial" w:cs="Arial"/>
          <w:i w:val="0"/>
          <w:iCs w:val="0"/>
          <w:smallCaps w:val="0"/>
          <w:spacing w:val="0"/>
          <w:szCs w:val="24"/>
        </w:rPr>
        <w:t xml:space="preserve"> of</w:t>
      </w:r>
      <w:r w:rsidRPr="00CC2B60">
        <w:rPr>
          <w:rStyle w:val="BookTitle"/>
          <w:rFonts w:ascii="Arial" w:hAnsi="Arial" w:cs="Arial"/>
          <w:i w:val="0"/>
          <w:iCs w:val="0"/>
          <w:smallCaps w:val="0"/>
          <w:spacing w:val="0"/>
          <w:szCs w:val="24"/>
        </w:rPr>
        <w:t xml:space="preserve"> the </w:t>
      </w:r>
      <w:r w:rsidRPr="00CC2B60">
        <w:rPr>
          <w:rStyle w:val="BookTitle"/>
          <w:rFonts w:ascii="Arial" w:hAnsi="Arial" w:cs="Arial"/>
          <w:iCs w:val="0"/>
          <w:smallCaps w:val="0"/>
          <w:spacing w:val="0"/>
          <w:szCs w:val="24"/>
        </w:rPr>
        <w:t>Aged Care Act 1997</w:t>
      </w:r>
      <w:r w:rsidR="00EE68BD">
        <w:rPr>
          <w:rStyle w:val="BookTitle"/>
          <w:rFonts w:ascii="Arial" w:hAnsi="Arial" w:cs="Arial"/>
          <w:i w:val="0"/>
          <w:iCs w:val="0"/>
          <w:smallCaps w:val="0"/>
          <w:spacing w:val="0"/>
          <w:szCs w:val="24"/>
        </w:rPr>
        <w:t xml:space="preserve"> (the Act)</w:t>
      </w:r>
      <w:r w:rsidRPr="00CC2B60">
        <w:rPr>
          <w:rStyle w:val="BookTitle"/>
          <w:rFonts w:ascii="Arial" w:hAnsi="Arial" w:cs="Arial"/>
          <w:i w:val="0"/>
          <w:iCs w:val="0"/>
          <w:smallCaps w:val="0"/>
          <w:spacing w:val="0"/>
          <w:szCs w:val="24"/>
        </w:rPr>
        <w:t>.</w:t>
      </w:r>
    </w:p>
    <w:p w:rsidR="00F15C56" w:rsidRPr="00F60287" w:rsidRDefault="00F15C56" w:rsidP="00F15C56">
      <w:pPr>
        <w:rPr>
          <w:rFonts w:ascii="Arial" w:hAnsi="Arial" w:cs="Arial"/>
          <w:szCs w:val="24"/>
          <w:u w:val="single"/>
        </w:rPr>
      </w:pPr>
      <w:r w:rsidRPr="00F60287">
        <w:rPr>
          <w:rFonts w:ascii="Arial" w:hAnsi="Arial" w:cs="Arial"/>
          <w:szCs w:val="24"/>
          <w:u w:val="single"/>
        </w:rPr>
        <w:t>Section 4</w:t>
      </w:r>
    </w:p>
    <w:p w:rsidR="00F15C56"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7049E0">
        <w:rPr>
          <w:rStyle w:val="BookTitle"/>
          <w:rFonts w:ascii="Arial" w:hAnsi="Arial" w:cs="Arial"/>
          <w:i w:val="0"/>
          <w:iCs w:val="0"/>
          <w:smallCaps w:val="0"/>
          <w:spacing w:val="0"/>
          <w:szCs w:val="24"/>
        </w:rPr>
        <w:t xml:space="preserve">sets out the definitions for terms referred to in this determination.  The determination also draws on expressions defined under the </w:t>
      </w:r>
      <w:r w:rsidR="007049E0" w:rsidRPr="007049E0">
        <w:rPr>
          <w:rStyle w:val="BookTitle"/>
          <w:rFonts w:ascii="Arial" w:hAnsi="Arial" w:cs="Arial"/>
          <w:iCs w:val="0"/>
          <w:smallCaps w:val="0"/>
          <w:spacing w:val="0"/>
          <w:szCs w:val="24"/>
        </w:rPr>
        <w:t>Aged Care Act 1997</w:t>
      </w:r>
      <w:r w:rsidR="007049E0">
        <w:rPr>
          <w:rStyle w:val="BookTitle"/>
          <w:rFonts w:ascii="Arial" w:hAnsi="Arial" w:cs="Arial"/>
          <w:i w:val="0"/>
          <w:iCs w:val="0"/>
          <w:smallCaps w:val="0"/>
          <w:spacing w:val="0"/>
          <w:szCs w:val="24"/>
        </w:rPr>
        <w:t xml:space="preserve"> including but not limited to the definitions for </w:t>
      </w:r>
      <w:r w:rsidR="006F6654">
        <w:rPr>
          <w:rStyle w:val="BookTitle"/>
          <w:rFonts w:ascii="Arial" w:hAnsi="Arial" w:cs="Arial"/>
          <w:i w:val="0"/>
          <w:iCs w:val="0"/>
          <w:smallCaps w:val="0"/>
          <w:spacing w:val="0"/>
          <w:szCs w:val="24"/>
        </w:rPr>
        <w:t xml:space="preserve">‘flexible care subsidy’, </w:t>
      </w:r>
      <w:r w:rsidR="007049E0">
        <w:rPr>
          <w:rStyle w:val="BookTitle"/>
          <w:rFonts w:ascii="Arial" w:hAnsi="Arial" w:cs="Arial"/>
          <w:i w:val="0"/>
          <w:iCs w:val="0"/>
          <w:smallCaps w:val="0"/>
          <w:spacing w:val="0"/>
          <w:szCs w:val="24"/>
        </w:rPr>
        <w:t>‘place’ ‘provisionally allocated’</w:t>
      </w:r>
      <w:r w:rsidR="00E41BEF">
        <w:rPr>
          <w:rStyle w:val="BookTitle"/>
          <w:rFonts w:ascii="Arial" w:hAnsi="Arial" w:cs="Arial"/>
          <w:i w:val="0"/>
          <w:iCs w:val="0"/>
          <w:smallCaps w:val="0"/>
          <w:spacing w:val="0"/>
          <w:szCs w:val="24"/>
        </w:rPr>
        <w:t xml:space="preserve"> and ‘</w:t>
      </w:r>
      <w:r w:rsidR="006F6654">
        <w:rPr>
          <w:rStyle w:val="BookTitle"/>
          <w:rFonts w:ascii="Arial" w:hAnsi="Arial" w:cs="Arial"/>
          <w:i w:val="0"/>
          <w:iCs w:val="0"/>
          <w:smallCaps w:val="0"/>
          <w:spacing w:val="0"/>
          <w:szCs w:val="24"/>
        </w:rPr>
        <w:t xml:space="preserve">residential care </w:t>
      </w:r>
      <w:r w:rsidR="00E41BEF">
        <w:rPr>
          <w:rStyle w:val="BookTitle"/>
          <w:rFonts w:ascii="Arial" w:hAnsi="Arial" w:cs="Arial"/>
          <w:i w:val="0"/>
          <w:iCs w:val="0"/>
          <w:smallCaps w:val="0"/>
          <w:spacing w:val="0"/>
          <w:szCs w:val="24"/>
        </w:rPr>
        <w:t>subsidy’</w:t>
      </w:r>
      <w:r w:rsidR="007049E0">
        <w:rPr>
          <w:rStyle w:val="BookTitle"/>
          <w:rFonts w:ascii="Arial" w:hAnsi="Arial" w:cs="Arial"/>
          <w:i w:val="0"/>
          <w:iCs w:val="0"/>
          <w:smallCaps w:val="0"/>
          <w:spacing w:val="0"/>
          <w:szCs w:val="24"/>
        </w:rPr>
        <w:t>.</w:t>
      </w:r>
    </w:p>
    <w:p w:rsidR="007049E0" w:rsidRDefault="007049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this section:</w:t>
      </w:r>
    </w:p>
    <w:p w:rsidR="007049E0" w:rsidRDefault="007049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‘Act’ means the </w:t>
      </w:r>
      <w:r w:rsidRPr="007049E0">
        <w:rPr>
          <w:rStyle w:val="BookTitle"/>
          <w:rFonts w:ascii="Arial" w:hAnsi="Arial" w:cs="Arial"/>
          <w:iCs w:val="0"/>
          <w:smallCaps w:val="0"/>
          <w:spacing w:val="0"/>
          <w:szCs w:val="24"/>
        </w:rPr>
        <w:t>Aged Care Act 1997</w:t>
      </w:r>
      <w:r>
        <w:rPr>
          <w:rStyle w:val="BookTitle"/>
          <w:rFonts w:ascii="Arial" w:hAnsi="Arial" w:cs="Arial"/>
          <w:i w:val="0"/>
          <w:iCs w:val="0"/>
          <w:smallCaps w:val="0"/>
          <w:spacing w:val="0"/>
          <w:szCs w:val="24"/>
        </w:rPr>
        <w:t>.</w:t>
      </w:r>
    </w:p>
    <w:p w:rsidR="007049E0" w:rsidRDefault="007049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‘Authorised person’ means either the Secretary, or an </w:t>
      </w:r>
      <w:r w:rsidR="00B44705">
        <w:rPr>
          <w:rStyle w:val="BookTitle"/>
          <w:rFonts w:ascii="Arial" w:hAnsi="Arial" w:cs="Arial"/>
          <w:i w:val="0"/>
          <w:iCs w:val="0"/>
          <w:smallCaps w:val="0"/>
          <w:spacing w:val="0"/>
          <w:szCs w:val="24"/>
        </w:rPr>
        <w:t>officer</w:t>
      </w:r>
      <w:r>
        <w:rPr>
          <w:rStyle w:val="BookTitle"/>
          <w:rFonts w:ascii="Arial" w:hAnsi="Arial" w:cs="Arial"/>
          <w:i w:val="0"/>
          <w:iCs w:val="0"/>
          <w:smallCaps w:val="0"/>
          <w:spacing w:val="0"/>
          <w:szCs w:val="24"/>
        </w:rPr>
        <w:t xml:space="preserve"> in the Department authorised by the Secretary</w:t>
      </w:r>
      <w:r w:rsidR="00B44705">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 writing</w:t>
      </w:r>
      <w:r w:rsidR="00B44705">
        <w:rPr>
          <w:rStyle w:val="BookTitle"/>
          <w:rFonts w:ascii="Arial" w:hAnsi="Arial" w:cs="Arial"/>
          <w:i w:val="0"/>
          <w:iCs w:val="0"/>
          <w:smallCaps w:val="0"/>
          <w:spacing w:val="0"/>
          <w:szCs w:val="24"/>
        </w:rPr>
        <w:t>, for the purposes of this instrument</w:t>
      </w:r>
      <w:r>
        <w:rPr>
          <w:rStyle w:val="BookTitle"/>
          <w:rFonts w:ascii="Arial" w:hAnsi="Arial" w:cs="Arial"/>
          <w:i w:val="0"/>
          <w:iCs w:val="0"/>
          <w:smallCaps w:val="0"/>
          <w:spacing w:val="0"/>
          <w:szCs w:val="24"/>
        </w:rPr>
        <w:t>.</w:t>
      </w:r>
    </w:p>
    <w:p w:rsidR="007049E0" w:rsidRDefault="007049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000E55C0">
        <w:rPr>
          <w:rStyle w:val="BookTitle"/>
          <w:rFonts w:ascii="Arial" w:hAnsi="Arial" w:cs="Arial"/>
          <w:i w:val="0"/>
          <w:iCs w:val="0"/>
          <w:smallCaps w:val="0"/>
          <w:spacing w:val="0"/>
          <w:szCs w:val="24"/>
        </w:rPr>
        <w:t>Flexible</w:t>
      </w:r>
      <w:r>
        <w:rPr>
          <w:rStyle w:val="BookTitle"/>
          <w:rFonts w:ascii="Arial" w:hAnsi="Arial" w:cs="Arial"/>
          <w:i w:val="0"/>
          <w:iCs w:val="0"/>
          <w:smallCaps w:val="0"/>
          <w:spacing w:val="0"/>
          <w:szCs w:val="24"/>
        </w:rPr>
        <w:t xml:space="preserve"> care place’ and ‘residential care place’ mean a place allocated under Part 2.2 of the Act in respect of flexible care subsidy and residential care subsidy, respectively.</w:t>
      </w:r>
    </w:p>
    <w:p w:rsidR="007049E0" w:rsidRPr="007049E0" w:rsidRDefault="007049E0" w:rsidP="00F15C56">
      <w:pPr>
        <w:rPr>
          <w:rStyle w:val="BookTitle"/>
          <w:rFonts w:ascii="Arial" w:hAnsi="Arial" w:cs="Arial"/>
          <w:i w:val="0"/>
          <w:iCs w:val="0"/>
          <w:smallCaps w:val="0"/>
          <w:spacing w:val="0"/>
          <w:szCs w:val="24"/>
          <w:u w:val="single"/>
        </w:rPr>
      </w:pPr>
      <w:r w:rsidRPr="007049E0">
        <w:rPr>
          <w:rStyle w:val="BookTitle"/>
          <w:rFonts w:ascii="Arial" w:hAnsi="Arial" w:cs="Arial"/>
          <w:i w:val="0"/>
          <w:iCs w:val="0"/>
          <w:smallCaps w:val="0"/>
          <w:spacing w:val="0"/>
          <w:szCs w:val="24"/>
          <w:u w:val="single"/>
        </w:rPr>
        <w:t>Section 5</w:t>
      </w:r>
    </w:p>
    <w:p w:rsidR="009570E2" w:rsidRDefault="007049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A63038">
        <w:rPr>
          <w:rStyle w:val="BookTitle"/>
          <w:rFonts w:ascii="Arial" w:hAnsi="Arial" w:cs="Arial"/>
          <w:i w:val="0"/>
          <w:iCs w:val="0"/>
          <w:smallCaps w:val="0"/>
          <w:spacing w:val="0"/>
          <w:szCs w:val="24"/>
        </w:rPr>
        <w:t>is section outlines the purpose</w:t>
      </w:r>
      <w:r w:rsidR="007D43B6">
        <w:rPr>
          <w:rStyle w:val="BookTitle"/>
          <w:rFonts w:ascii="Arial" w:hAnsi="Arial" w:cs="Arial"/>
          <w:i w:val="0"/>
          <w:iCs w:val="0"/>
          <w:smallCaps w:val="0"/>
          <w:spacing w:val="0"/>
          <w:szCs w:val="24"/>
        </w:rPr>
        <w:t xml:space="preserve"> of</w:t>
      </w:r>
      <w:r w:rsidR="00A63038">
        <w:rPr>
          <w:rStyle w:val="BookTitle"/>
          <w:rFonts w:ascii="Arial" w:hAnsi="Arial" w:cs="Arial"/>
          <w:i w:val="0"/>
          <w:iCs w:val="0"/>
          <w:smallCaps w:val="0"/>
          <w:spacing w:val="0"/>
          <w:szCs w:val="24"/>
        </w:rPr>
        <w:t xml:space="preserve"> this instrument.  The</w:t>
      </w:r>
      <w:r w:rsidR="00E41BEF">
        <w:rPr>
          <w:rStyle w:val="BookTitle"/>
          <w:rFonts w:ascii="Arial" w:hAnsi="Arial" w:cs="Arial"/>
          <w:i w:val="0"/>
          <w:iCs w:val="0"/>
          <w:smallCaps w:val="0"/>
          <w:spacing w:val="0"/>
          <w:szCs w:val="24"/>
        </w:rPr>
        <w:t xml:space="preserve"> instrument specifies the</w:t>
      </w:r>
      <w:r w:rsidR="006F665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conditions of allocations of places to a person under Part 2.2 of the Act.</w:t>
      </w:r>
      <w:r w:rsidR="009570E2">
        <w:rPr>
          <w:rStyle w:val="BookTitle"/>
          <w:rFonts w:ascii="Arial" w:hAnsi="Arial" w:cs="Arial"/>
          <w:i w:val="0"/>
          <w:iCs w:val="0"/>
          <w:smallCaps w:val="0"/>
          <w:spacing w:val="0"/>
          <w:szCs w:val="24"/>
        </w:rPr>
        <w:t xml:space="preserve">  </w:t>
      </w:r>
    </w:p>
    <w:p w:rsidR="007049E0"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 clarifies that the conditions in this instrument applies to all allocations of places, whether they occurred before or after the commencement of this instrument.  This is consistent with subsection 14-6(3) of the Act.</w:t>
      </w:r>
    </w:p>
    <w:p w:rsidR="00B44705" w:rsidRDefault="00B44705" w:rsidP="00F15C56">
      <w:pPr>
        <w:rPr>
          <w:rStyle w:val="BookTitle"/>
          <w:rFonts w:ascii="Arial" w:hAnsi="Arial" w:cs="Arial"/>
          <w:i w:val="0"/>
          <w:iCs w:val="0"/>
          <w:smallCaps w:val="0"/>
          <w:spacing w:val="0"/>
          <w:szCs w:val="24"/>
          <w:u w:val="single"/>
        </w:rPr>
      </w:pPr>
    </w:p>
    <w:p w:rsidR="0054659D" w:rsidRDefault="0054659D" w:rsidP="00F15C56">
      <w:pPr>
        <w:rPr>
          <w:rStyle w:val="BookTitle"/>
          <w:rFonts w:ascii="Arial" w:hAnsi="Arial" w:cs="Arial"/>
          <w:i w:val="0"/>
          <w:iCs w:val="0"/>
          <w:smallCaps w:val="0"/>
          <w:spacing w:val="0"/>
          <w:szCs w:val="24"/>
          <w:u w:val="single"/>
        </w:rPr>
      </w:pPr>
    </w:p>
    <w:p w:rsidR="0054659D" w:rsidRDefault="0054659D" w:rsidP="00F15C56">
      <w:pPr>
        <w:rPr>
          <w:rStyle w:val="BookTitle"/>
          <w:rFonts w:ascii="Arial" w:hAnsi="Arial" w:cs="Arial"/>
          <w:i w:val="0"/>
          <w:iCs w:val="0"/>
          <w:smallCaps w:val="0"/>
          <w:spacing w:val="0"/>
          <w:szCs w:val="24"/>
          <w:u w:val="single"/>
        </w:rPr>
      </w:pPr>
    </w:p>
    <w:p w:rsidR="0054659D" w:rsidRDefault="0054659D" w:rsidP="00F15C56">
      <w:pPr>
        <w:rPr>
          <w:rStyle w:val="BookTitle"/>
          <w:rFonts w:ascii="Arial" w:hAnsi="Arial" w:cs="Arial"/>
          <w:i w:val="0"/>
          <w:iCs w:val="0"/>
          <w:smallCaps w:val="0"/>
          <w:spacing w:val="0"/>
          <w:szCs w:val="24"/>
          <w:u w:val="single"/>
        </w:rPr>
      </w:pPr>
    </w:p>
    <w:p w:rsidR="009570E2" w:rsidRPr="009570E2" w:rsidRDefault="009570E2" w:rsidP="00F15C56">
      <w:pPr>
        <w:rPr>
          <w:rStyle w:val="BookTitle"/>
          <w:rFonts w:ascii="Arial" w:hAnsi="Arial" w:cs="Arial"/>
          <w:i w:val="0"/>
          <w:iCs w:val="0"/>
          <w:smallCaps w:val="0"/>
          <w:spacing w:val="0"/>
          <w:szCs w:val="24"/>
          <w:u w:val="single"/>
        </w:rPr>
      </w:pPr>
      <w:r w:rsidRPr="009570E2">
        <w:rPr>
          <w:rStyle w:val="BookTitle"/>
          <w:rFonts w:ascii="Arial" w:hAnsi="Arial" w:cs="Arial"/>
          <w:i w:val="0"/>
          <w:iCs w:val="0"/>
          <w:smallCaps w:val="0"/>
          <w:spacing w:val="0"/>
          <w:szCs w:val="24"/>
          <w:u w:val="single"/>
        </w:rPr>
        <w:lastRenderedPageBreak/>
        <w:t>Part 2 – Conditions</w:t>
      </w:r>
    </w:p>
    <w:p w:rsidR="009570E2" w:rsidRPr="009570E2" w:rsidRDefault="009570E2" w:rsidP="00F15C56">
      <w:pPr>
        <w:rPr>
          <w:rStyle w:val="BookTitle"/>
          <w:rFonts w:ascii="Arial" w:hAnsi="Arial" w:cs="Arial"/>
          <w:i w:val="0"/>
          <w:iCs w:val="0"/>
          <w:smallCaps w:val="0"/>
          <w:spacing w:val="0"/>
          <w:szCs w:val="24"/>
          <w:u w:val="single"/>
        </w:rPr>
      </w:pPr>
      <w:r w:rsidRPr="009570E2">
        <w:rPr>
          <w:rStyle w:val="BookTitle"/>
          <w:rFonts w:ascii="Arial" w:hAnsi="Arial" w:cs="Arial"/>
          <w:i w:val="0"/>
          <w:iCs w:val="0"/>
          <w:smallCaps w:val="0"/>
          <w:spacing w:val="0"/>
          <w:szCs w:val="24"/>
          <w:u w:val="single"/>
        </w:rPr>
        <w:t>Section 6</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outlines conditions that apply to place</w:t>
      </w:r>
      <w:r w:rsidR="00E41BEF">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generally.  This section is in line with section 33 of the </w:t>
      </w:r>
      <w:r w:rsidRPr="009570E2">
        <w:rPr>
          <w:rStyle w:val="BookTitle"/>
          <w:rFonts w:ascii="Arial" w:hAnsi="Arial" w:cs="Arial"/>
          <w:iCs w:val="0"/>
          <w:smallCaps w:val="0"/>
          <w:spacing w:val="0"/>
          <w:szCs w:val="24"/>
        </w:rPr>
        <w:t>Allocation Principles 2014</w:t>
      </w:r>
      <w:r>
        <w:rPr>
          <w:rStyle w:val="BookTitle"/>
          <w:rFonts w:ascii="Arial" w:hAnsi="Arial" w:cs="Arial"/>
          <w:i w:val="0"/>
          <w:iCs w:val="0"/>
          <w:smallCaps w:val="0"/>
          <w:spacing w:val="0"/>
          <w:szCs w:val="24"/>
        </w:rPr>
        <w:t>.</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 provides that a care recipient must not be discharged from an aged care service and readmitted to an aged care service to attract an accommodation supplement under the Act, </w:t>
      </w:r>
      <w:r w:rsidR="00E41BEF">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 xml:space="preserve">attract either the accommodation supplement or the concessional resident supplement under the </w:t>
      </w:r>
      <w:r w:rsidRPr="00B44705">
        <w:rPr>
          <w:rStyle w:val="BookTitle"/>
          <w:rFonts w:ascii="Arial" w:hAnsi="Arial" w:cs="Arial"/>
          <w:iCs w:val="0"/>
          <w:smallCaps w:val="0"/>
          <w:spacing w:val="0"/>
          <w:szCs w:val="24"/>
        </w:rPr>
        <w:t>Aged Care (Transitional Provisions) Act 1997</w:t>
      </w:r>
      <w:r>
        <w:rPr>
          <w:rStyle w:val="BookTitle"/>
          <w:rFonts w:ascii="Arial" w:hAnsi="Arial" w:cs="Arial"/>
          <w:i w:val="0"/>
          <w:iCs w:val="0"/>
          <w:smallCaps w:val="0"/>
          <w:spacing w:val="0"/>
          <w:szCs w:val="24"/>
        </w:rPr>
        <w:t>, or to enable an aged care service to charge the care recipient an accommodation bond or a refundable accommodation deposit.</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 provides that an aged care service will be recognised as a new service only if the service relocates to a facility built for the service’s relocation, or a location that has no part of its catchment area in common with the catchment area of the location from which it moves.  The example to this subsection clarifies that an aged care service will not be recognised as a new service only due to a change of approved provider for the service, a change in the number of places to a service, a temporary relocation of the service, or an amalgamation of co-located services.</w:t>
      </w:r>
    </w:p>
    <w:p w:rsidR="009570E2" w:rsidRDefault="009570E2" w:rsidP="00F15C56">
      <w:pPr>
        <w:rPr>
          <w:rFonts w:ascii="Arial" w:hAnsi="Arial" w:cs="Arial"/>
          <w:szCs w:val="24"/>
        </w:rPr>
      </w:pPr>
      <w:r>
        <w:rPr>
          <w:rStyle w:val="BookTitle"/>
          <w:rFonts w:ascii="Arial" w:hAnsi="Arial" w:cs="Arial"/>
          <w:i w:val="0"/>
          <w:iCs w:val="0"/>
          <w:smallCaps w:val="0"/>
          <w:spacing w:val="0"/>
          <w:szCs w:val="24"/>
        </w:rPr>
        <w:t xml:space="preserve">Subsection (4) provides that </w:t>
      </w:r>
      <w:r w:rsidRPr="009570E2">
        <w:rPr>
          <w:rFonts w:ascii="Arial" w:hAnsi="Arial" w:cs="Arial"/>
          <w:szCs w:val="24"/>
        </w:rPr>
        <w:t xml:space="preserve">Part III of Determination No. ADPCA 10F 3/1995 made under the </w:t>
      </w:r>
      <w:r w:rsidRPr="009570E2">
        <w:rPr>
          <w:rFonts w:ascii="Arial" w:hAnsi="Arial" w:cs="Arial"/>
          <w:i/>
          <w:szCs w:val="24"/>
        </w:rPr>
        <w:t>Aged or Disabled Persons Care Act 1954</w:t>
      </w:r>
      <w:bookmarkStart w:id="2" w:name="BK_S3P3L24C31"/>
      <w:bookmarkEnd w:id="2"/>
      <w:r w:rsidRPr="009570E2">
        <w:rPr>
          <w:rFonts w:ascii="Arial" w:hAnsi="Arial" w:cs="Arial"/>
          <w:szCs w:val="24"/>
        </w:rPr>
        <w:t>, as in force on 30 September 1997, applies to a care recipient who was a resident of an approved hostel under that Act on that date.</w:t>
      </w:r>
    </w:p>
    <w:p w:rsidR="009570E2" w:rsidRPr="009570E2" w:rsidRDefault="009570E2" w:rsidP="00F15C56">
      <w:pPr>
        <w:rPr>
          <w:rFonts w:ascii="Arial" w:hAnsi="Arial" w:cs="Arial"/>
          <w:szCs w:val="24"/>
          <w:u w:val="single"/>
        </w:rPr>
      </w:pPr>
      <w:r w:rsidRPr="009570E2">
        <w:rPr>
          <w:rFonts w:ascii="Arial" w:hAnsi="Arial" w:cs="Arial"/>
          <w:szCs w:val="24"/>
          <w:u w:val="single"/>
        </w:rPr>
        <w:t>Section 7</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conditions of allocations relating to provisional allocations of residential care places.</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 provides that the section applies to an approved provider who holds a provisional allocation of residential care places.</w:t>
      </w:r>
    </w:p>
    <w:p w:rsidR="009570E2" w:rsidRDefault="009570E2"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 provides that the approved provider must</w:t>
      </w:r>
      <w:r w:rsidR="00E41BEF">
        <w:rPr>
          <w:rStyle w:val="BookTitle"/>
          <w:rFonts w:ascii="Arial" w:hAnsi="Arial" w:cs="Arial"/>
          <w:i w:val="0"/>
          <w:iCs w:val="0"/>
          <w:smallCaps w:val="0"/>
          <w:spacing w:val="0"/>
          <w:szCs w:val="24"/>
        </w:rPr>
        <w:t xml:space="preserve">, during the first three years of the provisional allocation period, </w:t>
      </w:r>
      <w:r w:rsidR="006F6654">
        <w:rPr>
          <w:rStyle w:val="BookTitle"/>
          <w:rFonts w:ascii="Arial" w:hAnsi="Arial" w:cs="Arial"/>
          <w:i w:val="0"/>
          <w:iCs w:val="0"/>
          <w:smallCaps w:val="0"/>
          <w:spacing w:val="0"/>
          <w:szCs w:val="24"/>
        </w:rPr>
        <w:t>give</w:t>
      </w:r>
      <w:r w:rsidR="00E41BEF">
        <w:rPr>
          <w:rStyle w:val="BookTitle"/>
          <w:rFonts w:ascii="Arial" w:hAnsi="Arial" w:cs="Arial"/>
          <w:i w:val="0"/>
          <w:iCs w:val="0"/>
          <w:smallCaps w:val="0"/>
          <w:spacing w:val="0"/>
          <w:szCs w:val="24"/>
        </w:rPr>
        <w:t xml:space="preserve"> annual reports </w:t>
      </w:r>
      <w:r w:rsidR="006F6654">
        <w:rPr>
          <w:rStyle w:val="BookTitle"/>
          <w:rFonts w:ascii="Arial" w:hAnsi="Arial" w:cs="Arial"/>
          <w:i w:val="0"/>
          <w:iCs w:val="0"/>
          <w:smallCaps w:val="0"/>
          <w:spacing w:val="0"/>
          <w:szCs w:val="24"/>
        </w:rPr>
        <w:t xml:space="preserve">about the approved provider’s progress </w:t>
      </w:r>
      <w:r w:rsidR="00E41BEF">
        <w:rPr>
          <w:rStyle w:val="BookTitle"/>
          <w:rFonts w:ascii="Arial" w:hAnsi="Arial" w:cs="Arial"/>
          <w:i w:val="0"/>
          <w:iCs w:val="0"/>
          <w:smallCaps w:val="0"/>
          <w:spacing w:val="0"/>
          <w:szCs w:val="24"/>
        </w:rPr>
        <w:t>towar</w:t>
      </w:r>
      <w:r w:rsidR="006F6654">
        <w:rPr>
          <w:rStyle w:val="BookTitle"/>
          <w:rFonts w:ascii="Arial" w:hAnsi="Arial" w:cs="Arial"/>
          <w:i w:val="0"/>
          <w:iCs w:val="0"/>
          <w:smallCaps w:val="0"/>
          <w:spacing w:val="0"/>
          <w:szCs w:val="24"/>
        </w:rPr>
        <w:t>d</w:t>
      </w:r>
      <w:r w:rsidR="00E41BEF">
        <w:rPr>
          <w:rStyle w:val="BookTitle"/>
          <w:rFonts w:ascii="Arial" w:hAnsi="Arial" w:cs="Arial"/>
          <w:i w:val="0"/>
          <w:iCs w:val="0"/>
          <w:smallCaps w:val="0"/>
          <w:spacing w:val="0"/>
          <w:szCs w:val="24"/>
        </w:rPr>
        <w:t xml:space="preserve">s satisfying the Secretary that </w:t>
      </w:r>
      <w:r w:rsidR="006F6654">
        <w:rPr>
          <w:rStyle w:val="BookTitle"/>
          <w:rFonts w:ascii="Arial" w:hAnsi="Arial" w:cs="Arial"/>
          <w:i w:val="0"/>
          <w:iCs w:val="0"/>
          <w:smallCaps w:val="0"/>
          <w:spacing w:val="0"/>
          <w:szCs w:val="24"/>
        </w:rPr>
        <w:t xml:space="preserve">the approved provider </w:t>
      </w:r>
      <w:r w:rsidR="00E41BEF">
        <w:rPr>
          <w:rStyle w:val="BookTitle"/>
          <w:rFonts w:ascii="Arial" w:hAnsi="Arial" w:cs="Arial"/>
          <w:i w:val="0"/>
          <w:iCs w:val="0"/>
          <w:smallCaps w:val="0"/>
          <w:spacing w:val="0"/>
          <w:szCs w:val="24"/>
        </w:rPr>
        <w:t>is in a position to provide care</w:t>
      </w:r>
      <w:r w:rsidR="006F6654">
        <w:rPr>
          <w:rStyle w:val="BookTitle"/>
          <w:rFonts w:ascii="Arial" w:hAnsi="Arial" w:cs="Arial"/>
          <w:i w:val="0"/>
          <w:iCs w:val="0"/>
          <w:smallCaps w:val="0"/>
          <w:spacing w:val="0"/>
          <w:szCs w:val="24"/>
        </w:rPr>
        <w:t>,</w:t>
      </w:r>
      <w:r w:rsidR="00E41BEF">
        <w:rPr>
          <w:rStyle w:val="BookTitle"/>
          <w:rFonts w:ascii="Arial" w:hAnsi="Arial" w:cs="Arial"/>
          <w:i w:val="0"/>
          <w:iCs w:val="0"/>
          <w:smallCaps w:val="0"/>
          <w:spacing w:val="0"/>
          <w:szCs w:val="24"/>
        </w:rPr>
        <w:t xml:space="preserve"> in respect of th</w:t>
      </w:r>
      <w:r w:rsidR="006F6654">
        <w:rPr>
          <w:rStyle w:val="BookTitle"/>
          <w:rFonts w:ascii="Arial" w:hAnsi="Arial" w:cs="Arial"/>
          <w:i w:val="0"/>
          <w:iCs w:val="0"/>
          <w:smallCaps w:val="0"/>
          <w:spacing w:val="0"/>
          <w:szCs w:val="24"/>
        </w:rPr>
        <w:t>e</w:t>
      </w:r>
      <w:r w:rsidR="00E41BEF">
        <w:rPr>
          <w:rStyle w:val="BookTitle"/>
          <w:rFonts w:ascii="Arial" w:hAnsi="Arial" w:cs="Arial"/>
          <w:i w:val="0"/>
          <w:iCs w:val="0"/>
          <w:smallCaps w:val="0"/>
          <w:spacing w:val="0"/>
          <w:szCs w:val="24"/>
        </w:rPr>
        <w:t xml:space="preserve"> places</w:t>
      </w:r>
      <w:r w:rsidR="006F6654">
        <w:rPr>
          <w:rStyle w:val="BookTitle"/>
          <w:rFonts w:ascii="Arial" w:hAnsi="Arial" w:cs="Arial"/>
          <w:i w:val="0"/>
          <w:iCs w:val="0"/>
          <w:smallCaps w:val="0"/>
          <w:spacing w:val="0"/>
          <w:szCs w:val="24"/>
        </w:rPr>
        <w:t>,</w:t>
      </w:r>
      <w:r w:rsidR="00E41BEF">
        <w:rPr>
          <w:rStyle w:val="BookTitle"/>
          <w:rFonts w:ascii="Arial" w:hAnsi="Arial" w:cs="Arial"/>
          <w:i w:val="0"/>
          <w:iCs w:val="0"/>
          <w:smallCaps w:val="0"/>
          <w:spacing w:val="0"/>
          <w:szCs w:val="24"/>
        </w:rPr>
        <w:t xml:space="preserve"> for which a subsidy may be paid</w:t>
      </w:r>
      <w:r w:rsidR="006F6654">
        <w:rPr>
          <w:rStyle w:val="BookTitle"/>
          <w:rFonts w:ascii="Arial" w:hAnsi="Arial" w:cs="Arial"/>
          <w:i w:val="0"/>
          <w:iCs w:val="0"/>
          <w:smallCaps w:val="0"/>
          <w:spacing w:val="0"/>
          <w:szCs w:val="24"/>
        </w:rPr>
        <w:t xml:space="preserve">. </w:t>
      </w:r>
      <w:r w:rsidR="00C67FE0">
        <w:rPr>
          <w:rStyle w:val="BookTitle"/>
          <w:rFonts w:ascii="Arial" w:hAnsi="Arial" w:cs="Arial"/>
          <w:i w:val="0"/>
          <w:iCs w:val="0"/>
          <w:smallCaps w:val="0"/>
          <w:spacing w:val="0"/>
          <w:szCs w:val="24"/>
        </w:rPr>
        <w:t xml:space="preserve"> A progress report is not needed at the end of the fourth 12-month period as any approved provider who is not in a position to provide care in respect of the places will be required to seek an extension under section 15-7 of the Act.</w:t>
      </w:r>
    </w:p>
    <w:p w:rsidR="00C67FE0" w:rsidRDefault="00C67F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 provides that if an authorised </w:t>
      </w:r>
      <w:r w:rsidR="00EA17EE">
        <w:rPr>
          <w:rStyle w:val="BookTitle"/>
          <w:rFonts w:ascii="Arial" w:hAnsi="Arial" w:cs="Arial"/>
          <w:i w:val="0"/>
          <w:iCs w:val="0"/>
          <w:smallCaps w:val="0"/>
          <w:spacing w:val="0"/>
          <w:szCs w:val="24"/>
        </w:rPr>
        <w:t xml:space="preserve">person </w:t>
      </w:r>
      <w:r>
        <w:rPr>
          <w:rStyle w:val="BookTitle"/>
          <w:rFonts w:ascii="Arial" w:hAnsi="Arial" w:cs="Arial"/>
          <w:i w:val="0"/>
          <w:iCs w:val="0"/>
          <w:smallCaps w:val="0"/>
          <w:spacing w:val="0"/>
          <w:szCs w:val="24"/>
        </w:rPr>
        <w:t xml:space="preserve">requests, in writing, </w:t>
      </w:r>
      <w:r w:rsidR="006F6654">
        <w:rPr>
          <w:rStyle w:val="BookTitle"/>
          <w:rFonts w:ascii="Arial" w:hAnsi="Arial" w:cs="Arial"/>
          <w:i w:val="0"/>
          <w:iCs w:val="0"/>
          <w:smallCaps w:val="0"/>
          <w:spacing w:val="0"/>
          <w:szCs w:val="24"/>
        </w:rPr>
        <w:t xml:space="preserve">the approved provider to give an additional </w:t>
      </w:r>
      <w:r>
        <w:rPr>
          <w:rStyle w:val="BookTitle"/>
          <w:rFonts w:ascii="Arial" w:hAnsi="Arial" w:cs="Arial"/>
          <w:i w:val="0"/>
          <w:iCs w:val="0"/>
          <w:smallCaps w:val="0"/>
          <w:spacing w:val="0"/>
          <w:szCs w:val="24"/>
        </w:rPr>
        <w:t xml:space="preserve">report </w:t>
      </w:r>
      <w:r w:rsidR="006F6654">
        <w:rPr>
          <w:rStyle w:val="BookTitle"/>
          <w:rFonts w:ascii="Arial" w:hAnsi="Arial" w:cs="Arial"/>
          <w:i w:val="0"/>
          <w:iCs w:val="0"/>
          <w:smallCaps w:val="0"/>
          <w:spacing w:val="0"/>
          <w:szCs w:val="24"/>
        </w:rPr>
        <w:t xml:space="preserve">about </w:t>
      </w:r>
      <w:r>
        <w:rPr>
          <w:rStyle w:val="BookTitle"/>
          <w:rFonts w:ascii="Arial" w:hAnsi="Arial" w:cs="Arial"/>
          <w:i w:val="0"/>
          <w:iCs w:val="0"/>
          <w:smallCaps w:val="0"/>
          <w:spacing w:val="0"/>
          <w:szCs w:val="24"/>
        </w:rPr>
        <w:t xml:space="preserve">the </w:t>
      </w:r>
      <w:r w:rsidR="006F6654">
        <w:rPr>
          <w:rStyle w:val="BookTitle"/>
          <w:rFonts w:ascii="Arial" w:hAnsi="Arial" w:cs="Arial"/>
          <w:i w:val="0"/>
          <w:iCs w:val="0"/>
          <w:smallCaps w:val="0"/>
          <w:spacing w:val="0"/>
          <w:szCs w:val="24"/>
        </w:rPr>
        <w:t xml:space="preserve">approved provider’s </w:t>
      </w:r>
      <w:r>
        <w:rPr>
          <w:rStyle w:val="BookTitle"/>
          <w:rFonts w:ascii="Arial" w:hAnsi="Arial" w:cs="Arial"/>
          <w:i w:val="0"/>
          <w:iCs w:val="0"/>
          <w:smallCaps w:val="0"/>
          <w:spacing w:val="0"/>
          <w:szCs w:val="24"/>
        </w:rPr>
        <w:t>progress towards being in a position to provide care</w:t>
      </w:r>
      <w:r w:rsidR="006F665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 respect of </w:t>
      </w:r>
      <w:r w:rsidR="006F6654">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places, </w:t>
      </w:r>
      <w:r w:rsidR="006F6654">
        <w:rPr>
          <w:rStyle w:val="BookTitle"/>
          <w:rFonts w:ascii="Arial" w:hAnsi="Arial" w:cs="Arial"/>
          <w:i w:val="0"/>
          <w:iCs w:val="0"/>
          <w:smallCaps w:val="0"/>
          <w:spacing w:val="0"/>
          <w:szCs w:val="24"/>
        </w:rPr>
        <w:t xml:space="preserve">for which residential care subsidy may be paid, </w:t>
      </w:r>
      <w:r>
        <w:rPr>
          <w:rStyle w:val="BookTitle"/>
          <w:rFonts w:ascii="Arial" w:hAnsi="Arial" w:cs="Arial"/>
          <w:i w:val="0"/>
          <w:iCs w:val="0"/>
          <w:smallCaps w:val="0"/>
          <w:spacing w:val="0"/>
          <w:szCs w:val="24"/>
        </w:rPr>
        <w:t xml:space="preserve">the approved provider must comply with the request </w:t>
      </w:r>
      <w:r w:rsidR="00B44705">
        <w:rPr>
          <w:rStyle w:val="BookTitle"/>
          <w:rFonts w:ascii="Arial" w:hAnsi="Arial" w:cs="Arial"/>
          <w:i w:val="0"/>
          <w:iCs w:val="0"/>
          <w:smallCaps w:val="0"/>
          <w:spacing w:val="0"/>
          <w:szCs w:val="24"/>
        </w:rPr>
        <w:t>within 14 days of receiving the request, or by such longer period of time specified in the request.</w:t>
      </w:r>
    </w:p>
    <w:p w:rsidR="006F6654" w:rsidRDefault="00EA17EE"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note to this subsection clarifies that m</w:t>
      </w:r>
      <w:r w:rsidR="006F6654">
        <w:rPr>
          <w:rStyle w:val="BookTitle"/>
          <w:rFonts w:ascii="Arial" w:hAnsi="Arial" w:cs="Arial"/>
          <w:i w:val="0"/>
          <w:iCs w:val="0"/>
          <w:smallCaps w:val="0"/>
          <w:spacing w:val="0"/>
          <w:szCs w:val="24"/>
        </w:rPr>
        <w:t>ore than one request may be made under this subsection.</w:t>
      </w:r>
    </w:p>
    <w:p w:rsidR="00C67FE0" w:rsidRDefault="00C67F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Subsection (4) provides that a r</w:t>
      </w:r>
      <w:r w:rsidR="00B44705">
        <w:rPr>
          <w:rStyle w:val="BookTitle"/>
          <w:rFonts w:ascii="Arial" w:hAnsi="Arial" w:cs="Arial"/>
          <w:i w:val="0"/>
          <w:iCs w:val="0"/>
          <w:smallCaps w:val="0"/>
          <w:spacing w:val="0"/>
          <w:szCs w:val="24"/>
        </w:rPr>
        <w:t>eport under subsection (2) or (</w:t>
      </w:r>
      <w:r>
        <w:rPr>
          <w:rStyle w:val="BookTitle"/>
          <w:rFonts w:ascii="Arial" w:hAnsi="Arial" w:cs="Arial"/>
          <w:i w:val="0"/>
          <w:iCs w:val="0"/>
          <w:smallCaps w:val="0"/>
          <w:spacing w:val="0"/>
          <w:szCs w:val="24"/>
        </w:rPr>
        <w:t>3) must be in writing</w:t>
      </w:r>
      <w:r w:rsidR="00E41BE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 a form approved by an authorised person</w:t>
      </w:r>
      <w:r w:rsidR="00E41BEF">
        <w:rPr>
          <w:rStyle w:val="BookTitle"/>
          <w:rFonts w:ascii="Arial" w:hAnsi="Arial" w:cs="Arial"/>
          <w:i w:val="0"/>
          <w:iCs w:val="0"/>
          <w:smallCaps w:val="0"/>
          <w:spacing w:val="0"/>
          <w:szCs w:val="24"/>
        </w:rPr>
        <w:t xml:space="preserve"> and provided to the Department</w:t>
      </w:r>
      <w:r>
        <w:rPr>
          <w:rStyle w:val="BookTitle"/>
          <w:rFonts w:ascii="Arial" w:hAnsi="Arial" w:cs="Arial"/>
          <w:i w:val="0"/>
          <w:iCs w:val="0"/>
          <w:smallCaps w:val="0"/>
          <w:spacing w:val="0"/>
          <w:szCs w:val="24"/>
        </w:rPr>
        <w:t>.</w:t>
      </w:r>
    </w:p>
    <w:p w:rsidR="00C67FE0" w:rsidRDefault="00C67F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 provides that an approved provider must</w:t>
      </w:r>
      <w:r w:rsidR="00B44705">
        <w:rPr>
          <w:rStyle w:val="BookTitle"/>
          <w:rFonts w:ascii="Arial" w:hAnsi="Arial" w:cs="Arial"/>
          <w:i w:val="0"/>
          <w:iCs w:val="0"/>
          <w:smallCaps w:val="0"/>
          <w:spacing w:val="0"/>
          <w:szCs w:val="24"/>
        </w:rPr>
        <w:t xml:space="preserve"> </w:t>
      </w:r>
      <w:r w:rsidR="006F6654">
        <w:rPr>
          <w:rStyle w:val="BookTitle"/>
          <w:rFonts w:ascii="Arial" w:hAnsi="Arial" w:cs="Arial"/>
          <w:i w:val="0"/>
          <w:iCs w:val="0"/>
          <w:smallCaps w:val="0"/>
          <w:spacing w:val="0"/>
          <w:szCs w:val="24"/>
        </w:rPr>
        <w:t>make</w:t>
      </w:r>
      <w:r>
        <w:rPr>
          <w:rStyle w:val="BookTitle"/>
          <w:rFonts w:ascii="Arial" w:hAnsi="Arial" w:cs="Arial"/>
          <w:i w:val="0"/>
          <w:iCs w:val="0"/>
          <w:smallCaps w:val="0"/>
          <w:spacing w:val="0"/>
          <w:szCs w:val="24"/>
        </w:rPr>
        <w:t xml:space="preserve"> timely progress towards being in a position to provide care</w:t>
      </w:r>
      <w:r w:rsidR="006F665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 respect of the places</w:t>
      </w:r>
      <w:r w:rsidR="006F6654">
        <w:rPr>
          <w:rStyle w:val="BookTitle"/>
          <w:rFonts w:ascii="Arial" w:hAnsi="Arial" w:cs="Arial"/>
          <w:i w:val="0"/>
          <w:iCs w:val="0"/>
          <w:smallCaps w:val="0"/>
          <w:spacing w:val="0"/>
          <w:szCs w:val="24"/>
        </w:rPr>
        <w:t>,</w:t>
      </w:r>
      <w:r w:rsidR="00E41BEF">
        <w:rPr>
          <w:rStyle w:val="BookTitle"/>
          <w:rFonts w:ascii="Arial" w:hAnsi="Arial" w:cs="Arial"/>
          <w:i w:val="0"/>
          <w:iCs w:val="0"/>
          <w:smallCaps w:val="0"/>
          <w:spacing w:val="0"/>
          <w:szCs w:val="24"/>
        </w:rPr>
        <w:t xml:space="preserve"> for which </w:t>
      </w:r>
      <w:r w:rsidR="006F6654">
        <w:rPr>
          <w:rStyle w:val="BookTitle"/>
          <w:rFonts w:ascii="Arial" w:hAnsi="Arial" w:cs="Arial"/>
          <w:i w:val="0"/>
          <w:iCs w:val="0"/>
          <w:smallCaps w:val="0"/>
          <w:spacing w:val="0"/>
          <w:szCs w:val="24"/>
        </w:rPr>
        <w:t>residential care</w:t>
      </w:r>
      <w:r w:rsidR="00E41BEF">
        <w:rPr>
          <w:rStyle w:val="BookTitle"/>
          <w:rFonts w:ascii="Arial" w:hAnsi="Arial" w:cs="Arial"/>
          <w:i w:val="0"/>
          <w:iCs w:val="0"/>
          <w:smallCaps w:val="0"/>
          <w:spacing w:val="0"/>
          <w:szCs w:val="24"/>
        </w:rPr>
        <w:t xml:space="preserve"> subsidy may be paid</w:t>
      </w:r>
      <w:r>
        <w:rPr>
          <w:rStyle w:val="BookTitle"/>
          <w:rFonts w:ascii="Arial" w:hAnsi="Arial" w:cs="Arial"/>
          <w:i w:val="0"/>
          <w:iCs w:val="0"/>
          <w:smallCaps w:val="0"/>
          <w:spacing w:val="0"/>
          <w:szCs w:val="24"/>
        </w:rPr>
        <w:t>.</w:t>
      </w:r>
    </w:p>
    <w:p w:rsidR="00C67FE0" w:rsidRPr="00C67FE0" w:rsidRDefault="00C67FE0" w:rsidP="00F15C56">
      <w:pPr>
        <w:rPr>
          <w:rStyle w:val="BookTitle"/>
          <w:rFonts w:ascii="Arial" w:hAnsi="Arial" w:cs="Arial"/>
          <w:i w:val="0"/>
          <w:iCs w:val="0"/>
          <w:smallCaps w:val="0"/>
          <w:spacing w:val="0"/>
          <w:szCs w:val="24"/>
          <w:u w:val="single"/>
        </w:rPr>
      </w:pPr>
      <w:r w:rsidRPr="00C67FE0">
        <w:rPr>
          <w:rStyle w:val="BookTitle"/>
          <w:rFonts w:ascii="Arial" w:hAnsi="Arial" w:cs="Arial"/>
          <w:i w:val="0"/>
          <w:iCs w:val="0"/>
          <w:smallCaps w:val="0"/>
          <w:spacing w:val="0"/>
          <w:szCs w:val="24"/>
          <w:u w:val="single"/>
        </w:rPr>
        <w:t>Section 8</w:t>
      </w:r>
    </w:p>
    <w:p w:rsidR="00C67FE0" w:rsidRDefault="00C67F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outlines conditions of allocation relating to</w:t>
      </w:r>
      <w:r w:rsidR="00E41BEF">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allocation of certain flexible care places.</w:t>
      </w:r>
    </w:p>
    <w:p w:rsidR="00C67FE0" w:rsidRDefault="00C67FE0"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 provides that the conditions in this section apply to an allocation of flexible care places for care recipients with</w:t>
      </w:r>
      <w:r w:rsidR="00DA4959">
        <w:rPr>
          <w:rStyle w:val="BookTitle"/>
          <w:rFonts w:ascii="Arial" w:hAnsi="Arial" w:cs="Arial"/>
          <w:i w:val="0"/>
          <w:iCs w:val="0"/>
          <w:smallCaps w:val="0"/>
          <w:spacing w:val="0"/>
          <w:szCs w:val="24"/>
        </w:rPr>
        <w:t xml:space="preserve"> disabilities who are being provided with flexible care in disability supported accommodation that is funded by a State or Territory, and were receiving aged care service under the Aged Care Innovated Pool Disability Aged Care Programme on 25 May 2006.</w:t>
      </w:r>
    </w:p>
    <w:p w:rsidR="00DA4959" w:rsidRDefault="00DA4959"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 provides that the care and service provided to care recipients in respect of the places must be responsive to the needs of the individual care recipients, include case management and coordination, and the development of appropriate individual care plans, and include all necessary personal care and nursing services, over and above those that are provided in respect of the care recipient’s disability.</w:t>
      </w:r>
    </w:p>
    <w:p w:rsidR="00DA4959" w:rsidRDefault="00DA4959"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 provides that the approved provider must:</w:t>
      </w:r>
    </w:p>
    <w:p w:rsidR="00DA4959"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demonstrate a commitment to continuous improvement through participation in an externally recognised quality improvement cycle</w:t>
      </w:r>
      <w:r w:rsidR="000E306B">
        <w:rPr>
          <w:rStyle w:val="BookTitle"/>
          <w:rFonts w:ascii="Arial" w:hAnsi="Arial" w:cs="Arial"/>
          <w:i w:val="0"/>
          <w:iCs w:val="0"/>
          <w:smallCaps w:val="0"/>
          <w:spacing w:val="0"/>
          <w:szCs w:val="24"/>
        </w:rPr>
        <w:t>; and</w:t>
      </w:r>
      <w:r w:rsidRPr="00DA4959">
        <w:rPr>
          <w:rStyle w:val="BookTitle"/>
          <w:rFonts w:ascii="Arial" w:hAnsi="Arial" w:cs="Arial"/>
          <w:i w:val="0"/>
          <w:iCs w:val="0"/>
          <w:smallCaps w:val="0"/>
          <w:spacing w:val="0"/>
          <w:szCs w:val="24"/>
        </w:rPr>
        <w:t xml:space="preserve">  </w:t>
      </w:r>
    </w:p>
    <w:p w:rsidR="00DA4959" w:rsidRPr="00DA4959"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ensure that the care and services provided are of a high quality and adequately address safety and security issues in relation to the provision of care and services to care recipients; and</w:t>
      </w:r>
    </w:p>
    <w:p w:rsidR="00DA4959" w:rsidRPr="00DA4959"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inform care recipients, their families, advocates or guardians of the details of the care and services provided in respect of the places; and</w:t>
      </w:r>
    </w:p>
    <w:p w:rsidR="00DA4959" w:rsidRPr="00DA4959"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ensure that the care recipients, their families, advocates or guardians are made aware of the implications of leaving the State or Territory funded disability supported accommodation; and</w:t>
      </w:r>
    </w:p>
    <w:p w:rsidR="00DA4959" w:rsidRPr="00DA4959"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participate in research concerning people with disabilities who are ageing, if requested to do so by an authorised person; and</w:t>
      </w:r>
    </w:p>
    <w:p w:rsidR="00DA4959" w:rsidRPr="007049E0" w:rsidRDefault="00DA4959" w:rsidP="00DA4959">
      <w:pPr>
        <w:pStyle w:val="ListParagraph"/>
        <w:numPr>
          <w:ilvl w:val="0"/>
          <w:numId w:val="18"/>
        </w:numPr>
        <w:rPr>
          <w:rStyle w:val="BookTitle"/>
          <w:rFonts w:ascii="Arial" w:hAnsi="Arial" w:cs="Arial"/>
          <w:i w:val="0"/>
          <w:iCs w:val="0"/>
          <w:smallCaps w:val="0"/>
          <w:spacing w:val="0"/>
          <w:szCs w:val="24"/>
        </w:rPr>
      </w:pPr>
      <w:r w:rsidRPr="00DA4959">
        <w:rPr>
          <w:rStyle w:val="BookTitle"/>
          <w:rFonts w:ascii="Arial" w:hAnsi="Arial" w:cs="Arial"/>
          <w:i w:val="0"/>
          <w:iCs w:val="0"/>
          <w:smallCaps w:val="0"/>
          <w:spacing w:val="0"/>
          <w:szCs w:val="24"/>
        </w:rPr>
        <w:t>give an authorised person relevant associated data and information as requested by an authorised person.</w:t>
      </w:r>
    </w:p>
    <w:bookmarkEnd w:id="0"/>
    <w:p w:rsidR="002C6921" w:rsidRDefault="002C6921">
      <w:pPr>
        <w:spacing w:before="0" w:after="200" w:line="276" w:lineRule="auto"/>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br w:type="page"/>
      </w:r>
    </w:p>
    <w:p w:rsidR="00EE68BD" w:rsidRPr="00EE68BD" w:rsidRDefault="00EE68BD" w:rsidP="00EE68BD">
      <w:pPr>
        <w:widowControl w:val="0"/>
        <w:tabs>
          <w:tab w:val="left" w:pos="720"/>
        </w:tabs>
        <w:spacing w:before="0"/>
        <w:jc w:val="center"/>
        <w:rPr>
          <w:b/>
          <w:i/>
          <w:snapToGrid w:val="0"/>
          <w:lang w:eastAsia="en-US"/>
        </w:rPr>
      </w:pPr>
      <w:r w:rsidRPr="00EE68BD">
        <w:rPr>
          <w:b/>
          <w:snapToGrid w:val="0"/>
          <w:sz w:val="28"/>
          <w:szCs w:val="28"/>
          <w:lang w:eastAsia="en-US"/>
        </w:rPr>
        <w:lastRenderedPageBreak/>
        <w:t>Statement of Compatibility with Human Rights</w:t>
      </w:r>
      <w:r w:rsidRPr="00EE68BD">
        <w:rPr>
          <w:b/>
          <w:snapToGrid w:val="0"/>
          <w:sz w:val="28"/>
          <w:szCs w:val="28"/>
          <w:lang w:eastAsia="en-US"/>
        </w:rPr>
        <w:br/>
      </w:r>
    </w:p>
    <w:p w:rsidR="00EE68BD" w:rsidRPr="00EE68BD" w:rsidRDefault="00EE68BD" w:rsidP="00EE68BD">
      <w:pPr>
        <w:widowControl w:val="0"/>
        <w:tabs>
          <w:tab w:val="left" w:pos="720"/>
        </w:tabs>
        <w:spacing w:before="0"/>
        <w:jc w:val="center"/>
        <w:rPr>
          <w:i/>
          <w:snapToGrid w:val="0"/>
          <w:lang w:eastAsia="en-US"/>
        </w:rPr>
      </w:pPr>
      <w:r w:rsidRPr="00EE68BD">
        <w:rPr>
          <w:i/>
          <w:snapToGrid w:val="0"/>
          <w:lang w:eastAsia="en-US"/>
        </w:rPr>
        <w:t>Prepared in accordance with Part 3 of the Humans Rights (Parliamentary Scrutiny) Act 2011</w:t>
      </w:r>
    </w:p>
    <w:p w:rsidR="00EE68BD" w:rsidRPr="00EE68BD" w:rsidRDefault="00EE68BD" w:rsidP="00EE68BD">
      <w:pPr>
        <w:widowControl w:val="0"/>
        <w:tabs>
          <w:tab w:val="left" w:pos="720"/>
        </w:tabs>
        <w:spacing w:before="0"/>
        <w:jc w:val="center"/>
        <w:rPr>
          <w:b/>
          <w:i/>
          <w:snapToGrid w:val="0"/>
          <w:lang w:eastAsia="en-US"/>
        </w:rPr>
      </w:pPr>
    </w:p>
    <w:p w:rsidR="00EE68BD" w:rsidRPr="00EE68BD" w:rsidRDefault="00EE68BD" w:rsidP="00EE68BD">
      <w:pPr>
        <w:widowControl w:val="0"/>
        <w:tabs>
          <w:tab w:val="left" w:pos="720"/>
        </w:tabs>
        <w:spacing w:before="0"/>
        <w:jc w:val="center"/>
        <w:rPr>
          <w:b/>
          <w:snapToGrid w:val="0"/>
          <w:lang w:eastAsia="en-US"/>
        </w:rPr>
      </w:pPr>
      <w:r w:rsidRPr="00EE68BD">
        <w:rPr>
          <w:b/>
          <w:i/>
          <w:snapToGrid w:val="0"/>
          <w:lang w:eastAsia="en-US"/>
        </w:rPr>
        <w:t>Aged Care (</w:t>
      </w:r>
      <w:r>
        <w:rPr>
          <w:b/>
          <w:i/>
          <w:snapToGrid w:val="0"/>
          <w:lang w:eastAsia="en-US"/>
        </w:rPr>
        <w:t>Conditions of Allocation</w:t>
      </w:r>
      <w:r w:rsidRPr="00EE68BD">
        <w:rPr>
          <w:b/>
          <w:i/>
          <w:snapToGrid w:val="0"/>
          <w:lang w:eastAsia="en-US"/>
        </w:rPr>
        <w:t>) Determination 2016</w:t>
      </w:r>
      <w:r w:rsidRPr="00EE68BD">
        <w:rPr>
          <w:b/>
          <w:snapToGrid w:val="0"/>
          <w:lang w:eastAsia="en-US"/>
        </w:rPr>
        <w:br/>
      </w:r>
    </w:p>
    <w:p w:rsidR="00EE68BD" w:rsidRPr="00EE68BD" w:rsidRDefault="00EE68BD" w:rsidP="00EE68BD">
      <w:pPr>
        <w:widowControl w:val="0"/>
        <w:tabs>
          <w:tab w:val="left" w:pos="720"/>
        </w:tabs>
        <w:spacing w:before="0"/>
        <w:rPr>
          <w:snapToGrid w:val="0"/>
          <w:szCs w:val="24"/>
          <w:lang w:eastAsia="en-US"/>
        </w:rPr>
      </w:pPr>
      <w:r w:rsidRPr="00EE68BD">
        <w:rPr>
          <w:snapToGrid w:val="0"/>
          <w:szCs w:val="24"/>
          <w:lang w:eastAsia="en-US"/>
        </w:rPr>
        <w:t xml:space="preserve">The </w:t>
      </w:r>
      <w:r w:rsidRPr="00EE68BD">
        <w:rPr>
          <w:i/>
          <w:snapToGrid w:val="0"/>
          <w:szCs w:val="24"/>
          <w:lang w:eastAsia="en-US"/>
        </w:rPr>
        <w:t>Aged Care (</w:t>
      </w:r>
      <w:r>
        <w:rPr>
          <w:i/>
          <w:snapToGrid w:val="0"/>
          <w:szCs w:val="24"/>
          <w:lang w:eastAsia="en-US"/>
        </w:rPr>
        <w:t>Conditions of Allocation</w:t>
      </w:r>
      <w:r w:rsidRPr="00EE68BD">
        <w:rPr>
          <w:i/>
          <w:snapToGrid w:val="0"/>
          <w:szCs w:val="24"/>
          <w:lang w:eastAsia="en-US"/>
        </w:rPr>
        <w:t>) Determination 201</w:t>
      </w:r>
      <w:r>
        <w:rPr>
          <w:i/>
          <w:snapToGrid w:val="0"/>
          <w:szCs w:val="24"/>
          <w:lang w:eastAsia="en-US"/>
        </w:rPr>
        <w:t>6</w:t>
      </w:r>
      <w:r w:rsidRPr="00EE68BD">
        <w:rPr>
          <w:snapToGrid w:val="0"/>
          <w:szCs w:val="24"/>
          <w:lang w:eastAsia="en-US"/>
        </w:rPr>
        <w:t xml:space="preserve"> is compatible with the human rights and freedoms recognised or declared in the international instruments listed in section 3 of the </w:t>
      </w:r>
      <w:r w:rsidRPr="00EE68BD">
        <w:rPr>
          <w:i/>
          <w:snapToGrid w:val="0"/>
          <w:szCs w:val="24"/>
          <w:lang w:eastAsia="en-US"/>
        </w:rPr>
        <w:t>Human Rights (Parliamentary Scrutiny Act) Act 2011</w:t>
      </w:r>
      <w:r w:rsidRPr="00EE68BD">
        <w:rPr>
          <w:snapToGrid w:val="0"/>
          <w:szCs w:val="24"/>
          <w:lang w:eastAsia="en-US"/>
        </w:rPr>
        <w:t>.</w:t>
      </w:r>
    </w:p>
    <w:p w:rsidR="00EE68BD" w:rsidRPr="00EE68BD" w:rsidRDefault="00EE68BD" w:rsidP="00EE68BD">
      <w:pPr>
        <w:widowControl w:val="0"/>
        <w:tabs>
          <w:tab w:val="left" w:pos="720"/>
        </w:tabs>
        <w:spacing w:before="0"/>
        <w:rPr>
          <w:snapToGrid w:val="0"/>
          <w:szCs w:val="24"/>
          <w:lang w:eastAsia="en-US"/>
        </w:rPr>
      </w:pPr>
    </w:p>
    <w:p w:rsidR="00EE68BD" w:rsidRPr="00EE68BD" w:rsidRDefault="00EE68BD" w:rsidP="00EE68BD">
      <w:pPr>
        <w:widowControl w:val="0"/>
        <w:tabs>
          <w:tab w:val="left" w:pos="720"/>
        </w:tabs>
        <w:spacing w:before="0"/>
        <w:rPr>
          <w:b/>
          <w:snapToGrid w:val="0"/>
          <w:szCs w:val="24"/>
          <w:lang w:eastAsia="en-US"/>
        </w:rPr>
      </w:pPr>
      <w:r w:rsidRPr="00EE68BD">
        <w:rPr>
          <w:b/>
          <w:snapToGrid w:val="0"/>
          <w:szCs w:val="24"/>
          <w:lang w:eastAsia="en-US"/>
        </w:rPr>
        <w:t>Overview of Legislative Instrument</w:t>
      </w:r>
    </w:p>
    <w:p w:rsidR="003863FD" w:rsidRDefault="003863FD" w:rsidP="003863FD">
      <w:pPr>
        <w:widowControl w:val="0"/>
        <w:tabs>
          <w:tab w:val="left" w:pos="720"/>
        </w:tabs>
        <w:spacing w:before="0"/>
        <w:rPr>
          <w:snapToGrid w:val="0"/>
          <w:szCs w:val="24"/>
          <w:lang w:eastAsia="en-US"/>
        </w:rPr>
      </w:pPr>
      <w:r w:rsidRPr="00EE68BD">
        <w:rPr>
          <w:snapToGrid w:val="0"/>
          <w:szCs w:val="24"/>
          <w:lang w:eastAsia="en-US"/>
        </w:rPr>
        <w:t xml:space="preserve">This legislative instrument </w:t>
      </w:r>
      <w:r>
        <w:rPr>
          <w:snapToGrid w:val="0"/>
          <w:szCs w:val="24"/>
          <w:lang w:eastAsia="en-US"/>
        </w:rPr>
        <w:t xml:space="preserve">and the </w:t>
      </w:r>
      <w:r w:rsidRPr="0080592C">
        <w:rPr>
          <w:i/>
          <w:snapToGrid w:val="0"/>
          <w:szCs w:val="24"/>
          <w:lang w:eastAsia="en-US"/>
        </w:rPr>
        <w:t>Aged Care (Conditions of Allocation</w:t>
      </w:r>
      <w:r w:rsidR="000B492E">
        <w:rPr>
          <w:i/>
          <w:snapToGrid w:val="0"/>
          <w:szCs w:val="24"/>
          <w:lang w:eastAsia="en-US"/>
        </w:rPr>
        <w:t xml:space="preserve"> Instruments</w:t>
      </w:r>
      <w:r w:rsidRPr="0080592C">
        <w:rPr>
          <w:i/>
          <w:snapToGrid w:val="0"/>
          <w:szCs w:val="24"/>
          <w:lang w:eastAsia="en-US"/>
        </w:rPr>
        <w:t xml:space="preserve">) </w:t>
      </w:r>
      <w:r w:rsidR="000B492E">
        <w:rPr>
          <w:i/>
          <w:snapToGrid w:val="0"/>
          <w:szCs w:val="24"/>
          <w:lang w:eastAsia="en-US"/>
        </w:rPr>
        <w:t xml:space="preserve">Repeal </w:t>
      </w:r>
      <w:r w:rsidRPr="0080592C">
        <w:rPr>
          <w:i/>
          <w:snapToGrid w:val="0"/>
          <w:szCs w:val="24"/>
          <w:lang w:eastAsia="en-US"/>
        </w:rPr>
        <w:t>Determination 2016</w:t>
      </w:r>
      <w:r>
        <w:rPr>
          <w:snapToGrid w:val="0"/>
          <w:szCs w:val="24"/>
          <w:lang w:eastAsia="en-US"/>
        </w:rPr>
        <w:t xml:space="preserve"> together operate to consolidate conditions of allocation made under section 14-6 of the </w:t>
      </w:r>
      <w:r w:rsidRPr="0079116F">
        <w:rPr>
          <w:i/>
          <w:snapToGrid w:val="0"/>
          <w:szCs w:val="24"/>
          <w:lang w:eastAsia="en-US"/>
        </w:rPr>
        <w:t>Aged Care Act 1997</w:t>
      </w:r>
      <w:r>
        <w:rPr>
          <w:snapToGrid w:val="0"/>
          <w:szCs w:val="24"/>
          <w:lang w:eastAsia="en-US"/>
        </w:rPr>
        <w:t xml:space="preserve"> (the Act).</w:t>
      </w:r>
    </w:p>
    <w:p w:rsidR="003863FD" w:rsidRDefault="003863FD" w:rsidP="003863FD">
      <w:pPr>
        <w:widowControl w:val="0"/>
        <w:tabs>
          <w:tab w:val="left" w:pos="720"/>
        </w:tabs>
        <w:spacing w:before="0"/>
        <w:rPr>
          <w:snapToGrid w:val="0"/>
          <w:szCs w:val="24"/>
          <w:lang w:eastAsia="en-US"/>
        </w:rPr>
      </w:pPr>
      <w:r>
        <w:rPr>
          <w:snapToGrid w:val="0"/>
          <w:szCs w:val="24"/>
          <w:lang w:eastAsia="en-US"/>
        </w:rPr>
        <w:t xml:space="preserve"> </w:t>
      </w:r>
    </w:p>
    <w:p w:rsidR="003863FD" w:rsidRDefault="003863FD" w:rsidP="003863FD">
      <w:pPr>
        <w:widowControl w:val="0"/>
        <w:tabs>
          <w:tab w:val="left" w:pos="720"/>
        </w:tabs>
        <w:spacing w:before="0"/>
        <w:rPr>
          <w:snapToGrid w:val="0"/>
          <w:szCs w:val="24"/>
          <w:lang w:val="en-US" w:eastAsia="en-US"/>
        </w:rPr>
      </w:pPr>
      <w:r>
        <w:rPr>
          <w:snapToGrid w:val="0"/>
          <w:szCs w:val="24"/>
          <w:lang w:val="en-US" w:eastAsia="en-US"/>
        </w:rPr>
        <w:t xml:space="preserve">As at the date immediately before commencement, the conditions of allocation made under section 14-6 of the Act were contained in several determinations which made it difficult for the aged care industry to understand what conditions they were required to comply with.  Further, as these conditions of allocation were not reviewed regularly, many are no longer relevant as the programs they relate to have ceased to operate, while some conditions of allocation that are still relevant are due to sunset in October 2016 due to section 50 of the </w:t>
      </w:r>
      <w:r w:rsidRPr="0079116F">
        <w:rPr>
          <w:i/>
          <w:snapToGrid w:val="0"/>
          <w:szCs w:val="24"/>
          <w:lang w:val="en-US" w:eastAsia="en-US"/>
        </w:rPr>
        <w:t>Legislation Act 2003</w:t>
      </w:r>
      <w:r>
        <w:rPr>
          <w:snapToGrid w:val="0"/>
          <w:szCs w:val="24"/>
          <w:lang w:val="en-US" w:eastAsia="en-US"/>
        </w:rPr>
        <w:t>.</w:t>
      </w:r>
    </w:p>
    <w:p w:rsidR="003863FD" w:rsidRDefault="003863FD" w:rsidP="003863FD">
      <w:pPr>
        <w:widowControl w:val="0"/>
        <w:tabs>
          <w:tab w:val="left" w:pos="720"/>
        </w:tabs>
        <w:spacing w:before="0"/>
        <w:rPr>
          <w:snapToGrid w:val="0"/>
          <w:szCs w:val="24"/>
          <w:lang w:val="en-US" w:eastAsia="en-US"/>
        </w:rPr>
      </w:pPr>
    </w:p>
    <w:p w:rsidR="003863FD" w:rsidRPr="0079116F" w:rsidRDefault="003863FD" w:rsidP="003863FD">
      <w:pPr>
        <w:widowControl w:val="0"/>
        <w:tabs>
          <w:tab w:val="left" w:pos="720"/>
        </w:tabs>
        <w:spacing w:before="0"/>
        <w:rPr>
          <w:snapToGrid w:val="0"/>
          <w:szCs w:val="24"/>
          <w:lang w:val="en-US" w:eastAsia="en-US"/>
        </w:rPr>
      </w:pPr>
      <w:r>
        <w:rPr>
          <w:snapToGrid w:val="0"/>
          <w:szCs w:val="24"/>
          <w:lang w:val="en-US" w:eastAsia="en-US"/>
        </w:rPr>
        <w:t xml:space="preserve">This instrument </w:t>
      </w:r>
      <w:r>
        <w:rPr>
          <w:snapToGrid w:val="0"/>
          <w:szCs w:val="24"/>
          <w:lang w:eastAsia="en-US"/>
        </w:rPr>
        <w:t>create</w:t>
      </w:r>
      <w:r w:rsidR="0054659D">
        <w:rPr>
          <w:snapToGrid w:val="0"/>
          <w:szCs w:val="24"/>
          <w:lang w:eastAsia="en-US"/>
        </w:rPr>
        <w:t>s</w:t>
      </w:r>
      <w:r>
        <w:rPr>
          <w:snapToGrid w:val="0"/>
          <w:szCs w:val="24"/>
          <w:lang w:eastAsia="en-US"/>
        </w:rPr>
        <w:t xml:space="preserve"> the new consolidated section 14-6 determination containing all the relevant conditions of allocation made under section 14-6 of the Act that are in force at the day before the commencement of this instrument, while the</w:t>
      </w:r>
      <w:r>
        <w:rPr>
          <w:snapToGrid w:val="0"/>
          <w:szCs w:val="24"/>
          <w:lang w:val="en-US" w:eastAsia="en-US"/>
        </w:rPr>
        <w:t xml:space="preserve"> </w:t>
      </w:r>
      <w:r w:rsidR="000B492E" w:rsidRPr="0080592C">
        <w:rPr>
          <w:i/>
          <w:snapToGrid w:val="0"/>
          <w:szCs w:val="24"/>
          <w:lang w:eastAsia="en-US"/>
        </w:rPr>
        <w:t>Aged Care (Conditions of Allocation</w:t>
      </w:r>
      <w:r w:rsidR="000B492E">
        <w:rPr>
          <w:i/>
          <w:snapToGrid w:val="0"/>
          <w:szCs w:val="24"/>
          <w:lang w:eastAsia="en-US"/>
        </w:rPr>
        <w:t xml:space="preserve"> Instruments</w:t>
      </w:r>
      <w:r w:rsidR="000B492E" w:rsidRPr="0080592C">
        <w:rPr>
          <w:i/>
          <w:snapToGrid w:val="0"/>
          <w:szCs w:val="24"/>
          <w:lang w:eastAsia="en-US"/>
        </w:rPr>
        <w:t xml:space="preserve">) </w:t>
      </w:r>
      <w:r w:rsidR="000B492E">
        <w:rPr>
          <w:i/>
          <w:snapToGrid w:val="0"/>
          <w:szCs w:val="24"/>
          <w:lang w:eastAsia="en-US"/>
        </w:rPr>
        <w:t xml:space="preserve">Repeal </w:t>
      </w:r>
      <w:r w:rsidR="000B492E" w:rsidRPr="0080592C">
        <w:rPr>
          <w:i/>
          <w:snapToGrid w:val="0"/>
          <w:szCs w:val="24"/>
          <w:lang w:eastAsia="en-US"/>
        </w:rPr>
        <w:t>Determination 2016</w:t>
      </w:r>
      <w:r>
        <w:rPr>
          <w:snapToGrid w:val="0"/>
          <w:szCs w:val="24"/>
          <w:lang w:eastAsia="en-US"/>
        </w:rPr>
        <w:t xml:space="preserve"> will</w:t>
      </w:r>
      <w:r>
        <w:rPr>
          <w:snapToGrid w:val="0"/>
          <w:szCs w:val="24"/>
          <w:lang w:val="en-US" w:eastAsia="en-US"/>
        </w:rPr>
        <w:t xml:space="preserve"> </w:t>
      </w:r>
      <w:r w:rsidR="000B492E">
        <w:rPr>
          <w:snapToGrid w:val="0"/>
          <w:szCs w:val="24"/>
          <w:lang w:val="en-US" w:eastAsia="en-US"/>
        </w:rPr>
        <w:t>repeal</w:t>
      </w:r>
      <w:r>
        <w:rPr>
          <w:snapToGrid w:val="0"/>
          <w:szCs w:val="24"/>
          <w:lang w:val="en-US" w:eastAsia="en-US"/>
        </w:rPr>
        <w:t xml:space="preserve"> all existing section 14-6 determinations.</w:t>
      </w:r>
    </w:p>
    <w:p w:rsidR="003863FD" w:rsidRPr="0080592C" w:rsidRDefault="003863FD" w:rsidP="003863FD">
      <w:pPr>
        <w:widowControl w:val="0"/>
        <w:tabs>
          <w:tab w:val="left" w:pos="720"/>
        </w:tabs>
        <w:spacing w:before="0"/>
        <w:rPr>
          <w:snapToGrid w:val="0"/>
          <w:szCs w:val="24"/>
          <w:lang w:val="en-US" w:eastAsia="en-US"/>
        </w:rPr>
      </w:pPr>
    </w:p>
    <w:p w:rsidR="003863FD" w:rsidRPr="00EE68BD" w:rsidRDefault="003863FD" w:rsidP="003863FD">
      <w:pPr>
        <w:widowControl w:val="0"/>
        <w:tabs>
          <w:tab w:val="left" w:pos="720"/>
        </w:tabs>
        <w:spacing w:before="0"/>
        <w:rPr>
          <w:snapToGrid w:val="0"/>
          <w:szCs w:val="24"/>
          <w:lang w:eastAsia="en-US"/>
        </w:rPr>
      </w:pPr>
    </w:p>
    <w:p w:rsidR="003863FD" w:rsidRPr="00EE68BD" w:rsidRDefault="003863FD" w:rsidP="003863FD">
      <w:pPr>
        <w:widowControl w:val="0"/>
        <w:tabs>
          <w:tab w:val="left" w:pos="720"/>
        </w:tabs>
        <w:spacing w:before="0"/>
        <w:rPr>
          <w:b/>
          <w:snapToGrid w:val="0"/>
          <w:szCs w:val="24"/>
          <w:lang w:eastAsia="en-US"/>
        </w:rPr>
      </w:pPr>
      <w:r w:rsidRPr="00EE68BD">
        <w:rPr>
          <w:b/>
          <w:snapToGrid w:val="0"/>
          <w:szCs w:val="24"/>
          <w:lang w:eastAsia="en-US"/>
        </w:rPr>
        <w:t>Human Rights Implications</w:t>
      </w:r>
    </w:p>
    <w:p w:rsidR="003863FD" w:rsidRPr="00EE68BD" w:rsidRDefault="003863FD" w:rsidP="003863FD">
      <w:pPr>
        <w:widowControl w:val="0"/>
        <w:tabs>
          <w:tab w:val="left" w:pos="720"/>
        </w:tabs>
        <w:spacing w:before="0"/>
        <w:rPr>
          <w:snapToGrid w:val="0"/>
          <w:szCs w:val="24"/>
          <w:lang w:eastAsia="en-US"/>
        </w:rPr>
      </w:pPr>
      <w:r w:rsidRPr="00EE68BD">
        <w:rPr>
          <w:snapToGrid w:val="0"/>
          <w:szCs w:val="24"/>
          <w:lang w:eastAsia="en-US"/>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3863FD" w:rsidRPr="00EE68BD" w:rsidRDefault="003863FD" w:rsidP="003863FD">
      <w:pPr>
        <w:widowControl w:val="0"/>
        <w:tabs>
          <w:tab w:val="left" w:pos="720"/>
        </w:tabs>
        <w:spacing w:before="0"/>
        <w:rPr>
          <w:snapToGrid w:val="0"/>
          <w:szCs w:val="24"/>
          <w:lang w:eastAsia="en-US"/>
        </w:rPr>
      </w:pPr>
    </w:p>
    <w:p w:rsidR="004F5F08" w:rsidRDefault="003863FD" w:rsidP="003863FD">
      <w:pPr>
        <w:widowControl w:val="0"/>
        <w:tabs>
          <w:tab w:val="left" w:pos="720"/>
        </w:tabs>
        <w:spacing w:before="0"/>
        <w:rPr>
          <w:snapToGrid w:val="0"/>
          <w:szCs w:val="24"/>
          <w:lang w:eastAsia="en-US"/>
        </w:rPr>
      </w:pPr>
      <w:r w:rsidRPr="00EE68BD">
        <w:rPr>
          <w:snapToGrid w:val="0"/>
          <w:szCs w:val="24"/>
          <w:lang w:eastAsia="en-US"/>
        </w:rPr>
        <w:t xml:space="preserve">This legislative instrument </w:t>
      </w:r>
      <w:r w:rsidR="000B492E">
        <w:rPr>
          <w:snapToGrid w:val="0"/>
          <w:szCs w:val="24"/>
          <w:lang w:eastAsia="en-US"/>
        </w:rPr>
        <w:t>creates a new consolidated section 14-6 determination setting out conditions of allocation which are still relevant to programs in operation, and extends the life of these conditions of allocation so they are not affe</w:t>
      </w:r>
      <w:r w:rsidR="006B7C0A">
        <w:rPr>
          <w:snapToGrid w:val="0"/>
          <w:szCs w:val="24"/>
          <w:lang w:eastAsia="en-US"/>
        </w:rPr>
        <w:t xml:space="preserve">cted by default sunsetting provision set out at section 50 of the </w:t>
      </w:r>
      <w:r w:rsidR="006B7C0A" w:rsidRPr="006B7C0A">
        <w:rPr>
          <w:i/>
          <w:snapToGrid w:val="0"/>
          <w:szCs w:val="24"/>
          <w:lang w:eastAsia="en-US"/>
        </w:rPr>
        <w:t>Legislation Act 2003</w:t>
      </w:r>
      <w:r w:rsidR="006B7C0A">
        <w:rPr>
          <w:snapToGrid w:val="0"/>
          <w:szCs w:val="24"/>
          <w:lang w:eastAsia="en-US"/>
        </w:rPr>
        <w:t xml:space="preserve">.  The </w:t>
      </w:r>
      <w:r w:rsidR="006B7C0A" w:rsidRPr="00D847FA">
        <w:rPr>
          <w:i/>
          <w:snapToGrid w:val="0"/>
          <w:szCs w:val="24"/>
          <w:lang w:eastAsia="en-US"/>
        </w:rPr>
        <w:t>Aged Care (Conditions of Allocation</w:t>
      </w:r>
      <w:r w:rsidR="006B7C0A">
        <w:rPr>
          <w:i/>
          <w:snapToGrid w:val="0"/>
          <w:szCs w:val="24"/>
          <w:lang w:eastAsia="en-US"/>
        </w:rPr>
        <w:t xml:space="preserve"> Instruments</w:t>
      </w:r>
      <w:r w:rsidR="006B7C0A" w:rsidRPr="00D847FA">
        <w:rPr>
          <w:i/>
          <w:snapToGrid w:val="0"/>
          <w:szCs w:val="24"/>
          <w:lang w:eastAsia="en-US"/>
        </w:rPr>
        <w:t>)</w:t>
      </w:r>
      <w:r w:rsidR="006B7C0A">
        <w:rPr>
          <w:i/>
          <w:snapToGrid w:val="0"/>
          <w:szCs w:val="24"/>
          <w:lang w:eastAsia="en-US"/>
        </w:rPr>
        <w:t xml:space="preserve"> Repeal</w:t>
      </w:r>
      <w:r w:rsidR="006B7C0A" w:rsidRPr="00D847FA">
        <w:rPr>
          <w:i/>
          <w:snapToGrid w:val="0"/>
          <w:szCs w:val="24"/>
          <w:lang w:eastAsia="en-US"/>
        </w:rPr>
        <w:t xml:space="preserve"> Determination 2016</w:t>
      </w:r>
      <w:r w:rsidR="006B7C0A">
        <w:rPr>
          <w:i/>
          <w:snapToGrid w:val="0"/>
          <w:szCs w:val="24"/>
          <w:lang w:eastAsia="en-US"/>
        </w:rPr>
        <w:t xml:space="preserve"> </w:t>
      </w:r>
      <w:r>
        <w:rPr>
          <w:snapToGrid w:val="0"/>
          <w:szCs w:val="24"/>
          <w:lang w:eastAsia="en-US"/>
        </w:rPr>
        <w:t xml:space="preserve">repeals conditions of allocations made under section 14-6 of the </w:t>
      </w:r>
      <w:r w:rsidRPr="00D847FA">
        <w:rPr>
          <w:i/>
          <w:snapToGrid w:val="0"/>
          <w:szCs w:val="24"/>
          <w:lang w:eastAsia="en-US"/>
        </w:rPr>
        <w:t>Aged Care Act 1997</w:t>
      </w:r>
      <w:r w:rsidR="006B7C0A">
        <w:rPr>
          <w:snapToGrid w:val="0"/>
          <w:szCs w:val="24"/>
          <w:lang w:eastAsia="en-US"/>
        </w:rPr>
        <w:t xml:space="preserve"> that are no longer relevant as the programs they relate to have ceased to operate</w:t>
      </w:r>
      <w:r>
        <w:rPr>
          <w:snapToGrid w:val="0"/>
          <w:szCs w:val="24"/>
          <w:lang w:eastAsia="en-US"/>
        </w:rPr>
        <w:t xml:space="preserve">.  </w:t>
      </w:r>
      <w:r w:rsidR="007D43B6">
        <w:rPr>
          <w:snapToGrid w:val="0"/>
          <w:szCs w:val="24"/>
          <w:lang w:eastAsia="en-US"/>
        </w:rPr>
        <w:t>These instruments will operate to ensure that care recipients receive appropriate care</w:t>
      </w:r>
      <w:r w:rsidR="0067403A">
        <w:rPr>
          <w:snapToGrid w:val="0"/>
          <w:szCs w:val="24"/>
          <w:lang w:eastAsia="en-US"/>
        </w:rPr>
        <w:t xml:space="preserve"> </w:t>
      </w:r>
      <w:r w:rsidR="00E41BEF">
        <w:rPr>
          <w:snapToGrid w:val="0"/>
          <w:szCs w:val="24"/>
          <w:lang w:eastAsia="en-US"/>
        </w:rPr>
        <w:t xml:space="preserve">pursuant </w:t>
      </w:r>
      <w:r w:rsidR="007D43B6">
        <w:rPr>
          <w:snapToGrid w:val="0"/>
          <w:szCs w:val="24"/>
          <w:lang w:eastAsia="en-US"/>
        </w:rPr>
        <w:t xml:space="preserve">to specified </w:t>
      </w:r>
      <w:r w:rsidR="00E41BEF">
        <w:rPr>
          <w:snapToGrid w:val="0"/>
          <w:szCs w:val="24"/>
          <w:lang w:eastAsia="en-US"/>
        </w:rPr>
        <w:t>conditions.</w:t>
      </w:r>
      <w:r w:rsidR="007D43B6">
        <w:rPr>
          <w:snapToGrid w:val="0"/>
          <w:szCs w:val="24"/>
          <w:lang w:eastAsia="en-US"/>
        </w:rPr>
        <w:t xml:space="preserve"> </w:t>
      </w:r>
      <w:r w:rsidR="00E41BEF">
        <w:rPr>
          <w:snapToGrid w:val="0"/>
          <w:szCs w:val="24"/>
          <w:lang w:eastAsia="en-US"/>
        </w:rPr>
        <w:t>Further, these conditions will ensure that care recipients enjoy an adequate standard of</w:t>
      </w:r>
      <w:r w:rsidR="006F6654">
        <w:rPr>
          <w:snapToGrid w:val="0"/>
          <w:szCs w:val="24"/>
          <w:lang w:eastAsia="en-US"/>
        </w:rPr>
        <w:t xml:space="preserve"> </w:t>
      </w:r>
      <w:r w:rsidR="00E41BEF">
        <w:rPr>
          <w:snapToGrid w:val="0"/>
          <w:szCs w:val="24"/>
          <w:lang w:eastAsia="en-US"/>
        </w:rPr>
        <w:t>living and the highest attainable standards of physical and mental health and ensure that they are protected from exploitation, violence and abuse.</w:t>
      </w:r>
    </w:p>
    <w:p w:rsidR="006B7C0A" w:rsidRDefault="006B7C0A" w:rsidP="003863FD">
      <w:pPr>
        <w:widowControl w:val="0"/>
        <w:tabs>
          <w:tab w:val="left" w:pos="720"/>
        </w:tabs>
        <w:spacing w:before="0"/>
        <w:rPr>
          <w:snapToGrid w:val="0"/>
          <w:szCs w:val="24"/>
          <w:lang w:eastAsia="en-US"/>
        </w:rPr>
      </w:pPr>
    </w:p>
    <w:p w:rsidR="0054659D" w:rsidRPr="00EE68BD" w:rsidRDefault="0054659D" w:rsidP="003863FD">
      <w:pPr>
        <w:widowControl w:val="0"/>
        <w:tabs>
          <w:tab w:val="left" w:pos="720"/>
        </w:tabs>
        <w:spacing w:before="0"/>
        <w:rPr>
          <w:snapToGrid w:val="0"/>
          <w:szCs w:val="24"/>
          <w:lang w:eastAsia="en-US"/>
        </w:rPr>
      </w:pPr>
    </w:p>
    <w:p w:rsidR="003863FD" w:rsidRPr="00EE68BD" w:rsidRDefault="003863FD" w:rsidP="003863FD">
      <w:pPr>
        <w:widowControl w:val="0"/>
        <w:tabs>
          <w:tab w:val="left" w:pos="720"/>
        </w:tabs>
        <w:spacing w:before="0"/>
        <w:rPr>
          <w:b/>
          <w:snapToGrid w:val="0"/>
          <w:szCs w:val="24"/>
          <w:lang w:eastAsia="en-US"/>
        </w:rPr>
      </w:pPr>
      <w:r w:rsidRPr="00EE68BD">
        <w:rPr>
          <w:b/>
          <w:snapToGrid w:val="0"/>
          <w:szCs w:val="24"/>
          <w:lang w:eastAsia="en-US"/>
        </w:rPr>
        <w:lastRenderedPageBreak/>
        <w:t xml:space="preserve">Conclusion </w:t>
      </w:r>
    </w:p>
    <w:p w:rsidR="003863FD" w:rsidRPr="00EE68BD" w:rsidRDefault="003863FD" w:rsidP="003863FD">
      <w:pPr>
        <w:widowControl w:val="0"/>
        <w:tabs>
          <w:tab w:val="left" w:pos="720"/>
        </w:tabs>
        <w:spacing w:before="0"/>
        <w:rPr>
          <w:snapToGrid w:val="0"/>
          <w:szCs w:val="24"/>
          <w:lang w:eastAsia="en-US"/>
        </w:rPr>
      </w:pPr>
      <w:r w:rsidRPr="00EE68BD">
        <w:rPr>
          <w:snapToGrid w:val="0"/>
          <w:szCs w:val="24"/>
          <w:lang w:eastAsia="en-US"/>
        </w:rPr>
        <w:t>This legislative instrument is compatible with human rights as it promotes the human right to an adequate standard of living and the highest attainable standard of physical and mental health.</w:t>
      </w:r>
    </w:p>
    <w:p w:rsidR="003863FD" w:rsidRPr="00EE68BD" w:rsidRDefault="003863FD" w:rsidP="003863FD">
      <w:pPr>
        <w:widowControl w:val="0"/>
        <w:tabs>
          <w:tab w:val="left" w:pos="720"/>
        </w:tabs>
        <w:spacing w:before="0"/>
        <w:rPr>
          <w:snapToGrid w:val="0"/>
          <w:szCs w:val="24"/>
          <w:lang w:eastAsia="en-US"/>
        </w:rPr>
      </w:pPr>
    </w:p>
    <w:p w:rsidR="003863FD" w:rsidRPr="00EE68BD" w:rsidRDefault="003863FD" w:rsidP="003863FD">
      <w:pPr>
        <w:widowControl w:val="0"/>
        <w:spacing w:before="120" w:after="120"/>
        <w:jc w:val="center"/>
        <w:rPr>
          <w:b/>
          <w:snapToGrid w:val="0"/>
          <w:szCs w:val="24"/>
          <w:lang w:val="en-US" w:eastAsia="en-US"/>
        </w:rPr>
      </w:pPr>
      <w:r w:rsidRPr="00EE68BD">
        <w:rPr>
          <w:b/>
          <w:snapToGrid w:val="0"/>
          <w:szCs w:val="24"/>
          <w:lang w:val="en-US" w:eastAsia="en-US"/>
        </w:rPr>
        <w:t>[</w:t>
      </w:r>
      <w:r>
        <w:rPr>
          <w:b/>
          <w:snapToGrid w:val="0"/>
          <w:szCs w:val="24"/>
          <w:lang w:val="en-US" w:eastAsia="en-US"/>
        </w:rPr>
        <w:t>Delegate of the Secretary of the Department of Health</w:t>
      </w:r>
      <w:r w:rsidRPr="00EE68BD">
        <w:rPr>
          <w:b/>
          <w:snapToGrid w:val="0"/>
          <w:szCs w:val="24"/>
          <w:lang w:val="en-US" w:eastAsia="en-US"/>
        </w:rPr>
        <w:t xml:space="preserve">, </w:t>
      </w:r>
      <w:r>
        <w:rPr>
          <w:b/>
          <w:snapToGrid w:val="0"/>
          <w:szCs w:val="24"/>
          <w:lang w:val="en-US" w:eastAsia="en-US"/>
        </w:rPr>
        <w:t>Kerrie Westcott</w:t>
      </w:r>
      <w:r w:rsidRPr="00EE68BD">
        <w:rPr>
          <w:b/>
          <w:snapToGrid w:val="0"/>
          <w:szCs w:val="24"/>
          <w:lang w:val="en-US" w:eastAsia="en-US"/>
        </w:rPr>
        <w:t>]</w:t>
      </w:r>
    </w:p>
    <w:p w:rsidR="002810A5" w:rsidRPr="00BC76EB" w:rsidRDefault="002810A5" w:rsidP="00EE68BD">
      <w:pPr>
        <w:spacing w:before="360" w:after="120"/>
        <w:jc w:val="center"/>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CF" w:rsidRDefault="00E13DCF" w:rsidP="00AD1645">
      <w:pPr>
        <w:spacing w:before="0"/>
      </w:pPr>
      <w:r>
        <w:separator/>
      </w:r>
    </w:p>
  </w:endnote>
  <w:endnote w:type="continuationSeparator" w:id="0">
    <w:p w:rsidR="00E13DCF" w:rsidRDefault="00E13DC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CF" w:rsidRDefault="00E13DCF" w:rsidP="00AD1645">
      <w:pPr>
        <w:spacing w:before="0"/>
      </w:pPr>
      <w:r>
        <w:separator/>
      </w:r>
    </w:p>
  </w:footnote>
  <w:footnote w:type="continuationSeparator" w:id="0">
    <w:p w:rsidR="00E13DCF" w:rsidRDefault="00E13DCF"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CD15C4"/>
    <w:multiLevelType w:val="hybridMultilevel"/>
    <w:tmpl w:val="649AC560"/>
    <w:lvl w:ilvl="0" w:tplc="5E263F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BAC539A"/>
    <w:multiLevelType w:val="hybridMultilevel"/>
    <w:tmpl w:val="824072DC"/>
    <w:lvl w:ilvl="0" w:tplc="80B28B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2A335F"/>
    <w:multiLevelType w:val="hybridMultilevel"/>
    <w:tmpl w:val="13C2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4"/>
  </w:num>
  <w:num w:numId="5">
    <w:abstractNumId w:val="13"/>
  </w:num>
  <w:num w:numId="6">
    <w:abstractNumId w:val="1"/>
  </w:num>
  <w:num w:numId="7">
    <w:abstractNumId w:val="9"/>
  </w:num>
  <w:num w:numId="8">
    <w:abstractNumId w:val="15"/>
  </w:num>
  <w:num w:numId="9">
    <w:abstractNumId w:val="7"/>
  </w:num>
  <w:num w:numId="10">
    <w:abstractNumId w:val="16"/>
  </w:num>
  <w:num w:numId="11">
    <w:abstractNumId w:val="2"/>
  </w:num>
  <w:num w:numId="12">
    <w:abstractNumId w:val="5"/>
  </w:num>
  <w:num w:numId="13">
    <w:abstractNumId w:val="0"/>
  </w:num>
  <w:num w:numId="14">
    <w:abstractNumId w:val="8"/>
  </w:num>
  <w:num w:numId="15">
    <w:abstractNumId w:val="6"/>
  </w:num>
  <w:num w:numId="16">
    <w:abstractNumId w:val="1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0E00"/>
    <w:rsid w:val="00043B6D"/>
    <w:rsid w:val="00051C3F"/>
    <w:rsid w:val="00066DAE"/>
    <w:rsid w:val="00074C1A"/>
    <w:rsid w:val="000760DC"/>
    <w:rsid w:val="000844AF"/>
    <w:rsid w:val="00084B46"/>
    <w:rsid w:val="00085730"/>
    <w:rsid w:val="00096B8D"/>
    <w:rsid w:val="000A3595"/>
    <w:rsid w:val="000A772F"/>
    <w:rsid w:val="000B4130"/>
    <w:rsid w:val="000B492E"/>
    <w:rsid w:val="000C2DDB"/>
    <w:rsid w:val="000C5204"/>
    <w:rsid w:val="000D365F"/>
    <w:rsid w:val="000E02A0"/>
    <w:rsid w:val="000E306B"/>
    <w:rsid w:val="000E3915"/>
    <w:rsid w:val="000E432E"/>
    <w:rsid w:val="000E55C0"/>
    <w:rsid w:val="001009A4"/>
    <w:rsid w:val="00102165"/>
    <w:rsid w:val="0011719D"/>
    <w:rsid w:val="00123064"/>
    <w:rsid w:val="00126429"/>
    <w:rsid w:val="001310C6"/>
    <w:rsid w:val="00140359"/>
    <w:rsid w:val="001502F9"/>
    <w:rsid w:val="0015134A"/>
    <w:rsid w:val="00152472"/>
    <w:rsid w:val="00163809"/>
    <w:rsid w:val="0016653C"/>
    <w:rsid w:val="001804BE"/>
    <w:rsid w:val="0018674D"/>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760C"/>
    <w:rsid w:val="002533F0"/>
    <w:rsid w:val="002642C7"/>
    <w:rsid w:val="00264C31"/>
    <w:rsid w:val="00274CAF"/>
    <w:rsid w:val="00276D06"/>
    <w:rsid w:val="00276F09"/>
    <w:rsid w:val="002810A5"/>
    <w:rsid w:val="00283079"/>
    <w:rsid w:val="002926E3"/>
    <w:rsid w:val="002A0E63"/>
    <w:rsid w:val="002A2A71"/>
    <w:rsid w:val="002A523B"/>
    <w:rsid w:val="002A6007"/>
    <w:rsid w:val="002A63EA"/>
    <w:rsid w:val="002B0175"/>
    <w:rsid w:val="002C1403"/>
    <w:rsid w:val="002C1938"/>
    <w:rsid w:val="002C2252"/>
    <w:rsid w:val="002C6177"/>
    <w:rsid w:val="002C6921"/>
    <w:rsid w:val="002D0F1C"/>
    <w:rsid w:val="002D35D8"/>
    <w:rsid w:val="002D3A0F"/>
    <w:rsid w:val="002D4522"/>
    <w:rsid w:val="002E0BB1"/>
    <w:rsid w:val="002F3543"/>
    <w:rsid w:val="00300D8B"/>
    <w:rsid w:val="003119FD"/>
    <w:rsid w:val="00331E60"/>
    <w:rsid w:val="00334F9D"/>
    <w:rsid w:val="00337065"/>
    <w:rsid w:val="003430FC"/>
    <w:rsid w:val="003434E2"/>
    <w:rsid w:val="00345FFE"/>
    <w:rsid w:val="0035378F"/>
    <w:rsid w:val="003606C5"/>
    <w:rsid w:val="00365424"/>
    <w:rsid w:val="00371ECB"/>
    <w:rsid w:val="00374A77"/>
    <w:rsid w:val="00377397"/>
    <w:rsid w:val="00380666"/>
    <w:rsid w:val="003863FD"/>
    <w:rsid w:val="00387D89"/>
    <w:rsid w:val="00392EB6"/>
    <w:rsid w:val="00393D4E"/>
    <w:rsid w:val="00394743"/>
    <w:rsid w:val="003A04AD"/>
    <w:rsid w:val="003A5692"/>
    <w:rsid w:val="003B2BB8"/>
    <w:rsid w:val="003B44E1"/>
    <w:rsid w:val="003C3368"/>
    <w:rsid w:val="003C54B6"/>
    <w:rsid w:val="003D34FF"/>
    <w:rsid w:val="003D71F6"/>
    <w:rsid w:val="003E1784"/>
    <w:rsid w:val="00400273"/>
    <w:rsid w:val="00420387"/>
    <w:rsid w:val="0042132E"/>
    <w:rsid w:val="0043064C"/>
    <w:rsid w:val="00446D6C"/>
    <w:rsid w:val="0045240C"/>
    <w:rsid w:val="00453FC9"/>
    <w:rsid w:val="00454405"/>
    <w:rsid w:val="00456FBD"/>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5F08"/>
    <w:rsid w:val="004F69ED"/>
    <w:rsid w:val="005065BE"/>
    <w:rsid w:val="00511520"/>
    <w:rsid w:val="00527238"/>
    <w:rsid w:val="005332C8"/>
    <w:rsid w:val="00540BD8"/>
    <w:rsid w:val="0054659D"/>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E15FA"/>
    <w:rsid w:val="005E4167"/>
    <w:rsid w:val="005E4362"/>
    <w:rsid w:val="005E4607"/>
    <w:rsid w:val="005E7B26"/>
    <w:rsid w:val="005F41C9"/>
    <w:rsid w:val="005F5E17"/>
    <w:rsid w:val="00614C63"/>
    <w:rsid w:val="00620404"/>
    <w:rsid w:val="00622668"/>
    <w:rsid w:val="00622B71"/>
    <w:rsid w:val="00624E34"/>
    <w:rsid w:val="00632F44"/>
    <w:rsid w:val="006402A6"/>
    <w:rsid w:val="006407D3"/>
    <w:rsid w:val="0064167D"/>
    <w:rsid w:val="00647028"/>
    <w:rsid w:val="00650B9C"/>
    <w:rsid w:val="00650C1C"/>
    <w:rsid w:val="006546B7"/>
    <w:rsid w:val="006643AB"/>
    <w:rsid w:val="0067070B"/>
    <w:rsid w:val="0067403A"/>
    <w:rsid w:val="00681C7F"/>
    <w:rsid w:val="00683FF5"/>
    <w:rsid w:val="00687351"/>
    <w:rsid w:val="006A1F70"/>
    <w:rsid w:val="006A4CE7"/>
    <w:rsid w:val="006A5D55"/>
    <w:rsid w:val="006A6D51"/>
    <w:rsid w:val="006B7C0A"/>
    <w:rsid w:val="006C5E5E"/>
    <w:rsid w:val="006E1B19"/>
    <w:rsid w:val="006F0769"/>
    <w:rsid w:val="006F6654"/>
    <w:rsid w:val="00701486"/>
    <w:rsid w:val="007049E0"/>
    <w:rsid w:val="0070745E"/>
    <w:rsid w:val="00720E42"/>
    <w:rsid w:val="0073766B"/>
    <w:rsid w:val="00762A05"/>
    <w:rsid w:val="00771003"/>
    <w:rsid w:val="0077461F"/>
    <w:rsid w:val="0078126B"/>
    <w:rsid w:val="00785261"/>
    <w:rsid w:val="007907A8"/>
    <w:rsid w:val="007938F3"/>
    <w:rsid w:val="0079557B"/>
    <w:rsid w:val="007A53DD"/>
    <w:rsid w:val="007B0256"/>
    <w:rsid w:val="007B69DD"/>
    <w:rsid w:val="007C4060"/>
    <w:rsid w:val="007C5234"/>
    <w:rsid w:val="007D43B6"/>
    <w:rsid w:val="007D6273"/>
    <w:rsid w:val="007E4FAD"/>
    <w:rsid w:val="007F44F6"/>
    <w:rsid w:val="00807CD7"/>
    <w:rsid w:val="008140D6"/>
    <w:rsid w:val="00816CFA"/>
    <w:rsid w:val="008251E9"/>
    <w:rsid w:val="0083135C"/>
    <w:rsid w:val="00841C22"/>
    <w:rsid w:val="008512F8"/>
    <w:rsid w:val="00860BE9"/>
    <w:rsid w:val="008707FE"/>
    <w:rsid w:val="00871F28"/>
    <w:rsid w:val="008761FF"/>
    <w:rsid w:val="00880E92"/>
    <w:rsid w:val="00896466"/>
    <w:rsid w:val="008B026E"/>
    <w:rsid w:val="008B1AA5"/>
    <w:rsid w:val="008B4CF1"/>
    <w:rsid w:val="008D2D41"/>
    <w:rsid w:val="008D2FC2"/>
    <w:rsid w:val="008D59CA"/>
    <w:rsid w:val="008D68B6"/>
    <w:rsid w:val="008D7A97"/>
    <w:rsid w:val="008E1D0E"/>
    <w:rsid w:val="008E320A"/>
    <w:rsid w:val="008F5702"/>
    <w:rsid w:val="008F6D69"/>
    <w:rsid w:val="0090702B"/>
    <w:rsid w:val="009140F6"/>
    <w:rsid w:val="00915A96"/>
    <w:rsid w:val="009162C6"/>
    <w:rsid w:val="009225F0"/>
    <w:rsid w:val="00930624"/>
    <w:rsid w:val="00932E80"/>
    <w:rsid w:val="00935A03"/>
    <w:rsid w:val="009426E4"/>
    <w:rsid w:val="00946730"/>
    <w:rsid w:val="00950ACB"/>
    <w:rsid w:val="0095196E"/>
    <w:rsid w:val="00956519"/>
    <w:rsid w:val="009570E2"/>
    <w:rsid w:val="00966756"/>
    <w:rsid w:val="00966F79"/>
    <w:rsid w:val="00985038"/>
    <w:rsid w:val="00992429"/>
    <w:rsid w:val="0099649B"/>
    <w:rsid w:val="009A4EAB"/>
    <w:rsid w:val="009A5D3E"/>
    <w:rsid w:val="009B71A9"/>
    <w:rsid w:val="009C63A9"/>
    <w:rsid w:val="009C63B6"/>
    <w:rsid w:val="009D1BE5"/>
    <w:rsid w:val="009F3C43"/>
    <w:rsid w:val="00A00133"/>
    <w:rsid w:val="00A06B72"/>
    <w:rsid w:val="00A1432E"/>
    <w:rsid w:val="00A27E85"/>
    <w:rsid w:val="00A375D4"/>
    <w:rsid w:val="00A37984"/>
    <w:rsid w:val="00A42690"/>
    <w:rsid w:val="00A4616D"/>
    <w:rsid w:val="00A6045B"/>
    <w:rsid w:val="00A63038"/>
    <w:rsid w:val="00A63D74"/>
    <w:rsid w:val="00A66DD0"/>
    <w:rsid w:val="00A719D2"/>
    <w:rsid w:val="00A763EC"/>
    <w:rsid w:val="00A8767B"/>
    <w:rsid w:val="00A94C22"/>
    <w:rsid w:val="00AA0F80"/>
    <w:rsid w:val="00AA37AC"/>
    <w:rsid w:val="00AA45C6"/>
    <w:rsid w:val="00AB7356"/>
    <w:rsid w:val="00AC271F"/>
    <w:rsid w:val="00AC555A"/>
    <w:rsid w:val="00AC635D"/>
    <w:rsid w:val="00AD1347"/>
    <w:rsid w:val="00AD1645"/>
    <w:rsid w:val="00AE11F6"/>
    <w:rsid w:val="00AE3176"/>
    <w:rsid w:val="00AF0E6A"/>
    <w:rsid w:val="00B00B57"/>
    <w:rsid w:val="00B01538"/>
    <w:rsid w:val="00B04EB0"/>
    <w:rsid w:val="00B11BB8"/>
    <w:rsid w:val="00B261D9"/>
    <w:rsid w:val="00B33E33"/>
    <w:rsid w:val="00B376E6"/>
    <w:rsid w:val="00B44705"/>
    <w:rsid w:val="00B52B87"/>
    <w:rsid w:val="00B54C30"/>
    <w:rsid w:val="00B6472A"/>
    <w:rsid w:val="00B73680"/>
    <w:rsid w:val="00B74531"/>
    <w:rsid w:val="00B777D9"/>
    <w:rsid w:val="00B821A0"/>
    <w:rsid w:val="00BA03FD"/>
    <w:rsid w:val="00BA2DB9"/>
    <w:rsid w:val="00BB0D37"/>
    <w:rsid w:val="00BC6829"/>
    <w:rsid w:val="00BC76EB"/>
    <w:rsid w:val="00BD25AE"/>
    <w:rsid w:val="00BD3FB3"/>
    <w:rsid w:val="00BD47B5"/>
    <w:rsid w:val="00BD7E9D"/>
    <w:rsid w:val="00BE56A0"/>
    <w:rsid w:val="00BE7148"/>
    <w:rsid w:val="00BF2FB3"/>
    <w:rsid w:val="00BF41C4"/>
    <w:rsid w:val="00C21C68"/>
    <w:rsid w:val="00C2733D"/>
    <w:rsid w:val="00C37944"/>
    <w:rsid w:val="00C37BA8"/>
    <w:rsid w:val="00C4511C"/>
    <w:rsid w:val="00C455A2"/>
    <w:rsid w:val="00C559BF"/>
    <w:rsid w:val="00C67FE0"/>
    <w:rsid w:val="00C7238E"/>
    <w:rsid w:val="00C7388C"/>
    <w:rsid w:val="00C77B41"/>
    <w:rsid w:val="00CA33B2"/>
    <w:rsid w:val="00CA3D78"/>
    <w:rsid w:val="00CA43C4"/>
    <w:rsid w:val="00CA6F15"/>
    <w:rsid w:val="00CB344C"/>
    <w:rsid w:val="00CB42CE"/>
    <w:rsid w:val="00CC7EC4"/>
    <w:rsid w:val="00CF0527"/>
    <w:rsid w:val="00D1706F"/>
    <w:rsid w:val="00D2075E"/>
    <w:rsid w:val="00D21B21"/>
    <w:rsid w:val="00D21D83"/>
    <w:rsid w:val="00D243C5"/>
    <w:rsid w:val="00D31C51"/>
    <w:rsid w:val="00D367AA"/>
    <w:rsid w:val="00D37C2C"/>
    <w:rsid w:val="00D459E0"/>
    <w:rsid w:val="00D61C4B"/>
    <w:rsid w:val="00D70733"/>
    <w:rsid w:val="00D708CA"/>
    <w:rsid w:val="00D72F4B"/>
    <w:rsid w:val="00D847FA"/>
    <w:rsid w:val="00D84967"/>
    <w:rsid w:val="00DA4959"/>
    <w:rsid w:val="00DB6E7A"/>
    <w:rsid w:val="00DC765C"/>
    <w:rsid w:val="00DD3BC1"/>
    <w:rsid w:val="00DE0717"/>
    <w:rsid w:val="00DE3A1F"/>
    <w:rsid w:val="00DF2086"/>
    <w:rsid w:val="00E01E71"/>
    <w:rsid w:val="00E027AF"/>
    <w:rsid w:val="00E13DCF"/>
    <w:rsid w:val="00E15CFF"/>
    <w:rsid w:val="00E230ED"/>
    <w:rsid w:val="00E23C53"/>
    <w:rsid w:val="00E32139"/>
    <w:rsid w:val="00E41BEF"/>
    <w:rsid w:val="00E44FD4"/>
    <w:rsid w:val="00E513B7"/>
    <w:rsid w:val="00E708B1"/>
    <w:rsid w:val="00E72DC6"/>
    <w:rsid w:val="00E745BB"/>
    <w:rsid w:val="00E7508F"/>
    <w:rsid w:val="00E7675B"/>
    <w:rsid w:val="00E87016"/>
    <w:rsid w:val="00E907A4"/>
    <w:rsid w:val="00E96CBE"/>
    <w:rsid w:val="00E9738E"/>
    <w:rsid w:val="00EA16F9"/>
    <w:rsid w:val="00EA17EE"/>
    <w:rsid w:val="00EA2DDC"/>
    <w:rsid w:val="00EA3666"/>
    <w:rsid w:val="00EA677D"/>
    <w:rsid w:val="00EA6829"/>
    <w:rsid w:val="00EA76C2"/>
    <w:rsid w:val="00EB51BC"/>
    <w:rsid w:val="00EC0C59"/>
    <w:rsid w:val="00EC25F5"/>
    <w:rsid w:val="00EC47F6"/>
    <w:rsid w:val="00ED1D5E"/>
    <w:rsid w:val="00ED6613"/>
    <w:rsid w:val="00EE2764"/>
    <w:rsid w:val="00EE68BD"/>
    <w:rsid w:val="00EF54F0"/>
    <w:rsid w:val="00F0576D"/>
    <w:rsid w:val="00F108ED"/>
    <w:rsid w:val="00F15C56"/>
    <w:rsid w:val="00F227A4"/>
    <w:rsid w:val="00F328DA"/>
    <w:rsid w:val="00F34051"/>
    <w:rsid w:val="00F35271"/>
    <w:rsid w:val="00F35580"/>
    <w:rsid w:val="00F502A9"/>
    <w:rsid w:val="00F52853"/>
    <w:rsid w:val="00F754A3"/>
    <w:rsid w:val="00F97999"/>
    <w:rsid w:val="00FA0C9B"/>
    <w:rsid w:val="00FA6F53"/>
    <w:rsid w:val="00FA7196"/>
    <w:rsid w:val="00FD2F20"/>
    <w:rsid w:val="00FD368E"/>
    <w:rsid w:val="00FD6BF4"/>
    <w:rsid w:val="00FD7A80"/>
    <w:rsid w:val="00FE5C69"/>
    <w:rsid w:val="00FF20B0"/>
    <w:rsid w:val="00FF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9162C6"/>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9162C6"/>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550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5F61-463E-4685-A480-1EB4D593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2218</Words>
  <Characters>12645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Lewis Eleanor</cp:lastModifiedBy>
  <cp:revision>2</cp:revision>
  <cp:lastPrinted>2016-03-10T21:29:00Z</cp:lastPrinted>
  <dcterms:created xsi:type="dcterms:W3CDTF">2016-03-17T02:56:00Z</dcterms:created>
  <dcterms:modified xsi:type="dcterms:W3CDTF">2016-03-17T02:56:00Z</dcterms:modified>
</cp:coreProperties>
</file>