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16B46" w14:textId="468057A1" w:rsidR="00F04010" w:rsidRPr="00A94C87" w:rsidRDefault="0085704F" w:rsidP="00D22F27">
      <w:pPr>
        <w:spacing w:before="120" w:after="120"/>
        <w:jc w:val="center"/>
        <w:rPr>
          <w:rFonts w:cs="Arial"/>
          <w:b/>
          <w:i/>
        </w:rPr>
      </w:pPr>
      <w:r w:rsidRPr="00A94C87">
        <w:rPr>
          <w:rFonts w:cs="Arial"/>
          <w:b/>
          <w:i/>
        </w:rPr>
        <w:t>Legislati</w:t>
      </w:r>
      <w:r w:rsidR="00F94718">
        <w:rPr>
          <w:rFonts w:cs="Arial"/>
          <w:b/>
          <w:i/>
        </w:rPr>
        <w:t>on</w:t>
      </w:r>
      <w:r w:rsidRPr="00A94C87">
        <w:rPr>
          <w:rFonts w:cs="Arial"/>
          <w:b/>
          <w:i/>
        </w:rPr>
        <w:t xml:space="preserve"> Act 2003</w:t>
      </w:r>
    </w:p>
    <w:p w14:paraId="53FD4448" w14:textId="44AE92C8" w:rsidR="00F74683" w:rsidRDefault="00F04010" w:rsidP="00D22F27">
      <w:pPr>
        <w:spacing w:before="120" w:after="120"/>
        <w:jc w:val="center"/>
        <w:rPr>
          <w:rFonts w:cs="Arial"/>
          <w:b/>
        </w:rPr>
      </w:pPr>
      <w:r w:rsidRPr="00A94C87">
        <w:rPr>
          <w:rFonts w:cs="Arial"/>
          <w:b/>
        </w:rPr>
        <w:t>S</w:t>
      </w:r>
      <w:r w:rsidR="00F94718">
        <w:rPr>
          <w:rFonts w:cs="Arial"/>
          <w:b/>
        </w:rPr>
        <w:t>ubs</w:t>
      </w:r>
      <w:r w:rsidRPr="00A94C87">
        <w:rPr>
          <w:rFonts w:cs="Arial"/>
          <w:b/>
        </w:rPr>
        <w:t xml:space="preserve">ection </w:t>
      </w:r>
      <w:proofErr w:type="gramStart"/>
      <w:r w:rsidR="00F94718">
        <w:rPr>
          <w:rFonts w:cs="Arial"/>
          <w:b/>
        </w:rPr>
        <w:t>15G(</w:t>
      </w:r>
      <w:proofErr w:type="gramEnd"/>
      <w:r w:rsidR="00F94718">
        <w:rPr>
          <w:rFonts w:cs="Arial"/>
          <w:b/>
        </w:rPr>
        <w:t>4)</w:t>
      </w:r>
      <w:r w:rsidRPr="00A94C87">
        <w:rPr>
          <w:rFonts w:cs="Arial"/>
          <w:b/>
        </w:rPr>
        <w:t xml:space="preserve"> </w:t>
      </w:r>
      <w:r w:rsidR="00E66F7A">
        <w:rPr>
          <w:rFonts w:cs="Arial"/>
          <w:b/>
        </w:rPr>
        <w:t>–</w:t>
      </w:r>
      <w:r w:rsidRPr="00A94C87">
        <w:rPr>
          <w:rFonts w:cs="Arial"/>
          <w:b/>
        </w:rPr>
        <w:t xml:space="preserve"> </w:t>
      </w:r>
      <w:r w:rsidR="00F74683" w:rsidRPr="00A94C87">
        <w:rPr>
          <w:rFonts w:cs="Arial"/>
          <w:b/>
        </w:rPr>
        <w:t>Explanatory Statement</w:t>
      </w:r>
    </w:p>
    <w:p w14:paraId="36314E8E" w14:textId="77777777" w:rsidR="00397E21" w:rsidRPr="00A94C87" w:rsidRDefault="00397E21" w:rsidP="00D22F27">
      <w:pPr>
        <w:spacing w:before="120" w:after="120"/>
        <w:jc w:val="center"/>
        <w:rPr>
          <w:rFonts w:cs="Arial"/>
          <w:b/>
        </w:rPr>
      </w:pPr>
    </w:p>
    <w:p w14:paraId="1C9F739B" w14:textId="77777777" w:rsidR="00F74683" w:rsidRPr="00A94C87" w:rsidRDefault="00127690" w:rsidP="00D22F27">
      <w:pPr>
        <w:spacing w:before="120" w:after="120"/>
        <w:jc w:val="center"/>
        <w:rPr>
          <w:rFonts w:cs="Arial"/>
          <w:b/>
          <w:i/>
        </w:rPr>
      </w:pPr>
      <w:r w:rsidRPr="00127690">
        <w:rPr>
          <w:rFonts w:cs="Arial"/>
          <w:b/>
          <w:i/>
        </w:rPr>
        <w:t xml:space="preserve">Broadcasting Services </w:t>
      </w:r>
      <w:r w:rsidR="000534F7">
        <w:rPr>
          <w:rFonts w:cs="Arial"/>
          <w:b/>
          <w:i/>
        </w:rPr>
        <w:t>Clarification Notice 2016</w:t>
      </w:r>
      <w:r w:rsidR="00232F5B">
        <w:rPr>
          <w:rFonts w:cs="Arial"/>
          <w:b/>
          <w:i/>
        </w:rPr>
        <w:t xml:space="preserve"> </w:t>
      </w:r>
      <w:r w:rsidR="00F74683" w:rsidRPr="00A94C87">
        <w:rPr>
          <w:rFonts w:cs="Arial"/>
          <w:b/>
        </w:rPr>
        <w:t xml:space="preserve">made under the </w:t>
      </w:r>
      <w:r w:rsidR="00F74683" w:rsidRPr="00A94C87">
        <w:rPr>
          <w:rFonts w:cs="Arial"/>
          <w:b/>
          <w:i/>
        </w:rPr>
        <w:t>Broadcasting Services Act 1992</w:t>
      </w:r>
    </w:p>
    <w:p w14:paraId="2C22C8DE" w14:textId="77777777" w:rsidR="00F74683" w:rsidRPr="00A94C87" w:rsidRDefault="00F74683" w:rsidP="00D22F27">
      <w:pPr>
        <w:spacing w:before="120" w:after="120"/>
        <w:jc w:val="center"/>
        <w:rPr>
          <w:rFonts w:cs="Arial"/>
          <w:b/>
        </w:rPr>
      </w:pPr>
    </w:p>
    <w:p w14:paraId="4D80B208" w14:textId="77777777" w:rsidR="00F74683" w:rsidRPr="00A94C87" w:rsidRDefault="00F74683" w:rsidP="00D22F27">
      <w:pPr>
        <w:spacing w:before="120" w:after="120"/>
        <w:jc w:val="center"/>
        <w:rPr>
          <w:rFonts w:cs="Arial"/>
          <w:b/>
        </w:rPr>
      </w:pPr>
      <w:r w:rsidRPr="00A94C87">
        <w:rPr>
          <w:rFonts w:cs="Arial"/>
          <w:b/>
        </w:rPr>
        <w:t>Issued by the Australian Communications and Media Authority</w:t>
      </w:r>
    </w:p>
    <w:p w14:paraId="5D3ABE63" w14:textId="77777777" w:rsidR="00F04010" w:rsidRPr="00625363" w:rsidRDefault="00625363" w:rsidP="003E54B4">
      <w:pPr>
        <w:spacing w:before="80" w:after="120" w:line="240" w:lineRule="atLeast"/>
        <w:rPr>
          <w:rFonts w:cs="Arial"/>
          <w:b/>
        </w:rPr>
      </w:pPr>
      <w:r w:rsidRPr="00625363">
        <w:rPr>
          <w:b/>
        </w:rPr>
        <w:t>Purpose</w:t>
      </w:r>
      <w:r>
        <w:rPr>
          <w:b/>
        </w:rPr>
        <w:t xml:space="preserve"> </w:t>
      </w:r>
      <w:r w:rsidR="00784D72">
        <w:rPr>
          <w:b/>
        </w:rPr>
        <w:t>and legislative basis</w:t>
      </w:r>
    </w:p>
    <w:p w14:paraId="31A6C1DE" w14:textId="0CAD101C" w:rsidR="00921FF3" w:rsidRDefault="00232F5B" w:rsidP="003E54B4">
      <w:pPr>
        <w:spacing w:before="80" w:after="120" w:line="240" w:lineRule="atLeast"/>
      </w:pPr>
      <w:r>
        <w:rPr>
          <w:rFonts w:cs="Arial"/>
        </w:rPr>
        <w:t xml:space="preserve">On </w:t>
      </w:r>
      <w:r w:rsidR="00CF42EA">
        <w:rPr>
          <w:rFonts w:cs="Arial"/>
        </w:rPr>
        <w:t>18 March 2016</w:t>
      </w:r>
      <w:bookmarkStart w:id="0" w:name="_GoBack"/>
      <w:bookmarkEnd w:id="0"/>
      <w:r>
        <w:rPr>
          <w:rFonts w:cs="Arial"/>
        </w:rPr>
        <w:t xml:space="preserve"> the </w:t>
      </w:r>
      <w:r w:rsidR="000534F7">
        <w:t xml:space="preserve">Australian Communications and Media Authority (the </w:t>
      </w:r>
      <w:r w:rsidRPr="000534F7">
        <w:rPr>
          <w:rFonts w:cs="Arial"/>
          <w:b/>
        </w:rPr>
        <w:t>ACMA</w:t>
      </w:r>
      <w:r w:rsidR="000534F7">
        <w:rPr>
          <w:rFonts w:cs="Arial"/>
        </w:rPr>
        <w:t>)</w:t>
      </w:r>
      <w:r>
        <w:rPr>
          <w:rFonts w:cs="Arial"/>
        </w:rPr>
        <w:t xml:space="preserve"> made the </w:t>
      </w:r>
      <w:r w:rsidRPr="00127690">
        <w:rPr>
          <w:rFonts w:cs="Arial"/>
          <w:i/>
        </w:rPr>
        <w:t xml:space="preserve">Broadcasting Services </w:t>
      </w:r>
      <w:r w:rsidR="000534F7">
        <w:rPr>
          <w:rFonts w:cs="Arial"/>
          <w:i/>
        </w:rPr>
        <w:t>Clarification Notice 201</w:t>
      </w:r>
      <w:r w:rsidR="00921FF3">
        <w:rPr>
          <w:rFonts w:cs="Arial"/>
          <w:i/>
        </w:rPr>
        <w:t>6</w:t>
      </w:r>
      <w:r>
        <w:rPr>
          <w:rFonts w:cs="Arial"/>
          <w:i/>
        </w:rPr>
        <w:t xml:space="preserve"> </w:t>
      </w:r>
      <w:r w:rsidRPr="00A15D18">
        <w:rPr>
          <w:rFonts w:cs="Arial"/>
        </w:rPr>
        <w:t>(</w:t>
      </w:r>
      <w:r w:rsidRPr="000437A8">
        <w:rPr>
          <w:rFonts w:cs="Arial"/>
        </w:rPr>
        <w:t>the</w:t>
      </w:r>
      <w:r w:rsidR="00124D4E">
        <w:rPr>
          <w:rFonts w:cs="Arial"/>
        </w:rPr>
        <w:t xml:space="preserve"> </w:t>
      </w:r>
      <w:r w:rsidR="002C4F5D">
        <w:rPr>
          <w:rFonts w:cs="Arial"/>
          <w:b/>
        </w:rPr>
        <w:t>Notice</w:t>
      </w:r>
      <w:r w:rsidR="00124D4E">
        <w:rPr>
          <w:rFonts w:cs="Arial"/>
        </w:rPr>
        <w:t>)</w:t>
      </w:r>
      <w:r w:rsidRPr="000437A8">
        <w:rPr>
          <w:rFonts w:cs="Arial"/>
        </w:rPr>
        <w:t>.</w:t>
      </w:r>
      <w:r w:rsidRPr="00A94C87">
        <w:rPr>
          <w:rFonts w:cs="Arial"/>
        </w:rPr>
        <w:t xml:space="preserve"> </w:t>
      </w:r>
      <w:r w:rsidR="00921FF3">
        <w:rPr>
          <w:rFonts w:cs="Arial"/>
        </w:rPr>
        <w:t xml:space="preserve">The </w:t>
      </w:r>
      <w:r w:rsidR="002C4F5D">
        <w:rPr>
          <w:rFonts w:cs="Arial"/>
        </w:rPr>
        <w:t>Notice</w:t>
      </w:r>
      <w:r w:rsidR="00921FF3">
        <w:rPr>
          <w:rFonts w:cs="Arial"/>
        </w:rPr>
        <w:t xml:space="preserve"> </w:t>
      </w:r>
      <w:r w:rsidR="00124D4E">
        <w:rPr>
          <w:rFonts w:cs="Arial"/>
        </w:rPr>
        <w:t xml:space="preserve">replaces </w:t>
      </w:r>
      <w:r w:rsidR="00784D72">
        <w:rPr>
          <w:rFonts w:cs="Arial"/>
        </w:rPr>
        <w:t xml:space="preserve">and consolidates </w:t>
      </w:r>
      <w:r w:rsidR="00124D4E">
        <w:rPr>
          <w:rFonts w:cs="Arial"/>
        </w:rPr>
        <w:t xml:space="preserve">the </w:t>
      </w:r>
      <w:r w:rsidR="00124D4E" w:rsidRPr="00124D4E">
        <w:rPr>
          <w:i/>
        </w:rPr>
        <w:t>Broadcasting Services Clarification Notice 2001</w:t>
      </w:r>
      <w:r w:rsidR="00124D4E">
        <w:t xml:space="preserve"> (the </w:t>
      </w:r>
      <w:r w:rsidR="00124D4E" w:rsidRPr="00784D72">
        <w:rPr>
          <w:b/>
        </w:rPr>
        <w:t>2001 Notice</w:t>
      </w:r>
      <w:r w:rsidR="00124D4E">
        <w:t xml:space="preserve">) and the </w:t>
      </w:r>
      <w:r w:rsidR="00124D4E" w:rsidRPr="00124D4E">
        <w:rPr>
          <w:i/>
        </w:rPr>
        <w:t>Broadcasting Services Clarification Notice 200</w:t>
      </w:r>
      <w:r w:rsidR="00124D4E">
        <w:rPr>
          <w:i/>
        </w:rPr>
        <w:t>2</w:t>
      </w:r>
      <w:r w:rsidR="00124D4E">
        <w:t xml:space="preserve"> (the </w:t>
      </w:r>
      <w:r w:rsidR="00124D4E" w:rsidRPr="00784D72">
        <w:rPr>
          <w:b/>
        </w:rPr>
        <w:t>2002 Notice</w:t>
      </w:r>
      <w:r w:rsidR="00124D4E">
        <w:t>)</w:t>
      </w:r>
      <w:r w:rsidR="00784D72">
        <w:t xml:space="preserve"> (together, the </w:t>
      </w:r>
      <w:r w:rsidR="00784D72">
        <w:rPr>
          <w:b/>
        </w:rPr>
        <w:t>previous Notices</w:t>
      </w:r>
      <w:r w:rsidR="00784D72">
        <w:t>), without making any substantive changes to the regulatory arrangements created by the previous Notices</w:t>
      </w:r>
      <w:r w:rsidR="00124D4E">
        <w:t>.</w:t>
      </w:r>
    </w:p>
    <w:p w14:paraId="65683CAF" w14:textId="7843FF98" w:rsidR="00784D72" w:rsidRPr="00784D72" w:rsidRDefault="00784D72" w:rsidP="003E54B4">
      <w:pPr>
        <w:spacing w:before="80" w:after="120" w:line="240" w:lineRule="atLeast"/>
        <w:rPr>
          <w:rFonts w:cs="Arial"/>
        </w:rPr>
      </w:pPr>
      <w:r>
        <w:t xml:space="preserve">The ACMA has made the </w:t>
      </w:r>
      <w:r w:rsidR="002C4F5D">
        <w:t>Notice</w:t>
      </w:r>
      <w:r>
        <w:t xml:space="preserve"> prior to the automatic repeal of the previous Notices on 1 April 2016</w:t>
      </w:r>
      <w:r w:rsidR="001C1226">
        <w:t>.</w:t>
      </w:r>
      <w:r w:rsidR="00566513">
        <w:t xml:space="preserve"> The automatic repeal is</w:t>
      </w:r>
      <w:r>
        <w:t xml:space="preserve"> in accordance with Part </w:t>
      </w:r>
      <w:r w:rsidR="00BA6503">
        <w:t xml:space="preserve">4 of Chapter 3 </w:t>
      </w:r>
      <w:r>
        <w:t xml:space="preserve">of the </w:t>
      </w:r>
      <w:r w:rsidRPr="00784D72">
        <w:rPr>
          <w:i/>
        </w:rPr>
        <w:t>Legislati</w:t>
      </w:r>
      <w:r w:rsidR="00BA6503">
        <w:rPr>
          <w:i/>
        </w:rPr>
        <w:t>on</w:t>
      </w:r>
      <w:r w:rsidRPr="00784D72">
        <w:rPr>
          <w:i/>
        </w:rPr>
        <w:t xml:space="preserve"> Act 2003</w:t>
      </w:r>
      <w:r>
        <w:t xml:space="preserve"> (the </w:t>
      </w:r>
      <w:r>
        <w:rPr>
          <w:b/>
        </w:rPr>
        <w:t>LA</w:t>
      </w:r>
      <w:r>
        <w:t>).</w:t>
      </w:r>
    </w:p>
    <w:p w14:paraId="6AECFA03" w14:textId="5CF1B0B1" w:rsidR="00D31D5A" w:rsidRDefault="00AD259F" w:rsidP="003E54B4">
      <w:pPr>
        <w:spacing w:before="80" w:after="120" w:line="240" w:lineRule="atLeast"/>
      </w:pPr>
      <w:r>
        <w:t xml:space="preserve">The </w:t>
      </w:r>
      <w:r w:rsidR="00784D72">
        <w:t xml:space="preserve">ACMA has made the </w:t>
      </w:r>
      <w:r w:rsidR="002C4F5D">
        <w:t>Notice</w:t>
      </w:r>
      <w:r>
        <w:t xml:space="preserve"> in accordance with </w:t>
      </w:r>
      <w:r w:rsidR="000534F7">
        <w:t>paragraph</w:t>
      </w:r>
      <w:r>
        <w:t xml:space="preserve"> </w:t>
      </w:r>
      <w:r w:rsidR="000534F7">
        <w:t>19(1</w:t>
      </w:r>
      <w:proofErr w:type="gramStart"/>
      <w:r>
        <w:t>)</w:t>
      </w:r>
      <w:r w:rsidR="000534F7">
        <w:t>(</w:t>
      </w:r>
      <w:proofErr w:type="gramEnd"/>
      <w:r w:rsidR="000534F7">
        <w:t>b)</w:t>
      </w:r>
      <w:r>
        <w:t xml:space="preserve"> of the </w:t>
      </w:r>
      <w:r w:rsidRPr="000437A8">
        <w:rPr>
          <w:rFonts w:cs="Arial"/>
          <w:i/>
        </w:rPr>
        <w:t>Broadcasting Services Act 1992</w:t>
      </w:r>
      <w:r w:rsidRPr="000437A8">
        <w:rPr>
          <w:rFonts w:cs="Arial"/>
        </w:rPr>
        <w:t xml:space="preserve"> (the </w:t>
      </w:r>
      <w:r w:rsidRPr="003057BB">
        <w:rPr>
          <w:rFonts w:cs="Arial"/>
          <w:b/>
        </w:rPr>
        <w:t>Act</w:t>
      </w:r>
      <w:r w:rsidRPr="000437A8">
        <w:rPr>
          <w:rFonts w:cs="Arial"/>
        </w:rPr>
        <w:t>)</w:t>
      </w:r>
      <w:r w:rsidR="002C4F5D">
        <w:t xml:space="preserve"> and </w:t>
      </w:r>
      <w:r>
        <w:t>subsection 33(3) of the</w:t>
      </w:r>
      <w:r>
        <w:rPr>
          <w:i/>
          <w:iCs/>
        </w:rPr>
        <w:t xml:space="preserve"> Acts Interpretation Act 1901</w:t>
      </w:r>
      <w:r>
        <w:t xml:space="preserve"> (the </w:t>
      </w:r>
      <w:r w:rsidRPr="000534F7">
        <w:rPr>
          <w:b/>
        </w:rPr>
        <w:t>AIA</w:t>
      </w:r>
      <w:r w:rsidRPr="000534F7">
        <w:t>)</w:t>
      </w:r>
      <w:r>
        <w:t>.</w:t>
      </w:r>
      <w:r w:rsidR="000534F7">
        <w:t xml:space="preserve"> </w:t>
      </w:r>
    </w:p>
    <w:p w14:paraId="20402945" w14:textId="5BBF8962" w:rsidR="00AD259F" w:rsidRDefault="000534F7" w:rsidP="003E54B4">
      <w:pPr>
        <w:spacing w:before="80" w:after="120" w:line="240" w:lineRule="atLeast"/>
        <w:rPr>
          <w:rFonts w:cs="Arial"/>
        </w:rPr>
      </w:pPr>
      <w:r>
        <w:t>Paragraph 19(1</w:t>
      </w:r>
      <w:proofErr w:type="gramStart"/>
      <w:r>
        <w:t>)(</w:t>
      </w:r>
      <w:proofErr w:type="gramEnd"/>
      <w:r>
        <w:t xml:space="preserve">b) </w:t>
      </w:r>
      <w:r w:rsidR="00AD259F" w:rsidRPr="000437A8">
        <w:rPr>
          <w:rFonts w:cs="Arial"/>
        </w:rPr>
        <w:t xml:space="preserve">of the </w:t>
      </w:r>
      <w:r w:rsidR="00AD259F">
        <w:rPr>
          <w:rFonts w:cs="Arial"/>
        </w:rPr>
        <w:t xml:space="preserve">Act </w:t>
      </w:r>
      <w:r w:rsidR="00AD259F" w:rsidRPr="00A94C87">
        <w:rPr>
          <w:rFonts w:cs="Arial"/>
        </w:rPr>
        <w:t>provide</w:t>
      </w:r>
      <w:r>
        <w:rPr>
          <w:rFonts w:cs="Arial"/>
        </w:rPr>
        <w:t>s</w:t>
      </w:r>
      <w:r w:rsidR="00AD259F" w:rsidRPr="00A94C87">
        <w:rPr>
          <w:rFonts w:cs="Arial"/>
        </w:rPr>
        <w:t xml:space="preserve"> that</w:t>
      </w:r>
      <w:r w:rsidR="00AD259F">
        <w:rPr>
          <w:rFonts w:cs="Arial"/>
        </w:rPr>
        <w:t xml:space="preserve"> t</w:t>
      </w:r>
      <w:r w:rsidR="00AD259F" w:rsidRPr="008F35BD">
        <w:rPr>
          <w:rFonts w:cs="Arial"/>
        </w:rPr>
        <w:t>he ACMA may</w:t>
      </w:r>
      <w:r w:rsidR="00B87AEA">
        <w:rPr>
          <w:rFonts w:cs="Arial"/>
        </w:rPr>
        <w:t xml:space="preserve"> </w:t>
      </w:r>
      <w:r>
        <w:rPr>
          <w:rFonts w:cs="Arial"/>
        </w:rPr>
        <w:t xml:space="preserve">clarify the criteria specified in sections 14 to 18A of the Act. </w:t>
      </w:r>
      <w:r w:rsidR="00824302">
        <w:rPr>
          <w:rFonts w:cs="Arial"/>
        </w:rPr>
        <w:t xml:space="preserve">Subsection 19(2) of the Act provides that different clarifications may be made for radio services and television services. </w:t>
      </w:r>
      <w:r>
        <w:rPr>
          <w:rFonts w:cs="Arial"/>
        </w:rPr>
        <w:t xml:space="preserve">Sections 14 to 18A of the Act set out the criteria for the </w:t>
      </w:r>
      <w:r w:rsidR="00824302">
        <w:rPr>
          <w:rFonts w:cs="Arial"/>
        </w:rPr>
        <w:t xml:space="preserve">seven </w:t>
      </w:r>
      <w:r>
        <w:rPr>
          <w:rFonts w:cs="Arial"/>
        </w:rPr>
        <w:t>different cat</w:t>
      </w:r>
      <w:r w:rsidR="00824302">
        <w:rPr>
          <w:rFonts w:cs="Arial"/>
        </w:rPr>
        <w:t>egories of broadcasting services to which the Act relates. The criteria for open narrowcasting services are set out in section 18 of the Act.</w:t>
      </w:r>
      <w:r>
        <w:rPr>
          <w:rFonts w:cs="Arial"/>
        </w:rPr>
        <w:t xml:space="preserve"> </w:t>
      </w:r>
    </w:p>
    <w:p w14:paraId="587C105C" w14:textId="3D46660B" w:rsidR="00784D72" w:rsidRPr="00AD259F" w:rsidRDefault="00784D72" w:rsidP="00784D72">
      <w:pPr>
        <w:spacing w:before="80" w:after="120" w:line="240" w:lineRule="atLeast"/>
        <w:rPr>
          <w:rFonts w:cs="Arial"/>
        </w:rPr>
      </w:pPr>
      <w:r>
        <w:rPr>
          <w:rFonts w:cs="Arial"/>
        </w:rPr>
        <w:t xml:space="preserve">The </w:t>
      </w:r>
      <w:r w:rsidR="002C4F5D">
        <w:rPr>
          <w:rFonts w:cs="Arial"/>
        </w:rPr>
        <w:t>Notice</w:t>
      </w:r>
      <w:r>
        <w:rPr>
          <w:rFonts w:cs="Arial"/>
        </w:rPr>
        <w:t xml:space="preserve"> clarifies the criteria in section 18 of the Act, </w:t>
      </w:r>
      <w:r w:rsidR="00B07009">
        <w:rPr>
          <w:rFonts w:cs="Arial"/>
        </w:rPr>
        <w:t>for</w:t>
      </w:r>
      <w:r>
        <w:rPr>
          <w:rFonts w:cs="Arial"/>
        </w:rPr>
        <w:t xml:space="preserve"> open narrowcasting services</w:t>
      </w:r>
      <w:r w:rsidR="00056C25">
        <w:rPr>
          <w:rFonts w:cs="Arial"/>
        </w:rPr>
        <w:t xml:space="preserve"> that are</w:t>
      </w:r>
      <w:r>
        <w:rPr>
          <w:rFonts w:cs="Arial"/>
        </w:rPr>
        <w:t xml:space="preserve"> non-</w:t>
      </w:r>
      <w:proofErr w:type="gramStart"/>
      <w:r>
        <w:rPr>
          <w:rFonts w:cs="Arial"/>
        </w:rPr>
        <w:t>subscription</w:t>
      </w:r>
      <w:proofErr w:type="gramEnd"/>
      <w:r>
        <w:rPr>
          <w:rFonts w:cs="Arial"/>
        </w:rPr>
        <w:t xml:space="preserve"> radio services provided in the AM and FM bands. </w:t>
      </w:r>
    </w:p>
    <w:p w14:paraId="2A8C8086" w14:textId="50C58DE9" w:rsidR="00AD259F" w:rsidRDefault="00AD259F" w:rsidP="003E54B4">
      <w:pPr>
        <w:spacing w:before="80" w:after="120" w:line="240" w:lineRule="atLeast"/>
      </w:pPr>
      <w:r>
        <w:t xml:space="preserve">Subsection 33(3) of the AIA relevantly provides that where an </w:t>
      </w:r>
      <w:r w:rsidR="00A337C1">
        <w:t>act</w:t>
      </w:r>
      <w:r>
        <w:t xml:space="preserve"> confers a power to make a legislative instrument, the power shall be construed as including a power exercisable in the like manner and subject to the like conditions (if any) to repeal, rescind, revoke, amend, or vary any such instrument.</w:t>
      </w:r>
    </w:p>
    <w:p w14:paraId="6B2B6C1E" w14:textId="7849243B" w:rsidR="00784D72" w:rsidRDefault="00784D72" w:rsidP="003E54B4">
      <w:pPr>
        <w:spacing w:before="80" w:after="120" w:line="240" w:lineRule="atLeast"/>
      </w:pPr>
      <w:r w:rsidRPr="000F5182">
        <w:rPr>
          <w:rFonts w:cs="Arial"/>
        </w:rPr>
        <w:t xml:space="preserve">Part </w:t>
      </w:r>
      <w:r w:rsidR="00BA6503">
        <w:rPr>
          <w:rFonts w:cs="Arial"/>
        </w:rPr>
        <w:t>4 of Chapter 3</w:t>
      </w:r>
      <w:r w:rsidR="00BA6503" w:rsidRPr="000F5182">
        <w:rPr>
          <w:rFonts w:cs="Arial"/>
        </w:rPr>
        <w:t xml:space="preserve"> </w:t>
      </w:r>
      <w:r w:rsidRPr="000F5182">
        <w:rPr>
          <w:rFonts w:cs="Arial"/>
        </w:rPr>
        <w:t xml:space="preserve">of the </w:t>
      </w:r>
      <w:r w:rsidRPr="00784D72">
        <w:rPr>
          <w:rFonts w:cs="Arial"/>
        </w:rPr>
        <w:t>LA</w:t>
      </w:r>
      <w:r>
        <w:rPr>
          <w:rFonts w:cs="Arial"/>
        </w:rPr>
        <w:t xml:space="preserve"> requires that</w:t>
      </w:r>
      <w:r w:rsidRPr="000F5182">
        <w:rPr>
          <w:rFonts w:cs="Arial"/>
        </w:rPr>
        <w:t xml:space="preserve"> most legislative instruments</w:t>
      </w:r>
      <w:r>
        <w:rPr>
          <w:rFonts w:cs="Arial"/>
        </w:rPr>
        <w:t xml:space="preserve"> must</w:t>
      </w:r>
      <w:r w:rsidRPr="000F5182">
        <w:rPr>
          <w:rFonts w:cs="Arial"/>
        </w:rPr>
        <w:t xml:space="preserve"> </w:t>
      </w:r>
      <w:r>
        <w:rPr>
          <w:rFonts w:cs="Arial"/>
        </w:rPr>
        <w:t>‘</w:t>
      </w:r>
      <w:r w:rsidRPr="000F5182">
        <w:rPr>
          <w:rFonts w:cs="Arial"/>
        </w:rPr>
        <w:t>sunset</w:t>
      </w:r>
      <w:r>
        <w:rPr>
          <w:rFonts w:cs="Arial"/>
        </w:rPr>
        <w:t>’</w:t>
      </w:r>
      <w:r w:rsidRPr="000F5182">
        <w:rPr>
          <w:rFonts w:cs="Arial"/>
        </w:rPr>
        <w:t xml:space="preserve"> (</w:t>
      </w:r>
      <w:r>
        <w:rPr>
          <w:rFonts w:cs="Arial"/>
        </w:rPr>
        <w:t>that is,</w:t>
      </w:r>
      <w:r w:rsidRPr="000F5182">
        <w:rPr>
          <w:rFonts w:cs="Arial"/>
        </w:rPr>
        <w:t xml:space="preserve"> they are automatically repealed) on </w:t>
      </w:r>
      <w:r>
        <w:rPr>
          <w:rFonts w:cs="Arial"/>
        </w:rPr>
        <w:t xml:space="preserve">the </w:t>
      </w:r>
      <w:r w:rsidR="00056C25">
        <w:rPr>
          <w:rFonts w:cs="Arial"/>
        </w:rPr>
        <w:t xml:space="preserve">first </w:t>
      </w:r>
      <w:r w:rsidRPr="000F5182">
        <w:rPr>
          <w:rFonts w:cs="Arial"/>
        </w:rPr>
        <w:t>1 April or 1</w:t>
      </w:r>
      <w:r>
        <w:rPr>
          <w:rFonts w:cs="Arial"/>
        </w:rPr>
        <w:t xml:space="preserve"> </w:t>
      </w:r>
      <w:r w:rsidRPr="000F5182">
        <w:rPr>
          <w:rFonts w:cs="Arial"/>
        </w:rPr>
        <w:t xml:space="preserve">October that </w:t>
      </w:r>
      <w:r w:rsidR="00373EFA">
        <w:rPr>
          <w:rFonts w:cs="Arial"/>
        </w:rPr>
        <w:t>falls</w:t>
      </w:r>
      <w:r w:rsidRPr="000F5182">
        <w:rPr>
          <w:rFonts w:cs="Arial"/>
        </w:rPr>
        <w:t xml:space="preserve"> 10 years after they are registered on the Federal Regis</w:t>
      </w:r>
      <w:r>
        <w:rPr>
          <w:rFonts w:cs="Arial"/>
        </w:rPr>
        <w:t>ter of Legislati</w:t>
      </w:r>
      <w:r w:rsidR="00F94718">
        <w:rPr>
          <w:rFonts w:cs="Arial"/>
        </w:rPr>
        <w:t>on</w:t>
      </w:r>
      <w:r w:rsidRPr="009E1709">
        <w:rPr>
          <w:rFonts w:cs="Arial"/>
        </w:rPr>
        <w:t>.</w:t>
      </w:r>
    </w:p>
    <w:p w14:paraId="7BDFBA20" w14:textId="77777777" w:rsidR="00F74683" w:rsidRPr="00BA26F6" w:rsidRDefault="00F74683" w:rsidP="003E54B4">
      <w:pPr>
        <w:spacing w:before="80" w:after="120" w:line="240" w:lineRule="atLeast"/>
        <w:rPr>
          <w:rFonts w:cs="Arial"/>
          <w:b/>
        </w:rPr>
      </w:pPr>
      <w:r w:rsidRPr="00BA26F6">
        <w:rPr>
          <w:rFonts w:cs="Arial"/>
          <w:b/>
        </w:rPr>
        <w:t>Background</w:t>
      </w:r>
    </w:p>
    <w:p w14:paraId="50F447F3" w14:textId="28FFDF80" w:rsidR="00824302" w:rsidRDefault="00824302" w:rsidP="003E54B4">
      <w:pPr>
        <w:spacing w:before="80" w:after="120" w:line="240" w:lineRule="atLeast"/>
        <w:rPr>
          <w:rFonts w:cs="Arial"/>
        </w:rPr>
      </w:pPr>
      <w:r>
        <w:rPr>
          <w:rFonts w:cs="Arial"/>
        </w:rPr>
        <w:t>In 2001</w:t>
      </w:r>
      <w:r w:rsidR="00373EFA">
        <w:rPr>
          <w:rFonts w:cs="Arial"/>
        </w:rPr>
        <w:t>,</w:t>
      </w:r>
      <w:r>
        <w:rPr>
          <w:rFonts w:cs="Arial"/>
        </w:rPr>
        <w:t xml:space="preserve"> the former Australian Broadcasting Authority (the </w:t>
      </w:r>
      <w:r>
        <w:rPr>
          <w:rFonts w:cs="Arial"/>
          <w:b/>
        </w:rPr>
        <w:t>ABA</w:t>
      </w:r>
      <w:r>
        <w:rPr>
          <w:rFonts w:cs="Arial"/>
        </w:rPr>
        <w:t xml:space="preserve">) made the </w:t>
      </w:r>
      <w:r w:rsidRPr="00784D72">
        <w:rPr>
          <w:rFonts w:cs="Arial"/>
        </w:rPr>
        <w:t>2001 Notice</w:t>
      </w:r>
      <w:r>
        <w:rPr>
          <w:rFonts w:cs="Arial"/>
        </w:rPr>
        <w:t xml:space="preserve"> under </w:t>
      </w:r>
      <w:r w:rsidR="00F94718">
        <w:rPr>
          <w:rFonts w:cs="Arial"/>
        </w:rPr>
        <w:t xml:space="preserve">paragraph </w:t>
      </w:r>
      <w:r>
        <w:rPr>
          <w:rFonts w:cs="Arial"/>
        </w:rPr>
        <w:t>19(1</w:t>
      </w:r>
      <w:proofErr w:type="gramStart"/>
      <w:r>
        <w:rPr>
          <w:rFonts w:cs="Arial"/>
        </w:rPr>
        <w:t>)(</w:t>
      </w:r>
      <w:proofErr w:type="gramEnd"/>
      <w:r>
        <w:rPr>
          <w:rFonts w:cs="Arial"/>
        </w:rPr>
        <w:t xml:space="preserve">b) of the Act. </w:t>
      </w:r>
      <w:r w:rsidRPr="00824302">
        <w:rPr>
          <w:rFonts w:cs="Arial"/>
        </w:rPr>
        <w:t>T</w:t>
      </w:r>
      <w:r>
        <w:rPr>
          <w:rFonts w:cs="Arial"/>
        </w:rPr>
        <w:t>he purpose of the 2001 Notice was</w:t>
      </w:r>
      <w:r w:rsidRPr="00824302">
        <w:rPr>
          <w:rFonts w:cs="Arial"/>
        </w:rPr>
        <w:t xml:space="preserve"> to provide certainty about the category of service into which certain broadcasting services fall under the</w:t>
      </w:r>
      <w:r>
        <w:rPr>
          <w:rFonts w:cs="Arial"/>
        </w:rPr>
        <w:t xml:space="preserve"> Act</w:t>
      </w:r>
      <w:r w:rsidR="00F8073F">
        <w:rPr>
          <w:rFonts w:cs="Arial"/>
        </w:rPr>
        <w:t>.</w:t>
      </w:r>
    </w:p>
    <w:p w14:paraId="46790587" w14:textId="7B2DF2E9" w:rsidR="00F8073F" w:rsidRDefault="00F8073F" w:rsidP="003E54B4">
      <w:pPr>
        <w:spacing w:before="80" w:after="120" w:line="240" w:lineRule="atLeast"/>
      </w:pPr>
      <w:r>
        <w:t xml:space="preserve">The 2001 Notice </w:t>
      </w:r>
      <w:r w:rsidRPr="009E1709">
        <w:t>clarifie</w:t>
      </w:r>
      <w:r>
        <w:t>d</w:t>
      </w:r>
      <w:r w:rsidRPr="009E1709">
        <w:t xml:space="preserve"> the criteria for those open narrowcasting services in section 18 of the </w:t>
      </w:r>
      <w:r w:rsidR="00373EFA">
        <w:t>Act</w:t>
      </w:r>
      <w:r w:rsidRPr="009E1709">
        <w:t xml:space="preserve"> that </w:t>
      </w:r>
      <w:r w:rsidR="00F94718">
        <w:t>were</w:t>
      </w:r>
      <w:r w:rsidRPr="009E1709">
        <w:t>:</w:t>
      </w:r>
    </w:p>
    <w:p w14:paraId="2BD5D420" w14:textId="77777777" w:rsidR="00F8073F" w:rsidRDefault="00F8073F" w:rsidP="00F8073F">
      <w:pPr>
        <w:pStyle w:val="ListParagraph"/>
        <w:numPr>
          <w:ilvl w:val="0"/>
          <w:numId w:val="15"/>
        </w:numPr>
        <w:spacing w:after="240" w:line="240" w:lineRule="atLeast"/>
      </w:pPr>
      <w:r>
        <w:t>provided as a radio service;</w:t>
      </w:r>
    </w:p>
    <w:p w14:paraId="45379F6C" w14:textId="77777777" w:rsidR="00F8073F" w:rsidRDefault="00F8073F" w:rsidP="00F8073F">
      <w:pPr>
        <w:pStyle w:val="ListParagraph"/>
        <w:numPr>
          <w:ilvl w:val="0"/>
          <w:numId w:val="15"/>
        </w:numPr>
        <w:spacing w:after="240" w:line="240" w:lineRule="atLeast"/>
      </w:pPr>
      <w:r>
        <w:t>provided using an AM or FM signal within the broadcasting services bands; and</w:t>
      </w:r>
    </w:p>
    <w:p w14:paraId="01EBDD3C" w14:textId="77777777" w:rsidR="00F8073F" w:rsidRPr="00F8073F" w:rsidRDefault="00F8073F" w:rsidP="00F8073F">
      <w:pPr>
        <w:pStyle w:val="ListParagraph"/>
        <w:numPr>
          <w:ilvl w:val="0"/>
          <w:numId w:val="15"/>
        </w:numPr>
        <w:spacing w:after="240" w:line="240" w:lineRule="atLeast"/>
      </w:pPr>
      <w:proofErr w:type="gramStart"/>
      <w:r>
        <w:t>not</w:t>
      </w:r>
      <w:proofErr w:type="gramEnd"/>
      <w:r>
        <w:t xml:space="preserve"> made available only on payment of subscription fees.</w:t>
      </w:r>
    </w:p>
    <w:p w14:paraId="509308F5" w14:textId="0BDAE26C" w:rsidR="00F8073F" w:rsidRDefault="00F8073F" w:rsidP="003E54B4">
      <w:pPr>
        <w:spacing w:before="80" w:after="120" w:line="240" w:lineRule="atLeast"/>
      </w:pPr>
      <w:r>
        <w:t>S</w:t>
      </w:r>
      <w:r w:rsidRPr="00DE5DC9">
        <w:t>ervices that conform</w:t>
      </w:r>
      <w:r>
        <w:t>ed</w:t>
      </w:r>
      <w:r w:rsidRPr="00DE5DC9">
        <w:t xml:space="preserve"> to the </w:t>
      </w:r>
      <w:r>
        <w:t>types of broadcasting services described</w:t>
      </w:r>
      <w:r w:rsidRPr="00DE5DC9">
        <w:t xml:space="preserve"> in the </w:t>
      </w:r>
      <w:r>
        <w:t>2001</w:t>
      </w:r>
      <w:r w:rsidRPr="00DE5DC9">
        <w:t xml:space="preserve"> Notice </w:t>
      </w:r>
      <w:r>
        <w:t xml:space="preserve">were deemed </w:t>
      </w:r>
      <w:r w:rsidRPr="00DE5DC9">
        <w:t>to be open narrowcasting radio services</w:t>
      </w:r>
      <w:r>
        <w:t xml:space="preserve"> for the purposes of the Act. The 2001 Notice provided clarification about the following types of broadcasting services:</w:t>
      </w:r>
    </w:p>
    <w:p w14:paraId="33CB87C2" w14:textId="77777777" w:rsidR="00F8073F" w:rsidRDefault="00F8073F" w:rsidP="00F8073F">
      <w:pPr>
        <w:pStyle w:val="ListParagraph"/>
        <w:numPr>
          <w:ilvl w:val="0"/>
          <w:numId w:val="16"/>
        </w:numPr>
        <w:spacing w:after="240" w:line="240" w:lineRule="atLeast"/>
      </w:pPr>
      <w:r>
        <w:t>a service provided using low power transmitters (transmitters with a maximum effective radiated power of 1 watt or less) within the FM radio band in an urban centre or locality;</w:t>
      </w:r>
    </w:p>
    <w:p w14:paraId="2223E569" w14:textId="77777777" w:rsidR="00F8073F" w:rsidRDefault="00F8073F" w:rsidP="00F8073F">
      <w:pPr>
        <w:pStyle w:val="ListParagraph"/>
        <w:numPr>
          <w:ilvl w:val="0"/>
          <w:numId w:val="16"/>
        </w:numPr>
        <w:spacing w:after="240" w:line="240" w:lineRule="atLeast"/>
      </w:pPr>
      <w:r>
        <w:t>a service provided for a limited period (defined as a cumulative total of not more than 30 days in any 12 month period);</w:t>
      </w:r>
    </w:p>
    <w:p w14:paraId="5624AF01" w14:textId="77777777" w:rsidR="00F8073F" w:rsidRDefault="00F8073F" w:rsidP="00F8073F">
      <w:pPr>
        <w:pStyle w:val="ListParagraph"/>
        <w:numPr>
          <w:ilvl w:val="0"/>
          <w:numId w:val="16"/>
        </w:numPr>
        <w:spacing w:after="240" w:line="240" w:lineRule="atLeast"/>
      </w:pPr>
      <w:r>
        <w:lastRenderedPageBreak/>
        <w:t xml:space="preserve">a service provided for special events (being an event organised by one or more persons that </w:t>
      </w:r>
      <w:r w:rsidRPr="007F0D5E">
        <w:t>has major cultural, sporting or other community significance</w:t>
      </w:r>
      <w:r>
        <w:t>) for a continuous period of not more than 30 days;</w:t>
      </w:r>
    </w:p>
    <w:p w14:paraId="585AAC9A" w14:textId="77777777" w:rsidR="00F8073F" w:rsidRDefault="00F8073F" w:rsidP="00F8073F">
      <w:pPr>
        <w:pStyle w:val="ListParagraph"/>
        <w:numPr>
          <w:ilvl w:val="0"/>
          <w:numId w:val="16"/>
        </w:numPr>
        <w:spacing w:after="240" w:line="240" w:lineRule="atLeast"/>
      </w:pPr>
      <w:r>
        <w:t xml:space="preserve">a </w:t>
      </w:r>
      <w:r w:rsidRPr="007F0D5E">
        <w:t>pre-recorded, regularly repeated audio content service</w:t>
      </w:r>
      <w:r>
        <w:t>;</w:t>
      </w:r>
    </w:p>
    <w:p w14:paraId="299C77B9" w14:textId="77777777" w:rsidR="00F8073F" w:rsidRDefault="00F8073F" w:rsidP="00F8073F">
      <w:pPr>
        <w:pStyle w:val="ListParagraph"/>
        <w:numPr>
          <w:ilvl w:val="0"/>
          <w:numId w:val="16"/>
        </w:numPr>
        <w:spacing w:after="240" w:line="240" w:lineRule="atLeast"/>
      </w:pPr>
      <w:r>
        <w:t>an information service;</w:t>
      </w:r>
    </w:p>
    <w:p w14:paraId="72A9BDA2" w14:textId="77777777" w:rsidR="00F8073F" w:rsidRDefault="00F8073F" w:rsidP="00F8073F">
      <w:pPr>
        <w:pStyle w:val="ListParagraph"/>
        <w:numPr>
          <w:ilvl w:val="0"/>
          <w:numId w:val="16"/>
        </w:numPr>
        <w:spacing w:after="240" w:line="240" w:lineRule="atLeast"/>
      </w:pPr>
      <w:r>
        <w:t>a service provided only for the propagation of religious beliefs, values and lifestyles (including the provision of information and services relevant to religious beliefs, values and lifestyles) or the broadcasting of religious rituals and events of religious significance;</w:t>
      </w:r>
    </w:p>
    <w:p w14:paraId="74DCF05A" w14:textId="77777777" w:rsidR="00F8073F" w:rsidRDefault="00F8073F" w:rsidP="00F8073F">
      <w:pPr>
        <w:pStyle w:val="ListParagraph"/>
        <w:numPr>
          <w:ilvl w:val="0"/>
          <w:numId w:val="16"/>
        </w:numPr>
        <w:spacing w:after="240" w:line="240" w:lineRule="atLeast"/>
      </w:pPr>
      <w:r>
        <w:t>a non-English language service;</w:t>
      </w:r>
    </w:p>
    <w:p w14:paraId="5AFD9A50" w14:textId="77777777" w:rsidR="00F8073F" w:rsidRDefault="00F8073F" w:rsidP="00F8073F">
      <w:pPr>
        <w:pStyle w:val="ListParagraph"/>
        <w:numPr>
          <w:ilvl w:val="0"/>
          <w:numId w:val="16"/>
        </w:numPr>
        <w:spacing w:after="240" w:line="240" w:lineRule="atLeast"/>
      </w:pPr>
      <w:r>
        <w:t>a racing service; and</w:t>
      </w:r>
    </w:p>
    <w:p w14:paraId="4E15E560" w14:textId="77777777" w:rsidR="00F8073F" w:rsidRDefault="00F8073F" w:rsidP="00F8073F">
      <w:pPr>
        <w:pStyle w:val="ListParagraph"/>
        <w:numPr>
          <w:ilvl w:val="0"/>
          <w:numId w:val="16"/>
        </w:numPr>
        <w:spacing w:after="240" w:line="240" w:lineRule="atLeast"/>
      </w:pPr>
      <w:proofErr w:type="gramStart"/>
      <w:r>
        <w:t>an</w:t>
      </w:r>
      <w:proofErr w:type="gramEnd"/>
      <w:r>
        <w:t xml:space="preserve"> ancillary service provided using only a sub-carrier channel.</w:t>
      </w:r>
    </w:p>
    <w:p w14:paraId="390D6672" w14:textId="2CCCC470" w:rsidR="00F8073F" w:rsidRDefault="00BA6503" w:rsidP="003E54B4">
      <w:pPr>
        <w:spacing w:before="80" w:after="120" w:line="240" w:lineRule="atLeast"/>
      </w:pPr>
      <w:r>
        <w:t xml:space="preserve">The 2001 Notice was registered on 28 February 2006, and varied in </w:t>
      </w:r>
      <w:r w:rsidR="00F8073F" w:rsidRPr="00F8073F">
        <w:t>2011</w:t>
      </w:r>
      <w:r>
        <w:t xml:space="preserve">. The </w:t>
      </w:r>
      <w:r w:rsidR="00693A0C">
        <w:t xml:space="preserve">2011 </w:t>
      </w:r>
      <w:r>
        <w:t>variation clarified that broadcasting services that provide</w:t>
      </w:r>
      <w:r w:rsidR="00F94718">
        <w:t>d</w:t>
      </w:r>
      <w:r>
        <w:t xml:space="preserve"> </w:t>
      </w:r>
      <w:r w:rsidR="00F8073F" w:rsidRPr="00F8073F">
        <w:t>pre-recorded, regularly repeated audio content w</w:t>
      </w:r>
      <w:r w:rsidR="00F94718">
        <w:t>ould</w:t>
      </w:r>
      <w:r w:rsidR="00F8073F" w:rsidRPr="00F8073F">
        <w:t xml:space="preserve"> be considered to be open narrowcasting services for the purposes of the </w:t>
      </w:r>
      <w:r w:rsidR="00F8073F">
        <w:t>Act</w:t>
      </w:r>
      <w:r w:rsidR="00F8073F" w:rsidRPr="00F8073F">
        <w:t xml:space="preserve">. </w:t>
      </w:r>
      <w:r>
        <w:t>This was required</w:t>
      </w:r>
      <w:r w:rsidR="00F8073F" w:rsidRPr="00F8073F">
        <w:t xml:space="preserve"> to reflect changes in technology.</w:t>
      </w:r>
    </w:p>
    <w:p w14:paraId="522003B2" w14:textId="7DC694ED" w:rsidR="00F8073F" w:rsidRDefault="00F8073F" w:rsidP="003E54B4">
      <w:pPr>
        <w:spacing w:before="80" w:after="120" w:line="240" w:lineRule="atLeast"/>
        <w:rPr>
          <w:rFonts w:cs="Arial"/>
        </w:rPr>
      </w:pPr>
      <w:r>
        <w:t>In 2002</w:t>
      </w:r>
      <w:r w:rsidR="00943E48">
        <w:t>,</w:t>
      </w:r>
      <w:r>
        <w:t xml:space="preserve"> the ABA made the </w:t>
      </w:r>
      <w:r w:rsidRPr="00784D72">
        <w:t>2002 Notice</w:t>
      </w:r>
      <w:r w:rsidR="00784D72">
        <w:t>, also</w:t>
      </w:r>
      <w:r>
        <w:t xml:space="preserve"> </w:t>
      </w:r>
      <w:r w:rsidRPr="00F8073F">
        <w:t>under section 19(1</w:t>
      </w:r>
      <w:proofErr w:type="gramStart"/>
      <w:r w:rsidRPr="00F8073F">
        <w:t>)(</w:t>
      </w:r>
      <w:proofErr w:type="gramEnd"/>
      <w:r w:rsidRPr="00F8073F">
        <w:t>b) of the</w:t>
      </w:r>
      <w:r>
        <w:t xml:space="preserve"> Act. The 2002 Notice </w:t>
      </w:r>
      <w:r w:rsidR="00F94718">
        <w:t>provided further</w:t>
      </w:r>
      <w:r w:rsidR="000064B5" w:rsidRPr="00824302">
        <w:rPr>
          <w:rFonts w:cs="Arial"/>
        </w:rPr>
        <w:t xml:space="preserve"> certainty about the category of service</w:t>
      </w:r>
      <w:r w:rsidR="000064B5">
        <w:rPr>
          <w:rFonts w:cs="Arial"/>
        </w:rPr>
        <w:t xml:space="preserve"> for open narrowcasting radio services in the AM and FM bands. </w:t>
      </w:r>
      <w:r w:rsidR="00F94718">
        <w:rPr>
          <w:rFonts w:cs="Arial"/>
        </w:rPr>
        <w:t>T</w:t>
      </w:r>
      <w:r w:rsidR="000064B5">
        <w:rPr>
          <w:rFonts w:cs="Arial"/>
        </w:rPr>
        <w:t>he 2002 Notice specifie</w:t>
      </w:r>
      <w:r w:rsidR="00F94718">
        <w:rPr>
          <w:rFonts w:cs="Arial"/>
        </w:rPr>
        <w:t>d</w:t>
      </w:r>
      <w:r w:rsidR="000064B5">
        <w:rPr>
          <w:rFonts w:cs="Arial"/>
        </w:rPr>
        <w:t xml:space="preserve"> that:</w:t>
      </w:r>
    </w:p>
    <w:p w14:paraId="313AAD2A" w14:textId="538611E8" w:rsidR="000064B5" w:rsidRPr="000064B5" w:rsidRDefault="000064B5" w:rsidP="000064B5">
      <w:pPr>
        <w:pStyle w:val="ListParagraph"/>
        <w:numPr>
          <w:ilvl w:val="0"/>
          <w:numId w:val="17"/>
        </w:numPr>
        <w:spacing w:before="120" w:after="120" w:line="240" w:lineRule="atLeast"/>
        <w:rPr>
          <w:rFonts w:cs="Arial"/>
        </w:rPr>
      </w:pPr>
      <w:r>
        <w:t xml:space="preserve">a broadcasting service that </w:t>
      </w:r>
      <w:r w:rsidR="00F94718">
        <w:t>wa</w:t>
      </w:r>
      <w:r>
        <w:t xml:space="preserve">s targeted to persons of a particular age or range of ages </w:t>
      </w:r>
      <w:r w:rsidR="00F94718">
        <w:t>wa</w:t>
      </w:r>
      <w:r>
        <w:t xml:space="preserve">s only an open narrowcasting service if it </w:t>
      </w:r>
      <w:r w:rsidR="00F94718">
        <w:t>wa</w:t>
      </w:r>
      <w:r>
        <w:t>s targeted to persons less than 10 years old; and</w:t>
      </w:r>
    </w:p>
    <w:p w14:paraId="3311F482" w14:textId="1896EFD8" w:rsidR="000064B5" w:rsidRPr="000064B5" w:rsidRDefault="000064B5" w:rsidP="000064B5">
      <w:pPr>
        <w:pStyle w:val="ListParagraph"/>
        <w:numPr>
          <w:ilvl w:val="0"/>
          <w:numId w:val="17"/>
        </w:numPr>
        <w:spacing w:before="120" w:after="120" w:line="240" w:lineRule="atLeast"/>
        <w:rPr>
          <w:rFonts w:cs="Arial"/>
        </w:rPr>
      </w:pPr>
      <w:proofErr w:type="gramStart"/>
      <w:r>
        <w:t>a</w:t>
      </w:r>
      <w:proofErr w:type="gramEnd"/>
      <w:r>
        <w:t xml:space="preserve"> group </w:t>
      </w:r>
      <w:r w:rsidR="00F94718">
        <w:t>wa</w:t>
      </w:r>
      <w:r>
        <w:t>s able to be a ‘special interest group’ for the purpose of s</w:t>
      </w:r>
      <w:r w:rsidR="00F94718">
        <w:t>ubparagraph</w:t>
      </w:r>
      <w:r>
        <w:t xml:space="preserve"> 18(1)(a)(</w:t>
      </w:r>
      <w:proofErr w:type="spellStart"/>
      <w:r>
        <w:t>i</w:t>
      </w:r>
      <w:proofErr w:type="spellEnd"/>
      <w:r>
        <w:t xml:space="preserve">) of the </w:t>
      </w:r>
      <w:r w:rsidR="00943E48">
        <w:t>Act</w:t>
      </w:r>
      <w:r>
        <w:t xml:space="preserve"> irrespective of whether or not the group </w:t>
      </w:r>
      <w:r w:rsidR="00F94718">
        <w:t>wa</w:t>
      </w:r>
      <w:r>
        <w:t>s organised on a formal basis.</w:t>
      </w:r>
    </w:p>
    <w:p w14:paraId="04E9E09E" w14:textId="2EC76D9A" w:rsidR="003F7FAE" w:rsidRPr="009E1709" w:rsidRDefault="003F7FAE" w:rsidP="003F7FAE">
      <w:pPr>
        <w:spacing w:before="120" w:after="120" w:line="240" w:lineRule="atLeast"/>
        <w:rPr>
          <w:rFonts w:cs="Arial"/>
          <w:bCs/>
        </w:rPr>
      </w:pPr>
      <w:bookmarkStart w:id="1" w:name="OLE_LINK23"/>
      <w:r w:rsidRPr="009E1709">
        <w:rPr>
          <w:rFonts w:cs="Arial"/>
          <w:bCs/>
        </w:rPr>
        <w:t xml:space="preserve">The ACMA has formed the view that </w:t>
      </w:r>
      <w:r>
        <w:rPr>
          <w:rFonts w:cs="Arial"/>
          <w:bCs/>
        </w:rPr>
        <w:t>the previous Notices have been</w:t>
      </w:r>
      <w:r w:rsidRPr="009E1709">
        <w:rPr>
          <w:rFonts w:cs="Arial"/>
          <w:bCs/>
        </w:rPr>
        <w:t xml:space="preserve"> operating effectively and eff</w:t>
      </w:r>
      <w:r>
        <w:rPr>
          <w:rFonts w:cs="Arial"/>
          <w:bCs/>
        </w:rPr>
        <w:t>iciently and continue</w:t>
      </w:r>
      <w:r w:rsidRPr="009E1709">
        <w:rPr>
          <w:rFonts w:cs="Arial"/>
          <w:bCs/>
        </w:rPr>
        <w:t xml:space="preserve"> to form a necessary and useful part of the legislative framework. Accordingly, </w:t>
      </w:r>
      <w:r>
        <w:rPr>
          <w:rFonts w:cs="Arial"/>
          <w:bCs/>
        </w:rPr>
        <w:t>the</w:t>
      </w:r>
      <w:r w:rsidRPr="009E1709">
        <w:rPr>
          <w:rFonts w:cs="Arial"/>
          <w:bCs/>
        </w:rPr>
        <w:t xml:space="preserve"> </w:t>
      </w:r>
      <w:r w:rsidR="002C4F5D">
        <w:rPr>
          <w:rFonts w:cs="Arial"/>
          <w:bCs/>
        </w:rPr>
        <w:t>Notice</w:t>
      </w:r>
      <w:r>
        <w:rPr>
          <w:rFonts w:cs="Arial"/>
          <w:bCs/>
        </w:rPr>
        <w:t xml:space="preserve"> has consolidated the previous Notices</w:t>
      </w:r>
      <w:r w:rsidR="00BA6503">
        <w:rPr>
          <w:rFonts w:cs="Arial"/>
          <w:bCs/>
        </w:rPr>
        <w:t xml:space="preserve"> into one instrument</w:t>
      </w:r>
      <w:r w:rsidRPr="009E1709">
        <w:rPr>
          <w:rFonts w:cs="Arial"/>
          <w:bCs/>
        </w:rPr>
        <w:t xml:space="preserve"> without any significant changes, so that their ongoing effect is preserved</w:t>
      </w:r>
      <w:r>
        <w:rPr>
          <w:rFonts w:cs="Arial"/>
          <w:bCs/>
        </w:rPr>
        <w:t xml:space="preserve"> beyond the 1 April 2016 sunset date</w:t>
      </w:r>
      <w:r w:rsidRPr="009E1709">
        <w:rPr>
          <w:rFonts w:cs="Arial"/>
          <w:bCs/>
        </w:rPr>
        <w:t>.</w:t>
      </w:r>
    </w:p>
    <w:p w14:paraId="25FF9180" w14:textId="2CA9388F" w:rsidR="00852FAE" w:rsidRPr="00BA26F6" w:rsidRDefault="00940D49" w:rsidP="00852FAE">
      <w:pPr>
        <w:spacing w:before="120" w:after="120" w:line="240" w:lineRule="atLeast"/>
        <w:rPr>
          <w:rFonts w:cs="Arial"/>
          <w:b/>
        </w:rPr>
      </w:pPr>
      <w:r>
        <w:rPr>
          <w:rFonts w:cs="Arial"/>
          <w:b/>
        </w:rPr>
        <w:t>Operation</w:t>
      </w:r>
      <w:r w:rsidR="00852FAE" w:rsidRPr="00BA26F6">
        <w:rPr>
          <w:rFonts w:cs="Arial"/>
          <w:b/>
        </w:rPr>
        <w:t xml:space="preserve"> </w:t>
      </w:r>
      <w:r w:rsidR="00852FAE">
        <w:rPr>
          <w:rFonts w:cs="Arial"/>
          <w:b/>
        </w:rPr>
        <w:t xml:space="preserve">of the </w:t>
      </w:r>
      <w:r w:rsidR="002C4F5D">
        <w:rPr>
          <w:rFonts w:cs="Arial"/>
          <w:b/>
        </w:rPr>
        <w:t>Notice</w:t>
      </w:r>
    </w:p>
    <w:p w14:paraId="6999E983" w14:textId="1AB6A4E6" w:rsidR="00940D49" w:rsidRDefault="00940D49" w:rsidP="00D31D5A">
      <w:pPr>
        <w:spacing w:before="80" w:after="120" w:line="240" w:lineRule="atLeast"/>
        <w:rPr>
          <w:rFonts w:cs="Arial"/>
          <w:bCs/>
        </w:rPr>
      </w:pPr>
      <w:r w:rsidRPr="00940D49">
        <w:rPr>
          <w:rFonts w:cs="Arial"/>
          <w:bCs/>
        </w:rPr>
        <w:t xml:space="preserve">The </w:t>
      </w:r>
      <w:r w:rsidR="002C4F5D">
        <w:rPr>
          <w:rFonts w:cs="Arial"/>
          <w:bCs/>
        </w:rPr>
        <w:t>Notice</w:t>
      </w:r>
      <w:r>
        <w:rPr>
          <w:rFonts w:cs="Arial"/>
          <w:bCs/>
        </w:rPr>
        <w:t xml:space="preserve"> clarifies the criteria at section</w:t>
      </w:r>
      <w:r w:rsidRPr="00940D49">
        <w:rPr>
          <w:rFonts w:cs="Arial"/>
          <w:bCs/>
        </w:rPr>
        <w:t>18 of the Act as they apply to non</w:t>
      </w:r>
      <w:r w:rsidR="003F7FAE">
        <w:rPr>
          <w:rFonts w:cs="Arial"/>
          <w:bCs/>
        </w:rPr>
        <w:t>-</w:t>
      </w:r>
      <w:r w:rsidRPr="00940D49">
        <w:rPr>
          <w:rFonts w:cs="Arial"/>
          <w:bCs/>
        </w:rPr>
        <w:t xml:space="preserve">subscription AM </w:t>
      </w:r>
      <w:r w:rsidR="003F7FAE">
        <w:rPr>
          <w:rFonts w:cs="Arial"/>
          <w:bCs/>
        </w:rPr>
        <w:t>and</w:t>
      </w:r>
      <w:r w:rsidRPr="00940D49">
        <w:rPr>
          <w:rFonts w:cs="Arial"/>
          <w:bCs/>
        </w:rPr>
        <w:t xml:space="preserve"> FM </w:t>
      </w:r>
      <w:r w:rsidR="003F7FAE">
        <w:rPr>
          <w:rFonts w:cs="Arial"/>
          <w:bCs/>
        </w:rPr>
        <w:t xml:space="preserve">radio </w:t>
      </w:r>
      <w:r w:rsidRPr="00940D49">
        <w:rPr>
          <w:rFonts w:cs="Arial"/>
          <w:bCs/>
        </w:rPr>
        <w:t>broadcasting services delivered within the broadcasting service bands.</w:t>
      </w:r>
    </w:p>
    <w:p w14:paraId="587DA022" w14:textId="717C004A" w:rsidR="00D31D5A" w:rsidRPr="009E1709" w:rsidRDefault="00921FF3" w:rsidP="00D31D5A">
      <w:pPr>
        <w:spacing w:before="80" w:after="120" w:line="240" w:lineRule="atLeast"/>
        <w:rPr>
          <w:rFonts w:cs="Arial"/>
          <w:bCs/>
        </w:rPr>
      </w:pPr>
      <w:r>
        <w:rPr>
          <w:rFonts w:cs="Arial"/>
          <w:bCs/>
        </w:rPr>
        <w:t xml:space="preserve">The </w:t>
      </w:r>
      <w:r w:rsidR="002C4F5D">
        <w:rPr>
          <w:rFonts w:cs="Arial"/>
          <w:bCs/>
        </w:rPr>
        <w:t>Notice</w:t>
      </w:r>
      <w:r>
        <w:rPr>
          <w:rFonts w:cs="Arial"/>
          <w:bCs/>
        </w:rPr>
        <w:t xml:space="preserve"> </w:t>
      </w:r>
      <w:r w:rsidR="00940D49">
        <w:rPr>
          <w:rFonts w:cs="Arial"/>
          <w:bCs/>
        </w:rPr>
        <w:t xml:space="preserve">is intended to provide additional clarity about radio formats that fall within the open narrowcasting category of broadcasting services. It is expected that the </w:t>
      </w:r>
      <w:r w:rsidR="002C4F5D">
        <w:rPr>
          <w:rFonts w:cs="Arial"/>
          <w:bCs/>
        </w:rPr>
        <w:t>Notice</w:t>
      </w:r>
      <w:r w:rsidR="00940D49">
        <w:rPr>
          <w:rFonts w:cs="Arial"/>
          <w:bCs/>
        </w:rPr>
        <w:t xml:space="preserve"> will be of assistance to any party, including radio service providers and the ACMA, seeking to understand whether a specific radio service is an open narrowcasting service.</w:t>
      </w:r>
    </w:p>
    <w:p w14:paraId="667520E0" w14:textId="28CDBBD8" w:rsidR="00D31D5A" w:rsidRDefault="003F7FAE" w:rsidP="003E54B4">
      <w:pPr>
        <w:spacing w:before="80" w:after="120" w:line="240" w:lineRule="atLeast"/>
      </w:pPr>
      <w:r>
        <w:t xml:space="preserve">The </w:t>
      </w:r>
      <w:r w:rsidR="002C4F5D">
        <w:t>Notice</w:t>
      </w:r>
      <w:r w:rsidRPr="003F7FAE">
        <w:t xml:space="preserve"> </w:t>
      </w:r>
      <w:r w:rsidR="003C4753">
        <w:t>sets out</w:t>
      </w:r>
      <w:r w:rsidR="003C4753" w:rsidRPr="003F7FAE">
        <w:t xml:space="preserve"> </w:t>
      </w:r>
      <w:r w:rsidRPr="003F7FAE">
        <w:t xml:space="preserve">that a broadcasting service that does not comply with a particular section of the </w:t>
      </w:r>
      <w:r w:rsidR="00BA6503">
        <w:t>N</w:t>
      </w:r>
      <w:r w:rsidR="00BA6503" w:rsidRPr="003F7FAE">
        <w:t xml:space="preserve">otice </w:t>
      </w:r>
      <w:r w:rsidRPr="003F7FAE">
        <w:t xml:space="preserve">may still be an open narrowcasting service under section 18 of the </w:t>
      </w:r>
      <w:r>
        <w:t>Act</w:t>
      </w:r>
      <w:r w:rsidR="003C4753">
        <w:t>, depending on</w:t>
      </w:r>
      <w:r w:rsidRPr="003F7FAE">
        <w:t xml:space="preserve"> its individual characteristics.</w:t>
      </w:r>
    </w:p>
    <w:p w14:paraId="20B50315" w14:textId="0B4CC4DC" w:rsidR="003F7FAE" w:rsidRPr="00BA26F6" w:rsidRDefault="003F7FAE" w:rsidP="003F7FAE">
      <w:pPr>
        <w:spacing w:before="120" w:after="120" w:line="240" w:lineRule="atLeast"/>
        <w:rPr>
          <w:rFonts w:cs="Arial"/>
          <w:b/>
        </w:rPr>
      </w:pPr>
      <w:r>
        <w:rPr>
          <w:rFonts w:cs="Arial"/>
          <w:b/>
        </w:rPr>
        <w:t xml:space="preserve">Changes to the </w:t>
      </w:r>
      <w:r w:rsidR="002C4F5D">
        <w:rPr>
          <w:rFonts w:cs="Arial"/>
          <w:b/>
        </w:rPr>
        <w:t>Notice</w:t>
      </w:r>
      <w:r>
        <w:rPr>
          <w:rFonts w:cs="Arial"/>
          <w:b/>
        </w:rPr>
        <w:t xml:space="preserve"> from the previous Notices</w:t>
      </w:r>
    </w:p>
    <w:p w14:paraId="1A8CFE2A" w14:textId="77777777" w:rsidR="00352EE8" w:rsidRDefault="003F7FAE" w:rsidP="003F7FAE">
      <w:pPr>
        <w:spacing w:before="80" w:after="120" w:line="240" w:lineRule="atLeast"/>
        <w:rPr>
          <w:rFonts w:cs="Arial"/>
          <w:bCs/>
        </w:rPr>
      </w:pPr>
      <w:r>
        <w:rPr>
          <w:rFonts w:cs="Arial"/>
          <w:bCs/>
        </w:rPr>
        <w:t xml:space="preserve">Although the ACMA did not make any substantive changes from the previous Notices, </w:t>
      </w:r>
      <w:r w:rsidR="00352EE8">
        <w:rPr>
          <w:rFonts w:cs="Arial"/>
          <w:bCs/>
        </w:rPr>
        <w:t>some minor changes were made to simplify and update terminology that was used. Changes include:</w:t>
      </w:r>
    </w:p>
    <w:p w14:paraId="718EC613" w14:textId="19BA626D" w:rsidR="003A000A" w:rsidRDefault="001B7C5C" w:rsidP="00352EE8">
      <w:pPr>
        <w:pStyle w:val="ListParagraph"/>
        <w:numPr>
          <w:ilvl w:val="0"/>
          <w:numId w:val="18"/>
        </w:numPr>
        <w:spacing w:before="80" w:after="120" w:line="240" w:lineRule="atLeast"/>
        <w:rPr>
          <w:rFonts w:cs="Arial"/>
          <w:bCs/>
        </w:rPr>
      </w:pPr>
      <w:r>
        <w:rPr>
          <w:rFonts w:cs="Arial"/>
          <w:bCs/>
        </w:rPr>
        <w:t>t</w:t>
      </w:r>
      <w:r w:rsidR="00352EE8" w:rsidRPr="00352EE8">
        <w:rPr>
          <w:rFonts w:cs="Arial"/>
          <w:bCs/>
        </w:rPr>
        <w:t xml:space="preserve">he term ‘subcarrier channel’ </w:t>
      </w:r>
      <w:r w:rsidR="00352EE8">
        <w:rPr>
          <w:rFonts w:cs="Arial"/>
          <w:bCs/>
        </w:rPr>
        <w:t>that</w:t>
      </w:r>
      <w:r w:rsidR="00352EE8" w:rsidRPr="00352EE8">
        <w:rPr>
          <w:rFonts w:cs="Arial"/>
          <w:bCs/>
        </w:rPr>
        <w:t xml:space="preserve"> was used in section 13 of the 2001 Notice to mean a broadcasting service that is an ancillary service, has been replaced in section 14 of the </w:t>
      </w:r>
      <w:r w:rsidR="002C4F5D">
        <w:rPr>
          <w:rFonts w:cs="Arial"/>
          <w:bCs/>
        </w:rPr>
        <w:t>Notice</w:t>
      </w:r>
      <w:r w:rsidR="00352EE8" w:rsidRPr="00352EE8">
        <w:rPr>
          <w:rFonts w:cs="Arial"/>
          <w:bCs/>
        </w:rPr>
        <w:t xml:space="preserve"> with the term ‘ancillary communication service’</w:t>
      </w:r>
      <w:r w:rsidR="003A000A">
        <w:rPr>
          <w:rFonts w:cs="Arial"/>
          <w:bCs/>
        </w:rPr>
        <w:t>;</w:t>
      </w:r>
    </w:p>
    <w:p w14:paraId="4C8A674E" w14:textId="34C65619" w:rsidR="00352EE8" w:rsidRPr="00352EE8" w:rsidRDefault="003A000A" w:rsidP="00352EE8">
      <w:pPr>
        <w:pStyle w:val="ListParagraph"/>
        <w:numPr>
          <w:ilvl w:val="0"/>
          <w:numId w:val="18"/>
        </w:numPr>
        <w:spacing w:before="80" w:after="120" w:line="240" w:lineRule="atLeast"/>
        <w:rPr>
          <w:rFonts w:cs="Arial"/>
          <w:bCs/>
        </w:rPr>
      </w:pPr>
      <w:r>
        <w:rPr>
          <w:rFonts w:cs="Arial"/>
          <w:bCs/>
        </w:rPr>
        <w:t>a</w:t>
      </w:r>
      <w:r w:rsidR="00352EE8" w:rsidRPr="00352EE8">
        <w:rPr>
          <w:rFonts w:cs="Arial"/>
          <w:bCs/>
        </w:rPr>
        <w:t xml:space="preserve">s a consequence, section 4 of the </w:t>
      </w:r>
      <w:r w:rsidR="002C4F5D">
        <w:rPr>
          <w:rFonts w:cs="Arial"/>
          <w:bCs/>
        </w:rPr>
        <w:t>Notice</w:t>
      </w:r>
      <w:r w:rsidR="00352EE8" w:rsidRPr="00352EE8">
        <w:rPr>
          <w:rFonts w:cs="Arial"/>
          <w:bCs/>
        </w:rPr>
        <w:t xml:space="preserve"> (‘Definitions’) specifies that the term ‘ancillary communication service’ has the meaning given in Appendix 2 to the </w:t>
      </w:r>
      <w:r w:rsidR="00352EE8" w:rsidRPr="00352EE8">
        <w:rPr>
          <w:rFonts w:cs="Arial"/>
          <w:bCs/>
          <w:i/>
        </w:rPr>
        <w:t>Broadcasting Services (Technical Planning) Guidelines 2007</w:t>
      </w:r>
      <w:r w:rsidR="00E0387E">
        <w:rPr>
          <w:rFonts w:cs="Arial"/>
          <w:bCs/>
        </w:rPr>
        <w:t>;</w:t>
      </w:r>
      <w:r w:rsidR="00F94718">
        <w:rPr>
          <w:rFonts w:cs="Arial"/>
          <w:bCs/>
        </w:rPr>
        <w:t xml:space="preserve"> and</w:t>
      </w:r>
    </w:p>
    <w:p w14:paraId="7D8AA090" w14:textId="52718B6F" w:rsidR="00352EE8" w:rsidRPr="00352EE8" w:rsidRDefault="001B7C5C">
      <w:pPr>
        <w:pStyle w:val="ListParagraph"/>
        <w:numPr>
          <w:ilvl w:val="0"/>
          <w:numId w:val="18"/>
        </w:numPr>
        <w:spacing w:before="80" w:after="120" w:line="240" w:lineRule="atLeast"/>
        <w:rPr>
          <w:rFonts w:cs="Arial"/>
          <w:bCs/>
        </w:rPr>
      </w:pPr>
      <w:r>
        <w:rPr>
          <w:rFonts w:cs="Arial"/>
          <w:bCs/>
        </w:rPr>
        <w:t>c</w:t>
      </w:r>
      <w:r w:rsidR="00943E48">
        <w:rPr>
          <w:rFonts w:cs="Arial"/>
          <w:bCs/>
        </w:rPr>
        <w:t>hanges to w</w:t>
      </w:r>
      <w:r w:rsidR="00352EE8" w:rsidRPr="00352EE8">
        <w:rPr>
          <w:rFonts w:cs="Arial"/>
          <w:bCs/>
        </w:rPr>
        <w:t xml:space="preserve">ording in section </w:t>
      </w:r>
      <w:r w:rsidR="00943E48">
        <w:rPr>
          <w:rFonts w:cs="Arial"/>
          <w:bCs/>
        </w:rPr>
        <w:t>13 (</w:t>
      </w:r>
      <w:r w:rsidR="00352EE8" w:rsidRPr="00352EE8">
        <w:rPr>
          <w:rFonts w:cs="Arial"/>
          <w:bCs/>
        </w:rPr>
        <w:t>‘Racing service’</w:t>
      </w:r>
      <w:r w:rsidR="00943E48">
        <w:rPr>
          <w:rFonts w:cs="Arial"/>
          <w:bCs/>
        </w:rPr>
        <w:t>)</w:t>
      </w:r>
      <w:r w:rsidR="00352EE8" w:rsidRPr="00352EE8">
        <w:rPr>
          <w:rFonts w:cs="Arial"/>
          <w:bCs/>
        </w:rPr>
        <w:t xml:space="preserve"> to clarify that the content </w:t>
      </w:r>
      <w:r w:rsidR="00E0387E">
        <w:rPr>
          <w:rFonts w:cs="Arial"/>
          <w:bCs/>
        </w:rPr>
        <w:t xml:space="preserve">assessed for the purposes of </w:t>
      </w:r>
      <w:r w:rsidR="00352EE8">
        <w:rPr>
          <w:rFonts w:cs="Arial"/>
          <w:bCs/>
        </w:rPr>
        <w:t>sub</w:t>
      </w:r>
      <w:r w:rsidR="00352EE8" w:rsidRPr="00352EE8">
        <w:rPr>
          <w:rFonts w:cs="Arial"/>
          <w:bCs/>
        </w:rPr>
        <w:t xml:space="preserve">section 13(3) </w:t>
      </w:r>
      <w:r w:rsidR="00E0387E">
        <w:rPr>
          <w:rFonts w:cs="Arial"/>
          <w:bCs/>
        </w:rPr>
        <w:t>cannot be</w:t>
      </w:r>
      <w:r w:rsidR="00352EE8" w:rsidRPr="00352EE8">
        <w:rPr>
          <w:rFonts w:cs="Arial"/>
          <w:bCs/>
        </w:rPr>
        <w:t xml:space="preserve"> the content referred to in </w:t>
      </w:r>
      <w:r w:rsidR="00352EE8">
        <w:rPr>
          <w:rFonts w:cs="Arial"/>
          <w:bCs/>
        </w:rPr>
        <w:t>sub</w:t>
      </w:r>
      <w:r w:rsidR="00352EE8" w:rsidRPr="00352EE8">
        <w:rPr>
          <w:rFonts w:cs="Arial"/>
          <w:bCs/>
        </w:rPr>
        <w:t>section 13(2)</w:t>
      </w:r>
      <w:r w:rsidR="00352EE8">
        <w:t>.</w:t>
      </w:r>
    </w:p>
    <w:p w14:paraId="2BA614EB" w14:textId="77777777" w:rsidR="00852FAE" w:rsidRPr="001457DF" w:rsidRDefault="00852FAE" w:rsidP="003E54B4">
      <w:pPr>
        <w:pStyle w:val="Default"/>
        <w:spacing w:after="120"/>
        <w:rPr>
          <w:b/>
        </w:rPr>
      </w:pPr>
      <w:bookmarkStart w:id="2" w:name="OLE_LINK34"/>
      <w:r w:rsidRPr="001457DF">
        <w:rPr>
          <w:b/>
        </w:rPr>
        <w:t>Consultation</w:t>
      </w:r>
    </w:p>
    <w:p w14:paraId="25A47575" w14:textId="749E74ED" w:rsidR="005D385E" w:rsidRDefault="00852FAE" w:rsidP="00852FAE">
      <w:pPr>
        <w:pStyle w:val="ListParagraph"/>
        <w:spacing w:before="120" w:after="120" w:line="240" w:lineRule="atLeast"/>
        <w:ind w:left="0"/>
        <w:contextualSpacing w:val="0"/>
        <w:rPr>
          <w:rFonts w:cs="Arial"/>
        </w:rPr>
      </w:pPr>
      <w:r>
        <w:rPr>
          <w:rFonts w:cs="Arial"/>
        </w:rPr>
        <w:t xml:space="preserve">On </w:t>
      </w:r>
      <w:r w:rsidR="001B7C5C">
        <w:rPr>
          <w:rFonts w:cs="Arial"/>
        </w:rPr>
        <w:t>2 December 2015</w:t>
      </w:r>
      <w:r w:rsidR="00D0277E" w:rsidRPr="003A000A">
        <w:rPr>
          <w:rFonts w:cs="Arial"/>
        </w:rPr>
        <w:t>,</w:t>
      </w:r>
      <w:r>
        <w:rPr>
          <w:rFonts w:cs="Arial"/>
        </w:rPr>
        <w:t xml:space="preserve"> t</w:t>
      </w:r>
      <w:r w:rsidRPr="00F05F36">
        <w:rPr>
          <w:rFonts w:cs="Arial"/>
        </w:rPr>
        <w:t xml:space="preserve">he ACMA </w:t>
      </w:r>
      <w:r w:rsidR="00D31D5A">
        <w:rPr>
          <w:rFonts w:cs="Arial"/>
        </w:rPr>
        <w:t>published a consultation paper on its website</w:t>
      </w:r>
      <w:r w:rsidR="00D31D5A" w:rsidRPr="00D31D5A">
        <w:rPr>
          <w:rFonts w:cs="Arial"/>
        </w:rPr>
        <w:t xml:space="preserve"> </w:t>
      </w:r>
      <w:r w:rsidR="00D31D5A" w:rsidRPr="00F05F36">
        <w:rPr>
          <w:rFonts w:cs="Arial"/>
        </w:rPr>
        <w:t>for public comment</w:t>
      </w:r>
      <w:r w:rsidR="00D31D5A">
        <w:rPr>
          <w:rFonts w:cs="Arial"/>
        </w:rPr>
        <w:t>, together with</w:t>
      </w:r>
      <w:r w:rsidRPr="00F05F36">
        <w:rPr>
          <w:rFonts w:cs="Arial"/>
        </w:rPr>
        <w:t xml:space="preserve"> </w:t>
      </w:r>
      <w:r>
        <w:rPr>
          <w:rFonts w:cs="Arial"/>
        </w:rPr>
        <w:t xml:space="preserve">a </w:t>
      </w:r>
      <w:r w:rsidRPr="00F05F36">
        <w:rPr>
          <w:rFonts w:cs="Arial"/>
        </w:rPr>
        <w:t>cop</w:t>
      </w:r>
      <w:r>
        <w:rPr>
          <w:rFonts w:cs="Arial"/>
        </w:rPr>
        <w:t>y</w:t>
      </w:r>
      <w:r w:rsidRPr="00F05F36">
        <w:rPr>
          <w:rFonts w:cs="Arial"/>
        </w:rPr>
        <w:t xml:space="preserve"> of the draft </w:t>
      </w:r>
      <w:r w:rsidR="002C4F5D">
        <w:rPr>
          <w:rFonts w:cs="Arial"/>
        </w:rPr>
        <w:t>Notice</w:t>
      </w:r>
      <w:r w:rsidRPr="00F05F36">
        <w:rPr>
          <w:rFonts w:cs="Arial"/>
        </w:rPr>
        <w:t xml:space="preserve">. </w:t>
      </w:r>
      <w:r w:rsidR="00D31D5A">
        <w:rPr>
          <w:rFonts w:cs="Arial"/>
        </w:rPr>
        <w:t xml:space="preserve">Comments closed on 1 February 2016. </w:t>
      </w:r>
    </w:p>
    <w:p w14:paraId="1D7D464D" w14:textId="493ECAD5" w:rsidR="00852FAE" w:rsidRPr="00F05F36" w:rsidRDefault="00D31D5A" w:rsidP="00852FAE">
      <w:pPr>
        <w:pStyle w:val="ListParagraph"/>
        <w:spacing w:before="120" w:after="120" w:line="240" w:lineRule="atLeast"/>
        <w:ind w:left="0"/>
        <w:contextualSpacing w:val="0"/>
        <w:rPr>
          <w:rFonts w:cs="Arial"/>
        </w:rPr>
      </w:pPr>
      <w:r>
        <w:rPr>
          <w:rFonts w:cs="Arial"/>
        </w:rPr>
        <w:lastRenderedPageBreak/>
        <w:t xml:space="preserve">The ACMA received two responses to the </w:t>
      </w:r>
      <w:r w:rsidR="00921FF3">
        <w:rPr>
          <w:rFonts w:cs="Arial"/>
        </w:rPr>
        <w:t>consultation paper</w:t>
      </w:r>
      <w:r w:rsidR="00D0277E">
        <w:rPr>
          <w:rFonts w:cs="Arial"/>
        </w:rPr>
        <w:t xml:space="preserve"> </w:t>
      </w:r>
      <w:r w:rsidR="00A625DC">
        <w:rPr>
          <w:rFonts w:cs="Arial"/>
        </w:rPr>
        <w:t>which were supportive of the proposal to make the Notice</w:t>
      </w:r>
      <w:r w:rsidR="00DC0F38">
        <w:rPr>
          <w:rFonts w:cs="Arial"/>
        </w:rPr>
        <w:t>.</w:t>
      </w:r>
    </w:p>
    <w:p w14:paraId="69FEC406" w14:textId="77777777" w:rsidR="00F74683" w:rsidRPr="00F05F36" w:rsidRDefault="00F74683" w:rsidP="00D22F27">
      <w:pPr>
        <w:autoSpaceDE w:val="0"/>
        <w:autoSpaceDN w:val="0"/>
        <w:adjustRightInd w:val="0"/>
        <w:spacing w:before="120" w:after="120" w:line="240" w:lineRule="atLeast"/>
        <w:rPr>
          <w:rFonts w:cs="Arial"/>
          <w:b/>
        </w:rPr>
      </w:pPr>
      <w:r w:rsidRPr="00F05F36">
        <w:rPr>
          <w:rFonts w:cs="Arial"/>
          <w:b/>
        </w:rPr>
        <w:t>Regulatory Impact</w:t>
      </w:r>
    </w:p>
    <w:bookmarkEnd w:id="1"/>
    <w:bookmarkEnd w:id="2"/>
    <w:p w14:paraId="6DB30207" w14:textId="5F3D2A63" w:rsidR="00544E0A" w:rsidRPr="001F0A23" w:rsidRDefault="00544E0A" w:rsidP="00D22F27">
      <w:pPr>
        <w:autoSpaceDE w:val="0"/>
        <w:autoSpaceDN w:val="0"/>
        <w:adjustRightInd w:val="0"/>
        <w:spacing w:before="120" w:after="120" w:line="240" w:lineRule="atLeast"/>
        <w:rPr>
          <w:rFonts w:cs="Arial"/>
          <w:highlight w:val="yellow"/>
        </w:rPr>
      </w:pPr>
      <w:r w:rsidRPr="001E7A01">
        <w:rPr>
          <w:rFonts w:cs="Arial"/>
        </w:rPr>
        <w:t xml:space="preserve">On </w:t>
      </w:r>
      <w:r w:rsidR="00CF5D72">
        <w:rPr>
          <w:rFonts w:cs="Arial"/>
        </w:rPr>
        <w:t>9 November 2015</w:t>
      </w:r>
      <w:r w:rsidRPr="001E7A01">
        <w:rPr>
          <w:rFonts w:cs="Arial"/>
        </w:rPr>
        <w:t xml:space="preserve">, the OBPR </w:t>
      </w:r>
      <w:r w:rsidR="00041AEB" w:rsidRPr="00041AEB">
        <w:rPr>
          <w:rFonts w:cs="Arial"/>
        </w:rPr>
        <w:t xml:space="preserve">determined that the proposed regulatory change </w:t>
      </w:r>
      <w:r w:rsidR="00A625DC">
        <w:rPr>
          <w:rFonts w:cs="Arial"/>
        </w:rPr>
        <w:t xml:space="preserve">effected by the Notice </w:t>
      </w:r>
      <w:r w:rsidR="00041AEB" w:rsidRPr="00041AEB">
        <w:rPr>
          <w:rFonts w:cs="Arial"/>
        </w:rPr>
        <w:t>is minor or machinery in nature and that no further regulatory impact analysis is required – OBPR reference number 19967.</w:t>
      </w:r>
    </w:p>
    <w:p w14:paraId="0761BD4F" w14:textId="77777777" w:rsidR="005B4C90" w:rsidRPr="00890A69" w:rsidRDefault="005B4C90" w:rsidP="00D22F27">
      <w:pPr>
        <w:autoSpaceDE w:val="0"/>
        <w:autoSpaceDN w:val="0"/>
        <w:adjustRightInd w:val="0"/>
        <w:spacing w:before="120" w:after="120" w:line="240" w:lineRule="atLeast"/>
        <w:rPr>
          <w:rFonts w:cs="Arial"/>
        </w:rPr>
      </w:pPr>
      <w:r w:rsidRPr="00D0277E">
        <w:rPr>
          <w:rFonts w:cs="Arial"/>
        </w:rPr>
        <w:t xml:space="preserve">As required under the </w:t>
      </w:r>
      <w:r w:rsidRPr="00D0277E">
        <w:rPr>
          <w:rFonts w:cs="Arial"/>
          <w:i/>
        </w:rPr>
        <w:t>Human Rights (Parliamentary Scrutiny) Act 2011</w:t>
      </w:r>
      <w:r w:rsidR="00DF7E4F" w:rsidRPr="00D0277E">
        <w:rPr>
          <w:rFonts w:cs="Arial"/>
          <w:i/>
        </w:rPr>
        <w:t>,</w:t>
      </w:r>
      <w:r w:rsidRPr="00D0277E">
        <w:rPr>
          <w:rFonts w:cs="Arial"/>
        </w:rPr>
        <w:t xml:space="preserve"> a human rights compatibility statement has been prepared</w:t>
      </w:r>
      <w:r w:rsidR="00625363" w:rsidRPr="00D0277E">
        <w:rPr>
          <w:rFonts w:cs="Arial"/>
        </w:rPr>
        <w:t xml:space="preserve"> by the ACMA</w:t>
      </w:r>
      <w:r w:rsidRPr="00D0277E">
        <w:rPr>
          <w:rFonts w:cs="Arial"/>
        </w:rPr>
        <w:t xml:space="preserve"> </w:t>
      </w:r>
      <w:r w:rsidR="00DF7E4F" w:rsidRPr="00D0277E">
        <w:rPr>
          <w:rFonts w:cs="Arial"/>
        </w:rPr>
        <w:t>and is attached.</w:t>
      </w:r>
      <w:r w:rsidRPr="00890A69">
        <w:rPr>
          <w:rFonts w:cs="Arial"/>
        </w:rPr>
        <w:t xml:space="preserve"> </w:t>
      </w:r>
    </w:p>
    <w:p w14:paraId="4BA82F6E" w14:textId="06F3324A" w:rsidR="00F74683" w:rsidRPr="00890A69" w:rsidRDefault="00F74683" w:rsidP="00D22F27">
      <w:pPr>
        <w:spacing w:after="200" w:line="276" w:lineRule="auto"/>
        <w:rPr>
          <w:rFonts w:cs="Arial"/>
          <w:b/>
        </w:rPr>
      </w:pPr>
      <w:r w:rsidRPr="00890A69">
        <w:rPr>
          <w:rFonts w:cs="Arial"/>
          <w:b/>
        </w:rPr>
        <w:t xml:space="preserve">NOTES ON </w:t>
      </w:r>
      <w:r w:rsidR="00352EE8" w:rsidRPr="00127690">
        <w:rPr>
          <w:rFonts w:cs="Arial"/>
          <w:b/>
          <w:i/>
        </w:rPr>
        <w:t xml:space="preserve">BROADCASTING SERVICES </w:t>
      </w:r>
      <w:r w:rsidR="00352EE8">
        <w:rPr>
          <w:rFonts w:cs="Arial"/>
          <w:b/>
          <w:i/>
        </w:rPr>
        <w:t>CLARIFICATION NOTICE 2016</w:t>
      </w:r>
    </w:p>
    <w:p w14:paraId="0E5716A2" w14:textId="589429F3" w:rsidR="00A47612" w:rsidRPr="00890A69" w:rsidRDefault="00A47612" w:rsidP="00A47612">
      <w:pPr>
        <w:autoSpaceDE w:val="0"/>
        <w:autoSpaceDN w:val="0"/>
        <w:adjustRightInd w:val="0"/>
        <w:spacing w:before="120" w:after="120" w:line="240" w:lineRule="atLeast"/>
        <w:rPr>
          <w:rFonts w:cs="Arial"/>
          <w:b/>
          <w:bCs/>
        </w:rPr>
      </w:pPr>
      <w:bookmarkStart w:id="3" w:name="OLE_LINK1"/>
      <w:bookmarkStart w:id="4" w:name="OLE_LINK2"/>
      <w:r>
        <w:rPr>
          <w:rFonts w:cs="Arial"/>
          <w:b/>
          <w:bCs/>
        </w:rPr>
        <w:t>Part</w:t>
      </w:r>
      <w:r w:rsidRPr="00890A69">
        <w:rPr>
          <w:rFonts w:cs="Arial"/>
          <w:b/>
          <w:bCs/>
        </w:rPr>
        <w:t xml:space="preserve"> 1 – </w:t>
      </w:r>
      <w:r>
        <w:rPr>
          <w:rFonts w:cs="Arial"/>
          <w:b/>
          <w:bCs/>
        </w:rPr>
        <w:t>Preliminary</w:t>
      </w:r>
    </w:p>
    <w:p w14:paraId="0E305D7D" w14:textId="09534C34" w:rsidR="00852FAE" w:rsidRPr="00890A69" w:rsidRDefault="00852FAE" w:rsidP="00A47612">
      <w:pPr>
        <w:autoSpaceDE w:val="0"/>
        <w:autoSpaceDN w:val="0"/>
        <w:adjustRightInd w:val="0"/>
        <w:spacing w:before="120" w:after="120" w:line="240" w:lineRule="atLeast"/>
        <w:rPr>
          <w:rFonts w:cs="Arial"/>
          <w:b/>
          <w:bCs/>
        </w:rPr>
      </w:pPr>
      <w:r w:rsidRPr="00890A69">
        <w:rPr>
          <w:rFonts w:cs="Arial"/>
          <w:b/>
          <w:bCs/>
        </w:rPr>
        <w:t xml:space="preserve">Section 1 – Name of </w:t>
      </w:r>
      <w:r w:rsidR="002C4F5D">
        <w:rPr>
          <w:rFonts w:cs="Arial"/>
          <w:b/>
          <w:bCs/>
        </w:rPr>
        <w:t>Notice</w:t>
      </w:r>
    </w:p>
    <w:p w14:paraId="707F45AC" w14:textId="09EA4E59" w:rsidR="00852FAE" w:rsidRDefault="00852FAE" w:rsidP="00852FAE">
      <w:pPr>
        <w:spacing w:before="120" w:after="120" w:line="240" w:lineRule="atLeast"/>
        <w:rPr>
          <w:i/>
        </w:rPr>
      </w:pPr>
      <w:r w:rsidRPr="00890A69">
        <w:rPr>
          <w:rFonts w:cs="Arial"/>
        </w:rPr>
        <w:t xml:space="preserve">Section 1 provides that the name of the </w:t>
      </w:r>
      <w:r w:rsidR="002C4F5D">
        <w:rPr>
          <w:rFonts w:cs="Arial"/>
        </w:rPr>
        <w:t>Notice</w:t>
      </w:r>
      <w:r w:rsidRPr="00890A69">
        <w:rPr>
          <w:rFonts w:cs="Arial"/>
        </w:rPr>
        <w:t xml:space="preserve"> is the</w:t>
      </w:r>
      <w:r>
        <w:rPr>
          <w:rFonts w:cs="Arial"/>
        </w:rPr>
        <w:t xml:space="preserve"> </w:t>
      </w:r>
      <w:r w:rsidRPr="003D0ED4">
        <w:rPr>
          <w:rFonts w:cs="Arial"/>
          <w:i/>
        </w:rPr>
        <w:t xml:space="preserve">Broadcasting Services </w:t>
      </w:r>
      <w:r w:rsidR="005A5A3F">
        <w:rPr>
          <w:rFonts w:cs="Arial"/>
          <w:i/>
        </w:rPr>
        <w:t>Clarification Notice 2016</w:t>
      </w:r>
      <w:r w:rsidRPr="005A5A3F">
        <w:rPr>
          <w:rFonts w:cs="Arial"/>
        </w:rPr>
        <w:t>.</w:t>
      </w:r>
    </w:p>
    <w:p w14:paraId="5DA0B957" w14:textId="77777777" w:rsidR="00852FAE" w:rsidRPr="00890A69" w:rsidRDefault="00852FAE" w:rsidP="00852FAE">
      <w:pPr>
        <w:spacing w:before="120" w:after="120" w:line="240" w:lineRule="atLeast"/>
        <w:rPr>
          <w:rFonts w:cs="Arial"/>
          <w:b/>
          <w:bCs/>
        </w:rPr>
      </w:pPr>
      <w:r w:rsidRPr="00890A69">
        <w:rPr>
          <w:rFonts w:cs="Arial"/>
          <w:b/>
          <w:bCs/>
        </w:rPr>
        <w:t>Section 2 – Commencement</w:t>
      </w:r>
    </w:p>
    <w:p w14:paraId="79F32122" w14:textId="48901312" w:rsidR="00852FAE" w:rsidRPr="00890A69" w:rsidRDefault="002C4F5D" w:rsidP="00852FAE">
      <w:pPr>
        <w:spacing w:before="120" w:after="120" w:line="240" w:lineRule="atLeast"/>
        <w:rPr>
          <w:rFonts w:cs="Arial"/>
        </w:rPr>
      </w:pPr>
      <w:r>
        <w:rPr>
          <w:rFonts w:cs="Arial"/>
        </w:rPr>
        <w:t>Section 2</w:t>
      </w:r>
      <w:r w:rsidR="00852FAE" w:rsidRPr="00890A69">
        <w:rPr>
          <w:rFonts w:cs="Arial"/>
        </w:rPr>
        <w:t xml:space="preserve"> provides that the </w:t>
      </w:r>
      <w:r>
        <w:rPr>
          <w:rFonts w:cs="Arial"/>
        </w:rPr>
        <w:t>Notice</w:t>
      </w:r>
      <w:r w:rsidR="00852FAE" w:rsidRPr="00890A69">
        <w:rPr>
          <w:rFonts w:cs="Arial"/>
        </w:rPr>
        <w:t xml:space="preserve"> commences on the day </w:t>
      </w:r>
      <w:r w:rsidR="00852FAE">
        <w:t>after it is registered on the Federal Register of Legislati</w:t>
      </w:r>
      <w:r w:rsidR="00A625DC">
        <w:t>on</w:t>
      </w:r>
      <w:r w:rsidR="00852FAE">
        <w:rPr>
          <w:rFonts w:cs="Arial"/>
        </w:rPr>
        <w:t>.</w:t>
      </w:r>
    </w:p>
    <w:bookmarkEnd w:id="3"/>
    <w:bookmarkEnd w:id="4"/>
    <w:p w14:paraId="3236FDFA" w14:textId="10078BD5" w:rsidR="002C4F5D" w:rsidRPr="0059708A" w:rsidRDefault="002C4F5D" w:rsidP="002C4F5D">
      <w:pPr>
        <w:autoSpaceDE w:val="0"/>
        <w:autoSpaceDN w:val="0"/>
        <w:adjustRightInd w:val="0"/>
        <w:spacing w:before="120" w:after="120" w:line="240" w:lineRule="atLeast"/>
        <w:rPr>
          <w:rFonts w:cs="Arial"/>
          <w:b/>
          <w:bCs/>
        </w:rPr>
      </w:pPr>
      <w:r w:rsidRPr="0059708A">
        <w:rPr>
          <w:rFonts w:cs="Arial"/>
          <w:b/>
          <w:bCs/>
        </w:rPr>
        <w:t>Section 3</w:t>
      </w:r>
      <w:r>
        <w:rPr>
          <w:rFonts w:cs="Arial"/>
          <w:b/>
          <w:bCs/>
        </w:rPr>
        <w:t xml:space="preserve"> </w:t>
      </w:r>
      <w:r w:rsidRPr="0059708A">
        <w:rPr>
          <w:rFonts w:cs="Arial"/>
          <w:b/>
          <w:bCs/>
        </w:rPr>
        <w:t xml:space="preserve">– </w:t>
      </w:r>
      <w:r>
        <w:rPr>
          <w:rFonts w:cs="Arial"/>
          <w:b/>
          <w:bCs/>
        </w:rPr>
        <w:t>Revocation</w:t>
      </w:r>
    </w:p>
    <w:p w14:paraId="02BA40A2" w14:textId="6D2A0BB1" w:rsidR="002C4F5D" w:rsidRPr="0059708A" w:rsidRDefault="002C4F5D" w:rsidP="002C4F5D">
      <w:pPr>
        <w:autoSpaceDE w:val="0"/>
        <w:autoSpaceDN w:val="0"/>
        <w:adjustRightInd w:val="0"/>
        <w:spacing w:before="120" w:after="120" w:line="240" w:lineRule="atLeast"/>
        <w:rPr>
          <w:rFonts w:cs="Arial"/>
          <w:bCs/>
        </w:rPr>
      </w:pPr>
      <w:r>
        <w:rPr>
          <w:rFonts w:cs="Arial"/>
          <w:bCs/>
        </w:rPr>
        <w:t xml:space="preserve">Section 3 </w:t>
      </w:r>
      <w:r w:rsidR="00BF26CB">
        <w:rPr>
          <w:rFonts w:cs="Arial"/>
          <w:bCs/>
        </w:rPr>
        <w:t xml:space="preserve">has </w:t>
      </w:r>
      <w:r w:rsidRPr="002C4F5D">
        <w:rPr>
          <w:rFonts w:cs="Arial"/>
          <w:bCs/>
        </w:rPr>
        <w:t>the effect of revoking the</w:t>
      </w:r>
      <w:r>
        <w:rPr>
          <w:rFonts w:cs="Arial"/>
          <w:bCs/>
        </w:rPr>
        <w:t xml:space="preserve"> </w:t>
      </w:r>
      <w:r w:rsidRPr="002C4F5D">
        <w:rPr>
          <w:rFonts w:cs="Arial"/>
          <w:bCs/>
          <w:i/>
        </w:rPr>
        <w:t>Broadcasting Services Clarification Notice 2001</w:t>
      </w:r>
      <w:r>
        <w:rPr>
          <w:rFonts w:cs="Arial"/>
          <w:bCs/>
        </w:rPr>
        <w:t xml:space="preserve"> and the </w:t>
      </w:r>
      <w:r w:rsidRPr="002C4F5D">
        <w:rPr>
          <w:rFonts w:cs="Arial"/>
          <w:bCs/>
          <w:i/>
        </w:rPr>
        <w:t>Broadcasting Services Clarification Notice 2002</w:t>
      </w:r>
      <w:r w:rsidRPr="0059708A">
        <w:rPr>
          <w:rFonts w:cs="Arial"/>
          <w:bCs/>
        </w:rPr>
        <w:t>.</w:t>
      </w:r>
    </w:p>
    <w:p w14:paraId="7F4B1015" w14:textId="15111649" w:rsidR="00852FAE" w:rsidRPr="0059708A" w:rsidRDefault="00852FAE" w:rsidP="00852FAE">
      <w:pPr>
        <w:autoSpaceDE w:val="0"/>
        <w:autoSpaceDN w:val="0"/>
        <w:adjustRightInd w:val="0"/>
        <w:spacing w:before="120" w:after="120" w:line="240" w:lineRule="atLeast"/>
        <w:rPr>
          <w:rFonts w:cs="Arial"/>
          <w:b/>
          <w:bCs/>
        </w:rPr>
      </w:pPr>
      <w:r w:rsidRPr="0059708A">
        <w:rPr>
          <w:rFonts w:cs="Arial"/>
          <w:b/>
          <w:bCs/>
        </w:rPr>
        <w:t xml:space="preserve">Section </w:t>
      </w:r>
      <w:r w:rsidR="002C4F5D">
        <w:rPr>
          <w:rFonts w:cs="Arial"/>
          <w:b/>
          <w:bCs/>
        </w:rPr>
        <w:t>4</w:t>
      </w:r>
      <w:r>
        <w:rPr>
          <w:rFonts w:cs="Arial"/>
          <w:b/>
          <w:bCs/>
        </w:rPr>
        <w:t xml:space="preserve"> </w:t>
      </w:r>
      <w:r w:rsidRPr="0059708A">
        <w:rPr>
          <w:rFonts w:cs="Arial"/>
          <w:b/>
          <w:bCs/>
        </w:rPr>
        <w:t>– Definitions</w:t>
      </w:r>
    </w:p>
    <w:p w14:paraId="072266CF" w14:textId="1A09E780" w:rsidR="00DB0C27" w:rsidRPr="0059708A" w:rsidRDefault="00907297" w:rsidP="00852FAE">
      <w:pPr>
        <w:autoSpaceDE w:val="0"/>
        <w:autoSpaceDN w:val="0"/>
        <w:adjustRightInd w:val="0"/>
        <w:spacing w:before="120" w:after="120" w:line="240" w:lineRule="atLeast"/>
        <w:rPr>
          <w:rFonts w:cs="Arial"/>
          <w:bCs/>
        </w:rPr>
      </w:pPr>
      <w:r>
        <w:rPr>
          <w:rFonts w:cs="Arial"/>
          <w:bCs/>
        </w:rPr>
        <w:t xml:space="preserve">Section </w:t>
      </w:r>
      <w:r w:rsidR="002C4F5D">
        <w:rPr>
          <w:rFonts w:cs="Arial"/>
          <w:bCs/>
        </w:rPr>
        <w:t>4</w:t>
      </w:r>
      <w:r>
        <w:rPr>
          <w:rFonts w:cs="Arial"/>
          <w:bCs/>
        </w:rPr>
        <w:t xml:space="preserve"> </w:t>
      </w:r>
      <w:r w:rsidR="002C4F5D">
        <w:rPr>
          <w:rFonts w:cs="Arial"/>
          <w:bCs/>
        </w:rPr>
        <w:t>defines certain terms used in the Notice.</w:t>
      </w:r>
    </w:p>
    <w:p w14:paraId="1F95DD2B" w14:textId="2F4BC910" w:rsidR="00907297" w:rsidRDefault="00A47612" w:rsidP="00852FAE">
      <w:pPr>
        <w:autoSpaceDE w:val="0"/>
        <w:autoSpaceDN w:val="0"/>
        <w:adjustRightInd w:val="0"/>
        <w:spacing w:before="120" w:after="120" w:line="240" w:lineRule="atLeast"/>
        <w:rPr>
          <w:rFonts w:cs="Arial"/>
          <w:b/>
        </w:rPr>
      </w:pPr>
      <w:r>
        <w:rPr>
          <w:rFonts w:cs="Arial"/>
          <w:b/>
        </w:rPr>
        <w:t>Part 2 – Clarification for AM and FM radio services</w:t>
      </w:r>
    </w:p>
    <w:p w14:paraId="53526C4C" w14:textId="7347F77D" w:rsidR="00907297" w:rsidRDefault="00A47612" w:rsidP="00852FAE">
      <w:pPr>
        <w:autoSpaceDE w:val="0"/>
        <w:autoSpaceDN w:val="0"/>
        <w:adjustRightInd w:val="0"/>
        <w:spacing w:before="120" w:after="120" w:line="240" w:lineRule="atLeast"/>
        <w:rPr>
          <w:rFonts w:cs="Arial"/>
          <w:b/>
        </w:rPr>
      </w:pPr>
      <w:r>
        <w:rPr>
          <w:rFonts w:cs="Arial"/>
          <w:b/>
        </w:rPr>
        <w:t>Section 5 – Purpose of Part 2</w:t>
      </w:r>
    </w:p>
    <w:p w14:paraId="7A9B0D97" w14:textId="77777777" w:rsidR="008765D9" w:rsidRDefault="00A47612" w:rsidP="00A47612">
      <w:pPr>
        <w:spacing w:before="120" w:after="120" w:line="240" w:lineRule="atLeast"/>
        <w:rPr>
          <w:rFonts w:cs="Arial"/>
        </w:rPr>
      </w:pPr>
      <w:r>
        <w:rPr>
          <w:rFonts w:cs="Arial"/>
        </w:rPr>
        <w:t xml:space="preserve">Section 5 </w:t>
      </w:r>
      <w:r w:rsidR="008765D9">
        <w:rPr>
          <w:rFonts w:cs="Arial"/>
        </w:rPr>
        <w:t>specifies the type of broadcasting service to which Part 2 of the Notice applies.</w:t>
      </w:r>
    </w:p>
    <w:p w14:paraId="10E93ECD" w14:textId="0902E721" w:rsidR="00DB0C27" w:rsidRDefault="008765D9" w:rsidP="00A47612">
      <w:pPr>
        <w:spacing w:before="120" w:after="120" w:line="240" w:lineRule="atLeast"/>
        <w:rPr>
          <w:rFonts w:cs="Arial"/>
        </w:rPr>
      </w:pPr>
      <w:r>
        <w:rPr>
          <w:rFonts w:cs="Arial"/>
        </w:rPr>
        <w:t>Subsection 5(1) provides that</w:t>
      </w:r>
      <w:r w:rsidR="00DB0C27">
        <w:rPr>
          <w:rFonts w:cs="Arial"/>
        </w:rPr>
        <w:t xml:space="preserve">, </w:t>
      </w:r>
      <w:r w:rsidR="00A625DC">
        <w:rPr>
          <w:rFonts w:cs="Arial"/>
        </w:rPr>
        <w:t>for</w:t>
      </w:r>
      <w:r w:rsidR="00DB0C27">
        <w:rPr>
          <w:rFonts w:cs="Arial"/>
        </w:rPr>
        <w:t xml:space="preserve"> paragraph 19(1</w:t>
      </w:r>
      <w:proofErr w:type="gramStart"/>
      <w:r w:rsidR="00DB0C27">
        <w:rPr>
          <w:rFonts w:cs="Arial"/>
        </w:rPr>
        <w:t>)(</w:t>
      </w:r>
      <w:proofErr w:type="gramEnd"/>
      <w:r w:rsidR="00DB0C27">
        <w:rPr>
          <w:rFonts w:cs="Arial"/>
        </w:rPr>
        <w:t>b) of the Act,</w:t>
      </w:r>
      <w:r>
        <w:rPr>
          <w:rFonts w:cs="Arial"/>
        </w:rPr>
        <w:t xml:space="preserve"> Part 2 of the Notice </w:t>
      </w:r>
      <w:r w:rsidR="00DB0C27">
        <w:rPr>
          <w:rFonts w:cs="Arial"/>
        </w:rPr>
        <w:t>clarifies</w:t>
      </w:r>
      <w:r w:rsidR="002E7E1D">
        <w:rPr>
          <w:rFonts w:cs="Arial"/>
        </w:rPr>
        <w:t xml:space="preserve"> the criteria for open narrowcasting services </w:t>
      </w:r>
      <w:r w:rsidR="00DB0C27">
        <w:rPr>
          <w:rFonts w:cs="Arial"/>
        </w:rPr>
        <w:t xml:space="preserve">in section 18 of the Act </w:t>
      </w:r>
      <w:r w:rsidR="00BF26CB">
        <w:rPr>
          <w:rFonts w:cs="Arial"/>
        </w:rPr>
        <w:t>for</w:t>
      </w:r>
      <w:r w:rsidR="00DB0C27">
        <w:rPr>
          <w:rFonts w:cs="Arial"/>
        </w:rPr>
        <w:t xml:space="preserve"> radio services that are provided using an AM or FM signal in the broadcasting services bands and that are not provided on a subscription basis.</w:t>
      </w:r>
      <w:r w:rsidR="00E0387E">
        <w:rPr>
          <w:rFonts w:cs="Arial"/>
        </w:rPr>
        <w:t xml:space="preserve"> </w:t>
      </w:r>
      <w:r w:rsidR="00DB0C27">
        <w:rPr>
          <w:rFonts w:cs="Arial"/>
        </w:rPr>
        <w:t>The meaning of ‘broadcasting services bands’ is set out in section 6 of the Act.</w:t>
      </w:r>
    </w:p>
    <w:p w14:paraId="67E28620" w14:textId="3AC40B1D" w:rsidR="00A45541" w:rsidRDefault="00DB0C27" w:rsidP="00A47612">
      <w:pPr>
        <w:spacing w:before="120" w:after="120" w:line="240" w:lineRule="atLeast"/>
        <w:rPr>
          <w:rFonts w:cs="Arial"/>
        </w:rPr>
      </w:pPr>
      <w:r>
        <w:rPr>
          <w:rFonts w:cs="Arial"/>
        </w:rPr>
        <w:t>Subsection 5(2) specifies that the sections in Part 2 are not an exclusive list</w:t>
      </w:r>
      <w:r w:rsidR="00E0387E">
        <w:rPr>
          <w:rFonts w:cs="Arial"/>
        </w:rPr>
        <w:t xml:space="preserve"> of open narrowcasting services</w:t>
      </w:r>
      <w:r>
        <w:rPr>
          <w:rFonts w:cs="Arial"/>
        </w:rPr>
        <w:t xml:space="preserve">. In other words, a broadcasting service that does not fall within a particular section of Part 2 may still be an open narrowcasting service within the meaning of section 18 of the Act due to having the characteristics of a service </w:t>
      </w:r>
      <w:r w:rsidR="00E0387E">
        <w:rPr>
          <w:rFonts w:cs="Arial"/>
        </w:rPr>
        <w:t xml:space="preserve">which has </w:t>
      </w:r>
      <w:r>
        <w:rPr>
          <w:rFonts w:cs="Arial"/>
        </w:rPr>
        <w:t>reception</w:t>
      </w:r>
      <w:r w:rsidR="00E0387E">
        <w:rPr>
          <w:rFonts w:cs="Arial"/>
        </w:rPr>
        <w:t xml:space="preserve"> that</w:t>
      </w:r>
      <w:r>
        <w:rPr>
          <w:rFonts w:cs="Arial"/>
        </w:rPr>
        <w:t xml:space="preserve"> is limited in some way.</w:t>
      </w:r>
    </w:p>
    <w:p w14:paraId="78406538" w14:textId="0BC893C6" w:rsidR="00A45541" w:rsidRPr="00A45541" w:rsidRDefault="00DB0C27" w:rsidP="005D385E">
      <w:pPr>
        <w:keepNext/>
        <w:spacing w:before="120" w:after="120" w:line="240" w:lineRule="atLeast"/>
        <w:rPr>
          <w:rFonts w:cs="Arial"/>
          <w:b/>
        </w:rPr>
      </w:pPr>
      <w:r>
        <w:rPr>
          <w:rFonts w:cs="Arial"/>
          <w:b/>
        </w:rPr>
        <w:t>Section 6 – Low power transmitter: urban centres and localities</w:t>
      </w:r>
    </w:p>
    <w:p w14:paraId="5E5250D2" w14:textId="5B5B5AD4" w:rsidR="00EE53C1" w:rsidRDefault="00DB0C27" w:rsidP="00A47612">
      <w:pPr>
        <w:spacing w:before="120" w:after="120" w:line="240" w:lineRule="atLeast"/>
        <w:rPr>
          <w:rFonts w:cs="Arial"/>
        </w:rPr>
      </w:pPr>
      <w:r w:rsidRPr="00DB0C27">
        <w:rPr>
          <w:rFonts w:cs="Arial"/>
        </w:rPr>
        <w:t xml:space="preserve">Section 6 </w:t>
      </w:r>
      <w:r w:rsidR="005457E4">
        <w:rPr>
          <w:rFonts w:cs="Arial"/>
        </w:rPr>
        <w:t xml:space="preserve">applies to </w:t>
      </w:r>
      <w:r w:rsidR="00CF63B9">
        <w:rPr>
          <w:rFonts w:cs="Arial"/>
        </w:rPr>
        <w:t xml:space="preserve">low-powered radio </w:t>
      </w:r>
      <w:r w:rsidRPr="00DB0C27">
        <w:rPr>
          <w:rFonts w:cs="Arial"/>
        </w:rPr>
        <w:t>broadcasting service</w:t>
      </w:r>
      <w:r w:rsidR="005457E4">
        <w:rPr>
          <w:rFonts w:cs="Arial"/>
        </w:rPr>
        <w:t>s described in subsection 6(1) – that is</w:t>
      </w:r>
      <w:r w:rsidR="00E0387E">
        <w:rPr>
          <w:rFonts w:cs="Arial"/>
        </w:rPr>
        <w:t>,</w:t>
      </w:r>
      <w:r w:rsidR="005457E4">
        <w:rPr>
          <w:rFonts w:cs="Arial"/>
        </w:rPr>
        <w:t xml:space="preserve"> FM radio broadcasting services that are</w:t>
      </w:r>
      <w:r w:rsidRPr="00DB0C27">
        <w:rPr>
          <w:rFonts w:cs="Arial"/>
        </w:rPr>
        <w:t xml:space="preserve"> </w:t>
      </w:r>
      <w:r w:rsidR="00CF63B9">
        <w:rPr>
          <w:rFonts w:cs="Arial"/>
        </w:rPr>
        <w:t>provided in an urban centre or locality</w:t>
      </w:r>
      <w:r w:rsidR="005457E4">
        <w:rPr>
          <w:rFonts w:cs="Arial"/>
        </w:rPr>
        <w:t xml:space="preserve"> using a transmitter with an effective radiated power of 1 watt or less</w:t>
      </w:r>
      <w:r w:rsidR="00EE53C1">
        <w:rPr>
          <w:rFonts w:cs="Arial"/>
        </w:rPr>
        <w:t>.</w:t>
      </w:r>
    </w:p>
    <w:p w14:paraId="5AC71646" w14:textId="7D1268D1" w:rsidR="00E81CB9" w:rsidRDefault="00E81CB9" w:rsidP="00A47612">
      <w:pPr>
        <w:spacing w:before="120" w:after="120" w:line="240" w:lineRule="atLeast"/>
        <w:rPr>
          <w:rFonts w:cs="Arial"/>
        </w:rPr>
      </w:pPr>
      <w:r>
        <w:rPr>
          <w:rFonts w:cs="Arial"/>
        </w:rPr>
        <w:t xml:space="preserve">‘Locality’ and ‘urban centre’ are defined in </w:t>
      </w:r>
      <w:r w:rsidR="00BF26CB">
        <w:rPr>
          <w:rFonts w:cs="Arial"/>
        </w:rPr>
        <w:t>s</w:t>
      </w:r>
      <w:r>
        <w:rPr>
          <w:rFonts w:cs="Arial"/>
        </w:rPr>
        <w:t>ection 4 of the Notice</w:t>
      </w:r>
      <w:r w:rsidR="00E8662E">
        <w:rPr>
          <w:rFonts w:cs="Arial"/>
        </w:rPr>
        <w:t xml:space="preserve"> as being types of population clusters classified by the Australian Bureau of Statistics in accordance with the Australian Standard Geographical Classification 2001.</w:t>
      </w:r>
    </w:p>
    <w:p w14:paraId="2FF9F00B" w14:textId="4F69975B" w:rsidR="00CF63B9" w:rsidRDefault="00EE53C1" w:rsidP="00A47612">
      <w:pPr>
        <w:spacing w:before="120" w:after="120" w:line="240" w:lineRule="atLeast"/>
        <w:rPr>
          <w:rFonts w:cs="Arial"/>
        </w:rPr>
      </w:pPr>
      <w:r>
        <w:rPr>
          <w:rFonts w:cs="Arial"/>
        </w:rPr>
        <w:t>Subsection 6(2) provides that</w:t>
      </w:r>
      <w:r w:rsidR="00FC5A05">
        <w:rPr>
          <w:rFonts w:cs="Arial"/>
        </w:rPr>
        <w:t>, for the purposes of the Act,</w:t>
      </w:r>
      <w:r>
        <w:rPr>
          <w:rFonts w:cs="Arial"/>
        </w:rPr>
        <w:t xml:space="preserve"> a radio broadcasting service of the kind described in subsection 6(1)</w:t>
      </w:r>
      <w:r w:rsidR="00CF63B9">
        <w:rPr>
          <w:rFonts w:cs="Arial"/>
        </w:rPr>
        <w:t xml:space="preserve"> </w:t>
      </w:r>
      <w:r w:rsidR="00DB0C27" w:rsidRPr="00DB0C27">
        <w:rPr>
          <w:rFonts w:cs="Arial"/>
        </w:rPr>
        <w:t xml:space="preserve">is not an open narrowcasting service by reason only of </w:t>
      </w:r>
      <w:r w:rsidR="00A625DC">
        <w:rPr>
          <w:rFonts w:cs="Arial"/>
        </w:rPr>
        <w:t xml:space="preserve">its </w:t>
      </w:r>
      <w:r w:rsidR="00CF63B9">
        <w:rPr>
          <w:rFonts w:cs="Arial"/>
        </w:rPr>
        <w:t>being transmitted at a low</w:t>
      </w:r>
      <w:r w:rsidR="00DB0C27" w:rsidRPr="00DB0C27">
        <w:rPr>
          <w:rFonts w:cs="Arial"/>
        </w:rPr>
        <w:t xml:space="preserve"> effective radiated power.</w:t>
      </w:r>
      <w:r w:rsidR="00CF63B9">
        <w:rPr>
          <w:rFonts w:cs="Arial"/>
        </w:rPr>
        <w:t xml:space="preserve"> </w:t>
      </w:r>
    </w:p>
    <w:p w14:paraId="53F2A1DE" w14:textId="51F316D8" w:rsidR="00CF63B9" w:rsidRDefault="00CF63B9" w:rsidP="00A47612">
      <w:pPr>
        <w:spacing w:before="120" w:after="120" w:line="240" w:lineRule="atLeast"/>
        <w:rPr>
          <w:rFonts w:cs="Arial"/>
        </w:rPr>
      </w:pPr>
      <w:r>
        <w:rPr>
          <w:rFonts w:cs="Arial"/>
        </w:rPr>
        <w:t>For example, a</w:t>
      </w:r>
      <w:r w:rsidRPr="001A69C3">
        <w:rPr>
          <w:rFonts w:cs="Arial"/>
        </w:rPr>
        <w:t xml:space="preserve"> low-power</w:t>
      </w:r>
      <w:r w:rsidR="00BF26CB">
        <w:rPr>
          <w:rFonts w:cs="Arial"/>
        </w:rPr>
        <w:t>ed</w:t>
      </w:r>
      <w:r w:rsidRPr="001A69C3">
        <w:rPr>
          <w:rFonts w:cs="Arial"/>
        </w:rPr>
        <w:t xml:space="preserve"> </w:t>
      </w:r>
      <w:r>
        <w:rPr>
          <w:rFonts w:cs="Arial"/>
        </w:rPr>
        <w:t xml:space="preserve">radio broadcasting </w:t>
      </w:r>
      <w:r w:rsidRPr="001A69C3">
        <w:rPr>
          <w:rFonts w:cs="Arial"/>
        </w:rPr>
        <w:t xml:space="preserve">service with programs of broad appeal </w:t>
      </w:r>
      <w:r>
        <w:rPr>
          <w:rFonts w:cs="Arial"/>
        </w:rPr>
        <w:t xml:space="preserve">provided </w:t>
      </w:r>
      <w:r w:rsidRPr="001A69C3">
        <w:rPr>
          <w:rFonts w:cs="Arial"/>
        </w:rPr>
        <w:t xml:space="preserve">within an urban area would not </w:t>
      </w:r>
      <w:r>
        <w:rPr>
          <w:rFonts w:cs="Arial"/>
        </w:rPr>
        <w:t>be considered</w:t>
      </w:r>
      <w:r w:rsidRPr="001A69C3">
        <w:rPr>
          <w:rFonts w:cs="Arial"/>
        </w:rPr>
        <w:t xml:space="preserve"> a narrowcasting service </w:t>
      </w:r>
      <w:r>
        <w:rPr>
          <w:rFonts w:cs="Arial"/>
        </w:rPr>
        <w:t>even though</w:t>
      </w:r>
      <w:r w:rsidRPr="001A69C3">
        <w:rPr>
          <w:rFonts w:cs="Arial"/>
        </w:rPr>
        <w:t xml:space="preserve"> it is broadcast to a ‘limited location’, </w:t>
      </w:r>
      <w:r>
        <w:rPr>
          <w:rFonts w:cs="Arial"/>
        </w:rPr>
        <w:t>because</w:t>
      </w:r>
      <w:r w:rsidRPr="001A69C3">
        <w:rPr>
          <w:rFonts w:cs="Arial"/>
        </w:rPr>
        <w:t xml:space="preserve"> the number of people able to receive the serv</w:t>
      </w:r>
      <w:r>
        <w:rPr>
          <w:rFonts w:cs="Arial"/>
        </w:rPr>
        <w:t>ice could be in the thousands.</w:t>
      </w:r>
    </w:p>
    <w:p w14:paraId="59780F40" w14:textId="1C1720E2" w:rsidR="00A45541" w:rsidRDefault="00A32596" w:rsidP="00A47612">
      <w:pPr>
        <w:spacing w:before="120" w:after="120" w:line="240" w:lineRule="atLeast"/>
        <w:rPr>
          <w:rFonts w:cs="Arial"/>
        </w:rPr>
      </w:pPr>
      <w:r>
        <w:rPr>
          <w:rFonts w:cs="Arial"/>
        </w:rPr>
        <w:t>A</w:t>
      </w:r>
      <w:r w:rsidR="00CF63B9">
        <w:rPr>
          <w:rFonts w:cs="Arial"/>
        </w:rPr>
        <w:t xml:space="preserve"> </w:t>
      </w:r>
      <w:r>
        <w:rPr>
          <w:rFonts w:cs="Arial"/>
        </w:rPr>
        <w:t xml:space="preserve">low-powered </w:t>
      </w:r>
      <w:r w:rsidR="00CF63B9">
        <w:rPr>
          <w:rFonts w:cs="Arial"/>
        </w:rPr>
        <w:t>service may be an open narrowcasting service</w:t>
      </w:r>
      <w:r>
        <w:rPr>
          <w:rFonts w:cs="Arial"/>
        </w:rPr>
        <w:t xml:space="preserve"> if other characteristics of the service mean that it has reception that is limited in some way. For example, a low-powered radio broadcasting service in an urban area that provides programs of narrow appeal or </w:t>
      </w:r>
      <w:r w:rsidR="008258B9">
        <w:rPr>
          <w:rFonts w:cs="Arial"/>
        </w:rPr>
        <w:t xml:space="preserve">that </w:t>
      </w:r>
      <w:r>
        <w:rPr>
          <w:rFonts w:cs="Arial"/>
        </w:rPr>
        <w:t>is provided during a limited period would be an open narrowcasting service</w:t>
      </w:r>
      <w:r w:rsidR="00CF63B9">
        <w:rPr>
          <w:rFonts w:cs="Arial"/>
        </w:rPr>
        <w:t>.</w:t>
      </w:r>
    </w:p>
    <w:p w14:paraId="5C56111F" w14:textId="45AFD078" w:rsidR="00CF63B9" w:rsidRPr="00A45541" w:rsidRDefault="00CF63B9" w:rsidP="00CF63B9">
      <w:pPr>
        <w:spacing w:before="120" w:after="120" w:line="240" w:lineRule="atLeast"/>
        <w:rPr>
          <w:rFonts w:cs="Arial"/>
          <w:b/>
        </w:rPr>
      </w:pPr>
      <w:r>
        <w:rPr>
          <w:rFonts w:cs="Arial"/>
          <w:b/>
        </w:rPr>
        <w:t>Section 7 – Limited period</w:t>
      </w:r>
    </w:p>
    <w:p w14:paraId="42E44698" w14:textId="0AF1DF3A" w:rsidR="005457E4" w:rsidRDefault="005457E4" w:rsidP="00A47612">
      <w:pPr>
        <w:spacing w:before="120" w:after="120" w:line="240" w:lineRule="atLeast"/>
        <w:rPr>
          <w:rFonts w:cs="Arial"/>
        </w:rPr>
      </w:pPr>
      <w:r>
        <w:rPr>
          <w:rFonts w:cs="Arial"/>
        </w:rPr>
        <w:t>Section 7 relates to radio broadcasting services that are provided for limited periods.</w:t>
      </w:r>
    </w:p>
    <w:p w14:paraId="15A22E43" w14:textId="7C6788E8" w:rsidR="00CF63B9" w:rsidRDefault="005457E4" w:rsidP="00A47612">
      <w:pPr>
        <w:spacing w:before="120" w:after="120" w:line="240" w:lineRule="atLeast"/>
        <w:rPr>
          <w:rFonts w:cs="Arial"/>
        </w:rPr>
      </w:pPr>
      <w:r>
        <w:rPr>
          <w:rFonts w:cs="Arial"/>
        </w:rPr>
        <w:t xml:space="preserve">Subsection 7(1) specifies that the section applies to radio broadcasting services that, under the terms of the transmitter licence (issued by the ACMA in accordance with the </w:t>
      </w:r>
      <w:proofErr w:type="spellStart"/>
      <w:r>
        <w:rPr>
          <w:rFonts w:cs="Arial"/>
          <w:i/>
        </w:rPr>
        <w:t>Radiocommunications</w:t>
      </w:r>
      <w:proofErr w:type="spellEnd"/>
      <w:r>
        <w:rPr>
          <w:rFonts w:cs="Arial"/>
          <w:i/>
        </w:rPr>
        <w:t xml:space="preserve"> Act 1992</w:t>
      </w:r>
      <w:r>
        <w:rPr>
          <w:rFonts w:cs="Arial"/>
        </w:rPr>
        <w:t xml:space="preserve">), are provided for either </w:t>
      </w:r>
      <w:r w:rsidRPr="001A69C3">
        <w:rPr>
          <w:rFonts w:cs="Arial"/>
        </w:rPr>
        <w:t>a continuous period of not more than 30 days in any 12</w:t>
      </w:r>
      <w:r>
        <w:rPr>
          <w:rFonts w:cs="Arial"/>
        </w:rPr>
        <w:t>-</w:t>
      </w:r>
      <w:r w:rsidRPr="001A69C3">
        <w:rPr>
          <w:rFonts w:cs="Arial"/>
        </w:rPr>
        <w:t>month period, or</w:t>
      </w:r>
      <w:r>
        <w:rPr>
          <w:rFonts w:cs="Arial"/>
        </w:rPr>
        <w:t xml:space="preserve"> for</w:t>
      </w:r>
      <w:r w:rsidRPr="001A69C3">
        <w:rPr>
          <w:rFonts w:cs="Arial"/>
        </w:rPr>
        <w:t xml:space="preserve"> separate periods </w:t>
      </w:r>
      <w:r>
        <w:rPr>
          <w:rFonts w:cs="Arial"/>
        </w:rPr>
        <w:t>that</w:t>
      </w:r>
      <w:r w:rsidRPr="001A69C3">
        <w:rPr>
          <w:rFonts w:cs="Arial"/>
        </w:rPr>
        <w:t xml:space="preserve"> total not more than 30 days in any 12</w:t>
      </w:r>
      <w:r>
        <w:rPr>
          <w:rFonts w:cs="Arial"/>
        </w:rPr>
        <w:t>-month period.</w:t>
      </w:r>
    </w:p>
    <w:p w14:paraId="17AA540F" w14:textId="54F5E4A9" w:rsidR="005457E4" w:rsidRDefault="005457E4" w:rsidP="00A47612">
      <w:pPr>
        <w:spacing w:before="120" w:after="120" w:line="240" w:lineRule="atLeast"/>
        <w:rPr>
          <w:rFonts w:cs="Arial"/>
        </w:rPr>
      </w:pPr>
      <w:r>
        <w:rPr>
          <w:rFonts w:cs="Arial"/>
        </w:rPr>
        <w:t>Subsection 7(2) provides that a broadcasting service referred to in subsection 7(1) is an open narrowcasting service</w:t>
      </w:r>
      <w:r w:rsidR="00FC5A05">
        <w:rPr>
          <w:rFonts w:cs="Arial"/>
        </w:rPr>
        <w:t xml:space="preserve"> for the purpose of the Act</w:t>
      </w:r>
      <w:r>
        <w:rPr>
          <w:rFonts w:cs="Arial"/>
        </w:rPr>
        <w:t xml:space="preserve">. </w:t>
      </w:r>
    </w:p>
    <w:p w14:paraId="7C97F5B2" w14:textId="0B8324DB" w:rsidR="008C227A" w:rsidRPr="00A45541" w:rsidRDefault="008C227A" w:rsidP="008C227A">
      <w:pPr>
        <w:spacing w:before="120" w:after="120" w:line="240" w:lineRule="atLeast"/>
        <w:rPr>
          <w:rFonts w:cs="Arial"/>
          <w:b/>
        </w:rPr>
      </w:pPr>
      <w:r>
        <w:rPr>
          <w:rFonts w:cs="Arial"/>
          <w:b/>
        </w:rPr>
        <w:t>Section 8 – Special event</w:t>
      </w:r>
    </w:p>
    <w:p w14:paraId="68790F9E" w14:textId="31D34E5A" w:rsidR="00DF2A9D" w:rsidRPr="003F17AC" w:rsidRDefault="008C227A" w:rsidP="00693A0C">
      <w:pPr>
        <w:spacing w:before="120" w:after="120" w:line="240" w:lineRule="atLeast"/>
        <w:rPr>
          <w:rFonts w:cs="Arial"/>
          <w:i/>
          <w:sz w:val="19"/>
          <w:szCs w:val="19"/>
        </w:rPr>
      </w:pPr>
      <w:r>
        <w:rPr>
          <w:rFonts w:cs="Arial"/>
        </w:rPr>
        <w:t xml:space="preserve">Section 8 relates to radio broadcasting services that are provided </w:t>
      </w:r>
      <w:r w:rsidR="00DF2A9D">
        <w:rPr>
          <w:rFonts w:cs="Arial"/>
        </w:rPr>
        <w:t>for the coverage of events</w:t>
      </w:r>
      <w:r w:rsidR="00F80F10">
        <w:rPr>
          <w:rFonts w:cs="Arial"/>
        </w:rPr>
        <w:t xml:space="preserve"> that are considered ‘special’ because they have cultural, sporting or other community significance.</w:t>
      </w:r>
    </w:p>
    <w:p w14:paraId="6CB9A745" w14:textId="2BD86DC2" w:rsidR="008C227A" w:rsidRDefault="00F80F10" w:rsidP="008C227A">
      <w:pPr>
        <w:spacing w:before="120" w:after="120" w:line="240" w:lineRule="atLeast"/>
        <w:rPr>
          <w:rFonts w:cs="Arial"/>
        </w:rPr>
      </w:pPr>
      <w:r>
        <w:rPr>
          <w:rFonts w:cs="Arial"/>
        </w:rPr>
        <w:t>E</w:t>
      </w:r>
      <w:r w:rsidR="00DF2A9D">
        <w:rPr>
          <w:rFonts w:cs="Arial"/>
        </w:rPr>
        <w:t xml:space="preserve">xamples </w:t>
      </w:r>
      <w:r>
        <w:rPr>
          <w:rFonts w:cs="Arial"/>
        </w:rPr>
        <w:t>of such events</w:t>
      </w:r>
      <w:r w:rsidR="00DF2A9D">
        <w:rPr>
          <w:rFonts w:cs="Arial"/>
        </w:rPr>
        <w:t xml:space="preserve"> include:</w:t>
      </w:r>
    </w:p>
    <w:p w14:paraId="1623DC85" w14:textId="28F765FF" w:rsidR="00DF2A9D" w:rsidRDefault="00DF2A9D" w:rsidP="00DF2A9D">
      <w:pPr>
        <w:pStyle w:val="ListParagraph"/>
        <w:numPr>
          <w:ilvl w:val="0"/>
          <w:numId w:val="19"/>
        </w:numPr>
        <w:spacing w:before="120" w:after="120" w:line="240" w:lineRule="atLeast"/>
        <w:rPr>
          <w:rFonts w:cs="Arial"/>
        </w:rPr>
      </w:pPr>
      <w:r w:rsidRPr="00DF2A9D">
        <w:rPr>
          <w:rFonts w:cs="Arial"/>
        </w:rPr>
        <w:t xml:space="preserve">sporting events such as the </w:t>
      </w:r>
      <w:r w:rsidR="00F80F10" w:rsidRPr="00DF2A9D">
        <w:rPr>
          <w:rFonts w:cs="Arial"/>
        </w:rPr>
        <w:t>A</w:t>
      </w:r>
      <w:r w:rsidR="00F80F10">
        <w:rPr>
          <w:rFonts w:cs="Arial"/>
        </w:rPr>
        <w:t>ustralian</w:t>
      </w:r>
      <w:r w:rsidR="00F80F10" w:rsidRPr="00DF2A9D">
        <w:rPr>
          <w:rFonts w:cs="Arial"/>
        </w:rPr>
        <w:t xml:space="preserve"> </w:t>
      </w:r>
      <w:r w:rsidRPr="00DF2A9D">
        <w:rPr>
          <w:rFonts w:cs="Arial"/>
        </w:rPr>
        <w:t xml:space="preserve">Grand Prix, the Olympic or Commonwealth Games, various championships </w:t>
      </w:r>
      <w:proofErr w:type="spellStart"/>
      <w:r w:rsidRPr="00DF2A9D">
        <w:rPr>
          <w:rFonts w:cs="Arial"/>
        </w:rPr>
        <w:t>etc</w:t>
      </w:r>
      <w:proofErr w:type="spellEnd"/>
      <w:r>
        <w:rPr>
          <w:rFonts w:cs="Arial"/>
        </w:rPr>
        <w:t>; and</w:t>
      </w:r>
    </w:p>
    <w:p w14:paraId="2210D4F3" w14:textId="71B116AC" w:rsidR="00DF2A9D" w:rsidRPr="00DF2A9D" w:rsidRDefault="00DF2A9D" w:rsidP="00DF2A9D">
      <w:pPr>
        <w:pStyle w:val="ListParagraph"/>
        <w:numPr>
          <w:ilvl w:val="0"/>
          <w:numId w:val="19"/>
        </w:numPr>
        <w:spacing w:before="120" w:after="120" w:line="240" w:lineRule="atLeast"/>
        <w:rPr>
          <w:rFonts w:cs="Arial"/>
        </w:rPr>
      </w:pPr>
      <w:proofErr w:type="gramStart"/>
      <w:r w:rsidRPr="00DF2A9D">
        <w:rPr>
          <w:rFonts w:cs="Arial"/>
        </w:rPr>
        <w:t>cultural</w:t>
      </w:r>
      <w:proofErr w:type="gramEnd"/>
      <w:r w:rsidRPr="00DF2A9D">
        <w:rPr>
          <w:rFonts w:cs="Arial"/>
        </w:rPr>
        <w:t xml:space="preserve"> events such as horticultural or flower shows, </w:t>
      </w:r>
      <w:r w:rsidR="00A625DC">
        <w:rPr>
          <w:rFonts w:cs="Arial"/>
        </w:rPr>
        <w:t xml:space="preserve">or </w:t>
      </w:r>
      <w:r w:rsidRPr="00DF2A9D">
        <w:rPr>
          <w:rFonts w:cs="Arial"/>
        </w:rPr>
        <w:t>artistic exhibitions</w:t>
      </w:r>
      <w:r>
        <w:rPr>
          <w:rFonts w:cs="Arial"/>
        </w:rPr>
        <w:t>.</w:t>
      </w:r>
    </w:p>
    <w:p w14:paraId="26478A61" w14:textId="4E52296D" w:rsidR="00CF63B9" w:rsidRDefault="00DF2A9D" w:rsidP="00A47612">
      <w:pPr>
        <w:spacing w:before="120" w:after="120" w:line="240" w:lineRule="atLeast"/>
        <w:rPr>
          <w:rFonts w:cs="Arial"/>
        </w:rPr>
      </w:pPr>
      <w:r>
        <w:rPr>
          <w:rFonts w:cs="Arial"/>
        </w:rPr>
        <w:t>Subsection 8(1) provides that the section applies where a broadcasting service is provided for a continuous period of not more than 30 days. Paragraph 8(1</w:t>
      </w:r>
      <w:proofErr w:type="gramStart"/>
      <w:r>
        <w:rPr>
          <w:rFonts w:cs="Arial"/>
        </w:rPr>
        <w:t>)(</w:t>
      </w:r>
      <w:proofErr w:type="gramEnd"/>
      <w:r>
        <w:rPr>
          <w:rFonts w:cs="Arial"/>
        </w:rPr>
        <w:t xml:space="preserve">b) notes that the </w:t>
      </w:r>
      <w:r w:rsidR="00C863A0">
        <w:rPr>
          <w:rFonts w:cs="Arial"/>
        </w:rPr>
        <w:t>event must be organised by one or more persons. The note at the end of section 8 provides an example of a type of event that is not an ‘organised’ event, and would not be covered by section 8.</w:t>
      </w:r>
    </w:p>
    <w:p w14:paraId="757BD14B" w14:textId="7E14604F" w:rsidR="00C863A0" w:rsidRDefault="00C863A0" w:rsidP="00A47612">
      <w:pPr>
        <w:spacing w:before="120" w:after="120" w:line="240" w:lineRule="atLeast"/>
        <w:rPr>
          <w:rFonts w:cs="Arial"/>
        </w:rPr>
      </w:pPr>
      <w:r>
        <w:rPr>
          <w:rFonts w:cs="Arial"/>
        </w:rPr>
        <w:t>Subsection 8(2) provides that a service of the kind referred to in subsection 8(1) is an open narrowcasting service</w:t>
      </w:r>
      <w:r w:rsidR="00FC5A05">
        <w:rPr>
          <w:rFonts w:cs="Arial"/>
        </w:rPr>
        <w:t xml:space="preserve"> for the purpose of the Act</w:t>
      </w:r>
      <w:r>
        <w:rPr>
          <w:rFonts w:cs="Arial"/>
        </w:rPr>
        <w:t>.</w:t>
      </w:r>
    </w:p>
    <w:p w14:paraId="4580B083" w14:textId="06A387E1" w:rsidR="003F17AC" w:rsidRPr="00A45541" w:rsidRDefault="003F17AC" w:rsidP="003F17AC">
      <w:pPr>
        <w:spacing w:before="120" w:after="120" w:line="240" w:lineRule="atLeast"/>
        <w:rPr>
          <w:rFonts w:cs="Arial"/>
          <w:b/>
        </w:rPr>
      </w:pPr>
      <w:r>
        <w:rPr>
          <w:rFonts w:cs="Arial"/>
          <w:b/>
        </w:rPr>
        <w:t xml:space="preserve">Section 9 – </w:t>
      </w:r>
      <w:r w:rsidR="00295EF2">
        <w:rPr>
          <w:rFonts w:cs="Arial"/>
          <w:b/>
        </w:rPr>
        <w:t>Pre-recorded, regularly repeated audio content</w:t>
      </w:r>
    </w:p>
    <w:p w14:paraId="62CAF0E4" w14:textId="77777777" w:rsidR="00E8662E" w:rsidRDefault="003F17AC" w:rsidP="003F17AC">
      <w:pPr>
        <w:spacing w:before="120" w:after="120" w:line="240" w:lineRule="atLeast"/>
        <w:rPr>
          <w:rFonts w:cs="Arial"/>
        </w:rPr>
      </w:pPr>
      <w:r>
        <w:rPr>
          <w:rFonts w:cs="Arial"/>
        </w:rPr>
        <w:t>Section 9</w:t>
      </w:r>
      <w:r w:rsidR="005D385E">
        <w:rPr>
          <w:rFonts w:cs="Arial"/>
        </w:rPr>
        <w:t xml:space="preserve"> </w:t>
      </w:r>
      <w:r w:rsidR="00C2198C">
        <w:rPr>
          <w:rFonts w:cs="Arial"/>
        </w:rPr>
        <w:t>applies to radio broadcasting services</w:t>
      </w:r>
      <w:r w:rsidR="005D385E" w:rsidRPr="005D385E">
        <w:rPr>
          <w:rFonts w:cs="Arial"/>
        </w:rPr>
        <w:t xml:space="preserve"> providing pre-recorded, regularly repeated audio content</w:t>
      </w:r>
      <w:r w:rsidR="00E8662E">
        <w:rPr>
          <w:rFonts w:cs="Arial"/>
        </w:rPr>
        <w:t xml:space="preserve"> (referred to as a ‘pre-recorded, regularly repeated audio content service’).</w:t>
      </w:r>
    </w:p>
    <w:p w14:paraId="750064D5" w14:textId="319BD894" w:rsidR="003F17AC" w:rsidRDefault="00E81CB9" w:rsidP="003F17AC">
      <w:pPr>
        <w:spacing w:before="120" w:after="120" w:line="240" w:lineRule="atLeast"/>
        <w:rPr>
          <w:rFonts w:cs="Arial"/>
        </w:rPr>
      </w:pPr>
      <w:r>
        <w:rPr>
          <w:rFonts w:cs="Arial"/>
        </w:rPr>
        <w:t>Subsection 9(1) specifies that the section</w:t>
      </w:r>
      <w:r w:rsidR="00A625DC">
        <w:rPr>
          <w:rFonts w:cs="Arial"/>
        </w:rPr>
        <w:t xml:space="preserve"> applies to a service that consists of</w:t>
      </w:r>
      <w:r w:rsidR="005D385E" w:rsidRPr="005D385E">
        <w:rPr>
          <w:rFonts w:cs="Arial"/>
        </w:rPr>
        <w:t xml:space="preserve"> no more than four hours of pre-recorded material, which is repeated in the same order. The material cannot be updated or otherwise varied more than once in any week.</w:t>
      </w:r>
    </w:p>
    <w:p w14:paraId="54A25352" w14:textId="6EBFB2B4" w:rsidR="00E81CB9" w:rsidRDefault="00E81CB9" w:rsidP="003F17AC">
      <w:pPr>
        <w:spacing w:before="120" w:after="120" w:line="240" w:lineRule="atLeast"/>
        <w:rPr>
          <w:rFonts w:cs="Arial"/>
        </w:rPr>
      </w:pPr>
      <w:r>
        <w:rPr>
          <w:rFonts w:cs="Arial"/>
        </w:rPr>
        <w:t>Subsection 9(2) clarifies that a service of the kind specified in subsection 9(1) is an open narrowcasting service</w:t>
      </w:r>
      <w:r w:rsidR="00FC5A05">
        <w:rPr>
          <w:rFonts w:cs="Arial"/>
        </w:rPr>
        <w:t xml:space="preserve"> for the purpose of the Act</w:t>
      </w:r>
      <w:r>
        <w:rPr>
          <w:rFonts w:cs="Arial"/>
        </w:rPr>
        <w:t>.</w:t>
      </w:r>
    </w:p>
    <w:p w14:paraId="04637162" w14:textId="0860359D" w:rsidR="00E81CB9" w:rsidRPr="00A45541" w:rsidRDefault="00E81CB9" w:rsidP="00E8662E">
      <w:pPr>
        <w:keepNext/>
        <w:spacing w:before="120" w:after="120" w:line="240" w:lineRule="atLeast"/>
        <w:rPr>
          <w:rFonts w:cs="Arial"/>
          <w:b/>
        </w:rPr>
      </w:pPr>
      <w:r>
        <w:rPr>
          <w:rFonts w:cs="Arial"/>
          <w:b/>
        </w:rPr>
        <w:t>Section 10 – Information service</w:t>
      </w:r>
    </w:p>
    <w:p w14:paraId="24D6C93C" w14:textId="42D086CC" w:rsidR="00A91C80" w:rsidRDefault="00E81CB9" w:rsidP="00E81CB9">
      <w:pPr>
        <w:spacing w:before="120" w:after="120" w:line="240" w:lineRule="atLeast"/>
        <w:rPr>
          <w:rFonts w:cs="Arial"/>
        </w:rPr>
      </w:pPr>
      <w:r>
        <w:rPr>
          <w:rFonts w:cs="Arial"/>
        </w:rPr>
        <w:t xml:space="preserve">Section </w:t>
      </w:r>
      <w:r w:rsidR="00E8662E">
        <w:rPr>
          <w:rFonts w:cs="Arial"/>
        </w:rPr>
        <w:t>10</w:t>
      </w:r>
      <w:r>
        <w:rPr>
          <w:rFonts w:cs="Arial"/>
        </w:rPr>
        <w:t xml:space="preserve"> applies </w:t>
      </w:r>
      <w:r w:rsidR="00E8662E">
        <w:rPr>
          <w:rFonts w:cs="Arial"/>
        </w:rPr>
        <w:t xml:space="preserve">to information services, specified in subsection 10(1) as a service </w:t>
      </w:r>
      <w:r w:rsidR="00A625DC">
        <w:rPr>
          <w:rFonts w:cs="Arial"/>
        </w:rPr>
        <w:t xml:space="preserve">the </w:t>
      </w:r>
      <w:r w:rsidR="00E8662E">
        <w:rPr>
          <w:rFonts w:cs="Arial"/>
        </w:rPr>
        <w:t>content</w:t>
      </w:r>
      <w:r w:rsidR="00A625DC">
        <w:rPr>
          <w:rFonts w:cs="Arial"/>
        </w:rPr>
        <w:t xml:space="preserve"> of which</w:t>
      </w:r>
      <w:r w:rsidR="00E8662E">
        <w:rPr>
          <w:rFonts w:cs="Arial"/>
        </w:rPr>
        <w:t xml:space="preserve"> relates only to specific information about a subject and which does not include any general news. </w:t>
      </w:r>
    </w:p>
    <w:p w14:paraId="43B8A9E1" w14:textId="225B74A7" w:rsidR="00E8662E" w:rsidRDefault="00E8662E" w:rsidP="00E81CB9">
      <w:pPr>
        <w:spacing w:before="120" w:after="120" w:line="240" w:lineRule="atLeast"/>
        <w:rPr>
          <w:rFonts w:cs="Arial"/>
        </w:rPr>
      </w:pPr>
      <w:r>
        <w:rPr>
          <w:rFonts w:cs="Arial"/>
        </w:rPr>
        <w:t>Subsection 10(2) clarifies that a service of the kind s</w:t>
      </w:r>
      <w:r w:rsidR="003A1029">
        <w:rPr>
          <w:rFonts w:cs="Arial"/>
        </w:rPr>
        <w:t>pecified in subsection 10(1) is an open narrowcasting service</w:t>
      </w:r>
      <w:r w:rsidR="00FC5A05">
        <w:rPr>
          <w:rFonts w:cs="Arial"/>
        </w:rPr>
        <w:t xml:space="preserve"> for the purpose of the Act</w:t>
      </w:r>
      <w:r w:rsidR="003A1029">
        <w:rPr>
          <w:rFonts w:cs="Arial"/>
        </w:rPr>
        <w:t>.</w:t>
      </w:r>
    </w:p>
    <w:p w14:paraId="6BE20963" w14:textId="4FAED8CC" w:rsidR="00E81CB9" w:rsidRPr="00A45541" w:rsidRDefault="00E81CB9" w:rsidP="00E81CB9">
      <w:pPr>
        <w:spacing w:before="120" w:after="120" w:line="240" w:lineRule="atLeast"/>
        <w:rPr>
          <w:rFonts w:cs="Arial"/>
          <w:b/>
        </w:rPr>
      </w:pPr>
      <w:r>
        <w:rPr>
          <w:rFonts w:cs="Arial"/>
          <w:b/>
        </w:rPr>
        <w:t>Section 11 – Religious service</w:t>
      </w:r>
    </w:p>
    <w:p w14:paraId="339EDF33" w14:textId="4EA5180A" w:rsidR="008F0B8C" w:rsidRDefault="003A1029" w:rsidP="008F0B8C">
      <w:pPr>
        <w:spacing w:before="120" w:after="120" w:line="240" w:lineRule="atLeast"/>
        <w:rPr>
          <w:rFonts w:cs="Arial"/>
        </w:rPr>
      </w:pPr>
      <w:r>
        <w:rPr>
          <w:rFonts w:cs="Arial"/>
        </w:rPr>
        <w:t xml:space="preserve">Section 11 </w:t>
      </w:r>
      <w:r w:rsidR="008F0B8C">
        <w:rPr>
          <w:rFonts w:cs="Arial"/>
        </w:rPr>
        <w:t xml:space="preserve">applies to </w:t>
      </w:r>
      <w:r w:rsidR="00FE5B2D">
        <w:rPr>
          <w:rFonts w:cs="Arial"/>
        </w:rPr>
        <w:t xml:space="preserve">radio </w:t>
      </w:r>
      <w:r w:rsidR="008F0B8C">
        <w:rPr>
          <w:rFonts w:cs="Arial"/>
        </w:rPr>
        <w:t>broadcasting services which are provided for at least one of the purposes set out in subsection 11(1)</w:t>
      </w:r>
      <w:r w:rsidR="00FE5B2D">
        <w:rPr>
          <w:rFonts w:cs="Arial"/>
        </w:rPr>
        <w:t>. These purposes are:</w:t>
      </w:r>
    </w:p>
    <w:p w14:paraId="2871B2B6" w14:textId="34FF8D35" w:rsidR="00FE5B2D" w:rsidRDefault="00FE5B2D" w:rsidP="00FE5B2D">
      <w:pPr>
        <w:pStyle w:val="ListParagraph"/>
        <w:numPr>
          <w:ilvl w:val="0"/>
          <w:numId w:val="21"/>
        </w:numPr>
        <w:spacing w:before="120" w:after="120" w:line="240" w:lineRule="atLeast"/>
        <w:rPr>
          <w:rFonts w:cs="Arial"/>
        </w:rPr>
      </w:pPr>
      <w:r>
        <w:rPr>
          <w:rFonts w:cs="Arial"/>
        </w:rPr>
        <w:t xml:space="preserve">the propagation of religious beliefs, values and lifestyles; </w:t>
      </w:r>
    </w:p>
    <w:p w14:paraId="42AE54FF" w14:textId="03761346" w:rsidR="00FE5B2D" w:rsidRDefault="00FE5B2D" w:rsidP="00FE5B2D">
      <w:pPr>
        <w:pStyle w:val="ListParagraph"/>
        <w:numPr>
          <w:ilvl w:val="0"/>
          <w:numId w:val="21"/>
        </w:numPr>
        <w:spacing w:before="120" w:after="120" w:line="240" w:lineRule="atLeast"/>
        <w:rPr>
          <w:rFonts w:cs="Arial"/>
        </w:rPr>
      </w:pPr>
      <w:r>
        <w:rPr>
          <w:rFonts w:cs="Arial"/>
        </w:rPr>
        <w:t>the broadcasting of religious rituals and events of religious significance; and</w:t>
      </w:r>
    </w:p>
    <w:p w14:paraId="4AD90A89" w14:textId="73080181" w:rsidR="00FE5B2D" w:rsidRDefault="00FE5B2D" w:rsidP="00FE5B2D">
      <w:pPr>
        <w:pStyle w:val="ListParagraph"/>
        <w:numPr>
          <w:ilvl w:val="0"/>
          <w:numId w:val="21"/>
        </w:numPr>
        <w:spacing w:before="120" w:after="120" w:line="240" w:lineRule="atLeast"/>
        <w:rPr>
          <w:rFonts w:cs="Arial"/>
        </w:rPr>
      </w:pPr>
      <w:proofErr w:type="gramStart"/>
      <w:r>
        <w:rPr>
          <w:rFonts w:cs="Arial"/>
        </w:rPr>
        <w:t>the</w:t>
      </w:r>
      <w:proofErr w:type="gramEnd"/>
      <w:r>
        <w:rPr>
          <w:rFonts w:cs="Arial"/>
        </w:rPr>
        <w:t xml:space="preserve"> provision of information relevant to religious beliefs, values and lifestyles.</w:t>
      </w:r>
    </w:p>
    <w:p w14:paraId="63CE0E50" w14:textId="4FCAE213" w:rsidR="00FE5B2D" w:rsidRDefault="00FE5B2D" w:rsidP="00FE5B2D">
      <w:pPr>
        <w:spacing w:before="120" w:after="120" w:line="240" w:lineRule="atLeast"/>
        <w:rPr>
          <w:rFonts w:cs="Arial"/>
        </w:rPr>
      </w:pPr>
      <w:r>
        <w:rPr>
          <w:rFonts w:cs="Arial"/>
        </w:rPr>
        <w:t xml:space="preserve">Subsection 11(2) specifies that a radio broadcasting service does not comply with subsection 11(1) if the content of that service includes material that is not relevant to one or more of those purposes. </w:t>
      </w:r>
      <w:r w:rsidR="00D33AD1">
        <w:rPr>
          <w:rFonts w:cs="Arial"/>
        </w:rPr>
        <w:t xml:space="preserve">An example of material that is not relevant to the purposes mentioned in subsection 11(1) is </w:t>
      </w:r>
      <w:r>
        <w:rPr>
          <w:rFonts w:cs="Arial"/>
        </w:rPr>
        <w:t xml:space="preserve">mainstream music </w:t>
      </w:r>
      <w:r w:rsidR="00D33AD1">
        <w:rPr>
          <w:rFonts w:cs="Arial"/>
        </w:rPr>
        <w:t>that</w:t>
      </w:r>
      <w:r>
        <w:rPr>
          <w:rFonts w:cs="Arial"/>
        </w:rPr>
        <w:t xml:space="preserve"> has no obvious religious significance and is not broadcast for the purpose of analysis or commentary</w:t>
      </w:r>
      <w:r w:rsidR="00DF15A7">
        <w:rPr>
          <w:rFonts w:cs="Arial"/>
        </w:rPr>
        <w:t>.</w:t>
      </w:r>
    </w:p>
    <w:p w14:paraId="1CB1EBCF" w14:textId="2E586951" w:rsidR="00FE5B2D" w:rsidRPr="00FE5B2D" w:rsidRDefault="00FE5B2D" w:rsidP="00FE5B2D">
      <w:pPr>
        <w:spacing w:before="120" w:after="120" w:line="240" w:lineRule="atLeast"/>
        <w:rPr>
          <w:rFonts w:cs="Arial"/>
        </w:rPr>
      </w:pPr>
      <w:r>
        <w:rPr>
          <w:rFonts w:cs="Arial"/>
        </w:rPr>
        <w:t>Subsection 11(3) clarifies that a service that complies with subsection 11(1)</w:t>
      </w:r>
      <w:r w:rsidR="00F83BB3">
        <w:rPr>
          <w:rFonts w:cs="Arial"/>
        </w:rPr>
        <w:t xml:space="preserve"> is an open narrowcasting service</w:t>
      </w:r>
      <w:r w:rsidR="00FC5A05">
        <w:rPr>
          <w:rFonts w:cs="Arial"/>
        </w:rPr>
        <w:t xml:space="preserve"> for the purpose of the Act</w:t>
      </w:r>
      <w:r w:rsidR="00F83BB3">
        <w:rPr>
          <w:rFonts w:cs="Arial"/>
        </w:rPr>
        <w:t>.</w:t>
      </w:r>
      <w:r>
        <w:rPr>
          <w:rFonts w:cs="Arial"/>
        </w:rPr>
        <w:t xml:space="preserve"> </w:t>
      </w:r>
    </w:p>
    <w:p w14:paraId="3C33F386" w14:textId="228D3BD8" w:rsidR="00E81CB9" w:rsidRPr="00A45541" w:rsidRDefault="00E81CB9" w:rsidP="00E81CB9">
      <w:pPr>
        <w:spacing w:before="120" w:after="120" w:line="240" w:lineRule="atLeast"/>
        <w:rPr>
          <w:rFonts w:cs="Arial"/>
          <w:b/>
        </w:rPr>
      </w:pPr>
      <w:r>
        <w:rPr>
          <w:rFonts w:cs="Arial"/>
          <w:b/>
        </w:rPr>
        <w:t>Section 12 – Non-English language service</w:t>
      </w:r>
    </w:p>
    <w:p w14:paraId="10EE6B61" w14:textId="3AAAD9E3" w:rsidR="00F83BB3" w:rsidRDefault="00E81CB9" w:rsidP="00E81CB9">
      <w:pPr>
        <w:spacing w:before="120" w:after="120" w:line="240" w:lineRule="atLeast"/>
        <w:rPr>
          <w:rFonts w:cs="Arial"/>
        </w:rPr>
      </w:pPr>
      <w:r>
        <w:rPr>
          <w:rFonts w:cs="Arial"/>
        </w:rPr>
        <w:t xml:space="preserve">Section </w:t>
      </w:r>
      <w:r w:rsidR="00F83BB3">
        <w:rPr>
          <w:rFonts w:cs="Arial"/>
        </w:rPr>
        <w:t>12</w:t>
      </w:r>
      <w:r>
        <w:rPr>
          <w:rFonts w:cs="Arial"/>
        </w:rPr>
        <w:t xml:space="preserve"> applies to radio broadcasting services</w:t>
      </w:r>
      <w:r w:rsidRPr="005D385E">
        <w:rPr>
          <w:rFonts w:cs="Arial"/>
        </w:rPr>
        <w:t xml:space="preserve"> </w:t>
      </w:r>
      <w:r w:rsidR="00F83BB3">
        <w:rPr>
          <w:rFonts w:cs="Arial"/>
        </w:rPr>
        <w:t>that are provided in a language other than English. Subsection 12(1) specifies that for the section to apply to a service, the service must be provided either wholly in a language other than English, or otherwise where English is only included to the extent that it is incidental to the provision of the service in the other language.</w:t>
      </w:r>
    </w:p>
    <w:p w14:paraId="301230F3" w14:textId="3EE3C733" w:rsidR="00E81CB9" w:rsidRDefault="0084525F" w:rsidP="00E81CB9">
      <w:pPr>
        <w:spacing w:before="120" w:after="120" w:line="240" w:lineRule="atLeast"/>
        <w:rPr>
          <w:rFonts w:cs="Arial"/>
        </w:rPr>
      </w:pPr>
      <w:r>
        <w:rPr>
          <w:rFonts w:cs="Arial"/>
        </w:rPr>
        <w:t>The note to s</w:t>
      </w:r>
      <w:r w:rsidR="00A625DC">
        <w:rPr>
          <w:rFonts w:cs="Arial"/>
        </w:rPr>
        <w:t>ubs</w:t>
      </w:r>
      <w:r>
        <w:rPr>
          <w:rFonts w:cs="Arial"/>
        </w:rPr>
        <w:t>ection 12</w:t>
      </w:r>
      <w:r w:rsidR="00A625DC">
        <w:rPr>
          <w:rFonts w:cs="Arial"/>
        </w:rPr>
        <w:t>(1)</w:t>
      </w:r>
      <w:r>
        <w:rPr>
          <w:rFonts w:cs="Arial"/>
        </w:rPr>
        <w:t xml:space="preserve"> sets out some e</w:t>
      </w:r>
      <w:r w:rsidR="00F83BB3">
        <w:rPr>
          <w:rFonts w:cs="Arial"/>
        </w:rPr>
        <w:t>xamples of where English is only incidental to the provision of the service.</w:t>
      </w:r>
    </w:p>
    <w:p w14:paraId="0D338DAD" w14:textId="10CD0485" w:rsidR="00F83BB3" w:rsidRDefault="00F83BB3" w:rsidP="00E81CB9">
      <w:pPr>
        <w:spacing w:before="120" w:after="120" w:line="240" w:lineRule="atLeast"/>
        <w:rPr>
          <w:rFonts w:cs="Arial"/>
        </w:rPr>
      </w:pPr>
      <w:r>
        <w:rPr>
          <w:rFonts w:cs="Arial"/>
        </w:rPr>
        <w:t>Subsection 12(2) clarifies that a service which is provided in accordance with subsection 12(1) is an open narrowcasting service</w:t>
      </w:r>
      <w:r w:rsidR="00FC5A05">
        <w:rPr>
          <w:rFonts w:cs="Arial"/>
        </w:rPr>
        <w:t xml:space="preserve"> for the purpose of the Act</w:t>
      </w:r>
      <w:r>
        <w:rPr>
          <w:rFonts w:cs="Arial"/>
        </w:rPr>
        <w:t>.</w:t>
      </w:r>
    </w:p>
    <w:p w14:paraId="6EC0E366" w14:textId="76CF1E96" w:rsidR="00E81CB9" w:rsidRPr="00A45541" w:rsidRDefault="00E81CB9" w:rsidP="00E81CB9">
      <w:pPr>
        <w:spacing w:before="120" w:after="120" w:line="240" w:lineRule="atLeast"/>
        <w:rPr>
          <w:rFonts w:cs="Arial"/>
          <w:b/>
        </w:rPr>
      </w:pPr>
      <w:r>
        <w:rPr>
          <w:rFonts w:cs="Arial"/>
          <w:b/>
        </w:rPr>
        <w:t>Section 1</w:t>
      </w:r>
      <w:r w:rsidR="008F0B8C">
        <w:rPr>
          <w:rFonts w:cs="Arial"/>
          <w:b/>
        </w:rPr>
        <w:t>3</w:t>
      </w:r>
      <w:r>
        <w:rPr>
          <w:rFonts w:cs="Arial"/>
          <w:b/>
        </w:rPr>
        <w:t xml:space="preserve"> – Racing service</w:t>
      </w:r>
    </w:p>
    <w:p w14:paraId="3C4DD9B5" w14:textId="72CC52BC" w:rsidR="00D641C7" w:rsidRDefault="00F83BB3" w:rsidP="00E81CB9">
      <w:pPr>
        <w:spacing w:before="120" w:after="120" w:line="240" w:lineRule="atLeast"/>
        <w:rPr>
          <w:rFonts w:cs="Arial"/>
        </w:rPr>
      </w:pPr>
      <w:r>
        <w:rPr>
          <w:rFonts w:cs="Arial"/>
        </w:rPr>
        <w:t>Section 13 sets out a series of chara</w:t>
      </w:r>
      <w:r w:rsidR="00D641C7">
        <w:rPr>
          <w:rFonts w:cs="Arial"/>
        </w:rPr>
        <w:t>cteristics that together constitute a r</w:t>
      </w:r>
      <w:r w:rsidR="00A625DC">
        <w:rPr>
          <w:rFonts w:cs="Arial"/>
        </w:rPr>
        <w:t>acing r</w:t>
      </w:r>
      <w:r w:rsidR="00D641C7">
        <w:rPr>
          <w:rFonts w:cs="Arial"/>
        </w:rPr>
        <w:t xml:space="preserve">adio service that is </w:t>
      </w:r>
      <w:r w:rsidR="00D641C7" w:rsidRPr="00DC0F38">
        <w:rPr>
          <w:rFonts w:cs="Arial"/>
        </w:rPr>
        <w:t xml:space="preserve">an open narrowcasting service. </w:t>
      </w:r>
      <w:r w:rsidR="00DC0F38" w:rsidRPr="008258B9">
        <w:rPr>
          <w:rFonts w:cs="Arial"/>
        </w:rPr>
        <w:t>For section 13 to apply, a service must have all of the characteristics in subsections 13(2), (3) and (4).</w:t>
      </w:r>
    </w:p>
    <w:p w14:paraId="00761097" w14:textId="563EFE1A" w:rsidR="00A5114C" w:rsidRDefault="00D641C7" w:rsidP="00E81CB9">
      <w:pPr>
        <w:spacing w:before="120" w:after="120" w:line="240" w:lineRule="atLeast"/>
        <w:rPr>
          <w:rFonts w:cs="Arial"/>
        </w:rPr>
      </w:pPr>
      <w:r>
        <w:rPr>
          <w:rFonts w:cs="Arial"/>
        </w:rPr>
        <w:t>Subse</w:t>
      </w:r>
      <w:r w:rsidR="005B33FB">
        <w:rPr>
          <w:rFonts w:cs="Arial"/>
        </w:rPr>
        <w:t xml:space="preserve">ction 13(2) </w:t>
      </w:r>
      <w:r w:rsidR="00A625DC">
        <w:rPr>
          <w:rFonts w:cs="Arial"/>
        </w:rPr>
        <w:t>requires that on</w:t>
      </w:r>
      <w:r w:rsidR="005B33FB">
        <w:rPr>
          <w:rFonts w:cs="Arial"/>
        </w:rPr>
        <w:t xml:space="preserve"> each day (other than on Christmas or Good Friday) at least </w:t>
      </w:r>
      <w:r>
        <w:rPr>
          <w:rFonts w:cs="Arial"/>
        </w:rPr>
        <w:t xml:space="preserve">80% of </w:t>
      </w:r>
      <w:r w:rsidR="005B33FB">
        <w:rPr>
          <w:rFonts w:cs="Arial"/>
        </w:rPr>
        <w:t xml:space="preserve">the broadcast content </w:t>
      </w:r>
      <w:r w:rsidR="00A5114C">
        <w:rPr>
          <w:rFonts w:cs="Arial"/>
        </w:rPr>
        <w:t>is:</w:t>
      </w:r>
    </w:p>
    <w:p w14:paraId="51B57BEC" w14:textId="77777777" w:rsidR="00A5114C" w:rsidRDefault="00A5114C" w:rsidP="00A5114C">
      <w:pPr>
        <w:pStyle w:val="ListParagraph"/>
        <w:numPr>
          <w:ilvl w:val="0"/>
          <w:numId w:val="22"/>
        </w:numPr>
        <w:spacing w:before="120" w:after="120" w:line="240" w:lineRule="atLeast"/>
        <w:rPr>
          <w:rFonts w:cs="Arial"/>
        </w:rPr>
      </w:pPr>
      <w:r>
        <w:rPr>
          <w:rFonts w:cs="Arial"/>
        </w:rPr>
        <w:t>descriptions of horse races, harness races and greyhound races;</w:t>
      </w:r>
    </w:p>
    <w:p w14:paraId="0D7097D1" w14:textId="77777777" w:rsidR="00A5114C" w:rsidRDefault="00A5114C" w:rsidP="00A5114C">
      <w:pPr>
        <w:pStyle w:val="ListParagraph"/>
        <w:numPr>
          <w:ilvl w:val="0"/>
          <w:numId w:val="22"/>
        </w:numPr>
        <w:spacing w:before="120" w:after="120" w:line="240" w:lineRule="atLeast"/>
        <w:rPr>
          <w:rFonts w:cs="Arial"/>
        </w:rPr>
      </w:pPr>
      <w:r>
        <w:rPr>
          <w:rFonts w:cs="Arial"/>
        </w:rPr>
        <w:t xml:space="preserve">the provision of information directly related to horse racing, harness racing or greyhound racing (including selections, </w:t>
      </w:r>
      <w:proofErr w:type="spellStart"/>
      <w:r>
        <w:rPr>
          <w:rFonts w:cs="Arial"/>
        </w:rPr>
        <w:t>scratchings</w:t>
      </w:r>
      <w:proofErr w:type="spellEnd"/>
      <w:r>
        <w:rPr>
          <w:rFonts w:cs="Arial"/>
        </w:rPr>
        <w:t>, betting information and track conditions); and</w:t>
      </w:r>
    </w:p>
    <w:p w14:paraId="1712F7DF" w14:textId="49A7043C" w:rsidR="00A5114C" w:rsidRDefault="00A5114C" w:rsidP="00A5114C">
      <w:pPr>
        <w:pStyle w:val="ListParagraph"/>
        <w:numPr>
          <w:ilvl w:val="0"/>
          <w:numId w:val="22"/>
        </w:numPr>
        <w:spacing w:before="120" w:after="120" w:line="240" w:lineRule="atLeast"/>
        <w:rPr>
          <w:rFonts w:cs="Arial"/>
        </w:rPr>
      </w:pPr>
      <w:proofErr w:type="gramStart"/>
      <w:r>
        <w:rPr>
          <w:rFonts w:cs="Arial"/>
        </w:rPr>
        <w:t>other</w:t>
      </w:r>
      <w:proofErr w:type="gramEnd"/>
      <w:r>
        <w:rPr>
          <w:rFonts w:cs="Arial"/>
        </w:rPr>
        <w:t xml:space="preserve"> material (including music, news reports, weather reports and advertisements) </w:t>
      </w:r>
      <w:r w:rsidR="00A625DC">
        <w:rPr>
          <w:rFonts w:cs="Arial"/>
        </w:rPr>
        <w:t xml:space="preserve">that complies </w:t>
      </w:r>
      <w:r>
        <w:rPr>
          <w:rFonts w:cs="Arial"/>
        </w:rPr>
        <w:t>with the limitations set out in subparagraphs 13(2)(c)(</w:t>
      </w:r>
      <w:proofErr w:type="spellStart"/>
      <w:r>
        <w:rPr>
          <w:rFonts w:cs="Arial"/>
        </w:rPr>
        <w:t>i</w:t>
      </w:r>
      <w:proofErr w:type="spellEnd"/>
      <w:r>
        <w:rPr>
          <w:rFonts w:cs="Arial"/>
        </w:rPr>
        <w:t>) to (iv).</w:t>
      </w:r>
    </w:p>
    <w:p w14:paraId="5DC5285F" w14:textId="5FE3CCE5" w:rsidR="005B33FB" w:rsidRPr="00A5114C" w:rsidRDefault="005B33FB" w:rsidP="00A5114C">
      <w:pPr>
        <w:spacing w:before="120" w:after="120" w:line="240" w:lineRule="atLeast"/>
        <w:rPr>
          <w:rFonts w:cs="Arial"/>
        </w:rPr>
      </w:pPr>
      <w:r w:rsidRPr="00A5114C">
        <w:rPr>
          <w:rFonts w:cs="Arial"/>
        </w:rPr>
        <w:t xml:space="preserve">Subsection 13(3) </w:t>
      </w:r>
      <w:r w:rsidR="00A625DC">
        <w:rPr>
          <w:rFonts w:cs="Arial"/>
        </w:rPr>
        <w:t>requires</w:t>
      </w:r>
      <w:r w:rsidRPr="00A5114C">
        <w:rPr>
          <w:rFonts w:cs="Arial"/>
        </w:rPr>
        <w:t xml:space="preserve"> </w:t>
      </w:r>
      <w:r w:rsidR="00A5114C">
        <w:rPr>
          <w:rFonts w:cs="Arial"/>
        </w:rPr>
        <w:t xml:space="preserve">that </w:t>
      </w:r>
      <w:r w:rsidR="00DC0F38">
        <w:rPr>
          <w:rFonts w:cs="Arial"/>
        </w:rPr>
        <w:t xml:space="preserve">a significant proportion of </w:t>
      </w:r>
      <w:r w:rsidR="00A5114C">
        <w:rPr>
          <w:rFonts w:cs="Arial"/>
        </w:rPr>
        <w:t xml:space="preserve">the content </w:t>
      </w:r>
      <w:r w:rsidR="00DC0F38">
        <w:rPr>
          <w:rFonts w:cs="Arial"/>
        </w:rPr>
        <w:t xml:space="preserve">not </w:t>
      </w:r>
      <w:r w:rsidR="008258B9">
        <w:rPr>
          <w:rFonts w:cs="Arial"/>
        </w:rPr>
        <w:t>covered by</w:t>
      </w:r>
      <w:r w:rsidR="00DC0F38">
        <w:rPr>
          <w:rFonts w:cs="Arial"/>
        </w:rPr>
        <w:t xml:space="preserve"> subsection 13(2) </w:t>
      </w:r>
      <w:r w:rsidR="00A625DC">
        <w:rPr>
          <w:rFonts w:cs="Arial"/>
        </w:rPr>
        <w:t>must be</w:t>
      </w:r>
      <w:r w:rsidR="00A5114C">
        <w:rPr>
          <w:rFonts w:cs="Arial"/>
        </w:rPr>
        <w:t xml:space="preserve"> relevant to horse racing, harness racing or greyhound racing, or of interest mainly to persons involved in horse racing, harness racing or greyhound racing.</w:t>
      </w:r>
    </w:p>
    <w:p w14:paraId="6EF3F699" w14:textId="5B709BAA" w:rsidR="00E81CB9" w:rsidRDefault="00784A4E" w:rsidP="003F17AC">
      <w:pPr>
        <w:spacing w:before="120" w:after="120" w:line="240" w:lineRule="atLeast"/>
        <w:rPr>
          <w:rFonts w:cs="Arial"/>
        </w:rPr>
      </w:pPr>
      <w:r>
        <w:rPr>
          <w:rFonts w:cs="Arial"/>
        </w:rPr>
        <w:t>Subsection 13(4) specifies services that promote themselves during broadcasts as a service that is of interest mainly to persons involved in horse racing, harness racing or greyhound racing, or by using the words ‘racing radio service’.</w:t>
      </w:r>
    </w:p>
    <w:p w14:paraId="2A86F2D4" w14:textId="24332FB8" w:rsidR="00CF63B9" w:rsidRDefault="00784A4E" w:rsidP="00A47612">
      <w:pPr>
        <w:spacing w:before="120" w:after="120" w:line="240" w:lineRule="atLeast"/>
        <w:rPr>
          <w:rFonts w:cs="Arial"/>
        </w:rPr>
      </w:pPr>
      <w:r>
        <w:rPr>
          <w:rFonts w:cs="Arial"/>
        </w:rPr>
        <w:t>Subsection 13(5) indicates that a radio broadcasting service that complies with subsections 13(2), (3) and (4) is an open narrowc</w:t>
      </w:r>
      <w:r w:rsidR="00FC5A05">
        <w:rPr>
          <w:rFonts w:cs="Arial"/>
        </w:rPr>
        <w:t>asting service for the purpose of the Act.</w:t>
      </w:r>
    </w:p>
    <w:p w14:paraId="3FC37E7B" w14:textId="447F7882" w:rsidR="00FC5A05" w:rsidRPr="00A45541" w:rsidRDefault="00FC5A05" w:rsidP="00693A0C">
      <w:pPr>
        <w:keepNext/>
        <w:spacing w:before="120" w:after="120" w:line="240" w:lineRule="atLeast"/>
        <w:rPr>
          <w:rFonts w:cs="Arial"/>
          <w:b/>
        </w:rPr>
      </w:pPr>
      <w:r>
        <w:rPr>
          <w:rFonts w:cs="Arial"/>
          <w:b/>
        </w:rPr>
        <w:t>Section 14 – Ancillary service</w:t>
      </w:r>
    </w:p>
    <w:p w14:paraId="2F33552C" w14:textId="77777777" w:rsidR="00B671A2" w:rsidRDefault="00B671A2" w:rsidP="00FC5A05">
      <w:pPr>
        <w:spacing w:before="120" w:after="120" w:line="240" w:lineRule="atLeast"/>
        <w:rPr>
          <w:rFonts w:cs="Arial"/>
        </w:rPr>
      </w:pPr>
      <w:r>
        <w:rPr>
          <w:rFonts w:cs="Arial"/>
        </w:rPr>
        <w:t>Section 14 clarifies that a broadcasting service provided by way of an ancillary communication service (i.e. provided using a subcarrier channel) is an open narrowcasting service.</w:t>
      </w:r>
    </w:p>
    <w:p w14:paraId="49D8115F" w14:textId="2DDE68C5" w:rsidR="00FC5A05" w:rsidRDefault="00B671A2" w:rsidP="00FC5A05">
      <w:pPr>
        <w:spacing w:before="120" w:after="120" w:line="240" w:lineRule="atLeast"/>
        <w:rPr>
          <w:rFonts w:cs="Arial"/>
        </w:rPr>
      </w:pPr>
      <w:r>
        <w:rPr>
          <w:rFonts w:cs="Arial"/>
        </w:rPr>
        <w:t xml:space="preserve">‘Ancillary communication service’ is defined in section 4 of the Notice as having the meaning given in Appendix 2 to the </w:t>
      </w:r>
      <w:r>
        <w:rPr>
          <w:rFonts w:cs="Arial"/>
          <w:i/>
        </w:rPr>
        <w:t>Broadcasting Services (Technical Planning) Guidelines 2007</w:t>
      </w:r>
      <w:r>
        <w:rPr>
          <w:rFonts w:cs="Arial"/>
        </w:rPr>
        <w:t>.</w:t>
      </w:r>
      <w:r w:rsidR="00FC5A05">
        <w:rPr>
          <w:rFonts w:cs="Arial"/>
        </w:rPr>
        <w:t xml:space="preserve"> </w:t>
      </w:r>
    </w:p>
    <w:p w14:paraId="50841BEC" w14:textId="4FE92684" w:rsidR="00FC5A05" w:rsidRPr="00A45541" w:rsidRDefault="00FC5A05" w:rsidP="00FC5A05">
      <w:pPr>
        <w:spacing w:before="120" w:after="120" w:line="240" w:lineRule="atLeast"/>
        <w:rPr>
          <w:rFonts w:cs="Arial"/>
          <w:b/>
        </w:rPr>
      </w:pPr>
      <w:r>
        <w:rPr>
          <w:rFonts w:cs="Arial"/>
          <w:b/>
        </w:rPr>
        <w:t>Section 15 – Services targeted on the basis of age of audience</w:t>
      </w:r>
    </w:p>
    <w:p w14:paraId="66027A84" w14:textId="77777777" w:rsidR="00181B07" w:rsidRDefault="00FC5A05" w:rsidP="00FC5A05">
      <w:pPr>
        <w:spacing w:before="120" w:after="120" w:line="240" w:lineRule="atLeast"/>
        <w:rPr>
          <w:rFonts w:cs="Arial"/>
        </w:rPr>
      </w:pPr>
      <w:r>
        <w:rPr>
          <w:rFonts w:cs="Arial"/>
        </w:rPr>
        <w:t>Sectio</w:t>
      </w:r>
      <w:r w:rsidR="00B671A2">
        <w:rPr>
          <w:rFonts w:cs="Arial"/>
        </w:rPr>
        <w:t xml:space="preserve">n 15 </w:t>
      </w:r>
      <w:r w:rsidR="00181B07">
        <w:rPr>
          <w:rFonts w:cs="Arial"/>
        </w:rPr>
        <w:t>sets out circumstances where a radio broadcasting service that is targeted to persons of a particular age, or a particular range of ages, is and is not an open narrowcasting service.</w:t>
      </w:r>
    </w:p>
    <w:p w14:paraId="0CA88A51" w14:textId="4DD80415" w:rsidR="00181B07" w:rsidRDefault="00181B07" w:rsidP="00FC5A05">
      <w:pPr>
        <w:spacing w:before="120" w:after="120" w:line="240" w:lineRule="atLeast"/>
        <w:rPr>
          <w:rFonts w:cs="Arial"/>
        </w:rPr>
      </w:pPr>
      <w:r>
        <w:rPr>
          <w:rFonts w:cs="Arial"/>
        </w:rPr>
        <w:t>Subsection 15(1) provides that the section applies if a broadcasting service is targeted to persons of a particular age, or a particular range of ages.</w:t>
      </w:r>
      <w:r w:rsidR="00A267BC">
        <w:rPr>
          <w:rFonts w:cs="Arial"/>
        </w:rPr>
        <w:t xml:space="preserve"> </w:t>
      </w:r>
      <w:r w:rsidR="00366244">
        <w:rPr>
          <w:rFonts w:cs="Arial"/>
        </w:rPr>
        <w:t xml:space="preserve">The note to subsection 15(1) sets out some examples of services that are </w:t>
      </w:r>
      <w:r w:rsidR="00D0277E" w:rsidRPr="00D0277E">
        <w:rPr>
          <w:rFonts w:cs="Arial"/>
        </w:rPr>
        <w:t>likely to be targeted to persons of a particular age or range of ages.</w:t>
      </w:r>
    </w:p>
    <w:p w14:paraId="7730179E" w14:textId="3249F761" w:rsidR="00FC5A05" w:rsidRDefault="00A267BC" w:rsidP="00FC5A05">
      <w:pPr>
        <w:spacing w:before="120" w:after="120" w:line="240" w:lineRule="atLeast"/>
        <w:rPr>
          <w:rFonts w:cs="Arial"/>
        </w:rPr>
      </w:pPr>
      <w:r>
        <w:rPr>
          <w:rFonts w:cs="Arial"/>
        </w:rPr>
        <w:t xml:space="preserve">Subsection 15(2) </w:t>
      </w:r>
      <w:r w:rsidR="00B671A2" w:rsidRPr="00B671A2">
        <w:rPr>
          <w:rFonts w:cs="Arial"/>
        </w:rPr>
        <w:t>clarifies that if a broadcasting service is targeted to persons less than 10 years of age, the service is a narrowcasting service.</w:t>
      </w:r>
      <w:r w:rsidR="00FC5A05">
        <w:rPr>
          <w:rFonts w:cs="Arial"/>
        </w:rPr>
        <w:t xml:space="preserve"> </w:t>
      </w:r>
    </w:p>
    <w:p w14:paraId="6A76E10B" w14:textId="37515774" w:rsidR="00A267BC" w:rsidRDefault="00A267BC" w:rsidP="00A267BC">
      <w:pPr>
        <w:spacing w:before="120" w:after="120" w:line="240" w:lineRule="atLeast"/>
        <w:rPr>
          <w:rFonts w:cs="Arial"/>
        </w:rPr>
      </w:pPr>
      <w:r>
        <w:rPr>
          <w:rFonts w:cs="Arial"/>
        </w:rPr>
        <w:t xml:space="preserve">Subsection 15(3) clarifies that if </w:t>
      </w:r>
      <w:r w:rsidR="002D675F">
        <w:rPr>
          <w:rFonts w:cs="Arial"/>
        </w:rPr>
        <w:t>subsection 15(2) does not apply</w:t>
      </w:r>
      <w:r>
        <w:rPr>
          <w:rFonts w:cs="Arial"/>
        </w:rPr>
        <w:t>, then the service is</w:t>
      </w:r>
      <w:r w:rsidRPr="00B671A2">
        <w:rPr>
          <w:rFonts w:cs="Arial"/>
        </w:rPr>
        <w:t xml:space="preserve"> not an open narrowcasting service</w:t>
      </w:r>
      <w:r w:rsidR="002D675F">
        <w:rPr>
          <w:rFonts w:cs="Arial"/>
        </w:rPr>
        <w:t xml:space="preserve"> only by reason of the service being targeted to a particular age group</w:t>
      </w:r>
      <w:r>
        <w:rPr>
          <w:rFonts w:cs="Arial"/>
        </w:rPr>
        <w:t>. Other characteristics of such a service may cause the service to be an open narrowcasting service.</w:t>
      </w:r>
    </w:p>
    <w:p w14:paraId="63DDAF8B" w14:textId="2B4267BD" w:rsidR="00FC5A05" w:rsidRPr="00A45541" w:rsidRDefault="00FC5A05" w:rsidP="00FC5A05">
      <w:pPr>
        <w:spacing w:before="120" w:after="120" w:line="240" w:lineRule="atLeast"/>
        <w:rPr>
          <w:rFonts w:cs="Arial"/>
          <w:b/>
        </w:rPr>
      </w:pPr>
      <w:r>
        <w:rPr>
          <w:rFonts w:cs="Arial"/>
          <w:b/>
        </w:rPr>
        <w:t>Section 16 – Groups other than formal groups</w:t>
      </w:r>
    </w:p>
    <w:p w14:paraId="4AA45E42" w14:textId="575FC9EA" w:rsidR="00FC5A05" w:rsidRDefault="00FC5A05" w:rsidP="00FC5A05">
      <w:pPr>
        <w:spacing w:before="120" w:after="120" w:line="240" w:lineRule="atLeast"/>
        <w:rPr>
          <w:rFonts w:cs="Arial"/>
        </w:rPr>
      </w:pPr>
      <w:r>
        <w:rPr>
          <w:rFonts w:cs="Arial"/>
        </w:rPr>
        <w:t xml:space="preserve">Section </w:t>
      </w:r>
      <w:r w:rsidR="00A267BC">
        <w:rPr>
          <w:rFonts w:cs="Arial"/>
        </w:rPr>
        <w:t>16</w:t>
      </w:r>
      <w:r>
        <w:rPr>
          <w:rFonts w:cs="Arial"/>
        </w:rPr>
        <w:t xml:space="preserve"> </w:t>
      </w:r>
      <w:r w:rsidR="001E616C" w:rsidRPr="001E616C">
        <w:rPr>
          <w:rFonts w:cs="Arial"/>
        </w:rPr>
        <w:t>clarifies that a group is able to be a special interest group for</w:t>
      </w:r>
      <w:r w:rsidR="002D675F">
        <w:rPr>
          <w:rFonts w:cs="Arial"/>
        </w:rPr>
        <w:t xml:space="preserve"> the purposes of</w:t>
      </w:r>
      <w:r w:rsidR="001E616C" w:rsidRPr="001E616C">
        <w:rPr>
          <w:rFonts w:cs="Arial"/>
        </w:rPr>
        <w:t xml:space="preserve"> subparagraph 18(1</w:t>
      </w:r>
      <w:proofErr w:type="gramStart"/>
      <w:r w:rsidR="001E616C" w:rsidRPr="001E616C">
        <w:rPr>
          <w:rFonts w:cs="Arial"/>
        </w:rPr>
        <w:t>)(</w:t>
      </w:r>
      <w:proofErr w:type="gramEnd"/>
      <w:r w:rsidR="001E616C" w:rsidRPr="001E616C">
        <w:rPr>
          <w:rFonts w:cs="Arial"/>
        </w:rPr>
        <w:t>a)(</w:t>
      </w:r>
      <w:proofErr w:type="spellStart"/>
      <w:r w:rsidR="001E616C" w:rsidRPr="001E616C">
        <w:rPr>
          <w:rFonts w:cs="Arial"/>
        </w:rPr>
        <w:t>i</w:t>
      </w:r>
      <w:proofErr w:type="spellEnd"/>
      <w:r w:rsidR="001E616C" w:rsidRPr="001E616C">
        <w:rPr>
          <w:rFonts w:cs="Arial"/>
        </w:rPr>
        <w:t>) of the Act whether or not the group is organised on a formal basis.</w:t>
      </w:r>
    </w:p>
    <w:p w14:paraId="5D61F4D9" w14:textId="77777777" w:rsidR="009052F3" w:rsidRPr="0019068D" w:rsidRDefault="009052F3" w:rsidP="00D22F27">
      <w:pPr>
        <w:spacing w:after="200" w:line="276" w:lineRule="auto"/>
        <w:jc w:val="center"/>
      </w:pPr>
      <w:r w:rsidRPr="001F0A23">
        <w:rPr>
          <w:rFonts w:cs="Arial"/>
          <w:highlight w:val="yellow"/>
        </w:rPr>
        <w:br w:type="page"/>
      </w:r>
      <w:bookmarkStart w:id="5" w:name="_Toc290210739"/>
      <w:r w:rsidRPr="0019068D">
        <w:rPr>
          <w:b/>
          <w:bCs/>
        </w:rPr>
        <w:t>Statement of Compatibility with Human Rights</w:t>
      </w:r>
    </w:p>
    <w:p w14:paraId="11FB2059" w14:textId="77777777" w:rsidR="009052F3" w:rsidRPr="0019068D" w:rsidRDefault="009052F3" w:rsidP="00D22F27">
      <w:pPr>
        <w:pStyle w:val="Default"/>
        <w:spacing w:before="120" w:after="120"/>
        <w:jc w:val="center"/>
        <w:rPr>
          <w:sz w:val="20"/>
          <w:szCs w:val="20"/>
        </w:rPr>
      </w:pPr>
      <w:r w:rsidRPr="0019068D">
        <w:rPr>
          <w:i/>
          <w:iCs/>
          <w:sz w:val="20"/>
          <w:szCs w:val="20"/>
        </w:rPr>
        <w:t>Prepared in accordance with Part 3 of the Human Rights (Parliamentary Scrutiny) Act 2011</w:t>
      </w:r>
    </w:p>
    <w:p w14:paraId="6A149EF1" w14:textId="77777777" w:rsidR="009052F3" w:rsidRDefault="009052F3" w:rsidP="00D22F27">
      <w:pPr>
        <w:pStyle w:val="Default"/>
        <w:spacing w:before="120" w:after="120"/>
        <w:jc w:val="center"/>
        <w:rPr>
          <w:b/>
          <w:bCs/>
          <w:sz w:val="20"/>
          <w:szCs w:val="20"/>
        </w:rPr>
      </w:pPr>
    </w:p>
    <w:p w14:paraId="34226EA0" w14:textId="44455533" w:rsidR="005726AF" w:rsidRPr="0019068D" w:rsidRDefault="005726AF" w:rsidP="00D22F27">
      <w:pPr>
        <w:pStyle w:val="Default"/>
        <w:spacing w:before="120" w:after="120"/>
        <w:jc w:val="center"/>
        <w:rPr>
          <w:b/>
          <w:bCs/>
          <w:sz w:val="20"/>
          <w:szCs w:val="20"/>
        </w:rPr>
      </w:pPr>
      <w:r>
        <w:rPr>
          <w:b/>
          <w:bCs/>
          <w:i/>
          <w:sz w:val="20"/>
          <w:szCs w:val="20"/>
        </w:rPr>
        <w:t>Broad</w:t>
      </w:r>
      <w:r w:rsidRPr="003C4BAE">
        <w:rPr>
          <w:b/>
          <w:bCs/>
          <w:i/>
          <w:sz w:val="20"/>
          <w:szCs w:val="20"/>
        </w:rPr>
        <w:t xml:space="preserve">casting Services </w:t>
      </w:r>
      <w:r w:rsidR="0001259C">
        <w:rPr>
          <w:b/>
          <w:bCs/>
          <w:i/>
          <w:sz w:val="20"/>
          <w:szCs w:val="20"/>
        </w:rPr>
        <w:t>Clarification Notice 2016</w:t>
      </w:r>
    </w:p>
    <w:p w14:paraId="27FAB942" w14:textId="38D04620" w:rsidR="00852FAE" w:rsidRPr="0019068D" w:rsidRDefault="00852FAE" w:rsidP="00852FAE">
      <w:pPr>
        <w:pStyle w:val="Default"/>
        <w:spacing w:before="120" w:after="120" w:line="240" w:lineRule="atLeast"/>
        <w:rPr>
          <w:sz w:val="20"/>
          <w:szCs w:val="20"/>
        </w:rPr>
      </w:pPr>
      <w:r w:rsidRPr="0019068D">
        <w:rPr>
          <w:sz w:val="20"/>
          <w:szCs w:val="20"/>
        </w:rPr>
        <w:t xml:space="preserve">This </w:t>
      </w:r>
      <w:r w:rsidR="00A337C1">
        <w:rPr>
          <w:sz w:val="20"/>
          <w:szCs w:val="20"/>
        </w:rPr>
        <w:t>l</w:t>
      </w:r>
      <w:r w:rsidRPr="0019068D">
        <w:rPr>
          <w:sz w:val="20"/>
          <w:szCs w:val="20"/>
        </w:rPr>
        <w:t xml:space="preserve">egislative </w:t>
      </w:r>
      <w:r w:rsidR="00A337C1">
        <w:rPr>
          <w:sz w:val="20"/>
          <w:szCs w:val="20"/>
        </w:rPr>
        <w:t>i</w:t>
      </w:r>
      <w:r w:rsidRPr="0019068D">
        <w:rPr>
          <w:sz w:val="20"/>
          <w:szCs w:val="20"/>
        </w:rPr>
        <w:t xml:space="preserve">nstrument is compatible with the human rights and freedoms recognised or declared in the international instruments listed in section 3 of the </w:t>
      </w:r>
      <w:r w:rsidRPr="0019068D">
        <w:rPr>
          <w:i/>
          <w:iCs/>
          <w:sz w:val="20"/>
          <w:szCs w:val="20"/>
        </w:rPr>
        <w:t>Human Rights (Parliamentary Scrutiny) Act 2011</w:t>
      </w:r>
      <w:r w:rsidRPr="0019068D">
        <w:rPr>
          <w:sz w:val="20"/>
          <w:szCs w:val="20"/>
        </w:rPr>
        <w:t xml:space="preserve">. </w:t>
      </w:r>
    </w:p>
    <w:p w14:paraId="58A1D73E" w14:textId="77777777" w:rsidR="00852FAE" w:rsidRPr="0019068D" w:rsidRDefault="00852FAE" w:rsidP="00852FAE">
      <w:pPr>
        <w:pStyle w:val="Default"/>
        <w:spacing w:before="120" w:after="120" w:line="240" w:lineRule="atLeast"/>
        <w:rPr>
          <w:sz w:val="20"/>
          <w:szCs w:val="20"/>
        </w:rPr>
      </w:pPr>
      <w:r w:rsidRPr="0019068D">
        <w:rPr>
          <w:b/>
          <w:bCs/>
          <w:sz w:val="20"/>
          <w:szCs w:val="20"/>
        </w:rPr>
        <w:t xml:space="preserve">Overview of the Legislative Instrument </w:t>
      </w:r>
    </w:p>
    <w:p w14:paraId="7E77380E" w14:textId="7EB31CB4" w:rsidR="0092014C" w:rsidRDefault="0001259C" w:rsidP="00852FAE">
      <w:pPr>
        <w:pStyle w:val="Default"/>
        <w:spacing w:before="120" w:after="120" w:line="240" w:lineRule="atLeast"/>
        <w:rPr>
          <w:sz w:val="20"/>
          <w:szCs w:val="20"/>
        </w:rPr>
      </w:pPr>
      <w:r>
        <w:rPr>
          <w:sz w:val="20"/>
          <w:szCs w:val="20"/>
        </w:rPr>
        <w:t xml:space="preserve">The </w:t>
      </w:r>
      <w:r>
        <w:rPr>
          <w:i/>
          <w:sz w:val="20"/>
          <w:szCs w:val="20"/>
        </w:rPr>
        <w:t xml:space="preserve">Broadcasting Services Clarification Notice 2016 </w:t>
      </w:r>
      <w:r>
        <w:rPr>
          <w:sz w:val="20"/>
          <w:szCs w:val="20"/>
        </w:rPr>
        <w:t xml:space="preserve">(the </w:t>
      </w:r>
      <w:r w:rsidRPr="0001259C">
        <w:rPr>
          <w:b/>
          <w:sz w:val="20"/>
          <w:szCs w:val="20"/>
        </w:rPr>
        <w:t>Notice</w:t>
      </w:r>
      <w:r>
        <w:rPr>
          <w:sz w:val="20"/>
          <w:szCs w:val="20"/>
        </w:rPr>
        <w:t xml:space="preserve">) </w:t>
      </w:r>
      <w:r w:rsidR="008C010B">
        <w:rPr>
          <w:sz w:val="20"/>
          <w:szCs w:val="20"/>
        </w:rPr>
        <w:t>is made in accordance with paragraph 19(1</w:t>
      </w:r>
      <w:proofErr w:type="gramStart"/>
      <w:r w:rsidR="008C010B">
        <w:rPr>
          <w:sz w:val="20"/>
          <w:szCs w:val="20"/>
        </w:rPr>
        <w:t>)(</w:t>
      </w:r>
      <w:proofErr w:type="gramEnd"/>
      <w:r w:rsidR="008C010B">
        <w:rPr>
          <w:sz w:val="20"/>
          <w:szCs w:val="20"/>
        </w:rPr>
        <w:t xml:space="preserve">b) of the </w:t>
      </w:r>
      <w:r w:rsidR="008C010B">
        <w:rPr>
          <w:i/>
          <w:sz w:val="20"/>
          <w:szCs w:val="20"/>
        </w:rPr>
        <w:t>Broadcasting Services Act 1992</w:t>
      </w:r>
      <w:r w:rsidR="008C010B">
        <w:rPr>
          <w:sz w:val="20"/>
          <w:szCs w:val="20"/>
        </w:rPr>
        <w:t xml:space="preserve"> (the </w:t>
      </w:r>
      <w:r w:rsidR="008C010B">
        <w:rPr>
          <w:b/>
          <w:sz w:val="20"/>
          <w:szCs w:val="20"/>
        </w:rPr>
        <w:t>Act</w:t>
      </w:r>
      <w:r w:rsidR="008C010B">
        <w:rPr>
          <w:sz w:val="20"/>
          <w:szCs w:val="20"/>
        </w:rPr>
        <w:t xml:space="preserve">). </w:t>
      </w:r>
    </w:p>
    <w:p w14:paraId="12B927E2" w14:textId="1E551514" w:rsidR="008C010B" w:rsidRPr="008C010B" w:rsidRDefault="0092014C" w:rsidP="008C010B">
      <w:pPr>
        <w:pStyle w:val="Default"/>
        <w:spacing w:before="120" w:after="120" w:line="240" w:lineRule="atLeast"/>
        <w:rPr>
          <w:sz w:val="20"/>
          <w:szCs w:val="20"/>
        </w:rPr>
      </w:pPr>
      <w:r>
        <w:rPr>
          <w:sz w:val="20"/>
          <w:szCs w:val="20"/>
        </w:rPr>
        <w:t xml:space="preserve">The purpose of the Notice </w:t>
      </w:r>
      <w:r w:rsidRPr="0092014C">
        <w:rPr>
          <w:sz w:val="20"/>
          <w:szCs w:val="20"/>
        </w:rPr>
        <w:t>is to provide certainty about the category of service into which certain broadcas</w:t>
      </w:r>
      <w:r>
        <w:rPr>
          <w:sz w:val="20"/>
          <w:szCs w:val="20"/>
        </w:rPr>
        <w:t>ting services fall under the</w:t>
      </w:r>
      <w:r w:rsidR="008C010B">
        <w:rPr>
          <w:sz w:val="20"/>
          <w:szCs w:val="20"/>
        </w:rPr>
        <w:t xml:space="preserve"> Act</w:t>
      </w:r>
      <w:r w:rsidRPr="0092014C">
        <w:rPr>
          <w:sz w:val="20"/>
          <w:szCs w:val="20"/>
        </w:rPr>
        <w:t xml:space="preserve">. It does this by </w:t>
      </w:r>
      <w:r w:rsidR="004E08D5">
        <w:rPr>
          <w:sz w:val="20"/>
          <w:szCs w:val="20"/>
        </w:rPr>
        <w:t>clarifying that certain</w:t>
      </w:r>
      <w:r w:rsidR="004E08D5" w:rsidRPr="0092014C">
        <w:rPr>
          <w:sz w:val="20"/>
          <w:szCs w:val="20"/>
        </w:rPr>
        <w:t xml:space="preserve"> </w:t>
      </w:r>
      <w:r w:rsidRPr="0092014C">
        <w:rPr>
          <w:sz w:val="20"/>
          <w:szCs w:val="20"/>
        </w:rPr>
        <w:t xml:space="preserve">services </w:t>
      </w:r>
      <w:r w:rsidR="004E08D5">
        <w:rPr>
          <w:sz w:val="20"/>
          <w:szCs w:val="20"/>
        </w:rPr>
        <w:t>with particular features</w:t>
      </w:r>
      <w:r w:rsidRPr="0092014C">
        <w:rPr>
          <w:sz w:val="20"/>
          <w:szCs w:val="20"/>
        </w:rPr>
        <w:t xml:space="preserve"> set out in the Notice </w:t>
      </w:r>
      <w:r w:rsidR="004E08D5">
        <w:rPr>
          <w:sz w:val="20"/>
          <w:szCs w:val="20"/>
        </w:rPr>
        <w:t>are</w:t>
      </w:r>
      <w:r w:rsidRPr="0092014C">
        <w:rPr>
          <w:sz w:val="20"/>
          <w:szCs w:val="20"/>
        </w:rPr>
        <w:t xml:space="preserve"> open narrowcasting radio services.</w:t>
      </w:r>
      <w:r w:rsidR="008C010B">
        <w:rPr>
          <w:sz w:val="20"/>
          <w:szCs w:val="20"/>
        </w:rPr>
        <w:t xml:space="preserve"> </w:t>
      </w:r>
      <w:r w:rsidR="008C010B" w:rsidRPr="008C010B">
        <w:rPr>
          <w:sz w:val="20"/>
          <w:szCs w:val="20"/>
        </w:rPr>
        <w:t xml:space="preserve">The Notice clarifies the criteria for those open narrowcasting services in section 18 of the </w:t>
      </w:r>
      <w:r w:rsidR="008C010B">
        <w:rPr>
          <w:sz w:val="20"/>
          <w:szCs w:val="20"/>
        </w:rPr>
        <w:t>Act</w:t>
      </w:r>
      <w:r w:rsidR="008C010B" w:rsidRPr="008C010B">
        <w:rPr>
          <w:sz w:val="20"/>
          <w:szCs w:val="20"/>
        </w:rPr>
        <w:t xml:space="preserve"> that are:</w:t>
      </w:r>
    </w:p>
    <w:p w14:paraId="643BC4AB" w14:textId="0F00D751" w:rsidR="008C010B" w:rsidRPr="008C010B" w:rsidRDefault="008C010B" w:rsidP="008C010B">
      <w:pPr>
        <w:pStyle w:val="Default"/>
        <w:numPr>
          <w:ilvl w:val="0"/>
          <w:numId w:val="23"/>
        </w:numPr>
        <w:spacing w:before="120" w:after="120" w:line="240" w:lineRule="atLeast"/>
        <w:rPr>
          <w:sz w:val="20"/>
          <w:szCs w:val="20"/>
        </w:rPr>
      </w:pPr>
      <w:r w:rsidRPr="008C010B">
        <w:rPr>
          <w:sz w:val="20"/>
          <w:szCs w:val="20"/>
        </w:rPr>
        <w:t>provided as a radio service</w:t>
      </w:r>
      <w:r w:rsidR="00A337C1">
        <w:rPr>
          <w:sz w:val="20"/>
          <w:szCs w:val="20"/>
        </w:rPr>
        <w:t>;</w:t>
      </w:r>
    </w:p>
    <w:p w14:paraId="63F4BD78" w14:textId="7E618B46" w:rsidR="008C010B" w:rsidRPr="008C010B" w:rsidRDefault="008C010B" w:rsidP="008C010B">
      <w:pPr>
        <w:pStyle w:val="Default"/>
        <w:numPr>
          <w:ilvl w:val="0"/>
          <w:numId w:val="23"/>
        </w:numPr>
        <w:spacing w:before="120" w:after="120" w:line="240" w:lineRule="atLeast"/>
        <w:rPr>
          <w:sz w:val="20"/>
          <w:szCs w:val="20"/>
        </w:rPr>
      </w:pPr>
      <w:r w:rsidRPr="008C010B">
        <w:rPr>
          <w:sz w:val="20"/>
          <w:szCs w:val="20"/>
        </w:rPr>
        <w:t>provided using an AM or FM signal within the broadcasting services bands</w:t>
      </w:r>
      <w:r w:rsidR="00A337C1">
        <w:rPr>
          <w:sz w:val="20"/>
          <w:szCs w:val="20"/>
        </w:rPr>
        <w:t>; and</w:t>
      </w:r>
    </w:p>
    <w:p w14:paraId="53CB3D30" w14:textId="35578C49" w:rsidR="00852FAE" w:rsidRDefault="008C010B" w:rsidP="008C010B">
      <w:pPr>
        <w:pStyle w:val="Default"/>
        <w:numPr>
          <w:ilvl w:val="0"/>
          <w:numId w:val="23"/>
        </w:numPr>
        <w:spacing w:before="120" w:after="120" w:line="240" w:lineRule="atLeast"/>
        <w:rPr>
          <w:sz w:val="20"/>
          <w:szCs w:val="20"/>
        </w:rPr>
      </w:pPr>
      <w:proofErr w:type="gramStart"/>
      <w:r w:rsidRPr="008C010B">
        <w:rPr>
          <w:sz w:val="20"/>
          <w:szCs w:val="20"/>
        </w:rPr>
        <w:t>not</w:t>
      </w:r>
      <w:proofErr w:type="gramEnd"/>
      <w:r w:rsidRPr="008C010B">
        <w:rPr>
          <w:sz w:val="20"/>
          <w:szCs w:val="20"/>
        </w:rPr>
        <w:t xml:space="preserve"> made available only on payment of subscription fees.</w:t>
      </w:r>
    </w:p>
    <w:p w14:paraId="7EAA6F77" w14:textId="1582790E" w:rsidR="008C010B" w:rsidRDefault="008C010B" w:rsidP="00852FAE">
      <w:pPr>
        <w:pStyle w:val="Default"/>
        <w:spacing w:before="120" w:after="120" w:line="240" w:lineRule="atLeast"/>
        <w:rPr>
          <w:sz w:val="20"/>
          <w:szCs w:val="20"/>
        </w:rPr>
      </w:pPr>
      <w:r>
        <w:rPr>
          <w:sz w:val="20"/>
          <w:szCs w:val="20"/>
        </w:rPr>
        <w:t xml:space="preserve">The Notice consolidates and replaces two former instruments – the </w:t>
      </w:r>
      <w:r>
        <w:rPr>
          <w:i/>
          <w:sz w:val="20"/>
          <w:szCs w:val="20"/>
        </w:rPr>
        <w:t>Broadcasting Services Clarification Notice 2001</w:t>
      </w:r>
      <w:r>
        <w:rPr>
          <w:sz w:val="20"/>
          <w:szCs w:val="20"/>
        </w:rPr>
        <w:t xml:space="preserve"> </w:t>
      </w:r>
      <w:r w:rsidRPr="0001259C">
        <w:rPr>
          <w:sz w:val="20"/>
          <w:szCs w:val="20"/>
        </w:rPr>
        <w:t>and</w:t>
      </w:r>
      <w:r>
        <w:rPr>
          <w:sz w:val="20"/>
          <w:szCs w:val="20"/>
        </w:rPr>
        <w:t xml:space="preserve"> the </w:t>
      </w:r>
      <w:r>
        <w:rPr>
          <w:i/>
          <w:sz w:val="20"/>
          <w:szCs w:val="20"/>
        </w:rPr>
        <w:t xml:space="preserve">Broadcasting Services Clarification Notice 2002 </w:t>
      </w:r>
      <w:r>
        <w:rPr>
          <w:sz w:val="20"/>
          <w:szCs w:val="20"/>
        </w:rPr>
        <w:t xml:space="preserve">(together, the </w:t>
      </w:r>
      <w:r>
        <w:rPr>
          <w:b/>
          <w:sz w:val="20"/>
          <w:szCs w:val="20"/>
        </w:rPr>
        <w:t>previous</w:t>
      </w:r>
      <w:r w:rsidRPr="0001259C">
        <w:rPr>
          <w:b/>
          <w:sz w:val="20"/>
          <w:szCs w:val="20"/>
        </w:rPr>
        <w:t xml:space="preserve"> Notices</w:t>
      </w:r>
      <w:r>
        <w:rPr>
          <w:sz w:val="20"/>
          <w:szCs w:val="20"/>
        </w:rPr>
        <w:t xml:space="preserve">). The previous Notices were due to be automatically repealed on 1 April 2016, in accordance with Part </w:t>
      </w:r>
      <w:r w:rsidR="004E08D5">
        <w:rPr>
          <w:sz w:val="20"/>
          <w:szCs w:val="20"/>
        </w:rPr>
        <w:t xml:space="preserve">4 of Chapter 3 </w:t>
      </w:r>
      <w:r>
        <w:rPr>
          <w:sz w:val="20"/>
          <w:szCs w:val="20"/>
        </w:rPr>
        <w:t xml:space="preserve">of the </w:t>
      </w:r>
      <w:r>
        <w:rPr>
          <w:i/>
          <w:sz w:val="20"/>
          <w:szCs w:val="20"/>
        </w:rPr>
        <w:t>Legislati</w:t>
      </w:r>
      <w:r w:rsidR="004E08D5">
        <w:rPr>
          <w:i/>
          <w:sz w:val="20"/>
          <w:szCs w:val="20"/>
        </w:rPr>
        <w:t>on</w:t>
      </w:r>
      <w:r>
        <w:rPr>
          <w:i/>
          <w:sz w:val="20"/>
          <w:szCs w:val="20"/>
        </w:rPr>
        <w:t xml:space="preserve"> Act 2003</w:t>
      </w:r>
      <w:r>
        <w:rPr>
          <w:sz w:val="20"/>
          <w:szCs w:val="20"/>
        </w:rPr>
        <w:t>.</w:t>
      </w:r>
    </w:p>
    <w:p w14:paraId="7B9778B2" w14:textId="73416861" w:rsidR="0092014C" w:rsidRDefault="0092014C" w:rsidP="00852FAE">
      <w:pPr>
        <w:pStyle w:val="Default"/>
        <w:spacing w:before="120" w:after="120" w:line="240" w:lineRule="atLeast"/>
        <w:rPr>
          <w:sz w:val="20"/>
          <w:szCs w:val="20"/>
        </w:rPr>
      </w:pPr>
      <w:r w:rsidRPr="0092014C">
        <w:rPr>
          <w:sz w:val="20"/>
          <w:szCs w:val="20"/>
        </w:rPr>
        <w:t xml:space="preserve">The </w:t>
      </w:r>
      <w:r>
        <w:rPr>
          <w:sz w:val="20"/>
          <w:szCs w:val="20"/>
        </w:rPr>
        <w:t xml:space="preserve">Australian Communications and Media Authority (the </w:t>
      </w:r>
      <w:r w:rsidRPr="0092014C">
        <w:rPr>
          <w:b/>
          <w:sz w:val="20"/>
          <w:szCs w:val="20"/>
        </w:rPr>
        <w:t>ACMA</w:t>
      </w:r>
      <w:r>
        <w:rPr>
          <w:sz w:val="20"/>
          <w:szCs w:val="20"/>
        </w:rPr>
        <w:t xml:space="preserve">) </w:t>
      </w:r>
      <w:r w:rsidRPr="0092014C">
        <w:rPr>
          <w:sz w:val="20"/>
          <w:szCs w:val="20"/>
        </w:rPr>
        <w:t xml:space="preserve">formed the view that </w:t>
      </w:r>
      <w:r>
        <w:rPr>
          <w:sz w:val="20"/>
          <w:szCs w:val="20"/>
        </w:rPr>
        <w:t>the previous Notices were</w:t>
      </w:r>
      <w:r w:rsidRPr="0092014C">
        <w:rPr>
          <w:sz w:val="20"/>
          <w:szCs w:val="20"/>
        </w:rPr>
        <w:t xml:space="preserve"> operating effectively and eff</w:t>
      </w:r>
      <w:r w:rsidR="008C010B">
        <w:rPr>
          <w:sz w:val="20"/>
          <w:szCs w:val="20"/>
        </w:rPr>
        <w:t xml:space="preserve">iciently and </w:t>
      </w:r>
      <w:r>
        <w:rPr>
          <w:sz w:val="20"/>
          <w:szCs w:val="20"/>
        </w:rPr>
        <w:t>continued</w:t>
      </w:r>
      <w:r w:rsidRPr="0092014C">
        <w:rPr>
          <w:sz w:val="20"/>
          <w:szCs w:val="20"/>
        </w:rPr>
        <w:t xml:space="preserve"> to form a necessary and useful part of the legislative framework. Accordingly, </w:t>
      </w:r>
      <w:r>
        <w:rPr>
          <w:sz w:val="20"/>
          <w:szCs w:val="20"/>
        </w:rPr>
        <w:t>the ACMA consolidated the previous Notices</w:t>
      </w:r>
      <w:r w:rsidRPr="0092014C">
        <w:rPr>
          <w:sz w:val="20"/>
          <w:szCs w:val="20"/>
        </w:rPr>
        <w:t xml:space="preserve"> without any </w:t>
      </w:r>
      <w:r>
        <w:rPr>
          <w:sz w:val="20"/>
          <w:szCs w:val="20"/>
        </w:rPr>
        <w:t>substantive</w:t>
      </w:r>
      <w:r w:rsidRPr="0092014C">
        <w:rPr>
          <w:sz w:val="20"/>
          <w:szCs w:val="20"/>
        </w:rPr>
        <w:t xml:space="preserve"> changes, so that their ongoing effect is preserved.</w:t>
      </w:r>
    </w:p>
    <w:p w14:paraId="4799F710" w14:textId="77777777" w:rsidR="009052F3" w:rsidRPr="001E7A01" w:rsidRDefault="009052F3" w:rsidP="00593B39">
      <w:pPr>
        <w:pStyle w:val="Default"/>
        <w:spacing w:before="120" w:after="120" w:line="240" w:lineRule="atLeast"/>
        <w:rPr>
          <w:b/>
          <w:bCs/>
          <w:sz w:val="20"/>
          <w:szCs w:val="20"/>
        </w:rPr>
      </w:pPr>
      <w:r w:rsidRPr="001E7A01">
        <w:rPr>
          <w:b/>
          <w:bCs/>
          <w:sz w:val="20"/>
          <w:szCs w:val="20"/>
        </w:rPr>
        <w:t xml:space="preserve">Human Rights Implications </w:t>
      </w:r>
    </w:p>
    <w:p w14:paraId="78A80A88" w14:textId="43D03D53" w:rsidR="00852FAE" w:rsidRPr="00852FAE" w:rsidRDefault="00852FAE" w:rsidP="00852FAE">
      <w:pPr>
        <w:spacing w:before="120" w:after="120"/>
        <w:rPr>
          <w:rFonts w:cs="Arial"/>
        </w:rPr>
      </w:pPr>
      <w:r w:rsidRPr="00852FAE">
        <w:rPr>
          <w:rFonts w:cs="Arial"/>
        </w:rPr>
        <w:t xml:space="preserve">This </w:t>
      </w:r>
      <w:r w:rsidR="003A000A">
        <w:rPr>
          <w:rFonts w:cs="Arial"/>
        </w:rPr>
        <w:t>l</w:t>
      </w:r>
      <w:r w:rsidRPr="00852FAE">
        <w:rPr>
          <w:rFonts w:cs="Arial"/>
        </w:rPr>
        <w:t xml:space="preserve">egislative </w:t>
      </w:r>
      <w:r w:rsidR="003A000A">
        <w:rPr>
          <w:rFonts w:cs="Arial"/>
        </w:rPr>
        <w:t>i</w:t>
      </w:r>
      <w:r w:rsidRPr="00852FAE">
        <w:rPr>
          <w:rFonts w:cs="Arial"/>
        </w:rPr>
        <w:t>nstrument does not engage any of the applicable rights or freedoms.</w:t>
      </w:r>
    </w:p>
    <w:p w14:paraId="61A90EEC" w14:textId="77777777" w:rsidR="009052F3" w:rsidRPr="0036640D" w:rsidRDefault="009052F3" w:rsidP="00593B39">
      <w:pPr>
        <w:pStyle w:val="Default"/>
        <w:spacing w:before="120" w:after="120" w:line="240" w:lineRule="atLeast"/>
        <w:rPr>
          <w:b/>
          <w:bCs/>
          <w:sz w:val="20"/>
          <w:szCs w:val="20"/>
        </w:rPr>
      </w:pPr>
      <w:r w:rsidRPr="0036640D">
        <w:rPr>
          <w:b/>
          <w:bCs/>
          <w:sz w:val="20"/>
          <w:szCs w:val="20"/>
        </w:rPr>
        <w:t xml:space="preserve">Conclusion </w:t>
      </w:r>
    </w:p>
    <w:p w14:paraId="2DAE55F8" w14:textId="6F86E99C" w:rsidR="009052F3" w:rsidRPr="00A94C87" w:rsidRDefault="009052F3" w:rsidP="00593B39">
      <w:pPr>
        <w:pStyle w:val="Default"/>
        <w:spacing w:before="120" w:after="120" w:line="240" w:lineRule="atLeast"/>
        <w:rPr>
          <w:sz w:val="20"/>
          <w:szCs w:val="20"/>
        </w:rPr>
      </w:pPr>
      <w:r w:rsidRPr="0036640D">
        <w:rPr>
          <w:sz w:val="20"/>
          <w:szCs w:val="20"/>
        </w:rPr>
        <w:t xml:space="preserve">The </w:t>
      </w:r>
      <w:r w:rsidR="003A000A">
        <w:rPr>
          <w:sz w:val="20"/>
          <w:szCs w:val="20"/>
        </w:rPr>
        <w:t>l</w:t>
      </w:r>
      <w:r w:rsidR="00852FAE">
        <w:rPr>
          <w:sz w:val="20"/>
          <w:szCs w:val="20"/>
        </w:rPr>
        <w:t xml:space="preserve">egislative </w:t>
      </w:r>
      <w:r w:rsidR="003A000A">
        <w:rPr>
          <w:sz w:val="20"/>
          <w:szCs w:val="20"/>
        </w:rPr>
        <w:t>i</w:t>
      </w:r>
      <w:r w:rsidR="0036640D" w:rsidRPr="0036640D">
        <w:rPr>
          <w:sz w:val="20"/>
          <w:szCs w:val="20"/>
        </w:rPr>
        <w:t xml:space="preserve">nstrument is </w:t>
      </w:r>
      <w:r w:rsidRPr="0036640D">
        <w:rPr>
          <w:sz w:val="20"/>
          <w:szCs w:val="20"/>
        </w:rPr>
        <w:t xml:space="preserve">compatible with human rights </w:t>
      </w:r>
      <w:r w:rsidR="00852FAE">
        <w:rPr>
          <w:sz w:val="20"/>
          <w:szCs w:val="20"/>
        </w:rPr>
        <w:t>as it does not raise any human rights issues</w:t>
      </w:r>
      <w:r w:rsidRPr="0036640D">
        <w:rPr>
          <w:sz w:val="20"/>
          <w:szCs w:val="20"/>
        </w:rPr>
        <w:t>.</w:t>
      </w:r>
      <w:r w:rsidRPr="00A94C87">
        <w:rPr>
          <w:sz w:val="20"/>
          <w:szCs w:val="20"/>
        </w:rPr>
        <w:t xml:space="preserve"> </w:t>
      </w:r>
      <w:bookmarkEnd w:id="5"/>
    </w:p>
    <w:sectPr w:rsidR="009052F3" w:rsidRPr="00A94C87" w:rsidSect="00711C89">
      <w:headerReference w:type="default" r:id="rId14"/>
      <w:footerReference w:type="default" r:id="rId15"/>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C616" w14:textId="77777777" w:rsidR="00AC3563" w:rsidRDefault="00AC3563" w:rsidP="009238CA">
      <w:r>
        <w:separator/>
      </w:r>
    </w:p>
  </w:endnote>
  <w:endnote w:type="continuationSeparator" w:id="0">
    <w:p w14:paraId="709B5217" w14:textId="77777777" w:rsidR="00AC3563" w:rsidRDefault="00AC3563" w:rsidP="009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387"/>
      <w:docPartObj>
        <w:docPartGallery w:val="Page Numbers (Bottom of Page)"/>
        <w:docPartUnique/>
      </w:docPartObj>
    </w:sdtPr>
    <w:sdtEndPr/>
    <w:sdtContent>
      <w:p w14:paraId="312423AB" w14:textId="77777777" w:rsidR="00AE6C86" w:rsidRDefault="00446769">
        <w:pPr>
          <w:pStyle w:val="Footer"/>
          <w:jc w:val="right"/>
        </w:pPr>
        <w:r>
          <w:fldChar w:fldCharType="begin"/>
        </w:r>
        <w:r>
          <w:instrText xml:space="preserve"> PAGE   \* MERGEFORMAT </w:instrText>
        </w:r>
        <w:r>
          <w:fldChar w:fldCharType="separate"/>
        </w:r>
        <w:r w:rsidR="00CF42EA">
          <w:rPr>
            <w:noProof/>
          </w:rPr>
          <w:t>7</w:t>
        </w:r>
        <w:r>
          <w:rPr>
            <w:noProof/>
          </w:rPr>
          <w:fldChar w:fldCharType="end"/>
        </w:r>
      </w:p>
    </w:sdtContent>
  </w:sdt>
  <w:p w14:paraId="527923C6" w14:textId="77777777" w:rsidR="00AE6C86" w:rsidRDefault="00AE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0FAC" w14:textId="77777777" w:rsidR="00AC3563" w:rsidRDefault="00AC3563" w:rsidP="009238CA">
      <w:r>
        <w:separator/>
      </w:r>
    </w:p>
  </w:footnote>
  <w:footnote w:type="continuationSeparator" w:id="0">
    <w:p w14:paraId="178C333B" w14:textId="77777777" w:rsidR="00AC3563" w:rsidRDefault="00AC3563" w:rsidP="0092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CF40" w14:textId="77777777" w:rsidR="00AE6C86" w:rsidRPr="00250E73" w:rsidRDefault="00AE6C86" w:rsidP="00250E73">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22C"/>
    <w:multiLevelType w:val="hybridMultilevel"/>
    <w:tmpl w:val="B63C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E06AB"/>
    <w:multiLevelType w:val="hybridMultilevel"/>
    <w:tmpl w:val="F092CDA0"/>
    <w:lvl w:ilvl="0" w:tplc="62B67F5C">
      <w:start w:val="1"/>
      <w:numFmt w:val="lowerLetter"/>
      <w:lvlText w:val="(%1)"/>
      <w:lvlJc w:val="left"/>
      <w:pPr>
        <w:ind w:left="720" w:hanging="360"/>
      </w:pPr>
      <w:rPr>
        <w:rFonts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abstractNum w:abstractNumId="2">
    <w:nsid w:val="14B62D5B"/>
    <w:multiLevelType w:val="hybridMultilevel"/>
    <w:tmpl w:val="920A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8F1758"/>
    <w:multiLevelType w:val="hybridMultilevel"/>
    <w:tmpl w:val="782A72C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5">
    <w:nsid w:val="2AB813E5"/>
    <w:multiLevelType w:val="hybridMultilevel"/>
    <w:tmpl w:val="F57EAD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2BB039BC"/>
    <w:multiLevelType w:val="hybridMultilevel"/>
    <w:tmpl w:val="5CBA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DE145E"/>
    <w:multiLevelType w:val="hybridMultilevel"/>
    <w:tmpl w:val="3CBA1E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43CF288D"/>
    <w:multiLevelType w:val="hybridMultilevel"/>
    <w:tmpl w:val="D95A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B34EEE"/>
    <w:multiLevelType w:val="hybridMultilevel"/>
    <w:tmpl w:val="98DE2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4EE3242D"/>
    <w:multiLevelType w:val="hybridMultilevel"/>
    <w:tmpl w:val="2ACC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8458A7"/>
    <w:multiLevelType w:val="hybridMultilevel"/>
    <w:tmpl w:val="AA2E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287DF4"/>
    <w:multiLevelType w:val="hybridMultilevel"/>
    <w:tmpl w:val="8632A0D0"/>
    <w:lvl w:ilvl="0" w:tplc="1C5C52DE">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4">
    <w:nsid w:val="663F4BAA"/>
    <w:multiLevelType w:val="hybridMultilevel"/>
    <w:tmpl w:val="FD8ED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7D5D95"/>
    <w:multiLevelType w:val="hybridMultilevel"/>
    <w:tmpl w:val="08C2417A"/>
    <w:lvl w:ilvl="0" w:tplc="62B67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8A41AC"/>
    <w:multiLevelType w:val="hybridMultilevel"/>
    <w:tmpl w:val="4874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8B71FA"/>
    <w:multiLevelType w:val="hybridMultilevel"/>
    <w:tmpl w:val="5B901B00"/>
    <w:lvl w:ilvl="0" w:tplc="DA045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E42F3B"/>
    <w:multiLevelType w:val="hybridMultilevel"/>
    <w:tmpl w:val="6414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590F38"/>
    <w:multiLevelType w:val="hybridMultilevel"/>
    <w:tmpl w:val="9B0CB798"/>
    <w:lvl w:ilvl="0" w:tplc="1C5C52DE">
      <w:start w:val="1"/>
      <w:numFmt w:val="bullet"/>
      <w:lvlText w:val=""/>
      <w:lvlJc w:val="left"/>
      <w:pPr>
        <w:ind w:left="720" w:hanging="360"/>
      </w:pPr>
      <w:rPr>
        <w:rFonts w:ascii="Symbol" w:hAnsi="Symbol"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abstractNum w:abstractNumId="20">
    <w:nsid w:val="7AAC73B3"/>
    <w:multiLevelType w:val="hybridMultilevel"/>
    <w:tmpl w:val="C02AA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F55F25"/>
    <w:multiLevelType w:val="hybridMultilevel"/>
    <w:tmpl w:val="9B72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AD75D7"/>
    <w:multiLevelType w:val="hybridMultilevel"/>
    <w:tmpl w:val="074E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0"/>
  </w:num>
  <w:num w:numId="4">
    <w:abstractNumId w:val="8"/>
  </w:num>
  <w:num w:numId="5">
    <w:abstractNumId w:val="2"/>
  </w:num>
  <w:num w:numId="6">
    <w:abstractNumId w:val="11"/>
  </w:num>
  <w:num w:numId="7">
    <w:abstractNumId w:val="12"/>
  </w:num>
  <w:num w:numId="8">
    <w:abstractNumId w:val="0"/>
  </w:num>
  <w:num w:numId="9">
    <w:abstractNumId w:val="3"/>
  </w:num>
  <w:num w:numId="10">
    <w:abstractNumId w:val="15"/>
  </w:num>
  <w:num w:numId="11">
    <w:abstractNumId w:val="17"/>
  </w:num>
  <w:num w:numId="12">
    <w:abstractNumId w:val="13"/>
  </w:num>
  <w:num w:numId="13">
    <w:abstractNumId w:val="4"/>
  </w:num>
  <w:num w:numId="14">
    <w:abstractNumId w:val="7"/>
  </w:num>
  <w:num w:numId="15">
    <w:abstractNumId w:val="21"/>
  </w:num>
  <w:num w:numId="16">
    <w:abstractNumId w:val="6"/>
  </w:num>
  <w:num w:numId="17">
    <w:abstractNumId w:val="22"/>
  </w:num>
  <w:num w:numId="18">
    <w:abstractNumId w:val="14"/>
  </w:num>
  <w:num w:numId="19">
    <w:abstractNumId w:val="9"/>
  </w:num>
  <w:num w:numId="20">
    <w:abstractNumId w:val="18"/>
  </w:num>
  <w:num w:numId="21">
    <w:abstractNumId w:val="1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CA"/>
    <w:rsid w:val="00002782"/>
    <w:rsid w:val="00004866"/>
    <w:rsid w:val="00005139"/>
    <w:rsid w:val="000064B5"/>
    <w:rsid w:val="0001259C"/>
    <w:rsid w:val="00015326"/>
    <w:rsid w:val="000206A4"/>
    <w:rsid w:val="00040D3A"/>
    <w:rsid w:val="00041AEB"/>
    <w:rsid w:val="000437A8"/>
    <w:rsid w:val="0005193C"/>
    <w:rsid w:val="000534F7"/>
    <w:rsid w:val="000551E3"/>
    <w:rsid w:val="00056C25"/>
    <w:rsid w:val="000726BD"/>
    <w:rsid w:val="000769DF"/>
    <w:rsid w:val="00092F64"/>
    <w:rsid w:val="000B1AB0"/>
    <w:rsid w:val="000B31D9"/>
    <w:rsid w:val="000B4AF6"/>
    <w:rsid w:val="000B6CBE"/>
    <w:rsid w:val="000C0D1E"/>
    <w:rsid w:val="000C42A0"/>
    <w:rsid w:val="000C6521"/>
    <w:rsid w:val="000C6980"/>
    <w:rsid w:val="000F51F6"/>
    <w:rsid w:val="000F7F21"/>
    <w:rsid w:val="00102100"/>
    <w:rsid w:val="001074E6"/>
    <w:rsid w:val="00115AE9"/>
    <w:rsid w:val="00121967"/>
    <w:rsid w:val="001223A8"/>
    <w:rsid w:val="001247A9"/>
    <w:rsid w:val="00124A96"/>
    <w:rsid w:val="00124D4E"/>
    <w:rsid w:val="00127690"/>
    <w:rsid w:val="00130FB0"/>
    <w:rsid w:val="001372E0"/>
    <w:rsid w:val="00142579"/>
    <w:rsid w:val="001457DF"/>
    <w:rsid w:val="001509BE"/>
    <w:rsid w:val="00152351"/>
    <w:rsid w:val="00155B0E"/>
    <w:rsid w:val="00156B82"/>
    <w:rsid w:val="00163260"/>
    <w:rsid w:val="001634FB"/>
    <w:rsid w:val="0017709F"/>
    <w:rsid w:val="00177EC8"/>
    <w:rsid w:val="00181B07"/>
    <w:rsid w:val="00183FD6"/>
    <w:rsid w:val="0019068D"/>
    <w:rsid w:val="00190BD2"/>
    <w:rsid w:val="001A1C22"/>
    <w:rsid w:val="001A65D9"/>
    <w:rsid w:val="001B51B8"/>
    <w:rsid w:val="001B7C5C"/>
    <w:rsid w:val="001C1226"/>
    <w:rsid w:val="001C34FC"/>
    <w:rsid w:val="001C62DD"/>
    <w:rsid w:val="001D54B7"/>
    <w:rsid w:val="001E3D1A"/>
    <w:rsid w:val="001E616C"/>
    <w:rsid w:val="001E7A01"/>
    <w:rsid w:val="001F0A23"/>
    <w:rsid w:val="001F5960"/>
    <w:rsid w:val="001F5C92"/>
    <w:rsid w:val="00206B53"/>
    <w:rsid w:val="00207E3E"/>
    <w:rsid w:val="00223680"/>
    <w:rsid w:val="00227803"/>
    <w:rsid w:val="00227F1F"/>
    <w:rsid w:val="00231590"/>
    <w:rsid w:val="002319CF"/>
    <w:rsid w:val="00232F15"/>
    <w:rsid w:val="00232F5B"/>
    <w:rsid w:val="00233086"/>
    <w:rsid w:val="00234DCC"/>
    <w:rsid w:val="0023700A"/>
    <w:rsid w:val="00241B46"/>
    <w:rsid w:val="0024249E"/>
    <w:rsid w:val="00250E73"/>
    <w:rsid w:val="00251808"/>
    <w:rsid w:val="00252698"/>
    <w:rsid w:val="0025782A"/>
    <w:rsid w:val="00267718"/>
    <w:rsid w:val="00275907"/>
    <w:rsid w:val="00276312"/>
    <w:rsid w:val="002764E2"/>
    <w:rsid w:val="00284553"/>
    <w:rsid w:val="002874D8"/>
    <w:rsid w:val="00295EF2"/>
    <w:rsid w:val="002A0CCA"/>
    <w:rsid w:val="002A7C4E"/>
    <w:rsid w:val="002B1B84"/>
    <w:rsid w:val="002B298B"/>
    <w:rsid w:val="002B57E9"/>
    <w:rsid w:val="002B7820"/>
    <w:rsid w:val="002C0720"/>
    <w:rsid w:val="002C4F5D"/>
    <w:rsid w:val="002D5CD2"/>
    <w:rsid w:val="002D675F"/>
    <w:rsid w:val="002E524A"/>
    <w:rsid w:val="002E7E1D"/>
    <w:rsid w:val="002F5118"/>
    <w:rsid w:val="002F689D"/>
    <w:rsid w:val="003041FD"/>
    <w:rsid w:val="00304287"/>
    <w:rsid w:val="003057BB"/>
    <w:rsid w:val="00323B2F"/>
    <w:rsid w:val="00324C63"/>
    <w:rsid w:val="00325000"/>
    <w:rsid w:val="003277FA"/>
    <w:rsid w:val="00331129"/>
    <w:rsid w:val="0033769A"/>
    <w:rsid w:val="00345EF4"/>
    <w:rsid w:val="00346432"/>
    <w:rsid w:val="003466C9"/>
    <w:rsid w:val="00350547"/>
    <w:rsid w:val="00352EE8"/>
    <w:rsid w:val="00353A5E"/>
    <w:rsid w:val="003622FD"/>
    <w:rsid w:val="00366244"/>
    <w:rsid w:val="0036640D"/>
    <w:rsid w:val="00373EFA"/>
    <w:rsid w:val="00377A0B"/>
    <w:rsid w:val="00381E7A"/>
    <w:rsid w:val="00382EE0"/>
    <w:rsid w:val="003852AE"/>
    <w:rsid w:val="00390508"/>
    <w:rsid w:val="00391D24"/>
    <w:rsid w:val="00396CC0"/>
    <w:rsid w:val="00397E21"/>
    <w:rsid w:val="003A000A"/>
    <w:rsid w:val="003A1029"/>
    <w:rsid w:val="003A1E3F"/>
    <w:rsid w:val="003A2C4D"/>
    <w:rsid w:val="003B1400"/>
    <w:rsid w:val="003B2C2D"/>
    <w:rsid w:val="003B62A7"/>
    <w:rsid w:val="003C28C5"/>
    <w:rsid w:val="003C2CBB"/>
    <w:rsid w:val="003C4753"/>
    <w:rsid w:val="003C4BAE"/>
    <w:rsid w:val="003D0129"/>
    <w:rsid w:val="003D0ED4"/>
    <w:rsid w:val="003D1F32"/>
    <w:rsid w:val="003D5CCB"/>
    <w:rsid w:val="003D65A3"/>
    <w:rsid w:val="003D6A50"/>
    <w:rsid w:val="003E1C97"/>
    <w:rsid w:val="003E1DB4"/>
    <w:rsid w:val="003E3CB6"/>
    <w:rsid w:val="003E54B4"/>
    <w:rsid w:val="003F034D"/>
    <w:rsid w:val="003F17AC"/>
    <w:rsid w:val="003F1988"/>
    <w:rsid w:val="003F34FB"/>
    <w:rsid w:val="003F3A9F"/>
    <w:rsid w:val="003F4A44"/>
    <w:rsid w:val="003F6AEC"/>
    <w:rsid w:val="003F7FAE"/>
    <w:rsid w:val="00402347"/>
    <w:rsid w:val="00411753"/>
    <w:rsid w:val="00411FC8"/>
    <w:rsid w:val="00412A07"/>
    <w:rsid w:val="00412B4B"/>
    <w:rsid w:val="00432CC3"/>
    <w:rsid w:val="004353E3"/>
    <w:rsid w:val="00437BCD"/>
    <w:rsid w:val="00446769"/>
    <w:rsid w:val="00446A36"/>
    <w:rsid w:val="00451EBA"/>
    <w:rsid w:val="00453BB9"/>
    <w:rsid w:val="004543C7"/>
    <w:rsid w:val="004637F6"/>
    <w:rsid w:val="00467839"/>
    <w:rsid w:val="00472C60"/>
    <w:rsid w:val="0047334B"/>
    <w:rsid w:val="00477EA0"/>
    <w:rsid w:val="004920D7"/>
    <w:rsid w:val="004974A1"/>
    <w:rsid w:val="004979EE"/>
    <w:rsid w:val="004B2A8D"/>
    <w:rsid w:val="004B4CF2"/>
    <w:rsid w:val="004B714D"/>
    <w:rsid w:val="004C68E1"/>
    <w:rsid w:val="004C6F04"/>
    <w:rsid w:val="004D03DB"/>
    <w:rsid w:val="004D0D35"/>
    <w:rsid w:val="004D57C6"/>
    <w:rsid w:val="004E08D5"/>
    <w:rsid w:val="004E09C5"/>
    <w:rsid w:val="004F039A"/>
    <w:rsid w:val="004F5FC2"/>
    <w:rsid w:val="005111C6"/>
    <w:rsid w:val="00520712"/>
    <w:rsid w:val="0052182D"/>
    <w:rsid w:val="0052525C"/>
    <w:rsid w:val="00530569"/>
    <w:rsid w:val="00534396"/>
    <w:rsid w:val="005409BA"/>
    <w:rsid w:val="00541FD9"/>
    <w:rsid w:val="00542B56"/>
    <w:rsid w:val="0054456A"/>
    <w:rsid w:val="00544E0A"/>
    <w:rsid w:val="005457E4"/>
    <w:rsid w:val="005501A4"/>
    <w:rsid w:val="005508D3"/>
    <w:rsid w:val="005515EA"/>
    <w:rsid w:val="00552965"/>
    <w:rsid w:val="00557630"/>
    <w:rsid w:val="00564582"/>
    <w:rsid w:val="00565256"/>
    <w:rsid w:val="00566513"/>
    <w:rsid w:val="00567E4C"/>
    <w:rsid w:val="005726AF"/>
    <w:rsid w:val="005744E2"/>
    <w:rsid w:val="00574DB1"/>
    <w:rsid w:val="005774E5"/>
    <w:rsid w:val="00580712"/>
    <w:rsid w:val="00582483"/>
    <w:rsid w:val="005846B2"/>
    <w:rsid w:val="00587F76"/>
    <w:rsid w:val="00590DC2"/>
    <w:rsid w:val="00590EB9"/>
    <w:rsid w:val="00593B39"/>
    <w:rsid w:val="0059708A"/>
    <w:rsid w:val="005A39FC"/>
    <w:rsid w:val="005A504C"/>
    <w:rsid w:val="005A51A0"/>
    <w:rsid w:val="005A5A3F"/>
    <w:rsid w:val="005B295C"/>
    <w:rsid w:val="005B33FB"/>
    <w:rsid w:val="005B3DE7"/>
    <w:rsid w:val="005B4726"/>
    <w:rsid w:val="005B4AC5"/>
    <w:rsid w:val="005B4C90"/>
    <w:rsid w:val="005D25F7"/>
    <w:rsid w:val="005D385E"/>
    <w:rsid w:val="005D5214"/>
    <w:rsid w:val="005D5BEA"/>
    <w:rsid w:val="005E3320"/>
    <w:rsid w:val="005E4372"/>
    <w:rsid w:val="005E610C"/>
    <w:rsid w:val="005E7B8D"/>
    <w:rsid w:val="005F1AC6"/>
    <w:rsid w:val="005F2DB1"/>
    <w:rsid w:val="00600715"/>
    <w:rsid w:val="006017A6"/>
    <w:rsid w:val="00601D85"/>
    <w:rsid w:val="006030E2"/>
    <w:rsid w:val="00603B9F"/>
    <w:rsid w:val="0060433E"/>
    <w:rsid w:val="00606260"/>
    <w:rsid w:val="00607DDF"/>
    <w:rsid w:val="006153DF"/>
    <w:rsid w:val="00617B56"/>
    <w:rsid w:val="00623371"/>
    <w:rsid w:val="00625363"/>
    <w:rsid w:val="00626F70"/>
    <w:rsid w:val="00627F8C"/>
    <w:rsid w:val="00637A2E"/>
    <w:rsid w:val="00640D5B"/>
    <w:rsid w:val="0064516C"/>
    <w:rsid w:val="00645F12"/>
    <w:rsid w:val="0064676A"/>
    <w:rsid w:val="006567EC"/>
    <w:rsid w:val="0065754F"/>
    <w:rsid w:val="00660AAB"/>
    <w:rsid w:val="0066104D"/>
    <w:rsid w:val="006613F6"/>
    <w:rsid w:val="00662FE9"/>
    <w:rsid w:val="006651F8"/>
    <w:rsid w:val="00667CCF"/>
    <w:rsid w:val="00671765"/>
    <w:rsid w:val="0067550B"/>
    <w:rsid w:val="00676449"/>
    <w:rsid w:val="0067663A"/>
    <w:rsid w:val="00677A7E"/>
    <w:rsid w:val="00681DE9"/>
    <w:rsid w:val="00683893"/>
    <w:rsid w:val="00693A0C"/>
    <w:rsid w:val="006962F0"/>
    <w:rsid w:val="006B0826"/>
    <w:rsid w:val="006B1735"/>
    <w:rsid w:val="006B6B93"/>
    <w:rsid w:val="006B6FB5"/>
    <w:rsid w:val="006C0020"/>
    <w:rsid w:val="006C14E1"/>
    <w:rsid w:val="006C19C7"/>
    <w:rsid w:val="006D25B9"/>
    <w:rsid w:val="006D361B"/>
    <w:rsid w:val="006D5377"/>
    <w:rsid w:val="006E7AC2"/>
    <w:rsid w:val="006F19D0"/>
    <w:rsid w:val="00711C89"/>
    <w:rsid w:val="00714E05"/>
    <w:rsid w:val="007205C5"/>
    <w:rsid w:val="00730295"/>
    <w:rsid w:val="00731872"/>
    <w:rsid w:val="00736F76"/>
    <w:rsid w:val="007403C3"/>
    <w:rsid w:val="00743969"/>
    <w:rsid w:val="007518B5"/>
    <w:rsid w:val="0075492C"/>
    <w:rsid w:val="00756170"/>
    <w:rsid w:val="00760695"/>
    <w:rsid w:val="00760799"/>
    <w:rsid w:val="007609A0"/>
    <w:rsid w:val="007647EC"/>
    <w:rsid w:val="00772E9C"/>
    <w:rsid w:val="00780018"/>
    <w:rsid w:val="00781C86"/>
    <w:rsid w:val="00783F0A"/>
    <w:rsid w:val="00784A4E"/>
    <w:rsid w:val="00784D72"/>
    <w:rsid w:val="00796444"/>
    <w:rsid w:val="00796BC2"/>
    <w:rsid w:val="00797481"/>
    <w:rsid w:val="007A371B"/>
    <w:rsid w:val="007B2DB4"/>
    <w:rsid w:val="007B3132"/>
    <w:rsid w:val="007B3A8A"/>
    <w:rsid w:val="007B57C0"/>
    <w:rsid w:val="007B66D7"/>
    <w:rsid w:val="007B70A4"/>
    <w:rsid w:val="007C3A5C"/>
    <w:rsid w:val="007D71BA"/>
    <w:rsid w:val="007D740E"/>
    <w:rsid w:val="007E3862"/>
    <w:rsid w:val="007E6B7E"/>
    <w:rsid w:val="00802833"/>
    <w:rsid w:val="00811362"/>
    <w:rsid w:val="0081624B"/>
    <w:rsid w:val="00817020"/>
    <w:rsid w:val="00817366"/>
    <w:rsid w:val="008228A4"/>
    <w:rsid w:val="00824302"/>
    <w:rsid w:val="008258B9"/>
    <w:rsid w:val="00835BDD"/>
    <w:rsid w:val="00841360"/>
    <w:rsid w:val="00843395"/>
    <w:rsid w:val="0084525F"/>
    <w:rsid w:val="008459CC"/>
    <w:rsid w:val="0085000D"/>
    <w:rsid w:val="00852FAE"/>
    <w:rsid w:val="00854A4F"/>
    <w:rsid w:val="0085704F"/>
    <w:rsid w:val="00865959"/>
    <w:rsid w:val="008722AE"/>
    <w:rsid w:val="008765D9"/>
    <w:rsid w:val="00885084"/>
    <w:rsid w:val="00890A69"/>
    <w:rsid w:val="00893AB7"/>
    <w:rsid w:val="008A01A0"/>
    <w:rsid w:val="008A1A57"/>
    <w:rsid w:val="008A280E"/>
    <w:rsid w:val="008A43A0"/>
    <w:rsid w:val="008A5A1E"/>
    <w:rsid w:val="008A5B67"/>
    <w:rsid w:val="008B10C0"/>
    <w:rsid w:val="008B430D"/>
    <w:rsid w:val="008C010B"/>
    <w:rsid w:val="008C1C7B"/>
    <w:rsid w:val="008C227A"/>
    <w:rsid w:val="008C474A"/>
    <w:rsid w:val="008C6508"/>
    <w:rsid w:val="008D384E"/>
    <w:rsid w:val="008D4459"/>
    <w:rsid w:val="008D6455"/>
    <w:rsid w:val="008E27A2"/>
    <w:rsid w:val="008F0B8C"/>
    <w:rsid w:val="008F35BD"/>
    <w:rsid w:val="009026CA"/>
    <w:rsid w:val="009052F3"/>
    <w:rsid w:val="00907297"/>
    <w:rsid w:val="00911617"/>
    <w:rsid w:val="00911DA5"/>
    <w:rsid w:val="00917EEC"/>
    <w:rsid w:val="0092014C"/>
    <w:rsid w:val="009216A4"/>
    <w:rsid w:val="00921FF3"/>
    <w:rsid w:val="009238CA"/>
    <w:rsid w:val="00924C90"/>
    <w:rsid w:val="00936C38"/>
    <w:rsid w:val="009401B3"/>
    <w:rsid w:val="00940D49"/>
    <w:rsid w:val="00943E48"/>
    <w:rsid w:val="00945404"/>
    <w:rsid w:val="00945F17"/>
    <w:rsid w:val="009473A6"/>
    <w:rsid w:val="00957F5D"/>
    <w:rsid w:val="00965CCB"/>
    <w:rsid w:val="009710A3"/>
    <w:rsid w:val="00980528"/>
    <w:rsid w:val="00984432"/>
    <w:rsid w:val="00987955"/>
    <w:rsid w:val="009A237F"/>
    <w:rsid w:val="009B22B9"/>
    <w:rsid w:val="009B26F5"/>
    <w:rsid w:val="009B5994"/>
    <w:rsid w:val="009B789B"/>
    <w:rsid w:val="009C0541"/>
    <w:rsid w:val="009D07AC"/>
    <w:rsid w:val="009D7A6A"/>
    <w:rsid w:val="00A02D51"/>
    <w:rsid w:val="00A03A23"/>
    <w:rsid w:val="00A05772"/>
    <w:rsid w:val="00A15D18"/>
    <w:rsid w:val="00A161F8"/>
    <w:rsid w:val="00A17AD7"/>
    <w:rsid w:val="00A221D1"/>
    <w:rsid w:val="00A245DC"/>
    <w:rsid w:val="00A267BC"/>
    <w:rsid w:val="00A3006E"/>
    <w:rsid w:val="00A30EBD"/>
    <w:rsid w:val="00A32596"/>
    <w:rsid w:val="00A337C1"/>
    <w:rsid w:val="00A37540"/>
    <w:rsid w:val="00A41C08"/>
    <w:rsid w:val="00A43755"/>
    <w:rsid w:val="00A45541"/>
    <w:rsid w:val="00A475B6"/>
    <w:rsid w:val="00A47612"/>
    <w:rsid w:val="00A476AD"/>
    <w:rsid w:val="00A5114C"/>
    <w:rsid w:val="00A625DC"/>
    <w:rsid w:val="00A67BF1"/>
    <w:rsid w:val="00A67FE3"/>
    <w:rsid w:val="00A723FC"/>
    <w:rsid w:val="00A76A87"/>
    <w:rsid w:val="00A80F70"/>
    <w:rsid w:val="00A82601"/>
    <w:rsid w:val="00A84070"/>
    <w:rsid w:val="00A84FA8"/>
    <w:rsid w:val="00A91C80"/>
    <w:rsid w:val="00A92E42"/>
    <w:rsid w:val="00A94C87"/>
    <w:rsid w:val="00A95595"/>
    <w:rsid w:val="00A958D3"/>
    <w:rsid w:val="00A970B9"/>
    <w:rsid w:val="00AA1235"/>
    <w:rsid w:val="00AA4434"/>
    <w:rsid w:val="00AB79D0"/>
    <w:rsid w:val="00AC09DB"/>
    <w:rsid w:val="00AC3537"/>
    <w:rsid w:val="00AC3563"/>
    <w:rsid w:val="00AD10D0"/>
    <w:rsid w:val="00AD259F"/>
    <w:rsid w:val="00AD3A6E"/>
    <w:rsid w:val="00AE4D9C"/>
    <w:rsid w:val="00AE5800"/>
    <w:rsid w:val="00AE6C86"/>
    <w:rsid w:val="00AE73D7"/>
    <w:rsid w:val="00AF21C1"/>
    <w:rsid w:val="00AF5C1A"/>
    <w:rsid w:val="00AF62B2"/>
    <w:rsid w:val="00B0099A"/>
    <w:rsid w:val="00B05246"/>
    <w:rsid w:val="00B07009"/>
    <w:rsid w:val="00B07631"/>
    <w:rsid w:val="00B10CF1"/>
    <w:rsid w:val="00B14851"/>
    <w:rsid w:val="00B23C48"/>
    <w:rsid w:val="00B35A23"/>
    <w:rsid w:val="00B35E72"/>
    <w:rsid w:val="00B36A8A"/>
    <w:rsid w:val="00B43633"/>
    <w:rsid w:val="00B50266"/>
    <w:rsid w:val="00B65B61"/>
    <w:rsid w:val="00B671A2"/>
    <w:rsid w:val="00B70CFB"/>
    <w:rsid w:val="00B71FF2"/>
    <w:rsid w:val="00B73484"/>
    <w:rsid w:val="00B73C68"/>
    <w:rsid w:val="00B87AEA"/>
    <w:rsid w:val="00B87B63"/>
    <w:rsid w:val="00BA26F6"/>
    <w:rsid w:val="00BA6503"/>
    <w:rsid w:val="00BB1EE3"/>
    <w:rsid w:val="00BB2C81"/>
    <w:rsid w:val="00BB6FB5"/>
    <w:rsid w:val="00BC093F"/>
    <w:rsid w:val="00BC3843"/>
    <w:rsid w:val="00BC42E4"/>
    <w:rsid w:val="00BD1332"/>
    <w:rsid w:val="00BD1E58"/>
    <w:rsid w:val="00BD4C80"/>
    <w:rsid w:val="00BE1E6F"/>
    <w:rsid w:val="00BF1509"/>
    <w:rsid w:val="00BF26CB"/>
    <w:rsid w:val="00BF461C"/>
    <w:rsid w:val="00C005BB"/>
    <w:rsid w:val="00C04466"/>
    <w:rsid w:val="00C04F53"/>
    <w:rsid w:val="00C117B2"/>
    <w:rsid w:val="00C11F3B"/>
    <w:rsid w:val="00C14662"/>
    <w:rsid w:val="00C2076D"/>
    <w:rsid w:val="00C2198C"/>
    <w:rsid w:val="00C24A76"/>
    <w:rsid w:val="00C27801"/>
    <w:rsid w:val="00C27BD2"/>
    <w:rsid w:val="00C34E4E"/>
    <w:rsid w:val="00C36F68"/>
    <w:rsid w:val="00C41E2F"/>
    <w:rsid w:val="00C45D03"/>
    <w:rsid w:val="00C50867"/>
    <w:rsid w:val="00C60CA9"/>
    <w:rsid w:val="00C63BF1"/>
    <w:rsid w:val="00C65A4B"/>
    <w:rsid w:val="00C65DA9"/>
    <w:rsid w:val="00C71FA8"/>
    <w:rsid w:val="00C766EA"/>
    <w:rsid w:val="00C80474"/>
    <w:rsid w:val="00C80B8B"/>
    <w:rsid w:val="00C81337"/>
    <w:rsid w:val="00C851DB"/>
    <w:rsid w:val="00C863A0"/>
    <w:rsid w:val="00C954E3"/>
    <w:rsid w:val="00CA3A15"/>
    <w:rsid w:val="00CB6424"/>
    <w:rsid w:val="00CB7741"/>
    <w:rsid w:val="00CC2EF2"/>
    <w:rsid w:val="00CC4416"/>
    <w:rsid w:val="00CC62DC"/>
    <w:rsid w:val="00CC6742"/>
    <w:rsid w:val="00CC6768"/>
    <w:rsid w:val="00CC710C"/>
    <w:rsid w:val="00CD2D78"/>
    <w:rsid w:val="00CE2CEC"/>
    <w:rsid w:val="00CE6F47"/>
    <w:rsid w:val="00CF42EA"/>
    <w:rsid w:val="00CF5D72"/>
    <w:rsid w:val="00CF63B9"/>
    <w:rsid w:val="00D0277E"/>
    <w:rsid w:val="00D13140"/>
    <w:rsid w:val="00D1524A"/>
    <w:rsid w:val="00D22DD8"/>
    <w:rsid w:val="00D22F27"/>
    <w:rsid w:val="00D2714C"/>
    <w:rsid w:val="00D30E11"/>
    <w:rsid w:val="00D31517"/>
    <w:rsid w:val="00D31D5A"/>
    <w:rsid w:val="00D33AD1"/>
    <w:rsid w:val="00D341CE"/>
    <w:rsid w:val="00D370DD"/>
    <w:rsid w:val="00D44DE3"/>
    <w:rsid w:val="00D506B8"/>
    <w:rsid w:val="00D50CF4"/>
    <w:rsid w:val="00D51060"/>
    <w:rsid w:val="00D534A1"/>
    <w:rsid w:val="00D53A71"/>
    <w:rsid w:val="00D54DDC"/>
    <w:rsid w:val="00D61826"/>
    <w:rsid w:val="00D61BAF"/>
    <w:rsid w:val="00D641C7"/>
    <w:rsid w:val="00D67708"/>
    <w:rsid w:val="00D6775B"/>
    <w:rsid w:val="00D73F5F"/>
    <w:rsid w:val="00D85B6B"/>
    <w:rsid w:val="00D87670"/>
    <w:rsid w:val="00D90754"/>
    <w:rsid w:val="00D93AAC"/>
    <w:rsid w:val="00D968F7"/>
    <w:rsid w:val="00DA23DD"/>
    <w:rsid w:val="00DA4DC6"/>
    <w:rsid w:val="00DB0C27"/>
    <w:rsid w:val="00DB3EE0"/>
    <w:rsid w:val="00DB6D71"/>
    <w:rsid w:val="00DC0F38"/>
    <w:rsid w:val="00DC157C"/>
    <w:rsid w:val="00DC2B11"/>
    <w:rsid w:val="00DC4549"/>
    <w:rsid w:val="00DC4F10"/>
    <w:rsid w:val="00DC7DD0"/>
    <w:rsid w:val="00DD3567"/>
    <w:rsid w:val="00DD4782"/>
    <w:rsid w:val="00DD512D"/>
    <w:rsid w:val="00DD5E73"/>
    <w:rsid w:val="00DE178C"/>
    <w:rsid w:val="00DE228C"/>
    <w:rsid w:val="00DE3987"/>
    <w:rsid w:val="00DF15A7"/>
    <w:rsid w:val="00DF2A9D"/>
    <w:rsid w:val="00DF65F4"/>
    <w:rsid w:val="00DF7E4F"/>
    <w:rsid w:val="00E0387E"/>
    <w:rsid w:val="00E10F60"/>
    <w:rsid w:val="00E10F86"/>
    <w:rsid w:val="00E1394F"/>
    <w:rsid w:val="00E148E6"/>
    <w:rsid w:val="00E17912"/>
    <w:rsid w:val="00E2088F"/>
    <w:rsid w:val="00E209B7"/>
    <w:rsid w:val="00E3129E"/>
    <w:rsid w:val="00E44114"/>
    <w:rsid w:val="00E45F8D"/>
    <w:rsid w:val="00E47CC3"/>
    <w:rsid w:val="00E51E14"/>
    <w:rsid w:val="00E60BC3"/>
    <w:rsid w:val="00E60DD7"/>
    <w:rsid w:val="00E64C6E"/>
    <w:rsid w:val="00E65F5A"/>
    <w:rsid w:val="00E66F7A"/>
    <w:rsid w:val="00E73319"/>
    <w:rsid w:val="00E75378"/>
    <w:rsid w:val="00E81CB9"/>
    <w:rsid w:val="00E84F5F"/>
    <w:rsid w:val="00E8509E"/>
    <w:rsid w:val="00E8662E"/>
    <w:rsid w:val="00E967D5"/>
    <w:rsid w:val="00E97563"/>
    <w:rsid w:val="00EA7CFC"/>
    <w:rsid w:val="00EB7A05"/>
    <w:rsid w:val="00EC065B"/>
    <w:rsid w:val="00EC44B6"/>
    <w:rsid w:val="00ED54AD"/>
    <w:rsid w:val="00ED785D"/>
    <w:rsid w:val="00EE53C1"/>
    <w:rsid w:val="00F04010"/>
    <w:rsid w:val="00F05006"/>
    <w:rsid w:val="00F05010"/>
    <w:rsid w:val="00F05F36"/>
    <w:rsid w:val="00F1373B"/>
    <w:rsid w:val="00F15E74"/>
    <w:rsid w:val="00F20E95"/>
    <w:rsid w:val="00F22C3D"/>
    <w:rsid w:val="00F23C3A"/>
    <w:rsid w:val="00F23CA2"/>
    <w:rsid w:val="00F34595"/>
    <w:rsid w:val="00F37D65"/>
    <w:rsid w:val="00F43A5D"/>
    <w:rsid w:val="00F62684"/>
    <w:rsid w:val="00F6335D"/>
    <w:rsid w:val="00F66351"/>
    <w:rsid w:val="00F66DDA"/>
    <w:rsid w:val="00F7014F"/>
    <w:rsid w:val="00F72071"/>
    <w:rsid w:val="00F72FB1"/>
    <w:rsid w:val="00F74683"/>
    <w:rsid w:val="00F8073F"/>
    <w:rsid w:val="00F80F10"/>
    <w:rsid w:val="00F83BB3"/>
    <w:rsid w:val="00F857AE"/>
    <w:rsid w:val="00F87565"/>
    <w:rsid w:val="00F87FA6"/>
    <w:rsid w:val="00F94718"/>
    <w:rsid w:val="00F96C26"/>
    <w:rsid w:val="00FA6FE4"/>
    <w:rsid w:val="00FB28E8"/>
    <w:rsid w:val="00FB2934"/>
    <w:rsid w:val="00FC0876"/>
    <w:rsid w:val="00FC4B2C"/>
    <w:rsid w:val="00FC5A05"/>
    <w:rsid w:val="00FD04CE"/>
    <w:rsid w:val="00FD4671"/>
    <w:rsid w:val="00FE3BE5"/>
    <w:rsid w:val="00FE5B2D"/>
    <w:rsid w:val="00FF2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391E"/>
  <w15:docId w15:val="{5D323A64-F8A9-46B4-85BC-33BD6B3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CA"/>
    <w:pPr>
      <w:spacing w:after="0" w:line="240" w:lineRule="auto"/>
    </w:pPr>
    <w:rPr>
      <w:rFonts w:ascii="Arial" w:eastAsia="Times New Roman" w:hAnsi="Arial" w:cs="Times New Roman"/>
      <w:sz w:val="20"/>
      <w:szCs w:val="20"/>
      <w:lang w:bidi="he-IL"/>
    </w:rPr>
  </w:style>
  <w:style w:type="paragraph" w:styleId="Heading1">
    <w:name w:val="heading 1"/>
    <w:basedOn w:val="Normal"/>
    <w:next w:val="Normal"/>
    <w:link w:val="Heading1Char"/>
    <w:qFormat/>
    <w:rsid w:val="009238CA"/>
    <w:pPr>
      <w:keepNext/>
      <w:suppressAutoHyphens/>
      <w:spacing w:before="320"/>
      <w:outlineLvl w:val="0"/>
    </w:pPr>
    <w:rPr>
      <w:rFonts w:cs="Arial"/>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CA"/>
    <w:rPr>
      <w:rFonts w:ascii="Arial" w:eastAsia="Times New Roman" w:hAnsi="Arial" w:cs="Arial"/>
      <w:b/>
      <w:bCs/>
      <w:sz w:val="32"/>
      <w:szCs w:val="32"/>
      <w:lang w:val="en-US"/>
    </w:rPr>
  </w:style>
  <w:style w:type="character" w:styleId="FootnoteReference">
    <w:name w:val="footnote reference"/>
    <w:aliases w:val="(NECG) Footnote Reference,(NECG) Footnote Reference1,(NECG) Footnote Reference2,o"/>
    <w:basedOn w:val="DefaultParagraphFont"/>
    <w:rsid w:val="009238CA"/>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
    <w:basedOn w:val="Normal"/>
    <w:link w:val="FootnoteTextChar"/>
    <w:rsid w:val="009238CA"/>
    <w:pPr>
      <w:spacing w:line="240" w:lineRule="atLeast"/>
    </w:pPr>
    <w:rPr>
      <w:rFonts w:ascii="HelveticaNeueLT Std Lt" w:hAnsi="HelveticaNeueLT Std Lt"/>
      <w:sz w:val="16"/>
      <w:szCs w:val="16"/>
      <w:lang w:eastAsia="en-AU" w:bidi="ar-SA"/>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rsid w:val="009238CA"/>
    <w:rPr>
      <w:rFonts w:ascii="HelveticaNeueLT Std Lt" w:eastAsia="Times New Roman" w:hAnsi="HelveticaNeueLT Std Lt" w:cs="Times New Roman"/>
      <w:sz w:val="16"/>
      <w:szCs w:val="16"/>
      <w:lang w:eastAsia="en-AU"/>
    </w:rPr>
  </w:style>
  <w:style w:type="paragraph" w:styleId="BalloonText">
    <w:name w:val="Balloon Text"/>
    <w:basedOn w:val="Normal"/>
    <w:link w:val="BalloonTextChar"/>
    <w:uiPriority w:val="99"/>
    <w:semiHidden/>
    <w:unhideWhenUsed/>
    <w:rsid w:val="00EA7CFC"/>
    <w:rPr>
      <w:rFonts w:ascii="Tahoma" w:hAnsi="Tahoma" w:cs="Tahoma"/>
      <w:sz w:val="16"/>
      <w:szCs w:val="16"/>
    </w:rPr>
  </w:style>
  <w:style w:type="character" w:customStyle="1" w:styleId="BalloonTextChar">
    <w:name w:val="Balloon Text Char"/>
    <w:basedOn w:val="DefaultParagraphFont"/>
    <w:link w:val="BalloonText"/>
    <w:uiPriority w:val="99"/>
    <w:semiHidden/>
    <w:rsid w:val="00EA7CFC"/>
    <w:rPr>
      <w:rFonts w:ascii="Tahoma" w:eastAsia="Times New Roman" w:hAnsi="Tahoma" w:cs="Tahoma"/>
      <w:sz w:val="16"/>
      <w:szCs w:val="16"/>
      <w:lang w:bidi="he-IL"/>
    </w:rPr>
  </w:style>
  <w:style w:type="character" w:styleId="Hyperlink">
    <w:name w:val="Hyperlink"/>
    <w:basedOn w:val="DefaultParagraphFont"/>
    <w:uiPriority w:val="99"/>
    <w:unhideWhenUsed/>
    <w:rsid w:val="0065754F"/>
    <w:rPr>
      <w:color w:val="0000FF" w:themeColor="hyperlink"/>
      <w:u w:val="single"/>
    </w:rPr>
  </w:style>
  <w:style w:type="character" w:styleId="CommentReference">
    <w:name w:val="annotation reference"/>
    <w:basedOn w:val="DefaultParagraphFont"/>
    <w:semiHidden/>
    <w:unhideWhenUsed/>
    <w:rsid w:val="0065754F"/>
    <w:rPr>
      <w:sz w:val="16"/>
      <w:szCs w:val="16"/>
    </w:rPr>
  </w:style>
  <w:style w:type="paragraph" w:styleId="CommentText">
    <w:name w:val="annotation text"/>
    <w:basedOn w:val="Normal"/>
    <w:link w:val="CommentTextChar"/>
    <w:semiHidden/>
    <w:unhideWhenUsed/>
    <w:rsid w:val="0065754F"/>
  </w:style>
  <w:style w:type="character" w:customStyle="1" w:styleId="CommentTextChar">
    <w:name w:val="Comment Text Char"/>
    <w:basedOn w:val="DefaultParagraphFont"/>
    <w:link w:val="CommentText"/>
    <w:uiPriority w:val="99"/>
    <w:semiHidden/>
    <w:rsid w:val="0065754F"/>
    <w:rPr>
      <w:rFonts w:ascii="Arial" w:eastAsia="Times New Roman" w:hAnsi="Arial"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5754F"/>
    <w:rPr>
      <w:b/>
      <w:bCs/>
    </w:rPr>
  </w:style>
  <w:style w:type="character" w:customStyle="1" w:styleId="CommentSubjectChar">
    <w:name w:val="Comment Subject Char"/>
    <w:basedOn w:val="CommentTextChar"/>
    <w:link w:val="CommentSubject"/>
    <w:uiPriority w:val="99"/>
    <w:semiHidden/>
    <w:rsid w:val="0065754F"/>
    <w:rPr>
      <w:rFonts w:ascii="Arial" w:eastAsia="Times New Roman" w:hAnsi="Arial" w:cs="Times New Roman"/>
      <w:b/>
      <w:bCs/>
      <w:sz w:val="20"/>
      <w:szCs w:val="20"/>
      <w:lang w:bidi="he-IL"/>
    </w:rPr>
  </w:style>
  <w:style w:type="paragraph" w:customStyle="1" w:styleId="Default">
    <w:name w:val="Default"/>
    <w:rsid w:val="006651F8"/>
    <w:pPr>
      <w:autoSpaceDE w:val="0"/>
      <w:autoSpaceDN w:val="0"/>
      <w:adjustRightInd w:val="0"/>
      <w:spacing w:after="0" w:line="240" w:lineRule="auto"/>
    </w:pPr>
    <w:rPr>
      <w:rFonts w:ascii="Arial" w:hAnsi="Arial" w:cs="Arial"/>
      <w:color w:val="000000"/>
      <w:sz w:val="24"/>
      <w:szCs w:val="24"/>
    </w:rPr>
  </w:style>
  <w:style w:type="paragraph" w:customStyle="1" w:styleId="definition">
    <w:name w:val="definition"/>
    <w:basedOn w:val="Normal"/>
    <w:rsid w:val="00F96C26"/>
    <w:pPr>
      <w:spacing w:before="80" w:line="260" w:lineRule="exact"/>
      <w:ind w:left="964"/>
      <w:jc w:val="both"/>
    </w:pPr>
    <w:rPr>
      <w:rFonts w:ascii="Times New Roman" w:hAnsi="Times New Roman"/>
      <w:sz w:val="24"/>
      <w:szCs w:val="24"/>
      <w:lang w:bidi="ar-SA"/>
    </w:rPr>
  </w:style>
  <w:style w:type="paragraph" w:customStyle="1" w:styleId="P1">
    <w:name w:val="P1"/>
    <w:aliases w:val="(a)"/>
    <w:basedOn w:val="Normal"/>
    <w:rsid w:val="00F96C26"/>
    <w:pPr>
      <w:tabs>
        <w:tab w:val="right" w:pos="1191"/>
      </w:tabs>
      <w:spacing w:before="60" w:line="260" w:lineRule="exact"/>
      <w:ind w:left="1418" w:hanging="1418"/>
      <w:jc w:val="both"/>
    </w:pPr>
    <w:rPr>
      <w:rFonts w:ascii="Times New Roman" w:hAnsi="Times New Roman"/>
      <w:sz w:val="24"/>
      <w:szCs w:val="24"/>
      <w:lang w:bidi="ar-SA"/>
    </w:rPr>
  </w:style>
  <w:style w:type="paragraph" w:styleId="ListParagraph">
    <w:name w:val="List Paragraph"/>
    <w:basedOn w:val="Normal"/>
    <w:qFormat/>
    <w:rsid w:val="00F96C26"/>
    <w:pPr>
      <w:ind w:left="720"/>
      <w:contextualSpacing/>
    </w:pPr>
  </w:style>
  <w:style w:type="paragraph" w:styleId="Header">
    <w:name w:val="header"/>
    <w:basedOn w:val="Normal"/>
    <w:link w:val="HeaderChar"/>
    <w:uiPriority w:val="99"/>
    <w:semiHidden/>
    <w:unhideWhenUsed/>
    <w:rsid w:val="005B4AC5"/>
    <w:pPr>
      <w:tabs>
        <w:tab w:val="center" w:pos="4513"/>
        <w:tab w:val="right" w:pos="9026"/>
      </w:tabs>
    </w:pPr>
  </w:style>
  <w:style w:type="character" w:customStyle="1" w:styleId="HeaderChar">
    <w:name w:val="Header Char"/>
    <w:basedOn w:val="DefaultParagraphFont"/>
    <w:link w:val="Header"/>
    <w:uiPriority w:val="99"/>
    <w:semiHidden/>
    <w:rsid w:val="005B4AC5"/>
    <w:rPr>
      <w:rFonts w:ascii="Arial" w:eastAsia="Times New Roman" w:hAnsi="Arial" w:cs="Times New Roman"/>
      <w:sz w:val="20"/>
      <w:szCs w:val="20"/>
      <w:lang w:bidi="he-IL"/>
    </w:rPr>
  </w:style>
  <w:style w:type="paragraph" w:styleId="Footer">
    <w:name w:val="footer"/>
    <w:basedOn w:val="Normal"/>
    <w:link w:val="FooterChar"/>
    <w:uiPriority w:val="99"/>
    <w:unhideWhenUsed/>
    <w:rsid w:val="005B4AC5"/>
    <w:pPr>
      <w:tabs>
        <w:tab w:val="center" w:pos="4513"/>
        <w:tab w:val="right" w:pos="9026"/>
      </w:tabs>
    </w:pPr>
  </w:style>
  <w:style w:type="character" w:customStyle="1" w:styleId="FooterChar">
    <w:name w:val="Footer Char"/>
    <w:basedOn w:val="DefaultParagraphFont"/>
    <w:link w:val="Footer"/>
    <w:uiPriority w:val="99"/>
    <w:rsid w:val="005B4AC5"/>
    <w:rPr>
      <w:rFonts w:ascii="Arial" w:eastAsia="Times New Roman" w:hAnsi="Arial" w:cs="Times New Roman"/>
      <w:sz w:val="20"/>
      <w:szCs w:val="20"/>
      <w:lang w:bidi="he-IL"/>
    </w:rPr>
  </w:style>
  <w:style w:type="paragraph" w:customStyle="1" w:styleId="Normalspace">
    <w:name w:val="Normal + space"/>
    <w:basedOn w:val="Normal"/>
    <w:uiPriority w:val="99"/>
    <w:rsid w:val="00660AAB"/>
    <w:pPr>
      <w:autoSpaceDE w:val="0"/>
      <w:autoSpaceDN w:val="0"/>
      <w:spacing w:after="240"/>
      <w:ind w:right="288"/>
    </w:pPr>
    <w:rPr>
      <w:rFonts w:ascii="CG Times (W1)" w:eastAsiaTheme="minorEastAsia" w:hAnsi="CG Times (W1)" w:cs="CG Times (W1)"/>
      <w:sz w:val="24"/>
      <w:szCs w:val="24"/>
      <w:lang w:bidi="ar-SA"/>
    </w:rPr>
  </w:style>
  <w:style w:type="paragraph" w:styleId="Revision">
    <w:name w:val="Revision"/>
    <w:hidden/>
    <w:uiPriority w:val="99"/>
    <w:semiHidden/>
    <w:rsid w:val="00660AAB"/>
    <w:pPr>
      <w:spacing w:after="0" w:line="240" w:lineRule="auto"/>
    </w:pPr>
    <w:rPr>
      <w:rFonts w:ascii="Arial" w:eastAsia="Times New Roman" w:hAnsi="Arial" w:cs="Times New Roman"/>
      <w:sz w:val="20"/>
      <w:szCs w:val="20"/>
      <w:lang w:bidi="he-IL"/>
    </w:rPr>
  </w:style>
  <w:style w:type="paragraph" w:customStyle="1" w:styleId="ACMABulletLevel1">
    <w:name w:val="ACMA Bullet Level 1"/>
    <w:rsid w:val="00852FAE"/>
    <w:pPr>
      <w:numPr>
        <w:numId w:val="14"/>
      </w:numPr>
      <w:spacing w:after="12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0064B5"/>
    <w:pPr>
      <w:spacing w:after="0" w:line="240" w:lineRule="atLeast"/>
    </w:pPr>
    <w:rPr>
      <w:rFonts w:ascii="Times New Roman" w:eastAsia="Times New Roman" w:hAnsi="Times New Roman" w:cs="Times New Roman"/>
      <w:sz w:val="24"/>
      <w:szCs w:val="24"/>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064B5"/>
    <w:pPr>
      <w:spacing w:line="240" w:lineRule="atLeast"/>
    </w:pPr>
    <w:rPr>
      <w:b/>
      <w:szCs w:val="24"/>
      <w:lang w:eastAsia="en-AU" w:bidi="ar-SA"/>
    </w:rPr>
  </w:style>
  <w:style w:type="paragraph" w:customStyle="1" w:styleId="TableBody">
    <w:name w:val="Table Body"/>
    <w:basedOn w:val="Normal"/>
    <w:qFormat/>
    <w:rsid w:val="000064B5"/>
    <w:rPr>
      <w:szCs w:val="24"/>
      <w:lang w:eastAsia="en-AU" w:bidi="ar-SA"/>
    </w:rPr>
  </w:style>
  <w:style w:type="paragraph" w:customStyle="1" w:styleId="ACMASpaceaftertable">
    <w:name w:val="ACMA_Space after table"/>
    <w:basedOn w:val="Normal"/>
    <w:qFormat/>
    <w:rsid w:val="000064B5"/>
    <w:pPr>
      <w:spacing w:after="240" w:line="240" w:lineRule="atLeast"/>
    </w:pPr>
    <w:rPr>
      <w:rFonts w:cs="Arial"/>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5137">
      <w:bodyDiv w:val="1"/>
      <w:marLeft w:val="0"/>
      <w:marRight w:val="0"/>
      <w:marTop w:val="0"/>
      <w:marBottom w:val="0"/>
      <w:divBdr>
        <w:top w:val="none" w:sz="0" w:space="0" w:color="auto"/>
        <w:left w:val="none" w:sz="0" w:space="0" w:color="auto"/>
        <w:bottom w:val="none" w:sz="0" w:space="0" w:color="auto"/>
        <w:right w:val="none" w:sz="0" w:space="0" w:color="auto"/>
      </w:divBdr>
    </w:div>
    <w:div w:id="205262214">
      <w:bodyDiv w:val="1"/>
      <w:marLeft w:val="0"/>
      <w:marRight w:val="0"/>
      <w:marTop w:val="0"/>
      <w:marBottom w:val="0"/>
      <w:divBdr>
        <w:top w:val="none" w:sz="0" w:space="0" w:color="auto"/>
        <w:left w:val="none" w:sz="0" w:space="0" w:color="auto"/>
        <w:bottom w:val="none" w:sz="0" w:space="0" w:color="auto"/>
        <w:right w:val="none" w:sz="0" w:space="0" w:color="auto"/>
      </w:divBdr>
    </w:div>
    <w:div w:id="353843262">
      <w:bodyDiv w:val="1"/>
      <w:marLeft w:val="0"/>
      <w:marRight w:val="0"/>
      <w:marTop w:val="0"/>
      <w:marBottom w:val="0"/>
      <w:divBdr>
        <w:top w:val="none" w:sz="0" w:space="0" w:color="auto"/>
        <w:left w:val="none" w:sz="0" w:space="0" w:color="auto"/>
        <w:bottom w:val="none" w:sz="0" w:space="0" w:color="auto"/>
        <w:right w:val="none" w:sz="0" w:space="0" w:color="auto"/>
      </w:divBdr>
      <w:divsChild>
        <w:div w:id="873545606">
          <w:marLeft w:val="0"/>
          <w:marRight w:val="0"/>
          <w:marTop w:val="0"/>
          <w:marBottom w:val="0"/>
          <w:divBdr>
            <w:top w:val="none" w:sz="0" w:space="0" w:color="auto"/>
            <w:left w:val="none" w:sz="0" w:space="0" w:color="auto"/>
            <w:bottom w:val="none" w:sz="0" w:space="0" w:color="auto"/>
            <w:right w:val="none" w:sz="0" w:space="0" w:color="auto"/>
          </w:divBdr>
          <w:divsChild>
            <w:div w:id="1262296267">
              <w:marLeft w:val="0"/>
              <w:marRight w:val="0"/>
              <w:marTop w:val="0"/>
              <w:marBottom w:val="0"/>
              <w:divBdr>
                <w:top w:val="none" w:sz="0" w:space="0" w:color="auto"/>
                <w:left w:val="none" w:sz="0" w:space="0" w:color="auto"/>
                <w:bottom w:val="none" w:sz="0" w:space="0" w:color="auto"/>
                <w:right w:val="none" w:sz="0" w:space="0" w:color="auto"/>
              </w:divBdr>
              <w:divsChild>
                <w:div w:id="1296571102">
                  <w:marLeft w:val="0"/>
                  <w:marRight w:val="0"/>
                  <w:marTop w:val="0"/>
                  <w:marBottom w:val="0"/>
                  <w:divBdr>
                    <w:top w:val="none" w:sz="0" w:space="0" w:color="auto"/>
                    <w:left w:val="none" w:sz="0" w:space="0" w:color="auto"/>
                    <w:bottom w:val="none" w:sz="0" w:space="0" w:color="auto"/>
                    <w:right w:val="none" w:sz="0" w:space="0" w:color="auto"/>
                  </w:divBdr>
                  <w:divsChild>
                    <w:div w:id="2083870374">
                      <w:marLeft w:val="0"/>
                      <w:marRight w:val="0"/>
                      <w:marTop w:val="0"/>
                      <w:marBottom w:val="0"/>
                      <w:divBdr>
                        <w:top w:val="none" w:sz="0" w:space="0" w:color="auto"/>
                        <w:left w:val="none" w:sz="0" w:space="0" w:color="auto"/>
                        <w:bottom w:val="none" w:sz="0" w:space="0" w:color="auto"/>
                        <w:right w:val="none" w:sz="0" w:space="0" w:color="auto"/>
                      </w:divBdr>
                      <w:divsChild>
                        <w:div w:id="376662270">
                          <w:marLeft w:val="0"/>
                          <w:marRight w:val="0"/>
                          <w:marTop w:val="0"/>
                          <w:marBottom w:val="0"/>
                          <w:divBdr>
                            <w:top w:val="single" w:sz="6" w:space="0" w:color="828282"/>
                            <w:left w:val="single" w:sz="6" w:space="0" w:color="828282"/>
                            <w:bottom w:val="single" w:sz="6" w:space="0" w:color="828282"/>
                            <w:right w:val="single" w:sz="6" w:space="0" w:color="828282"/>
                          </w:divBdr>
                          <w:divsChild>
                            <w:div w:id="725492475">
                              <w:marLeft w:val="0"/>
                              <w:marRight w:val="0"/>
                              <w:marTop w:val="0"/>
                              <w:marBottom w:val="0"/>
                              <w:divBdr>
                                <w:top w:val="none" w:sz="0" w:space="0" w:color="auto"/>
                                <w:left w:val="none" w:sz="0" w:space="0" w:color="auto"/>
                                <w:bottom w:val="none" w:sz="0" w:space="0" w:color="auto"/>
                                <w:right w:val="none" w:sz="0" w:space="0" w:color="auto"/>
                              </w:divBdr>
                              <w:divsChild>
                                <w:div w:id="988633082">
                                  <w:marLeft w:val="0"/>
                                  <w:marRight w:val="0"/>
                                  <w:marTop w:val="0"/>
                                  <w:marBottom w:val="0"/>
                                  <w:divBdr>
                                    <w:top w:val="none" w:sz="0" w:space="0" w:color="auto"/>
                                    <w:left w:val="none" w:sz="0" w:space="0" w:color="auto"/>
                                    <w:bottom w:val="none" w:sz="0" w:space="0" w:color="auto"/>
                                    <w:right w:val="none" w:sz="0" w:space="0" w:color="auto"/>
                                  </w:divBdr>
                                  <w:divsChild>
                                    <w:div w:id="1583837273">
                                      <w:marLeft w:val="0"/>
                                      <w:marRight w:val="0"/>
                                      <w:marTop w:val="0"/>
                                      <w:marBottom w:val="0"/>
                                      <w:divBdr>
                                        <w:top w:val="none" w:sz="0" w:space="0" w:color="auto"/>
                                        <w:left w:val="none" w:sz="0" w:space="0" w:color="auto"/>
                                        <w:bottom w:val="none" w:sz="0" w:space="0" w:color="auto"/>
                                        <w:right w:val="none" w:sz="0" w:space="0" w:color="auto"/>
                                      </w:divBdr>
                                      <w:divsChild>
                                        <w:div w:id="1164055739">
                                          <w:marLeft w:val="0"/>
                                          <w:marRight w:val="0"/>
                                          <w:marTop w:val="0"/>
                                          <w:marBottom w:val="0"/>
                                          <w:divBdr>
                                            <w:top w:val="none" w:sz="0" w:space="0" w:color="auto"/>
                                            <w:left w:val="none" w:sz="0" w:space="0" w:color="auto"/>
                                            <w:bottom w:val="none" w:sz="0" w:space="0" w:color="auto"/>
                                            <w:right w:val="none" w:sz="0" w:space="0" w:color="auto"/>
                                          </w:divBdr>
                                          <w:divsChild>
                                            <w:div w:id="1179275668">
                                              <w:marLeft w:val="0"/>
                                              <w:marRight w:val="0"/>
                                              <w:marTop w:val="0"/>
                                              <w:marBottom w:val="0"/>
                                              <w:divBdr>
                                                <w:top w:val="none" w:sz="0" w:space="0" w:color="auto"/>
                                                <w:left w:val="none" w:sz="0" w:space="0" w:color="auto"/>
                                                <w:bottom w:val="none" w:sz="0" w:space="0" w:color="auto"/>
                                                <w:right w:val="none" w:sz="0" w:space="0" w:color="auto"/>
                                              </w:divBdr>
                                              <w:divsChild>
                                                <w:div w:id="3415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72120">
      <w:bodyDiv w:val="1"/>
      <w:marLeft w:val="0"/>
      <w:marRight w:val="0"/>
      <w:marTop w:val="0"/>
      <w:marBottom w:val="0"/>
      <w:divBdr>
        <w:top w:val="none" w:sz="0" w:space="0" w:color="auto"/>
        <w:left w:val="none" w:sz="0" w:space="0" w:color="auto"/>
        <w:bottom w:val="none" w:sz="0" w:space="0" w:color="auto"/>
        <w:right w:val="none" w:sz="0" w:space="0" w:color="auto"/>
      </w:divBdr>
    </w:div>
    <w:div w:id="1140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AC870C97817B1E48A79198D56D97F3A9" ma:contentTypeVersion="40" ma:contentTypeDescription="A document enhanced so that it is automatically captured by RecordPoint." ma:contentTypeScope="" ma:versionID="bb3915fd95b1be704774360eadf9c30b">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896b9581d9761de3c85179991bf0f8a9"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KNAH4PPFC442-3341-194</_dlc_DocId>
    <_dlc_DocIdUrl xmlns="6db8f3c6-01a1-4322-b043-a3b2a190f7a8">
      <Url>http://collaboration/organisation/Auth/Chair/Auth/_layouts/DocIdRedir.aspx?ID=KNAH4PPFC442-3341-194</Url>
      <Description>KNAH4PPFC442-3341-194</Description>
    </_dlc_DocIdUrl>
    <Record_x0020_Number xmlns="83630db1-6fc2-4dfd-b3fe-d61d34e1440c" xsi:nil="true"/>
    <Legacy_x0020_Record_x0020_Number xmlns="83630db1-6fc2-4dfd-b3fe-d61d34e1440c" xsi:nil="true"/>
    <IconOverlay xmlns="http://schemas.microsoft.com/sharepoint/v4" xsi:nil="true"/>
    <Category xmlns="5e268b55-9e20-462b-aba6-694451a37717">(none)</Category>
  </documentManagement>
</p:properties>
</file>

<file path=customXml/item5.xml><?xml version="1.0" encoding="utf-8"?>
<?mso-contentType ?>
<SharedContentType xmlns="Microsoft.SharePoint.Taxonomy.ContentTypeSync" SourceId="c033047a-93aa-421b-8aef-52cbfb63cf36" ContentTypeId="0x01010070E27D6A746B5B48ADF22C2128054D55"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A125-02EB-4247-95AF-0B22A7B8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553EB-4474-44A2-8D59-213D0BA73C0D}">
  <ds:schemaRefs>
    <ds:schemaRef ds:uri="http://schemas.microsoft.com/sharepoint/events"/>
  </ds:schemaRefs>
</ds:datastoreItem>
</file>

<file path=customXml/itemProps3.xml><?xml version="1.0" encoding="utf-8"?>
<ds:datastoreItem xmlns:ds="http://schemas.openxmlformats.org/officeDocument/2006/customXml" ds:itemID="{95380A28-CB76-4C85-9A75-AC811892ED3B}">
  <ds:schemaRefs>
    <ds:schemaRef ds:uri="http://schemas.microsoft.com/sharepoint/v3/contenttype/forms"/>
  </ds:schemaRefs>
</ds:datastoreItem>
</file>

<file path=customXml/itemProps4.xml><?xml version="1.0" encoding="utf-8"?>
<ds:datastoreItem xmlns:ds="http://schemas.openxmlformats.org/officeDocument/2006/customXml" ds:itemID="{6BECA23D-406A-460F-8F9B-D6C75C18C2AE}">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5.xml><?xml version="1.0" encoding="utf-8"?>
<ds:datastoreItem xmlns:ds="http://schemas.openxmlformats.org/officeDocument/2006/customXml" ds:itemID="{D3EAC460-C565-4F19-981F-858D4445309C}">
  <ds:schemaRefs>
    <ds:schemaRef ds:uri="Microsoft.SharePoint.Taxonomy.ContentTypeSync"/>
  </ds:schemaRefs>
</ds:datastoreItem>
</file>

<file path=customXml/itemProps6.xml><?xml version="1.0" encoding="utf-8"?>
<ds:datastoreItem xmlns:ds="http://schemas.openxmlformats.org/officeDocument/2006/customXml" ds:itemID="{6ADE3A86-857A-48C9-B4D6-F2C18A344B8F}">
  <ds:schemaRefs>
    <ds:schemaRef ds:uri="http://schemas.openxmlformats.org/officeDocument/2006/bibliography"/>
  </ds:schemaRefs>
</ds:datastoreItem>
</file>

<file path=customXml/itemProps7.xml><?xml version="1.0" encoding="utf-8"?>
<ds:datastoreItem xmlns:ds="http://schemas.openxmlformats.org/officeDocument/2006/customXml" ds:itemID="{2D64AAF6-75EF-4B25-9142-CE38214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ahenson</dc:creator>
  <cp:keywords/>
  <dc:description/>
  <cp:lastModifiedBy>Helen Turnbull</cp:lastModifiedBy>
  <cp:revision>5</cp:revision>
  <cp:lastPrinted>2012-02-27T07:00:00Z</cp:lastPrinted>
  <dcterms:created xsi:type="dcterms:W3CDTF">2016-03-17T04:24:00Z</dcterms:created>
  <dcterms:modified xsi:type="dcterms:W3CDTF">2016-03-18T03:22:00Z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0x01010070E27D6A746B5B48ADF22C2128054D5500AC870C97817B1E48A79198D56D97F3A9</vt:lpwstr>
  </property>
  <property fmtid="{D5CDD505-2E9C-101B-9397-08002B2CF9AE}" pid="4" name="_dlc_DocIdItemGuid">
    <vt:lpwstr>ed8637bd-ec58-4a37-93a9-759fdf816ca4</vt:lpwstr>
  </property>
  <property fmtid="{D5CDD505-2E9C-101B-9397-08002B2CF9AE}" pid="5" name="RecordPoint_SubmissionDate">
    <vt:lpwstr/>
  </property>
  <property fmtid="{D5CDD505-2E9C-101B-9397-08002B2CF9AE}" pid="6" name="RecordPoint_ActiveItemSiteId">
    <vt:lpwstr>{7ba5f3c1-1ab9-4cc3-a7c0-334d2b0aec73}</vt:lpwstr>
  </property>
  <property fmtid="{D5CDD505-2E9C-101B-9397-08002B2CF9AE}" pid="7" name="RecordPoint_ActiveItemListId">
    <vt:lpwstr>{1798dda3-cac5-409b-ba9e-ce2495b2d0f3}</vt:lpwstr>
  </property>
  <property fmtid="{D5CDD505-2E9C-101B-9397-08002B2CF9AE}" pid="8" name="RecordPoint_SubmissionCompleted">
    <vt:lpwstr/>
  </property>
  <property fmtid="{D5CDD505-2E9C-101B-9397-08002B2CF9AE}" pid="9" name="RecordPoint_ActiveItemMoved">
    <vt:lpwstr/>
  </property>
  <property fmtid="{D5CDD505-2E9C-101B-9397-08002B2CF9AE}" pid="10" name="RecordPoint_ActiveItemUniqueId">
    <vt:lpwstr>{ed8637bd-ec58-4a37-93a9-759fdf816ca4}</vt:lpwstr>
  </property>
  <property fmtid="{D5CDD505-2E9C-101B-9397-08002B2CF9AE}" pid="11" name="RecordPoint_RecordFormat">
    <vt:lpwstr/>
  </property>
  <property fmtid="{D5CDD505-2E9C-101B-9397-08002B2CF9AE}" pid="12" name="RecordPoint_ActiveItemWebId">
    <vt:lpwstr>{e61cc4da-a431-400f-9f48-bf2ba12a7e9a}</vt:lpwstr>
  </property>
  <property fmtid="{D5CDD505-2E9C-101B-9397-08002B2CF9AE}" pid="13" name="RecordPoint_WorkflowType">
    <vt:lpwstr>ActiveSubmitStub</vt:lpwstr>
  </property>
</Properties>
</file>