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BC33" w14:textId="77777777" w:rsidR="00601889" w:rsidRPr="001C2EA0" w:rsidRDefault="00601889" w:rsidP="00601889">
      <w:pPr>
        <w:pStyle w:val="Heading2"/>
        <w:spacing w:before="120" w:after="120" w:line="240" w:lineRule="atLeast"/>
        <w:ind w:left="0"/>
        <w:jc w:val="center"/>
        <w:rPr>
          <w:b/>
          <w:bCs/>
          <w:i w:val="0"/>
          <w:iCs/>
          <w:sz w:val="20"/>
          <w:szCs w:val="20"/>
        </w:rPr>
      </w:pPr>
      <w:r w:rsidRPr="001C2EA0">
        <w:rPr>
          <w:b/>
          <w:bCs/>
          <w:i w:val="0"/>
          <w:iCs/>
          <w:sz w:val="20"/>
          <w:szCs w:val="20"/>
        </w:rPr>
        <w:t>EXPLANATORY STATEMENT</w:t>
      </w:r>
    </w:p>
    <w:p w14:paraId="6698B84E" w14:textId="77777777" w:rsidR="00601889" w:rsidRPr="001C2EA0" w:rsidRDefault="00601889" w:rsidP="00601889">
      <w:pPr>
        <w:pStyle w:val="Heading2"/>
        <w:spacing w:before="120" w:after="120" w:line="240" w:lineRule="atLeast"/>
        <w:ind w:left="0"/>
        <w:jc w:val="center"/>
        <w:rPr>
          <w:b/>
          <w:bCs/>
          <w:iCs/>
          <w:sz w:val="20"/>
          <w:szCs w:val="20"/>
        </w:rPr>
      </w:pPr>
      <w:r w:rsidRPr="001C2EA0">
        <w:rPr>
          <w:b/>
          <w:bCs/>
          <w:i w:val="0"/>
          <w:iCs/>
          <w:sz w:val="20"/>
          <w:szCs w:val="20"/>
        </w:rPr>
        <w:t>Issued by the Australian Communications and Media Authority</w:t>
      </w:r>
    </w:p>
    <w:p w14:paraId="0BE388FE" w14:textId="299CCB06" w:rsidR="00601889" w:rsidRPr="001C2EA0" w:rsidRDefault="00601889" w:rsidP="00601889">
      <w:pPr>
        <w:spacing w:before="120" w:after="120" w:line="240" w:lineRule="atLeast"/>
        <w:jc w:val="center"/>
        <w:rPr>
          <w:rFonts w:ascii="Arial" w:hAnsi="Arial" w:cs="Arial"/>
          <w:b/>
          <w:i/>
          <w:sz w:val="20"/>
        </w:rPr>
      </w:pPr>
      <w:r w:rsidRPr="001C2EA0">
        <w:rPr>
          <w:rFonts w:ascii="Arial" w:hAnsi="Arial"/>
          <w:b/>
          <w:i/>
          <w:sz w:val="20"/>
        </w:rPr>
        <w:t xml:space="preserve">Broadcasting Services (International Broadcasting) Guidelines 2016 </w:t>
      </w:r>
    </w:p>
    <w:p w14:paraId="330B2708" w14:textId="77777777" w:rsidR="00601889" w:rsidRPr="001C2EA0" w:rsidRDefault="00601889" w:rsidP="008E1838">
      <w:pPr>
        <w:spacing w:before="120" w:after="120" w:line="240" w:lineRule="atLeast"/>
        <w:jc w:val="center"/>
        <w:rPr>
          <w:i/>
          <w:sz w:val="20"/>
        </w:rPr>
      </w:pPr>
      <w:r w:rsidRPr="001C2EA0">
        <w:rPr>
          <w:rFonts w:ascii="Arial" w:hAnsi="Arial"/>
          <w:b/>
          <w:i/>
          <w:sz w:val="20"/>
        </w:rPr>
        <w:t>Broadcasting Services Act 1992</w:t>
      </w:r>
    </w:p>
    <w:p w14:paraId="4DE51E92" w14:textId="253F700D" w:rsidR="00601889" w:rsidRPr="001C2EA0" w:rsidRDefault="00601889" w:rsidP="00EB4EAC">
      <w:pPr>
        <w:spacing w:before="120" w:after="120"/>
        <w:rPr>
          <w:rFonts w:ascii="Arial" w:hAnsi="Arial" w:cs="Arial"/>
          <w:b/>
          <w:sz w:val="20"/>
        </w:rPr>
      </w:pPr>
    </w:p>
    <w:p w14:paraId="69D29783" w14:textId="77777777" w:rsidR="00601889" w:rsidRPr="001C2EA0" w:rsidRDefault="00601889" w:rsidP="00EB4EAC">
      <w:pPr>
        <w:spacing w:before="120" w:after="120"/>
        <w:rPr>
          <w:rFonts w:ascii="Arial" w:hAnsi="Arial" w:cs="Arial"/>
          <w:b/>
          <w:sz w:val="20"/>
        </w:rPr>
      </w:pPr>
      <w:r w:rsidRPr="001C2EA0">
        <w:rPr>
          <w:rFonts w:ascii="Arial" w:hAnsi="Arial" w:cs="Arial"/>
          <w:b/>
          <w:sz w:val="20"/>
        </w:rPr>
        <w:t>Purpose and legislative basis</w:t>
      </w:r>
    </w:p>
    <w:p w14:paraId="01784635" w14:textId="401D0394" w:rsidR="00EE7A75" w:rsidRPr="001C2EA0" w:rsidRDefault="00652448" w:rsidP="00EB4EAC">
      <w:pPr>
        <w:spacing w:after="120"/>
        <w:rPr>
          <w:rFonts w:ascii="Arial" w:hAnsi="Arial" w:cs="Arial"/>
          <w:sz w:val="20"/>
        </w:rPr>
      </w:pPr>
      <w:r w:rsidRPr="001C2EA0">
        <w:rPr>
          <w:rFonts w:ascii="Arial" w:hAnsi="Arial" w:cs="Arial"/>
          <w:sz w:val="20"/>
        </w:rPr>
        <w:t xml:space="preserve">Section 121FP of the </w:t>
      </w:r>
      <w:r w:rsidRPr="001C2EA0">
        <w:rPr>
          <w:rFonts w:ascii="Arial" w:hAnsi="Arial" w:cs="Arial"/>
          <w:i/>
          <w:sz w:val="20"/>
        </w:rPr>
        <w:t>B</w:t>
      </w:r>
      <w:r w:rsidR="00601889" w:rsidRPr="001C2EA0">
        <w:rPr>
          <w:rFonts w:ascii="Arial" w:hAnsi="Arial" w:cs="Arial"/>
          <w:i/>
          <w:sz w:val="20"/>
        </w:rPr>
        <w:t xml:space="preserve">roadcasting </w:t>
      </w:r>
      <w:r w:rsidRPr="001C2EA0">
        <w:rPr>
          <w:rFonts w:ascii="Arial" w:hAnsi="Arial" w:cs="Arial"/>
          <w:i/>
          <w:sz w:val="20"/>
        </w:rPr>
        <w:t>S</w:t>
      </w:r>
      <w:r w:rsidR="00601889" w:rsidRPr="001C2EA0">
        <w:rPr>
          <w:rFonts w:ascii="Arial" w:hAnsi="Arial" w:cs="Arial"/>
          <w:i/>
          <w:sz w:val="20"/>
        </w:rPr>
        <w:t xml:space="preserve">ervices </w:t>
      </w:r>
      <w:r w:rsidRPr="001C2EA0">
        <w:rPr>
          <w:rFonts w:ascii="Arial" w:hAnsi="Arial" w:cs="Arial"/>
          <w:i/>
          <w:sz w:val="20"/>
        </w:rPr>
        <w:t>A</w:t>
      </w:r>
      <w:r w:rsidR="00601889" w:rsidRPr="001C2EA0">
        <w:rPr>
          <w:rFonts w:ascii="Arial" w:hAnsi="Arial" w:cs="Arial"/>
          <w:i/>
          <w:sz w:val="20"/>
        </w:rPr>
        <w:t>ct 1992</w:t>
      </w:r>
      <w:r w:rsidR="00601889" w:rsidRPr="001C2EA0">
        <w:rPr>
          <w:rFonts w:ascii="Arial" w:hAnsi="Arial" w:cs="Arial"/>
          <w:sz w:val="20"/>
        </w:rPr>
        <w:t xml:space="preserve"> (the BSA)</w:t>
      </w:r>
      <w:r w:rsidRPr="001C2EA0">
        <w:rPr>
          <w:rFonts w:ascii="Arial" w:hAnsi="Arial" w:cs="Arial"/>
          <w:sz w:val="20"/>
        </w:rPr>
        <w:t xml:space="preserve"> requires</w:t>
      </w:r>
      <w:r w:rsidR="00D000A8" w:rsidRPr="001C2EA0">
        <w:rPr>
          <w:rFonts w:ascii="Arial" w:hAnsi="Arial" w:cs="Arial"/>
          <w:sz w:val="20"/>
        </w:rPr>
        <w:t xml:space="preserve"> the</w:t>
      </w:r>
      <w:r w:rsidRPr="001C2EA0">
        <w:rPr>
          <w:rFonts w:ascii="Arial" w:hAnsi="Arial" w:cs="Arial"/>
          <w:sz w:val="20"/>
        </w:rPr>
        <w:t xml:space="preserve"> ACMA to formulate guidelines relating to international broadcasting services. </w:t>
      </w:r>
    </w:p>
    <w:p w14:paraId="2C1B0444" w14:textId="351A20C0" w:rsidR="0036459E" w:rsidRPr="001C2EA0" w:rsidRDefault="00D23AD8" w:rsidP="00EB4EAC">
      <w:pPr>
        <w:spacing w:after="120"/>
        <w:rPr>
          <w:rFonts w:ascii="Arial" w:hAnsi="Arial" w:cs="Arial"/>
          <w:sz w:val="20"/>
          <w:lang w:bidi="he-IL"/>
        </w:rPr>
      </w:pPr>
      <w:r w:rsidRPr="001C2EA0">
        <w:rPr>
          <w:rFonts w:ascii="Arial" w:hAnsi="Arial" w:cs="Arial"/>
          <w:sz w:val="20"/>
        </w:rPr>
        <w:t xml:space="preserve">The </w:t>
      </w:r>
      <w:r w:rsidR="00974866" w:rsidRPr="001C2EA0">
        <w:rPr>
          <w:rFonts w:ascii="Arial" w:hAnsi="Arial" w:cs="Arial"/>
          <w:i/>
          <w:sz w:val="20"/>
        </w:rPr>
        <w:t>Broadcasting Services (International Broadcasting) Guidelines 2016</w:t>
      </w:r>
      <w:r w:rsidR="00974866" w:rsidRPr="001C2EA0">
        <w:rPr>
          <w:rFonts w:ascii="Arial" w:hAnsi="Arial" w:cs="Arial"/>
          <w:b/>
          <w:i/>
          <w:sz w:val="20"/>
        </w:rPr>
        <w:t xml:space="preserve"> </w:t>
      </w:r>
      <w:r w:rsidR="00974866" w:rsidRPr="001C2EA0">
        <w:rPr>
          <w:rFonts w:ascii="Arial" w:hAnsi="Arial" w:cs="Arial"/>
          <w:sz w:val="20"/>
        </w:rPr>
        <w:t>(</w:t>
      </w:r>
      <w:r w:rsidR="00652448" w:rsidRPr="001C2EA0">
        <w:rPr>
          <w:rFonts w:ascii="Arial" w:hAnsi="Arial" w:cs="Arial"/>
          <w:sz w:val="20"/>
        </w:rPr>
        <w:t>Guidelines</w:t>
      </w:r>
      <w:r w:rsidR="00974866" w:rsidRPr="001C2EA0">
        <w:rPr>
          <w:rFonts w:ascii="Arial" w:hAnsi="Arial" w:cs="Arial"/>
          <w:sz w:val="20"/>
        </w:rPr>
        <w:t>)</w:t>
      </w:r>
      <w:r w:rsidR="00652448" w:rsidRPr="001C2EA0">
        <w:rPr>
          <w:rFonts w:ascii="Arial" w:hAnsi="Arial" w:cs="Arial"/>
          <w:sz w:val="20"/>
        </w:rPr>
        <w:t xml:space="preserve"> have the </w:t>
      </w:r>
      <w:r w:rsidRPr="001C2EA0">
        <w:rPr>
          <w:rFonts w:ascii="Arial" w:hAnsi="Arial" w:cs="Arial"/>
          <w:sz w:val="20"/>
        </w:rPr>
        <w:t>object</w:t>
      </w:r>
      <w:r w:rsidR="006045BA" w:rsidRPr="001C2EA0">
        <w:rPr>
          <w:rFonts w:ascii="Arial" w:hAnsi="Arial" w:cs="Arial"/>
          <w:sz w:val="20"/>
        </w:rPr>
        <w:t>ive</w:t>
      </w:r>
      <w:r w:rsidRPr="001C2EA0">
        <w:rPr>
          <w:rFonts w:ascii="Arial" w:hAnsi="Arial" w:cs="Arial"/>
          <w:sz w:val="20"/>
        </w:rPr>
        <w:t xml:space="preserve"> </w:t>
      </w:r>
      <w:r w:rsidR="006045BA" w:rsidRPr="001C2EA0">
        <w:rPr>
          <w:rFonts w:ascii="Arial" w:hAnsi="Arial" w:cs="Arial"/>
          <w:sz w:val="20"/>
        </w:rPr>
        <w:t>of</w:t>
      </w:r>
      <w:r w:rsidRPr="001C2EA0">
        <w:rPr>
          <w:rFonts w:ascii="Arial" w:hAnsi="Arial" w:cs="Arial"/>
          <w:sz w:val="20"/>
        </w:rPr>
        <w:t xml:space="preserve"> </w:t>
      </w:r>
      <w:r w:rsidR="00652448" w:rsidRPr="001C2EA0">
        <w:rPr>
          <w:rFonts w:ascii="Arial" w:hAnsi="Arial" w:cs="Arial"/>
          <w:sz w:val="20"/>
        </w:rPr>
        <w:t>setting out arrangements</w:t>
      </w:r>
      <w:r w:rsidR="00652448" w:rsidRPr="001C2EA0">
        <w:rPr>
          <w:rFonts w:ascii="Arial" w:hAnsi="Arial" w:cs="Arial"/>
          <w:sz w:val="20"/>
          <w:lang w:bidi="he-IL"/>
        </w:rPr>
        <w:t xml:space="preserve"> for both proposed and operational international broadcasting services</w:t>
      </w:r>
      <w:r w:rsidR="00A20848" w:rsidRPr="001C2EA0">
        <w:rPr>
          <w:rFonts w:ascii="Arial" w:hAnsi="Arial" w:cs="Arial"/>
          <w:sz w:val="20"/>
          <w:lang w:bidi="he-IL"/>
        </w:rPr>
        <w:t>,</w:t>
      </w:r>
      <w:r w:rsidR="00652448" w:rsidRPr="001C2EA0">
        <w:rPr>
          <w:rFonts w:ascii="Arial" w:hAnsi="Arial" w:cs="Arial"/>
          <w:sz w:val="20"/>
          <w:lang w:bidi="he-IL"/>
        </w:rPr>
        <w:t xml:space="preserve"> matter in programs</w:t>
      </w:r>
      <w:r w:rsidR="00A20848" w:rsidRPr="001C2EA0">
        <w:rPr>
          <w:rFonts w:ascii="Arial" w:hAnsi="Arial" w:cs="Arial"/>
          <w:sz w:val="20"/>
          <w:lang w:bidi="he-IL"/>
        </w:rPr>
        <w:t>,</w:t>
      </w:r>
      <w:r w:rsidR="00652448" w:rsidRPr="001C2EA0">
        <w:rPr>
          <w:rFonts w:ascii="Arial" w:hAnsi="Arial" w:cs="Arial"/>
          <w:sz w:val="20"/>
          <w:lang w:bidi="he-IL"/>
        </w:rPr>
        <w:t xml:space="preserve"> and the conduct of international broadcasting licensees.</w:t>
      </w:r>
      <w:r w:rsidR="00DD3CB4" w:rsidRPr="001C2EA0">
        <w:rPr>
          <w:rFonts w:ascii="Arial" w:hAnsi="Arial" w:cs="Arial"/>
          <w:sz w:val="20"/>
          <w:lang w:bidi="he-IL"/>
        </w:rPr>
        <w:t xml:space="preserve"> </w:t>
      </w:r>
    </w:p>
    <w:p w14:paraId="237F818B" w14:textId="6840D1F4" w:rsidR="00601889" w:rsidRPr="00BD7DB5" w:rsidRDefault="00601889" w:rsidP="00BD7DB5">
      <w:pPr>
        <w:pStyle w:val="ABAHeading3"/>
        <w:spacing w:before="0" w:after="120"/>
        <w:rPr>
          <w:rFonts w:cs="Arial"/>
          <w:sz w:val="20"/>
        </w:rPr>
      </w:pPr>
      <w:r w:rsidRPr="001C2EA0">
        <w:rPr>
          <w:rFonts w:cs="Arial"/>
          <w:sz w:val="20"/>
        </w:rPr>
        <w:t>Background</w:t>
      </w:r>
    </w:p>
    <w:p w14:paraId="6D9966FE" w14:textId="63C8CCFD" w:rsidR="00601889" w:rsidRPr="001C2EA0" w:rsidRDefault="00601889" w:rsidP="00EB4EAC">
      <w:pPr>
        <w:spacing w:after="120" w:line="240" w:lineRule="atLeast"/>
        <w:rPr>
          <w:rFonts w:ascii="Arial" w:hAnsi="Arial" w:cs="Arial"/>
          <w:sz w:val="20"/>
        </w:rPr>
      </w:pPr>
      <w:r w:rsidRPr="001C2EA0">
        <w:rPr>
          <w:rFonts w:ascii="Arial" w:hAnsi="Arial" w:cs="Arial"/>
          <w:sz w:val="20"/>
        </w:rPr>
        <w:t xml:space="preserve">The </w:t>
      </w:r>
      <w:r w:rsidR="00A20848" w:rsidRPr="001C2EA0">
        <w:rPr>
          <w:rFonts w:ascii="Arial" w:hAnsi="Arial" w:cs="Arial"/>
          <w:sz w:val="20"/>
        </w:rPr>
        <w:t>Guidelines replace</w:t>
      </w:r>
      <w:r w:rsidRPr="001C2EA0">
        <w:rPr>
          <w:rFonts w:ascii="Arial" w:hAnsi="Arial" w:cs="Arial"/>
          <w:sz w:val="20"/>
        </w:rPr>
        <w:t xml:space="preserve"> the </w:t>
      </w:r>
      <w:r w:rsidRPr="001C2EA0">
        <w:rPr>
          <w:rFonts w:ascii="Arial" w:hAnsi="Arial" w:cs="Arial"/>
          <w:i/>
          <w:sz w:val="20"/>
        </w:rPr>
        <w:t xml:space="preserve">Broadcasting Services (International Broadcasting) </w:t>
      </w:r>
      <w:r w:rsidRPr="001C2EA0">
        <w:rPr>
          <w:rFonts w:ascii="Arial" w:hAnsi="Arial"/>
          <w:i/>
          <w:sz w:val="20"/>
        </w:rPr>
        <w:t>Guidelines</w:t>
      </w:r>
      <w:r w:rsidRPr="001C2EA0">
        <w:rPr>
          <w:rFonts w:ascii="Arial" w:hAnsi="Arial" w:cs="Arial"/>
          <w:i/>
          <w:sz w:val="20"/>
        </w:rPr>
        <w:t xml:space="preserve"> 2005 </w:t>
      </w:r>
      <w:r w:rsidRPr="001C2EA0">
        <w:rPr>
          <w:rFonts w:ascii="Arial" w:hAnsi="Arial" w:cs="Arial"/>
          <w:sz w:val="20"/>
        </w:rPr>
        <w:t xml:space="preserve">(the 2005 </w:t>
      </w:r>
      <w:r w:rsidR="00673AF5" w:rsidRPr="001C2EA0">
        <w:rPr>
          <w:rFonts w:ascii="Arial" w:hAnsi="Arial" w:cs="Arial"/>
          <w:sz w:val="20"/>
        </w:rPr>
        <w:t>Guidelines</w:t>
      </w:r>
      <w:r w:rsidRPr="001C2EA0">
        <w:rPr>
          <w:rFonts w:ascii="Arial" w:hAnsi="Arial" w:cs="Arial"/>
          <w:sz w:val="20"/>
        </w:rPr>
        <w:t xml:space="preserve">), which </w:t>
      </w:r>
      <w:r w:rsidR="00FF76AB" w:rsidRPr="001C2EA0">
        <w:rPr>
          <w:rFonts w:ascii="Arial" w:hAnsi="Arial" w:cs="Arial"/>
          <w:sz w:val="20"/>
        </w:rPr>
        <w:t>were</w:t>
      </w:r>
      <w:r w:rsidRPr="001C2EA0">
        <w:rPr>
          <w:rFonts w:ascii="Arial" w:hAnsi="Arial" w:cs="Arial"/>
          <w:sz w:val="20"/>
        </w:rPr>
        <w:t xml:space="preserve"> due to ‘sunset’ on 1 April 2016. Under Part 4 of </w:t>
      </w:r>
      <w:r w:rsidR="00755934" w:rsidRPr="001C2EA0">
        <w:rPr>
          <w:rFonts w:ascii="Arial" w:hAnsi="Arial" w:cs="Arial"/>
          <w:sz w:val="20"/>
        </w:rPr>
        <w:t xml:space="preserve">Chapter 3 of </w:t>
      </w:r>
      <w:r w:rsidRPr="001C2EA0">
        <w:rPr>
          <w:rFonts w:ascii="Arial" w:hAnsi="Arial" w:cs="Arial"/>
          <w:sz w:val="20"/>
        </w:rPr>
        <w:t xml:space="preserve">the </w:t>
      </w:r>
      <w:r w:rsidRPr="001C2EA0">
        <w:rPr>
          <w:rFonts w:ascii="Arial" w:hAnsi="Arial" w:cs="Arial"/>
          <w:i/>
          <w:sz w:val="20"/>
        </w:rPr>
        <w:t>Legislation Act 2003</w:t>
      </w:r>
      <w:r w:rsidRPr="001C2EA0">
        <w:rPr>
          <w:rFonts w:ascii="Arial" w:hAnsi="Arial" w:cs="Arial"/>
          <w:sz w:val="20"/>
        </w:rPr>
        <w:t xml:space="preserve">, most legislative instruments ‘sunset’ (that is, they are automatically repealed) on the 1 April or 1 October that </w:t>
      </w:r>
      <w:r w:rsidR="00755934" w:rsidRPr="001C2EA0">
        <w:rPr>
          <w:rFonts w:ascii="Arial" w:hAnsi="Arial" w:cs="Arial"/>
          <w:sz w:val="20"/>
        </w:rPr>
        <w:t xml:space="preserve">first </w:t>
      </w:r>
      <w:r w:rsidRPr="001C2EA0">
        <w:rPr>
          <w:rFonts w:ascii="Arial" w:hAnsi="Arial" w:cs="Arial"/>
          <w:sz w:val="20"/>
        </w:rPr>
        <w:t>occurs 10 years after they are registered.</w:t>
      </w:r>
    </w:p>
    <w:p w14:paraId="0CD24593" w14:textId="0F8C5F18" w:rsidR="001160D3" w:rsidRPr="001C2EA0" w:rsidRDefault="00601889" w:rsidP="001C2EA0">
      <w:pPr>
        <w:spacing w:after="120"/>
        <w:rPr>
          <w:rFonts w:ascii="Arial" w:hAnsi="Arial" w:cs="Arial"/>
          <w:bCs/>
          <w:sz w:val="20"/>
        </w:rPr>
      </w:pPr>
      <w:r w:rsidRPr="001C2EA0">
        <w:rPr>
          <w:rFonts w:ascii="Arial" w:hAnsi="Arial" w:cs="Arial"/>
          <w:bCs/>
          <w:sz w:val="20"/>
        </w:rPr>
        <w:t xml:space="preserve">The new </w:t>
      </w:r>
      <w:r w:rsidR="00FF76AB" w:rsidRPr="001C2EA0">
        <w:rPr>
          <w:rFonts w:ascii="Arial" w:hAnsi="Arial" w:cs="Arial"/>
          <w:bCs/>
          <w:sz w:val="20"/>
        </w:rPr>
        <w:t xml:space="preserve">Guidelines are </w:t>
      </w:r>
      <w:r w:rsidR="006E6DB8" w:rsidRPr="001C2EA0">
        <w:rPr>
          <w:rFonts w:ascii="Arial" w:hAnsi="Arial" w:cs="Arial"/>
          <w:bCs/>
          <w:sz w:val="20"/>
        </w:rPr>
        <w:t xml:space="preserve">substantially </w:t>
      </w:r>
      <w:r w:rsidRPr="001C2EA0">
        <w:rPr>
          <w:rFonts w:ascii="Arial" w:hAnsi="Arial" w:cs="Arial"/>
          <w:bCs/>
          <w:sz w:val="20"/>
        </w:rPr>
        <w:t xml:space="preserve">the same as the 2005 </w:t>
      </w:r>
      <w:r w:rsidR="00FF76AB" w:rsidRPr="001C2EA0">
        <w:rPr>
          <w:rFonts w:ascii="Arial" w:hAnsi="Arial" w:cs="Arial"/>
          <w:bCs/>
          <w:sz w:val="20"/>
        </w:rPr>
        <w:t>Guidelines</w:t>
      </w:r>
      <w:r w:rsidR="006E6DB8" w:rsidRPr="001C2EA0">
        <w:rPr>
          <w:rFonts w:ascii="Arial" w:hAnsi="Arial" w:cs="Arial"/>
          <w:bCs/>
          <w:sz w:val="20"/>
        </w:rPr>
        <w:t xml:space="preserve">, with the only </w:t>
      </w:r>
      <w:r w:rsidR="0036459E" w:rsidRPr="001C2EA0">
        <w:rPr>
          <w:rFonts w:ascii="Arial" w:hAnsi="Arial" w:cs="Arial"/>
          <w:bCs/>
          <w:sz w:val="20"/>
        </w:rPr>
        <w:t xml:space="preserve">substantive </w:t>
      </w:r>
      <w:r w:rsidR="006E6DB8" w:rsidRPr="001C2EA0">
        <w:rPr>
          <w:rFonts w:ascii="Arial" w:hAnsi="Arial" w:cs="Arial"/>
          <w:bCs/>
          <w:sz w:val="20"/>
        </w:rPr>
        <w:t xml:space="preserve">amendments being </w:t>
      </w:r>
      <w:r w:rsidR="00755934" w:rsidRPr="001C2EA0">
        <w:rPr>
          <w:rFonts w:ascii="Arial" w:hAnsi="Arial" w:cs="Arial"/>
          <w:bCs/>
          <w:sz w:val="20"/>
        </w:rPr>
        <w:t xml:space="preserve">the removal of </w:t>
      </w:r>
      <w:r w:rsidR="0036459E" w:rsidRPr="001C2EA0">
        <w:rPr>
          <w:rFonts w:ascii="Arial" w:hAnsi="Arial" w:cs="Arial"/>
          <w:bCs/>
          <w:sz w:val="20"/>
        </w:rPr>
        <w:t>a redundant provision (which dealt with revocation of the version of the guidelines in existence before the</w:t>
      </w:r>
      <w:r w:rsidR="00A20848" w:rsidRPr="001C2EA0">
        <w:rPr>
          <w:rFonts w:ascii="Arial" w:hAnsi="Arial" w:cs="Arial"/>
          <w:bCs/>
          <w:sz w:val="20"/>
        </w:rPr>
        <w:t xml:space="preserve"> 2005 Guidelines) </w:t>
      </w:r>
      <w:r w:rsidR="00755934" w:rsidRPr="001C2EA0">
        <w:rPr>
          <w:rFonts w:ascii="Arial" w:hAnsi="Arial" w:cs="Arial"/>
          <w:bCs/>
          <w:sz w:val="20"/>
        </w:rPr>
        <w:t>and the insertion of</w:t>
      </w:r>
      <w:r w:rsidR="0036459E" w:rsidRPr="001C2EA0">
        <w:rPr>
          <w:rFonts w:ascii="Arial" w:hAnsi="Arial" w:cs="Arial"/>
          <w:bCs/>
          <w:sz w:val="20"/>
        </w:rPr>
        <w:t xml:space="preserve"> a new provision to revoke the 2005 Guidelines.</w:t>
      </w:r>
      <w:r w:rsidR="00A20848" w:rsidRPr="001C2EA0">
        <w:rPr>
          <w:rFonts w:ascii="Arial" w:hAnsi="Arial" w:cs="Arial"/>
          <w:bCs/>
          <w:sz w:val="20"/>
        </w:rPr>
        <w:t xml:space="preserve"> Some minor drafting and formatting changes have also been made in order to be consistent with modern legislative drafting practice.</w:t>
      </w:r>
    </w:p>
    <w:p w14:paraId="6AEF4030" w14:textId="46674057" w:rsidR="001160D3" w:rsidRPr="001C2EA0" w:rsidRDefault="001160D3" w:rsidP="00EB4EAC">
      <w:pPr>
        <w:spacing w:after="120"/>
        <w:rPr>
          <w:rFonts w:ascii="Arial" w:hAnsi="Arial" w:cs="Arial"/>
          <w:bCs/>
          <w:sz w:val="20"/>
        </w:rPr>
      </w:pPr>
      <w:r w:rsidRPr="001C2EA0">
        <w:rPr>
          <w:rFonts w:ascii="Arial" w:hAnsi="Arial" w:cs="Arial"/>
          <w:bCs/>
          <w:sz w:val="20"/>
        </w:rPr>
        <w:t xml:space="preserve">Under s 33(3) of the </w:t>
      </w:r>
      <w:r w:rsidRPr="001C2EA0">
        <w:rPr>
          <w:rFonts w:ascii="Arial" w:hAnsi="Arial" w:cs="Arial"/>
          <w:bCs/>
          <w:i/>
          <w:sz w:val="20"/>
        </w:rPr>
        <w:t>Acts Interpretation Act 1901</w:t>
      </w:r>
      <w:r w:rsidRPr="001C2EA0">
        <w:rPr>
          <w:rFonts w:ascii="Arial" w:hAnsi="Arial" w:cs="Arial"/>
          <w:bCs/>
          <w:sz w:val="20"/>
        </w:rPr>
        <w:t>, where an Act confers a power to make, grant or issue any instrument of a legislative character, the power shall be construed as including a power exercisable in the like manner and subject to the like conditions (if any) to repeal, rescind, revoke, amend, or vary any such instrument, unless a contrary intention appears. The ACMA has relied on the inclusion of that power in revoking the 2005 Guidelines and making the Guidelines under s 121FP of the BSA.</w:t>
      </w:r>
    </w:p>
    <w:p w14:paraId="0F5911D0" w14:textId="77777777" w:rsidR="00601889" w:rsidRPr="00BD7DB5" w:rsidRDefault="00601889" w:rsidP="00BD7DB5">
      <w:pPr>
        <w:pStyle w:val="ABAHeading3"/>
        <w:spacing w:before="0" w:after="120"/>
        <w:rPr>
          <w:rFonts w:cs="Arial"/>
          <w:sz w:val="20"/>
        </w:rPr>
      </w:pPr>
      <w:r w:rsidRPr="001C2EA0">
        <w:rPr>
          <w:rFonts w:cs="Arial"/>
          <w:sz w:val="20"/>
        </w:rPr>
        <w:t>Operation</w:t>
      </w:r>
    </w:p>
    <w:p w14:paraId="670D0DD6" w14:textId="77777777" w:rsidR="00FF76AB" w:rsidRPr="001C2EA0" w:rsidRDefault="00A20848" w:rsidP="00EB4EAC">
      <w:pPr>
        <w:pStyle w:val="ABABodyText"/>
        <w:spacing w:before="0" w:line="240" w:lineRule="auto"/>
        <w:rPr>
          <w:rFonts w:ascii="Arial" w:hAnsi="Arial" w:cs="Arial"/>
          <w:sz w:val="20"/>
        </w:rPr>
      </w:pPr>
      <w:r w:rsidRPr="001C2EA0">
        <w:rPr>
          <w:rFonts w:ascii="Arial" w:hAnsi="Arial" w:cs="Arial"/>
          <w:sz w:val="20"/>
        </w:rPr>
        <w:t>An i</w:t>
      </w:r>
      <w:r w:rsidR="00FF76AB" w:rsidRPr="001C2EA0">
        <w:rPr>
          <w:rFonts w:ascii="Arial" w:hAnsi="Arial" w:cs="Arial"/>
          <w:sz w:val="20"/>
        </w:rPr>
        <w:t>nt</w:t>
      </w:r>
      <w:r w:rsidRPr="001C2EA0">
        <w:rPr>
          <w:rFonts w:ascii="Arial" w:hAnsi="Arial" w:cs="Arial"/>
          <w:sz w:val="20"/>
        </w:rPr>
        <w:t>ernational broadcasting service</w:t>
      </w:r>
      <w:r w:rsidR="00FF76AB" w:rsidRPr="001C2EA0">
        <w:rPr>
          <w:rFonts w:ascii="Arial" w:hAnsi="Arial" w:cs="Arial"/>
          <w:sz w:val="20"/>
        </w:rPr>
        <w:t xml:space="preserve"> </w:t>
      </w:r>
      <w:r w:rsidRPr="001C2EA0">
        <w:rPr>
          <w:rFonts w:ascii="Arial" w:hAnsi="Arial" w:cs="Arial"/>
          <w:sz w:val="20"/>
        </w:rPr>
        <w:t xml:space="preserve">is </w:t>
      </w:r>
      <w:r w:rsidR="00FF76AB" w:rsidRPr="001C2EA0">
        <w:rPr>
          <w:rFonts w:ascii="Arial" w:hAnsi="Arial" w:cs="Arial"/>
          <w:sz w:val="20"/>
        </w:rPr>
        <w:t xml:space="preserve">a category of service defined at s 18A of the BSA. In summary, it is any service targeted, to a significant extent, to audiences outside Australia, where the means of delivery involves use of a </w:t>
      </w:r>
      <w:proofErr w:type="spellStart"/>
      <w:r w:rsidR="00FF76AB" w:rsidRPr="001C2EA0">
        <w:rPr>
          <w:rFonts w:ascii="Arial" w:hAnsi="Arial" w:cs="Arial"/>
          <w:sz w:val="20"/>
        </w:rPr>
        <w:t>radiocommunications</w:t>
      </w:r>
      <w:proofErr w:type="spellEnd"/>
      <w:r w:rsidR="00FF76AB" w:rsidRPr="001C2EA0">
        <w:rPr>
          <w:rFonts w:ascii="Arial" w:hAnsi="Arial" w:cs="Arial"/>
          <w:sz w:val="20"/>
        </w:rPr>
        <w:t xml:space="preserve"> transmitter inside Australia. </w:t>
      </w:r>
    </w:p>
    <w:p w14:paraId="7AD8AA33" w14:textId="77777777" w:rsidR="00601889" w:rsidRPr="001C2EA0" w:rsidRDefault="00601889" w:rsidP="00EB4EAC">
      <w:pPr>
        <w:pStyle w:val="ABABodyText"/>
        <w:spacing w:before="0" w:line="240" w:lineRule="auto"/>
        <w:rPr>
          <w:rFonts w:ascii="Arial" w:hAnsi="Arial" w:cs="Arial"/>
          <w:sz w:val="20"/>
        </w:rPr>
      </w:pPr>
      <w:r w:rsidRPr="001C2EA0">
        <w:rPr>
          <w:rFonts w:ascii="Arial" w:hAnsi="Arial" w:cs="Arial"/>
          <w:sz w:val="20"/>
        </w:rPr>
        <w:t xml:space="preserve">The Guidelines are based on the </w:t>
      </w:r>
      <w:proofErr w:type="spellStart"/>
      <w:r w:rsidRPr="001C2EA0">
        <w:rPr>
          <w:rFonts w:ascii="Arial" w:hAnsi="Arial" w:cs="Arial"/>
          <w:sz w:val="20"/>
        </w:rPr>
        <w:t>transborder</w:t>
      </w:r>
      <w:proofErr w:type="spellEnd"/>
      <w:r w:rsidRPr="001C2EA0">
        <w:rPr>
          <w:rFonts w:ascii="Arial" w:hAnsi="Arial" w:cs="Arial"/>
          <w:sz w:val="20"/>
        </w:rPr>
        <w:t xml:space="preserve"> satellite television broadcasting principles developed by the Asia-Pacific Regulatory Roundtable in 1998, of which Australia was a member. The principles require that material broadcast should meet the minimum standards of the country from which the broadcast has been made.  </w:t>
      </w:r>
    </w:p>
    <w:p w14:paraId="526AB2B3" w14:textId="77777777" w:rsidR="00EB4EAC" w:rsidRPr="001C2EA0" w:rsidRDefault="00601889" w:rsidP="00EB4EAC">
      <w:pPr>
        <w:pStyle w:val="ABABodyText"/>
        <w:spacing w:before="0" w:line="240" w:lineRule="auto"/>
        <w:rPr>
          <w:rFonts w:ascii="Arial" w:hAnsi="Arial" w:cs="Arial"/>
          <w:sz w:val="20"/>
        </w:rPr>
      </w:pPr>
      <w:r w:rsidRPr="001C2EA0">
        <w:rPr>
          <w:rFonts w:ascii="Arial" w:hAnsi="Arial" w:cs="Arial"/>
          <w:sz w:val="20"/>
        </w:rPr>
        <w:t>The Guidelines regulate the content of international broadcasting services to ensure that they comply with Australian community standards and demonstrate sensitivity in relation to communities to which th</w:t>
      </w:r>
      <w:r w:rsidR="00A20848" w:rsidRPr="001C2EA0">
        <w:rPr>
          <w:rFonts w:ascii="Arial" w:hAnsi="Arial" w:cs="Arial"/>
          <w:sz w:val="20"/>
        </w:rPr>
        <w:t>ose broadcasting services</w:t>
      </w:r>
      <w:r w:rsidRPr="001C2EA0">
        <w:rPr>
          <w:rFonts w:ascii="Arial" w:hAnsi="Arial" w:cs="Arial"/>
          <w:sz w:val="20"/>
        </w:rPr>
        <w:t xml:space="preserve"> are directed.</w:t>
      </w:r>
    </w:p>
    <w:p w14:paraId="3E3BCCBD" w14:textId="62565691" w:rsidR="00D000A8" w:rsidRPr="001C2EA0" w:rsidRDefault="00601889" w:rsidP="00EB4EAC">
      <w:pPr>
        <w:pStyle w:val="ABABodyText"/>
        <w:spacing w:before="0" w:after="0" w:line="240" w:lineRule="auto"/>
        <w:rPr>
          <w:rFonts w:ascii="Arial" w:hAnsi="Arial" w:cs="Arial"/>
          <w:sz w:val="20"/>
        </w:rPr>
      </w:pPr>
      <w:r w:rsidRPr="001C2EA0">
        <w:rPr>
          <w:rFonts w:ascii="Arial" w:hAnsi="Arial" w:cs="Arial"/>
          <w:sz w:val="20"/>
        </w:rPr>
        <w:t xml:space="preserve">The Guidelines contain safeguards relating to: </w:t>
      </w:r>
    </w:p>
    <w:p w14:paraId="172A3997" w14:textId="77777777" w:rsidR="00D000A8" w:rsidRPr="001C2EA0" w:rsidRDefault="00601889" w:rsidP="00EB4EAC">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t xml:space="preserve">privacy; </w:t>
      </w:r>
    </w:p>
    <w:p w14:paraId="49F021E8" w14:textId="77777777" w:rsidR="00D000A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matters causing offence or hatred; </w:t>
      </w:r>
    </w:p>
    <w:p w14:paraId="1C51A922" w14:textId="77777777" w:rsidR="00D000A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alarming/misleading audiences; </w:t>
      </w:r>
    </w:p>
    <w:p w14:paraId="03D24DC1" w14:textId="77777777" w:rsidR="00D000A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broadcasting to children; </w:t>
      </w:r>
    </w:p>
    <w:p w14:paraId="35FD94C5" w14:textId="77777777" w:rsidR="00D000A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news and current affairs (including impartiality, balance, and presentation of death, injury and suicide); </w:t>
      </w:r>
    </w:p>
    <w:p w14:paraId="5C41111F" w14:textId="77777777" w:rsidR="00D000A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lastRenderedPageBreak/>
        <w:t xml:space="preserve">advertising (including tobacco advertising); </w:t>
      </w:r>
    </w:p>
    <w:p w14:paraId="473ABE02" w14:textId="77777777" w:rsidR="00A2084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hypnosis/subliminal perception; and </w:t>
      </w:r>
    </w:p>
    <w:p w14:paraId="33983436" w14:textId="77777777" w:rsidR="00D000A8" w:rsidRPr="001C2EA0" w:rsidRDefault="00601889" w:rsidP="00D000A8">
      <w:pPr>
        <w:pStyle w:val="ABABodyText"/>
        <w:numPr>
          <w:ilvl w:val="0"/>
          <w:numId w:val="36"/>
        </w:numPr>
        <w:spacing w:before="100" w:beforeAutospacing="1" w:after="100" w:afterAutospacing="1" w:line="240" w:lineRule="auto"/>
        <w:rPr>
          <w:rFonts w:ascii="Arial" w:hAnsi="Arial" w:cs="Arial"/>
          <w:sz w:val="20"/>
        </w:rPr>
      </w:pPr>
      <w:proofErr w:type="gramStart"/>
      <w:r w:rsidRPr="001C2EA0">
        <w:rPr>
          <w:rFonts w:ascii="Arial" w:hAnsi="Arial" w:cs="Arial"/>
          <w:sz w:val="20"/>
        </w:rPr>
        <w:t>classification</w:t>
      </w:r>
      <w:proofErr w:type="gramEnd"/>
      <w:r w:rsidRPr="001C2EA0">
        <w:rPr>
          <w:rFonts w:ascii="Arial" w:hAnsi="Arial" w:cs="Arial"/>
          <w:sz w:val="20"/>
        </w:rPr>
        <w:t xml:space="preserve"> and scheduling. </w:t>
      </w:r>
    </w:p>
    <w:p w14:paraId="7117BB27" w14:textId="77777777" w:rsidR="00601889" w:rsidRPr="001C2EA0" w:rsidRDefault="00601889" w:rsidP="00EB4EAC">
      <w:pPr>
        <w:pStyle w:val="ABABodyText"/>
        <w:spacing w:before="0" w:line="240" w:lineRule="auto"/>
        <w:rPr>
          <w:rFonts w:ascii="Arial" w:hAnsi="Arial" w:cs="Arial"/>
          <w:sz w:val="20"/>
        </w:rPr>
      </w:pPr>
      <w:r w:rsidRPr="001C2EA0">
        <w:rPr>
          <w:rFonts w:ascii="Arial" w:hAnsi="Arial" w:cs="Arial"/>
          <w:sz w:val="20"/>
        </w:rPr>
        <w:t>The Guidelines also require licensees to have in place a complaints procedure and to respect intellectual property rights.</w:t>
      </w:r>
    </w:p>
    <w:p w14:paraId="3673C892" w14:textId="77777777" w:rsidR="00854BE3" w:rsidRPr="001C2EA0" w:rsidRDefault="0036459E" w:rsidP="00EB4EAC">
      <w:pPr>
        <w:pStyle w:val="ABABodyText"/>
        <w:spacing w:before="0" w:line="240" w:lineRule="auto"/>
        <w:rPr>
          <w:rFonts w:ascii="Arial" w:hAnsi="Arial" w:cs="Arial"/>
          <w:sz w:val="20"/>
          <w:lang w:bidi="he-IL"/>
        </w:rPr>
      </w:pPr>
      <w:r w:rsidRPr="001C2EA0">
        <w:rPr>
          <w:rFonts w:ascii="Arial" w:hAnsi="Arial" w:cs="Arial"/>
          <w:sz w:val="20"/>
        </w:rPr>
        <w:t xml:space="preserve">The ACMA does not monitor or investigate complaints regarding international broadcasting services (BSA, s </w:t>
      </w:r>
      <w:proofErr w:type="gramStart"/>
      <w:r w:rsidRPr="001C2EA0">
        <w:rPr>
          <w:rFonts w:ascii="Arial" w:hAnsi="Arial" w:cs="Arial"/>
          <w:sz w:val="20"/>
        </w:rPr>
        <w:t>121FR(</w:t>
      </w:r>
      <w:proofErr w:type="gramEnd"/>
      <w:r w:rsidRPr="001C2EA0">
        <w:rPr>
          <w:rFonts w:ascii="Arial" w:hAnsi="Arial" w:cs="Arial"/>
          <w:sz w:val="20"/>
        </w:rPr>
        <w:t xml:space="preserve">1)). Rather, compliance with the Guidelines is </w:t>
      </w:r>
      <w:r w:rsidR="003B7DFA" w:rsidRPr="001C2EA0">
        <w:rPr>
          <w:rFonts w:ascii="Arial" w:hAnsi="Arial" w:cs="Arial"/>
          <w:sz w:val="20"/>
        </w:rPr>
        <w:t xml:space="preserve">a </w:t>
      </w:r>
      <w:r w:rsidRPr="001C2EA0">
        <w:rPr>
          <w:rFonts w:ascii="Arial" w:hAnsi="Arial" w:cs="Arial"/>
          <w:sz w:val="20"/>
          <w:lang w:bidi="he-IL"/>
        </w:rPr>
        <w:t>factor in a decision on whether a person should hold an international broadcasting licence</w:t>
      </w:r>
      <w:r w:rsidR="003B7DFA" w:rsidRPr="001C2EA0">
        <w:rPr>
          <w:rFonts w:ascii="Arial" w:hAnsi="Arial" w:cs="Arial"/>
          <w:sz w:val="20"/>
          <w:lang w:bidi="he-IL"/>
        </w:rPr>
        <w:t>, in the following way</w:t>
      </w:r>
      <w:r w:rsidRPr="001C2EA0">
        <w:rPr>
          <w:rFonts w:ascii="Arial" w:hAnsi="Arial" w:cs="Arial"/>
          <w:sz w:val="20"/>
          <w:lang w:bidi="he-IL"/>
        </w:rPr>
        <w:t xml:space="preserve">. </w:t>
      </w:r>
    </w:p>
    <w:p w14:paraId="12E25731" w14:textId="59D14458" w:rsidR="003B7DFA" w:rsidRPr="001C2EA0" w:rsidRDefault="003B7DFA" w:rsidP="00EB4EAC">
      <w:pPr>
        <w:pStyle w:val="ABABodyText"/>
        <w:spacing w:before="0" w:line="240" w:lineRule="auto"/>
        <w:rPr>
          <w:rFonts w:ascii="Arial" w:hAnsi="Arial" w:cs="Arial"/>
          <w:sz w:val="20"/>
          <w:lang w:bidi="he-IL"/>
        </w:rPr>
      </w:pPr>
      <w:r w:rsidRPr="001C2EA0">
        <w:rPr>
          <w:rFonts w:ascii="Arial" w:hAnsi="Arial" w:cs="Arial"/>
          <w:sz w:val="20"/>
          <w:lang w:bidi="he-IL"/>
        </w:rPr>
        <w:t>A person may apply to the ACMA for a licence to provide an int</w:t>
      </w:r>
      <w:r w:rsidR="00A20848" w:rsidRPr="001C2EA0">
        <w:rPr>
          <w:rFonts w:ascii="Arial" w:hAnsi="Arial" w:cs="Arial"/>
          <w:sz w:val="20"/>
          <w:lang w:bidi="he-IL"/>
        </w:rPr>
        <w:t>ernational broadcasting service</w:t>
      </w:r>
      <w:r w:rsidRPr="001C2EA0">
        <w:rPr>
          <w:rFonts w:ascii="Arial" w:hAnsi="Arial" w:cs="Arial"/>
          <w:sz w:val="20"/>
          <w:lang w:bidi="he-IL"/>
        </w:rPr>
        <w:t xml:space="preserve"> (see s 121FA). If the ACMA is satisfied that an applicant for an international broadcasting licence is </w:t>
      </w:r>
      <w:r w:rsidR="00755934" w:rsidRPr="001C2EA0">
        <w:rPr>
          <w:rFonts w:ascii="Arial" w:hAnsi="Arial" w:cs="Arial"/>
          <w:sz w:val="20"/>
          <w:lang w:bidi="he-IL"/>
        </w:rPr>
        <w:t xml:space="preserve">an Australian company </w:t>
      </w:r>
      <w:r w:rsidRPr="001C2EA0">
        <w:rPr>
          <w:rFonts w:ascii="Arial" w:hAnsi="Arial" w:cs="Arial"/>
          <w:sz w:val="20"/>
          <w:lang w:bidi="he-IL"/>
        </w:rPr>
        <w:t>and is not unsuitable, the ACMA must refer the application to the Minister for Foreign Affairs (the Minister), and include a report about whether the proposed service complies with the Guidelines (s 121FB(1)(d)). The Minister can direct the ACMA not to allocate an international broadcasting licence to</w:t>
      </w:r>
      <w:r w:rsidR="00A20848" w:rsidRPr="001C2EA0">
        <w:rPr>
          <w:rFonts w:ascii="Arial" w:hAnsi="Arial" w:cs="Arial"/>
          <w:sz w:val="20"/>
          <w:lang w:bidi="he-IL"/>
        </w:rPr>
        <w:t xml:space="preserve"> the</w:t>
      </w:r>
      <w:r w:rsidRPr="001C2EA0">
        <w:rPr>
          <w:rFonts w:ascii="Arial" w:hAnsi="Arial" w:cs="Arial"/>
          <w:sz w:val="20"/>
          <w:lang w:bidi="he-IL"/>
        </w:rPr>
        <w:t xml:space="preserve"> applicant, if the Minister is of the opinion that the proposed international broadcasting service concerned is likely to be contrary to Australia’s national interest. Further, the Minister for Foreign Affairs may direct the ACMA to prepare a written report about an international broadcasting licensee's compliance with the Guidelines (s 121FM). </w:t>
      </w:r>
    </w:p>
    <w:p w14:paraId="3A01A097" w14:textId="63D81DA6" w:rsidR="001160D3" w:rsidRPr="001C2EA0" w:rsidRDefault="001160D3" w:rsidP="00EB4EAC">
      <w:pPr>
        <w:pStyle w:val="ABAHeading3"/>
        <w:spacing w:before="0" w:after="120"/>
        <w:rPr>
          <w:rFonts w:cs="Arial"/>
          <w:sz w:val="20"/>
        </w:rPr>
      </w:pPr>
      <w:r w:rsidRPr="001C2EA0">
        <w:rPr>
          <w:rFonts w:cs="Arial"/>
          <w:sz w:val="20"/>
        </w:rPr>
        <w:t>Documents incorporated in the Guidelines by reference</w:t>
      </w:r>
    </w:p>
    <w:p w14:paraId="40E669C7" w14:textId="1895A48A" w:rsidR="00F578E4" w:rsidRPr="001C2EA0" w:rsidRDefault="001160D3" w:rsidP="00EB4EAC">
      <w:pPr>
        <w:pStyle w:val="ABAHeading3"/>
        <w:spacing w:before="0" w:after="120"/>
        <w:rPr>
          <w:rFonts w:cs="Arial"/>
          <w:b w:val="0"/>
          <w:sz w:val="20"/>
        </w:rPr>
      </w:pPr>
      <w:r w:rsidRPr="001C2EA0">
        <w:rPr>
          <w:rFonts w:cs="Arial"/>
          <w:b w:val="0"/>
          <w:sz w:val="20"/>
        </w:rPr>
        <w:t xml:space="preserve">The Guidelines </w:t>
      </w:r>
      <w:r w:rsidR="00974866" w:rsidRPr="001C2EA0">
        <w:rPr>
          <w:rFonts w:cs="Arial"/>
          <w:b w:val="0"/>
          <w:sz w:val="20"/>
        </w:rPr>
        <w:t xml:space="preserve">incorporate </w:t>
      </w:r>
      <w:r w:rsidRPr="001C2EA0">
        <w:rPr>
          <w:rFonts w:cs="Arial"/>
          <w:b w:val="0"/>
          <w:sz w:val="20"/>
        </w:rPr>
        <w:t xml:space="preserve">definitions used in the </w:t>
      </w:r>
      <w:r w:rsidRPr="001C2EA0">
        <w:rPr>
          <w:rFonts w:cs="Arial"/>
          <w:b w:val="0"/>
          <w:i/>
          <w:sz w:val="20"/>
        </w:rPr>
        <w:t>Classification (Publications, Films and Computer Games) Act 199</w:t>
      </w:r>
      <w:r w:rsidR="00EB4EAC" w:rsidRPr="001C2EA0">
        <w:rPr>
          <w:rFonts w:cs="Arial"/>
          <w:b w:val="0"/>
          <w:i/>
          <w:sz w:val="20"/>
        </w:rPr>
        <w:t>5</w:t>
      </w:r>
      <w:r w:rsidR="00EB4EAC" w:rsidRPr="001C2EA0">
        <w:rPr>
          <w:rFonts w:cs="Arial"/>
          <w:b w:val="0"/>
          <w:sz w:val="20"/>
        </w:rPr>
        <w:t xml:space="preserve">, </w:t>
      </w:r>
      <w:r w:rsidR="00EB4EAC" w:rsidRPr="001C2EA0">
        <w:rPr>
          <w:rFonts w:cs="Arial"/>
          <w:b w:val="0"/>
          <w:i/>
          <w:sz w:val="20"/>
        </w:rPr>
        <w:t xml:space="preserve">Therapeutic Goods Act 1989, </w:t>
      </w:r>
      <w:r w:rsidR="00EB4EAC" w:rsidRPr="001C2EA0">
        <w:rPr>
          <w:rFonts w:cs="Arial"/>
          <w:b w:val="0"/>
          <w:sz w:val="20"/>
        </w:rPr>
        <w:t xml:space="preserve">and </w:t>
      </w:r>
      <w:r w:rsidR="00EB4EAC" w:rsidRPr="001C2EA0">
        <w:rPr>
          <w:rFonts w:cs="Arial"/>
          <w:b w:val="0"/>
          <w:i/>
          <w:sz w:val="20"/>
        </w:rPr>
        <w:t>Customs Act 1901</w:t>
      </w:r>
      <w:r w:rsidRPr="001C2EA0">
        <w:rPr>
          <w:rFonts w:cs="Arial"/>
          <w:b w:val="0"/>
          <w:sz w:val="20"/>
        </w:rPr>
        <w:t xml:space="preserve">. </w:t>
      </w:r>
      <w:r w:rsidR="00EB4EAC" w:rsidRPr="001C2EA0">
        <w:rPr>
          <w:rFonts w:cs="Arial"/>
          <w:b w:val="0"/>
          <w:sz w:val="20"/>
        </w:rPr>
        <w:t xml:space="preserve">These </w:t>
      </w:r>
      <w:r w:rsidR="0067572F" w:rsidRPr="001C2EA0">
        <w:rPr>
          <w:rFonts w:cs="Arial"/>
          <w:b w:val="0"/>
          <w:sz w:val="20"/>
        </w:rPr>
        <w:t>A</w:t>
      </w:r>
      <w:r w:rsidR="00EB4EAC" w:rsidRPr="001C2EA0">
        <w:rPr>
          <w:rFonts w:cs="Arial"/>
          <w:b w:val="0"/>
          <w:sz w:val="20"/>
        </w:rPr>
        <w:t xml:space="preserve">cts </w:t>
      </w:r>
      <w:r w:rsidRPr="001C2EA0">
        <w:rPr>
          <w:rFonts w:cs="Arial"/>
          <w:b w:val="0"/>
          <w:sz w:val="20"/>
        </w:rPr>
        <w:t xml:space="preserve">are available from </w:t>
      </w:r>
      <w:hyperlink r:id="rId9" w:history="1">
        <w:r w:rsidRPr="001C2EA0">
          <w:rPr>
            <w:rStyle w:val="Hyperlink"/>
            <w:rFonts w:cs="Arial"/>
            <w:b w:val="0"/>
            <w:sz w:val="20"/>
          </w:rPr>
          <w:t>https://www.legislation.gov.au</w:t>
        </w:r>
      </w:hyperlink>
      <w:r w:rsidRPr="001C2EA0">
        <w:rPr>
          <w:rFonts w:cs="Arial"/>
          <w:b w:val="0"/>
          <w:sz w:val="20"/>
        </w:rPr>
        <w:t>.</w:t>
      </w:r>
    </w:p>
    <w:p w14:paraId="587C5C9F" w14:textId="72E5C114" w:rsidR="001160D3" w:rsidRPr="001C2EA0" w:rsidRDefault="00F578E4" w:rsidP="00EB4EAC">
      <w:pPr>
        <w:pStyle w:val="ABAHeading3"/>
        <w:spacing w:before="0" w:after="120"/>
        <w:rPr>
          <w:rFonts w:cs="Arial"/>
          <w:bCs/>
          <w:sz w:val="20"/>
        </w:rPr>
      </w:pPr>
      <w:r w:rsidRPr="001C2EA0">
        <w:rPr>
          <w:rFonts w:cs="Arial"/>
          <w:b w:val="0"/>
          <w:sz w:val="20"/>
        </w:rPr>
        <w:t>The Guidelines also refer to Article 2 of the Convention Establishing the World Intellectual Property Organisation</w:t>
      </w:r>
      <w:r w:rsidR="0067572F" w:rsidRPr="001C2EA0">
        <w:rPr>
          <w:rFonts w:cs="Arial"/>
          <w:b w:val="0"/>
          <w:sz w:val="20"/>
        </w:rPr>
        <w:t xml:space="preserve"> [WIPO] [19</w:t>
      </w:r>
      <w:r w:rsidR="001C2EA0">
        <w:rPr>
          <w:rFonts w:cs="Arial"/>
          <w:b w:val="0"/>
          <w:sz w:val="20"/>
        </w:rPr>
        <w:t>7</w:t>
      </w:r>
      <w:r w:rsidR="0067572F" w:rsidRPr="001C2EA0">
        <w:rPr>
          <w:rFonts w:cs="Arial"/>
          <w:b w:val="0"/>
          <w:sz w:val="20"/>
        </w:rPr>
        <w:t>2] ATS 1</w:t>
      </w:r>
      <w:r w:rsidR="001C2EA0">
        <w:rPr>
          <w:rFonts w:cs="Arial"/>
          <w:b w:val="0"/>
          <w:sz w:val="20"/>
        </w:rPr>
        <w:t>5</w:t>
      </w:r>
      <w:r w:rsidR="0067572F" w:rsidRPr="001C2EA0">
        <w:rPr>
          <w:rFonts w:cs="Arial"/>
          <w:b w:val="0"/>
          <w:sz w:val="20"/>
        </w:rPr>
        <w:t xml:space="preserve"> (the Convention)</w:t>
      </w:r>
      <w:r w:rsidRPr="001C2EA0">
        <w:rPr>
          <w:rFonts w:cs="Arial"/>
          <w:b w:val="0"/>
          <w:sz w:val="20"/>
        </w:rPr>
        <w:t xml:space="preserve">. The </w:t>
      </w:r>
      <w:r w:rsidR="0067572F" w:rsidRPr="001C2EA0">
        <w:rPr>
          <w:rFonts w:cs="Arial"/>
          <w:b w:val="0"/>
          <w:sz w:val="20"/>
        </w:rPr>
        <w:t xml:space="preserve">Convention can be found in the </w:t>
      </w:r>
      <w:r w:rsidRPr="001C2EA0">
        <w:rPr>
          <w:rFonts w:cs="Arial"/>
          <w:b w:val="0"/>
          <w:i/>
          <w:sz w:val="20"/>
        </w:rPr>
        <w:t>Australian Treat</w:t>
      </w:r>
      <w:r w:rsidR="0067572F" w:rsidRPr="001C2EA0">
        <w:rPr>
          <w:rFonts w:cs="Arial"/>
          <w:b w:val="0"/>
          <w:i/>
          <w:sz w:val="20"/>
        </w:rPr>
        <w:t>ies</w:t>
      </w:r>
      <w:r w:rsidRPr="001C2EA0">
        <w:rPr>
          <w:rFonts w:cs="Arial"/>
          <w:b w:val="0"/>
          <w:i/>
          <w:sz w:val="20"/>
        </w:rPr>
        <w:t xml:space="preserve"> </w:t>
      </w:r>
      <w:r w:rsidR="0067572F" w:rsidRPr="001C2EA0">
        <w:rPr>
          <w:rFonts w:cs="Arial"/>
          <w:b w:val="0"/>
          <w:i/>
          <w:sz w:val="20"/>
        </w:rPr>
        <w:t xml:space="preserve">Library </w:t>
      </w:r>
      <w:r w:rsidR="0067572F" w:rsidRPr="001C2EA0">
        <w:rPr>
          <w:rFonts w:cs="Arial"/>
          <w:b w:val="0"/>
          <w:sz w:val="20"/>
        </w:rPr>
        <w:t>collection</w:t>
      </w:r>
      <w:r w:rsidR="0067572F" w:rsidRPr="001C2EA0">
        <w:rPr>
          <w:rFonts w:cs="Arial"/>
          <w:b w:val="0"/>
          <w:i/>
          <w:sz w:val="20"/>
        </w:rPr>
        <w:t xml:space="preserve"> </w:t>
      </w:r>
      <w:r w:rsidR="0067572F" w:rsidRPr="001C2EA0">
        <w:rPr>
          <w:rFonts w:cs="Arial"/>
          <w:b w:val="0"/>
          <w:sz w:val="20"/>
        </w:rPr>
        <w:t>at</w:t>
      </w:r>
      <w:r w:rsidR="0067572F" w:rsidRPr="001C2EA0">
        <w:rPr>
          <w:rFonts w:cs="Arial"/>
          <w:b w:val="0"/>
          <w:i/>
          <w:sz w:val="20"/>
        </w:rPr>
        <w:t xml:space="preserve"> </w:t>
      </w:r>
      <w:hyperlink r:id="rId10" w:history="1">
        <w:r w:rsidR="0067572F" w:rsidRPr="001C2EA0">
          <w:rPr>
            <w:rStyle w:val="Hyperlink"/>
            <w:rFonts w:cs="Arial"/>
            <w:b w:val="0"/>
            <w:sz w:val="20"/>
          </w:rPr>
          <w:t>http://www.austlii.edu.au</w:t>
        </w:r>
      </w:hyperlink>
      <w:r w:rsidRPr="001C2EA0">
        <w:rPr>
          <w:rFonts w:cs="Arial"/>
          <w:b w:val="0"/>
          <w:sz w:val="20"/>
        </w:rPr>
        <w:t xml:space="preserve">.   </w:t>
      </w:r>
      <w:r w:rsidR="001160D3" w:rsidRPr="001C2EA0">
        <w:rPr>
          <w:rFonts w:cs="Arial"/>
          <w:b w:val="0"/>
          <w:sz w:val="20"/>
        </w:rPr>
        <w:t xml:space="preserve"> </w:t>
      </w:r>
    </w:p>
    <w:p w14:paraId="1037B797" w14:textId="77777777" w:rsidR="00E6530A" w:rsidRPr="00BD7DB5" w:rsidRDefault="00E6530A" w:rsidP="00BD7DB5">
      <w:pPr>
        <w:pStyle w:val="ABAHeading3"/>
        <w:spacing w:before="0" w:after="120"/>
        <w:rPr>
          <w:rFonts w:cs="Arial"/>
          <w:sz w:val="20"/>
        </w:rPr>
      </w:pPr>
      <w:r w:rsidRPr="00BD7DB5">
        <w:rPr>
          <w:rFonts w:cs="Arial"/>
          <w:sz w:val="20"/>
        </w:rPr>
        <w:t>Consultation</w:t>
      </w:r>
    </w:p>
    <w:p w14:paraId="448AC597" w14:textId="09C75D5F" w:rsidR="004E425A" w:rsidRPr="001C2EA0" w:rsidRDefault="00FD125F" w:rsidP="001C2EA0">
      <w:pPr>
        <w:spacing w:after="120"/>
        <w:rPr>
          <w:rFonts w:ascii="Arial" w:hAnsi="Arial" w:cs="Arial"/>
          <w:sz w:val="20"/>
        </w:rPr>
      </w:pPr>
      <w:r w:rsidRPr="001C2EA0">
        <w:rPr>
          <w:rFonts w:ascii="Arial" w:hAnsi="Arial" w:cs="Arial"/>
          <w:sz w:val="20"/>
        </w:rPr>
        <w:t>Before determin</w:t>
      </w:r>
      <w:r w:rsidR="00255B81" w:rsidRPr="001C2EA0">
        <w:rPr>
          <w:rFonts w:ascii="Arial" w:hAnsi="Arial" w:cs="Arial"/>
          <w:sz w:val="20"/>
        </w:rPr>
        <w:t>ing</w:t>
      </w:r>
      <w:r w:rsidRPr="001C2EA0">
        <w:rPr>
          <w:rFonts w:ascii="Arial" w:hAnsi="Arial" w:cs="Arial"/>
          <w:sz w:val="20"/>
        </w:rPr>
        <w:t xml:space="preserve"> the </w:t>
      </w:r>
      <w:r w:rsidR="001E464A" w:rsidRPr="001C2EA0">
        <w:rPr>
          <w:rFonts w:ascii="Arial" w:hAnsi="Arial" w:cs="Arial"/>
          <w:sz w:val="20"/>
        </w:rPr>
        <w:t>Guidelines</w:t>
      </w:r>
      <w:r w:rsidRPr="001C2EA0">
        <w:rPr>
          <w:rFonts w:ascii="Arial" w:hAnsi="Arial" w:cs="Arial"/>
          <w:sz w:val="20"/>
        </w:rPr>
        <w:t xml:space="preserve">, </w:t>
      </w:r>
      <w:r w:rsidR="004E425A" w:rsidRPr="001C2EA0">
        <w:rPr>
          <w:rFonts w:ascii="Arial" w:hAnsi="Arial" w:cs="Arial"/>
          <w:sz w:val="20"/>
        </w:rPr>
        <w:t xml:space="preserve">the ACMA </w:t>
      </w:r>
      <w:r w:rsidR="00255B81" w:rsidRPr="001C2EA0">
        <w:rPr>
          <w:rFonts w:ascii="Arial" w:hAnsi="Arial" w:cs="Arial"/>
          <w:sz w:val="20"/>
        </w:rPr>
        <w:t>published</w:t>
      </w:r>
      <w:r w:rsidR="004E425A" w:rsidRPr="001C2EA0">
        <w:rPr>
          <w:rFonts w:ascii="Arial" w:hAnsi="Arial" w:cs="Arial"/>
          <w:sz w:val="20"/>
        </w:rPr>
        <w:t xml:space="preserve"> </w:t>
      </w:r>
      <w:r w:rsidR="00255B81" w:rsidRPr="001C2EA0">
        <w:rPr>
          <w:rFonts w:ascii="Arial" w:hAnsi="Arial" w:cs="Arial"/>
          <w:sz w:val="20"/>
        </w:rPr>
        <w:t xml:space="preserve">a </w:t>
      </w:r>
      <w:r w:rsidR="004E425A" w:rsidRPr="001C2EA0">
        <w:rPr>
          <w:rFonts w:ascii="Arial" w:hAnsi="Arial" w:cs="Arial"/>
          <w:sz w:val="20"/>
        </w:rPr>
        <w:t xml:space="preserve">consultation paper </w:t>
      </w:r>
      <w:r w:rsidR="00255B81" w:rsidRPr="001C2EA0">
        <w:rPr>
          <w:rFonts w:ascii="Arial" w:hAnsi="Arial" w:cs="Arial"/>
          <w:sz w:val="20"/>
        </w:rPr>
        <w:t xml:space="preserve">and the draft </w:t>
      </w:r>
      <w:r w:rsidR="001E464A" w:rsidRPr="001C2EA0">
        <w:rPr>
          <w:rFonts w:ascii="Arial" w:hAnsi="Arial" w:cs="Arial"/>
          <w:sz w:val="20"/>
        </w:rPr>
        <w:t>Guidelines</w:t>
      </w:r>
      <w:r w:rsidR="00255B81" w:rsidRPr="001C2EA0">
        <w:rPr>
          <w:rFonts w:ascii="Arial" w:hAnsi="Arial" w:cs="Arial"/>
          <w:sz w:val="20"/>
        </w:rPr>
        <w:t xml:space="preserve"> </w:t>
      </w:r>
      <w:r w:rsidR="004E425A" w:rsidRPr="001C2EA0">
        <w:rPr>
          <w:rFonts w:ascii="Arial" w:hAnsi="Arial" w:cs="Arial"/>
          <w:sz w:val="20"/>
        </w:rPr>
        <w:t>on 23 December 2015</w:t>
      </w:r>
      <w:r w:rsidR="00652448" w:rsidRPr="001C2EA0">
        <w:rPr>
          <w:rFonts w:ascii="Arial" w:hAnsi="Arial" w:cs="Arial"/>
          <w:sz w:val="20"/>
        </w:rPr>
        <w:t xml:space="preserve"> for public comment</w:t>
      </w:r>
      <w:r w:rsidR="00255B81" w:rsidRPr="001C2EA0">
        <w:rPr>
          <w:rFonts w:ascii="Arial" w:hAnsi="Arial" w:cs="Arial"/>
          <w:sz w:val="20"/>
        </w:rPr>
        <w:t xml:space="preserve">. The ACMA also </w:t>
      </w:r>
      <w:r w:rsidR="001E464A" w:rsidRPr="001C2EA0">
        <w:rPr>
          <w:rFonts w:ascii="Arial" w:hAnsi="Arial" w:cs="Arial"/>
          <w:sz w:val="20"/>
        </w:rPr>
        <w:t xml:space="preserve">wrote to all relevant licensees about the proposals. </w:t>
      </w:r>
      <w:r w:rsidR="002D0AE0" w:rsidRPr="001C2EA0">
        <w:rPr>
          <w:rFonts w:ascii="Arial" w:hAnsi="Arial" w:cs="Arial"/>
          <w:sz w:val="20"/>
        </w:rPr>
        <w:t xml:space="preserve">Two submissions were received, from </w:t>
      </w:r>
      <w:r w:rsidR="001E464A" w:rsidRPr="001C2EA0">
        <w:rPr>
          <w:rFonts w:ascii="Arial" w:hAnsi="Arial" w:cs="Arial"/>
          <w:sz w:val="20"/>
        </w:rPr>
        <w:t xml:space="preserve">CV Global and Reach </w:t>
      </w:r>
      <w:proofErr w:type="gramStart"/>
      <w:r w:rsidR="001E464A" w:rsidRPr="001C2EA0">
        <w:rPr>
          <w:rFonts w:ascii="Arial" w:hAnsi="Arial" w:cs="Arial"/>
          <w:sz w:val="20"/>
        </w:rPr>
        <w:t>Beyond</w:t>
      </w:r>
      <w:proofErr w:type="gramEnd"/>
      <w:r w:rsidR="001E464A" w:rsidRPr="001C2EA0">
        <w:rPr>
          <w:rFonts w:ascii="Arial" w:hAnsi="Arial" w:cs="Arial"/>
          <w:sz w:val="20"/>
        </w:rPr>
        <w:t xml:space="preserve"> Australia</w:t>
      </w:r>
      <w:r w:rsidR="00FF76AB" w:rsidRPr="001C2EA0">
        <w:rPr>
          <w:rFonts w:ascii="Arial" w:hAnsi="Arial" w:cs="Arial"/>
          <w:sz w:val="20"/>
        </w:rPr>
        <w:t xml:space="preserve"> (both international broadcasting licensees)</w:t>
      </w:r>
      <w:r w:rsidR="002D0AE0" w:rsidRPr="001C2EA0">
        <w:rPr>
          <w:rFonts w:ascii="Arial" w:hAnsi="Arial" w:cs="Arial"/>
          <w:sz w:val="20"/>
        </w:rPr>
        <w:t>,</w:t>
      </w:r>
      <w:r w:rsidR="004E425A" w:rsidRPr="001C2EA0">
        <w:rPr>
          <w:rFonts w:ascii="Arial" w:hAnsi="Arial" w:cs="Arial"/>
          <w:sz w:val="20"/>
        </w:rPr>
        <w:t xml:space="preserve"> by </w:t>
      </w:r>
      <w:r w:rsidR="002D0AE0" w:rsidRPr="001C2EA0">
        <w:rPr>
          <w:rFonts w:ascii="Arial" w:hAnsi="Arial" w:cs="Arial"/>
          <w:sz w:val="20"/>
        </w:rPr>
        <w:t xml:space="preserve">the closing date of </w:t>
      </w:r>
      <w:r w:rsidR="004E425A" w:rsidRPr="001C2EA0">
        <w:rPr>
          <w:rFonts w:ascii="Arial" w:hAnsi="Arial" w:cs="Arial"/>
          <w:sz w:val="20"/>
        </w:rPr>
        <w:t>15 February 2016.</w:t>
      </w:r>
      <w:r w:rsidR="00755934" w:rsidRPr="001C2EA0">
        <w:rPr>
          <w:rFonts w:ascii="Arial" w:hAnsi="Arial" w:cs="Arial"/>
          <w:sz w:val="20"/>
        </w:rPr>
        <w:t xml:space="preserve"> Both submissions were supportive of the proposal to make the Guidelines.</w:t>
      </w:r>
    </w:p>
    <w:p w14:paraId="31C2840A" w14:textId="0E4A92B3" w:rsidR="00EB4EAC" w:rsidRPr="001C2EA0" w:rsidRDefault="00EB4EAC" w:rsidP="00EB4EAC">
      <w:pPr>
        <w:pStyle w:val="ABAHeading3"/>
        <w:spacing w:before="0" w:after="120"/>
        <w:rPr>
          <w:rFonts w:cs="Arial"/>
          <w:sz w:val="20"/>
        </w:rPr>
      </w:pPr>
      <w:r w:rsidRPr="001C2EA0">
        <w:rPr>
          <w:rFonts w:cs="Arial"/>
          <w:sz w:val="20"/>
        </w:rPr>
        <w:t>Regulat</w:t>
      </w:r>
      <w:r w:rsidR="00974866" w:rsidRPr="001C2EA0">
        <w:rPr>
          <w:rFonts w:cs="Arial"/>
          <w:sz w:val="20"/>
        </w:rPr>
        <w:t>ory</w:t>
      </w:r>
      <w:r w:rsidRPr="001C2EA0">
        <w:rPr>
          <w:rFonts w:cs="Arial"/>
          <w:sz w:val="20"/>
        </w:rPr>
        <w:t xml:space="preserve"> </w:t>
      </w:r>
      <w:r w:rsidR="00974866" w:rsidRPr="001C2EA0">
        <w:rPr>
          <w:rFonts w:cs="Arial"/>
          <w:sz w:val="20"/>
        </w:rPr>
        <w:t>i</w:t>
      </w:r>
      <w:r w:rsidRPr="001C2EA0">
        <w:rPr>
          <w:rFonts w:cs="Arial"/>
          <w:sz w:val="20"/>
        </w:rPr>
        <w:t xml:space="preserve">mpact </w:t>
      </w:r>
    </w:p>
    <w:p w14:paraId="0E5033C6" w14:textId="699FB6CB" w:rsidR="00EB4EAC" w:rsidRPr="001C2EA0" w:rsidRDefault="00EB4EAC" w:rsidP="00EB4EAC">
      <w:pPr>
        <w:spacing w:after="120"/>
        <w:rPr>
          <w:rFonts w:ascii="Arial" w:hAnsi="Arial" w:cs="Arial"/>
          <w:sz w:val="20"/>
        </w:rPr>
      </w:pPr>
      <w:r w:rsidRPr="001C2EA0">
        <w:rPr>
          <w:rFonts w:ascii="Arial" w:hAnsi="Arial" w:cs="Arial"/>
          <w:sz w:val="20"/>
        </w:rPr>
        <w:t>On 18 November 2015, the Office of Best Practice Regulation determined that the proposed regulatory change in making the Standard is minor or machinery in nature and that no further regulatory impact analysis is required – OBPR reference number 20040.</w:t>
      </w:r>
    </w:p>
    <w:p w14:paraId="4602D561" w14:textId="77777777" w:rsidR="00EB4EAC" w:rsidRPr="001C2EA0" w:rsidRDefault="00EB4EAC" w:rsidP="001C2EA0">
      <w:pPr>
        <w:spacing w:after="120"/>
        <w:rPr>
          <w:rFonts w:ascii="Arial" w:hAnsi="Arial" w:cs="Arial"/>
          <w:sz w:val="20"/>
        </w:rPr>
      </w:pPr>
      <w:r w:rsidRPr="001C2EA0">
        <w:rPr>
          <w:rFonts w:ascii="Arial" w:hAnsi="Arial" w:cs="Arial"/>
          <w:sz w:val="20"/>
        </w:rPr>
        <w:t xml:space="preserve">As required under the </w:t>
      </w:r>
      <w:r w:rsidRPr="001C2EA0">
        <w:rPr>
          <w:rFonts w:ascii="Arial" w:hAnsi="Arial" w:cs="Arial"/>
          <w:i/>
          <w:sz w:val="20"/>
        </w:rPr>
        <w:t>Human Rights (Parliamentary Scrutiny) Act 2011,</w:t>
      </w:r>
      <w:r w:rsidRPr="001C2EA0">
        <w:rPr>
          <w:rFonts w:ascii="Arial" w:hAnsi="Arial" w:cs="Arial"/>
          <w:sz w:val="20"/>
        </w:rPr>
        <w:t xml:space="preserve"> a human rights compatibility statement has been prepared by the ACMA and is attached. </w:t>
      </w:r>
    </w:p>
    <w:p w14:paraId="7B8C51D3" w14:textId="5DEAA1CF" w:rsidR="00FD125F" w:rsidRPr="001C2EA0" w:rsidRDefault="00FD125F" w:rsidP="00300D95">
      <w:pPr>
        <w:spacing w:before="240" w:after="240"/>
        <w:rPr>
          <w:rFonts w:ascii="Arial" w:hAnsi="Arial"/>
          <w:b/>
          <w:sz w:val="20"/>
        </w:rPr>
      </w:pPr>
      <w:r w:rsidRPr="001C2EA0">
        <w:rPr>
          <w:rFonts w:ascii="Arial" w:hAnsi="Arial"/>
          <w:b/>
          <w:sz w:val="20"/>
        </w:rPr>
        <w:t xml:space="preserve">Description of the provisions </w:t>
      </w:r>
      <w:r w:rsidR="00AF3997" w:rsidRPr="001C2EA0">
        <w:rPr>
          <w:rFonts w:ascii="Arial" w:hAnsi="Arial"/>
          <w:b/>
          <w:sz w:val="20"/>
        </w:rPr>
        <w:t>in</w:t>
      </w:r>
      <w:r w:rsidRPr="001C2EA0">
        <w:rPr>
          <w:rFonts w:ascii="Arial" w:hAnsi="Arial"/>
          <w:b/>
          <w:sz w:val="20"/>
        </w:rPr>
        <w:t xml:space="preserve"> the </w:t>
      </w:r>
      <w:r w:rsidR="00755934" w:rsidRPr="001C2EA0">
        <w:rPr>
          <w:rFonts w:ascii="Arial" w:hAnsi="Arial"/>
          <w:b/>
          <w:sz w:val="20"/>
        </w:rPr>
        <w:t>Guidelines</w:t>
      </w:r>
    </w:p>
    <w:p w14:paraId="512BF5E6" w14:textId="77777777" w:rsidR="001E464A" w:rsidRPr="001C2EA0" w:rsidRDefault="001E464A" w:rsidP="00300D95">
      <w:pPr>
        <w:spacing w:before="240" w:after="120"/>
        <w:rPr>
          <w:rFonts w:ascii="Arial" w:hAnsi="Arial"/>
          <w:b/>
          <w:sz w:val="20"/>
        </w:rPr>
      </w:pPr>
      <w:r w:rsidRPr="001C2EA0">
        <w:rPr>
          <w:rFonts w:ascii="Arial" w:hAnsi="Arial"/>
          <w:b/>
          <w:sz w:val="20"/>
        </w:rPr>
        <w:t xml:space="preserve">Part 1 – Preliminary </w:t>
      </w:r>
    </w:p>
    <w:p w14:paraId="5AA51A92" w14:textId="165BFAEE" w:rsidR="00300D95" w:rsidRPr="001C2EA0" w:rsidRDefault="001E464A" w:rsidP="00F578E4">
      <w:pPr>
        <w:spacing w:after="120"/>
        <w:rPr>
          <w:rFonts w:ascii="Arial" w:hAnsi="Arial" w:cs="Arial"/>
          <w:b/>
          <w:sz w:val="20"/>
        </w:rPr>
      </w:pPr>
      <w:r w:rsidRPr="001C2EA0">
        <w:rPr>
          <w:rFonts w:ascii="Arial" w:hAnsi="Arial" w:cs="Arial"/>
          <w:sz w:val="20"/>
        </w:rPr>
        <w:t>This Part covers the name, commencement date and object of the instrument and contains definitions of terms used in the instrument.</w:t>
      </w:r>
    </w:p>
    <w:p w14:paraId="7EFE1899" w14:textId="4EA42A56"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2 – </w:t>
      </w:r>
      <w:r w:rsidR="00A20848" w:rsidRPr="001C2EA0">
        <w:rPr>
          <w:rFonts w:ascii="Arial" w:hAnsi="Arial" w:cs="Arial"/>
          <w:b/>
          <w:sz w:val="20"/>
        </w:rPr>
        <w:t>Guidelines on privacy, causing offence, and vilification</w:t>
      </w:r>
    </w:p>
    <w:p w14:paraId="7502973F" w14:textId="7FF7B846" w:rsidR="001E464A" w:rsidRPr="001C2EA0" w:rsidRDefault="001E464A" w:rsidP="00300D95">
      <w:pPr>
        <w:spacing w:after="120"/>
        <w:rPr>
          <w:rFonts w:ascii="Arial" w:hAnsi="Arial" w:cs="Arial"/>
          <w:sz w:val="20"/>
        </w:rPr>
      </w:pPr>
      <w:r w:rsidRPr="001C2EA0">
        <w:rPr>
          <w:rFonts w:ascii="Arial" w:hAnsi="Arial" w:cs="Arial"/>
          <w:sz w:val="20"/>
        </w:rPr>
        <w:t>This Part provides guidelines for the conte</w:t>
      </w:r>
      <w:r w:rsidR="00A20848" w:rsidRPr="001C2EA0">
        <w:rPr>
          <w:rFonts w:ascii="Arial" w:hAnsi="Arial" w:cs="Arial"/>
          <w:sz w:val="20"/>
        </w:rPr>
        <w:t>n</w:t>
      </w:r>
      <w:r w:rsidRPr="001C2EA0">
        <w:rPr>
          <w:rFonts w:ascii="Arial" w:hAnsi="Arial" w:cs="Arial"/>
          <w:sz w:val="20"/>
        </w:rPr>
        <w:t xml:space="preserve">t of programs in relation to privacy of persons and material that is likely to cause offence or </w:t>
      </w:r>
      <w:r w:rsidR="00A20848" w:rsidRPr="001C2EA0">
        <w:rPr>
          <w:rFonts w:ascii="Arial" w:hAnsi="Arial" w:cs="Arial"/>
          <w:sz w:val="20"/>
        </w:rPr>
        <w:t>incite</w:t>
      </w:r>
      <w:r w:rsidRPr="001C2EA0">
        <w:rPr>
          <w:rFonts w:ascii="Arial" w:hAnsi="Arial" w:cs="Arial"/>
          <w:sz w:val="20"/>
        </w:rPr>
        <w:t xml:space="preserve"> hatred.  </w:t>
      </w:r>
    </w:p>
    <w:p w14:paraId="029356A6" w14:textId="77777777" w:rsidR="00BD7DB5" w:rsidRDefault="00BD7DB5">
      <w:pPr>
        <w:rPr>
          <w:rFonts w:ascii="Arial" w:hAnsi="Arial" w:cs="Arial"/>
          <w:b/>
          <w:sz w:val="20"/>
        </w:rPr>
      </w:pPr>
      <w:r>
        <w:rPr>
          <w:rFonts w:ascii="Arial" w:hAnsi="Arial" w:cs="Arial"/>
          <w:b/>
          <w:sz w:val="20"/>
        </w:rPr>
        <w:br w:type="page"/>
      </w:r>
    </w:p>
    <w:p w14:paraId="7F713ADA" w14:textId="580CEAAA" w:rsidR="001E464A" w:rsidRPr="001C2EA0" w:rsidRDefault="001E464A" w:rsidP="00300D95">
      <w:pPr>
        <w:spacing w:before="240" w:after="120"/>
        <w:rPr>
          <w:rFonts w:ascii="Arial" w:hAnsi="Arial" w:cs="Arial"/>
          <w:b/>
          <w:sz w:val="20"/>
        </w:rPr>
      </w:pPr>
      <w:bookmarkStart w:id="0" w:name="_GoBack"/>
      <w:bookmarkEnd w:id="0"/>
      <w:r w:rsidRPr="001C2EA0">
        <w:rPr>
          <w:rFonts w:ascii="Arial" w:hAnsi="Arial" w:cs="Arial"/>
          <w:b/>
          <w:sz w:val="20"/>
        </w:rPr>
        <w:lastRenderedPageBreak/>
        <w:t xml:space="preserve">Part 3 – Simulation of </w:t>
      </w:r>
      <w:r w:rsidR="00755934" w:rsidRPr="001C2EA0">
        <w:rPr>
          <w:rFonts w:ascii="Arial" w:hAnsi="Arial" w:cs="Arial"/>
          <w:b/>
          <w:sz w:val="20"/>
        </w:rPr>
        <w:t>e</w:t>
      </w:r>
      <w:r w:rsidRPr="001C2EA0">
        <w:rPr>
          <w:rFonts w:ascii="Arial" w:hAnsi="Arial" w:cs="Arial"/>
          <w:b/>
          <w:sz w:val="20"/>
        </w:rPr>
        <w:t>vents</w:t>
      </w:r>
    </w:p>
    <w:p w14:paraId="27C0B5FE" w14:textId="77777777" w:rsidR="00EB4EAC" w:rsidRPr="001C2EA0" w:rsidRDefault="001E464A" w:rsidP="00300D95">
      <w:pPr>
        <w:spacing w:after="120"/>
        <w:rPr>
          <w:rFonts w:ascii="Arial" w:hAnsi="Arial" w:cs="Arial"/>
          <w:sz w:val="20"/>
        </w:rPr>
      </w:pPr>
      <w:r w:rsidRPr="001C2EA0">
        <w:rPr>
          <w:rFonts w:ascii="Arial" w:hAnsi="Arial" w:cs="Arial"/>
          <w:sz w:val="20"/>
        </w:rPr>
        <w:t>This Part provides that material that simulates an event in a manner likely to alarm or mislead the audience should not be broadcast unless it is material of a specified type and is presented reasonably and in good faith.</w:t>
      </w:r>
    </w:p>
    <w:p w14:paraId="2FDF0307" w14:textId="1677CBE8"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4 – Broadcasting to </w:t>
      </w:r>
      <w:r w:rsidR="00755934" w:rsidRPr="001C2EA0">
        <w:rPr>
          <w:rFonts w:ascii="Arial" w:hAnsi="Arial" w:cs="Arial"/>
          <w:b/>
          <w:sz w:val="20"/>
        </w:rPr>
        <w:t>c</w:t>
      </w:r>
      <w:r w:rsidRPr="001C2EA0">
        <w:rPr>
          <w:rFonts w:ascii="Arial" w:hAnsi="Arial" w:cs="Arial"/>
          <w:b/>
          <w:sz w:val="20"/>
        </w:rPr>
        <w:t>hildren</w:t>
      </w:r>
    </w:p>
    <w:p w14:paraId="1983EB2D" w14:textId="77777777" w:rsidR="001E464A" w:rsidRPr="001C2EA0" w:rsidRDefault="001E464A" w:rsidP="00300D95">
      <w:pPr>
        <w:spacing w:after="120"/>
        <w:rPr>
          <w:rFonts w:ascii="Arial" w:hAnsi="Arial" w:cs="Arial"/>
          <w:sz w:val="20"/>
        </w:rPr>
      </w:pPr>
      <w:r w:rsidRPr="001C2EA0">
        <w:rPr>
          <w:rFonts w:ascii="Arial" w:hAnsi="Arial" w:cs="Arial"/>
          <w:sz w:val="20"/>
        </w:rPr>
        <w:t>This Part requires matter in children’s programs to deal with topics in a manner that has sufficient regard to the healthy educational, emotional and physical development of children. It provides guidelines about the broadcast of advertisements produced for children, promotions broadcast in children’s programs and competitions in which children may participate.</w:t>
      </w:r>
    </w:p>
    <w:p w14:paraId="74E1E9B2" w14:textId="10BA8541"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5 – News and </w:t>
      </w:r>
      <w:r w:rsidR="00755934" w:rsidRPr="001C2EA0">
        <w:rPr>
          <w:rFonts w:ascii="Arial" w:hAnsi="Arial" w:cs="Arial"/>
          <w:b/>
          <w:sz w:val="20"/>
        </w:rPr>
        <w:t>c</w:t>
      </w:r>
      <w:r w:rsidRPr="001C2EA0">
        <w:rPr>
          <w:rFonts w:ascii="Arial" w:hAnsi="Arial" w:cs="Arial"/>
          <w:b/>
          <w:sz w:val="20"/>
        </w:rPr>
        <w:t xml:space="preserve">urrent </w:t>
      </w:r>
      <w:r w:rsidR="00755934" w:rsidRPr="001C2EA0">
        <w:rPr>
          <w:rFonts w:ascii="Arial" w:hAnsi="Arial" w:cs="Arial"/>
          <w:b/>
          <w:sz w:val="20"/>
        </w:rPr>
        <w:t>a</w:t>
      </w:r>
      <w:r w:rsidRPr="001C2EA0">
        <w:rPr>
          <w:rFonts w:ascii="Arial" w:hAnsi="Arial" w:cs="Arial"/>
          <w:b/>
          <w:sz w:val="20"/>
        </w:rPr>
        <w:t>ffairs</w:t>
      </w:r>
    </w:p>
    <w:p w14:paraId="19CF5564" w14:textId="39EAA5BF" w:rsidR="001E464A" w:rsidRPr="001C2EA0" w:rsidRDefault="001E464A" w:rsidP="00300D95">
      <w:pPr>
        <w:spacing w:after="120"/>
        <w:rPr>
          <w:rFonts w:ascii="Arial" w:hAnsi="Arial" w:cs="Arial"/>
          <w:sz w:val="20"/>
        </w:rPr>
      </w:pPr>
      <w:r w:rsidRPr="001C2EA0">
        <w:rPr>
          <w:rFonts w:ascii="Arial" w:hAnsi="Arial" w:cs="Arial"/>
          <w:sz w:val="20"/>
        </w:rPr>
        <w:t>This Part applies to all forms of news and to current affairs programs.  It provides guidelines covering accuracy in factual material, distinguishing between fact and commentary</w:t>
      </w:r>
      <w:r w:rsidR="00ED269B" w:rsidRPr="001C2EA0">
        <w:rPr>
          <w:rFonts w:ascii="Arial" w:hAnsi="Arial" w:cs="Arial"/>
          <w:sz w:val="20"/>
        </w:rPr>
        <w:t>,</w:t>
      </w:r>
      <w:r w:rsidRPr="001C2EA0">
        <w:rPr>
          <w:rFonts w:ascii="Arial" w:hAnsi="Arial" w:cs="Arial"/>
          <w:sz w:val="20"/>
        </w:rPr>
        <w:t xml:space="preserve"> and sensitivity when dealing with bereavement, survivors or witnesses of traumatic events.  It </w:t>
      </w:r>
      <w:r w:rsidR="003B7DFA" w:rsidRPr="001C2EA0">
        <w:rPr>
          <w:rFonts w:ascii="Arial" w:hAnsi="Arial" w:cs="Arial"/>
          <w:sz w:val="20"/>
        </w:rPr>
        <w:t>provides that</w:t>
      </w:r>
      <w:r w:rsidRPr="001C2EA0">
        <w:rPr>
          <w:rFonts w:ascii="Arial" w:hAnsi="Arial" w:cs="Arial"/>
          <w:sz w:val="20"/>
        </w:rPr>
        <w:t xml:space="preserve"> programs </w:t>
      </w:r>
      <w:r w:rsidR="003B7DFA" w:rsidRPr="001C2EA0">
        <w:rPr>
          <w:rFonts w:ascii="Arial" w:hAnsi="Arial" w:cs="Arial"/>
          <w:sz w:val="20"/>
        </w:rPr>
        <w:t xml:space="preserve">should </w:t>
      </w:r>
      <w:r w:rsidRPr="001C2EA0">
        <w:rPr>
          <w:rFonts w:ascii="Arial" w:hAnsi="Arial" w:cs="Arial"/>
          <w:sz w:val="20"/>
        </w:rPr>
        <w:t>be impartial and balanced</w:t>
      </w:r>
      <w:r w:rsidR="003B7DFA" w:rsidRPr="001C2EA0">
        <w:rPr>
          <w:rFonts w:ascii="Arial" w:hAnsi="Arial" w:cs="Arial"/>
          <w:sz w:val="20"/>
        </w:rPr>
        <w:t xml:space="preserve">, and that </w:t>
      </w:r>
      <w:r w:rsidRPr="001C2EA0">
        <w:rPr>
          <w:rFonts w:ascii="Arial" w:hAnsi="Arial" w:cs="Arial"/>
          <w:sz w:val="20"/>
        </w:rPr>
        <w:t xml:space="preserve">matter </w:t>
      </w:r>
      <w:r w:rsidR="003B7DFA" w:rsidRPr="001C2EA0">
        <w:rPr>
          <w:rFonts w:ascii="Arial" w:hAnsi="Arial" w:cs="Arial"/>
          <w:sz w:val="20"/>
        </w:rPr>
        <w:t xml:space="preserve">should not be presented </w:t>
      </w:r>
      <w:r w:rsidRPr="001C2EA0">
        <w:rPr>
          <w:rFonts w:ascii="Arial" w:hAnsi="Arial" w:cs="Arial"/>
          <w:sz w:val="20"/>
        </w:rPr>
        <w:t xml:space="preserve">in a manner that may cause panic, </w:t>
      </w:r>
      <w:r w:rsidR="00ED269B" w:rsidRPr="001C2EA0">
        <w:rPr>
          <w:rFonts w:ascii="Arial" w:hAnsi="Arial" w:cs="Arial"/>
          <w:sz w:val="20"/>
        </w:rPr>
        <w:t xml:space="preserve">or that </w:t>
      </w:r>
      <w:r w:rsidRPr="001C2EA0">
        <w:rPr>
          <w:rFonts w:ascii="Arial" w:hAnsi="Arial" w:cs="Arial"/>
          <w:sz w:val="20"/>
        </w:rPr>
        <w:t xml:space="preserve">identifies individual members of a group unfairly or depicts an individual or group in a negative way based on gratuitous emphasis on certain specified attributes. It also provides guidelines on presenting images of death or injury in a program </w:t>
      </w:r>
      <w:r w:rsidR="00ED269B" w:rsidRPr="001C2EA0">
        <w:rPr>
          <w:rFonts w:ascii="Arial" w:hAnsi="Arial" w:cs="Arial"/>
          <w:sz w:val="20"/>
        </w:rPr>
        <w:t>and on</w:t>
      </w:r>
      <w:r w:rsidRPr="001C2EA0">
        <w:rPr>
          <w:rFonts w:ascii="Arial" w:hAnsi="Arial" w:cs="Arial"/>
          <w:sz w:val="20"/>
        </w:rPr>
        <w:t xml:space="preserve"> references to suicide.  </w:t>
      </w:r>
    </w:p>
    <w:p w14:paraId="420B9D64" w14:textId="77777777" w:rsidR="001E464A" w:rsidRPr="001C2EA0" w:rsidRDefault="001E464A" w:rsidP="00300D95">
      <w:pPr>
        <w:spacing w:before="240" w:after="120"/>
        <w:rPr>
          <w:rFonts w:ascii="Arial" w:hAnsi="Arial" w:cs="Arial"/>
          <w:b/>
          <w:sz w:val="20"/>
        </w:rPr>
      </w:pPr>
      <w:r w:rsidRPr="001C2EA0">
        <w:rPr>
          <w:rFonts w:ascii="Arial" w:hAnsi="Arial" w:cs="Arial"/>
          <w:b/>
          <w:sz w:val="20"/>
        </w:rPr>
        <w:t>Part 6 – Advertising</w:t>
      </w:r>
    </w:p>
    <w:p w14:paraId="52A1EAC8" w14:textId="72E690B2" w:rsidR="001E464A" w:rsidRPr="001C2EA0" w:rsidRDefault="001E464A" w:rsidP="00300D95">
      <w:pPr>
        <w:spacing w:after="120"/>
        <w:rPr>
          <w:rFonts w:ascii="Arial" w:hAnsi="Arial" w:cs="Arial"/>
          <w:sz w:val="20"/>
        </w:rPr>
      </w:pPr>
      <w:r w:rsidRPr="001C2EA0">
        <w:rPr>
          <w:rFonts w:ascii="Arial" w:hAnsi="Arial" w:cs="Arial"/>
          <w:sz w:val="20"/>
        </w:rPr>
        <w:t>This Part requires advertisements to comply with Australian advertising codes of practice, to have appropriate regard to Australian community attitudes</w:t>
      </w:r>
      <w:r w:rsidR="003B7DFA" w:rsidRPr="001C2EA0">
        <w:rPr>
          <w:rFonts w:ascii="Arial" w:hAnsi="Arial" w:cs="Arial"/>
          <w:sz w:val="20"/>
        </w:rPr>
        <w:t>,</w:t>
      </w:r>
      <w:r w:rsidRPr="001C2EA0">
        <w:rPr>
          <w:rFonts w:ascii="Arial" w:hAnsi="Arial" w:cs="Arial"/>
          <w:sz w:val="20"/>
        </w:rPr>
        <w:t xml:space="preserve"> to limit children’s exposure to matter that is only appropriate for an adult audience</w:t>
      </w:r>
      <w:r w:rsidR="00ED269B" w:rsidRPr="001C2EA0">
        <w:rPr>
          <w:rFonts w:ascii="Arial" w:hAnsi="Arial" w:cs="Arial"/>
          <w:sz w:val="20"/>
        </w:rPr>
        <w:t>, and also prohibits the advertising of tobacco products.</w:t>
      </w:r>
    </w:p>
    <w:p w14:paraId="28B8D240" w14:textId="5E96D7D1"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7 – Persuasive </w:t>
      </w:r>
      <w:r w:rsidR="00755934" w:rsidRPr="001C2EA0">
        <w:rPr>
          <w:rFonts w:ascii="Arial" w:hAnsi="Arial" w:cs="Arial"/>
          <w:b/>
          <w:sz w:val="20"/>
        </w:rPr>
        <w:t>t</w:t>
      </w:r>
      <w:r w:rsidRPr="001C2EA0">
        <w:rPr>
          <w:rFonts w:ascii="Arial" w:hAnsi="Arial" w:cs="Arial"/>
          <w:b/>
          <w:sz w:val="20"/>
        </w:rPr>
        <w:t>echniques</w:t>
      </w:r>
    </w:p>
    <w:p w14:paraId="5566A1B0" w14:textId="1249E38B" w:rsidR="001E464A" w:rsidRPr="001C2EA0" w:rsidRDefault="001E464A" w:rsidP="00300D95">
      <w:pPr>
        <w:spacing w:after="120"/>
        <w:rPr>
          <w:rFonts w:ascii="Arial" w:hAnsi="Arial" w:cs="Arial"/>
          <w:sz w:val="20"/>
        </w:rPr>
      </w:pPr>
      <w:r w:rsidRPr="001C2EA0">
        <w:rPr>
          <w:rFonts w:ascii="Arial" w:hAnsi="Arial" w:cs="Arial"/>
          <w:sz w:val="20"/>
        </w:rPr>
        <w:t>This Part provides guidelines about program matter that describes or depicts techniques of hypnosis, induces a hypnotic state or depicts techniques designed to convey information at or near the threshold of normal awareness.</w:t>
      </w:r>
    </w:p>
    <w:p w14:paraId="5D55BEDE" w14:textId="7A13FD7B" w:rsidR="001E464A" w:rsidRPr="001C2EA0" w:rsidRDefault="001E464A" w:rsidP="00300D95">
      <w:pPr>
        <w:spacing w:before="240" w:after="120"/>
        <w:rPr>
          <w:rFonts w:ascii="Arial" w:hAnsi="Arial" w:cs="Arial"/>
          <w:sz w:val="20"/>
        </w:rPr>
      </w:pPr>
      <w:r w:rsidRPr="001C2EA0">
        <w:rPr>
          <w:rFonts w:ascii="Arial" w:hAnsi="Arial" w:cs="Arial"/>
          <w:b/>
          <w:sz w:val="20"/>
        </w:rPr>
        <w:t xml:space="preserve">Part 8 – Assessing and </w:t>
      </w:r>
      <w:r w:rsidR="00755934" w:rsidRPr="001C2EA0">
        <w:rPr>
          <w:rFonts w:ascii="Arial" w:hAnsi="Arial" w:cs="Arial"/>
          <w:b/>
          <w:sz w:val="20"/>
        </w:rPr>
        <w:t>s</w:t>
      </w:r>
      <w:r w:rsidRPr="001C2EA0">
        <w:rPr>
          <w:rFonts w:ascii="Arial" w:hAnsi="Arial" w:cs="Arial"/>
          <w:b/>
          <w:sz w:val="20"/>
        </w:rPr>
        <w:t xml:space="preserve">cheduling </w:t>
      </w:r>
      <w:r w:rsidR="00755934" w:rsidRPr="001C2EA0">
        <w:rPr>
          <w:rFonts w:ascii="Arial" w:hAnsi="Arial" w:cs="Arial"/>
          <w:b/>
          <w:sz w:val="20"/>
        </w:rPr>
        <w:t>m</w:t>
      </w:r>
      <w:r w:rsidRPr="001C2EA0">
        <w:rPr>
          <w:rFonts w:ascii="Arial" w:hAnsi="Arial" w:cs="Arial"/>
          <w:b/>
          <w:sz w:val="20"/>
        </w:rPr>
        <w:t xml:space="preserve">atter for </w:t>
      </w:r>
      <w:r w:rsidR="00755934" w:rsidRPr="001C2EA0">
        <w:rPr>
          <w:rFonts w:ascii="Arial" w:hAnsi="Arial" w:cs="Arial"/>
          <w:b/>
          <w:sz w:val="20"/>
        </w:rPr>
        <w:t>r</w:t>
      </w:r>
      <w:r w:rsidRPr="001C2EA0">
        <w:rPr>
          <w:rFonts w:ascii="Arial" w:hAnsi="Arial" w:cs="Arial"/>
          <w:b/>
          <w:sz w:val="20"/>
        </w:rPr>
        <w:t xml:space="preserve">adio and </w:t>
      </w:r>
      <w:r w:rsidR="00755934" w:rsidRPr="001C2EA0">
        <w:rPr>
          <w:rFonts w:ascii="Arial" w:hAnsi="Arial" w:cs="Arial"/>
          <w:b/>
          <w:sz w:val="20"/>
        </w:rPr>
        <w:t>t</w:t>
      </w:r>
      <w:r w:rsidRPr="001C2EA0">
        <w:rPr>
          <w:rFonts w:ascii="Arial" w:hAnsi="Arial" w:cs="Arial"/>
          <w:b/>
          <w:sz w:val="20"/>
        </w:rPr>
        <w:t>elevision</w:t>
      </w:r>
    </w:p>
    <w:p w14:paraId="3D883400" w14:textId="0D2F09D5" w:rsidR="001E464A" w:rsidRPr="001C2EA0" w:rsidRDefault="001E464A" w:rsidP="00300D95">
      <w:pPr>
        <w:spacing w:after="120"/>
        <w:rPr>
          <w:rFonts w:ascii="Arial" w:hAnsi="Arial" w:cs="Arial"/>
          <w:sz w:val="20"/>
        </w:rPr>
      </w:pPr>
      <w:r w:rsidRPr="001C2EA0">
        <w:rPr>
          <w:rFonts w:ascii="Arial" w:hAnsi="Arial" w:cs="Arial"/>
          <w:sz w:val="20"/>
        </w:rPr>
        <w:t>This Part provides guidelines for the scheduling of program material taking into account the welfare of children, the cultural sensitivities of the</w:t>
      </w:r>
      <w:r w:rsidR="009D0C13" w:rsidRPr="001C2EA0">
        <w:rPr>
          <w:rFonts w:ascii="Arial" w:hAnsi="Arial" w:cs="Arial"/>
          <w:sz w:val="20"/>
        </w:rPr>
        <w:t xml:space="preserve"> relevant</w:t>
      </w:r>
      <w:r w:rsidRPr="001C2EA0">
        <w:rPr>
          <w:rFonts w:ascii="Arial" w:hAnsi="Arial" w:cs="Arial"/>
          <w:sz w:val="20"/>
        </w:rPr>
        <w:t xml:space="preserve"> international audience and the composition of the audience in different time zones. </w:t>
      </w:r>
    </w:p>
    <w:p w14:paraId="2D3FA650" w14:textId="77777777" w:rsidR="001E464A" w:rsidRPr="001C2EA0" w:rsidRDefault="001E464A" w:rsidP="00300D95">
      <w:pPr>
        <w:spacing w:after="120"/>
        <w:rPr>
          <w:rFonts w:ascii="Arial" w:hAnsi="Arial" w:cs="Arial"/>
          <w:sz w:val="20"/>
        </w:rPr>
      </w:pPr>
      <w:r w:rsidRPr="001C2EA0">
        <w:rPr>
          <w:rFonts w:ascii="Arial" w:hAnsi="Arial" w:cs="Arial"/>
          <w:sz w:val="20"/>
        </w:rPr>
        <w:t xml:space="preserve">It includes specific guidelines for </w:t>
      </w:r>
    </w:p>
    <w:p w14:paraId="7DDC1B62" w14:textId="38490E01"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t>the classification of films and drama programs</w:t>
      </w:r>
      <w:r w:rsidR="009D0C13" w:rsidRPr="001C2EA0">
        <w:rPr>
          <w:rFonts w:ascii="Arial" w:hAnsi="Arial" w:cs="Arial"/>
          <w:sz w:val="20"/>
        </w:rPr>
        <w:t>;</w:t>
      </w:r>
      <w:r w:rsidRPr="001C2EA0">
        <w:rPr>
          <w:rFonts w:ascii="Arial" w:hAnsi="Arial" w:cs="Arial"/>
          <w:sz w:val="20"/>
        </w:rPr>
        <w:t xml:space="preserve"> </w:t>
      </w:r>
    </w:p>
    <w:p w14:paraId="00137405" w14:textId="65AB214A" w:rsidR="001E464A" w:rsidRPr="001C2EA0" w:rsidRDefault="001E464A" w:rsidP="00300D95">
      <w:pPr>
        <w:pStyle w:val="ABABodyText"/>
        <w:numPr>
          <w:ilvl w:val="0"/>
          <w:numId w:val="36"/>
        </w:numPr>
        <w:spacing w:before="60" w:after="100" w:afterAutospacing="1" w:line="240" w:lineRule="auto"/>
        <w:rPr>
          <w:rFonts w:ascii="Arial" w:hAnsi="Arial" w:cs="Arial"/>
          <w:sz w:val="20"/>
        </w:rPr>
      </w:pPr>
      <w:r w:rsidRPr="001C2EA0">
        <w:rPr>
          <w:rFonts w:ascii="Arial" w:hAnsi="Arial" w:cs="Arial"/>
          <w:sz w:val="20"/>
        </w:rPr>
        <w:t xml:space="preserve">advice, markings and warnings about the content of programs; and </w:t>
      </w:r>
    </w:p>
    <w:p w14:paraId="05568936" w14:textId="7129076B" w:rsidR="001E464A" w:rsidRPr="001C2EA0" w:rsidRDefault="001E464A" w:rsidP="00300D95">
      <w:pPr>
        <w:pStyle w:val="ABABodyText"/>
        <w:numPr>
          <w:ilvl w:val="0"/>
          <w:numId w:val="36"/>
        </w:numPr>
        <w:spacing w:before="60" w:after="100" w:afterAutospacing="1" w:line="240" w:lineRule="auto"/>
        <w:rPr>
          <w:rFonts w:ascii="Arial" w:hAnsi="Arial" w:cs="Arial"/>
          <w:sz w:val="20"/>
        </w:rPr>
      </w:pPr>
      <w:proofErr w:type="gramStart"/>
      <w:r w:rsidRPr="001C2EA0">
        <w:rPr>
          <w:rFonts w:ascii="Arial" w:hAnsi="Arial" w:cs="Arial"/>
          <w:sz w:val="20"/>
        </w:rPr>
        <w:t>the</w:t>
      </w:r>
      <w:proofErr w:type="gramEnd"/>
      <w:r w:rsidRPr="001C2EA0">
        <w:rPr>
          <w:rFonts w:ascii="Arial" w:hAnsi="Arial" w:cs="Arial"/>
          <w:sz w:val="20"/>
        </w:rPr>
        <w:t xml:space="preserve"> assessment of the suitability of programs for broadcast to the international audience. </w:t>
      </w:r>
    </w:p>
    <w:p w14:paraId="63DA823B" w14:textId="7DB35948"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9 – Additional </w:t>
      </w:r>
      <w:r w:rsidR="00755934" w:rsidRPr="001C2EA0">
        <w:rPr>
          <w:rFonts w:ascii="Arial" w:hAnsi="Arial" w:cs="Arial"/>
          <w:b/>
          <w:sz w:val="20"/>
        </w:rPr>
        <w:t>g</w:t>
      </w:r>
      <w:r w:rsidRPr="001C2EA0">
        <w:rPr>
          <w:rFonts w:ascii="Arial" w:hAnsi="Arial" w:cs="Arial"/>
          <w:b/>
          <w:sz w:val="20"/>
        </w:rPr>
        <w:t xml:space="preserve">uidelines for </w:t>
      </w:r>
      <w:r w:rsidR="00755934" w:rsidRPr="001C2EA0">
        <w:rPr>
          <w:rFonts w:ascii="Arial" w:hAnsi="Arial" w:cs="Arial"/>
          <w:b/>
          <w:sz w:val="20"/>
        </w:rPr>
        <w:t>r</w:t>
      </w:r>
      <w:r w:rsidRPr="001C2EA0">
        <w:rPr>
          <w:rFonts w:ascii="Arial" w:hAnsi="Arial" w:cs="Arial"/>
          <w:b/>
          <w:sz w:val="20"/>
        </w:rPr>
        <w:t>adio</w:t>
      </w:r>
    </w:p>
    <w:p w14:paraId="50C2FFF9" w14:textId="77777777" w:rsidR="001E464A" w:rsidRPr="001C2EA0" w:rsidRDefault="001E464A" w:rsidP="00300D95">
      <w:pPr>
        <w:spacing w:after="120"/>
        <w:rPr>
          <w:rFonts w:ascii="Arial" w:hAnsi="Arial" w:cs="Arial"/>
          <w:sz w:val="20"/>
        </w:rPr>
      </w:pPr>
      <w:r w:rsidRPr="001C2EA0">
        <w:rPr>
          <w:rFonts w:ascii="Arial" w:hAnsi="Arial" w:cs="Arial"/>
          <w:sz w:val="20"/>
        </w:rPr>
        <w:t>This Part contains additional provisions for radio broadcasts about</w:t>
      </w:r>
      <w:r w:rsidR="003B7DFA" w:rsidRPr="001C2EA0">
        <w:rPr>
          <w:rFonts w:ascii="Arial" w:hAnsi="Arial" w:cs="Arial"/>
          <w:sz w:val="20"/>
        </w:rPr>
        <w:t>:</w:t>
      </w:r>
    </w:p>
    <w:p w14:paraId="63E2C25B" w14:textId="4E0E9785"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t>gratuitous language or language that is likely to offend the audience;</w:t>
      </w:r>
    </w:p>
    <w:p w14:paraId="0D47012B" w14:textId="20D7A8B4"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t xml:space="preserve">sounds that relate to a sexual act; and </w:t>
      </w:r>
    </w:p>
    <w:p w14:paraId="78047581" w14:textId="77777777"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proofErr w:type="gramStart"/>
      <w:r w:rsidRPr="001C2EA0">
        <w:rPr>
          <w:rFonts w:ascii="Arial" w:hAnsi="Arial" w:cs="Arial"/>
          <w:sz w:val="20"/>
        </w:rPr>
        <w:t>content</w:t>
      </w:r>
      <w:proofErr w:type="gramEnd"/>
      <w:r w:rsidRPr="001C2EA0">
        <w:rPr>
          <w:rFonts w:ascii="Arial" w:hAnsi="Arial" w:cs="Arial"/>
          <w:sz w:val="20"/>
        </w:rPr>
        <w:t xml:space="preserve"> or promotion of a feature program with sexual themes</w:t>
      </w:r>
      <w:r w:rsidR="003B7DFA" w:rsidRPr="001C2EA0">
        <w:rPr>
          <w:rFonts w:ascii="Arial" w:hAnsi="Arial" w:cs="Arial"/>
          <w:sz w:val="20"/>
        </w:rPr>
        <w:t>.</w:t>
      </w:r>
    </w:p>
    <w:p w14:paraId="5E1CE07B" w14:textId="77777777" w:rsidR="001E464A" w:rsidRPr="001C2EA0" w:rsidRDefault="001E464A" w:rsidP="00300D95">
      <w:pPr>
        <w:spacing w:before="240" w:after="120"/>
        <w:rPr>
          <w:rFonts w:ascii="Arial" w:hAnsi="Arial" w:cs="Arial"/>
          <w:b/>
          <w:sz w:val="20"/>
        </w:rPr>
      </w:pPr>
      <w:r w:rsidRPr="001C2EA0">
        <w:rPr>
          <w:rFonts w:ascii="Arial" w:hAnsi="Arial" w:cs="Arial"/>
          <w:b/>
          <w:sz w:val="20"/>
        </w:rPr>
        <w:t>Part 10 – Complaints</w:t>
      </w:r>
    </w:p>
    <w:p w14:paraId="14DCAA06" w14:textId="77777777" w:rsidR="001E464A" w:rsidRPr="001C2EA0" w:rsidRDefault="001E464A" w:rsidP="00300D95">
      <w:pPr>
        <w:spacing w:after="120"/>
        <w:rPr>
          <w:rFonts w:ascii="Arial" w:hAnsi="Arial" w:cs="Arial"/>
          <w:sz w:val="20"/>
        </w:rPr>
      </w:pPr>
      <w:r w:rsidRPr="001C2EA0">
        <w:rPr>
          <w:rFonts w:ascii="Arial" w:hAnsi="Arial" w:cs="Arial"/>
          <w:sz w:val="20"/>
        </w:rPr>
        <w:t>This Part provides guidelines for complaint handling, including</w:t>
      </w:r>
      <w:r w:rsidR="003B7DFA" w:rsidRPr="001C2EA0">
        <w:rPr>
          <w:rFonts w:ascii="Arial" w:hAnsi="Arial" w:cs="Arial"/>
          <w:sz w:val="20"/>
        </w:rPr>
        <w:t>:</w:t>
      </w:r>
      <w:r w:rsidRPr="001C2EA0">
        <w:rPr>
          <w:rFonts w:ascii="Arial" w:hAnsi="Arial" w:cs="Arial"/>
          <w:sz w:val="20"/>
        </w:rPr>
        <w:t xml:space="preserve"> </w:t>
      </w:r>
    </w:p>
    <w:p w14:paraId="70736BC3" w14:textId="0C6FBDA3"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t>procedures for dealing with complaints;</w:t>
      </w:r>
    </w:p>
    <w:p w14:paraId="16FA11E7" w14:textId="35CACB31"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lastRenderedPageBreak/>
        <w:t xml:space="preserve">publicising the complaints process; </w:t>
      </w:r>
    </w:p>
    <w:p w14:paraId="128D7A5A" w14:textId="3FE1DA63"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r w:rsidRPr="001C2EA0">
        <w:rPr>
          <w:rFonts w:ascii="Arial" w:hAnsi="Arial" w:cs="Arial"/>
          <w:sz w:val="20"/>
        </w:rPr>
        <w:t>retaining records of complaints received; and</w:t>
      </w:r>
    </w:p>
    <w:p w14:paraId="589B8158" w14:textId="5683DBA9" w:rsidR="001E464A" w:rsidRPr="001C2EA0" w:rsidRDefault="001E464A" w:rsidP="00300D95">
      <w:pPr>
        <w:pStyle w:val="ABABodyText"/>
        <w:numPr>
          <w:ilvl w:val="0"/>
          <w:numId w:val="36"/>
        </w:numPr>
        <w:spacing w:before="60" w:after="100" w:afterAutospacing="1" w:line="240" w:lineRule="auto"/>
        <w:ind w:left="714" w:hanging="357"/>
        <w:rPr>
          <w:rFonts w:ascii="Arial" w:hAnsi="Arial" w:cs="Arial"/>
          <w:sz w:val="20"/>
        </w:rPr>
      </w:pPr>
      <w:proofErr w:type="gramStart"/>
      <w:r w:rsidRPr="001C2EA0">
        <w:rPr>
          <w:rFonts w:ascii="Arial" w:hAnsi="Arial" w:cs="Arial"/>
          <w:sz w:val="20"/>
        </w:rPr>
        <w:t>providing</w:t>
      </w:r>
      <w:proofErr w:type="gramEnd"/>
      <w:r w:rsidRPr="001C2EA0">
        <w:rPr>
          <w:rFonts w:ascii="Arial" w:hAnsi="Arial" w:cs="Arial"/>
          <w:sz w:val="20"/>
        </w:rPr>
        <w:t xml:space="preserve"> </w:t>
      </w:r>
      <w:r w:rsidR="009D0C13" w:rsidRPr="001C2EA0">
        <w:rPr>
          <w:rFonts w:ascii="Arial" w:hAnsi="Arial" w:cs="Arial"/>
          <w:sz w:val="20"/>
        </w:rPr>
        <w:t xml:space="preserve">the </w:t>
      </w:r>
      <w:r w:rsidRPr="001C2EA0">
        <w:rPr>
          <w:rFonts w:ascii="Arial" w:hAnsi="Arial" w:cs="Arial"/>
          <w:sz w:val="20"/>
        </w:rPr>
        <w:t>ACMA with access to records of complaint</w:t>
      </w:r>
      <w:r w:rsidR="009D0C13" w:rsidRPr="001C2EA0">
        <w:rPr>
          <w:rFonts w:ascii="Arial" w:hAnsi="Arial" w:cs="Arial"/>
          <w:sz w:val="20"/>
        </w:rPr>
        <w:t>s</w:t>
      </w:r>
      <w:r w:rsidRPr="001C2EA0">
        <w:rPr>
          <w:rFonts w:ascii="Arial" w:hAnsi="Arial" w:cs="Arial"/>
          <w:sz w:val="20"/>
        </w:rPr>
        <w:t>.</w:t>
      </w:r>
    </w:p>
    <w:p w14:paraId="60BE0514" w14:textId="757CAD89"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11 – Conduct of an </w:t>
      </w:r>
      <w:r w:rsidR="00755934" w:rsidRPr="001C2EA0">
        <w:rPr>
          <w:rFonts w:ascii="Arial" w:hAnsi="Arial" w:cs="Arial"/>
          <w:b/>
          <w:sz w:val="20"/>
        </w:rPr>
        <w:t>i</w:t>
      </w:r>
      <w:r w:rsidRPr="001C2EA0">
        <w:rPr>
          <w:rFonts w:ascii="Arial" w:hAnsi="Arial" w:cs="Arial"/>
          <w:b/>
          <w:sz w:val="20"/>
        </w:rPr>
        <w:t xml:space="preserve">nternational </w:t>
      </w:r>
      <w:r w:rsidR="00755934" w:rsidRPr="001C2EA0">
        <w:rPr>
          <w:rFonts w:ascii="Arial" w:hAnsi="Arial" w:cs="Arial"/>
          <w:b/>
          <w:sz w:val="20"/>
        </w:rPr>
        <w:t>b</w:t>
      </w:r>
      <w:r w:rsidRPr="001C2EA0">
        <w:rPr>
          <w:rFonts w:ascii="Arial" w:hAnsi="Arial" w:cs="Arial"/>
          <w:b/>
          <w:sz w:val="20"/>
        </w:rPr>
        <w:t xml:space="preserve">roadcasting </w:t>
      </w:r>
      <w:r w:rsidR="00755934" w:rsidRPr="001C2EA0">
        <w:rPr>
          <w:rFonts w:ascii="Arial" w:hAnsi="Arial" w:cs="Arial"/>
          <w:b/>
          <w:sz w:val="20"/>
        </w:rPr>
        <w:t>l</w:t>
      </w:r>
      <w:r w:rsidRPr="001C2EA0">
        <w:rPr>
          <w:rFonts w:ascii="Arial" w:hAnsi="Arial" w:cs="Arial"/>
          <w:b/>
          <w:sz w:val="20"/>
        </w:rPr>
        <w:t>icensee</w:t>
      </w:r>
    </w:p>
    <w:p w14:paraId="74D5B09F" w14:textId="4A7AAB12" w:rsidR="001E464A" w:rsidRPr="001C2EA0" w:rsidRDefault="001E464A" w:rsidP="00300D95">
      <w:pPr>
        <w:spacing w:after="120"/>
        <w:rPr>
          <w:rFonts w:ascii="Arial" w:hAnsi="Arial" w:cs="Arial"/>
          <w:sz w:val="20"/>
        </w:rPr>
      </w:pPr>
      <w:r w:rsidRPr="001C2EA0">
        <w:rPr>
          <w:rFonts w:ascii="Arial" w:hAnsi="Arial" w:cs="Arial"/>
          <w:sz w:val="20"/>
        </w:rPr>
        <w:t xml:space="preserve">This Part </w:t>
      </w:r>
      <w:r w:rsidR="0077168B" w:rsidRPr="001C2EA0">
        <w:rPr>
          <w:rFonts w:ascii="Arial" w:hAnsi="Arial" w:cs="Arial"/>
          <w:sz w:val="20"/>
        </w:rPr>
        <w:t xml:space="preserve">provides that </w:t>
      </w:r>
      <w:r w:rsidRPr="001C2EA0">
        <w:rPr>
          <w:rFonts w:ascii="Arial" w:hAnsi="Arial" w:cs="Arial"/>
          <w:sz w:val="20"/>
        </w:rPr>
        <w:t xml:space="preserve">licensees </w:t>
      </w:r>
      <w:r w:rsidR="0077168B" w:rsidRPr="001C2EA0">
        <w:rPr>
          <w:rFonts w:ascii="Arial" w:hAnsi="Arial" w:cs="Arial"/>
          <w:sz w:val="20"/>
        </w:rPr>
        <w:t xml:space="preserve">should </w:t>
      </w:r>
      <w:r w:rsidRPr="001C2EA0">
        <w:rPr>
          <w:rFonts w:ascii="Arial" w:hAnsi="Arial" w:cs="Arial"/>
          <w:sz w:val="20"/>
        </w:rPr>
        <w:t xml:space="preserve">make every reasonable effort to comply with the </w:t>
      </w:r>
      <w:r w:rsidR="00755934" w:rsidRPr="001C2EA0">
        <w:rPr>
          <w:rFonts w:ascii="Arial" w:hAnsi="Arial" w:cs="Arial"/>
          <w:sz w:val="20"/>
        </w:rPr>
        <w:t>G</w:t>
      </w:r>
      <w:r w:rsidRPr="001C2EA0">
        <w:rPr>
          <w:rFonts w:ascii="Arial" w:hAnsi="Arial" w:cs="Arial"/>
          <w:sz w:val="20"/>
        </w:rPr>
        <w:t>uidelines</w:t>
      </w:r>
      <w:r w:rsidR="0077168B" w:rsidRPr="001C2EA0">
        <w:rPr>
          <w:rFonts w:ascii="Arial" w:hAnsi="Arial" w:cs="Arial"/>
          <w:sz w:val="20"/>
        </w:rPr>
        <w:t>,</w:t>
      </w:r>
      <w:r w:rsidRPr="001C2EA0">
        <w:rPr>
          <w:rFonts w:ascii="Arial" w:hAnsi="Arial" w:cs="Arial"/>
          <w:sz w:val="20"/>
        </w:rPr>
        <w:t xml:space="preserve"> and </w:t>
      </w:r>
      <w:r w:rsidR="0077168B" w:rsidRPr="001C2EA0">
        <w:rPr>
          <w:rFonts w:ascii="Arial" w:hAnsi="Arial" w:cs="Arial"/>
          <w:sz w:val="20"/>
        </w:rPr>
        <w:t>should not use</w:t>
      </w:r>
      <w:r w:rsidRPr="001C2EA0">
        <w:rPr>
          <w:rFonts w:ascii="Arial" w:hAnsi="Arial" w:cs="Arial"/>
          <w:sz w:val="20"/>
        </w:rPr>
        <w:t xml:space="preserve"> </w:t>
      </w:r>
      <w:r w:rsidR="0077168B" w:rsidRPr="001C2EA0">
        <w:rPr>
          <w:rFonts w:ascii="Arial" w:hAnsi="Arial" w:cs="Arial"/>
          <w:sz w:val="20"/>
        </w:rPr>
        <w:t xml:space="preserve">an </w:t>
      </w:r>
      <w:r w:rsidRPr="001C2EA0">
        <w:rPr>
          <w:rFonts w:ascii="Arial" w:hAnsi="Arial" w:cs="Arial"/>
          <w:sz w:val="20"/>
        </w:rPr>
        <w:t>international broadcasting service in the commission of an offence against a law of the Commonwealth or</w:t>
      </w:r>
      <w:r w:rsidR="009D0C13" w:rsidRPr="001C2EA0">
        <w:rPr>
          <w:rFonts w:ascii="Arial" w:hAnsi="Arial" w:cs="Arial"/>
          <w:sz w:val="20"/>
        </w:rPr>
        <w:t xml:space="preserve"> of a</w:t>
      </w:r>
      <w:r w:rsidRPr="001C2EA0">
        <w:rPr>
          <w:rFonts w:ascii="Arial" w:hAnsi="Arial" w:cs="Arial"/>
          <w:sz w:val="20"/>
        </w:rPr>
        <w:t xml:space="preserve"> State or Territory.</w:t>
      </w:r>
    </w:p>
    <w:p w14:paraId="44E5B43B" w14:textId="5EC21247"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12 – Intellectual </w:t>
      </w:r>
      <w:r w:rsidR="00755934" w:rsidRPr="001C2EA0">
        <w:rPr>
          <w:rFonts w:ascii="Arial" w:hAnsi="Arial" w:cs="Arial"/>
          <w:b/>
          <w:sz w:val="20"/>
        </w:rPr>
        <w:t>p</w:t>
      </w:r>
      <w:r w:rsidRPr="001C2EA0">
        <w:rPr>
          <w:rFonts w:ascii="Arial" w:hAnsi="Arial" w:cs="Arial"/>
          <w:b/>
          <w:sz w:val="20"/>
        </w:rPr>
        <w:t xml:space="preserve">roperty </w:t>
      </w:r>
      <w:r w:rsidR="00755934" w:rsidRPr="001C2EA0">
        <w:rPr>
          <w:rFonts w:ascii="Arial" w:hAnsi="Arial" w:cs="Arial"/>
          <w:b/>
          <w:sz w:val="20"/>
        </w:rPr>
        <w:t>r</w:t>
      </w:r>
      <w:r w:rsidRPr="001C2EA0">
        <w:rPr>
          <w:rFonts w:ascii="Arial" w:hAnsi="Arial" w:cs="Arial"/>
          <w:b/>
          <w:sz w:val="20"/>
        </w:rPr>
        <w:t>ights</w:t>
      </w:r>
    </w:p>
    <w:p w14:paraId="3B4007A3" w14:textId="77777777" w:rsidR="001E464A" w:rsidRPr="001C2EA0" w:rsidRDefault="001E464A" w:rsidP="00300D95">
      <w:pPr>
        <w:spacing w:after="120"/>
        <w:rPr>
          <w:rFonts w:ascii="Arial" w:hAnsi="Arial" w:cs="Arial"/>
          <w:sz w:val="20"/>
        </w:rPr>
      </w:pPr>
      <w:r w:rsidRPr="001C2EA0">
        <w:rPr>
          <w:rFonts w:ascii="Arial" w:hAnsi="Arial" w:cs="Arial"/>
          <w:sz w:val="20"/>
        </w:rPr>
        <w:t>This Part provides guidelines for licensees to respect intellectual property rights of other persons.</w:t>
      </w:r>
    </w:p>
    <w:p w14:paraId="2271C7A4" w14:textId="1856E2AA" w:rsidR="001E464A" w:rsidRPr="001C2EA0" w:rsidRDefault="001E464A" w:rsidP="00300D95">
      <w:pPr>
        <w:spacing w:before="240" w:after="120"/>
        <w:rPr>
          <w:rFonts w:ascii="Arial" w:hAnsi="Arial" w:cs="Arial"/>
          <w:b/>
          <w:sz w:val="20"/>
        </w:rPr>
      </w:pPr>
      <w:r w:rsidRPr="001C2EA0">
        <w:rPr>
          <w:rFonts w:ascii="Arial" w:hAnsi="Arial" w:cs="Arial"/>
          <w:b/>
          <w:sz w:val="20"/>
        </w:rPr>
        <w:t xml:space="preserve">Part 13 – Applicants for an </w:t>
      </w:r>
      <w:r w:rsidR="00755934" w:rsidRPr="001C2EA0">
        <w:rPr>
          <w:rFonts w:ascii="Arial" w:hAnsi="Arial" w:cs="Arial"/>
          <w:b/>
          <w:sz w:val="20"/>
        </w:rPr>
        <w:t>i</w:t>
      </w:r>
      <w:r w:rsidRPr="001C2EA0">
        <w:rPr>
          <w:rFonts w:ascii="Arial" w:hAnsi="Arial" w:cs="Arial"/>
          <w:b/>
          <w:sz w:val="20"/>
        </w:rPr>
        <w:t xml:space="preserve">nternational </w:t>
      </w:r>
      <w:r w:rsidR="00755934" w:rsidRPr="001C2EA0">
        <w:rPr>
          <w:rFonts w:ascii="Arial" w:hAnsi="Arial" w:cs="Arial"/>
          <w:b/>
          <w:sz w:val="20"/>
        </w:rPr>
        <w:t>b</w:t>
      </w:r>
      <w:r w:rsidRPr="001C2EA0">
        <w:rPr>
          <w:rFonts w:ascii="Arial" w:hAnsi="Arial" w:cs="Arial"/>
          <w:b/>
          <w:sz w:val="20"/>
        </w:rPr>
        <w:t xml:space="preserve">roadcasting </w:t>
      </w:r>
      <w:r w:rsidR="00755934" w:rsidRPr="001C2EA0">
        <w:rPr>
          <w:rFonts w:ascii="Arial" w:hAnsi="Arial" w:cs="Arial"/>
          <w:b/>
          <w:sz w:val="20"/>
        </w:rPr>
        <w:t>l</w:t>
      </w:r>
      <w:r w:rsidRPr="001C2EA0">
        <w:rPr>
          <w:rFonts w:ascii="Arial" w:hAnsi="Arial" w:cs="Arial"/>
          <w:b/>
          <w:sz w:val="20"/>
        </w:rPr>
        <w:t>icence</w:t>
      </w:r>
    </w:p>
    <w:p w14:paraId="0204A6BD" w14:textId="2F1305D4" w:rsidR="001E464A" w:rsidRPr="001C2EA0" w:rsidRDefault="001E464A" w:rsidP="00300D95">
      <w:pPr>
        <w:spacing w:after="120"/>
        <w:rPr>
          <w:rFonts w:ascii="Arial" w:hAnsi="Arial" w:cs="Arial"/>
          <w:sz w:val="20"/>
        </w:rPr>
      </w:pPr>
      <w:r w:rsidRPr="001C2EA0">
        <w:rPr>
          <w:rFonts w:ascii="Arial" w:hAnsi="Arial" w:cs="Arial"/>
          <w:sz w:val="20"/>
        </w:rPr>
        <w:t xml:space="preserve">This Part provides that applicants for an international broadcasting licence who commit to abide by the </w:t>
      </w:r>
      <w:r w:rsidR="00755934" w:rsidRPr="001C2EA0">
        <w:rPr>
          <w:rFonts w:ascii="Arial" w:hAnsi="Arial" w:cs="Arial"/>
          <w:sz w:val="20"/>
        </w:rPr>
        <w:t>G</w:t>
      </w:r>
      <w:r w:rsidRPr="001C2EA0">
        <w:rPr>
          <w:rFonts w:ascii="Arial" w:hAnsi="Arial" w:cs="Arial"/>
          <w:sz w:val="20"/>
        </w:rPr>
        <w:t xml:space="preserve">uidelines will be taken by </w:t>
      </w:r>
      <w:r w:rsidR="009D0C13" w:rsidRPr="001C2EA0">
        <w:rPr>
          <w:rFonts w:ascii="Arial" w:hAnsi="Arial" w:cs="Arial"/>
          <w:sz w:val="20"/>
        </w:rPr>
        <w:t xml:space="preserve">the </w:t>
      </w:r>
      <w:r w:rsidRPr="001C2EA0">
        <w:rPr>
          <w:rFonts w:ascii="Arial" w:hAnsi="Arial" w:cs="Arial"/>
          <w:sz w:val="20"/>
        </w:rPr>
        <w:t xml:space="preserve">ACMA to comply with the </w:t>
      </w:r>
      <w:r w:rsidR="00755934" w:rsidRPr="001C2EA0">
        <w:rPr>
          <w:rFonts w:ascii="Arial" w:hAnsi="Arial" w:cs="Arial"/>
          <w:sz w:val="20"/>
        </w:rPr>
        <w:t>G</w:t>
      </w:r>
      <w:r w:rsidRPr="001C2EA0">
        <w:rPr>
          <w:rFonts w:ascii="Arial" w:hAnsi="Arial" w:cs="Arial"/>
          <w:sz w:val="20"/>
        </w:rPr>
        <w:t xml:space="preserve">uidelines for the purpose of </w:t>
      </w:r>
      <w:r w:rsidR="009D0C13" w:rsidRPr="001C2EA0">
        <w:rPr>
          <w:rFonts w:ascii="Arial" w:hAnsi="Arial" w:cs="Arial"/>
          <w:sz w:val="20"/>
        </w:rPr>
        <w:t xml:space="preserve">the </w:t>
      </w:r>
      <w:r w:rsidRPr="001C2EA0">
        <w:rPr>
          <w:rFonts w:ascii="Arial" w:hAnsi="Arial" w:cs="Arial"/>
          <w:sz w:val="20"/>
        </w:rPr>
        <w:t>ACMA preparing a report to the Minister for Foreign Affairs regarding the allocation of a licence.  Applicants who do not make such a commitment will be taken</w:t>
      </w:r>
      <w:r w:rsidR="009D0C13" w:rsidRPr="001C2EA0">
        <w:rPr>
          <w:rFonts w:ascii="Arial" w:hAnsi="Arial" w:cs="Arial"/>
          <w:sz w:val="20"/>
        </w:rPr>
        <w:t xml:space="preserve">, for the same purpose, not </w:t>
      </w:r>
      <w:r w:rsidRPr="001C2EA0">
        <w:rPr>
          <w:rFonts w:ascii="Arial" w:hAnsi="Arial" w:cs="Arial"/>
          <w:sz w:val="20"/>
        </w:rPr>
        <w:t xml:space="preserve">to comply with the </w:t>
      </w:r>
      <w:r w:rsidR="00755934" w:rsidRPr="001C2EA0">
        <w:rPr>
          <w:rFonts w:ascii="Arial" w:hAnsi="Arial" w:cs="Arial"/>
          <w:sz w:val="20"/>
        </w:rPr>
        <w:t>G</w:t>
      </w:r>
      <w:r w:rsidRPr="001C2EA0">
        <w:rPr>
          <w:rFonts w:ascii="Arial" w:hAnsi="Arial" w:cs="Arial"/>
          <w:sz w:val="20"/>
        </w:rPr>
        <w:t>uidelines.</w:t>
      </w:r>
    </w:p>
    <w:p w14:paraId="077D5111" w14:textId="77777777" w:rsidR="00EE3C80" w:rsidRPr="001C2EA0" w:rsidRDefault="00EE3C80" w:rsidP="00681C0F">
      <w:pPr>
        <w:rPr>
          <w:rFonts w:ascii="Arial" w:hAnsi="Arial" w:cs="Arial"/>
          <w:sz w:val="20"/>
        </w:rPr>
      </w:pPr>
    </w:p>
    <w:p w14:paraId="6D9BB9B0" w14:textId="4939C226" w:rsidR="008A6404" w:rsidRPr="001C2EA0" w:rsidRDefault="008A6404">
      <w:pPr>
        <w:rPr>
          <w:sz w:val="20"/>
        </w:rPr>
      </w:pPr>
      <w:r w:rsidRPr="001C2EA0">
        <w:rPr>
          <w:sz w:val="20"/>
        </w:rPr>
        <w:br w:type="page"/>
      </w:r>
    </w:p>
    <w:p w14:paraId="1142A630" w14:textId="77777777" w:rsidR="008A6404" w:rsidRPr="001C2EA0" w:rsidRDefault="008A6404" w:rsidP="008A6404">
      <w:pPr>
        <w:autoSpaceDE w:val="0"/>
        <w:autoSpaceDN w:val="0"/>
        <w:adjustRightInd w:val="0"/>
        <w:jc w:val="center"/>
        <w:rPr>
          <w:rFonts w:ascii="Arial" w:hAnsi="Arial" w:cs="Arial"/>
          <w:sz w:val="20"/>
        </w:rPr>
      </w:pPr>
      <w:r w:rsidRPr="001C2EA0">
        <w:rPr>
          <w:rFonts w:ascii="Arial" w:hAnsi="Arial" w:cs="Arial"/>
          <w:b/>
          <w:bCs/>
          <w:sz w:val="20"/>
        </w:rPr>
        <w:lastRenderedPageBreak/>
        <w:t>Statement of Compatibility with Human Rights</w:t>
      </w:r>
    </w:p>
    <w:p w14:paraId="44EE3084" w14:textId="77777777" w:rsidR="008A6404" w:rsidRPr="001C2EA0" w:rsidRDefault="008A6404" w:rsidP="008A6404">
      <w:pPr>
        <w:autoSpaceDE w:val="0"/>
        <w:autoSpaceDN w:val="0"/>
        <w:adjustRightInd w:val="0"/>
        <w:rPr>
          <w:rFonts w:ascii="Arial" w:hAnsi="Arial" w:cs="Arial"/>
          <w:i/>
          <w:iCs/>
          <w:sz w:val="20"/>
        </w:rPr>
      </w:pPr>
    </w:p>
    <w:p w14:paraId="00C810D2" w14:textId="77777777" w:rsidR="008A6404" w:rsidRPr="001C2EA0" w:rsidRDefault="008A6404" w:rsidP="008A6404">
      <w:pPr>
        <w:autoSpaceDE w:val="0"/>
        <w:autoSpaceDN w:val="0"/>
        <w:adjustRightInd w:val="0"/>
        <w:spacing w:after="120"/>
        <w:rPr>
          <w:rFonts w:ascii="Arial" w:hAnsi="Arial" w:cs="Arial"/>
          <w:sz w:val="20"/>
        </w:rPr>
      </w:pPr>
      <w:r w:rsidRPr="001C2EA0">
        <w:rPr>
          <w:rFonts w:ascii="Arial" w:hAnsi="Arial" w:cs="Arial"/>
          <w:b/>
          <w:bCs/>
          <w:i/>
          <w:iCs/>
          <w:sz w:val="20"/>
        </w:rPr>
        <w:t xml:space="preserve">Broadcasting Services (International Broadcasting) Guidelines 2016 </w:t>
      </w:r>
    </w:p>
    <w:p w14:paraId="163A0C1A"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This legislative instrument is compatible with the human rights and freedoms recognised or declared in the international instruments listed in s 3 of the </w:t>
      </w:r>
      <w:r w:rsidRPr="001C2EA0">
        <w:rPr>
          <w:rFonts w:ascii="Arial" w:hAnsi="Arial" w:cs="Arial"/>
          <w:i/>
          <w:iCs/>
          <w:sz w:val="20"/>
        </w:rPr>
        <w:t>Human Rights (Parliamentary Scrutiny) Act 2011</w:t>
      </w:r>
      <w:r w:rsidRPr="001C2EA0">
        <w:rPr>
          <w:rFonts w:ascii="Arial" w:hAnsi="Arial" w:cs="Arial"/>
          <w:sz w:val="20"/>
        </w:rPr>
        <w:t>.</w:t>
      </w:r>
    </w:p>
    <w:p w14:paraId="4BEF03AF"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 </w:t>
      </w:r>
    </w:p>
    <w:p w14:paraId="2B6D256F" w14:textId="77777777" w:rsidR="008A6404" w:rsidRPr="001C2EA0" w:rsidRDefault="008A6404" w:rsidP="008A6404">
      <w:pPr>
        <w:autoSpaceDE w:val="0"/>
        <w:autoSpaceDN w:val="0"/>
        <w:adjustRightInd w:val="0"/>
        <w:spacing w:after="120"/>
        <w:rPr>
          <w:rFonts w:ascii="Arial" w:hAnsi="Arial" w:cs="Arial"/>
          <w:sz w:val="20"/>
        </w:rPr>
      </w:pPr>
      <w:r w:rsidRPr="001C2EA0">
        <w:rPr>
          <w:rFonts w:ascii="Arial" w:hAnsi="Arial" w:cs="Arial"/>
          <w:b/>
          <w:bCs/>
          <w:sz w:val="20"/>
        </w:rPr>
        <w:t>Overview of the Legislative Instrument</w:t>
      </w:r>
    </w:p>
    <w:p w14:paraId="1541CED2"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The </w:t>
      </w:r>
      <w:r w:rsidRPr="001C2EA0">
        <w:rPr>
          <w:rFonts w:ascii="Arial" w:hAnsi="Arial" w:cs="Arial"/>
          <w:i/>
          <w:iCs/>
          <w:sz w:val="20"/>
        </w:rPr>
        <w:t xml:space="preserve">Broadcasting Services (International Broadcasting) Guidelines 2016 </w:t>
      </w:r>
      <w:r w:rsidRPr="001C2EA0">
        <w:rPr>
          <w:rFonts w:ascii="Arial" w:hAnsi="Arial" w:cs="Arial"/>
          <w:iCs/>
          <w:sz w:val="20"/>
        </w:rPr>
        <w:t>(the Guidelines) are</w:t>
      </w:r>
      <w:r w:rsidRPr="001C2EA0">
        <w:rPr>
          <w:rFonts w:ascii="Arial" w:hAnsi="Arial" w:cs="Arial"/>
          <w:sz w:val="20"/>
        </w:rPr>
        <w:t xml:space="preserve"> made under s 121FP of the </w:t>
      </w:r>
      <w:r w:rsidRPr="001C2EA0">
        <w:rPr>
          <w:rFonts w:ascii="Arial" w:hAnsi="Arial" w:cs="Arial"/>
          <w:i/>
          <w:iCs/>
          <w:sz w:val="20"/>
        </w:rPr>
        <w:t xml:space="preserve">Broadcasting Services Act 1992 </w:t>
      </w:r>
      <w:r w:rsidRPr="001C2EA0">
        <w:rPr>
          <w:rFonts w:ascii="Arial" w:hAnsi="Arial" w:cs="Arial"/>
          <w:sz w:val="20"/>
        </w:rPr>
        <w:t>(the BSA).</w:t>
      </w:r>
    </w:p>
    <w:p w14:paraId="18A80A4F" w14:textId="77777777" w:rsidR="008A6404" w:rsidRPr="001C2EA0" w:rsidRDefault="008A6404" w:rsidP="008A6404">
      <w:pPr>
        <w:autoSpaceDE w:val="0"/>
        <w:autoSpaceDN w:val="0"/>
        <w:adjustRightInd w:val="0"/>
        <w:rPr>
          <w:rFonts w:ascii="Arial" w:hAnsi="Arial" w:cs="Arial"/>
          <w:sz w:val="20"/>
        </w:rPr>
      </w:pPr>
    </w:p>
    <w:p w14:paraId="01A03F23"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The Guidelines regulate the content of international broadcasting services to ensure that they comply with Australian community standards and demonstrate sensitivity in relation to the international communities to which the broadcasting services are directed.</w:t>
      </w:r>
    </w:p>
    <w:p w14:paraId="7BA2CB4C" w14:textId="77777777" w:rsidR="008A6404" w:rsidRPr="001C2EA0" w:rsidRDefault="008A6404" w:rsidP="008A6404">
      <w:pPr>
        <w:autoSpaceDE w:val="0"/>
        <w:autoSpaceDN w:val="0"/>
        <w:adjustRightInd w:val="0"/>
        <w:rPr>
          <w:rFonts w:ascii="Arial" w:hAnsi="Arial" w:cs="Arial"/>
          <w:sz w:val="20"/>
        </w:rPr>
      </w:pPr>
    </w:p>
    <w:p w14:paraId="2F5E1B8C"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An international broadcasting service is a category of service defined at section 18A of the BSA. In summary, it is any service targeted, to a significant extent, to audiences outside Australia, where the means of delivery involves use of a </w:t>
      </w:r>
      <w:proofErr w:type="spellStart"/>
      <w:r w:rsidRPr="001C2EA0">
        <w:rPr>
          <w:rFonts w:ascii="Arial" w:hAnsi="Arial" w:cs="Arial"/>
          <w:sz w:val="20"/>
        </w:rPr>
        <w:t>radiocommunications</w:t>
      </w:r>
      <w:proofErr w:type="spellEnd"/>
      <w:r w:rsidRPr="001C2EA0">
        <w:rPr>
          <w:rFonts w:ascii="Arial" w:hAnsi="Arial" w:cs="Arial"/>
          <w:sz w:val="20"/>
        </w:rPr>
        <w:t xml:space="preserve"> transmitter inside Australia.</w:t>
      </w:r>
    </w:p>
    <w:p w14:paraId="48538F51" w14:textId="77777777" w:rsidR="008A6404" w:rsidRPr="001C2EA0" w:rsidRDefault="008A6404" w:rsidP="008A6404">
      <w:pPr>
        <w:autoSpaceDE w:val="0"/>
        <w:autoSpaceDN w:val="0"/>
        <w:adjustRightInd w:val="0"/>
        <w:rPr>
          <w:rFonts w:ascii="Arial" w:hAnsi="Arial" w:cs="Arial"/>
          <w:sz w:val="20"/>
        </w:rPr>
      </w:pPr>
    </w:p>
    <w:p w14:paraId="48ADFEE0" w14:textId="77777777" w:rsidR="008A6404" w:rsidRPr="001C2EA0" w:rsidRDefault="008A6404" w:rsidP="008A6404">
      <w:pPr>
        <w:autoSpaceDE w:val="0"/>
        <w:autoSpaceDN w:val="0"/>
        <w:adjustRightInd w:val="0"/>
        <w:spacing w:after="120"/>
        <w:rPr>
          <w:rFonts w:ascii="Arial" w:hAnsi="Arial" w:cs="Arial"/>
          <w:sz w:val="20"/>
        </w:rPr>
      </w:pPr>
      <w:r w:rsidRPr="001C2EA0">
        <w:rPr>
          <w:rFonts w:ascii="Arial" w:hAnsi="Arial" w:cs="Arial"/>
          <w:b/>
          <w:bCs/>
          <w:sz w:val="20"/>
        </w:rPr>
        <w:t>Human rights implications</w:t>
      </w:r>
    </w:p>
    <w:p w14:paraId="5617B928"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Australia is a party to a number of international human rights treaties. In developing this legislative instrument, the human rights implications have been considered in the context of </w:t>
      </w:r>
      <w:r w:rsidRPr="001C2EA0">
        <w:rPr>
          <w:rFonts w:ascii="Arial" w:hAnsi="Arial" w:cs="Arial"/>
          <w:b/>
          <w:sz w:val="20"/>
        </w:rPr>
        <w:t>the International Covenant on Civil and Political Rights (the ICCPR)</w:t>
      </w:r>
      <w:r w:rsidRPr="001C2EA0">
        <w:rPr>
          <w:rFonts w:ascii="Arial" w:hAnsi="Arial" w:cs="Arial"/>
          <w:sz w:val="20"/>
        </w:rPr>
        <w:t xml:space="preserve">. </w:t>
      </w:r>
    </w:p>
    <w:p w14:paraId="67270EF1" w14:textId="77777777" w:rsidR="008A6404" w:rsidRPr="001C2EA0" w:rsidRDefault="008A6404" w:rsidP="008A6404">
      <w:pPr>
        <w:autoSpaceDE w:val="0"/>
        <w:autoSpaceDN w:val="0"/>
        <w:adjustRightInd w:val="0"/>
        <w:rPr>
          <w:rFonts w:ascii="Arial" w:hAnsi="Arial" w:cs="Arial"/>
          <w:sz w:val="20"/>
        </w:rPr>
      </w:pPr>
    </w:p>
    <w:p w14:paraId="60752477"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The Guidelines engage the right to freedom of expression, including the freedom to receive information and ideas of all kinds, regardless of frontiers, either orally, in writing or in print, in the form of art, or through any other chosen media (Article 19(2) of the ICCPR).</w:t>
      </w:r>
    </w:p>
    <w:p w14:paraId="0904DF2C" w14:textId="77777777" w:rsidR="008A6404" w:rsidRPr="001C2EA0" w:rsidRDefault="008A6404" w:rsidP="008A6404">
      <w:pPr>
        <w:autoSpaceDE w:val="0"/>
        <w:autoSpaceDN w:val="0"/>
        <w:adjustRightInd w:val="0"/>
        <w:rPr>
          <w:rFonts w:ascii="Arial" w:hAnsi="Arial" w:cs="Arial"/>
          <w:sz w:val="20"/>
        </w:rPr>
      </w:pPr>
    </w:p>
    <w:p w14:paraId="1AF24AB7"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Article 19(3) of the ICCPR provides that the exercise of these rights carries with it special duties and responsibilities:</w:t>
      </w:r>
    </w:p>
    <w:p w14:paraId="33B9EEF1" w14:textId="77777777" w:rsidR="0067572F" w:rsidRPr="001C2EA0" w:rsidRDefault="0067572F" w:rsidP="008A6404">
      <w:pPr>
        <w:autoSpaceDE w:val="0"/>
        <w:autoSpaceDN w:val="0"/>
        <w:adjustRightInd w:val="0"/>
        <w:rPr>
          <w:rFonts w:ascii="Arial" w:hAnsi="Arial" w:cs="Arial"/>
          <w:sz w:val="20"/>
        </w:rPr>
      </w:pPr>
    </w:p>
    <w:p w14:paraId="5C291D01" w14:textId="77777777" w:rsidR="008A6404" w:rsidRPr="001C2EA0" w:rsidRDefault="008A6404" w:rsidP="008A6404">
      <w:pPr>
        <w:autoSpaceDE w:val="0"/>
        <w:autoSpaceDN w:val="0"/>
        <w:adjustRightInd w:val="0"/>
        <w:ind w:left="567"/>
        <w:rPr>
          <w:rFonts w:ascii="Arial" w:hAnsi="Arial" w:cs="Arial"/>
          <w:sz w:val="20"/>
        </w:rPr>
      </w:pPr>
      <w:r w:rsidRPr="001C2EA0">
        <w:rPr>
          <w:rFonts w:ascii="Arial" w:hAnsi="Arial" w:cs="Arial"/>
          <w:sz w:val="20"/>
        </w:rPr>
        <w:t xml:space="preserve">It may therefore be subject to certain restrictions, but these shall only be such as are provided by law and are necessary: </w:t>
      </w:r>
    </w:p>
    <w:p w14:paraId="304A96FE" w14:textId="77777777" w:rsidR="008A6404" w:rsidRPr="001C2EA0" w:rsidRDefault="008A6404" w:rsidP="008A6404">
      <w:pPr>
        <w:autoSpaceDE w:val="0"/>
        <w:autoSpaceDN w:val="0"/>
        <w:adjustRightInd w:val="0"/>
        <w:ind w:left="567" w:firstLine="567"/>
        <w:rPr>
          <w:rFonts w:ascii="Arial" w:hAnsi="Arial" w:cs="Arial"/>
          <w:sz w:val="20"/>
        </w:rPr>
      </w:pPr>
      <w:r w:rsidRPr="001C2EA0">
        <w:rPr>
          <w:rFonts w:ascii="Arial" w:hAnsi="Arial" w:cs="Arial"/>
          <w:sz w:val="20"/>
        </w:rPr>
        <w:t xml:space="preserve">(a) For respect of the rights or reputations of others; </w:t>
      </w:r>
    </w:p>
    <w:p w14:paraId="388F49C4" w14:textId="07D35A81" w:rsidR="008A6404" w:rsidRPr="001C2EA0" w:rsidRDefault="008A6404" w:rsidP="008A6404">
      <w:pPr>
        <w:autoSpaceDE w:val="0"/>
        <w:autoSpaceDN w:val="0"/>
        <w:adjustRightInd w:val="0"/>
        <w:ind w:left="1134"/>
        <w:rPr>
          <w:rFonts w:ascii="Arial" w:hAnsi="Arial" w:cs="Arial"/>
          <w:sz w:val="20"/>
        </w:rPr>
      </w:pPr>
      <w:r w:rsidRPr="001C2EA0">
        <w:rPr>
          <w:rFonts w:ascii="Arial" w:hAnsi="Arial" w:cs="Arial"/>
          <w:sz w:val="20"/>
        </w:rPr>
        <w:t>(b) For the protection of national security or of public order, or of public health or morals.</w:t>
      </w:r>
    </w:p>
    <w:p w14:paraId="6C0DC695" w14:textId="77777777" w:rsidR="008A6404" w:rsidRPr="001C2EA0" w:rsidRDefault="008A6404" w:rsidP="008A6404">
      <w:pPr>
        <w:autoSpaceDE w:val="0"/>
        <w:autoSpaceDN w:val="0"/>
        <w:adjustRightInd w:val="0"/>
        <w:rPr>
          <w:rFonts w:ascii="Arial" w:hAnsi="Arial" w:cs="Arial"/>
          <w:sz w:val="20"/>
        </w:rPr>
      </w:pPr>
    </w:p>
    <w:p w14:paraId="67882EEC"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The Guidelines form part of a licensing scheme, set out in Part 8B of the BSA, for corporations that wish to provide an international broadcasting service from Australia. An applicant for a licence must warrant, as part of the application </w:t>
      </w:r>
      <w:proofErr w:type="gramStart"/>
      <w:r w:rsidRPr="001C2EA0">
        <w:rPr>
          <w:rFonts w:ascii="Arial" w:hAnsi="Arial" w:cs="Arial"/>
          <w:sz w:val="20"/>
        </w:rPr>
        <w:t>process, that</w:t>
      </w:r>
      <w:proofErr w:type="gramEnd"/>
      <w:r w:rsidRPr="001C2EA0">
        <w:rPr>
          <w:rFonts w:ascii="Arial" w:hAnsi="Arial" w:cs="Arial"/>
          <w:sz w:val="20"/>
        </w:rPr>
        <w:t xml:space="preserve"> it will abide by the standards set in the Guidelines. </w:t>
      </w:r>
    </w:p>
    <w:p w14:paraId="6E7D0A0B" w14:textId="77777777" w:rsidR="008A6404" w:rsidRPr="001C2EA0" w:rsidRDefault="008A6404" w:rsidP="008A6404">
      <w:pPr>
        <w:autoSpaceDE w:val="0"/>
        <w:autoSpaceDN w:val="0"/>
        <w:adjustRightInd w:val="0"/>
        <w:rPr>
          <w:rFonts w:ascii="Arial" w:hAnsi="Arial" w:cs="Arial"/>
          <w:sz w:val="20"/>
        </w:rPr>
      </w:pPr>
    </w:p>
    <w:p w14:paraId="4DF740EE"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Licensees may broadcast a wide range of programming which will be consistent with the Guidelines. Even so, the audience may be subject to a minimal degree of restriction on the information they receive through international broadcasting services because of the limitations in the Guidelines. The Guidelines provide that licensees should: </w:t>
      </w:r>
    </w:p>
    <w:p w14:paraId="2182CAE5" w14:textId="77777777" w:rsidR="008A6404" w:rsidRPr="001C2EA0" w:rsidRDefault="008A6404" w:rsidP="008A6404">
      <w:pPr>
        <w:pStyle w:val="ABABodyText"/>
        <w:numPr>
          <w:ilvl w:val="0"/>
          <w:numId w:val="36"/>
        </w:numPr>
        <w:spacing w:before="120" w:after="0" w:line="240" w:lineRule="auto"/>
        <w:ind w:left="714" w:hanging="357"/>
        <w:rPr>
          <w:rFonts w:ascii="Arial" w:hAnsi="Arial" w:cs="Arial"/>
          <w:sz w:val="20"/>
        </w:rPr>
      </w:pPr>
      <w:r w:rsidRPr="001C2EA0">
        <w:rPr>
          <w:rFonts w:ascii="Arial" w:hAnsi="Arial" w:cs="Arial"/>
          <w:sz w:val="20"/>
        </w:rPr>
        <w:t xml:space="preserve">respect privacy; </w:t>
      </w:r>
    </w:p>
    <w:p w14:paraId="31AE8444"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avoid broadcasting matter causing offence or inciting hatred, or that could alarm or mislead audiences; </w:t>
      </w:r>
    </w:p>
    <w:p w14:paraId="0F14ECB6"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broadcast children’s programming in a manner that has sufficient regard to the healthy educational, emotional and physical development of children; </w:t>
      </w:r>
    </w:p>
    <w:p w14:paraId="30C9CAF3"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provide news and current affairs which is impartial and balanced, and which presents material regarding death, injury and suicide in a sensitive manner; </w:t>
      </w:r>
    </w:p>
    <w:p w14:paraId="487B9508"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abide by basic standards for advertising which reflect Australian community standards (including prohibiting tobacco advertising); </w:t>
      </w:r>
    </w:p>
    <w:p w14:paraId="48113C0E"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refrain from using hypnotic or subliminal perception techniques in broadcasts; </w:t>
      </w:r>
    </w:p>
    <w:p w14:paraId="5839D15B"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lastRenderedPageBreak/>
        <w:t>ensure classification and scheduling decisions take into account the welfare of children, the cultural sensitivities of the relevant international audience and the composition of the audience in different time zones; and</w:t>
      </w:r>
    </w:p>
    <w:p w14:paraId="3D217BF5"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proofErr w:type="gramStart"/>
      <w:r w:rsidRPr="001C2EA0">
        <w:rPr>
          <w:rFonts w:ascii="Arial" w:hAnsi="Arial" w:cs="Arial"/>
          <w:sz w:val="20"/>
        </w:rPr>
        <w:t>respect</w:t>
      </w:r>
      <w:proofErr w:type="gramEnd"/>
      <w:r w:rsidRPr="001C2EA0">
        <w:rPr>
          <w:rFonts w:ascii="Arial" w:hAnsi="Arial" w:cs="Arial"/>
          <w:sz w:val="20"/>
        </w:rPr>
        <w:t xml:space="preserve"> the intellectual property rights of other persons.</w:t>
      </w:r>
    </w:p>
    <w:p w14:paraId="489D2F0F" w14:textId="77777777"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The ACMA’s view is that those limited restrictions on the right to freedom of expression are consistent with the ‘duties and responsibilities’ mentioned in Art 19(3) of the ICCPR. That is, the ACMA considers that those restrictions are necessary: </w:t>
      </w:r>
    </w:p>
    <w:p w14:paraId="5123301C"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for respect of the rights and reputations of others, in that the Guidelines deal with privacy issues, and provide that news and current affairs material should be presented in a fair, accurate and balanced manner;</w:t>
      </w:r>
    </w:p>
    <w:p w14:paraId="4DF97DF5"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for the protection of public order, in that the Guidelines restrict the broadcast of matters which could incite hatred, or which could alarm the public; and</w:t>
      </w:r>
    </w:p>
    <w:p w14:paraId="77620D65" w14:textId="5243C69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r w:rsidRPr="001C2EA0">
        <w:rPr>
          <w:rFonts w:ascii="Arial" w:hAnsi="Arial" w:cs="Arial"/>
          <w:sz w:val="20"/>
        </w:rPr>
        <w:t xml:space="preserve">for the protection of public health, by restricting tobacco advertising, and ensuring children’s programs and advertisements do not promote inappropriate products (alcohol, medicines, narcotic substances) or </w:t>
      </w:r>
      <w:r w:rsidR="00755934" w:rsidRPr="001C2EA0">
        <w:rPr>
          <w:rFonts w:ascii="Arial" w:hAnsi="Arial" w:cs="Arial"/>
          <w:sz w:val="20"/>
        </w:rPr>
        <w:t>mislead</w:t>
      </w:r>
      <w:r w:rsidRPr="001C2EA0">
        <w:rPr>
          <w:rFonts w:ascii="Arial" w:hAnsi="Arial" w:cs="Arial"/>
          <w:sz w:val="20"/>
        </w:rPr>
        <w:t xml:space="preserve"> as to the nutritional content of food products; and </w:t>
      </w:r>
    </w:p>
    <w:p w14:paraId="07A8E364" w14:textId="77777777" w:rsidR="008A6404" w:rsidRPr="001C2EA0" w:rsidRDefault="008A6404" w:rsidP="008A6404">
      <w:pPr>
        <w:pStyle w:val="ABABodyText"/>
        <w:numPr>
          <w:ilvl w:val="0"/>
          <w:numId w:val="36"/>
        </w:numPr>
        <w:spacing w:before="100" w:beforeAutospacing="1" w:after="100" w:afterAutospacing="1" w:line="240" w:lineRule="auto"/>
        <w:rPr>
          <w:rFonts w:ascii="Arial" w:hAnsi="Arial" w:cs="Arial"/>
          <w:sz w:val="20"/>
        </w:rPr>
      </w:pPr>
      <w:proofErr w:type="gramStart"/>
      <w:r w:rsidRPr="001C2EA0">
        <w:rPr>
          <w:rFonts w:ascii="Arial" w:hAnsi="Arial" w:cs="Arial"/>
          <w:sz w:val="20"/>
        </w:rPr>
        <w:t>for</w:t>
      </w:r>
      <w:proofErr w:type="gramEnd"/>
      <w:r w:rsidRPr="001C2EA0">
        <w:rPr>
          <w:rFonts w:ascii="Arial" w:hAnsi="Arial" w:cs="Arial"/>
          <w:sz w:val="20"/>
        </w:rPr>
        <w:t xml:space="preserve"> protection of public morals, in that the Guidelines set minimum standards for offensive material, broadcasting appropriate material for children, and for scheduling and classification of programming.</w:t>
      </w:r>
    </w:p>
    <w:p w14:paraId="75282501" w14:textId="1575B745" w:rsidR="008A6404" w:rsidRPr="001C2EA0" w:rsidRDefault="008A6404" w:rsidP="008A6404">
      <w:pPr>
        <w:spacing w:before="120" w:after="120"/>
        <w:rPr>
          <w:rFonts w:ascii="Arial" w:hAnsi="Arial" w:cs="Arial"/>
          <w:sz w:val="20"/>
        </w:rPr>
      </w:pPr>
      <w:r w:rsidRPr="001C2EA0">
        <w:rPr>
          <w:rFonts w:ascii="Arial" w:hAnsi="Arial" w:cs="Arial"/>
          <w:sz w:val="20"/>
        </w:rPr>
        <w:t>By requiring international broadcasting licensees to provid</w:t>
      </w:r>
      <w:r w:rsidR="00755934" w:rsidRPr="001C2EA0">
        <w:rPr>
          <w:rFonts w:ascii="Arial" w:hAnsi="Arial" w:cs="Arial"/>
          <w:sz w:val="20"/>
        </w:rPr>
        <w:t>e</w:t>
      </w:r>
      <w:r w:rsidRPr="001C2EA0">
        <w:rPr>
          <w:rFonts w:ascii="Arial" w:hAnsi="Arial" w:cs="Arial"/>
          <w:sz w:val="20"/>
        </w:rPr>
        <w:t xml:space="preserve"> programs that meet the minimum standards of the country from which the broadcast has been made, </w:t>
      </w:r>
      <w:r w:rsidR="00755934" w:rsidRPr="001C2EA0">
        <w:rPr>
          <w:rFonts w:ascii="Arial" w:hAnsi="Arial" w:cs="Arial"/>
          <w:sz w:val="20"/>
        </w:rPr>
        <w:t xml:space="preserve">the Guidelines </w:t>
      </w:r>
      <w:r w:rsidRPr="001C2EA0">
        <w:rPr>
          <w:rFonts w:ascii="Arial" w:hAnsi="Arial" w:cs="Arial"/>
          <w:sz w:val="20"/>
        </w:rPr>
        <w:t xml:space="preserve">promote the freedom to receive information and ideas of all kinds that would be disseminated through television programs, consistent with Article 19(2) of the ICCPR. </w:t>
      </w:r>
    </w:p>
    <w:p w14:paraId="1A192D65" w14:textId="557BE83C" w:rsidR="008A6404" w:rsidRPr="001C2EA0" w:rsidRDefault="008A6404" w:rsidP="008A6404">
      <w:pPr>
        <w:spacing w:before="240" w:after="120"/>
        <w:rPr>
          <w:rFonts w:ascii="Arial" w:hAnsi="Arial" w:cs="Arial"/>
          <w:sz w:val="20"/>
        </w:rPr>
      </w:pPr>
      <w:r w:rsidRPr="001C2EA0">
        <w:rPr>
          <w:rFonts w:ascii="Arial" w:hAnsi="Arial" w:cs="Arial"/>
          <w:b/>
          <w:bCs/>
          <w:sz w:val="20"/>
        </w:rPr>
        <w:t>Conclusion</w:t>
      </w:r>
    </w:p>
    <w:p w14:paraId="52EF287F" w14:textId="6004A084" w:rsidR="008A6404" w:rsidRPr="001C2EA0" w:rsidRDefault="008A6404" w:rsidP="008A6404">
      <w:pPr>
        <w:autoSpaceDE w:val="0"/>
        <w:autoSpaceDN w:val="0"/>
        <w:adjustRightInd w:val="0"/>
        <w:rPr>
          <w:rFonts w:ascii="Arial" w:hAnsi="Arial" w:cs="Arial"/>
          <w:sz w:val="20"/>
        </w:rPr>
      </w:pPr>
      <w:r w:rsidRPr="001C2EA0">
        <w:rPr>
          <w:rFonts w:ascii="Arial" w:hAnsi="Arial" w:cs="Arial"/>
          <w:sz w:val="20"/>
        </w:rPr>
        <w:t xml:space="preserve">This legislative instrument is compatible with human rights because, to the limited extent which it restricts the freedom to receive information and ideas of all kinds that would be disseminated through television and radio programs, it does so in a manner that respects the rights and reputations of others, and the protection of public order, public health and morals, by requiring international broadcasting licensees to provide programs </w:t>
      </w:r>
      <w:r w:rsidR="00755934" w:rsidRPr="001C2EA0">
        <w:rPr>
          <w:rFonts w:ascii="Arial" w:hAnsi="Arial" w:cs="Arial"/>
          <w:sz w:val="20"/>
        </w:rPr>
        <w:t>that meet certain</w:t>
      </w:r>
      <w:r w:rsidRPr="001C2EA0">
        <w:rPr>
          <w:rFonts w:ascii="Arial" w:hAnsi="Arial" w:cs="Arial"/>
          <w:sz w:val="20"/>
        </w:rPr>
        <w:t xml:space="preserve"> minimum standards of Australia. </w:t>
      </w:r>
    </w:p>
    <w:p w14:paraId="47DA0019" w14:textId="77777777" w:rsidR="00F92DA6" w:rsidRPr="001C2EA0" w:rsidRDefault="00F92DA6" w:rsidP="00F92DA6">
      <w:pPr>
        <w:rPr>
          <w:sz w:val="20"/>
        </w:rPr>
      </w:pPr>
    </w:p>
    <w:sectPr w:rsidR="00F92DA6" w:rsidRPr="001C2EA0" w:rsidSect="00251DDC">
      <w:headerReference w:type="even" r:id="rId11"/>
      <w:footerReference w:type="even" r:id="rId12"/>
      <w:footerReference w:type="default" r:id="rId13"/>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0C163" w14:textId="77777777" w:rsidR="00A435E5" w:rsidRDefault="00A435E5">
      <w:r>
        <w:separator/>
      </w:r>
    </w:p>
    <w:p w14:paraId="24B7F2CB" w14:textId="77777777" w:rsidR="00A435E5" w:rsidRDefault="00A435E5"/>
    <w:p w14:paraId="3FEA2B17" w14:textId="77777777" w:rsidR="00A435E5" w:rsidRDefault="00A435E5" w:rsidP="0033198E"/>
    <w:p w14:paraId="1583E6ED" w14:textId="77777777" w:rsidR="00A435E5" w:rsidRDefault="00A435E5" w:rsidP="0033198E"/>
  </w:endnote>
  <w:endnote w:type="continuationSeparator" w:id="0">
    <w:p w14:paraId="05AC8D5E" w14:textId="77777777" w:rsidR="00A435E5" w:rsidRDefault="00A435E5">
      <w:r>
        <w:continuationSeparator/>
      </w:r>
    </w:p>
    <w:p w14:paraId="47B80805" w14:textId="77777777" w:rsidR="00A435E5" w:rsidRDefault="00A435E5"/>
    <w:p w14:paraId="7A188ADB" w14:textId="77777777" w:rsidR="00A435E5" w:rsidRDefault="00A435E5" w:rsidP="0033198E"/>
    <w:p w14:paraId="1A93E1DB" w14:textId="77777777" w:rsidR="00A435E5" w:rsidRDefault="00A435E5" w:rsidP="00331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EDC0" w14:textId="77777777" w:rsidR="00BF3198" w:rsidRDefault="00BF3198">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BF3198" w14:paraId="779CFDFC" w14:textId="77777777">
      <w:trPr>
        <w:trHeight w:val="70"/>
        <w:jc w:val="center"/>
      </w:trPr>
      <w:tc>
        <w:tcPr>
          <w:tcW w:w="1758" w:type="dxa"/>
        </w:tcPr>
        <w:p w14:paraId="41FDADE0" w14:textId="77777777" w:rsidR="00BF3198" w:rsidRDefault="00EB6CC9">
          <w:pPr>
            <w:spacing w:line="240" w:lineRule="exact"/>
            <w:ind w:left="-2"/>
            <w:rPr>
              <w:rFonts w:ascii="Arial" w:hAnsi="Arial"/>
              <w:sz w:val="22"/>
            </w:rPr>
          </w:pPr>
          <w:r>
            <w:rPr>
              <w:rStyle w:val="PageNumber"/>
              <w:rFonts w:ascii="Arial" w:hAnsi="Arial"/>
              <w:sz w:val="22"/>
            </w:rPr>
            <w:fldChar w:fldCharType="begin"/>
          </w:r>
          <w:r w:rsidR="00BF3198">
            <w:rPr>
              <w:rStyle w:val="PageNumber"/>
              <w:rFonts w:ascii="Arial" w:hAnsi="Arial"/>
              <w:sz w:val="22"/>
            </w:rPr>
            <w:instrText xml:space="preserve">PAGE  </w:instrText>
          </w:r>
          <w:r>
            <w:rPr>
              <w:rStyle w:val="PageNumber"/>
              <w:rFonts w:ascii="Arial" w:hAnsi="Arial"/>
              <w:sz w:val="22"/>
            </w:rPr>
            <w:fldChar w:fldCharType="separate"/>
          </w:r>
          <w:r w:rsidR="00BF3198">
            <w:rPr>
              <w:rStyle w:val="PageNumber"/>
              <w:rFonts w:ascii="Arial" w:hAnsi="Arial"/>
              <w:noProof/>
              <w:sz w:val="22"/>
            </w:rPr>
            <w:t>6</w:t>
          </w:r>
          <w:r>
            <w:rPr>
              <w:rStyle w:val="PageNumber"/>
              <w:rFonts w:ascii="Arial" w:hAnsi="Arial"/>
              <w:sz w:val="22"/>
            </w:rPr>
            <w:fldChar w:fldCharType="end"/>
          </w:r>
        </w:p>
      </w:tc>
      <w:tc>
        <w:tcPr>
          <w:tcW w:w="4876" w:type="dxa"/>
        </w:tcPr>
        <w:p w14:paraId="3C045406" w14:textId="77777777" w:rsidR="00BF3198" w:rsidRPr="00C268B7" w:rsidRDefault="00BF3198" w:rsidP="00F8360B">
          <w:pPr>
            <w:pStyle w:val="Footer"/>
            <w:rPr>
              <w:sz w:val="15"/>
              <w:szCs w:val="15"/>
            </w:rPr>
          </w:pPr>
          <w:r w:rsidRPr="00C268B7">
            <w:rPr>
              <w:rFonts w:cs="Arial"/>
              <w:sz w:val="15"/>
              <w:szCs w:val="15"/>
            </w:rPr>
            <w:t xml:space="preserve">Broadcasting </w:t>
          </w:r>
          <w:r>
            <w:rPr>
              <w:rFonts w:cs="Arial"/>
              <w:sz w:val="15"/>
              <w:szCs w:val="15"/>
            </w:rPr>
            <w:t xml:space="preserve">Services (Television Captioning) Standard </w:t>
          </w:r>
          <w:r w:rsidRPr="00C268B7">
            <w:rPr>
              <w:rFonts w:cs="Arial"/>
              <w:sz w:val="15"/>
              <w:szCs w:val="15"/>
            </w:rPr>
            <w:t>2013</w:t>
          </w:r>
          <w:r>
            <w:rPr>
              <w:rFonts w:cs="Arial"/>
              <w:sz w:val="15"/>
              <w:szCs w:val="15"/>
            </w:rPr>
            <w:t xml:space="preserve"> 0 Explanatory Statement</w:t>
          </w:r>
        </w:p>
      </w:tc>
      <w:tc>
        <w:tcPr>
          <w:tcW w:w="1758" w:type="dxa"/>
        </w:tcPr>
        <w:p w14:paraId="0D18485E" w14:textId="77777777" w:rsidR="00BF3198" w:rsidRPr="00C268B7" w:rsidRDefault="00BF3198">
          <w:pPr>
            <w:spacing w:line="240" w:lineRule="exact"/>
            <w:jc w:val="right"/>
            <w:rPr>
              <w:sz w:val="15"/>
              <w:szCs w:val="15"/>
            </w:rPr>
          </w:pPr>
        </w:p>
      </w:tc>
    </w:tr>
  </w:tbl>
  <w:p w14:paraId="5CC8A375" w14:textId="77777777" w:rsidR="00BF3198" w:rsidRPr="001602EC" w:rsidRDefault="00BF3198" w:rsidP="00887C82">
    <w:pPr>
      <w:pStyle w:val="Footer"/>
      <w:jc w:val="left"/>
      <w:rPr>
        <w:i w:val="0"/>
        <w:color w:val="000000"/>
        <w:sz w:val="22"/>
        <w:szCs w:val="22"/>
      </w:rPr>
    </w:pPr>
    <w:r w:rsidRPr="001602EC">
      <w:rPr>
        <w:i w:val="0"/>
        <w:color w:val="000000"/>
        <w:sz w:val="22"/>
        <w:szCs w:val="22"/>
      </w:rPr>
      <w:t>Note</w:t>
    </w:r>
  </w:p>
  <w:p w14:paraId="1833A389" w14:textId="77777777" w:rsidR="00BF3198" w:rsidRDefault="00BF3198" w:rsidP="00887C82">
    <w:pPr>
      <w:pStyle w:val="FooterDraft"/>
      <w:jc w:val="left"/>
      <w:rPr>
        <w:b w:val="0"/>
        <w:sz w:val="16"/>
        <w:szCs w:val="16"/>
      </w:rPr>
    </w:pPr>
    <w:r>
      <w:rPr>
        <w:color w:val="000000"/>
        <w:sz w:val="22"/>
        <w:szCs w:val="22"/>
      </w:rPr>
      <w:tab/>
    </w:r>
    <w:r w:rsidRPr="001602EC">
      <w:rPr>
        <w:color w:val="000000"/>
        <w:sz w:val="22"/>
        <w:szCs w:val="22"/>
      </w:rPr>
      <w:t xml:space="preserve">All legislative instruments and compilations are registered on the Federal </w:t>
    </w:r>
    <w:r>
      <w:rPr>
        <w:color w:val="000000"/>
        <w:sz w:val="22"/>
        <w:szCs w:val="22"/>
      </w:rPr>
      <w:tab/>
    </w:r>
    <w:r w:rsidRPr="001602EC">
      <w:rPr>
        <w:color w:val="000000"/>
        <w:sz w:val="22"/>
        <w:szCs w:val="22"/>
      </w:rPr>
      <w:t xml:space="preserve">Register of Legislative Instruments kept under the </w:t>
    </w:r>
    <w:r w:rsidRPr="00275637">
      <w:rPr>
        <w:color w:val="000000"/>
        <w:sz w:val="22"/>
        <w:szCs w:val="22"/>
      </w:rPr>
      <w:t xml:space="preserve">Legislative </w:t>
    </w:r>
    <w:r>
      <w:rPr>
        <w:color w:val="000000"/>
        <w:sz w:val="22"/>
        <w:szCs w:val="22"/>
      </w:rPr>
      <w:tab/>
    </w:r>
    <w:r w:rsidRPr="00275637">
      <w:rPr>
        <w:color w:val="000000"/>
        <w:sz w:val="22"/>
        <w:szCs w:val="22"/>
      </w:rPr>
      <w:t>Instruments Act 2003</w:t>
    </w:r>
    <w:r w:rsidRPr="001602EC">
      <w:rPr>
        <w:color w:val="000000"/>
        <w:sz w:val="22"/>
        <w:szCs w:val="22"/>
      </w:rPr>
      <w:t xml:space="preserve">. See </w:t>
    </w:r>
    <w:hyperlink r:id="rId1" w:history="1">
      <w:r w:rsidRPr="001602EC">
        <w:rPr>
          <w:rStyle w:val="Hyperlink"/>
          <w:sz w:val="22"/>
          <w:szCs w:val="22"/>
        </w:rPr>
        <w:t>http://www.frli.gov.au</w:t>
      </w:r>
    </w:hyperlink>
    <w:r w:rsidRPr="001602EC">
      <w:rPr>
        <w:color w:val="000000"/>
        <w:sz w:val="22"/>
        <w:szCs w:val="22"/>
      </w:rPr>
      <w:t>.</w:t>
    </w:r>
  </w:p>
  <w:p w14:paraId="1015850E" w14:textId="77777777" w:rsidR="00BF3198" w:rsidRDefault="00BF3198" w:rsidP="00887C82">
    <w:pPr>
      <w:pStyle w:val="Footer"/>
      <w:jc w:val="lef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95E5" w14:textId="77777777" w:rsidR="00BF3198" w:rsidRDefault="00BF3198">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891"/>
      <w:gridCol w:w="5743"/>
      <w:gridCol w:w="1758"/>
    </w:tblGrid>
    <w:tr w:rsidR="00BF3198" w14:paraId="66D1C72A" w14:textId="77777777" w:rsidTr="001E464A">
      <w:trPr>
        <w:trHeight w:val="500"/>
        <w:jc w:val="center"/>
      </w:trPr>
      <w:tc>
        <w:tcPr>
          <w:tcW w:w="891" w:type="dxa"/>
        </w:tcPr>
        <w:p w14:paraId="419951BA" w14:textId="77777777" w:rsidR="00BF3198" w:rsidRDefault="00BF3198">
          <w:pPr>
            <w:spacing w:line="240" w:lineRule="exact"/>
            <w:rPr>
              <w:rFonts w:ascii="Arial" w:hAnsi="Arial"/>
              <w:sz w:val="22"/>
            </w:rPr>
          </w:pPr>
        </w:p>
      </w:tc>
      <w:tc>
        <w:tcPr>
          <w:tcW w:w="5743" w:type="dxa"/>
        </w:tcPr>
        <w:p w14:paraId="31E116C0" w14:textId="77777777" w:rsidR="00BF3198" w:rsidRPr="00C268B7" w:rsidRDefault="00DA4473" w:rsidP="001E464A">
          <w:pPr>
            <w:pStyle w:val="Footer"/>
            <w:jc w:val="both"/>
            <w:rPr>
              <w:sz w:val="15"/>
              <w:szCs w:val="15"/>
            </w:rPr>
          </w:pPr>
          <w:r>
            <w:rPr>
              <w:rFonts w:cs="Arial"/>
              <w:sz w:val="15"/>
              <w:szCs w:val="15"/>
            </w:rPr>
            <w:t xml:space="preserve">Explanatory Statement - </w:t>
          </w:r>
          <w:r w:rsidR="00BF3198" w:rsidRPr="00C268B7">
            <w:rPr>
              <w:rFonts w:cs="Arial"/>
              <w:sz w:val="15"/>
              <w:szCs w:val="15"/>
            </w:rPr>
            <w:t>Broadcasting Services (</w:t>
          </w:r>
          <w:r w:rsidR="001E464A">
            <w:rPr>
              <w:rFonts w:cs="Arial"/>
              <w:sz w:val="15"/>
              <w:szCs w:val="15"/>
            </w:rPr>
            <w:t>International Broadcasting) Guidelines</w:t>
          </w:r>
          <w:r w:rsidR="00BF3198">
            <w:rPr>
              <w:rFonts w:cs="Arial"/>
              <w:sz w:val="15"/>
              <w:szCs w:val="15"/>
            </w:rPr>
            <w:t xml:space="preserve"> </w:t>
          </w:r>
          <w:r w:rsidR="00831865">
            <w:rPr>
              <w:rFonts w:cs="Arial"/>
              <w:sz w:val="15"/>
              <w:szCs w:val="15"/>
            </w:rPr>
            <w:t>2016</w:t>
          </w:r>
        </w:p>
      </w:tc>
      <w:tc>
        <w:tcPr>
          <w:tcW w:w="1758" w:type="dxa"/>
        </w:tcPr>
        <w:p w14:paraId="233296D9" w14:textId="77777777" w:rsidR="00BF3198" w:rsidRDefault="00EB6CC9">
          <w:pPr>
            <w:spacing w:line="240" w:lineRule="exact"/>
            <w:jc w:val="right"/>
          </w:pPr>
          <w:r>
            <w:rPr>
              <w:rStyle w:val="PageNumber"/>
              <w:rFonts w:ascii="Arial" w:hAnsi="Arial"/>
              <w:sz w:val="22"/>
            </w:rPr>
            <w:fldChar w:fldCharType="begin"/>
          </w:r>
          <w:r w:rsidR="00BF3198">
            <w:rPr>
              <w:rStyle w:val="PageNumber"/>
              <w:rFonts w:ascii="Arial" w:hAnsi="Arial"/>
              <w:sz w:val="22"/>
            </w:rPr>
            <w:instrText xml:space="preserve">PAGE  </w:instrText>
          </w:r>
          <w:r>
            <w:rPr>
              <w:rStyle w:val="PageNumber"/>
              <w:rFonts w:ascii="Arial" w:hAnsi="Arial"/>
              <w:sz w:val="22"/>
            </w:rPr>
            <w:fldChar w:fldCharType="separate"/>
          </w:r>
          <w:r w:rsidR="00BD7DB5">
            <w:rPr>
              <w:rStyle w:val="PageNumber"/>
              <w:rFonts w:ascii="Arial" w:hAnsi="Arial"/>
              <w:noProof/>
              <w:sz w:val="22"/>
            </w:rPr>
            <w:t>5</w:t>
          </w:r>
          <w:r>
            <w:rPr>
              <w:rStyle w:val="PageNumber"/>
              <w:rFonts w:ascii="Arial" w:hAnsi="Arial"/>
              <w:sz w:val="22"/>
            </w:rPr>
            <w:fldChar w:fldCharType="end"/>
          </w:r>
        </w:p>
      </w:tc>
    </w:tr>
  </w:tbl>
  <w:p w14:paraId="18D28947" w14:textId="77777777" w:rsidR="00BF3198" w:rsidRDefault="00BF3198" w:rsidP="004C0869">
    <w:pPr>
      <w:pStyle w:val="Footer"/>
      <w:jc w:val="left"/>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E2529" w14:textId="77777777" w:rsidR="00A435E5" w:rsidRDefault="00A435E5">
      <w:r>
        <w:separator/>
      </w:r>
    </w:p>
    <w:p w14:paraId="4DD47F18" w14:textId="77777777" w:rsidR="00A435E5" w:rsidRDefault="00A435E5"/>
    <w:p w14:paraId="6C1C9674" w14:textId="77777777" w:rsidR="00A435E5" w:rsidRDefault="00A435E5" w:rsidP="0033198E"/>
    <w:p w14:paraId="1FC4DF12" w14:textId="77777777" w:rsidR="00A435E5" w:rsidRDefault="00A435E5" w:rsidP="0033198E"/>
  </w:footnote>
  <w:footnote w:type="continuationSeparator" w:id="0">
    <w:p w14:paraId="680A6191" w14:textId="77777777" w:rsidR="00A435E5" w:rsidRDefault="00A435E5">
      <w:r>
        <w:continuationSeparator/>
      </w:r>
    </w:p>
    <w:p w14:paraId="714DDDA7" w14:textId="77777777" w:rsidR="00A435E5" w:rsidRDefault="00A435E5"/>
    <w:p w14:paraId="533D31AC" w14:textId="77777777" w:rsidR="00A435E5" w:rsidRDefault="00A435E5" w:rsidP="0033198E"/>
    <w:p w14:paraId="6DA783CD" w14:textId="77777777" w:rsidR="00A435E5" w:rsidRDefault="00A435E5" w:rsidP="003319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531"/>
      <w:gridCol w:w="6804"/>
    </w:tblGrid>
    <w:tr w:rsidR="00BF3198" w14:paraId="29479143" w14:textId="77777777">
      <w:trPr>
        <w:jc w:val="center"/>
      </w:trPr>
      <w:tc>
        <w:tcPr>
          <w:tcW w:w="1531" w:type="dxa"/>
        </w:tcPr>
        <w:p w14:paraId="0A2F94D6" w14:textId="77777777" w:rsidR="00BF3198" w:rsidRDefault="00BF3198">
          <w:pPr>
            <w:pStyle w:val="HeaderLiteEven"/>
          </w:pPr>
        </w:p>
      </w:tc>
      <w:tc>
        <w:tcPr>
          <w:tcW w:w="6804" w:type="dxa"/>
        </w:tcPr>
        <w:p w14:paraId="5E6D7C54" w14:textId="77777777" w:rsidR="00BF3198" w:rsidRDefault="00BF3198">
          <w:pPr>
            <w:pStyle w:val="HeaderLiteEven"/>
          </w:pPr>
        </w:p>
      </w:tc>
    </w:tr>
    <w:tr w:rsidR="00BF3198" w14:paraId="58E629F3" w14:textId="77777777">
      <w:trPr>
        <w:jc w:val="center"/>
      </w:trPr>
      <w:tc>
        <w:tcPr>
          <w:tcW w:w="1531" w:type="dxa"/>
        </w:tcPr>
        <w:p w14:paraId="399C7CA6" w14:textId="77777777" w:rsidR="00BF3198" w:rsidRDefault="00BF3198">
          <w:pPr>
            <w:pStyle w:val="HeaderLiteEven"/>
          </w:pPr>
        </w:p>
      </w:tc>
      <w:tc>
        <w:tcPr>
          <w:tcW w:w="6804" w:type="dxa"/>
        </w:tcPr>
        <w:p w14:paraId="4366C6D1" w14:textId="77777777" w:rsidR="00BF3198" w:rsidRDefault="00BF3198">
          <w:pPr>
            <w:pStyle w:val="HeaderLiteEven"/>
          </w:pPr>
        </w:p>
      </w:tc>
    </w:tr>
    <w:tr w:rsidR="00BF3198" w14:paraId="0BBC883B" w14:textId="77777777">
      <w:trPr>
        <w:jc w:val="center"/>
      </w:trPr>
      <w:tc>
        <w:tcPr>
          <w:tcW w:w="1531" w:type="dxa"/>
          <w:tcBorders>
            <w:bottom w:val="single" w:sz="4" w:space="0" w:color="auto"/>
          </w:tcBorders>
        </w:tcPr>
        <w:p w14:paraId="10E429F2" w14:textId="77777777" w:rsidR="00BF3198" w:rsidRDefault="00BF3198">
          <w:pPr>
            <w:pStyle w:val="HeaderLiteEven"/>
            <w:spacing w:before="120" w:after="60"/>
          </w:pPr>
        </w:p>
      </w:tc>
      <w:tc>
        <w:tcPr>
          <w:tcW w:w="6804" w:type="dxa"/>
          <w:tcBorders>
            <w:bottom w:val="single" w:sz="4" w:space="0" w:color="auto"/>
          </w:tcBorders>
        </w:tcPr>
        <w:p w14:paraId="1C29D426" w14:textId="77777777" w:rsidR="00BF3198" w:rsidRDefault="00BF3198">
          <w:pPr>
            <w:pStyle w:val="HeaderLiteEven"/>
            <w:spacing w:before="120" w:after="60"/>
          </w:pPr>
        </w:p>
      </w:tc>
    </w:tr>
  </w:tbl>
  <w:p w14:paraId="5AC2EB6A" w14:textId="77777777" w:rsidR="00BF3198" w:rsidRDefault="00BF3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1">
    <w:nsid w:val="041D77B1"/>
    <w:multiLevelType w:val="hybridMultilevel"/>
    <w:tmpl w:val="1D222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3">
    <w:nsid w:val="0E1E3BEF"/>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0FB82CFC"/>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218F2ED8"/>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7">
    <w:nsid w:val="21B84691"/>
    <w:multiLevelType w:val="hybridMultilevel"/>
    <w:tmpl w:val="1E46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D2C81"/>
    <w:multiLevelType w:val="hybridMultilevel"/>
    <w:tmpl w:val="33AA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1545D7"/>
    <w:multiLevelType w:val="hybridMultilevel"/>
    <w:tmpl w:val="F384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1900A3"/>
    <w:multiLevelType w:val="hybridMultilevel"/>
    <w:tmpl w:val="2EBC5620"/>
    <w:lvl w:ilvl="0" w:tplc="F3E2D35C">
      <w:start w:val="1"/>
      <w:numFmt w:val="lowerRoman"/>
      <w:lvlText w:val="(%1)"/>
      <w:lvlJc w:val="left"/>
      <w:pPr>
        <w:ind w:left="2193" w:hanging="360"/>
      </w:pPr>
      <w:rPr>
        <w:rFonts w:hint="default"/>
        <w:i w:val="0"/>
      </w:rPr>
    </w:lvl>
    <w:lvl w:ilvl="1" w:tplc="0C090019">
      <w:start w:val="1"/>
      <w:numFmt w:val="lowerLetter"/>
      <w:lvlText w:val="%2."/>
      <w:lvlJc w:val="left"/>
      <w:pPr>
        <w:ind w:left="1395" w:hanging="360"/>
      </w:pPr>
    </w:lvl>
    <w:lvl w:ilvl="2" w:tplc="0C09001B">
      <w:start w:val="1"/>
      <w:numFmt w:val="lowerRoman"/>
      <w:lvlText w:val="%3."/>
      <w:lvlJc w:val="right"/>
      <w:pPr>
        <w:ind w:left="2115" w:hanging="180"/>
      </w:pPr>
    </w:lvl>
    <w:lvl w:ilvl="3" w:tplc="0C09000F">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1">
    <w:nsid w:val="30EF0D47"/>
    <w:multiLevelType w:val="hybridMultilevel"/>
    <w:tmpl w:val="15B407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1B764BB"/>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13">
    <w:nsid w:val="3720790C"/>
    <w:multiLevelType w:val="hybridMultilevel"/>
    <w:tmpl w:val="DB888F94"/>
    <w:lvl w:ilvl="0" w:tplc="99DC2850">
      <w:start w:val="1"/>
      <w:numFmt w:val="decimal"/>
      <w:pStyle w:val="Heading1"/>
      <w:lvlText w:val="%1"/>
      <w:lvlJc w:val="left"/>
      <w:pPr>
        <w:ind w:left="927" w:hanging="360"/>
      </w:pPr>
      <w:rPr>
        <w:rFonts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3A5C241B"/>
    <w:multiLevelType w:val="hybridMultilevel"/>
    <w:tmpl w:val="BDB0A46E"/>
    <w:lvl w:ilvl="0" w:tplc="77EC1F8C">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C52E23"/>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nsid w:val="3C9D02F5"/>
    <w:multiLevelType w:val="hybridMultilevel"/>
    <w:tmpl w:val="3E3C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176C7D"/>
    <w:multiLevelType w:val="hybridMultilevel"/>
    <w:tmpl w:val="6B68DA9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42794F4A"/>
    <w:multiLevelType w:val="hybridMultilevel"/>
    <w:tmpl w:val="FB823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8747A6"/>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4EB11866"/>
    <w:multiLevelType w:val="hybridMultilevel"/>
    <w:tmpl w:val="620E492A"/>
    <w:lvl w:ilvl="0" w:tplc="2138DF38">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nsid w:val="50FB0088"/>
    <w:multiLevelType w:val="hybridMultilevel"/>
    <w:tmpl w:val="3E164292"/>
    <w:lvl w:ilvl="0" w:tplc="2138DF38">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2">
    <w:nsid w:val="51FE33B9"/>
    <w:multiLevelType w:val="hybridMultilevel"/>
    <w:tmpl w:val="798A3246"/>
    <w:lvl w:ilvl="0" w:tplc="2AE265DC">
      <w:start w:val="1"/>
      <w:numFmt w:val="lowerLetter"/>
      <w:lvlText w:val="(%1)"/>
      <w:lvlJc w:val="left"/>
      <w:pPr>
        <w:ind w:left="927" w:hanging="36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53E839D3"/>
    <w:multiLevelType w:val="hybridMultilevel"/>
    <w:tmpl w:val="08B205B4"/>
    <w:lvl w:ilvl="0" w:tplc="C39A6DF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567929F2"/>
    <w:multiLevelType w:val="hybridMultilevel"/>
    <w:tmpl w:val="79D0BAE4"/>
    <w:lvl w:ilvl="0" w:tplc="C39A6DF0">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nsid w:val="57BD4753"/>
    <w:multiLevelType w:val="hybridMultilevel"/>
    <w:tmpl w:val="798A3246"/>
    <w:lvl w:ilvl="0" w:tplc="2AE265DC">
      <w:start w:val="1"/>
      <w:numFmt w:val="lowerLetter"/>
      <w:lvlText w:val="(%1)"/>
      <w:lvlJc w:val="left"/>
      <w:pPr>
        <w:ind w:left="927" w:hanging="36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59FF63FC"/>
    <w:multiLevelType w:val="hybridMultilevel"/>
    <w:tmpl w:val="FCA85098"/>
    <w:lvl w:ilvl="0" w:tplc="D940295C">
      <w:start w:val="1"/>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28">
    <w:nsid w:val="67057F5C"/>
    <w:multiLevelType w:val="hybridMultilevel"/>
    <w:tmpl w:val="9572E096"/>
    <w:lvl w:ilvl="0" w:tplc="2138D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B73BF9"/>
    <w:multiLevelType w:val="hybridMultilevel"/>
    <w:tmpl w:val="1B0057F2"/>
    <w:lvl w:ilvl="0" w:tplc="772088A2">
      <w:start w:val="1"/>
      <w:numFmt w:val="lowerRoman"/>
      <w:lvlText w:val="(%1)"/>
      <w:lvlJc w:val="left"/>
      <w:pPr>
        <w:ind w:left="1602" w:hanging="360"/>
      </w:pPr>
      <w:rPr>
        <w:rFonts w:hint="default"/>
        <w:i w:val="0"/>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30">
    <w:nsid w:val="714B0814"/>
    <w:multiLevelType w:val="hybridMultilevel"/>
    <w:tmpl w:val="253E043C"/>
    <w:lvl w:ilvl="0" w:tplc="2138D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5B19DA"/>
    <w:multiLevelType w:val="hybridMultilevel"/>
    <w:tmpl w:val="1260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B601FE"/>
    <w:multiLevelType w:val="hybridMultilevel"/>
    <w:tmpl w:val="1E7E0D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F1B7056"/>
    <w:multiLevelType w:val="hybridMultilevel"/>
    <w:tmpl w:val="AF72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3"/>
  </w:num>
  <w:num w:numId="4">
    <w:abstractNumId w:val="3"/>
  </w:num>
  <w:num w:numId="5">
    <w:abstractNumId w:val="4"/>
  </w:num>
  <w:num w:numId="6">
    <w:abstractNumId w:val="10"/>
  </w:num>
  <w:num w:numId="7">
    <w:abstractNumId w:val="29"/>
  </w:num>
  <w:num w:numId="8">
    <w:abstractNumId w:val="15"/>
  </w:num>
  <w:num w:numId="9">
    <w:abstractNumId w:val="23"/>
  </w:num>
  <w:num w:numId="10">
    <w:abstractNumId w:val="22"/>
  </w:num>
  <w:num w:numId="11">
    <w:abstractNumId w:val="19"/>
  </w:num>
  <w:num w:numId="12">
    <w:abstractNumId w:val="24"/>
  </w:num>
  <w:num w:numId="13">
    <w:abstractNumId w:val="12"/>
  </w:num>
  <w:num w:numId="14">
    <w:abstractNumId w:val="6"/>
  </w:num>
  <w:num w:numId="15">
    <w:abstractNumId w:val="13"/>
  </w:num>
  <w:num w:numId="16">
    <w:abstractNumId w:val="25"/>
  </w:num>
  <w:num w:numId="17">
    <w:abstractNumId w:val="5"/>
  </w:num>
  <w:num w:numId="18">
    <w:abstractNumId w:val="13"/>
  </w:num>
  <w:num w:numId="19">
    <w:abstractNumId w:val="13"/>
  </w:num>
  <w:num w:numId="20">
    <w:abstractNumId w:val="17"/>
  </w:num>
  <w:num w:numId="21">
    <w:abstractNumId w:val="13"/>
  </w:num>
  <w:num w:numId="22">
    <w:abstractNumId w:val="26"/>
  </w:num>
  <w:num w:numId="23">
    <w:abstractNumId w:val="0"/>
  </w:num>
  <w:num w:numId="24">
    <w:abstractNumId w:val="7"/>
  </w:num>
  <w:num w:numId="25">
    <w:abstractNumId w:val="1"/>
  </w:num>
  <w:num w:numId="26">
    <w:abstractNumId w:val="31"/>
  </w:num>
  <w:num w:numId="27">
    <w:abstractNumId w:val="33"/>
  </w:num>
  <w:num w:numId="28">
    <w:abstractNumId w:val="21"/>
  </w:num>
  <w:num w:numId="29">
    <w:abstractNumId w:val="32"/>
  </w:num>
  <w:num w:numId="30">
    <w:abstractNumId w:val="28"/>
  </w:num>
  <w:num w:numId="31">
    <w:abstractNumId w:val="18"/>
  </w:num>
  <w:num w:numId="32">
    <w:abstractNumId w:val="30"/>
  </w:num>
  <w:num w:numId="33">
    <w:abstractNumId w:val="16"/>
  </w:num>
  <w:num w:numId="34">
    <w:abstractNumId w:val="20"/>
  </w:num>
  <w:num w:numId="35">
    <w:abstractNumId w:val="8"/>
  </w:num>
  <w:num w:numId="36">
    <w:abstractNumId w:val="9"/>
  </w:num>
  <w:num w:numId="37">
    <w:abstractNumId w:val="11"/>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DF"/>
    <w:rsid w:val="0000258E"/>
    <w:rsid w:val="000239B1"/>
    <w:rsid w:val="00023D71"/>
    <w:rsid w:val="00024892"/>
    <w:rsid w:val="00051F08"/>
    <w:rsid w:val="00055701"/>
    <w:rsid w:val="00057056"/>
    <w:rsid w:val="000610A6"/>
    <w:rsid w:val="0006313C"/>
    <w:rsid w:val="00064C91"/>
    <w:rsid w:val="00080205"/>
    <w:rsid w:val="00084444"/>
    <w:rsid w:val="00087355"/>
    <w:rsid w:val="00095064"/>
    <w:rsid w:val="000A1CD7"/>
    <w:rsid w:val="000A2E1B"/>
    <w:rsid w:val="000B437B"/>
    <w:rsid w:val="000C2681"/>
    <w:rsid w:val="000C49F8"/>
    <w:rsid w:val="000D48DB"/>
    <w:rsid w:val="000D612E"/>
    <w:rsid w:val="000D67B9"/>
    <w:rsid w:val="000E00CE"/>
    <w:rsid w:val="000E1AF4"/>
    <w:rsid w:val="000E1F29"/>
    <w:rsid w:val="000E1F80"/>
    <w:rsid w:val="000E2805"/>
    <w:rsid w:val="000E4B70"/>
    <w:rsid w:val="000F295C"/>
    <w:rsid w:val="000F576F"/>
    <w:rsid w:val="001013A5"/>
    <w:rsid w:val="00104EA3"/>
    <w:rsid w:val="00105C1A"/>
    <w:rsid w:val="001060DB"/>
    <w:rsid w:val="001064A3"/>
    <w:rsid w:val="00110F50"/>
    <w:rsid w:val="00111143"/>
    <w:rsid w:val="001111DE"/>
    <w:rsid w:val="00113A58"/>
    <w:rsid w:val="001160D3"/>
    <w:rsid w:val="0011752F"/>
    <w:rsid w:val="00123A2D"/>
    <w:rsid w:val="001259CB"/>
    <w:rsid w:val="001315D7"/>
    <w:rsid w:val="00131C4C"/>
    <w:rsid w:val="00140FD9"/>
    <w:rsid w:val="001602EC"/>
    <w:rsid w:val="00162618"/>
    <w:rsid w:val="001650CB"/>
    <w:rsid w:val="00166BAB"/>
    <w:rsid w:val="00167183"/>
    <w:rsid w:val="00167EA7"/>
    <w:rsid w:val="00174430"/>
    <w:rsid w:val="00174928"/>
    <w:rsid w:val="00193D91"/>
    <w:rsid w:val="00197975"/>
    <w:rsid w:val="001A165F"/>
    <w:rsid w:val="001B120E"/>
    <w:rsid w:val="001B2B8C"/>
    <w:rsid w:val="001B3685"/>
    <w:rsid w:val="001C2EA0"/>
    <w:rsid w:val="001D2D88"/>
    <w:rsid w:val="001D57E3"/>
    <w:rsid w:val="001E464A"/>
    <w:rsid w:val="001E4D8B"/>
    <w:rsid w:val="001F43D0"/>
    <w:rsid w:val="001F47FD"/>
    <w:rsid w:val="001F6A85"/>
    <w:rsid w:val="001F7A33"/>
    <w:rsid w:val="001F7DA3"/>
    <w:rsid w:val="00222A77"/>
    <w:rsid w:val="00232662"/>
    <w:rsid w:val="00233011"/>
    <w:rsid w:val="002330CC"/>
    <w:rsid w:val="00234BF8"/>
    <w:rsid w:val="002407C4"/>
    <w:rsid w:val="00243D04"/>
    <w:rsid w:val="002477FF"/>
    <w:rsid w:val="00251DDC"/>
    <w:rsid w:val="002530B2"/>
    <w:rsid w:val="00255A15"/>
    <w:rsid w:val="00255AD6"/>
    <w:rsid w:val="00255B81"/>
    <w:rsid w:val="00255BE9"/>
    <w:rsid w:val="00260911"/>
    <w:rsid w:val="002622C5"/>
    <w:rsid w:val="002634F7"/>
    <w:rsid w:val="00266B79"/>
    <w:rsid w:val="00270EF4"/>
    <w:rsid w:val="00271EE9"/>
    <w:rsid w:val="00275637"/>
    <w:rsid w:val="002811BB"/>
    <w:rsid w:val="002814B4"/>
    <w:rsid w:val="00287CA1"/>
    <w:rsid w:val="00294E75"/>
    <w:rsid w:val="002A092C"/>
    <w:rsid w:val="002A57EA"/>
    <w:rsid w:val="002A7E48"/>
    <w:rsid w:val="002B1383"/>
    <w:rsid w:val="002C0488"/>
    <w:rsid w:val="002D0AE0"/>
    <w:rsid w:val="002D7A48"/>
    <w:rsid w:val="002D7CAD"/>
    <w:rsid w:val="002E27A5"/>
    <w:rsid w:val="002F454E"/>
    <w:rsid w:val="002F4D6C"/>
    <w:rsid w:val="00300D95"/>
    <w:rsid w:val="00301F8F"/>
    <w:rsid w:val="0030529C"/>
    <w:rsid w:val="00305AC2"/>
    <w:rsid w:val="003113FB"/>
    <w:rsid w:val="00316E44"/>
    <w:rsid w:val="00321CA9"/>
    <w:rsid w:val="00323581"/>
    <w:rsid w:val="003272BF"/>
    <w:rsid w:val="0033198E"/>
    <w:rsid w:val="00331AF9"/>
    <w:rsid w:val="003345A0"/>
    <w:rsid w:val="003367E6"/>
    <w:rsid w:val="0034009F"/>
    <w:rsid w:val="00343FB6"/>
    <w:rsid w:val="00351331"/>
    <w:rsid w:val="00351E5B"/>
    <w:rsid w:val="00351F7F"/>
    <w:rsid w:val="00352E21"/>
    <w:rsid w:val="0035338B"/>
    <w:rsid w:val="00353E12"/>
    <w:rsid w:val="00354687"/>
    <w:rsid w:val="0036459E"/>
    <w:rsid w:val="00365639"/>
    <w:rsid w:val="003676D2"/>
    <w:rsid w:val="00375926"/>
    <w:rsid w:val="00385BBF"/>
    <w:rsid w:val="00390A59"/>
    <w:rsid w:val="00392168"/>
    <w:rsid w:val="003A0970"/>
    <w:rsid w:val="003A1EF5"/>
    <w:rsid w:val="003A5837"/>
    <w:rsid w:val="003A6491"/>
    <w:rsid w:val="003B41E7"/>
    <w:rsid w:val="003B7DFA"/>
    <w:rsid w:val="003C0E7A"/>
    <w:rsid w:val="003C1D66"/>
    <w:rsid w:val="003C3A4E"/>
    <w:rsid w:val="003C597B"/>
    <w:rsid w:val="003C5CE6"/>
    <w:rsid w:val="003D12E7"/>
    <w:rsid w:val="003D48D5"/>
    <w:rsid w:val="003E615D"/>
    <w:rsid w:val="0040602D"/>
    <w:rsid w:val="0040764E"/>
    <w:rsid w:val="00411F7A"/>
    <w:rsid w:val="00414633"/>
    <w:rsid w:val="00414D8E"/>
    <w:rsid w:val="00416338"/>
    <w:rsid w:val="004217AA"/>
    <w:rsid w:val="00430459"/>
    <w:rsid w:val="00430AB1"/>
    <w:rsid w:val="00432AB1"/>
    <w:rsid w:val="00444663"/>
    <w:rsid w:val="00445879"/>
    <w:rsid w:val="0044779F"/>
    <w:rsid w:val="00447FB7"/>
    <w:rsid w:val="00461BC6"/>
    <w:rsid w:val="0046460E"/>
    <w:rsid w:val="00473144"/>
    <w:rsid w:val="00473D78"/>
    <w:rsid w:val="00474742"/>
    <w:rsid w:val="00483EEF"/>
    <w:rsid w:val="00484ACF"/>
    <w:rsid w:val="004904DC"/>
    <w:rsid w:val="004937EF"/>
    <w:rsid w:val="00494DCC"/>
    <w:rsid w:val="004B081C"/>
    <w:rsid w:val="004B314F"/>
    <w:rsid w:val="004B69D9"/>
    <w:rsid w:val="004C00DD"/>
    <w:rsid w:val="004C0224"/>
    <w:rsid w:val="004C0869"/>
    <w:rsid w:val="004C123F"/>
    <w:rsid w:val="004C41C8"/>
    <w:rsid w:val="004C483E"/>
    <w:rsid w:val="004C63C7"/>
    <w:rsid w:val="004C729A"/>
    <w:rsid w:val="004D5446"/>
    <w:rsid w:val="004E425A"/>
    <w:rsid w:val="004E4BB4"/>
    <w:rsid w:val="004E7182"/>
    <w:rsid w:val="00500CC7"/>
    <w:rsid w:val="0051004A"/>
    <w:rsid w:val="00514029"/>
    <w:rsid w:val="00521AD2"/>
    <w:rsid w:val="00522055"/>
    <w:rsid w:val="005271E1"/>
    <w:rsid w:val="00536BEC"/>
    <w:rsid w:val="0055702E"/>
    <w:rsid w:val="005573F7"/>
    <w:rsid w:val="00557E74"/>
    <w:rsid w:val="0056554F"/>
    <w:rsid w:val="00565AEC"/>
    <w:rsid w:val="00565C99"/>
    <w:rsid w:val="00572F1B"/>
    <w:rsid w:val="0057498E"/>
    <w:rsid w:val="0058390E"/>
    <w:rsid w:val="00585C58"/>
    <w:rsid w:val="00590250"/>
    <w:rsid w:val="00592C07"/>
    <w:rsid w:val="0059509F"/>
    <w:rsid w:val="005A23AF"/>
    <w:rsid w:val="005A6CE2"/>
    <w:rsid w:val="005B1AE0"/>
    <w:rsid w:val="005B7D5F"/>
    <w:rsid w:val="005C078F"/>
    <w:rsid w:val="005C7C46"/>
    <w:rsid w:val="005D41C2"/>
    <w:rsid w:val="005E20F9"/>
    <w:rsid w:val="005E33F9"/>
    <w:rsid w:val="005E4B84"/>
    <w:rsid w:val="005F0498"/>
    <w:rsid w:val="005F7811"/>
    <w:rsid w:val="00601889"/>
    <w:rsid w:val="0060450E"/>
    <w:rsid w:val="006045BA"/>
    <w:rsid w:val="006052DB"/>
    <w:rsid w:val="00607D02"/>
    <w:rsid w:val="00607D41"/>
    <w:rsid w:val="00607DFE"/>
    <w:rsid w:val="006109B9"/>
    <w:rsid w:val="00611013"/>
    <w:rsid w:val="006145BA"/>
    <w:rsid w:val="00615CA6"/>
    <w:rsid w:val="00616698"/>
    <w:rsid w:val="00621986"/>
    <w:rsid w:val="0062306E"/>
    <w:rsid w:val="0062408D"/>
    <w:rsid w:val="00633BB3"/>
    <w:rsid w:val="00634DE9"/>
    <w:rsid w:val="00641B14"/>
    <w:rsid w:val="0064390D"/>
    <w:rsid w:val="00646DE2"/>
    <w:rsid w:val="00652448"/>
    <w:rsid w:val="00652DDD"/>
    <w:rsid w:val="00656FD0"/>
    <w:rsid w:val="006608A1"/>
    <w:rsid w:val="0066471A"/>
    <w:rsid w:val="00671F58"/>
    <w:rsid w:val="00673AF5"/>
    <w:rsid w:val="0067572F"/>
    <w:rsid w:val="006772A8"/>
    <w:rsid w:val="00677E15"/>
    <w:rsid w:val="00681C0F"/>
    <w:rsid w:val="006824D1"/>
    <w:rsid w:val="006926C5"/>
    <w:rsid w:val="006A7767"/>
    <w:rsid w:val="006B1566"/>
    <w:rsid w:val="006B1FAC"/>
    <w:rsid w:val="006B318F"/>
    <w:rsid w:val="006B4380"/>
    <w:rsid w:val="006B4805"/>
    <w:rsid w:val="006B62A3"/>
    <w:rsid w:val="006C720B"/>
    <w:rsid w:val="006C76A5"/>
    <w:rsid w:val="006D2016"/>
    <w:rsid w:val="006D2041"/>
    <w:rsid w:val="006D2F7B"/>
    <w:rsid w:val="006E08E3"/>
    <w:rsid w:val="006E0A74"/>
    <w:rsid w:val="006E256B"/>
    <w:rsid w:val="006E6DB8"/>
    <w:rsid w:val="00703231"/>
    <w:rsid w:val="00704807"/>
    <w:rsid w:val="00711837"/>
    <w:rsid w:val="007136C3"/>
    <w:rsid w:val="00722CA1"/>
    <w:rsid w:val="007259BD"/>
    <w:rsid w:val="0072677B"/>
    <w:rsid w:val="00726E37"/>
    <w:rsid w:val="00731BCD"/>
    <w:rsid w:val="00735BEA"/>
    <w:rsid w:val="007375E7"/>
    <w:rsid w:val="00741E0D"/>
    <w:rsid w:val="00743963"/>
    <w:rsid w:val="00750123"/>
    <w:rsid w:val="00750BD4"/>
    <w:rsid w:val="0075409D"/>
    <w:rsid w:val="00755934"/>
    <w:rsid w:val="0077168B"/>
    <w:rsid w:val="007735E3"/>
    <w:rsid w:val="00775974"/>
    <w:rsid w:val="0078123A"/>
    <w:rsid w:val="00781D2E"/>
    <w:rsid w:val="007860A3"/>
    <w:rsid w:val="00786293"/>
    <w:rsid w:val="0079387B"/>
    <w:rsid w:val="00796620"/>
    <w:rsid w:val="00797C4D"/>
    <w:rsid w:val="007A71E1"/>
    <w:rsid w:val="007B4AE6"/>
    <w:rsid w:val="007B554A"/>
    <w:rsid w:val="007B64BE"/>
    <w:rsid w:val="007C169E"/>
    <w:rsid w:val="007C36CA"/>
    <w:rsid w:val="007C478B"/>
    <w:rsid w:val="007C52B2"/>
    <w:rsid w:val="007D24F6"/>
    <w:rsid w:val="007D372F"/>
    <w:rsid w:val="007D4843"/>
    <w:rsid w:val="007D7C5E"/>
    <w:rsid w:val="007E0DAE"/>
    <w:rsid w:val="007E3D7E"/>
    <w:rsid w:val="007E5316"/>
    <w:rsid w:val="007F016E"/>
    <w:rsid w:val="007F6E5D"/>
    <w:rsid w:val="00800FD7"/>
    <w:rsid w:val="00805391"/>
    <w:rsid w:val="00807FEA"/>
    <w:rsid w:val="00813462"/>
    <w:rsid w:val="00814848"/>
    <w:rsid w:val="00816EC2"/>
    <w:rsid w:val="00823B17"/>
    <w:rsid w:val="00825ED2"/>
    <w:rsid w:val="00831865"/>
    <w:rsid w:val="0083706E"/>
    <w:rsid w:val="00843482"/>
    <w:rsid w:val="008501CF"/>
    <w:rsid w:val="00854BE3"/>
    <w:rsid w:val="008716DF"/>
    <w:rsid w:val="008824E6"/>
    <w:rsid w:val="00883245"/>
    <w:rsid w:val="008837B1"/>
    <w:rsid w:val="00887C82"/>
    <w:rsid w:val="008923BD"/>
    <w:rsid w:val="008954EC"/>
    <w:rsid w:val="008A0E42"/>
    <w:rsid w:val="008A2A55"/>
    <w:rsid w:val="008A43E1"/>
    <w:rsid w:val="008A528A"/>
    <w:rsid w:val="008A6404"/>
    <w:rsid w:val="008A728E"/>
    <w:rsid w:val="008B2739"/>
    <w:rsid w:val="008B3A6A"/>
    <w:rsid w:val="008B3B45"/>
    <w:rsid w:val="008D26F1"/>
    <w:rsid w:val="008D288A"/>
    <w:rsid w:val="008D44A7"/>
    <w:rsid w:val="008D4C57"/>
    <w:rsid w:val="008D764A"/>
    <w:rsid w:val="008E1838"/>
    <w:rsid w:val="008E5083"/>
    <w:rsid w:val="008F78FF"/>
    <w:rsid w:val="009010F4"/>
    <w:rsid w:val="0090765B"/>
    <w:rsid w:val="0090792D"/>
    <w:rsid w:val="00907ED5"/>
    <w:rsid w:val="00910D27"/>
    <w:rsid w:val="0091244D"/>
    <w:rsid w:val="009129D0"/>
    <w:rsid w:val="00915B83"/>
    <w:rsid w:val="0092685D"/>
    <w:rsid w:val="0093317F"/>
    <w:rsid w:val="00934DB6"/>
    <w:rsid w:val="00940A66"/>
    <w:rsid w:val="00952042"/>
    <w:rsid w:val="00952346"/>
    <w:rsid w:val="00952592"/>
    <w:rsid w:val="009557BF"/>
    <w:rsid w:val="0096182E"/>
    <w:rsid w:val="009716E9"/>
    <w:rsid w:val="00974866"/>
    <w:rsid w:val="009816D6"/>
    <w:rsid w:val="00983F0D"/>
    <w:rsid w:val="00984302"/>
    <w:rsid w:val="00990A64"/>
    <w:rsid w:val="009A251D"/>
    <w:rsid w:val="009A7F8C"/>
    <w:rsid w:val="009B1BCD"/>
    <w:rsid w:val="009B3876"/>
    <w:rsid w:val="009B4F88"/>
    <w:rsid w:val="009C0872"/>
    <w:rsid w:val="009D0C13"/>
    <w:rsid w:val="009D3162"/>
    <w:rsid w:val="009E6A12"/>
    <w:rsid w:val="009E7CB4"/>
    <w:rsid w:val="009F27AE"/>
    <w:rsid w:val="00A015C9"/>
    <w:rsid w:val="00A02BE1"/>
    <w:rsid w:val="00A03352"/>
    <w:rsid w:val="00A16A22"/>
    <w:rsid w:val="00A20848"/>
    <w:rsid w:val="00A232E9"/>
    <w:rsid w:val="00A24BF1"/>
    <w:rsid w:val="00A27207"/>
    <w:rsid w:val="00A32B32"/>
    <w:rsid w:val="00A3578C"/>
    <w:rsid w:val="00A435E5"/>
    <w:rsid w:val="00A54DC5"/>
    <w:rsid w:val="00A607E3"/>
    <w:rsid w:val="00A65B8F"/>
    <w:rsid w:val="00A74410"/>
    <w:rsid w:val="00A770F1"/>
    <w:rsid w:val="00A914C6"/>
    <w:rsid w:val="00A9183A"/>
    <w:rsid w:val="00A93257"/>
    <w:rsid w:val="00AA0B07"/>
    <w:rsid w:val="00AA10B3"/>
    <w:rsid w:val="00AA1A9F"/>
    <w:rsid w:val="00AA7796"/>
    <w:rsid w:val="00AB1735"/>
    <w:rsid w:val="00AB5A4E"/>
    <w:rsid w:val="00AB784E"/>
    <w:rsid w:val="00AC65DD"/>
    <w:rsid w:val="00AC6EF3"/>
    <w:rsid w:val="00AD4032"/>
    <w:rsid w:val="00AE2431"/>
    <w:rsid w:val="00AF20A0"/>
    <w:rsid w:val="00AF3997"/>
    <w:rsid w:val="00B101AB"/>
    <w:rsid w:val="00B11B51"/>
    <w:rsid w:val="00B122E3"/>
    <w:rsid w:val="00B13B69"/>
    <w:rsid w:val="00B272E0"/>
    <w:rsid w:val="00B32F8E"/>
    <w:rsid w:val="00B46CEC"/>
    <w:rsid w:val="00B4711A"/>
    <w:rsid w:val="00B57D8E"/>
    <w:rsid w:val="00B6612D"/>
    <w:rsid w:val="00B66C9B"/>
    <w:rsid w:val="00B67198"/>
    <w:rsid w:val="00B676AC"/>
    <w:rsid w:val="00B70206"/>
    <w:rsid w:val="00B72E4F"/>
    <w:rsid w:val="00B80FC6"/>
    <w:rsid w:val="00B8234E"/>
    <w:rsid w:val="00B833DF"/>
    <w:rsid w:val="00B84545"/>
    <w:rsid w:val="00B84AED"/>
    <w:rsid w:val="00B916C8"/>
    <w:rsid w:val="00B9328F"/>
    <w:rsid w:val="00BA79F6"/>
    <w:rsid w:val="00BB0063"/>
    <w:rsid w:val="00BB1693"/>
    <w:rsid w:val="00BB5C88"/>
    <w:rsid w:val="00BC2EEB"/>
    <w:rsid w:val="00BC4728"/>
    <w:rsid w:val="00BC6CE1"/>
    <w:rsid w:val="00BD0552"/>
    <w:rsid w:val="00BD0D32"/>
    <w:rsid w:val="00BD7DB5"/>
    <w:rsid w:val="00BE4237"/>
    <w:rsid w:val="00BE4A89"/>
    <w:rsid w:val="00BE5ED8"/>
    <w:rsid w:val="00BF3198"/>
    <w:rsid w:val="00BF4BE3"/>
    <w:rsid w:val="00C0386E"/>
    <w:rsid w:val="00C040C3"/>
    <w:rsid w:val="00C14968"/>
    <w:rsid w:val="00C1782E"/>
    <w:rsid w:val="00C21FC1"/>
    <w:rsid w:val="00C268B7"/>
    <w:rsid w:val="00C3133A"/>
    <w:rsid w:val="00C37D24"/>
    <w:rsid w:val="00C43427"/>
    <w:rsid w:val="00C455D8"/>
    <w:rsid w:val="00C5354C"/>
    <w:rsid w:val="00C552B0"/>
    <w:rsid w:val="00C56BD8"/>
    <w:rsid w:val="00C56EA7"/>
    <w:rsid w:val="00C63395"/>
    <w:rsid w:val="00C664F0"/>
    <w:rsid w:val="00C67E29"/>
    <w:rsid w:val="00C7110F"/>
    <w:rsid w:val="00C7248D"/>
    <w:rsid w:val="00C77AF0"/>
    <w:rsid w:val="00C8324D"/>
    <w:rsid w:val="00C846D4"/>
    <w:rsid w:val="00C874A9"/>
    <w:rsid w:val="00C976AC"/>
    <w:rsid w:val="00CB040A"/>
    <w:rsid w:val="00CB09C5"/>
    <w:rsid w:val="00CB0A40"/>
    <w:rsid w:val="00CB61E6"/>
    <w:rsid w:val="00CB6C60"/>
    <w:rsid w:val="00CC1B09"/>
    <w:rsid w:val="00CC5A37"/>
    <w:rsid w:val="00CC5B9B"/>
    <w:rsid w:val="00CD1F2A"/>
    <w:rsid w:val="00CD21EF"/>
    <w:rsid w:val="00CE0726"/>
    <w:rsid w:val="00CE3ADB"/>
    <w:rsid w:val="00CE3F66"/>
    <w:rsid w:val="00CE7082"/>
    <w:rsid w:val="00CF3447"/>
    <w:rsid w:val="00CF4EF1"/>
    <w:rsid w:val="00CF5C6A"/>
    <w:rsid w:val="00CF68BB"/>
    <w:rsid w:val="00D000A8"/>
    <w:rsid w:val="00D000D5"/>
    <w:rsid w:val="00D04A59"/>
    <w:rsid w:val="00D0595B"/>
    <w:rsid w:val="00D11124"/>
    <w:rsid w:val="00D13511"/>
    <w:rsid w:val="00D14DC0"/>
    <w:rsid w:val="00D17759"/>
    <w:rsid w:val="00D2274C"/>
    <w:rsid w:val="00D23AD8"/>
    <w:rsid w:val="00D24D35"/>
    <w:rsid w:val="00D27F0A"/>
    <w:rsid w:val="00D31724"/>
    <w:rsid w:val="00D331AC"/>
    <w:rsid w:val="00D35F16"/>
    <w:rsid w:val="00D373A8"/>
    <w:rsid w:val="00D50C35"/>
    <w:rsid w:val="00D53993"/>
    <w:rsid w:val="00D6686B"/>
    <w:rsid w:val="00D66CC9"/>
    <w:rsid w:val="00D73A38"/>
    <w:rsid w:val="00D745F3"/>
    <w:rsid w:val="00D80A4A"/>
    <w:rsid w:val="00D81A30"/>
    <w:rsid w:val="00D830BA"/>
    <w:rsid w:val="00DA2FFD"/>
    <w:rsid w:val="00DA4473"/>
    <w:rsid w:val="00DB1658"/>
    <w:rsid w:val="00DB6922"/>
    <w:rsid w:val="00DC39D4"/>
    <w:rsid w:val="00DC6EF0"/>
    <w:rsid w:val="00DD3CB4"/>
    <w:rsid w:val="00DE197B"/>
    <w:rsid w:val="00DE4803"/>
    <w:rsid w:val="00DE79F7"/>
    <w:rsid w:val="00DF1937"/>
    <w:rsid w:val="00DF5B69"/>
    <w:rsid w:val="00DF6581"/>
    <w:rsid w:val="00E14CE8"/>
    <w:rsid w:val="00E24A55"/>
    <w:rsid w:val="00E3022A"/>
    <w:rsid w:val="00E3332E"/>
    <w:rsid w:val="00E333B7"/>
    <w:rsid w:val="00E4220F"/>
    <w:rsid w:val="00E45E21"/>
    <w:rsid w:val="00E468F4"/>
    <w:rsid w:val="00E51366"/>
    <w:rsid w:val="00E5195C"/>
    <w:rsid w:val="00E54077"/>
    <w:rsid w:val="00E613C0"/>
    <w:rsid w:val="00E6530A"/>
    <w:rsid w:val="00E71665"/>
    <w:rsid w:val="00E76D6F"/>
    <w:rsid w:val="00E77E43"/>
    <w:rsid w:val="00E849ED"/>
    <w:rsid w:val="00E86072"/>
    <w:rsid w:val="00EA63EA"/>
    <w:rsid w:val="00EB4EAC"/>
    <w:rsid w:val="00EB565C"/>
    <w:rsid w:val="00EB6CC9"/>
    <w:rsid w:val="00EC035F"/>
    <w:rsid w:val="00ED269B"/>
    <w:rsid w:val="00ED6CA8"/>
    <w:rsid w:val="00EE077A"/>
    <w:rsid w:val="00EE3C80"/>
    <w:rsid w:val="00EE7A75"/>
    <w:rsid w:val="00F0019C"/>
    <w:rsid w:val="00F0195A"/>
    <w:rsid w:val="00F05139"/>
    <w:rsid w:val="00F05EB4"/>
    <w:rsid w:val="00F06281"/>
    <w:rsid w:val="00F062FA"/>
    <w:rsid w:val="00F06B74"/>
    <w:rsid w:val="00F11D14"/>
    <w:rsid w:val="00F2271A"/>
    <w:rsid w:val="00F24292"/>
    <w:rsid w:val="00F24FAA"/>
    <w:rsid w:val="00F2514E"/>
    <w:rsid w:val="00F4519E"/>
    <w:rsid w:val="00F50835"/>
    <w:rsid w:val="00F50E96"/>
    <w:rsid w:val="00F578E4"/>
    <w:rsid w:val="00F670B5"/>
    <w:rsid w:val="00F71DF9"/>
    <w:rsid w:val="00F80E16"/>
    <w:rsid w:val="00F8172E"/>
    <w:rsid w:val="00F8360B"/>
    <w:rsid w:val="00F92DA6"/>
    <w:rsid w:val="00F96CE8"/>
    <w:rsid w:val="00F97A56"/>
    <w:rsid w:val="00FA0CFB"/>
    <w:rsid w:val="00FA2639"/>
    <w:rsid w:val="00FB2E9B"/>
    <w:rsid w:val="00FC3529"/>
    <w:rsid w:val="00FC71F2"/>
    <w:rsid w:val="00FD125F"/>
    <w:rsid w:val="00FE161C"/>
    <w:rsid w:val="00FE2871"/>
    <w:rsid w:val="00FE6F40"/>
    <w:rsid w:val="00FF73A3"/>
    <w:rsid w:val="00FF7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E32547-89B4-4F6F-9837-E4BA6A0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C6"/>
    <w:rPr>
      <w:sz w:val="24"/>
    </w:rPr>
  </w:style>
  <w:style w:type="paragraph" w:styleId="Heading1">
    <w:name w:val="heading 1"/>
    <w:basedOn w:val="HR"/>
    <w:next w:val="Normal"/>
    <w:link w:val="Heading1Char"/>
    <w:uiPriority w:val="9"/>
    <w:qFormat/>
    <w:rsid w:val="00615CA6"/>
    <w:pPr>
      <w:numPr>
        <w:numId w:val="3"/>
      </w:numPr>
      <w:spacing w:before="0" w:after="240"/>
      <w:outlineLvl w:val="0"/>
    </w:pPr>
  </w:style>
  <w:style w:type="paragraph" w:styleId="Heading2">
    <w:name w:val="heading 2"/>
    <w:basedOn w:val="Heading1"/>
    <w:next w:val="Normal"/>
    <w:qFormat/>
    <w:rsid w:val="00816EC2"/>
    <w:pPr>
      <w:numPr>
        <w:numId w:val="0"/>
      </w:numPr>
      <w:ind w:left="567"/>
      <w:outlineLvl w:val="1"/>
    </w:pPr>
    <w:rPr>
      <w:rFonts w:cs="Arial"/>
      <w:b w:val="0"/>
      <w:i/>
      <w:sz w:val="22"/>
      <w:szCs w:val="22"/>
    </w:rPr>
  </w:style>
  <w:style w:type="paragraph" w:styleId="Heading3">
    <w:name w:val="heading 3"/>
    <w:basedOn w:val="Normal"/>
    <w:next w:val="Normal"/>
    <w:link w:val="Heading3Char"/>
    <w:uiPriority w:val="9"/>
    <w:semiHidden/>
    <w:unhideWhenUsed/>
    <w:qFormat/>
    <w:rsid w:val="00FD12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rsid w:val="00A914C6"/>
    <w:pPr>
      <w:jc w:val="center"/>
    </w:pPr>
    <w:rPr>
      <w:rFonts w:ascii="Arial" w:hAnsi="Arial"/>
      <w:b/>
      <w:sz w:val="40"/>
    </w:rPr>
  </w:style>
  <w:style w:type="paragraph" w:styleId="Title">
    <w:name w:val="Title"/>
    <w:basedOn w:val="Normal"/>
    <w:next w:val="Normal"/>
    <w:qFormat/>
    <w:rsid w:val="00A914C6"/>
    <w:pPr>
      <w:spacing w:before="240"/>
    </w:pPr>
    <w:rPr>
      <w:rFonts w:ascii="Arial" w:hAnsi="Arial"/>
      <w:b/>
      <w:sz w:val="40"/>
    </w:rPr>
  </w:style>
  <w:style w:type="paragraph" w:styleId="FootnoteText">
    <w:name w:val="footnote text"/>
    <w:basedOn w:val="Normal"/>
    <w:semiHidden/>
    <w:rsid w:val="00A914C6"/>
    <w:rPr>
      <w:sz w:val="20"/>
    </w:rPr>
  </w:style>
  <w:style w:type="paragraph" w:customStyle="1" w:styleId="SigningPageBreak">
    <w:name w:val="SigningPageBreak"/>
    <w:basedOn w:val="Normal"/>
    <w:next w:val="Normal"/>
    <w:rsid w:val="00A914C6"/>
    <w:pPr>
      <w:spacing w:line="1800" w:lineRule="atLeast"/>
    </w:pPr>
  </w:style>
  <w:style w:type="paragraph" w:customStyle="1" w:styleId="FooterInfo">
    <w:name w:val="FooterInfo"/>
    <w:basedOn w:val="Normal"/>
    <w:rsid w:val="00A914C6"/>
    <w:rPr>
      <w:rFonts w:ascii="Arial" w:hAnsi="Arial"/>
      <w:sz w:val="12"/>
    </w:rPr>
  </w:style>
  <w:style w:type="paragraph" w:styleId="Footer">
    <w:name w:val="footer"/>
    <w:basedOn w:val="Normal"/>
    <w:rsid w:val="00A914C6"/>
    <w:pPr>
      <w:spacing w:before="20" w:line="240" w:lineRule="exact"/>
      <w:jc w:val="center"/>
    </w:pPr>
    <w:rPr>
      <w:rFonts w:ascii="Arial" w:hAnsi="Arial"/>
      <w:i/>
      <w:sz w:val="18"/>
    </w:rPr>
  </w:style>
  <w:style w:type="paragraph" w:customStyle="1" w:styleId="HeaderLiteEven">
    <w:name w:val="HeaderLiteEven"/>
    <w:basedOn w:val="Header"/>
    <w:rsid w:val="00A914C6"/>
    <w:pPr>
      <w:spacing w:before="60"/>
      <w:jc w:val="left"/>
    </w:pPr>
    <w:rPr>
      <w:rFonts w:ascii="Arial" w:hAnsi="Arial"/>
      <w:sz w:val="18"/>
    </w:rPr>
  </w:style>
  <w:style w:type="paragraph" w:customStyle="1" w:styleId="ContentsHead">
    <w:name w:val="ContentsHead"/>
    <w:basedOn w:val="Normal"/>
    <w:next w:val="Normal"/>
    <w:rsid w:val="00A914C6"/>
    <w:pPr>
      <w:spacing w:before="240"/>
    </w:pPr>
    <w:rPr>
      <w:rFonts w:ascii="Arial" w:hAnsi="Arial"/>
      <w:b/>
      <w:sz w:val="28"/>
    </w:rPr>
  </w:style>
  <w:style w:type="paragraph" w:customStyle="1" w:styleId="TOC">
    <w:name w:val="TOC"/>
    <w:basedOn w:val="Normal"/>
    <w:next w:val="Normal"/>
    <w:rsid w:val="00A914C6"/>
    <w:pPr>
      <w:tabs>
        <w:tab w:val="right" w:pos="8335"/>
      </w:tabs>
      <w:spacing w:after="120"/>
    </w:pPr>
    <w:rPr>
      <w:rFonts w:ascii="Arial" w:hAnsi="Arial"/>
      <w:sz w:val="20"/>
    </w:rPr>
  </w:style>
  <w:style w:type="paragraph" w:customStyle="1" w:styleId="ContentsSectionBreak">
    <w:name w:val="ContentsSectionBreak"/>
    <w:basedOn w:val="Normal"/>
    <w:next w:val="Normal"/>
    <w:rsid w:val="00A914C6"/>
  </w:style>
  <w:style w:type="paragraph" w:styleId="Header">
    <w:name w:val="header"/>
    <w:basedOn w:val="Normal"/>
    <w:rsid w:val="00A914C6"/>
    <w:pPr>
      <w:tabs>
        <w:tab w:val="center" w:pos="3969"/>
        <w:tab w:val="right" w:pos="8505"/>
      </w:tabs>
      <w:jc w:val="both"/>
    </w:pPr>
    <w:rPr>
      <w:sz w:val="26"/>
    </w:rPr>
  </w:style>
  <w:style w:type="paragraph" w:customStyle="1" w:styleId="HeaderLiteOdd">
    <w:name w:val="HeaderLiteOdd"/>
    <w:basedOn w:val="HeaderLiteEven"/>
    <w:rsid w:val="00A914C6"/>
    <w:pPr>
      <w:jc w:val="right"/>
    </w:pPr>
  </w:style>
  <w:style w:type="paragraph" w:customStyle="1" w:styleId="ReadersGuideSectionBreak">
    <w:name w:val="ReadersGuideSectionBreak"/>
    <w:basedOn w:val="Normal"/>
    <w:next w:val="Normal"/>
    <w:rsid w:val="00A914C6"/>
  </w:style>
  <w:style w:type="paragraph" w:customStyle="1" w:styleId="TextWOutChapSectionBreak">
    <w:name w:val="TextW/OutChapSectionBreak"/>
    <w:basedOn w:val="Normal"/>
    <w:next w:val="Normal"/>
    <w:rsid w:val="00A914C6"/>
    <w:pPr>
      <w:jc w:val="center"/>
    </w:pPr>
  </w:style>
  <w:style w:type="paragraph" w:customStyle="1" w:styleId="SchedSectionBreak">
    <w:name w:val="SchedSectionBreak"/>
    <w:basedOn w:val="Normal"/>
    <w:next w:val="Normal"/>
    <w:rsid w:val="00A914C6"/>
  </w:style>
  <w:style w:type="paragraph" w:customStyle="1" w:styleId="DictionarySectionBreak">
    <w:name w:val="DictionarySectionBreak"/>
    <w:basedOn w:val="Normal"/>
    <w:rsid w:val="00A914C6"/>
  </w:style>
  <w:style w:type="paragraph" w:styleId="BodyText">
    <w:name w:val="Body Text"/>
    <w:basedOn w:val="Normal"/>
    <w:rsid w:val="00A914C6"/>
    <w:pPr>
      <w:spacing w:after="120"/>
      <w:jc w:val="both"/>
    </w:pPr>
    <w:rPr>
      <w:sz w:val="26"/>
    </w:rPr>
  </w:style>
  <w:style w:type="paragraph" w:styleId="BodyTextIndent">
    <w:name w:val="Body Text Indent"/>
    <w:basedOn w:val="Normal"/>
    <w:rsid w:val="00A914C6"/>
    <w:pPr>
      <w:spacing w:after="120"/>
      <w:ind w:left="357"/>
      <w:jc w:val="both"/>
    </w:pPr>
    <w:rPr>
      <w:sz w:val="26"/>
    </w:rPr>
  </w:style>
  <w:style w:type="character" w:customStyle="1" w:styleId="CharAmSchNo">
    <w:name w:val="CharAmSchNo"/>
    <w:rsid w:val="00A914C6"/>
    <w:rPr>
      <w:rFonts w:ascii="Arial" w:hAnsi="Arial"/>
    </w:rPr>
  </w:style>
  <w:style w:type="character" w:customStyle="1" w:styleId="CharAmSchText">
    <w:name w:val="CharAmSchText"/>
    <w:rsid w:val="00A914C6"/>
    <w:rPr>
      <w:rFonts w:ascii="Arial" w:hAnsi="Arial"/>
    </w:rPr>
  </w:style>
  <w:style w:type="character" w:customStyle="1" w:styleId="CharChapNo">
    <w:name w:val="CharChapNo"/>
    <w:rsid w:val="00A914C6"/>
    <w:rPr>
      <w:rFonts w:ascii="Arial" w:hAnsi="Arial"/>
    </w:rPr>
  </w:style>
  <w:style w:type="character" w:customStyle="1" w:styleId="CharChapText">
    <w:name w:val="CharChapText"/>
    <w:rsid w:val="00A914C6"/>
    <w:rPr>
      <w:rFonts w:ascii="Arial" w:hAnsi="Arial"/>
    </w:rPr>
  </w:style>
  <w:style w:type="character" w:customStyle="1" w:styleId="CharDivNo">
    <w:name w:val="CharDivNo"/>
    <w:rsid w:val="00A914C6"/>
    <w:rPr>
      <w:rFonts w:ascii="Arial" w:hAnsi="Arial"/>
    </w:rPr>
  </w:style>
  <w:style w:type="character" w:customStyle="1" w:styleId="CharDivText">
    <w:name w:val="CharDivText"/>
    <w:rsid w:val="00A914C6"/>
    <w:rPr>
      <w:rFonts w:ascii="Arial" w:hAnsi="Arial"/>
    </w:rPr>
  </w:style>
  <w:style w:type="paragraph" w:customStyle="1" w:styleId="definition">
    <w:name w:val="definition"/>
    <w:basedOn w:val="Normal"/>
    <w:rsid w:val="00A914C6"/>
    <w:pPr>
      <w:spacing w:before="80" w:line="260" w:lineRule="exact"/>
      <w:ind w:left="964"/>
      <w:jc w:val="both"/>
    </w:pPr>
  </w:style>
  <w:style w:type="character" w:customStyle="1" w:styleId="CharPartNo">
    <w:name w:val="CharPartNo"/>
    <w:rsid w:val="00A914C6"/>
    <w:rPr>
      <w:rFonts w:ascii="Arial" w:hAnsi="Arial"/>
    </w:rPr>
  </w:style>
  <w:style w:type="character" w:customStyle="1" w:styleId="CharPartText">
    <w:name w:val="CharPartText"/>
    <w:rsid w:val="00A914C6"/>
    <w:rPr>
      <w:rFonts w:ascii="Arial" w:hAnsi="Arial"/>
    </w:rPr>
  </w:style>
  <w:style w:type="character" w:customStyle="1" w:styleId="CharSchPTNo">
    <w:name w:val="CharSchPTNo"/>
    <w:rsid w:val="00A914C6"/>
    <w:rPr>
      <w:rFonts w:ascii="Arial" w:hAnsi="Arial"/>
    </w:rPr>
  </w:style>
  <w:style w:type="paragraph" w:customStyle="1" w:styleId="R1">
    <w:name w:val="R1"/>
    <w:aliases w:val="1. or 1.(1)"/>
    <w:basedOn w:val="Normal"/>
    <w:next w:val="R2"/>
    <w:rsid w:val="00A914C6"/>
    <w:pPr>
      <w:tabs>
        <w:tab w:val="right" w:pos="794"/>
        <w:tab w:val="left" w:pos="964"/>
      </w:tabs>
      <w:spacing w:before="120" w:line="260" w:lineRule="exact"/>
      <w:ind w:left="964" w:hanging="964"/>
      <w:jc w:val="both"/>
    </w:pPr>
  </w:style>
  <w:style w:type="paragraph" w:customStyle="1" w:styleId="R2">
    <w:name w:val="R2"/>
    <w:aliases w:val="(2)"/>
    <w:basedOn w:val="Normal"/>
    <w:rsid w:val="00A914C6"/>
    <w:pPr>
      <w:tabs>
        <w:tab w:val="right" w:pos="794"/>
        <w:tab w:val="left" w:pos="964"/>
      </w:tabs>
      <w:spacing w:before="180" w:line="260" w:lineRule="exact"/>
      <w:ind w:left="964" w:hanging="964"/>
      <w:jc w:val="both"/>
    </w:pPr>
  </w:style>
  <w:style w:type="paragraph" w:customStyle="1" w:styleId="P1">
    <w:name w:val="P1"/>
    <w:aliases w:val="(a)"/>
    <w:basedOn w:val="Normal"/>
    <w:rsid w:val="00A914C6"/>
    <w:pPr>
      <w:tabs>
        <w:tab w:val="right" w:pos="1191"/>
        <w:tab w:val="left" w:pos="1644"/>
      </w:tabs>
      <w:spacing w:before="60" w:line="260" w:lineRule="exact"/>
      <w:ind w:left="1418" w:hanging="1418"/>
      <w:jc w:val="both"/>
    </w:pPr>
  </w:style>
  <w:style w:type="paragraph" w:styleId="Caption">
    <w:name w:val="caption"/>
    <w:basedOn w:val="Normal"/>
    <w:next w:val="Normal"/>
    <w:qFormat/>
    <w:rsid w:val="00A914C6"/>
    <w:pPr>
      <w:spacing w:before="120" w:after="120"/>
    </w:pPr>
    <w:rPr>
      <w:b/>
    </w:rPr>
  </w:style>
  <w:style w:type="character" w:customStyle="1" w:styleId="CharSchPTText">
    <w:name w:val="CharSchPTText"/>
    <w:rsid w:val="00A914C6"/>
    <w:rPr>
      <w:rFonts w:ascii="Arial" w:hAnsi="Arial"/>
    </w:rPr>
  </w:style>
  <w:style w:type="character" w:customStyle="1" w:styleId="CharSectno">
    <w:name w:val="CharSectno"/>
    <w:rsid w:val="00A914C6"/>
    <w:rPr>
      <w:rFonts w:ascii="Arial" w:hAnsi="Arial"/>
    </w:rPr>
  </w:style>
  <w:style w:type="paragraph" w:customStyle="1" w:styleId="DD">
    <w:name w:val="DD"/>
    <w:aliases w:val="Dictionary Definition"/>
    <w:basedOn w:val="Normal"/>
    <w:rsid w:val="00A914C6"/>
    <w:pPr>
      <w:spacing w:before="80" w:line="260" w:lineRule="exact"/>
      <w:jc w:val="both"/>
    </w:pPr>
  </w:style>
  <w:style w:type="paragraph" w:customStyle="1" w:styleId="DNote">
    <w:name w:val="DNote"/>
    <w:aliases w:val="DictionaryNote"/>
    <w:basedOn w:val="Normal"/>
    <w:rsid w:val="00A914C6"/>
    <w:pPr>
      <w:spacing w:before="120" w:line="220" w:lineRule="exact"/>
      <w:ind w:left="425"/>
      <w:jc w:val="both"/>
    </w:pPr>
    <w:rPr>
      <w:sz w:val="20"/>
    </w:rPr>
  </w:style>
  <w:style w:type="paragraph" w:customStyle="1" w:styleId="DP1a">
    <w:name w:val="DP1(a)"/>
    <w:aliases w:val="Dictionary (a)"/>
    <w:basedOn w:val="Normal"/>
    <w:rsid w:val="00A914C6"/>
    <w:pPr>
      <w:tabs>
        <w:tab w:val="right" w:pos="709"/>
      </w:tabs>
      <w:spacing w:before="60" w:line="260" w:lineRule="exact"/>
      <w:ind w:left="936" w:hanging="936"/>
      <w:jc w:val="both"/>
    </w:pPr>
  </w:style>
  <w:style w:type="paragraph" w:customStyle="1" w:styleId="HC">
    <w:name w:val="HC"/>
    <w:aliases w:val="Chapter Heading"/>
    <w:basedOn w:val="Normal"/>
    <w:next w:val="HP"/>
    <w:rsid w:val="00A914C6"/>
    <w:pPr>
      <w:keepNext/>
      <w:spacing w:before="480"/>
      <w:ind w:left="2410" w:hanging="2410"/>
    </w:pPr>
    <w:rPr>
      <w:rFonts w:ascii="Arial" w:hAnsi="Arial"/>
      <w:b/>
      <w:sz w:val="40"/>
    </w:rPr>
  </w:style>
  <w:style w:type="paragraph" w:customStyle="1" w:styleId="HP">
    <w:name w:val="HP"/>
    <w:aliases w:val="Part Heading"/>
    <w:basedOn w:val="Normal"/>
    <w:next w:val="HD"/>
    <w:rsid w:val="00A914C6"/>
    <w:pPr>
      <w:keepNext/>
      <w:spacing w:before="360"/>
      <w:ind w:left="2410" w:hanging="2410"/>
    </w:pPr>
    <w:rPr>
      <w:rFonts w:ascii="Arial" w:hAnsi="Arial"/>
      <w:b/>
      <w:sz w:val="32"/>
    </w:rPr>
  </w:style>
  <w:style w:type="paragraph" w:customStyle="1" w:styleId="HR">
    <w:name w:val="HR"/>
    <w:aliases w:val="Regulation Heading"/>
    <w:basedOn w:val="Normal"/>
    <w:next w:val="R1"/>
    <w:rsid w:val="00A914C6"/>
    <w:pPr>
      <w:keepNext/>
      <w:spacing w:before="360"/>
      <w:ind w:left="964" w:hanging="964"/>
    </w:pPr>
    <w:rPr>
      <w:rFonts w:ascii="Arial" w:hAnsi="Arial"/>
      <w:b/>
    </w:rPr>
  </w:style>
  <w:style w:type="character" w:styleId="PageNumber">
    <w:name w:val="page number"/>
    <w:basedOn w:val="DefaultParagraphFont"/>
    <w:rsid w:val="00A914C6"/>
  </w:style>
  <w:style w:type="paragraph" w:customStyle="1" w:styleId="DictionaryHeading">
    <w:name w:val="Dictionary Heading"/>
    <w:basedOn w:val="Normal"/>
    <w:next w:val="DD"/>
    <w:rsid w:val="00A914C6"/>
    <w:pPr>
      <w:keepNext/>
      <w:spacing w:before="480"/>
      <w:ind w:left="2552" w:hanging="2552"/>
    </w:pPr>
    <w:rPr>
      <w:rFonts w:ascii="Arial" w:hAnsi="Arial"/>
      <w:b/>
      <w:sz w:val="32"/>
    </w:rPr>
  </w:style>
  <w:style w:type="paragraph" w:customStyle="1" w:styleId="HD">
    <w:name w:val="HD"/>
    <w:aliases w:val="Division Heading"/>
    <w:basedOn w:val="Normal"/>
    <w:next w:val="HR"/>
    <w:rsid w:val="00A914C6"/>
    <w:pPr>
      <w:keepNext/>
      <w:spacing w:before="360"/>
      <w:ind w:left="2410" w:hanging="2410"/>
    </w:pPr>
    <w:rPr>
      <w:rFonts w:ascii="Arial" w:hAnsi="Arial"/>
      <w:b/>
      <w:sz w:val="28"/>
    </w:rPr>
  </w:style>
  <w:style w:type="paragraph" w:customStyle="1" w:styleId="HeaderBoldEven">
    <w:name w:val="HeaderBoldEven"/>
    <w:basedOn w:val="Normal"/>
    <w:rsid w:val="00A914C6"/>
    <w:pPr>
      <w:widowControl w:val="0"/>
      <w:spacing w:before="120" w:after="60"/>
    </w:pPr>
    <w:rPr>
      <w:rFonts w:ascii="Arial" w:hAnsi="Arial"/>
      <w:b/>
      <w:sz w:val="20"/>
    </w:rPr>
  </w:style>
  <w:style w:type="paragraph" w:customStyle="1" w:styleId="HeaderBoldOdd">
    <w:name w:val="HeaderBoldOdd"/>
    <w:basedOn w:val="Normal"/>
    <w:rsid w:val="00A914C6"/>
    <w:pPr>
      <w:widowControl w:val="0"/>
      <w:spacing w:before="120" w:after="60"/>
      <w:jc w:val="right"/>
    </w:pPr>
    <w:rPr>
      <w:rFonts w:ascii="Arial" w:hAnsi="Arial"/>
      <w:b/>
      <w:sz w:val="20"/>
    </w:rPr>
  </w:style>
  <w:style w:type="paragraph" w:customStyle="1" w:styleId="HS">
    <w:name w:val="HS"/>
    <w:aliases w:val="Subdiv Heading"/>
    <w:basedOn w:val="Normal"/>
    <w:next w:val="HR"/>
    <w:rsid w:val="00A914C6"/>
    <w:pPr>
      <w:keepNext/>
      <w:spacing w:before="360"/>
      <w:ind w:left="2410" w:hanging="2410"/>
    </w:pPr>
    <w:rPr>
      <w:rFonts w:ascii="Arial" w:hAnsi="Arial"/>
      <w:b/>
    </w:rPr>
  </w:style>
  <w:style w:type="paragraph" w:customStyle="1" w:styleId="HSR">
    <w:name w:val="HSR"/>
    <w:aliases w:val="Subregulation Heading"/>
    <w:basedOn w:val="Normal"/>
    <w:next w:val="R1"/>
    <w:rsid w:val="00A914C6"/>
    <w:pPr>
      <w:keepNext/>
      <w:spacing w:before="300"/>
      <w:ind w:left="964"/>
    </w:pPr>
    <w:rPr>
      <w:rFonts w:ascii="Arial" w:hAnsi="Arial"/>
      <w:i/>
    </w:rPr>
  </w:style>
  <w:style w:type="paragraph" w:customStyle="1" w:styleId="M3">
    <w:name w:val="M3"/>
    <w:aliases w:val="Modification Text"/>
    <w:basedOn w:val="Normal"/>
    <w:rsid w:val="00A914C6"/>
    <w:pPr>
      <w:spacing w:before="60" w:line="260" w:lineRule="exact"/>
      <w:ind w:left="1077" w:hanging="1077"/>
      <w:jc w:val="both"/>
    </w:pPr>
  </w:style>
  <w:style w:type="paragraph" w:customStyle="1" w:styleId="Note">
    <w:name w:val="Note"/>
    <w:basedOn w:val="Normal"/>
    <w:rsid w:val="00A914C6"/>
    <w:pPr>
      <w:tabs>
        <w:tab w:val="left" w:pos="1559"/>
      </w:tabs>
      <w:spacing w:before="120" w:line="220" w:lineRule="exact"/>
      <w:ind w:left="964"/>
      <w:jc w:val="both"/>
    </w:pPr>
    <w:rPr>
      <w:sz w:val="20"/>
    </w:rPr>
  </w:style>
  <w:style w:type="paragraph" w:customStyle="1" w:styleId="P2">
    <w:name w:val="P2"/>
    <w:aliases w:val="(i)"/>
    <w:basedOn w:val="Normal"/>
    <w:rsid w:val="00A914C6"/>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914C6"/>
    <w:pPr>
      <w:tabs>
        <w:tab w:val="right" w:pos="1276"/>
      </w:tabs>
      <w:spacing w:before="60" w:line="260" w:lineRule="exact"/>
      <w:ind w:left="1503" w:hanging="1503"/>
      <w:jc w:val="both"/>
    </w:pPr>
  </w:style>
  <w:style w:type="paragraph" w:customStyle="1" w:styleId="ExampleBody">
    <w:name w:val="Example Body"/>
    <w:basedOn w:val="Normal"/>
    <w:rsid w:val="00A914C6"/>
    <w:pPr>
      <w:spacing w:before="60" w:line="220" w:lineRule="exact"/>
      <w:ind w:left="964"/>
      <w:jc w:val="both"/>
    </w:pPr>
    <w:rPr>
      <w:sz w:val="20"/>
    </w:rPr>
  </w:style>
  <w:style w:type="paragraph" w:customStyle="1" w:styleId="ExampleList">
    <w:name w:val="Example List"/>
    <w:basedOn w:val="Normal"/>
    <w:rsid w:val="00A914C6"/>
    <w:pPr>
      <w:numPr>
        <w:numId w:val="1"/>
      </w:numPr>
      <w:tabs>
        <w:tab w:val="left" w:pos="1247"/>
      </w:tabs>
      <w:spacing w:before="60" w:line="220" w:lineRule="exact"/>
      <w:jc w:val="both"/>
    </w:pPr>
    <w:rPr>
      <w:sz w:val="20"/>
    </w:rPr>
  </w:style>
  <w:style w:type="paragraph" w:customStyle="1" w:styleId="HE">
    <w:name w:val="HE"/>
    <w:aliases w:val="Example heading"/>
    <w:basedOn w:val="Normal"/>
    <w:next w:val="ExampleBody"/>
    <w:rsid w:val="00A914C6"/>
    <w:pPr>
      <w:keepNext/>
      <w:tabs>
        <w:tab w:val="left" w:pos="1559"/>
      </w:tabs>
      <w:spacing w:before="120" w:line="220" w:lineRule="exact"/>
      <w:ind w:left="964"/>
    </w:pPr>
    <w:rPr>
      <w:i/>
      <w:sz w:val="20"/>
    </w:rPr>
  </w:style>
  <w:style w:type="paragraph" w:customStyle="1" w:styleId="M2">
    <w:name w:val="M2"/>
    <w:aliases w:val="Modification Instruction"/>
    <w:basedOn w:val="Normal"/>
    <w:next w:val="M3"/>
    <w:rsid w:val="00A914C6"/>
    <w:pPr>
      <w:keepNext/>
      <w:spacing w:before="120" w:line="260" w:lineRule="exact"/>
      <w:ind w:left="794"/>
    </w:pPr>
    <w:rPr>
      <w:i/>
    </w:rPr>
  </w:style>
  <w:style w:type="paragraph" w:customStyle="1" w:styleId="M1">
    <w:name w:val="M1"/>
    <w:aliases w:val="Modification Heading"/>
    <w:basedOn w:val="Normal"/>
    <w:next w:val="M2"/>
    <w:rsid w:val="00A914C6"/>
    <w:pPr>
      <w:keepNext/>
      <w:spacing w:before="480" w:line="260" w:lineRule="exact"/>
      <w:ind w:left="794" w:hanging="794"/>
    </w:pPr>
    <w:rPr>
      <w:rFonts w:ascii="Arial" w:hAnsi="Arial"/>
      <w:b/>
    </w:rPr>
  </w:style>
  <w:style w:type="paragraph" w:customStyle="1" w:styleId="MHD">
    <w:name w:val="MHD"/>
    <w:aliases w:val="Mod Division Heading"/>
    <w:basedOn w:val="Normal"/>
    <w:next w:val="Normal"/>
    <w:rsid w:val="00A914C6"/>
    <w:pPr>
      <w:keepNext/>
      <w:spacing w:before="360"/>
      <w:ind w:left="2410" w:hanging="2410"/>
    </w:pPr>
    <w:rPr>
      <w:b/>
      <w:sz w:val="28"/>
    </w:rPr>
  </w:style>
  <w:style w:type="paragraph" w:customStyle="1" w:styleId="MHP">
    <w:name w:val="MHP"/>
    <w:aliases w:val="Mod Part Heading"/>
    <w:basedOn w:val="Normal"/>
    <w:next w:val="Normal"/>
    <w:rsid w:val="00A914C6"/>
    <w:pPr>
      <w:keepNext/>
      <w:spacing w:before="360"/>
      <w:ind w:left="2410" w:hanging="2410"/>
    </w:pPr>
    <w:rPr>
      <w:b/>
      <w:sz w:val="32"/>
    </w:rPr>
  </w:style>
  <w:style w:type="paragraph" w:customStyle="1" w:styleId="MHR">
    <w:name w:val="MHR"/>
    <w:aliases w:val="Mod Regulation Heading"/>
    <w:basedOn w:val="Normal"/>
    <w:next w:val="R1"/>
    <w:rsid w:val="00A914C6"/>
    <w:pPr>
      <w:keepNext/>
      <w:spacing w:before="360"/>
      <w:ind w:left="964" w:hanging="964"/>
    </w:pPr>
    <w:rPr>
      <w:b/>
    </w:rPr>
  </w:style>
  <w:style w:type="paragraph" w:customStyle="1" w:styleId="MHS">
    <w:name w:val="MHS"/>
    <w:aliases w:val="Mod Subdivision Heading"/>
    <w:basedOn w:val="Normal"/>
    <w:next w:val="MHR"/>
    <w:rsid w:val="00A914C6"/>
    <w:pPr>
      <w:keepNext/>
      <w:spacing w:before="360"/>
      <w:ind w:left="2410" w:hanging="2410"/>
    </w:pPr>
    <w:rPr>
      <w:b/>
    </w:rPr>
  </w:style>
  <w:style w:type="paragraph" w:customStyle="1" w:styleId="MHSR">
    <w:name w:val="MHSR"/>
    <w:aliases w:val="Mod Subregulation Heading"/>
    <w:basedOn w:val="Normal"/>
    <w:next w:val="R1"/>
    <w:rsid w:val="00A914C6"/>
    <w:pPr>
      <w:keepNext/>
      <w:spacing w:before="300"/>
    </w:pPr>
    <w:rPr>
      <w:i/>
    </w:rPr>
  </w:style>
  <w:style w:type="paragraph" w:customStyle="1" w:styleId="P3">
    <w:name w:val="P3"/>
    <w:aliases w:val="(A)"/>
    <w:basedOn w:val="Normal"/>
    <w:rsid w:val="00A914C6"/>
    <w:pPr>
      <w:tabs>
        <w:tab w:val="right" w:pos="2410"/>
      </w:tabs>
      <w:spacing w:before="60" w:line="260" w:lineRule="exact"/>
      <w:ind w:left="2693" w:hanging="2693"/>
      <w:jc w:val="both"/>
    </w:pPr>
  </w:style>
  <w:style w:type="paragraph" w:customStyle="1" w:styleId="P4">
    <w:name w:val="P4"/>
    <w:aliases w:val="(I)"/>
    <w:basedOn w:val="Normal"/>
    <w:rsid w:val="00A914C6"/>
    <w:pPr>
      <w:tabs>
        <w:tab w:val="right" w:pos="3119"/>
      </w:tabs>
      <w:spacing w:before="60" w:line="260" w:lineRule="exact"/>
      <w:ind w:left="3419" w:hanging="3419"/>
      <w:jc w:val="both"/>
    </w:pPr>
  </w:style>
  <w:style w:type="paragraph" w:customStyle="1" w:styleId="Notepara">
    <w:name w:val="Note para"/>
    <w:basedOn w:val="Normal"/>
    <w:rsid w:val="00A914C6"/>
    <w:pPr>
      <w:spacing w:before="60" w:line="220" w:lineRule="exact"/>
      <w:ind w:left="1304" w:hanging="340"/>
      <w:jc w:val="both"/>
    </w:pPr>
    <w:rPr>
      <w:sz w:val="20"/>
    </w:rPr>
  </w:style>
  <w:style w:type="paragraph" w:customStyle="1" w:styleId="Page">
    <w:name w:val="Page"/>
    <w:rsid w:val="00A914C6"/>
    <w:pPr>
      <w:jc w:val="right"/>
    </w:pPr>
    <w:rPr>
      <w:rFonts w:ascii="Arial" w:hAnsi="Arial"/>
      <w:noProof/>
    </w:rPr>
  </w:style>
  <w:style w:type="paragraph" w:customStyle="1" w:styleId="Penalty">
    <w:name w:val="Penalty"/>
    <w:basedOn w:val="Normal"/>
    <w:rsid w:val="00A914C6"/>
    <w:pPr>
      <w:spacing w:before="180" w:line="260" w:lineRule="exact"/>
      <w:ind w:left="2949" w:hanging="1985"/>
      <w:jc w:val="both"/>
    </w:pPr>
  </w:style>
  <w:style w:type="paragraph" w:customStyle="1" w:styleId="Picture">
    <w:name w:val="Picture"/>
    <w:basedOn w:val="Normal"/>
    <w:rsid w:val="00A914C6"/>
    <w:pPr>
      <w:keepNext/>
      <w:spacing w:before="240" w:line="240" w:lineRule="exact"/>
      <w:jc w:val="center"/>
    </w:pPr>
    <w:rPr>
      <w:rFonts w:ascii="Arial" w:hAnsi="Arial"/>
      <w:sz w:val="18"/>
    </w:rPr>
  </w:style>
  <w:style w:type="paragraph" w:customStyle="1" w:styleId="Query">
    <w:name w:val="Query"/>
    <w:aliases w:val="QY"/>
    <w:basedOn w:val="Normal"/>
    <w:rsid w:val="00A914C6"/>
    <w:pPr>
      <w:spacing w:before="180" w:line="260" w:lineRule="exact"/>
      <w:jc w:val="both"/>
    </w:pPr>
    <w:rPr>
      <w:b/>
      <w:i/>
    </w:rPr>
  </w:style>
  <w:style w:type="paragraph" w:customStyle="1" w:styleId="Rc">
    <w:name w:val="Rc"/>
    <w:aliases w:val="Rn continued"/>
    <w:basedOn w:val="Normal"/>
    <w:next w:val="R1"/>
    <w:rsid w:val="00A914C6"/>
    <w:pPr>
      <w:spacing w:before="60" w:line="260" w:lineRule="exact"/>
      <w:ind w:left="964"/>
      <w:jc w:val="both"/>
    </w:pPr>
  </w:style>
  <w:style w:type="paragraph" w:customStyle="1" w:styleId="TableText">
    <w:name w:val="TableText"/>
    <w:basedOn w:val="Normal"/>
    <w:rsid w:val="00A914C6"/>
    <w:pPr>
      <w:spacing w:before="120" w:line="240" w:lineRule="exact"/>
    </w:pPr>
    <w:rPr>
      <w:sz w:val="22"/>
    </w:rPr>
  </w:style>
  <w:style w:type="paragraph" w:customStyle="1" w:styleId="RGHead">
    <w:name w:val="RGHead"/>
    <w:basedOn w:val="Normal"/>
    <w:next w:val="RGPtHd"/>
    <w:rsid w:val="00A914C6"/>
    <w:pPr>
      <w:keepNext/>
      <w:spacing w:before="360"/>
      <w:ind w:left="2410" w:hanging="2410"/>
    </w:pPr>
    <w:rPr>
      <w:rFonts w:ascii="Arial" w:hAnsi="Arial"/>
      <w:b/>
      <w:sz w:val="32"/>
    </w:rPr>
  </w:style>
  <w:style w:type="paragraph" w:customStyle="1" w:styleId="RGPara">
    <w:name w:val="RGPara"/>
    <w:aliases w:val="Readers Guide Para"/>
    <w:basedOn w:val="Normal"/>
    <w:rsid w:val="00A914C6"/>
    <w:pPr>
      <w:spacing w:before="120" w:line="260" w:lineRule="exact"/>
      <w:jc w:val="both"/>
    </w:pPr>
  </w:style>
  <w:style w:type="paragraph" w:customStyle="1" w:styleId="RGPtHd">
    <w:name w:val="RGPtHd"/>
    <w:aliases w:val="Readers Guide PT Heading"/>
    <w:basedOn w:val="Normal"/>
    <w:next w:val="RGPara"/>
    <w:rsid w:val="00A914C6"/>
    <w:pPr>
      <w:keepNext/>
      <w:spacing w:before="360"/>
    </w:pPr>
    <w:rPr>
      <w:rFonts w:ascii="Arial" w:hAnsi="Arial"/>
      <w:b/>
      <w:sz w:val="28"/>
    </w:rPr>
  </w:style>
  <w:style w:type="paragraph" w:customStyle="1" w:styleId="RGSecHdg">
    <w:name w:val="RGSecHdg"/>
    <w:aliases w:val="Readers Guide Sec Heading"/>
    <w:basedOn w:val="Normal"/>
    <w:next w:val="RGPara"/>
    <w:rsid w:val="00A914C6"/>
    <w:pPr>
      <w:keepNext/>
      <w:spacing w:before="360"/>
    </w:pPr>
    <w:rPr>
      <w:rFonts w:ascii="Arial" w:hAnsi="Arial"/>
      <w:b/>
    </w:rPr>
  </w:style>
  <w:style w:type="paragraph" w:customStyle="1" w:styleId="Schedulepara">
    <w:name w:val="Schedule para"/>
    <w:basedOn w:val="Normal"/>
    <w:rsid w:val="00A914C6"/>
    <w:pPr>
      <w:tabs>
        <w:tab w:val="right" w:pos="567"/>
      </w:tabs>
      <w:spacing w:before="180" w:line="260" w:lineRule="exact"/>
      <w:ind w:left="964" w:hanging="964"/>
      <w:jc w:val="both"/>
    </w:pPr>
  </w:style>
  <w:style w:type="paragraph" w:customStyle="1" w:styleId="Scheduleheading">
    <w:name w:val="Schedule heading"/>
    <w:basedOn w:val="Normal"/>
    <w:next w:val="R1"/>
    <w:rsid w:val="00A914C6"/>
    <w:pPr>
      <w:keepNext/>
      <w:tabs>
        <w:tab w:val="left" w:pos="1985"/>
      </w:tabs>
      <w:spacing w:before="360"/>
      <w:ind w:left="964" w:hanging="964"/>
    </w:pPr>
    <w:rPr>
      <w:rFonts w:ascii="Arial" w:hAnsi="Arial"/>
      <w:b/>
    </w:rPr>
  </w:style>
  <w:style w:type="paragraph" w:customStyle="1" w:styleId="Schedulelist">
    <w:name w:val="Schedule list"/>
    <w:basedOn w:val="Normal"/>
    <w:rsid w:val="00A914C6"/>
    <w:pPr>
      <w:tabs>
        <w:tab w:val="right" w:pos="1985"/>
      </w:tabs>
      <w:spacing w:before="60" w:line="260" w:lineRule="exact"/>
      <w:ind w:left="454"/>
    </w:pPr>
  </w:style>
  <w:style w:type="paragraph" w:styleId="TOC1">
    <w:name w:val="toc 1"/>
    <w:basedOn w:val="Normal"/>
    <w:next w:val="Normal"/>
    <w:autoRedefine/>
    <w:uiPriority w:val="39"/>
    <w:qFormat/>
    <w:rsid w:val="00816EC2"/>
    <w:pPr>
      <w:keepNext/>
      <w:tabs>
        <w:tab w:val="right" w:pos="8335"/>
      </w:tabs>
      <w:spacing w:before="120" w:after="120"/>
      <w:ind w:left="1701" w:hanging="1701"/>
      <w:outlineLvl w:val="0"/>
    </w:pPr>
    <w:rPr>
      <w:rFonts w:ascii="Arial" w:hAnsi="Arial"/>
      <w:b/>
      <w:i/>
    </w:rPr>
  </w:style>
  <w:style w:type="paragraph" w:customStyle="1" w:styleId="Schedulereference">
    <w:name w:val="Schedule reference"/>
    <w:basedOn w:val="Normal"/>
    <w:next w:val="Schedulepart"/>
    <w:rsid w:val="00A914C6"/>
    <w:pPr>
      <w:keepNext/>
      <w:spacing w:before="60" w:line="200" w:lineRule="exact"/>
      <w:ind w:left="2410"/>
    </w:pPr>
    <w:rPr>
      <w:rFonts w:ascii="Arial" w:hAnsi="Arial"/>
      <w:sz w:val="18"/>
    </w:rPr>
  </w:style>
  <w:style w:type="paragraph" w:customStyle="1" w:styleId="Scheduletitle">
    <w:name w:val="Schedule title"/>
    <w:basedOn w:val="Normal"/>
    <w:next w:val="Schedulereference"/>
    <w:rsid w:val="00A914C6"/>
    <w:pPr>
      <w:keepNext/>
      <w:spacing w:before="480"/>
      <w:ind w:left="2410" w:hanging="2410"/>
    </w:pPr>
    <w:rPr>
      <w:rFonts w:ascii="Arial" w:hAnsi="Arial"/>
      <w:b/>
      <w:sz w:val="32"/>
    </w:rPr>
  </w:style>
  <w:style w:type="paragraph" w:customStyle="1" w:styleId="Schedulepart">
    <w:name w:val="Schedule part"/>
    <w:basedOn w:val="Normal"/>
    <w:rsid w:val="00A914C6"/>
    <w:pPr>
      <w:keepNext/>
      <w:spacing w:before="360"/>
      <w:ind w:left="1559" w:hanging="1559"/>
    </w:pPr>
    <w:rPr>
      <w:rFonts w:ascii="Arial" w:hAnsi="Arial"/>
      <w:b/>
      <w:sz w:val="28"/>
    </w:rPr>
  </w:style>
  <w:style w:type="paragraph" w:customStyle="1" w:styleId="Zdefinition">
    <w:name w:val="Zdefinition"/>
    <w:basedOn w:val="definition"/>
    <w:rsid w:val="00A914C6"/>
    <w:pPr>
      <w:keepNext/>
    </w:pPr>
  </w:style>
  <w:style w:type="paragraph" w:customStyle="1" w:styleId="TableColHead">
    <w:name w:val="TableColHead"/>
    <w:basedOn w:val="Normal"/>
    <w:rsid w:val="00A914C6"/>
    <w:pPr>
      <w:keepNext/>
      <w:spacing w:before="120"/>
    </w:pPr>
    <w:rPr>
      <w:rFonts w:ascii="Arial" w:hAnsi="Arial"/>
      <w:b/>
      <w:sz w:val="18"/>
    </w:rPr>
  </w:style>
  <w:style w:type="paragraph" w:styleId="TOC2">
    <w:name w:val="toc 2"/>
    <w:basedOn w:val="Normal"/>
    <w:next w:val="Normal"/>
    <w:autoRedefine/>
    <w:uiPriority w:val="39"/>
    <w:qFormat/>
    <w:rsid w:val="00816EC2"/>
    <w:pPr>
      <w:keepNext/>
      <w:tabs>
        <w:tab w:val="right" w:pos="8335"/>
      </w:tabs>
      <w:spacing w:before="240" w:after="120"/>
      <w:ind w:left="1701" w:right="714"/>
      <w:outlineLvl w:val="0"/>
    </w:pPr>
    <w:rPr>
      <w:rFonts w:ascii="Arial" w:hAnsi="Arial"/>
      <w:b/>
    </w:rPr>
  </w:style>
  <w:style w:type="paragraph" w:styleId="TOC3">
    <w:name w:val="toc 3"/>
    <w:basedOn w:val="Normal"/>
    <w:next w:val="Normal"/>
    <w:autoRedefine/>
    <w:uiPriority w:val="39"/>
    <w:semiHidden/>
    <w:qFormat/>
    <w:rsid w:val="00A914C6"/>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rsid w:val="00A914C6"/>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rsid w:val="00A914C6"/>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rsid w:val="00A914C6"/>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rsid w:val="00A914C6"/>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rsid w:val="00A914C6"/>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rsid w:val="00A914C6"/>
    <w:pPr>
      <w:tabs>
        <w:tab w:val="right" w:pos="8335"/>
      </w:tabs>
      <w:spacing w:before="240" w:after="120"/>
    </w:pPr>
    <w:rPr>
      <w:rFonts w:ascii="Arial" w:hAnsi="Arial"/>
      <w:b/>
      <w:sz w:val="20"/>
    </w:rPr>
  </w:style>
  <w:style w:type="paragraph" w:customStyle="1" w:styleId="HeaderContentsPage">
    <w:name w:val="HeaderContents&quot;Page&quot;"/>
    <w:basedOn w:val="Normal"/>
    <w:rsid w:val="00A914C6"/>
    <w:pPr>
      <w:spacing w:before="120" w:after="120"/>
      <w:jc w:val="right"/>
    </w:pPr>
    <w:rPr>
      <w:rFonts w:ascii="Arial" w:hAnsi="Arial"/>
      <w:sz w:val="20"/>
    </w:rPr>
  </w:style>
  <w:style w:type="paragraph" w:customStyle="1" w:styleId="Maker">
    <w:name w:val="Maker"/>
    <w:basedOn w:val="Normal"/>
    <w:rsid w:val="00A914C6"/>
    <w:pPr>
      <w:tabs>
        <w:tab w:val="left" w:pos="3119"/>
      </w:tabs>
      <w:spacing w:line="300" w:lineRule="atLeast"/>
    </w:pPr>
  </w:style>
  <w:style w:type="paragraph" w:customStyle="1" w:styleId="TableP1a">
    <w:name w:val="TableP1(a)"/>
    <w:basedOn w:val="Normal"/>
    <w:rsid w:val="00A914C6"/>
    <w:pPr>
      <w:tabs>
        <w:tab w:val="right" w:pos="408"/>
      </w:tabs>
      <w:spacing w:before="60" w:line="240" w:lineRule="exact"/>
      <w:ind w:left="533" w:hanging="533"/>
    </w:pPr>
    <w:rPr>
      <w:sz w:val="22"/>
    </w:rPr>
  </w:style>
  <w:style w:type="paragraph" w:customStyle="1" w:styleId="TableP2i">
    <w:name w:val="TableP2(i)"/>
    <w:basedOn w:val="Normal"/>
    <w:rsid w:val="00A914C6"/>
    <w:pPr>
      <w:tabs>
        <w:tab w:val="right" w:pos="725"/>
      </w:tabs>
      <w:spacing w:before="60" w:line="240" w:lineRule="exact"/>
      <w:ind w:left="868" w:hanging="868"/>
    </w:pPr>
    <w:rPr>
      <w:sz w:val="22"/>
    </w:rPr>
  </w:style>
  <w:style w:type="paragraph" w:customStyle="1" w:styleId="ZDD">
    <w:name w:val="ZDD"/>
    <w:aliases w:val="Dict Def"/>
    <w:basedOn w:val="DD"/>
    <w:rsid w:val="00A914C6"/>
    <w:pPr>
      <w:keepNext/>
    </w:pPr>
  </w:style>
  <w:style w:type="paragraph" w:customStyle="1" w:styleId="DefinitionTerm">
    <w:name w:val="Definition Term"/>
    <w:basedOn w:val="Normal"/>
    <w:next w:val="DefinitionList"/>
    <w:rsid w:val="00A914C6"/>
    <w:rPr>
      <w:snapToGrid w:val="0"/>
      <w:lang w:eastAsia="en-US"/>
    </w:rPr>
  </w:style>
  <w:style w:type="paragraph" w:customStyle="1" w:styleId="ZDP1">
    <w:name w:val="ZDP1"/>
    <w:basedOn w:val="DP1a"/>
    <w:rsid w:val="00A914C6"/>
    <w:pPr>
      <w:keepNext/>
    </w:pPr>
  </w:style>
  <w:style w:type="paragraph" w:customStyle="1" w:styleId="ZExampleBody">
    <w:name w:val="ZExample Body"/>
    <w:basedOn w:val="ExampleBody"/>
    <w:rsid w:val="00A914C6"/>
    <w:pPr>
      <w:keepNext/>
    </w:pPr>
  </w:style>
  <w:style w:type="paragraph" w:customStyle="1" w:styleId="ZNote">
    <w:name w:val="ZNote"/>
    <w:basedOn w:val="Note"/>
    <w:rsid w:val="00A914C6"/>
    <w:pPr>
      <w:keepNext/>
    </w:pPr>
  </w:style>
  <w:style w:type="paragraph" w:customStyle="1" w:styleId="ZP1">
    <w:name w:val="ZP1"/>
    <w:basedOn w:val="P1"/>
    <w:rsid w:val="00A914C6"/>
    <w:pPr>
      <w:keepNext/>
    </w:pPr>
  </w:style>
  <w:style w:type="paragraph" w:customStyle="1" w:styleId="ZP2">
    <w:name w:val="ZP2"/>
    <w:basedOn w:val="P2"/>
    <w:rsid w:val="00A914C6"/>
    <w:pPr>
      <w:keepNext/>
    </w:pPr>
  </w:style>
  <w:style w:type="paragraph" w:customStyle="1" w:styleId="ZP3">
    <w:name w:val="ZP3"/>
    <w:basedOn w:val="P3"/>
    <w:rsid w:val="00A914C6"/>
    <w:pPr>
      <w:keepNext/>
    </w:pPr>
  </w:style>
  <w:style w:type="paragraph" w:customStyle="1" w:styleId="ZR1">
    <w:name w:val="ZR1"/>
    <w:basedOn w:val="R1"/>
    <w:rsid w:val="00A914C6"/>
    <w:pPr>
      <w:keepNext/>
    </w:pPr>
  </w:style>
  <w:style w:type="paragraph" w:customStyle="1" w:styleId="ZR2">
    <w:name w:val="ZR2"/>
    <w:basedOn w:val="R2"/>
    <w:rsid w:val="00A914C6"/>
    <w:pPr>
      <w:keepNext/>
    </w:pPr>
  </w:style>
  <w:style w:type="paragraph" w:customStyle="1" w:styleId="ZRcN">
    <w:name w:val="ZRcN"/>
    <w:basedOn w:val="Rc"/>
    <w:rsid w:val="00A914C6"/>
    <w:pPr>
      <w:keepNext/>
    </w:pPr>
  </w:style>
  <w:style w:type="paragraph" w:customStyle="1" w:styleId="bulletedlist">
    <w:name w:val="bulleted list"/>
    <w:basedOn w:val="Normal"/>
    <w:rsid w:val="00A914C6"/>
    <w:pPr>
      <w:numPr>
        <w:numId w:val="2"/>
      </w:numPr>
      <w:spacing w:before="60" w:line="260" w:lineRule="exact"/>
      <w:jc w:val="both"/>
    </w:pPr>
  </w:style>
  <w:style w:type="paragraph" w:customStyle="1" w:styleId="PageBreak">
    <w:name w:val="PageBreak"/>
    <w:aliases w:val="pb"/>
    <w:basedOn w:val="Normal"/>
    <w:next w:val="Heading2"/>
    <w:rsid w:val="00A914C6"/>
    <w:rPr>
      <w:sz w:val="2"/>
    </w:rPr>
  </w:style>
  <w:style w:type="paragraph" w:customStyle="1" w:styleId="Formula">
    <w:name w:val="Formula"/>
    <w:basedOn w:val="Normal"/>
    <w:next w:val="Rc"/>
    <w:rsid w:val="00A914C6"/>
    <w:pPr>
      <w:spacing w:before="180" w:after="180"/>
      <w:jc w:val="center"/>
    </w:pPr>
  </w:style>
  <w:style w:type="paragraph" w:customStyle="1" w:styleId="DefinitionList">
    <w:name w:val="Definition List"/>
    <w:basedOn w:val="Normal"/>
    <w:next w:val="DefinitionTerm"/>
    <w:rsid w:val="00A914C6"/>
    <w:pPr>
      <w:ind w:left="360"/>
    </w:pPr>
    <w:rPr>
      <w:snapToGrid w:val="0"/>
      <w:lang w:eastAsia="en-US"/>
    </w:rPr>
  </w:style>
  <w:style w:type="paragraph" w:styleId="NoteHeading">
    <w:name w:val="Note Heading"/>
    <w:aliases w:val="HN"/>
    <w:basedOn w:val="Normal"/>
    <w:next w:val="Normal"/>
    <w:rsid w:val="00A914C6"/>
  </w:style>
  <w:style w:type="paragraph" w:styleId="BalloonText">
    <w:name w:val="Balloon Text"/>
    <w:basedOn w:val="Normal"/>
    <w:link w:val="BalloonTextChar"/>
    <w:uiPriority w:val="99"/>
    <w:semiHidden/>
    <w:unhideWhenUsed/>
    <w:rsid w:val="00B101AB"/>
    <w:rPr>
      <w:rFonts w:ascii="Tahoma" w:hAnsi="Tahoma"/>
      <w:sz w:val="16"/>
      <w:szCs w:val="16"/>
    </w:rPr>
  </w:style>
  <w:style w:type="character" w:customStyle="1" w:styleId="BalloonTextChar">
    <w:name w:val="Balloon Text Char"/>
    <w:link w:val="BalloonText"/>
    <w:uiPriority w:val="99"/>
    <w:semiHidden/>
    <w:rsid w:val="00B101AB"/>
    <w:rPr>
      <w:rFonts w:ascii="Tahoma" w:hAnsi="Tahoma" w:cs="Tahoma"/>
      <w:sz w:val="16"/>
      <w:szCs w:val="16"/>
    </w:rPr>
  </w:style>
  <w:style w:type="paragraph" w:customStyle="1" w:styleId="Default">
    <w:name w:val="Default"/>
    <w:rsid w:val="0051004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27207"/>
    <w:pPr>
      <w:ind w:left="720"/>
    </w:pPr>
  </w:style>
  <w:style w:type="character" w:customStyle="1" w:styleId="Heading1Char">
    <w:name w:val="Heading 1 Char"/>
    <w:link w:val="Heading1"/>
    <w:uiPriority w:val="9"/>
    <w:rsid w:val="00615CA6"/>
    <w:rPr>
      <w:rFonts w:ascii="Arial" w:hAnsi="Arial"/>
      <w:b/>
      <w:sz w:val="24"/>
    </w:rPr>
  </w:style>
  <w:style w:type="paragraph" w:styleId="TOCHeading">
    <w:name w:val="TOC Heading"/>
    <w:basedOn w:val="Heading1"/>
    <w:next w:val="Normal"/>
    <w:uiPriority w:val="39"/>
    <w:semiHidden/>
    <w:unhideWhenUsed/>
    <w:qFormat/>
    <w:rsid w:val="00A27207"/>
    <w:pPr>
      <w:keepLines/>
      <w:spacing w:before="480" w:after="0" w:line="276" w:lineRule="auto"/>
      <w:outlineLvl w:val="9"/>
    </w:pPr>
    <w:rPr>
      <w:color w:val="365F91"/>
      <w:sz w:val="28"/>
      <w:szCs w:val="28"/>
      <w:lang w:val="en-US" w:eastAsia="ja-JP"/>
    </w:rPr>
  </w:style>
  <w:style w:type="character" w:styleId="Hyperlink">
    <w:name w:val="Hyperlink"/>
    <w:uiPriority w:val="99"/>
    <w:unhideWhenUsed/>
    <w:rsid w:val="00615CA6"/>
    <w:rPr>
      <w:color w:val="0000FF"/>
      <w:u w:val="single"/>
    </w:rPr>
  </w:style>
  <w:style w:type="character" w:styleId="CommentReference">
    <w:name w:val="annotation reference"/>
    <w:uiPriority w:val="99"/>
    <w:semiHidden/>
    <w:unhideWhenUsed/>
    <w:rsid w:val="00C664F0"/>
    <w:rPr>
      <w:sz w:val="16"/>
      <w:szCs w:val="16"/>
    </w:rPr>
  </w:style>
  <w:style w:type="paragraph" w:styleId="CommentText">
    <w:name w:val="annotation text"/>
    <w:basedOn w:val="Normal"/>
    <w:link w:val="CommentTextChar"/>
    <w:uiPriority w:val="99"/>
    <w:semiHidden/>
    <w:unhideWhenUsed/>
    <w:rsid w:val="00C664F0"/>
    <w:rPr>
      <w:sz w:val="20"/>
    </w:rPr>
  </w:style>
  <w:style w:type="character" w:customStyle="1" w:styleId="CommentTextChar">
    <w:name w:val="Comment Text Char"/>
    <w:basedOn w:val="DefaultParagraphFont"/>
    <w:link w:val="CommentText"/>
    <w:uiPriority w:val="99"/>
    <w:semiHidden/>
    <w:rsid w:val="00C664F0"/>
  </w:style>
  <w:style w:type="paragraph" w:styleId="CommentSubject">
    <w:name w:val="annotation subject"/>
    <w:basedOn w:val="CommentText"/>
    <w:next w:val="CommentText"/>
    <w:link w:val="CommentSubjectChar"/>
    <w:uiPriority w:val="99"/>
    <w:semiHidden/>
    <w:unhideWhenUsed/>
    <w:rsid w:val="00C664F0"/>
    <w:rPr>
      <w:b/>
      <w:bCs/>
    </w:rPr>
  </w:style>
  <w:style w:type="character" w:customStyle="1" w:styleId="CommentSubjectChar">
    <w:name w:val="Comment Subject Char"/>
    <w:link w:val="CommentSubject"/>
    <w:uiPriority w:val="99"/>
    <w:semiHidden/>
    <w:rsid w:val="00C664F0"/>
    <w:rPr>
      <w:b/>
      <w:bCs/>
    </w:rPr>
  </w:style>
  <w:style w:type="paragraph" w:styleId="Revision">
    <w:name w:val="Revision"/>
    <w:hidden/>
    <w:uiPriority w:val="99"/>
    <w:semiHidden/>
    <w:rsid w:val="00823B17"/>
    <w:rPr>
      <w:sz w:val="24"/>
    </w:rPr>
  </w:style>
  <w:style w:type="character" w:styleId="FootnoteReference">
    <w:name w:val="footnote reference"/>
    <w:uiPriority w:val="99"/>
    <w:semiHidden/>
    <w:unhideWhenUsed/>
    <w:rsid w:val="00F0195A"/>
    <w:rPr>
      <w:vertAlign w:val="superscript"/>
    </w:rPr>
  </w:style>
  <w:style w:type="paragraph" w:customStyle="1" w:styleId="NumberLevel1">
    <w:name w:val="Number Level 1"/>
    <w:basedOn w:val="Normal"/>
    <w:rsid w:val="0056554F"/>
    <w:pPr>
      <w:numPr>
        <w:numId w:val="17"/>
      </w:numPr>
      <w:spacing w:before="140" w:after="140" w:line="280" w:lineRule="atLeast"/>
    </w:pPr>
    <w:rPr>
      <w:rFonts w:ascii="Arial" w:hAnsi="Arial" w:cs="Arial"/>
      <w:sz w:val="22"/>
      <w:szCs w:val="22"/>
    </w:rPr>
  </w:style>
  <w:style w:type="paragraph" w:customStyle="1" w:styleId="NumberLevel2">
    <w:name w:val="Number Level 2"/>
    <w:basedOn w:val="Normal"/>
    <w:rsid w:val="0056554F"/>
    <w:pPr>
      <w:numPr>
        <w:ilvl w:val="1"/>
        <w:numId w:val="17"/>
      </w:numPr>
      <w:spacing w:before="140" w:after="140" w:line="280" w:lineRule="atLeast"/>
    </w:pPr>
    <w:rPr>
      <w:rFonts w:ascii="Arial" w:hAnsi="Arial" w:cs="Arial"/>
      <w:sz w:val="22"/>
      <w:szCs w:val="22"/>
    </w:rPr>
  </w:style>
  <w:style w:type="paragraph" w:customStyle="1" w:styleId="NumberLevel3">
    <w:name w:val="Number Level 3"/>
    <w:basedOn w:val="Normal"/>
    <w:rsid w:val="0056554F"/>
    <w:pPr>
      <w:numPr>
        <w:ilvl w:val="2"/>
        <w:numId w:val="17"/>
      </w:numPr>
      <w:spacing w:before="140" w:after="140" w:line="280" w:lineRule="atLeast"/>
    </w:pPr>
    <w:rPr>
      <w:rFonts w:ascii="Arial" w:hAnsi="Arial" w:cs="Arial"/>
      <w:sz w:val="22"/>
      <w:szCs w:val="22"/>
    </w:rPr>
  </w:style>
  <w:style w:type="paragraph" w:customStyle="1" w:styleId="NumberLevel4">
    <w:name w:val="Number Level 4"/>
    <w:basedOn w:val="Normal"/>
    <w:rsid w:val="0056554F"/>
    <w:pPr>
      <w:numPr>
        <w:ilvl w:val="3"/>
        <w:numId w:val="17"/>
      </w:numPr>
      <w:spacing w:after="140" w:line="280" w:lineRule="atLeast"/>
    </w:pPr>
    <w:rPr>
      <w:rFonts w:ascii="Arial" w:hAnsi="Arial" w:cs="Arial"/>
      <w:sz w:val="22"/>
      <w:szCs w:val="22"/>
    </w:rPr>
  </w:style>
  <w:style w:type="paragraph" w:customStyle="1" w:styleId="NumberLevel5">
    <w:name w:val="Number Level 5"/>
    <w:basedOn w:val="Normal"/>
    <w:semiHidden/>
    <w:rsid w:val="0056554F"/>
    <w:pPr>
      <w:numPr>
        <w:ilvl w:val="4"/>
        <w:numId w:val="17"/>
      </w:numPr>
      <w:spacing w:after="140" w:line="280" w:lineRule="atLeast"/>
    </w:pPr>
    <w:rPr>
      <w:rFonts w:ascii="Arial" w:hAnsi="Arial" w:cs="Arial"/>
      <w:sz w:val="22"/>
      <w:szCs w:val="22"/>
    </w:rPr>
  </w:style>
  <w:style w:type="paragraph" w:customStyle="1" w:styleId="NumberLevel6">
    <w:name w:val="Number Level 6"/>
    <w:basedOn w:val="NumberLevel5"/>
    <w:semiHidden/>
    <w:rsid w:val="0056554F"/>
    <w:pPr>
      <w:numPr>
        <w:ilvl w:val="5"/>
      </w:numPr>
    </w:pPr>
  </w:style>
  <w:style w:type="paragraph" w:customStyle="1" w:styleId="NumberLevel7">
    <w:name w:val="Number Level 7"/>
    <w:basedOn w:val="NumberLevel6"/>
    <w:semiHidden/>
    <w:rsid w:val="0056554F"/>
    <w:pPr>
      <w:numPr>
        <w:ilvl w:val="6"/>
      </w:numPr>
    </w:pPr>
  </w:style>
  <w:style w:type="paragraph" w:customStyle="1" w:styleId="NumberLevel8">
    <w:name w:val="Number Level 8"/>
    <w:basedOn w:val="NumberLevel7"/>
    <w:semiHidden/>
    <w:rsid w:val="0056554F"/>
    <w:pPr>
      <w:numPr>
        <w:ilvl w:val="7"/>
      </w:numPr>
    </w:pPr>
  </w:style>
  <w:style w:type="paragraph" w:customStyle="1" w:styleId="NumberLevel9">
    <w:name w:val="Number Level 9"/>
    <w:basedOn w:val="NumberLevel8"/>
    <w:semiHidden/>
    <w:rsid w:val="0056554F"/>
    <w:pPr>
      <w:numPr>
        <w:ilvl w:val="8"/>
      </w:numPr>
    </w:pPr>
  </w:style>
  <w:style w:type="character" w:customStyle="1" w:styleId="Heading3Char">
    <w:name w:val="Heading 3 Char"/>
    <w:link w:val="Heading3"/>
    <w:uiPriority w:val="9"/>
    <w:semiHidden/>
    <w:rsid w:val="00FD125F"/>
    <w:rPr>
      <w:rFonts w:ascii="Cambria" w:eastAsia="Times New Roman" w:hAnsi="Cambria" w:cs="Times New Roman"/>
      <w:b/>
      <w:bCs/>
      <w:sz w:val="26"/>
      <w:szCs w:val="26"/>
    </w:rPr>
  </w:style>
  <w:style w:type="paragraph" w:customStyle="1" w:styleId="ABABodyText">
    <w:name w:val="ABA Body Text"/>
    <w:rsid w:val="00EE7A75"/>
    <w:pPr>
      <w:suppressAutoHyphens/>
      <w:spacing w:before="80" w:after="120" w:line="280" w:lineRule="atLeast"/>
    </w:pPr>
    <w:rPr>
      <w:snapToGrid w:val="0"/>
      <w:sz w:val="24"/>
      <w:lang w:eastAsia="en-US"/>
    </w:rPr>
  </w:style>
  <w:style w:type="paragraph" w:customStyle="1" w:styleId="ABAHeading3">
    <w:name w:val="ABA Heading 3"/>
    <w:next w:val="ABABodyText"/>
    <w:link w:val="ABAHeading3Char"/>
    <w:rsid w:val="00E6530A"/>
    <w:pPr>
      <w:keepNext/>
      <w:suppressAutoHyphens/>
      <w:spacing w:before="120"/>
    </w:pPr>
    <w:rPr>
      <w:rFonts w:ascii="Arial" w:hAnsi="Arial"/>
      <w:b/>
      <w:sz w:val="24"/>
      <w:lang w:eastAsia="en-US"/>
    </w:rPr>
  </w:style>
  <w:style w:type="character" w:customStyle="1" w:styleId="ABAHeading3Char">
    <w:name w:val="ABA Heading 3 Char"/>
    <w:link w:val="ABAHeading3"/>
    <w:rsid w:val="00E6530A"/>
    <w:rPr>
      <w:rFonts w:ascii="Arial" w:hAnsi="Arial"/>
      <w:b/>
      <w:sz w:val="24"/>
      <w:lang w:eastAsia="en-US"/>
    </w:rPr>
  </w:style>
  <w:style w:type="paragraph" w:customStyle="1" w:styleId="ACMABodyText">
    <w:name w:val="ACMA Body Text"/>
    <w:link w:val="ACMABodyTextChar"/>
    <w:rsid w:val="00F92DA6"/>
    <w:pPr>
      <w:suppressAutoHyphens/>
      <w:spacing w:before="80" w:after="120" w:line="280" w:lineRule="atLeast"/>
    </w:pPr>
    <w:rPr>
      <w:sz w:val="24"/>
      <w:lang w:eastAsia="en-US"/>
    </w:rPr>
  </w:style>
  <w:style w:type="character" w:customStyle="1" w:styleId="ACMABodyTextChar">
    <w:name w:val="ACMA Body Text Char"/>
    <w:link w:val="ACMABodyText"/>
    <w:rsid w:val="00F92DA6"/>
    <w:rPr>
      <w:sz w:val="24"/>
      <w:lang w:eastAsia="en-US"/>
    </w:rPr>
  </w:style>
  <w:style w:type="paragraph" w:customStyle="1" w:styleId="abaheading30">
    <w:name w:val="abaheading3"/>
    <w:basedOn w:val="Normal"/>
    <w:rsid w:val="001E464A"/>
    <w:pPr>
      <w:spacing w:before="100" w:beforeAutospacing="1" w:after="100" w:afterAutospacing="1"/>
    </w:pPr>
    <w:rPr>
      <w:szCs w:val="24"/>
    </w:rPr>
  </w:style>
  <w:style w:type="paragraph" w:customStyle="1" w:styleId="abaheading4">
    <w:name w:val="abaheading4"/>
    <w:basedOn w:val="Normal"/>
    <w:rsid w:val="001E464A"/>
    <w:pPr>
      <w:spacing w:before="100" w:beforeAutospacing="1" w:after="100" w:afterAutospacing="1"/>
    </w:pPr>
    <w:rPr>
      <w:szCs w:val="24"/>
    </w:rPr>
  </w:style>
  <w:style w:type="paragraph" w:customStyle="1" w:styleId="ababodytext0">
    <w:name w:val="ababodytext"/>
    <w:basedOn w:val="Normal"/>
    <w:rsid w:val="001E464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5637">
      <w:bodyDiv w:val="1"/>
      <w:marLeft w:val="0"/>
      <w:marRight w:val="0"/>
      <w:marTop w:val="0"/>
      <w:marBottom w:val="0"/>
      <w:divBdr>
        <w:top w:val="none" w:sz="0" w:space="0" w:color="auto"/>
        <w:left w:val="none" w:sz="0" w:space="0" w:color="auto"/>
        <w:bottom w:val="none" w:sz="0" w:space="0" w:color="auto"/>
        <w:right w:val="none" w:sz="0" w:space="0" w:color="auto"/>
      </w:divBdr>
    </w:div>
    <w:div w:id="940182081">
      <w:bodyDiv w:val="1"/>
      <w:marLeft w:val="0"/>
      <w:marRight w:val="0"/>
      <w:marTop w:val="0"/>
      <w:marBottom w:val="0"/>
      <w:divBdr>
        <w:top w:val="none" w:sz="0" w:space="0" w:color="auto"/>
        <w:left w:val="none" w:sz="0" w:space="0" w:color="auto"/>
        <w:bottom w:val="none" w:sz="0" w:space="0" w:color="auto"/>
        <w:right w:val="none" w:sz="0" w:space="0" w:color="auto"/>
      </w:divBdr>
    </w:div>
    <w:div w:id="1399791130">
      <w:bodyDiv w:val="1"/>
      <w:marLeft w:val="0"/>
      <w:marRight w:val="0"/>
      <w:marTop w:val="0"/>
      <w:marBottom w:val="0"/>
      <w:divBdr>
        <w:top w:val="none" w:sz="0" w:space="0" w:color="auto"/>
        <w:left w:val="none" w:sz="0" w:space="0" w:color="auto"/>
        <w:bottom w:val="none" w:sz="0" w:space="0" w:color="auto"/>
        <w:right w:val="none" w:sz="0" w:space="0" w:color="auto"/>
      </w:divBdr>
    </w:div>
    <w:div w:id="1777678768">
      <w:bodyDiv w:val="1"/>
      <w:marLeft w:val="0"/>
      <w:marRight w:val="0"/>
      <w:marTop w:val="0"/>
      <w:marBottom w:val="0"/>
      <w:divBdr>
        <w:top w:val="none" w:sz="0" w:space="0" w:color="auto"/>
        <w:left w:val="none" w:sz="0" w:space="0" w:color="auto"/>
        <w:bottom w:val="none" w:sz="0" w:space="0" w:color="auto"/>
        <w:right w:val="none" w:sz="0" w:space="0" w:color="auto"/>
      </w:divBdr>
    </w:div>
    <w:div w:id="1783959481">
      <w:bodyDiv w:val="1"/>
      <w:marLeft w:val="0"/>
      <w:marRight w:val="0"/>
      <w:marTop w:val="0"/>
      <w:marBottom w:val="0"/>
      <w:divBdr>
        <w:top w:val="none" w:sz="0" w:space="0" w:color="auto"/>
        <w:left w:val="none" w:sz="0" w:space="0" w:color="auto"/>
        <w:bottom w:val="none" w:sz="0" w:space="0" w:color="auto"/>
        <w:right w:val="none" w:sz="0" w:space="0" w:color="auto"/>
      </w:divBdr>
      <w:divsChild>
        <w:div w:id="1337344427">
          <w:marLeft w:val="0"/>
          <w:marRight w:val="0"/>
          <w:marTop w:val="0"/>
          <w:marBottom w:val="0"/>
          <w:divBdr>
            <w:top w:val="none" w:sz="0" w:space="0" w:color="auto"/>
            <w:left w:val="none" w:sz="0" w:space="0" w:color="auto"/>
            <w:bottom w:val="none" w:sz="0" w:space="0" w:color="auto"/>
            <w:right w:val="none" w:sz="0" w:space="0" w:color="auto"/>
          </w:divBdr>
          <w:divsChild>
            <w:div w:id="1639455845">
              <w:marLeft w:val="0"/>
              <w:marRight w:val="0"/>
              <w:marTop w:val="0"/>
              <w:marBottom w:val="0"/>
              <w:divBdr>
                <w:top w:val="none" w:sz="0" w:space="0" w:color="auto"/>
                <w:left w:val="none" w:sz="0" w:space="0" w:color="auto"/>
                <w:bottom w:val="none" w:sz="0" w:space="0" w:color="auto"/>
                <w:right w:val="none" w:sz="0" w:space="0" w:color="auto"/>
              </w:divBdr>
              <w:divsChild>
                <w:div w:id="2145190668">
                  <w:marLeft w:val="0"/>
                  <w:marRight w:val="0"/>
                  <w:marTop w:val="0"/>
                  <w:marBottom w:val="0"/>
                  <w:divBdr>
                    <w:top w:val="none" w:sz="0" w:space="0" w:color="auto"/>
                    <w:left w:val="none" w:sz="0" w:space="0" w:color="auto"/>
                    <w:bottom w:val="none" w:sz="0" w:space="0" w:color="auto"/>
                    <w:right w:val="none" w:sz="0" w:space="0" w:color="auto"/>
                  </w:divBdr>
                  <w:divsChild>
                    <w:div w:id="522088326">
                      <w:marLeft w:val="0"/>
                      <w:marRight w:val="0"/>
                      <w:marTop w:val="0"/>
                      <w:marBottom w:val="0"/>
                      <w:divBdr>
                        <w:top w:val="none" w:sz="0" w:space="0" w:color="auto"/>
                        <w:left w:val="none" w:sz="0" w:space="0" w:color="auto"/>
                        <w:bottom w:val="none" w:sz="0" w:space="0" w:color="auto"/>
                        <w:right w:val="none" w:sz="0" w:space="0" w:color="auto"/>
                      </w:divBdr>
                      <w:divsChild>
                        <w:div w:id="893664945">
                          <w:marLeft w:val="0"/>
                          <w:marRight w:val="0"/>
                          <w:marTop w:val="0"/>
                          <w:marBottom w:val="0"/>
                          <w:divBdr>
                            <w:top w:val="none" w:sz="0" w:space="0" w:color="auto"/>
                            <w:left w:val="none" w:sz="0" w:space="0" w:color="auto"/>
                            <w:bottom w:val="none" w:sz="0" w:space="0" w:color="auto"/>
                            <w:right w:val="none" w:sz="0" w:space="0" w:color="auto"/>
                          </w:divBdr>
                          <w:divsChild>
                            <w:div w:id="1073158073">
                              <w:marLeft w:val="0"/>
                              <w:marRight w:val="0"/>
                              <w:marTop w:val="0"/>
                              <w:marBottom w:val="0"/>
                              <w:divBdr>
                                <w:top w:val="single" w:sz="6" w:space="0" w:color="828282"/>
                                <w:left w:val="single" w:sz="6" w:space="0" w:color="828282"/>
                                <w:bottom w:val="single" w:sz="6" w:space="0" w:color="828282"/>
                                <w:right w:val="single" w:sz="6" w:space="0" w:color="828282"/>
                              </w:divBdr>
                              <w:divsChild>
                                <w:div w:id="1634603478">
                                  <w:marLeft w:val="0"/>
                                  <w:marRight w:val="0"/>
                                  <w:marTop w:val="0"/>
                                  <w:marBottom w:val="0"/>
                                  <w:divBdr>
                                    <w:top w:val="none" w:sz="0" w:space="0" w:color="auto"/>
                                    <w:left w:val="none" w:sz="0" w:space="0" w:color="auto"/>
                                    <w:bottom w:val="none" w:sz="0" w:space="0" w:color="auto"/>
                                    <w:right w:val="none" w:sz="0" w:space="0" w:color="auto"/>
                                  </w:divBdr>
                                  <w:divsChild>
                                    <w:div w:id="293100052">
                                      <w:marLeft w:val="0"/>
                                      <w:marRight w:val="0"/>
                                      <w:marTop w:val="0"/>
                                      <w:marBottom w:val="0"/>
                                      <w:divBdr>
                                        <w:top w:val="none" w:sz="0" w:space="0" w:color="auto"/>
                                        <w:left w:val="none" w:sz="0" w:space="0" w:color="auto"/>
                                        <w:bottom w:val="none" w:sz="0" w:space="0" w:color="auto"/>
                                        <w:right w:val="none" w:sz="0" w:space="0" w:color="auto"/>
                                      </w:divBdr>
                                      <w:divsChild>
                                        <w:div w:id="117572422">
                                          <w:marLeft w:val="0"/>
                                          <w:marRight w:val="0"/>
                                          <w:marTop w:val="0"/>
                                          <w:marBottom w:val="0"/>
                                          <w:divBdr>
                                            <w:top w:val="none" w:sz="0" w:space="0" w:color="auto"/>
                                            <w:left w:val="none" w:sz="0" w:space="0" w:color="auto"/>
                                            <w:bottom w:val="none" w:sz="0" w:space="0" w:color="auto"/>
                                            <w:right w:val="none" w:sz="0" w:space="0" w:color="auto"/>
                                          </w:divBdr>
                                          <w:divsChild>
                                            <w:div w:id="1312565330">
                                              <w:marLeft w:val="0"/>
                                              <w:marRight w:val="0"/>
                                              <w:marTop w:val="0"/>
                                              <w:marBottom w:val="0"/>
                                              <w:divBdr>
                                                <w:top w:val="none" w:sz="0" w:space="0" w:color="auto"/>
                                                <w:left w:val="none" w:sz="0" w:space="0" w:color="auto"/>
                                                <w:bottom w:val="none" w:sz="0" w:space="0" w:color="auto"/>
                                                <w:right w:val="none" w:sz="0" w:space="0" w:color="auto"/>
                                              </w:divBdr>
                                              <w:divsChild>
                                                <w:div w:id="1279607107">
                                                  <w:marLeft w:val="0"/>
                                                  <w:marRight w:val="0"/>
                                                  <w:marTop w:val="0"/>
                                                  <w:marBottom w:val="0"/>
                                                  <w:divBdr>
                                                    <w:top w:val="none" w:sz="0" w:space="0" w:color="auto"/>
                                                    <w:left w:val="none" w:sz="0" w:space="0" w:color="auto"/>
                                                    <w:bottom w:val="none" w:sz="0" w:space="0" w:color="auto"/>
                                                    <w:right w:val="none" w:sz="0" w:space="0" w:color="auto"/>
                                                  </w:divBdr>
                                                  <w:divsChild>
                                                    <w:div w:id="1210796699">
                                                      <w:marLeft w:val="0"/>
                                                      <w:marRight w:val="0"/>
                                                      <w:marTop w:val="0"/>
                                                      <w:marBottom w:val="0"/>
                                                      <w:divBdr>
                                                        <w:top w:val="none" w:sz="0" w:space="0" w:color="auto"/>
                                                        <w:left w:val="none" w:sz="0" w:space="0" w:color="auto"/>
                                                        <w:bottom w:val="none" w:sz="0" w:space="0" w:color="auto"/>
                                                        <w:right w:val="none" w:sz="0" w:space="0" w:color="auto"/>
                                                      </w:divBdr>
                                                      <w:divsChild>
                                                        <w:div w:id="618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539287">
      <w:bodyDiv w:val="1"/>
      <w:marLeft w:val="0"/>
      <w:marRight w:val="0"/>
      <w:marTop w:val="0"/>
      <w:marBottom w:val="0"/>
      <w:divBdr>
        <w:top w:val="none" w:sz="0" w:space="0" w:color="auto"/>
        <w:left w:val="none" w:sz="0" w:space="0" w:color="auto"/>
        <w:bottom w:val="none" w:sz="0" w:space="0" w:color="auto"/>
        <w:right w:val="none" w:sz="0" w:space="0" w:color="auto"/>
      </w:divBdr>
      <w:divsChild>
        <w:div w:id="357659145">
          <w:marLeft w:val="0"/>
          <w:marRight w:val="0"/>
          <w:marTop w:val="0"/>
          <w:marBottom w:val="0"/>
          <w:divBdr>
            <w:top w:val="none" w:sz="0" w:space="0" w:color="auto"/>
            <w:left w:val="none" w:sz="0" w:space="0" w:color="auto"/>
            <w:bottom w:val="none" w:sz="0" w:space="0" w:color="auto"/>
            <w:right w:val="none" w:sz="0" w:space="0" w:color="auto"/>
          </w:divBdr>
          <w:divsChild>
            <w:div w:id="1117796480">
              <w:marLeft w:val="0"/>
              <w:marRight w:val="0"/>
              <w:marTop w:val="0"/>
              <w:marBottom w:val="0"/>
              <w:divBdr>
                <w:top w:val="none" w:sz="0" w:space="0" w:color="auto"/>
                <w:left w:val="none" w:sz="0" w:space="0" w:color="auto"/>
                <w:bottom w:val="none" w:sz="0" w:space="0" w:color="auto"/>
                <w:right w:val="none" w:sz="0" w:space="0" w:color="auto"/>
              </w:divBdr>
              <w:divsChild>
                <w:div w:id="646393981">
                  <w:marLeft w:val="0"/>
                  <w:marRight w:val="0"/>
                  <w:marTop w:val="0"/>
                  <w:marBottom w:val="0"/>
                  <w:divBdr>
                    <w:top w:val="none" w:sz="0" w:space="0" w:color="auto"/>
                    <w:left w:val="none" w:sz="0" w:space="0" w:color="auto"/>
                    <w:bottom w:val="none" w:sz="0" w:space="0" w:color="auto"/>
                    <w:right w:val="none" w:sz="0" w:space="0" w:color="auto"/>
                  </w:divBdr>
                  <w:divsChild>
                    <w:div w:id="781992886">
                      <w:marLeft w:val="0"/>
                      <w:marRight w:val="0"/>
                      <w:marTop w:val="0"/>
                      <w:marBottom w:val="0"/>
                      <w:divBdr>
                        <w:top w:val="none" w:sz="0" w:space="0" w:color="auto"/>
                        <w:left w:val="none" w:sz="0" w:space="0" w:color="auto"/>
                        <w:bottom w:val="none" w:sz="0" w:space="0" w:color="auto"/>
                        <w:right w:val="none" w:sz="0" w:space="0" w:color="auto"/>
                      </w:divBdr>
                      <w:divsChild>
                        <w:div w:id="1616256026">
                          <w:marLeft w:val="0"/>
                          <w:marRight w:val="0"/>
                          <w:marTop w:val="0"/>
                          <w:marBottom w:val="0"/>
                          <w:divBdr>
                            <w:top w:val="none" w:sz="0" w:space="0" w:color="auto"/>
                            <w:left w:val="none" w:sz="0" w:space="0" w:color="auto"/>
                            <w:bottom w:val="none" w:sz="0" w:space="0" w:color="auto"/>
                            <w:right w:val="none" w:sz="0" w:space="0" w:color="auto"/>
                          </w:divBdr>
                          <w:divsChild>
                            <w:div w:id="764227787">
                              <w:marLeft w:val="0"/>
                              <w:marRight w:val="0"/>
                              <w:marTop w:val="0"/>
                              <w:marBottom w:val="0"/>
                              <w:divBdr>
                                <w:top w:val="single" w:sz="6" w:space="0" w:color="828282"/>
                                <w:left w:val="single" w:sz="6" w:space="0" w:color="828282"/>
                                <w:bottom w:val="single" w:sz="6" w:space="0" w:color="828282"/>
                                <w:right w:val="single" w:sz="6" w:space="0" w:color="828282"/>
                              </w:divBdr>
                              <w:divsChild>
                                <w:div w:id="2008244936">
                                  <w:marLeft w:val="0"/>
                                  <w:marRight w:val="0"/>
                                  <w:marTop w:val="0"/>
                                  <w:marBottom w:val="0"/>
                                  <w:divBdr>
                                    <w:top w:val="none" w:sz="0" w:space="0" w:color="auto"/>
                                    <w:left w:val="none" w:sz="0" w:space="0" w:color="auto"/>
                                    <w:bottom w:val="none" w:sz="0" w:space="0" w:color="auto"/>
                                    <w:right w:val="none" w:sz="0" w:space="0" w:color="auto"/>
                                  </w:divBdr>
                                  <w:divsChild>
                                    <w:div w:id="522088419">
                                      <w:marLeft w:val="0"/>
                                      <w:marRight w:val="0"/>
                                      <w:marTop w:val="0"/>
                                      <w:marBottom w:val="0"/>
                                      <w:divBdr>
                                        <w:top w:val="none" w:sz="0" w:space="0" w:color="auto"/>
                                        <w:left w:val="none" w:sz="0" w:space="0" w:color="auto"/>
                                        <w:bottom w:val="none" w:sz="0" w:space="0" w:color="auto"/>
                                        <w:right w:val="none" w:sz="0" w:space="0" w:color="auto"/>
                                      </w:divBdr>
                                      <w:divsChild>
                                        <w:div w:id="797189116">
                                          <w:marLeft w:val="0"/>
                                          <w:marRight w:val="0"/>
                                          <w:marTop w:val="0"/>
                                          <w:marBottom w:val="0"/>
                                          <w:divBdr>
                                            <w:top w:val="none" w:sz="0" w:space="0" w:color="auto"/>
                                            <w:left w:val="none" w:sz="0" w:space="0" w:color="auto"/>
                                            <w:bottom w:val="none" w:sz="0" w:space="0" w:color="auto"/>
                                            <w:right w:val="none" w:sz="0" w:space="0" w:color="auto"/>
                                          </w:divBdr>
                                          <w:divsChild>
                                            <w:div w:id="418067171">
                                              <w:marLeft w:val="0"/>
                                              <w:marRight w:val="0"/>
                                              <w:marTop w:val="0"/>
                                              <w:marBottom w:val="0"/>
                                              <w:divBdr>
                                                <w:top w:val="none" w:sz="0" w:space="0" w:color="auto"/>
                                                <w:left w:val="none" w:sz="0" w:space="0" w:color="auto"/>
                                                <w:bottom w:val="none" w:sz="0" w:space="0" w:color="auto"/>
                                                <w:right w:val="none" w:sz="0" w:space="0" w:color="auto"/>
                                              </w:divBdr>
                                              <w:divsChild>
                                                <w:div w:id="1153377547">
                                                  <w:marLeft w:val="0"/>
                                                  <w:marRight w:val="0"/>
                                                  <w:marTop w:val="0"/>
                                                  <w:marBottom w:val="0"/>
                                                  <w:divBdr>
                                                    <w:top w:val="none" w:sz="0" w:space="0" w:color="auto"/>
                                                    <w:left w:val="none" w:sz="0" w:space="0" w:color="auto"/>
                                                    <w:bottom w:val="none" w:sz="0" w:space="0" w:color="auto"/>
                                                    <w:right w:val="none" w:sz="0" w:space="0" w:color="auto"/>
                                                  </w:divBdr>
                                                  <w:divsChild>
                                                    <w:div w:id="785270233">
                                                      <w:marLeft w:val="0"/>
                                                      <w:marRight w:val="0"/>
                                                      <w:marTop w:val="0"/>
                                                      <w:marBottom w:val="0"/>
                                                      <w:divBdr>
                                                        <w:top w:val="none" w:sz="0" w:space="0" w:color="auto"/>
                                                        <w:left w:val="none" w:sz="0" w:space="0" w:color="auto"/>
                                                        <w:bottom w:val="none" w:sz="0" w:space="0" w:color="auto"/>
                                                        <w:right w:val="none" w:sz="0" w:space="0" w:color="auto"/>
                                                      </w:divBdr>
                                                      <w:divsChild>
                                                        <w:div w:id="691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stlii.edu.au" TargetMode="External"/><Relationship Id="rId4" Type="http://schemas.openxmlformats.org/officeDocument/2006/relationships/styles" Target="styles.xml"/><Relationship Id="rId9" Type="http://schemas.openxmlformats.org/officeDocument/2006/relationships/hyperlink" Target="https://www.legislation.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ACED2-748A-46CD-BECB-F51252320C0C}">
  <ds:schemaRefs>
    <ds:schemaRef ds:uri="http://schemas.openxmlformats.org/officeDocument/2006/bibliography"/>
  </ds:schemaRefs>
</ds:datastoreItem>
</file>

<file path=customXml/itemProps2.xml><?xml version="1.0" encoding="utf-8"?>
<ds:datastoreItem xmlns:ds="http://schemas.openxmlformats.org/officeDocument/2006/customXml" ds:itemID="{12DA5289-2D46-4D70-A903-FF9FE797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Broadcasting Services (Television Captioning) Standard 2013</vt:lpstr>
    </vt:vector>
  </TitlesOfParts>
  <Company>Attorney-General's Department</Company>
  <LinksUpToDate>false</LinksUpToDate>
  <CharactersWithSpaces>15929</CharactersWithSpaces>
  <SharedDoc>false</SharedDoc>
  <HLinks>
    <vt:vector size="42" baseType="variant">
      <vt:variant>
        <vt:i4>1179698</vt:i4>
      </vt:variant>
      <vt:variant>
        <vt:i4>38</vt:i4>
      </vt:variant>
      <vt:variant>
        <vt:i4>0</vt:i4>
      </vt:variant>
      <vt:variant>
        <vt:i4>5</vt:i4>
      </vt:variant>
      <vt:variant>
        <vt:lpwstr/>
      </vt:variant>
      <vt:variant>
        <vt:lpwstr>_Toc336504777</vt:lpwstr>
      </vt:variant>
      <vt:variant>
        <vt:i4>1179698</vt:i4>
      </vt:variant>
      <vt:variant>
        <vt:i4>32</vt:i4>
      </vt:variant>
      <vt:variant>
        <vt:i4>0</vt:i4>
      </vt:variant>
      <vt:variant>
        <vt:i4>5</vt:i4>
      </vt:variant>
      <vt:variant>
        <vt:lpwstr/>
      </vt:variant>
      <vt:variant>
        <vt:lpwstr>_Toc336504776</vt:lpwstr>
      </vt:variant>
      <vt:variant>
        <vt:i4>1179698</vt:i4>
      </vt:variant>
      <vt:variant>
        <vt:i4>26</vt:i4>
      </vt:variant>
      <vt:variant>
        <vt:i4>0</vt:i4>
      </vt:variant>
      <vt:variant>
        <vt:i4>5</vt:i4>
      </vt:variant>
      <vt:variant>
        <vt:lpwstr/>
      </vt:variant>
      <vt:variant>
        <vt:lpwstr>_Toc336504775</vt:lpwstr>
      </vt:variant>
      <vt:variant>
        <vt:i4>1179698</vt:i4>
      </vt:variant>
      <vt:variant>
        <vt:i4>20</vt:i4>
      </vt:variant>
      <vt:variant>
        <vt:i4>0</vt:i4>
      </vt:variant>
      <vt:variant>
        <vt:i4>5</vt:i4>
      </vt:variant>
      <vt:variant>
        <vt:lpwstr/>
      </vt:variant>
      <vt:variant>
        <vt:lpwstr>_Toc336504774</vt:lpwstr>
      </vt:variant>
      <vt:variant>
        <vt:i4>1179698</vt:i4>
      </vt:variant>
      <vt:variant>
        <vt:i4>14</vt:i4>
      </vt:variant>
      <vt:variant>
        <vt:i4>0</vt:i4>
      </vt:variant>
      <vt:variant>
        <vt:i4>5</vt:i4>
      </vt:variant>
      <vt:variant>
        <vt:lpwstr/>
      </vt:variant>
      <vt:variant>
        <vt:lpwstr>_Toc336504773</vt:lpwstr>
      </vt:variant>
      <vt:variant>
        <vt:i4>1179698</vt:i4>
      </vt:variant>
      <vt:variant>
        <vt:i4>8</vt:i4>
      </vt:variant>
      <vt:variant>
        <vt:i4>0</vt:i4>
      </vt:variant>
      <vt:variant>
        <vt:i4>5</vt:i4>
      </vt:variant>
      <vt:variant>
        <vt:lpwstr/>
      </vt:variant>
      <vt:variant>
        <vt:lpwstr>_Toc336504772</vt:lpwstr>
      </vt:variant>
      <vt:variant>
        <vt:i4>1179698</vt:i4>
      </vt:variant>
      <vt:variant>
        <vt:i4>2</vt:i4>
      </vt:variant>
      <vt:variant>
        <vt:i4>0</vt:i4>
      </vt:variant>
      <vt:variant>
        <vt:i4>5</vt:i4>
      </vt:variant>
      <vt:variant>
        <vt:lpwstr/>
      </vt:variant>
      <vt:variant>
        <vt:lpwstr>_Toc336504771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(Television Captioning) Standard 2013</dc:title>
  <dc:creator>ACMA</dc:creator>
  <cp:lastModifiedBy>Chris Herscovitch</cp:lastModifiedBy>
  <cp:revision>6</cp:revision>
  <cp:lastPrinted>2013-05-02T05:27:00Z</cp:lastPrinted>
  <dcterms:created xsi:type="dcterms:W3CDTF">2016-03-22T04:47:00Z</dcterms:created>
  <dcterms:modified xsi:type="dcterms:W3CDTF">2016-03-22T06:08:00Z</dcterms:modified>
</cp:coreProperties>
</file>