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E3FF4" w14:textId="77777777" w:rsidR="00756424" w:rsidRPr="00756424" w:rsidRDefault="00777461" w:rsidP="00756424">
      <w:pPr>
        <w:spacing w:after="0" w:line="240" w:lineRule="auto"/>
        <w:ind w:right="91"/>
        <w:jc w:val="center"/>
        <w:rPr>
          <w:rFonts w:ascii="Times New Roman" w:eastAsia="Times New Roman" w:hAnsi="Times New Roman" w:cs="Times New Roman"/>
          <w:sz w:val="24"/>
          <w:szCs w:val="24"/>
        </w:rPr>
      </w:pPr>
      <w:r w:rsidRPr="00756424">
        <w:rPr>
          <w:rFonts w:ascii="Times New Roman" w:eastAsia="Times New Roman" w:hAnsi="Times New Roman" w:cs="Times New Roman"/>
          <w:b/>
          <w:sz w:val="24"/>
          <w:szCs w:val="24"/>
          <w:u w:val="single"/>
        </w:rPr>
        <w:t xml:space="preserve">EXPLANATORY </w:t>
      </w:r>
      <w:r>
        <w:rPr>
          <w:rFonts w:ascii="Times New Roman" w:eastAsia="Times New Roman" w:hAnsi="Times New Roman" w:cs="Times New Roman"/>
          <w:b/>
          <w:sz w:val="24"/>
          <w:szCs w:val="24"/>
          <w:u w:val="single"/>
        </w:rPr>
        <w:t>STATEMENT</w:t>
      </w:r>
    </w:p>
    <w:p w14:paraId="625E3FF7" w14:textId="77777777" w:rsidR="00374AFB" w:rsidRDefault="00207F49" w:rsidP="00207F49">
      <w:pPr>
        <w:keepNext/>
        <w:spacing w:after="0" w:line="240" w:lineRule="auto"/>
        <w:ind w:right="91"/>
        <w:outlineLvl w:val="5"/>
        <w:rPr>
          <w:rFonts w:ascii="Times New Roman" w:eastAsia="Times New Roman" w:hAnsi="Times New Roman" w:cs="Times New Roman"/>
          <w:sz w:val="24"/>
          <w:szCs w:val="20"/>
          <w:u w:val="single"/>
          <w:lang w:eastAsia="en-AU"/>
        </w:rPr>
      </w:pPr>
      <w:bookmarkStart w:id="0" w:name="_GoBack"/>
      <w:bookmarkEnd w:id="0"/>
    </w:p>
    <w:p w14:paraId="625E3FF8" w14:textId="77777777" w:rsidR="00374AFB" w:rsidRPr="00756424" w:rsidRDefault="00777461" w:rsidP="00374AFB">
      <w:pPr>
        <w:keepNext/>
        <w:spacing w:after="0" w:line="240" w:lineRule="auto"/>
        <w:ind w:right="91"/>
        <w:jc w:val="center"/>
        <w:outlineLvl w:val="5"/>
        <w:rPr>
          <w:rFonts w:ascii="Times New Roman" w:eastAsia="Times New Roman" w:hAnsi="Times New Roman" w:cs="Times New Roman"/>
          <w:sz w:val="24"/>
          <w:szCs w:val="20"/>
          <w:u w:val="single"/>
          <w:lang w:eastAsia="en-AU"/>
        </w:rPr>
      </w:pPr>
      <w:r>
        <w:rPr>
          <w:rFonts w:ascii="Times New Roman" w:eastAsia="Times New Roman" w:hAnsi="Times New Roman" w:cs="Times New Roman"/>
          <w:sz w:val="24"/>
          <w:szCs w:val="20"/>
          <w:u w:val="single"/>
          <w:lang w:eastAsia="en-AU"/>
        </w:rPr>
        <w:t>Issued by the authority of the Attorney-General</w:t>
      </w:r>
    </w:p>
    <w:p w14:paraId="625E3FF9" w14:textId="77777777" w:rsidR="00756424" w:rsidRPr="00756424" w:rsidRDefault="00207F49" w:rsidP="00374AFB">
      <w:pPr>
        <w:spacing w:after="0" w:line="240" w:lineRule="auto"/>
        <w:ind w:right="91"/>
        <w:jc w:val="center"/>
        <w:rPr>
          <w:rFonts w:ascii="Times New Roman" w:eastAsia="Times New Roman" w:hAnsi="Times New Roman" w:cs="Times New Roman"/>
          <w:sz w:val="24"/>
          <w:szCs w:val="24"/>
        </w:rPr>
      </w:pPr>
    </w:p>
    <w:p w14:paraId="625E3FFA" w14:textId="77777777" w:rsidR="00756424" w:rsidRPr="00756424" w:rsidRDefault="00777461" w:rsidP="00374AFB">
      <w:pPr>
        <w:tabs>
          <w:tab w:val="left" w:pos="1418"/>
        </w:tabs>
        <w:spacing w:after="0" w:line="240" w:lineRule="auto"/>
        <w:ind w:right="91"/>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Bankruptcy Act 1966</w:t>
      </w:r>
    </w:p>
    <w:p w14:paraId="625E3FFB" w14:textId="77777777" w:rsidR="00756424" w:rsidRPr="00756424" w:rsidRDefault="00207F49" w:rsidP="00374AFB">
      <w:pPr>
        <w:tabs>
          <w:tab w:val="left" w:pos="1418"/>
        </w:tabs>
        <w:spacing w:after="0" w:line="240" w:lineRule="auto"/>
        <w:ind w:left="1418" w:right="91" w:hanging="1418"/>
        <w:jc w:val="center"/>
        <w:rPr>
          <w:rFonts w:ascii="Times New Roman" w:eastAsia="Times New Roman" w:hAnsi="Times New Roman" w:cs="Times New Roman"/>
          <w:sz w:val="24"/>
          <w:szCs w:val="24"/>
        </w:rPr>
      </w:pPr>
    </w:p>
    <w:p w14:paraId="625E3FFC" w14:textId="77777777" w:rsidR="0042582B" w:rsidRPr="0042582B" w:rsidRDefault="00777461" w:rsidP="00374AFB">
      <w:pPr>
        <w:tabs>
          <w:tab w:val="left" w:pos="1418"/>
        </w:tabs>
        <w:spacing w:after="0" w:line="240" w:lineRule="auto"/>
        <w:ind w:left="1418" w:right="91" w:hanging="1418"/>
        <w:jc w:val="center"/>
        <w:rPr>
          <w:rFonts w:ascii="Times New Roman" w:eastAsia="Times New Roman" w:hAnsi="Times New Roman" w:cs="Times New Roman"/>
          <w:i/>
          <w:sz w:val="24"/>
          <w:szCs w:val="24"/>
        </w:rPr>
      </w:pPr>
      <w:r w:rsidRPr="0042582B">
        <w:rPr>
          <w:rFonts w:ascii="Times New Roman" w:eastAsia="Times New Roman" w:hAnsi="Times New Roman" w:cs="Times New Roman"/>
          <w:i/>
          <w:sz w:val="24"/>
          <w:szCs w:val="24"/>
        </w:rPr>
        <w:t>Bankruptcy Amendment (Rules of Court) Regulation 2016</w:t>
      </w:r>
    </w:p>
    <w:p w14:paraId="625E3FFD" w14:textId="77777777" w:rsidR="00756424" w:rsidRPr="00756424" w:rsidRDefault="00777461" w:rsidP="00756424">
      <w:pPr>
        <w:tabs>
          <w:tab w:val="left" w:pos="6525"/>
        </w:tabs>
        <w:spacing w:after="0" w:line="240" w:lineRule="auto"/>
        <w:ind w:right="91"/>
        <w:rPr>
          <w:rFonts w:ascii="Times New Roman" w:eastAsia="Times New Roman" w:hAnsi="Times New Roman" w:cs="Times New Roman"/>
          <w:b/>
          <w:sz w:val="24"/>
          <w:szCs w:val="24"/>
        </w:rPr>
      </w:pPr>
      <w:r w:rsidRPr="00756424">
        <w:rPr>
          <w:rFonts w:ascii="Times New Roman" w:eastAsia="Times New Roman" w:hAnsi="Times New Roman" w:cs="Times New Roman"/>
          <w:b/>
          <w:sz w:val="24"/>
          <w:szCs w:val="24"/>
        </w:rPr>
        <w:tab/>
      </w:r>
    </w:p>
    <w:p w14:paraId="625E3FFE" w14:textId="77777777" w:rsidR="00756424" w:rsidRPr="0042582B" w:rsidRDefault="00777461" w:rsidP="00756424">
      <w:pPr>
        <w:spacing w:after="0" w:line="240" w:lineRule="auto"/>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Bankruptcy Act 1966</w:t>
      </w:r>
      <w:r>
        <w:rPr>
          <w:rFonts w:ascii="Times New Roman" w:eastAsia="Times New Roman" w:hAnsi="Times New Roman" w:cs="Times New Roman"/>
          <w:sz w:val="24"/>
          <w:szCs w:val="24"/>
        </w:rPr>
        <w:t xml:space="preserve"> provides for bankruptcy and personal insolvency laws in Australia.</w:t>
      </w:r>
    </w:p>
    <w:p w14:paraId="625E3FFF" w14:textId="77777777" w:rsidR="00756424" w:rsidRDefault="00207F49" w:rsidP="00756424">
      <w:pPr>
        <w:spacing w:after="0" w:line="240" w:lineRule="auto"/>
        <w:ind w:right="91"/>
        <w:rPr>
          <w:rFonts w:ascii="Times New Roman" w:eastAsia="Times New Roman" w:hAnsi="Times New Roman" w:cs="Times New Roman"/>
          <w:sz w:val="24"/>
          <w:szCs w:val="24"/>
        </w:rPr>
      </w:pPr>
    </w:p>
    <w:p w14:paraId="625E4000" w14:textId="77777777" w:rsidR="0042582B" w:rsidRDefault="00777461" w:rsidP="0042582B">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315 of the Act provides that </w:t>
      </w:r>
      <w:r>
        <w:rPr>
          <w:rFonts w:ascii="Times New Roman" w:hAnsi="Times New Roman" w:cs="Times New Roman"/>
        </w:rPr>
        <w:t>the Governor-General may make regulations prescribing matters required or permitted by this Act to be prescribed, or necessary or convenient to be prescribed for carrying out or giving effect to the Act.</w:t>
      </w:r>
    </w:p>
    <w:p w14:paraId="625E4001" w14:textId="77777777" w:rsidR="0042582B" w:rsidRPr="00756424" w:rsidRDefault="00207F49" w:rsidP="00756424">
      <w:pPr>
        <w:spacing w:after="0" w:line="240" w:lineRule="auto"/>
        <w:ind w:right="91"/>
        <w:rPr>
          <w:rFonts w:ascii="Times New Roman" w:eastAsia="Times New Roman" w:hAnsi="Times New Roman" w:cs="Times New Roman"/>
          <w:sz w:val="24"/>
          <w:szCs w:val="24"/>
        </w:rPr>
      </w:pPr>
    </w:p>
    <w:p w14:paraId="625E4002" w14:textId="77777777" w:rsidR="0042582B" w:rsidRDefault="00777461" w:rsidP="00756424">
      <w:pPr>
        <w:tabs>
          <w:tab w:val="right" w:leader="dot" w:pos="7938"/>
        </w:tabs>
        <w:spacing w:after="0" w:line="240" w:lineRule="auto"/>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 xml:space="preserve">Bankruptcy Regulations 1996 </w:t>
      </w:r>
      <w:r>
        <w:rPr>
          <w:rFonts w:ascii="Times New Roman" w:eastAsia="Times New Roman" w:hAnsi="Times New Roman" w:cs="Times New Roman"/>
          <w:sz w:val="24"/>
          <w:szCs w:val="24"/>
        </w:rPr>
        <w:t xml:space="preserve">(the Principal Regulations) refer to the procedural rules of the courts that deal with bankruptcy and personal insolvency. </w:t>
      </w:r>
    </w:p>
    <w:p w14:paraId="625E4003" w14:textId="77777777" w:rsidR="0042582B" w:rsidRDefault="00207F49" w:rsidP="00756424">
      <w:pPr>
        <w:tabs>
          <w:tab w:val="right" w:leader="dot" w:pos="7938"/>
        </w:tabs>
        <w:spacing w:after="0" w:line="240" w:lineRule="auto"/>
        <w:ind w:right="91"/>
        <w:rPr>
          <w:rFonts w:ascii="Times New Roman" w:eastAsia="Times New Roman" w:hAnsi="Times New Roman" w:cs="Times New Roman"/>
          <w:sz w:val="24"/>
          <w:szCs w:val="24"/>
        </w:rPr>
      </w:pPr>
    </w:p>
    <w:p w14:paraId="625E4004" w14:textId="77777777" w:rsidR="003535EE" w:rsidRDefault="00777461" w:rsidP="00756424">
      <w:pPr>
        <w:tabs>
          <w:tab w:val="right" w:leader="dot" w:pos="7938"/>
        </w:tabs>
        <w:spacing w:after="0" w:line="240" w:lineRule="auto"/>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42582B">
        <w:rPr>
          <w:rFonts w:ascii="Times New Roman" w:eastAsia="Times New Roman" w:hAnsi="Times New Roman" w:cs="Times New Roman"/>
          <w:i/>
          <w:sz w:val="24"/>
          <w:szCs w:val="24"/>
        </w:rPr>
        <w:t>Bankruptcy Amendment (Rules of Court) Regulation 2016</w:t>
      </w:r>
      <w:r>
        <w:rPr>
          <w:rFonts w:ascii="Times New Roman" w:eastAsia="Times New Roman" w:hAnsi="Times New Roman" w:cs="Times New Roman"/>
          <w:sz w:val="24"/>
          <w:szCs w:val="24"/>
        </w:rPr>
        <w:t xml:space="preserve"> (the Regulation) amends the Principal Regulations </w:t>
      </w:r>
      <w:r w:rsidRPr="0042582B">
        <w:rPr>
          <w:rFonts w:ascii="Times New Roman" w:eastAsia="Times New Roman" w:hAnsi="Times New Roman" w:cs="Times New Roman"/>
          <w:sz w:val="24"/>
          <w:szCs w:val="24"/>
        </w:rPr>
        <w:t xml:space="preserve">to remove reference to the current </w:t>
      </w:r>
      <w:r>
        <w:rPr>
          <w:rFonts w:ascii="Times New Roman" w:eastAsia="Times New Roman" w:hAnsi="Times New Roman" w:cs="Times New Roman"/>
          <w:sz w:val="24"/>
          <w:szCs w:val="24"/>
        </w:rPr>
        <w:t>court r</w:t>
      </w:r>
      <w:r w:rsidRPr="0042582B">
        <w:rPr>
          <w:rFonts w:ascii="Times New Roman" w:eastAsia="Times New Roman" w:hAnsi="Times New Roman" w:cs="Times New Roman"/>
          <w:sz w:val="24"/>
          <w:szCs w:val="24"/>
        </w:rPr>
        <w:t xml:space="preserve">ules and refer instead to the </w:t>
      </w:r>
      <w:r>
        <w:rPr>
          <w:rFonts w:ascii="Times New Roman" w:eastAsia="Times New Roman" w:hAnsi="Times New Roman" w:cs="Times New Roman"/>
          <w:sz w:val="24"/>
          <w:szCs w:val="24"/>
        </w:rPr>
        <w:t>remade court rules, and corrects inconsistent cross-references to the court rules in Schedule 8 to the Principal Regulations.</w:t>
      </w:r>
    </w:p>
    <w:p w14:paraId="625E4005" w14:textId="77777777" w:rsidR="00EE312D" w:rsidRDefault="00207F49" w:rsidP="003535EE">
      <w:pPr>
        <w:tabs>
          <w:tab w:val="right" w:leader="dot" w:pos="7938"/>
        </w:tabs>
        <w:spacing w:after="0" w:line="240" w:lineRule="auto"/>
        <w:ind w:right="91"/>
        <w:rPr>
          <w:rFonts w:ascii="Times New Roman" w:eastAsia="Times New Roman" w:hAnsi="Times New Roman" w:cs="Times New Roman"/>
          <w:sz w:val="24"/>
          <w:szCs w:val="24"/>
        </w:rPr>
      </w:pPr>
    </w:p>
    <w:p w14:paraId="625E4006" w14:textId="77777777" w:rsidR="00756424" w:rsidRDefault="00777461" w:rsidP="003535EE">
      <w:pPr>
        <w:tabs>
          <w:tab w:val="right" w:leader="dot" w:pos="7938"/>
        </w:tabs>
        <w:spacing w:after="0" w:line="240" w:lineRule="auto"/>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The amendments reflect the court rules as remade by the Federal Court and the Federal Circuit Court, which sunset on 1 April 2016.</w:t>
      </w:r>
    </w:p>
    <w:p w14:paraId="625E4007" w14:textId="77777777" w:rsidR="00EE312D" w:rsidRDefault="00207F49" w:rsidP="003535EE">
      <w:pPr>
        <w:tabs>
          <w:tab w:val="right" w:leader="dot" w:pos="7938"/>
        </w:tabs>
        <w:spacing w:after="0" w:line="240" w:lineRule="auto"/>
        <w:ind w:right="91"/>
        <w:rPr>
          <w:rFonts w:ascii="Times New Roman" w:eastAsia="Times New Roman" w:hAnsi="Times New Roman" w:cs="Times New Roman"/>
          <w:sz w:val="24"/>
          <w:szCs w:val="24"/>
        </w:rPr>
      </w:pPr>
    </w:p>
    <w:p w14:paraId="625E4008" w14:textId="77777777" w:rsidR="00EE312D" w:rsidRDefault="00777461" w:rsidP="003535EE">
      <w:pPr>
        <w:tabs>
          <w:tab w:val="right" w:leader="dot" w:pos="7938"/>
        </w:tabs>
        <w:spacing w:after="0" w:line="240" w:lineRule="auto"/>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Details of the Regulation are set out in the </w:t>
      </w:r>
      <w:r>
        <w:rPr>
          <w:rFonts w:ascii="Times New Roman" w:eastAsia="Times New Roman" w:hAnsi="Times New Roman" w:cs="Times New Roman"/>
          <w:sz w:val="24"/>
          <w:szCs w:val="24"/>
          <w:u w:val="single"/>
        </w:rPr>
        <w:t>Attachment</w:t>
      </w:r>
      <w:r>
        <w:rPr>
          <w:rFonts w:ascii="Times New Roman" w:eastAsia="Times New Roman" w:hAnsi="Times New Roman" w:cs="Times New Roman"/>
          <w:sz w:val="24"/>
          <w:szCs w:val="24"/>
        </w:rPr>
        <w:t xml:space="preserve">. </w:t>
      </w:r>
    </w:p>
    <w:p w14:paraId="625E4009" w14:textId="77777777" w:rsidR="00EE312D" w:rsidRDefault="00207F49" w:rsidP="003535EE">
      <w:pPr>
        <w:tabs>
          <w:tab w:val="right" w:leader="dot" w:pos="7938"/>
        </w:tabs>
        <w:spacing w:after="0" w:line="240" w:lineRule="auto"/>
        <w:ind w:right="91"/>
        <w:rPr>
          <w:rFonts w:ascii="Times New Roman" w:eastAsia="Times New Roman" w:hAnsi="Times New Roman" w:cs="Times New Roman"/>
          <w:sz w:val="24"/>
          <w:szCs w:val="24"/>
        </w:rPr>
      </w:pPr>
    </w:p>
    <w:p w14:paraId="625E400A" w14:textId="77777777" w:rsidR="00EE312D" w:rsidRPr="00EE312D" w:rsidRDefault="00777461" w:rsidP="003535EE">
      <w:pPr>
        <w:tabs>
          <w:tab w:val="right" w:leader="dot" w:pos="7938"/>
        </w:tabs>
        <w:spacing w:after="0" w:line="240" w:lineRule="auto"/>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The Act specifies no conditions that need to be satisfied before the power to make the Regulation may be exercised.</w:t>
      </w:r>
    </w:p>
    <w:p w14:paraId="625E400B" w14:textId="77777777" w:rsidR="00EE312D" w:rsidRDefault="00207F49" w:rsidP="003535EE">
      <w:pPr>
        <w:tabs>
          <w:tab w:val="right" w:leader="dot" w:pos="7938"/>
        </w:tabs>
        <w:spacing w:after="0" w:line="240" w:lineRule="auto"/>
        <w:ind w:right="91"/>
        <w:rPr>
          <w:rFonts w:ascii="Times New Roman" w:eastAsia="Times New Roman" w:hAnsi="Times New Roman" w:cs="Times New Roman"/>
          <w:sz w:val="24"/>
          <w:szCs w:val="24"/>
        </w:rPr>
      </w:pPr>
    </w:p>
    <w:p w14:paraId="625E400C" w14:textId="77777777" w:rsidR="00EE312D" w:rsidRDefault="00777461" w:rsidP="003535EE">
      <w:pPr>
        <w:tabs>
          <w:tab w:val="right" w:leader="dot" w:pos="7938"/>
        </w:tabs>
        <w:spacing w:after="0" w:line="240" w:lineRule="auto"/>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Regulation is an instrument for the purposes of the </w:t>
      </w:r>
      <w:r>
        <w:rPr>
          <w:rFonts w:ascii="Times New Roman" w:eastAsia="Times New Roman" w:hAnsi="Times New Roman" w:cs="Times New Roman"/>
          <w:i/>
          <w:sz w:val="24"/>
          <w:szCs w:val="24"/>
        </w:rPr>
        <w:t>Legislation Act 2003</w:t>
      </w:r>
      <w:r>
        <w:rPr>
          <w:rFonts w:ascii="Times New Roman" w:eastAsia="Times New Roman" w:hAnsi="Times New Roman" w:cs="Times New Roman"/>
          <w:sz w:val="24"/>
          <w:szCs w:val="24"/>
        </w:rPr>
        <w:t xml:space="preserve">. </w:t>
      </w:r>
    </w:p>
    <w:p w14:paraId="625E400D" w14:textId="77777777" w:rsidR="00EE312D" w:rsidRDefault="00207F49" w:rsidP="003535EE">
      <w:pPr>
        <w:tabs>
          <w:tab w:val="right" w:leader="dot" w:pos="7938"/>
        </w:tabs>
        <w:spacing w:after="0" w:line="240" w:lineRule="auto"/>
        <w:ind w:right="91"/>
        <w:rPr>
          <w:rFonts w:ascii="Times New Roman" w:eastAsia="Times New Roman" w:hAnsi="Times New Roman" w:cs="Times New Roman"/>
          <w:sz w:val="24"/>
          <w:szCs w:val="24"/>
        </w:rPr>
      </w:pPr>
    </w:p>
    <w:p w14:paraId="625E400E" w14:textId="77777777" w:rsidR="005C0BF8" w:rsidRDefault="00777461" w:rsidP="005C0BF8">
      <w:pPr>
        <w:tabs>
          <w:tab w:val="right" w:leader="dot" w:pos="7938"/>
        </w:tabs>
        <w:spacing w:after="0" w:line="240" w:lineRule="auto"/>
        <w:ind w:right="91"/>
        <w:rPr>
          <w:rFonts w:ascii="Times New Roman" w:eastAsia="Times New Roman" w:hAnsi="Times New Roman" w:cs="Times New Roman"/>
          <w:sz w:val="24"/>
          <w:szCs w:val="24"/>
        </w:rPr>
      </w:pPr>
      <w:r w:rsidRPr="00017D67">
        <w:rPr>
          <w:rFonts w:ascii="Times New Roman" w:eastAsia="Times New Roman" w:hAnsi="Times New Roman" w:cs="Times New Roman"/>
          <w:sz w:val="24"/>
          <w:szCs w:val="24"/>
        </w:rPr>
        <w:t>The Office of Best Practice Regulation was consulted and a Regulation Impact Statement is not required. No further consultation was undertaken for the Regulation as it does not alter the operation of the Principal Regulations or the Act, it merely updates references to remade Court Rules.</w:t>
      </w:r>
      <w:r>
        <w:rPr>
          <w:rFonts w:ascii="Times New Roman" w:eastAsia="Times New Roman" w:hAnsi="Times New Roman" w:cs="Times New Roman"/>
          <w:sz w:val="24"/>
          <w:szCs w:val="24"/>
        </w:rPr>
        <w:t xml:space="preserve"> </w:t>
      </w:r>
    </w:p>
    <w:p w14:paraId="625E400F" w14:textId="77777777" w:rsidR="005C0BF8" w:rsidRDefault="00207F49" w:rsidP="003535EE">
      <w:pPr>
        <w:tabs>
          <w:tab w:val="right" w:leader="dot" w:pos="7938"/>
        </w:tabs>
        <w:spacing w:after="0" w:line="240" w:lineRule="auto"/>
        <w:ind w:right="91"/>
        <w:rPr>
          <w:rFonts w:ascii="Times New Roman" w:eastAsia="Times New Roman" w:hAnsi="Times New Roman" w:cs="Times New Roman"/>
          <w:sz w:val="24"/>
          <w:szCs w:val="24"/>
        </w:rPr>
      </w:pPr>
    </w:p>
    <w:p w14:paraId="625E4010" w14:textId="77777777" w:rsidR="003535EE" w:rsidRDefault="00777461" w:rsidP="003535EE">
      <w:pPr>
        <w:tabs>
          <w:tab w:val="right" w:leader="dot" w:pos="7938"/>
        </w:tabs>
        <w:spacing w:after="0" w:line="240" w:lineRule="auto"/>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The Regulation commenced on the later of the day after the instrument is registered and 1 April 2016.</w:t>
      </w:r>
    </w:p>
    <w:p w14:paraId="625E4011" w14:textId="77777777" w:rsidR="00756424" w:rsidRDefault="00207F49" w:rsidP="00756424">
      <w:pPr>
        <w:spacing w:after="0" w:line="240" w:lineRule="auto"/>
        <w:ind w:right="91"/>
        <w:rPr>
          <w:rFonts w:ascii="Times New Roman" w:eastAsia="Times New Roman" w:hAnsi="Times New Roman" w:cs="Times New Roman"/>
          <w:sz w:val="24"/>
          <w:szCs w:val="24"/>
        </w:rPr>
      </w:pPr>
    </w:p>
    <w:p w14:paraId="625E4012" w14:textId="77777777" w:rsidR="00374AFB" w:rsidRPr="00756424" w:rsidRDefault="00207F49" w:rsidP="00756424">
      <w:pPr>
        <w:spacing w:after="0" w:line="240" w:lineRule="auto"/>
        <w:ind w:right="91"/>
        <w:rPr>
          <w:rFonts w:ascii="Times New Roman" w:eastAsia="Times New Roman" w:hAnsi="Times New Roman" w:cs="Times New Roman"/>
          <w:sz w:val="24"/>
          <w:szCs w:val="24"/>
        </w:rPr>
      </w:pPr>
    </w:p>
    <w:p w14:paraId="625E4013" w14:textId="77777777" w:rsidR="00756424" w:rsidRDefault="00777461" w:rsidP="00756424">
      <w:pPr>
        <w:spacing w:after="0" w:line="240" w:lineRule="auto"/>
        <w:ind w:right="91"/>
        <w:jc w:val="right"/>
        <w:rPr>
          <w:rFonts w:ascii="Times New Roman" w:eastAsia="Times New Roman" w:hAnsi="Times New Roman" w:cs="Times New Roman"/>
          <w:sz w:val="24"/>
          <w:szCs w:val="24"/>
        </w:rPr>
      </w:pPr>
      <w:r w:rsidRPr="00756424">
        <w:rPr>
          <w:rFonts w:ascii="Times New Roman" w:eastAsia="Times New Roman" w:hAnsi="Times New Roman" w:cs="Times New Roman"/>
          <w:sz w:val="24"/>
          <w:szCs w:val="24"/>
          <w:u w:val="single"/>
        </w:rPr>
        <w:t>Authority</w:t>
      </w:r>
      <w:r w:rsidRPr="007564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Section 315 of the</w:t>
      </w:r>
    </w:p>
    <w:p w14:paraId="625E4014" w14:textId="4CD30AA8" w:rsidR="00A42BB6" w:rsidRDefault="00777461" w:rsidP="00756424">
      <w:pPr>
        <w:spacing w:after="0" w:line="240" w:lineRule="auto"/>
        <w:ind w:right="91"/>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Bankruptcy Act 1966</w:t>
      </w:r>
    </w:p>
    <w:p w14:paraId="574C9E28" w14:textId="77777777" w:rsidR="00A42BB6" w:rsidRDefault="00A42BB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14:paraId="315C372E" w14:textId="77777777" w:rsidR="00A42BB6" w:rsidRPr="005C0BF8" w:rsidRDefault="00A42BB6" w:rsidP="00A42BB6">
      <w:pPr>
        <w:spacing w:before="360" w:after="120" w:line="240" w:lineRule="auto"/>
        <w:jc w:val="center"/>
        <w:outlineLvl w:val="1"/>
        <w:rPr>
          <w:rFonts w:ascii="Times New Roman" w:hAnsi="Times New Roman"/>
          <w:b/>
          <w:sz w:val="28"/>
          <w:szCs w:val="28"/>
        </w:rPr>
      </w:pPr>
      <w:r w:rsidRPr="005C0BF8">
        <w:rPr>
          <w:rFonts w:ascii="Times New Roman" w:hAnsi="Times New Roman"/>
          <w:b/>
          <w:sz w:val="28"/>
          <w:szCs w:val="28"/>
        </w:rPr>
        <w:lastRenderedPageBreak/>
        <w:t>Statement of Compatibility with Human Rights</w:t>
      </w:r>
    </w:p>
    <w:p w14:paraId="39BDA099" w14:textId="77777777" w:rsidR="00A42BB6" w:rsidRPr="005C0BF8" w:rsidRDefault="00A42BB6" w:rsidP="00A42BB6">
      <w:pPr>
        <w:spacing w:before="120" w:after="120" w:line="240" w:lineRule="auto"/>
        <w:jc w:val="center"/>
        <w:rPr>
          <w:rFonts w:ascii="Times New Roman" w:eastAsia="Calibri" w:hAnsi="Times New Roman" w:cs="Times New Roman"/>
          <w:sz w:val="24"/>
          <w:szCs w:val="24"/>
        </w:rPr>
      </w:pPr>
      <w:r w:rsidRPr="005C0BF8">
        <w:rPr>
          <w:rFonts w:ascii="Times New Roman" w:eastAsia="Calibri" w:hAnsi="Times New Roman" w:cs="Times New Roman"/>
          <w:i/>
          <w:sz w:val="24"/>
          <w:szCs w:val="24"/>
        </w:rPr>
        <w:t>Prepared in accordance with Part 3 of the Human Rights (Parliamentary Scrutiny) Act 2011</w:t>
      </w:r>
    </w:p>
    <w:p w14:paraId="3AC6F2F6" w14:textId="77777777" w:rsidR="00A42BB6" w:rsidRDefault="00A42BB6" w:rsidP="00A42BB6">
      <w:pPr>
        <w:spacing w:before="120" w:after="120" w:line="240" w:lineRule="auto"/>
        <w:jc w:val="center"/>
        <w:rPr>
          <w:rFonts w:ascii="Times New Roman" w:eastAsia="Calibri" w:hAnsi="Times New Roman" w:cs="Times New Roman"/>
          <w:b/>
          <w:sz w:val="24"/>
          <w:szCs w:val="24"/>
        </w:rPr>
      </w:pPr>
    </w:p>
    <w:p w14:paraId="7D6397FD" w14:textId="77777777" w:rsidR="00A42BB6" w:rsidRPr="005C0BF8" w:rsidRDefault="00A42BB6" w:rsidP="00A42BB6">
      <w:pPr>
        <w:spacing w:before="120" w:after="120" w:line="240" w:lineRule="auto"/>
        <w:jc w:val="center"/>
        <w:rPr>
          <w:rFonts w:ascii="Times New Roman" w:eastAsia="Calibri" w:hAnsi="Times New Roman" w:cs="Times New Roman"/>
          <w:b/>
          <w:sz w:val="24"/>
          <w:szCs w:val="24"/>
        </w:rPr>
      </w:pPr>
      <w:r w:rsidRPr="005C0BF8">
        <w:rPr>
          <w:rFonts w:ascii="Times New Roman" w:eastAsia="Calibri" w:hAnsi="Times New Roman" w:cs="Times New Roman"/>
          <w:b/>
          <w:sz w:val="24"/>
          <w:szCs w:val="24"/>
        </w:rPr>
        <w:t xml:space="preserve">Bankruptcy Amendment (Rules of Court) Regulation 2016 </w:t>
      </w:r>
    </w:p>
    <w:p w14:paraId="70CAAFD5" w14:textId="77777777" w:rsidR="00A42BB6" w:rsidRPr="005C0BF8" w:rsidRDefault="00A42BB6" w:rsidP="00A42BB6">
      <w:pPr>
        <w:spacing w:before="120" w:after="120" w:line="240" w:lineRule="auto"/>
        <w:jc w:val="center"/>
        <w:rPr>
          <w:rFonts w:ascii="Times New Roman" w:eastAsia="Calibri" w:hAnsi="Times New Roman" w:cs="Times New Roman"/>
          <w:sz w:val="24"/>
          <w:szCs w:val="24"/>
        </w:rPr>
      </w:pPr>
    </w:p>
    <w:p w14:paraId="2AC86003" w14:textId="77777777" w:rsidR="00A42BB6" w:rsidRPr="005C0BF8" w:rsidRDefault="00A42BB6" w:rsidP="00A42BB6">
      <w:pPr>
        <w:spacing w:before="120" w:after="120" w:line="240" w:lineRule="auto"/>
        <w:rPr>
          <w:rFonts w:ascii="Times New Roman" w:eastAsia="Calibri" w:hAnsi="Times New Roman" w:cs="Times New Roman"/>
          <w:sz w:val="24"/>
          <w:szCs w:val="24"/>
        </w:rPr>
      </w:pPr>
      <w:r w:rsidRPr="005C0BF8">
        <w:rPr>
          <w:rFonts w:ascii="Times New Roman" w:eastAsia="Calibri" w:hAnsi="Times New Roman" w:cs="Times New Roman"/>
          <w:sz w:val="24"/>
          <w:szCs w:val="24"/>
        </w:rPr>
        <w:t xml:space="preserve">This </w:t>
      </w:r>
      <w:r>
        <w:rPr>
          <w:rFonts w:ascii="Times New Roman" w:eastAsia="Calibri" w:hAnsi="Times New Roman" w:cs="Times New Roman"/>
          <w:sz w:val="24"/>
          <w:szCs w:val="24"/>
        </w:rPr>
        <w:t>Regulation</w:t>
      </w:r>
      <w:r w:rsidRPr="005C0BF8">
        <w:rPr>
          <w:rFonts w:ascii="Times New Roman" w:eastAsia="Calibri" w:hAnsi="Times New Roman" w:cs="Times New Roman"/>
          <w:sz w:val="24"/>
          <w:szCs w:val="24"/>
        </w:rPr>
        <w:t xml:space="preserve"> is compatible with the human rights and freedoms recognised or declared in the international instruments listed in section 3 of the </w:t>
      </w:r>
      <w:r w:rsidRPr="005C0BF8">
        <w:rPr>
          <w:rFonts w:ascii="Times New Roman" w:eastAsia="Calibri" w:hAnsi="Times New Roman" w:cs="Times New Roman"/>
          <w:i/>
          <w:sz w:val="24"/>
          <w:szCs w:val="24"/>
        </w:rPr>
        <w:t>Human Rights (Parliamentary Scrutiny) Act 2011</w:t>
      </w:r>
      <w:r w:rsidRPr="005C0BF8">
        <w:rPr>
          <w:rFonts w:ascii="Times New Roman" w:eastAsia="Calibri" w:hAnsi="Times New Roman" w:cs="Times New Roman"/>
          <w:sz w:val="24"/>
          <w:szCs w:val="24"/>
        </w:rPr>
        <w:t>.</w:t>
      </w:r>
    </w:p>
    <w:p w14:paraId="641820A4" w14:textId="77777777" w:rsidR="00A42BB6" w:rsidRPr="005C0BF8" w:rsidRDefault="00A42BB6" w:rsidP="00A42BB6">
      <w:pPr>
        <w:spacing w:before="120" w:after="120" w:line="240" w:lineRule="auto"/>
        <w:rPr>
          <w:rFonts w:ascii="Times New Roman" w:eastAsia="Calibri" w:hAnsi="Times New Roman" w:cs="Times New Roman"/>
          <w:sz w:val="24"/>
          <w:szCs w:val="24"/>
        </w:rPr>
      </w:pPr>
    </w:p>
    <w:p w14:paraId="0CA90D58" w14:textId="77777777" w:rsidR="00A42BB6" w:rsidRPr="005C0BF8" w:rsidRDefault="00A42BB6" w:rsidP="00A42BB6">
      <w:pPr>
        <w:spacing w:before="120" w:after="120" w:line="240" w:lineRule="auto"/>
        <w:jc w:val="both"/>
        <w:outlineLvl w:val="2"/>
        <w:rPr>
          <w:rFonts w:ascii="Times New Roman" w:hAnsi="Times New Roman"/>
          <w:b/>
          <w:sz w:val="24"/>
          <w:szCs w:val="24"/>
        </w:rPr>
      </w:pPr>
      <w:r w:rsidRPr="005C0BF8">
        <w:rPr>
          <w:rFonts w:ascii="Times New Roman" w:hAnsi="Times New Roman"/>
          <w:b/>
          <w:sz w:val="24"/>
          <w:szCs w:val="24"/>
        </w:rPr>
        <w:t>Overview of the Disallowable Legislative Instrument</w:t>
      </w:r>
    </w:p>
    <w:p w14:paraId="4C71B3AC" w14:textId="77777777" w:rsidR="00A42BB6" w:rsidRDefault="00A42BB6" w:rsidP="00A42BB6">
      <w:pPr>
        <w:spacing w:before="24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Currently, </w:t>
      </w:r>
      <w:proofErr w:type="spellStart"/>
      <w:r w:rsidRPr="00DF53C1">
        <w:rPr>
          <w:rFonts w:ascii="Times New Roman" w:eastAsia="Times New Roman" w:hAnsi="Times New Roman" w:cs="Times New Roman"/>
          <w:sz w:val="24"/>
          <w:szCs w:val="24"/>
          <w:lang w:eastAsia="en-AU"/>
        </w:rPr>
        <w:t>subregulation</w:t>
      </w:r>
      <w:proofErr w:type="spellEnd"/>
      <w:r w:rsidRPr="00DF53C1">
        <w:rPr>
          <w:rFonts w:ascii="Times New Roman" w:eastAsia="Times New Roman" w:hAnsi="Times New Roman" w:cs="Times New Roman"/>
          <w:sz w:val="24"/>
          <w:szCs w:val="24"/>
          <w:lang w:eastAsia="en-AU"/>
        </w:rPr>
        <w:t xml:space="preserve"> 1.03(1) </w:t>
      </w:r>
      <w:r>
        <w:rPr>
          <w:rFonts w:ascii="Times New Roman" w:eastAsia="Times New Roman" w:hAnsi="Times New Roman" w:cs="Times New Roman"/>
          <w:sz w:val="24"/>
          <w:szCs w:val="24"/>
          <w:lang w:eastAsia="en-AU"/>
        </w:rPr>
        <w:t xml:space="preserve">of the </w:t>
      </w:r>
      <w:r>
        <w:rPr>
          <w:rFonts w:ascii="Times New Roman" w:eastAsia="Times New Roman" w:hAnsi="Times New Roman" w:cs="Times New Roman"/>
          <w:i/>
          <w:sz w:val="24"/>
          <w:szCs w:val="24"/>
          <w:lang w:eastAsia="en-AU"/>
        </w:rPr>
        <w:t xml:space="preserve">Bankruptcy Regulations 1996 </w:t>
      </w:r>
      <w:r>
        <w:rPr>
          <w:rFonts w:ascii="Times New Roman" w:eastAsia="Times New Roman" w:hAnsi="Times New Roman" w:cs="Times New Roman"/>
          <w:sz w:val="24"/>
          <w:szCs w:val="24"/>
          <w:lang w:eastAsia="en-AU"/>
        </w:rPr>
        <w:t xml:space="preserve">defines </w:t>
      </w:r>
      <w:r>
        <w:rPr>
          <w:rFonts w:ascii="Times New Roman" w:eastAsia="Times New Roman" w:hAnsi="Times New Roman" w:cs="Times New Roman"/>
          <w:i/>
          <w:sz w:val="24"/>
          <w:szCs w:val="24"/>
          <w:lang w:eastAsia="en-AU"/>
        </w:rPr>
        <w:t>“</w:t>
      </w:r>
      <w:r w:rsidRPr="00DF53C1">
        <w:rPr>
          <w:rFonts w:ascii="Times New Roman" w:eastAsia="Times New Roman" w:hAnsi="Times New Roman" w:cs="Times New Roman"/>
          <w:i/>
          <w:sz w:val="24"/>
          <w:szCs w:val="24"/>
          <w:lang w:eastAsia="en-AU"/>
        </w:rPr>
        <w:t>FC</w:t>
      </w:r>
      <w:r>
        <w:rPr>
          <w:rFonts w:ascii="Times New Roman" w:eastAsia="Times New Roman" w:hAnsi="Times New Roman" w:cs="Times New Roman"/>
          <w:i/>
          <w:sz w:val="24"/>
          <w:szCs w:val="24"/>
          <w:lang w:eastAsia="en-AU"/>
        </w:rPr>
        <w:t> </w:t>
      </w:r>
      <w:r w:rsidRPr="00DF53C1">
        <w:rPr>
          <w:rFonts w:ascii="Times New Roman" w:eastAsia="Times New Roman" w:hAnsi="Times New Roman" w:cs="Times New Roman"/>
          <w:i/>
          <w:sz w:val="24"/>
          <w:szCs w:val="24"/>
          <w:lang w:eastAsia="en-AU"/>
        </w:rPr>
        <w:t>(Bankruptcy) Rules</w:t>
      </w:r>
      <w:r>
        <w:rPr>
          <w:rFonts w:ascii="Times New Roman" w:eastAsia="Times New Roman" w:hAnsi="Times New Roman" w:cs="Times New Roman"/>
          <w:i/>
          <w:sz w:val="24"/>
          <w:szCs w:val="24"/>
          <w:lang w:eastAsia="en-AU"/>
        </w:rPr>
        <w:t>”</w:t>
      </w:r>
      <w:r w:rsidRPr="00DF53C1">
        <w:rPr>
          <w:rFonts w:ascii="Times New Roman" w:eastAsia="Times New Roman" w:hAnsi="Times New Roman" w:cs="Times New Roman"/>
          <w:i/>
          <w:sz w:val="24"/>
          <w:szCs w:val="24"/>
          <w:lang w:eastAsia="en-AU"/>
        </w:rPr>
        <w:t xml:space="preserve"> </w:t>
      </w:r>
      <w:r w:rsidRPr="00DF53C1">
        <w:rPr>
          <w:rFonts w:ascii="Times New Roman" w:eastAsia="Times New Roman" w:hAnsi="Times New Roman" w:cs="Times New Roman"/>
          <w:sz w:val="24"/>
          <w:szCs w:val="24"/>
          <w:lang w:eastAsia="en-AU"/>
        </w:rPr>
        <w:t>and</w:t>
      </w:r>
      <w:r w:rsidRPr="00DF53C1">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i/>
          <w:sz w:val="24"/>
          <w:szCs w:val="24"/>
          <w:lang w:eastAsia="en-AU"/>
        </w:rPr>
        <w:t>“</w:t>
      </w:r>
      <w:r w:rsidRPr="00DF53C1">
        <w:rPr>
          <w:rFonts w:ascii="Times New Roman" w:eastAsia="Times New Roman" w:hAnsi="Times New Roman" w:cs="Times New Roman"/>
          <w:i/>
          <w:sz w:val="24"/>
          <w:szCs w:val="24"/>
          <w:lang w:eastAsia="en-AU"/>
        </w:rPr>
        <w:t>FCC (Bankruptcy) Rules</w:t>
      </w:r>
      <w:r>
        <w:rPr>
          <w:rFonts w:ascii="Times New Roman" w:eastAsia="Times New Roman" w:hAnsi="Times New Roman" w:cs="Times New Roman"/>
          <w:i/>
          <w:sz w:val="24"/>
          <w:szCs w:val="24"/>
          <w:lang w:eastAsia="en-AU"/>
        </w:rPr>
        <w:t>”</w:t>
      </w:r>
      <w:r w:rsidRPr="00DF53C1">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sz w:val="24"/>
          <w:szCs w:val="24"/>
          <w:lang w:eastAsia="en-AU"/>
        </w:rPr>
        <w:t>as “</w:t>
      </w:r>
      <w:r w:rsidRPr="00DF53C1">
        <w:rPr>
          <w:rFonts w:ascii="Times New Roman" w:eastAsia="Times New Roman" w:hAnsi="Times New Roman" w:cs="Times New Roman"/>
          <w:i/>
          <w:sz w:val="24"/>
          <w:szCs w:val="24"/>
          <w:lang w:eastAsia="en-AU"/>
        </w:rPr>
        <w:t>Federal Court (Bankruptcy) Rules 2005</w:t>
      </w:r>
      <w:r>
        <w:rPr>
          <w:rFonts w:ascii="Times New Roman" w:eastAsia="Times New Roman" w:hAnsi="Times New Roman" w:cs="Times New Roman"/>
          <w:i/>
          <w:sz w:val="24"/>
          <w:szCs w:val="24"/>
          <w:lang w:eastAsia="en-AU"/>
        </w:rPr>
        <w:t>”</w:t>
      </w:r>
      <w:r w:rsidRPr="00DF53C1">
        <w:rPr>
          <w:rFonts w:ascii="Times New Roman" w:eastAsia="Times New Roman" w:hAnsi="Times New Roman" w:cs="Times New Roman"/>
          <w:sz w:val="24"/>
          <w:szCs w:val="24"/>
          <w:lang w:eastAsia="en-AU"/>
        </w:rPr>
        <w:t xml:space="preserve"> and the </w:t>
      </w:r>
      <w:r>
        <w:rPr>
          <w:rFonts w:ascii="Times New Roman" w:eastAsia="Times New Roman" w:hAnsi="Times New Roman" w:cs="Times New Roman"/>
          <w:sz w:val="24"/>
          <w:szCs w:val="24"/>
          <w:lang w:eastAsia="en-AU"/>
        </w:rPr>
        <w:t>“</w:t>
      </w:r>
      <w:r w:rsidRPr="00DF53C1">
        <w:rPr>
          <w:rFonts w:ascii="Times New Roman" w:eastAsia="Times New Roman" w:hAnsi="Times New Roman" w:cs="Times New Roman"/>
          <w:i/>
          <w:sz w:val="24"/>
          <w:szCs w:val="24"/>
          <w:lang w:eastAsia="en-AU"/>
        </w:rPr>
        <w:t>Federal Circuit Court (Bankruptcy) Rules 2006</w:t>
      </w:r>
      <w:r>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sz w:val="24"/>
          <w:szCs w:val="24"/>
          <w:lang w:eastAsia="en-AU"/>
        </w:rPr>
        <w:t>(respectively).</w:t>
      </w:r>
    </w:p>
    <w:p w14:paraId="4106AAFF" w14:textId="77777777" w:rsidR="00A42BB6" w:rsidRPr="00DF53C1" w:rsidRDefault="00A42BB6" w:rsidP="00A42BB6">
      <w:pPr>
        <w:spacing w:before="240" w:after="0" w:line="240" w:lineRule="auto"/>
        <w:rPr>
          <w:rFonts w:ascii="Times New Roman" w:eastAsia="Times New Roman" w:hAnsi="Times New Roman" w:cs="Times New Roman"/>
          <w:sz w:val="24"/>
          <w:szCs w:val="24"/>
          <w:lang w:eastAsia="en-AU"/>
        </w:rPr>
      </w:pPr>
      <w:r w:rsidRPr="00DF53C1">
        <w:rPr>
          <w:rFonts w:ascii="Times New Roman" w:eastAsia="Times New Roman" w:hAnsi="Times New Roman" w:cs="Times New Roman"/>
          <w:sz w:val="24"/>
          <w:szCs w:val="24"/>
          <w:lang w:eastAsia="en-AU"/>
        </w:rPr>
        <w:t xml:space="preserve">The Federal Court and the Federal Circuit Court will remake the current Rules and these remade rules will be </w:t>
      </w:r>
      <w:r>
        <w:rPr>
          <w:rFonts w:ascii="Times New Roman" w:eastAsia="Times New Roman" w:hAnsi="Times New Roman" w:cs="Times New Roman"/>
          <w:sz w:val="24"/>
          <w:szCs w:val="24"/>
          <w:lang w:eastAsia="en-AU"/>
        </w:rPr>
        <w:t xml:space="preserve">renamed as </w:t>
      </w:r>
      <w:r w:rsidRPr="00DF53C1">
        <w:rPr>
          <w:rFonts w:ascii="Times New Roman" w:eastAsia="Times New Roman" w:hAnsi="Times New Roman" w:cs="Times New Roman"/>
          <w:sz w:val="24"/>
          <w:szCs w:val="24"/>
          <w:lang w:eastAsia="en-AU"/>
        </w:rPr>
        <w:t xml:space="preserve">the </w:t>
      </w:r>
      <w:r w:rsidRPr="00DF53C1">
        <w:rPr>
          <w:rFonts w:ascii="Times New Roman" w:eastAsia="Times New Roman" w:hAnsi="Times New Roman" w:cs="Times New Roman"/>
          <w:i/>
          <w:sz w:val="24"/>
          <w:szCs w:val="24"/>
          <w:lang w:eastAsia="en-AU"/>
        </w:rPr>
        <w:t>Federal Court (Bankruptcy) Rules 2016</w:t>
      </w:r>
      <w:r w:rsidRPr="00DF53C1">
        <w:rPr>
          <w:rFonts w:ascii="Times New Roman" w:eastAsia="Times New Roman" w:hAnsi="Times New Roman" w:cs="Times New Roman"/>
          <w:sz w:val="24"/>
          <w:szCs w:val="24"/>
          <w:lang w:eastAsia="en-AU"/>
        </w:rPr>
        <w:t xml:space="preserve"> and the </w:t>
      </w:r>
      <w:r w:rsidRPr="00DF53C1">
        <w:rPr>
          <w:rFonts w:ascii="Times New Roman" w:eastAsia="Times New Roman" w:hAnsi="Times New Roman" w:cs="Times New Roman"/>
          <w:i/>
          <w:sz w:val="24"/>
          <w:szCs w:val="24"/>
          <w:lang w:eastAsia="en-AU"/>
        </w:rPr>
        <w:t>Federal Circuit Court (Bankruptcy) Rules 2016</w:t>
      </w:r>
      <w:r>
        <w:rPr>
          <w:rFonts w:ascii="Times New Roman" w:eastAsia="Times New Roman" w:hAnsi="Times New Roman" w:cs="Times New Roman"/>
          <w:sz w:val="24"/>
          <w:szCs w:val="24"/>
          <w:lang w:eastAsia="en-AU"/>
        </w:rPr>
        <w:t xml:space="preserve">. </w:t>
      </w:r>
    </w:p>
    <w:p w14:paraId="37DAC67D" w14:textId="77777777" w:rsidR="00A42BB6" w:rsidRDefault="00A42BB6" w:rsidP="00A42BB6">
      <w:pPr>
        <w:spacing w:before="240" w:after="0" w:line="240" w:lineRule="auto"/>
        <w:rPr>
          <w:rFonts w:ascii="Times New Roman" w:eastAsia="Times New Roman" w:hAnsi="Times New Roman" w:cs="Times New Roman"/>
          <w:sz w:val="24"/>
          <w:szCs w:val="24"/>
          <w:lang w:eastAsia="en-AU"/>
        </w:rPr>
      </w:pPr>
      <w:r w:rsidRPr="005C0BF8">
        <w:rPr>
          <w:rFonts w:ascii="Times New Roman" w:eastAsia="Times New Roman" w:hAnsi="Times New Roman" w:cs="Times New Roman"/>
          <w:sz w:val="24"/>
          <w:szCs w:val="24"/>
          <w:lang w:eastAsia="en-AU"/>
        </w:rPr>
        <w:t xml:space="preserve">The Regulation </w:t>
      </w:r>
      <w:r>
        <w:rPr>
          <w:rFonts w:ascii="Times New Roman" w:eastAsia="Times New Roman" w:hAnsi="Times New Roman" w:cs="Times New Roman"/>
          <w:sz w:val="24"/>
          <w:szCs w:val="24"/>
          <w:lang w:eastAsia="en-AU"/>
        </w:rPr>
        <w:t xml:space="preserve">makes consequential amendments to </w:t>
      </w:r>
      <w:r w:rsidRPr="0042582B">
        <w:rPr>
          <w:rFonts w:ascii="Times New Roman" w:eastAsia="Times New Roman" w:hAnsi="Times New Roman" w:cs="Times New Roman"/>
          <w:sz w:val="24"/>
          <w:szCs w:val="24"/>
        </w:rPr>
        <w:t xml:space="preserve">remove reference to the current </w:t>
      </w:r>
      <w:r>
        <w:rPr>
          <w:rFonts w:ascii="Times New Roman" w:eastAsia="Times New Roman" w:hAnsi="Times New Roman" w:cs="Times New Roman"/>
          <w:sz w:val="24"/>
          <w:szCs w:val="24"/>
        </w:rPr>
        <w:t>court r</w:t>
      </w:r>
      <w:r w:rsidRPr="0042582B">
        <w:rPr>
          <w:rFonts w:ascii="Times New Roman" w:eastAsia="Times New Roman" w:hAnsi="Times New Roman" w:cs="Times New Roman"/>
          <w:sz w:val="24"/>
          <w:szCs w:val="24"/>
        </w:rPr>
        <w:t xml:space="preserve">ules and refer instead to the </w:t>
      </w:r>
      <w:r>
        <w:rPr>
          <w:rFonts w:ascii="Times New Roman" w:eastAsia="Times New Roman" w:hAnsi="Times New Roman" w:cs="Times New Roman"/>
          <w:sz w:val="24"/>
          <w:szCs w:val="24"/>
        </w:rPr>
        <w:t xml:space="preserve">remade court rules, and to correct inconsistent cross-references to the court rules in Schedule 8 to the </w:t>
      </w:r>
      <w:r w:rsidRPr="005C0BF8">
        <w:rPr>
          <w:rFonts w:ascii="Times New Roman" w:eastAsia="Times New Roman" w:hAnsi="Times New Roman" w:cs="Times New Roman"/>
          <w:i/>
          <w:sz w:val="24"/>
          <w:szCs w:val="24"/>
        </w:rPr>
        <w:t>Bankruptcy Regulations 1996</w:t>
      </w:r>
      <w:r>
        <w:rPr>
          <w:rFonts w:ascii="Times New Roman" w:eastAsia="Times New Roman" w:hAnsi="Times New Roman" w:cs="Times New Roman"/>
          <w:sz w:val="24"/>
          <w:szCs w:val="24"/>
        </w:rPr>
        <w:t xml:space="preserve">. </w:t>
      </w:r>
    </w:p>
    <w:p w14:paraId="5EFD78AF" w14:textId="77777777" w:rsidR="00A42BB6" w:rsidRPr="005C0BF8" w:rsidRDefault="00A42BB6" w:rsidP="00A42BB6">
      <w:pPr>
        <w:spacing w:after="0" w:line="240" w:lineRule="auto"/>
        <w:rPr>
          <w:rFonts w:ascii="Times New Roman" w:eastAsia="Times New Roman" w:hAnsi="Times New Roman" w:cs="Times New Roman"/>
          <w:sz w:val="24"/>
          <w:szCs w:val="24"/>
          <w:lang w:eastAsia="en-AU"/>
        </w:rPr>
      </w:pPr>
    </w:p>
    <w:p w14:paraId="3D0BB228" w14:textId="77777777" w:rsidR="00A42BB6" w:rsidRPr="005C0BF8" w:rsidRDefault="00A42BB6" w:rsidP="00A42BB6">
      <w:pPr>
        <w:spacing w:before="120" w:after="120" w:line="240" w:lineRule="auto"/>
        <w:jc w:val="both"/>
        <w:outlineLvl w:val="2"/>
        <w:rPr>
          <w:rFonts w:ascii="Times New Roman" w:hAnsi="Times New Roman"/>
          <w:b/>
          <w:sz w:val="24"/>
          <w:szCs w:val="24"/>
        </w:rPr>
      </w:pPr>
      <w:r w:rsidRPr="005C0BF8">
        <w:rPr>
          <w:rFonts w:ascii="Times New Roman" w:hAnsi="Times New Roman"/>
          <w:b/>
          <w:sz w:val="24"/>
          <w:szCs w:val="24"/>
        </w:rPr>
        <w:t>Human rights implications</w:t>
      </w:r>
    </w:p>
    <w:p w14:paraId="04BE878B" w14:textId="77777777" w:rsidR="00A42BB6" w:rsidRDefault="00A42BB6" w:rsidP="00A42BB6">
      <w:pPr>
        <w:spacing w:before="240" w:after="0" w:line="240" w:lineRule="auto"/>
        <w:rPr>
          <w:rFonts w:ascii="Times New Roman" w:eastAsia="Times New Roman" w:hAnsi="Times New Roman" w:cs="Times New Roman"/>
          <w:sz w:val="24"/>
          <w:szCs w:val="24"/>
          <w:lang w:eastAsia="en-AU"/>
        </w:rPr>
      </w:pPr>
      <w:r>
        <w:rPr>
          <w:rFonts w:ascii="Times New Roman" w:eastAsia="Calibri" w:hAnsi="Times New Roman" w:cs="Times New Roman"/>
          <w:sz w:val="24"/>
          <w:szCs w:val="24"/>
        </w:rPr>
        <w:t>The</w:t>
      </w:r>
      <w:r w:rsidRPr="005C0BF8">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en-AU"/>
        </w:rPr>
        <w:t xml:space="preserve">Regulation </w:t>
      </w:r>
      <w:r>
        <w:rPr>
          <w:rFonts w:ascii="Times New Roman" w:eastAsia="Calibri" w:hAnsi="Times New Roman" w:cs="Times New Roman"/>
          <w:sz w:val="24"/>
          <w:szCs w:val="24"/>
        </w:rPr>
        <w:t xml:space="preserve">does not engage any of the applicable rights or freedoms. </w:t>
      </w:r>
    </w:p>
    <w:p w14:paraId="1C629F43" w14:textId="77777777" w:rsidR="00A42BB6" w:rsidRPr="005C0BF8" w:rsidRDefault="00A42BB6" w:rsidP="00A42BB6">
      <w:pPr>
        <w:spacing w:after="120" w:line="240" w:lineRule="auto"/>
        <w:rPr>
          <w:rFonts w:ascii="Times New Roman" w:eastAsia="Times New Roman" w:hAnsi="Times New Roman" w:cs="Times New Roman"/>
          <w:sz w:val="24"/>
          <w:szCs w:val="24"/>
          <w:lang w:eastAsia="en-AU"/>
        </w:rPr>
      </w:pPr>
    </w:p>
    <w:p w14:paraId="0E8496EC" w14:textId="77777777" w:rsidR="00A42BB6" w:rsidRPr="005C0BF8" w:rsidRDefault="00A42BB6" w:rsidP="00A42BB6">
      <w:pPr>
        <w:spacing w:before="120" w:after="120" w:line="240" w:lineRule="auto"/>
        <w:jc w:val="both"/>
        <w:outlineLvl w:val="2"/>
        <w:rPr>
          <w:rFonts w:ascii="Times New Roman" w:hAnsi="Times New Roman"/>
          <w:b/>
          <w:sz w:val="24"/>
          <w:szCs w:val="24"/>
        </w:rPr>
      </w:pPr>
      <w:r w:rsidRPr="005C0BF8">
        <w:rPr>
          <w:rFonts w:ascii="Times New Roman" w:hAnsi="Times New Roman"/>
          <w:b/>
          <w:sz w:val="24"/>
          <w:szCs w:val="24"/>
        </w:rPr>
        <w:t xml:space="preserve">Conclusion </w:t>
      </w:r>
    </w:p>
    <w:p w14:paraId="0F9E9D73" w14:textId="77777777" w:rsidR="00A42BB6" w:rsidRPr="005C0BF8" w:rsidRDefault="00A42BB6" w:rsidP="00A42BB6">
      <w:pPr>
        <w:spacing w:before="240" w:after="0" w:line="240" w:lineRule="auto"/>
        <w:rPr>
          <w:rFonts w:ascii="Times New Roman" w:eastAsia="Calibri" w:hAnsi="Times New Roman" w:cs="Times New Roman"/>
          <w:sz w:val="24"/>
          <w:szCs w:val="24"/>
        </w:rPr>
      </w:pPr>
      <w:r w:rsidRPr="005C0BF8">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Regulation </w:t>
      </w:r>
      <w:r w:rsidRPr="005C0BF8">
        <w:rPr>
          <w:rFonts w:ascii="Times New Roman" w:eastAsia="Calibri" w:hAnsi="Times New Roman" w:cs="Times New Roman"/>
          <w:sz w:val="24"/>
          <w:szCs w:val="24"/>
        </w:rPr>
        <w:t xml:space="preserve">is compatible with human rights </w:t>
      </w:r>
      <w:r>
        <w:rPr>
          <w:rFonts w:ascii="Times New Roman" w:eastAsia="Calibri" w:hAnsi="Times New Roman" w:cs="Times New Roman"/>
          <w:sz w:val="24"/>
          <w:szCs w:val="24"/>
        </w:rPr>
        <w:t xml:space="preserve">as it does not raise any </w:t>
      </w:r>
      <w:r w:rsidRPr="005C0BF8">
        <w:rPr>
          <w:rFonts w:ascii="Times New Roman" w:eastAsia="Times New Roman" w:hAnsi="Times New Roman" w:cs="Times New Roman"/>
          <w:sz w:val="24"/>
          <w:szCs w:val="24"/>
          <w:lang w:eastAsia="en-AU"/>
        </w:rPr>
        <w:t>human</w:t>
      </w:r>
      <w:r>
        <w:rPr>
          <w:rFonts w:ascii="Times New Roman" w:eastAsia="Calibri" w:hAnsi="Times New Roman" w:cs="Times New Roman"/>
          <w:sz w:val="24"/>
          <w:szCs w:val="24"/>
        </w:rPr>
        <w:t xml:space="preserve"> rights issues.  </w:t>
      </w:r>
    </w:p>
    <w:p w14:paraId="39F02548" w14:textId="77777777" w:rsidR="003535EE" w:rsidRPr="003535EE" w:rsidRDefault="00207F49" w:rsidP="00756424">
      <w:pPr>
        <w:spacing w:after="0" w:line="240" w:lineRule="auto"/>
        <w:ind w:right="91"/>
        <w:jc w:val="right"/>
        <w:rPr>
          <w:rFonts w:ascii="Times New Roman" w:eastAsia="Times New Roman" w:hAnsi="Times New Roman" w:cs="Times New Roman"/>
          <w:i/>
          <w:sz w:val="24"/>
          <w:szCs w:val="24"/>
        </w:rPr>
      </w:pPr>
    </w:p>
    <w:p w14:paraId="689A737F" w14:textId="77777777" w:rsidR="00A42BB6" w:rsidRDefault="00A42BB6">
      <w:pPr>
        <w:sectPr w:rsidR="00A42BB6" w:rsidSect="00EE312D">
          <w:pgSz w:w="11906" w:h="16838"/>
          <w:pgMar w:top="1440" w:right="1440" w:bottom="1440" w:left="1440" w:header="708" w:footer="708" w:gutter="0"/>
          <w:cols w:space="708"/>
          <w:titlePg/>
          <w:docGrid w:linePitch="360"/>
        </w:sectPr>
      </w:pPr>
    </w:p>
    <w:p w14:paraId="625E4016" w14:textId="4550F85A" w:rsidR="00A572F3" w:rsidRDefault="00777461">
      <w:pPr>
        <w:rPr>
          <w:rFonts w:ascii="Times New Roman" w:hAnsi="Times New Roman" w:cs="Times New Roman"/>
          <w:b/>
        </w:rPr>
      </w:pPr>
      <w:r w:rsidRPr="003535EE">
        <w:rPr>
          <w:rFonts w:ascii="Times New Roman" w:hAnsi="Times New Roman" w:cs="Times New Roman"/>
          <w:b/>
          <w:u w:val="single"/>
        </w:rPr>
        <w:lastRenderedPageBreak/>
        <w:t>Details</w:t>
      </w:r>
      <w:r>
        <w:rPr>
          <w:rFonts w:ascii="Times New Roman" w:hAnsi="Times New Roman" w:cs="Times New Roman"/>
          <w:b/>
          <w:u w:val="single"/>
        </w:rPr>
        <w:t xml:space="preserve"> of the Bankruptcy Amendment (Rules of Court) Regulation 2016</w:t>
      </w:r>
    </w:p>
    <w:p w14:paraId="625E4017" w14:textId="77777777" w:rsidR="004543BC" w:rsidRPr="00813FC8" w:rsidRDefault="00777461" w:rsidP="004543BC">
      <w:pPr>
        <w:pStyle w:val="ActHead5"/>
        <w:rPr>
          <w:b w:val="0"/>
          <w:u w:val="single"/>
        </w:rPr>
      </w:pPr>
      <w:bookmarkStart w:id="1" w:name="_Toc445373288"/>
      <w:r w:rsidRPr="00813FC8">
        <w:rPr>
          <w:rStyle w:val="CharSectno"/>
          <w:b w:val="0"/>
          <w:u w:val="single"/>
        </w:rPr>
        <w:t>Section 1</w:t>
      </w:r>
      <w:r w:rsidRPr="00813FC8">
        <w:rPr>
          <w:b w:val="0"/>
          <w:u w:val="single"/>
        </w:rPr>
        <w:t xml:space="preserve"> – Name</w:t>
      </w:r>
      <w:bookmarkEnd w:id="1"/>
      <w:r w:rsidRPr="00813FC8">
        <w:rPr>
          <w:b w:val="0"/>
          <w:u w:val="single"/>
        </w:rPr>
        <w:t xml:space="preserve"> of Regulation</w:t>
      </w:r>
    </w:p>
    <w:p w14:paraId="625E4018" w14:textId="1853FAA5" w:rsidR="004543BC" w:rsidRPr="00C15362" w:rsidRDefault="00777461" w:rsidP="004543BC">
      <w:pPr>
        <w:pStyle w:val="subsection"/>
        <w:tabs>
          <w:tab w:val="clear" w:pos="1021"/>
        </w:tabs>
        <w:ind w:left="0" w:firstLine="0"/>
      </w:pPr>
      <w:r w:rsidRPr="00C15362">
        <w:t xml:space="preserve">This </w:t>
      </w:r>
      <w:r>
        <w:t xml:space="preserve">section provides that the title of the Regulation </w:t>
      </w:r>
      <w:r w:rsidRPr="00C15362">
        <w:t xml:space="preserve">is the </w:t>
      </w:r>
      <w:bookmarkStart w:id="2" w:name="BKCheck15B_3"/>
      <w:bookmarkEnd w:id="2"/>
      <w:r w:rsidR="00A42BB6" w:rsidRPr="00A42BB6">
        <w:rPr>
          <w:i/>
        </w:rPr>
        <w:t>Bankruptcy Amendment (Rules of Court) Regulation 2016</w:t>
      </w:r>
      <w:r w:rsidR="00A42BB6">
        <w:rPr>
          <w:i/>
        </w:rPr>
        <w:t>.</w:t>
      </w:r>
    </w:p>
    <w:p w14:paraId="625E4019" w14:textId="77777777" w:rsidR="004543BC" w:rsidRPr="00813FC8" w:rsidRDefault="00777461" w:rsidP="004543BC">
      <w:pPr>
        <w:pStyle w:val="ActHead5"/>
        <w:rPr>
          <w:b w:val="0"/>
          <w:u w:val="single"/>
        </w:rPr>
      </w:pPr>
      <w:bookmarkStart w:id="3" w:name="_Toc445373289"/>
      <w:r w:rsidRPr="00813FC8">
        <w:rPr>
          <w:rStyle w:val="CharSectno"/>
          <w:b w:val="0"/>
          <w:u w:val="single"/>
        </w:rPr>
        <w:t>Section 2</w:t>
      </w:r>
      <w:r w:rsidRPr="00813FC8">
        <w:rPr>
          <w:b w:val="0"/>
          <w:u w:val="single"/>
        </w:rPr>
        <w:t xml:space="preserve"> – Commencement</w:t>
      </w:r>
      <w:bookmarkEnd w:id="3"/>
    </w:p>
    <w:p w14:paraId="625E401A" w14:textId="77777777" w:rsidR="004543BC" w:rsidRPr="00C15362" w:rsidRDefault="00777461" w:rsidP="004543BC">
      <w:pPr>
        <w:pStyle w:val="subsection"/>
        <w:tabs>
          <w:tab w:val="clear" w:pos="1021"/>
        </w:tabs>
        <w:ind w:left="0" w:firstLine="0"/>
      </w:pPr>
      <w:r>
        <w:t xml:space="preserve">This section provides for sections 1 to 4 of the Regulation to commence the day after this instrument is registered and for schedule 1 to commence on the later of the day after the instrument is registered and 1 April 2016. </w:t>
      </w:r>
    </w:p>
    <w:p w14:paraId="625E401B" w14:textId="77777777" w:rsidR="004543BC" w:rsidRPr="00813FC8" w:rsidRDefault="00777461" w:rsidP="004543BC">
      <w:pPr>
        <w:pStyle w:val="ActHead5"/>
        <w:rPr>
          <w:b w:val="0"/>
          <w:u w:val="single"/>
        </w:rPr>
      </w:pPr>
      <w:bookmarkStart w:id="4" w:name="_Toc445373290"/>
      <w:r w:rsidRPr="00813FC8">
        <w:rPr>
          <w:rStyle w:val="CharSectno"/>
          <w:b w:val="0"/>
          <w:u w:val="single"/>
        </w:rPr>
        <w:t>Section 3</w:t>
      </w:r>
      <w:r w:rsidRPr="00813FC8">
        <w:rPr>
          <w:b w:val="0"/>
          <w:u w:val="single"/>
        </w:rPr>
        <w:t xml:space="preserve"> – Authority</w:t>
      </w:r>
      <w:bookmarkEnd w:id="4"/>
    </w:p>
    <w:p w14:paraId="625E401C" w14:textId="77777777" w:rsidR="004543BC" w:rsidRPr="00C15362" w:rsidRDefault="00777461" w:rsidP="004543BC">
      <w:pPr>
        <w:pStyle w:val="subsection"/>
      </w:pPr>
      <w:r>
        <w:tab/>
      </w:r>
      <w:r w:rsidRPr="00C15362">
        <w:t xml:space="preserve">This </w:t>
      </w:r>
      <w:r>
        <w:t xml:space="preserve">section provides that the Regulation is made </w:t>
      </w:r>
      <w:r w:rsidRPr="00C15362">
        <w:t xml:space="preserve">under the </w:t>
      </w:r>
      <w:r w:rsidRPr="00C15362">
        <w:rPr>
          <w:i/>
        </w:rPr>
        <w:t>Bankruptcy Act 1966.</w:t>
      </w:r>
    </w:p>
    <w:p w14:paraId="625E401D" w14:textId="77777777" w:rsidR="004543BC" w:rsidRPr="00813FC8" w:rsidRDefault="00777461" w:rsidP="004543BC">
      <w:pPr>
        <w:pStyle w:val="ActHead5"/>
        <w:rPr>
          <w:b w:val="0"/>
          <w:u w:val="single"/>
        </w:rPr>
      </w:pPr>
      <w:bookmarkStart w:id="5" w:name="_Toc445373291"/>
      <w:r w:rsidRPr="00813FC8">
        <w:rPr>
          <w:rStyle w:val="CharSectno"/>
          <w:b w:val="0"/>
          <w:u w:val="single"/>
        </w:rPr>
        <w:t>Section 4</w:t>
      </w:r>
      <w:r w:rsidRPr="00813FC8">
        <w:rPr>
          <w:b w:val="0"/>
          <w:u w:val="single"/>
        </w:rPr>
        <w:t xml:space="preserve"> – Schedules</w:t>
      </w:r>
      <w:bookmarkEnd w:id="5"/>
    </w:p>
    <w:p w14:paraId="625E401E" w14:textId="77777777" w:rsidR="004543BC" w:rsidRDefault="00777461" w:rsidP="004543BC">
      <w:pPr>
        <w:pStyle w:val="subsection"/>
        <w:tabs>
          <w:tab w:val="clear" w:pos="1021"/>
        </w:tabs>
        <w:ind w:left="0" w:firstLine="0"/>
      </w:pPr>
      <w:r>
        <w:t xml:space="preserve">This section provides that the Principal Regulation </w:t>
      </w:r>
      <w:r w:rsidRPr="00C15362">
        <w:t xml:space="preserve">specified in a Schedule to </w:t>
      </w:r>
      <w:r>
        <w:t xml:space="preserve">the Regulation </w:t>
      </w:r>
      <w:r w:rsidRPr="00C15362">
        <w:t>is amended or repealed as set out in the applicable items in the Schedule concerned, and any other item in a Schedule to this instrument has effect according to its terms.</w:t>
      </w:r>
      <w:bookmarkStart w:id="6" w:name="_Toc445373293"/>
    </w:p>
    <w:p w14:paraId="625E401F" w14:textId="77777777" w:rsidR="004543BC" w:rsidRPr="004543BC" w:rsidRDefault="00777461" w:rsidP="004543BC">
      <w:pPr>
        <w:pStyle w:val="subsection"/>
        <w:tabs>
          <w:tab w:val="clear" w:pos="1021"/>
        </w:tabs>
        <w:ind w:left="0" w:firstLine="0"/>
        <w:rPr>
          <w:rStyle w:val="CharAmSchNo"/>
          <w:rFonts w:ascii="Arial" w:hAnsi="Arial"/>
          <w:b/>
          <w:kern w:val="28"/>
          <w:sz w:val="32"/>
          <w:u w:val="single"/>
        </w:rPr>
      </w:pPr>
      <w:r>
        <w:rPr>
          <w:u w:val="single"/>
        </w:rPr>
        <w:t>Schedule 1 – Amendments</w:t>
      </w:r>
    </w:p>
    <w:p w14:paraId="625E4020" w14:textId="77777777" w:rsidR="004543BC" w:rsidRDefault="00777461" w:rsidP="004543BC">
      <w:pPr>
        <w:pStyle w:val="subsection"/>
        <w:tabs>
          <w:tab w:val="clear" w:pos="1021"/>
        </w:tabs>
        <w:ind w:left="0" w:firstLine="0"/>
        <w:rPr>
          <w:b/>
          <w:i/>
        </w:rPr>
      </w:pPr>
      <w:r w:rsidRPr="00813FC8">
        <w:rPr>
          <w:b/>
          <w:i/>
        </w:rPr>
        <w:t>Bankruptcy Regulations 1996</w:t>
      </w:r>
      <w:bookmarkEnd w:id="6"/>
    </w:p>
    <w:p w14:paraId="625E4021" w14:textId="77777777" w:rsidR="004543BC" w:rsidRDefault="00777461" w:rsidP="004543BC">
      <w:pPr>
        <w:pStyle w:val="subsection"/>
        <w:tabs>
          <w:tab w:val="clear" w:pos="1021"/>
        </w:tabs>
        <w:ind w:left="0" w:firstLine="0"/>
        <w:rPr>
          <w:b/>
        </w:rPr>
      </w:pPr>
      <w:r>
        <w:rPr>
          <w:b/>
        </w:rPr>
        <w:t xml:space="preserve">Items [1] and [2] - </w:t>
      </w:r>
      <w:r w:rsidRPr="00813FC8">
        <w:rPr>
          <w:b/>
        </w:rPr>
        <w:t>Subregulation 1.03(1)</w:t>
      </w:r>
    </w:p>
    <w:p w14:paraId="625E4022" w14:textId="77777777" w:rsidR="004543BC" w:rsidRDefault="00777461" w:rsidP="004543BC">
      <w:pPr>
        <w:pStyle w:val="subsection"/>
        <w:tabs>
          <w:tab w:val="clear" w:pos="1021"/>
        </w:tabs>
        <w:ind w:left="0" w:firstLine="0"/>
      </w:pPr>
      <w:r>
        <w:t xml:space="preserve">Amend the definitions of </w:t>
      </w:r>
      <w:r w:rsidRPr="00C15362">
        <w:rPr>
          <w:i/>
        </w:rPr>
        <w:t>FC (Bankruptcy) Rules</w:t>
      </w:r>
      <w:r>
        <w:rPr>
          <w:i/>
        </w:rPr>
        <w:t xml:space="preserve"> </w:t>
      </w:r>
      <w:r>
        <w:t xml:space="preserve">and </w:t>
      </w:r>
      <w:r w:rsidRPr="00C15362">
        <w:rPr>
          <w:i/>
        </w:rPr>
        <w:t>FCC (Bankruptcy) Rules</w:t>
      </w:r>
      <w:r>
        <w:t xml:space="preserve"> in subregulation 1.03(1) to refer to the remade </w:t>
      </w:r>
      <w:r w:rsidRPr="00C15362">
        <w:rPr>
          <w:i/>
        </w:rPr>
        <w:t>Federal Court (Bankruptcy) Rules 2016</w:t>
      </w:r>
      <w:r>
        <w:t xml:space="preserve"> and the remade </w:t>
      </w:r>
      <w:r w:rsidRPr="00C15362">
        <w:rPr>
          <w:i/>
        </w:rPr>
        <w:t>Federal Circuit Court (Bankruptcy) Rules 2016</w:t>
      </w:r>
      <w:r>
        <w:rPr>
          <w:i/>
        </w:rPr>
        <w:t xml:space="preserve"> </w:t>
      </w:r>
      <w:r>
        <w:t>(the remade Rules).</w:t>
      </w:r>
    </w:p>
    <w:p w14:paraId="625E4023" w14:textId="77777777" w:rsidR="004543BC" w:rsidRDefault="00777461" w:rsidP="004543BC">
      <w:pPr>
        <w:pStyle w:val="subsection"/>
        <w:tabs>
          <w:tab w:val="clear" w:pos="1021"/>
        </w:tabs>
        <w:ind w:left="0" w:firstLine="0"/>
        <w:rPr>
          <w:b/>
        </w:rPr>
      </w:pPr>
      <w:r>
        <w:rPr>
          <w:b/>
        </w:rPr>
        <w:t>Items [3] to [13] – Schedule 8</w:t>
      </w:r>
    </w:p>
    <w:p w14:paraId="625E4037" w14:textId="098B5EE0" w:rsidR="003535EE" w:rsidRPr="003535EE" w:rsidRDefault="00777461" w:rsidP="00A42BB6">
      <w:pPr>
        <w:pStyle w:val="subsection"/>
        <w:tabs>
          <w:tab w:val="clear" w:pos="1021"/>
        </w:tabs>
        <w:ind w:left="0" w:firstLine="0"/>
        <w:rPr>
          <w:b/>
        </w:rPr>
      </w:pPr>
      <w:r>
        <w:t xml:space="preserve">Correct inconsistent cross-references to timeframes and rules in the remade Rules. </w:t>
      </w:r>
    </w:p>
    <w:sectPr w:rsidR="003535EE" w:rsidRPr="003535EE" w:rsidSect="00EE312D">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E403F" w14:textId="77777777" w:rsidR="003C1788" w:rsidRDefault="00777461">
      <w:pPr>
        <w:spacing w:after="0" w:line="240" w:lineRule="auto"/>
      </w:pPr>
      <w:r>
        <w:separator/>
      </w:r>
    </w:p>
  </w:endnote>
  <w:endnote w:type="continuationSeparator" w:id="0">
    <w:p w14:paraId="625E4041" w14:textId="77777777" w:rsidR="003C1788" w:rsidRDefault="00777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E403B" w14:textId="77777777" w:rsidR="003C1788" w:rsidRDefault="00777461">
      <w:pPr>
        <w:spacing w:after="0" w:line="240" w:lineRule="auto"/>
      </w:pPr>
      <w:r>
        <w:separator/>
      </w:r>
    </w:p>
  </w:footnote>
  <w:footnote w:type="continuationSeparator" w:id="0">
    <w:p w14:paraId="625E403D" w14:textId="77777777" w:rsidR="003C1788" w:rsidRDefault="00777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E403A" w14:textId="77777777" w:rsidR="005C0BF8" w:rsidRDefault="00207F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8ECD7" w14:textId="7012E372" w:rsidR="00101499" w:rsidRPr="00101499" w:rsidRDefault="00101499" w:rsidP="00101499">
    <w:pPr>
      <w:pStyle w:val="ActHead5"/>
      <w:jc w:val="right"/>
      <w:rPr>
        <w:u w:val="single"/>
      </w:rPr>
    </w:pPr>
    <w:r w:rsidRPr="00101499">
      <w:rPr>
        <w:u w:val="single"/>
      </w:rPr>
      <w:t>Attachment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23451"/>
    <w:multiLevelType w:val="hybridMultilevel"/>
    <w:tmpl w:val="6648553A"/>
    <w:lvl w:ilvl="0" w:tplc="17BC013A">
      <w:start w:val="1"/>
      <w:numFmt w:val="bullet"/>
      <w:lvlText w:val=""/>
      <w:lvlJc w:val="left"/>
      <w:pPr>
        <w:ind w:left="720" w:hanging="360"/>
      </w:pPr>
      <w:rPr>
        <w:rFonts w:ascii="Symbol" w:hAnsi="Symbol" w:hint="default"/>
      </w:rPr>
    </w:lvl>
    <w:lvl w:ilvl="1" w:tplc="5DC02A32" w:tentative="1">
      <w:start w:val="1"/>
      <w:numFmt w:val="bullet"/>
      <w:lvlText w:val="o"/>
      <w:lvlJc w:val="left"/>
      <w:pPr>
        <w:ind w:left="1440" w:hanging="360"/>
      </w:pPr>
      <w:rPr>
        <w:rFonts w:ascii="Courier New" w:hAnsi="Courier New" w:cs="Courier New" w:hint="default"/>
      </w:rPr>
    </w:lvl>
    <w:lvl w:ilvl="2" w:tplc="3D2E7004" w:tentative="1">
      <w:start w:val="1"/>
      <w:numFmt w:val="bullet"/>
      <w:lvlText w:val=""/>
      <w:lvlJc w:val="left"/>
      <w:pPr>
        <w:ind w:left="2160" w:hanging="360"/>
      </w:pPr>
      <w:rPr>
        <w:rFonts w:ascii="Wingdings" w:hAnsi="Wingdings" w:hint="default"/>
      </w:rPr>
    </w:lvl>
    <w:lvl w:ilvl="3" w:tplc="E4ECE1B2" w:tentative="1">
      <w:start w:val="1"/>
      <w:numFmt w:val="bullet"/>
      <w:lvlText w:val=""/>
      <w:lvlJc w:val="left"/>
      <w:pPr>
        <w:ind w:left="2880" w:hanging="360"/>
      </w:pPr>
      <w:rPr>
        <w:rFonts w:ascii="Symbol" w:hAnsi="Symbol" w:hint="default"/>
      </w:rPr>
    </w:lvl>
    <w:lvl w:ilvl="4" w:tplc="E46A68D2" w:tentative="1">
      <w:start w:val="1"/>
      <w:numFmt w:val="bullet"/>
      <w:lvlText w:val="o"/>
      <w:lvlJc w:val="left"/>
      <w:pPr>
        <w:ind w:left="3600" w:hanging="360"/>
      </w:pPr>
      <w:rPr>
        <w:rFonts w:ascii="Courier New" w:hAnsi="Courier New" w:cs="Courier New" w:hint="default"/>
      </w:rPr>
    </w:lvl>
    <w:lvl w:ilvl="5" w:tplc="C2F4A3CC" w:tentative="1">
      <w:start w:val="1"/>
      <w:numFmt w:val="bullet"/>
      <w:lvlText w:val=""/>
      <w:lvlJc w:val="left"/>
      <w:pPr>
        <w:ind w:left="4320" w:hanging="360"/>
      </w:pPr>
      <w:rPr>
        <w:rFonts w:ascii="Wingdings" w:hAnsi="Wingdings" w:hint="default"/>
      </w:rPr>
    </w:lvl>
    <w:lvl w:ilvl="6" w:tplc="55EE0606" w:tentative="1">
      <w:start w:val="1"/>
      <w:numFmt w:val="bullet"/>
      <w:lvlText w:val=""/>
      <w:lvlJc w:val="left"/>
      <w:pPr>
        <w:ind w:left="5040" w:hanging="360"/>
      </w:pPr>
      <w:rPr>
        <w:rFonts w:ascii="Symbol" w:hAnsi="Symbol" w:hint="default"/>
      </w:rPr>
    </w:lvl>
    <w:lvl w:ilvl="7" w:tplc="85B62D6A" w:tentative="1">
      <w:start w:val="1"/>
      <w:numFmt w:val="bullet"/>
      <w:lvlText w:val="o"/>
      <w:lvlJc w:val="left"/>
      <w:pPr>
        <w:ind w:left="5760" w:hanging="360"/>
      </w:pPr>
      <w:rPr>
        <w:rFonts w:ascii="Courier New" w:hAnsi="Courier New" w:cs="Courier New" w:hint="default"/>
      </w:rPr>
    </w:lvl>
    <w:lvl w:ilvl="8" w:tplc="AF2C9B9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BB6"/>
    <w:rsid w:val="00101499"/>
    <w:rsid w:val="00207F49"/>
    <w:rsid w:val="003C1788"/>
    <w:rsid w:val="00777461"/>
    <w:rsid w:val="00A42B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5EE"/>
  </w:style>
  <w:style w:type="paragraph" w:styleId="Footer">
    <w:name w:val="footer"/>
    <w:basedOn w:val="Normal"/>
    <w:link w:val="FooterChar"/>
    <w:uiPriority w:val="99"/>
    <w:unhideWhenUsed/>
    <w:rsid w:val="00353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5EE"/>
  </w:style>
  <w:style w:type="paragraph" w:customStyle="1" w:styleId="ActHead5">
    <w:name w:val="ActHead 5"/>
    <w:aliases w:val="s"/>
    <w:basedOn w:val="Normal"/>
    <w:next w:val="subsection"/>
    <w:qFormat/>
    <w:rsid w:val="004543BC"/>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AmSchNo">
    <w:name w:val="CharAmSchNo"/>
    <w:basedOn w:val="DefaultParagraphFont"/>
    <w:qFormat/>
    <w:rsid w:val="004543BC"/>
  </w:style>
  <w:style w:type="character" w:customStyle="1" w:styleId="CharSectno">
    <w:name w:val="CharSectno"/>
    <w:basedOn w:val="DefaultParagraphFont"/>
    <w:qFormat/>
    <w:rsid w:val="004543BC"/>
  </w:style>
  <w:style w:type="paragraph" w:customStyle="1" w:styleId="subsection">
    <w:name w:val="subsection"/>
    <w:aliases w:val="ss"/>
    <w:basedOn w:val="Normal"/>
    <w:link w:val="subsectionChar"/>
    <w:rsid w:val="004543B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4543BC"/>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5EE"/>
  </w:style>
  <w:style w:type="paragraph" w:styleId="Footer">
    <w:name w:val="footer"/>
    <w:basedOn w:val="Normal"/>
    <w:link w:val="FooterChar"/>
    <w:uiPriority w:val="99"/>
    <w:unhideWhenUsed/>
    <w:rsid w:val="00353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5EE"/>
  </w:style>
  <w:style w:type="paragraph" w:customStyle="1" w:styleId="ActHead5">
    <w:name w:val="ActHead 5"/>
    <w:aliases w:val="s"/>
    <w:basedOn w:val="Normal"/>
    <w:next w:val="subsection"/>
    <w:qFormat/>
    <w:rsid w:val="004543BC"/>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AmSchNo">
    <w:name w:val="CharAmSchNo"/>
    <w:basedOn w:val="DefaultParagraphFont"/>
    <w:qFormat/>
    <w:rsid w:val="004543BC"/>
  </w:style>
  <w:style w:type="character" w:customStyle="1" w:styleId="CharSectno">
    <w:name w:val="CharSectno"/>
    <w:basedOn w:val="DefaultParagraphFont"/>
    <w:qFormat/>
    <w:rsid w:val="004543BC"/>
  </w:style>
  <w:style w:type="paragraph" w:customStyle="1" w:styleId="subsection">
    <w:name w:val="subsection"/>
    <w:aliases w:val="ss"/>
    <w:basedOn w:val="Normal"/>
    <w:link w:val="subsectionChar"/>
    <w:rsid w:val="004543B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4543BC"/>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1C5883DEDAB2B459BEBBDB88D3EF0CD" ma:contentTypeVersion="" ma:contentTypeDescription="PDMS Document Site Content Type" ma:contentTypeScope="" ma:versionID="ce29cdd550e2ec428c3a0db88863f987">
  <xsd:schema xmlns:xsd="http://www.w3.org/2001/XMLSchema" xmlns:xs="http://www.w3.org/2001/XMLSchema" xmlns:p="http://schemas.microsoft.com/office/2006/metadata/properties" xmlns:ns2="B18AE8BD-2E32-4990-9AD1-F61120477043" targetNamespace="http://schemas.microsoft.com/office/2006/metadata/properties" ma:root="true" ma:fieldsID="e68663a22102ea71d4917555c71917c0" ns2:_="">
    <xsd:import namespace="B18AE8BD-2E32-4990-9AD1-F611204770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AE8BD-2E32-4990-9AD1-F611204770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18AE8BD-2E32-4990-9AD1-F611204770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BD5A9-F7CB-4DAB-8C9A-F2BB280EF804}">
  <ds:schemaRefs/>
</ds:datastoreItem>
</file>

<file path=customXml/itemProps2.xml><?xml version="1.0" encoding="utf-8"?>
<ds:datastoreItem xmlns:ds="http://schemas.openxmlformats.org/officeDocument/2006/customXml" ds:itemID="{F5D47995-4F68-4D7C-B7A1-1DE3B2C83B3E}">
  <ds:schemaRefs>
    <ds:schemaRef ds:uri="http://schemas.microsoft.com/office/2006/documentManagement/types"/>
    <ds:schemaRef ds:uri="http://schemas.openxmlformats.org/package/2006/metadata/core-properties"/>
    <ds:schemaRef ds:uri="http://purl.org/dc/dcmitype/"/>
    <ds:schemaRef ds:uri="B18AE8BD-2E32-4990-9AD1-F61120477043"/>
    <ds:schemaRef ds:uri="http://purl.org/dc/elements/1.1/"/>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FA495D49-82F3-4425-AEC0-EA80A17B1E6C}">
  <ds:schemaRefs/>
</ds:datastoreItem>
</file>

<file path=customXml/itemProps4.xml><?xml version="1.0" encoding="utf-8"?>
<ds:datastoreItem xmlns:ds="http://schemas.openxmlformats.org/officeDocument/2006/customXml" ds:itemID="{C21CEED3-192E-4B02-BB6B-DA3C0EA3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ledlid</dc:creator>
  <cp:lastModifiedBy>hauwen</cp:lastModifiedBy>
  <cp:revision>6</cp:revision>
  <dcterms:created xsi:type="dcterms:W3CDTF">2016-03-22T03:17:00Z</dcterms:created>
  <dcterms:modified xsi:type="dcterms:W3CDTF">2016-03-23T22:51:00Z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15 March 2016</vt:lpwstr>
  </property>
  <property fmtid="{D5CDD505-2E9C-101B-9397-08002B2CF9AE}" pid="4" name="ClearanceDueDate">
    <vt:lpwstr/>
  </property>
  <property fmtid="{D5CDD505-2E9C-101B-9397-08002B2CF9AE}" pid="5" name="ContentTypeId">
    <vt:lpwstr>0x010100835CE764FBE9994B97398C927E9DDCD0</vt:lpwstr>
  </property>
  <property fmtid="{D5CDD505-2E9C-101B-9397-08002B2CF9AE}" pid="6" name="Electorates">
    <vt:lpwstr> </vt:lpwstr>
  </property>
  <property fmtid="{D5CDD505-2E9C-101B-9397-08002B2CF9AE}" pid="7" name="GroupResponsible">
    <vt:lpwstr>BRCH-CJCG-CLU-Civil Law Unit</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Paul Pfitzner</vt:lpwstr>
  </property>
  <property fmtid="{D5CDD505-2E9C-101B-9397-08002B2CF9AE}" pid="11" name="Ministers">
    <vt:lpwstr>AG - George Brandis</vt:lpwstr>
  </property>
  <property fmtid="{D5CDD505-2E9C-101B-9397-08002B2CF9AE}" pid="12" name="PdrId">
    <vt:lpwstr>MS16-000230</vt:lpwstr>
  </property>
  <property fmtid="{D5CDD505-2E9C-101B-9397-08002B2CF9AE}" pid="13" name="Principal">
    <vt:lpwstr>Submission</vt:lpwstr>
  </property>
  <property fmtid="{D5CDD505-2E9C-101B-9397-08002B2CF9AE}" pid="14" name="ReasonForSensitivity">
    <vt:lpwstr/>
  </property>
  <property fmtid="{D5CDD505-2E9C-101B-9397-08002B2CF9AE}" pid="15" name="RegisteredDate">
    <vt:lpwstr>11 February 2016</vt:lpwstr>
  </property>
  <property fmtid="{D5CDD505-2E9C-101B-9397-08002B2CF9AE}" pid="16" name="RequestedAction">
    <vt:lpwstr>Action - Approve</vt:lpwstr>
  </property>
  <property fmtid="{D5CDD505-2E9C-101B-9397-08002B2CF9AE}" pid="17" name="ResponsibleMinister">
    <vt:lpwstr>AG - George Brandis</vt:lpwstr>
  </property>
  <property fmtid="{D5CDD505-2E9C-101B-9397-08002B2CF9AE}" pid="18" name="SecurityClassification">
    <vt:lpwstr>For Official Use Only (FOUO)  </vt:lpwstr>
  </property>
  <property fmtid="{D5CDD505-2E9C-101B-9397-08002B2CF9AE}" pid="19" name="Subject">
    <vt:lpwstr>Minor consequential amendments to the Bankruptcy Regulations 1996 - Remaking the Federal Court (Bankruptcy) Rules and Federal Circuit Court (Bankruptcy) Rules</vt:lpwstr>
  </property>
  <property fmtid="{D5CDD505-2E9C-101B-9397-08002B2CF9AE}" pid="20" name="TaskSeqNo">
    <vt:lpwstr>2</vt:lpwstr>
  </property>
  <property fmtid="{D5CDD505-2E9C-101B-9397-08002B2CF9AE}" pid="21" name="TemplateSubType">
    <vt:lpwstr>AG - George Brandis</vt:lpwstr>
  </property>
  <property fmtid="{D5CDD505-2E9C-101B-9397-08002B2CF9AE}" pid="22" name="TemplateType">
    <vt:lpwstr>Attorney-General</vt:lpwstr>
  </property>
  <property fmtid="{D5CDD505-2E9C-101B-9397-08002B2CF9AE}" pid="23" name="TrustedGroups">
    <vt:lpwstr>Parliamentary Coordinator MS, DLO, Ministerial Staff - Coalition 2013, Business Administrator, Limited Distribution MS</vt:lpwstr>
  </property>
  <property fmtid="{D5CDD505-2E9C-101B-9397-08002B2CF9AE}" pid="24" name="_dlc_DocIdItemGuid">
    <vt:lpwstr>346f9bfc-6a67-42c7-9274-be0879db6c65</vt:lpwstr>
  </property>
</Properties>
</file>