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74BAA">
        <w:rPr>
          <w:b/>
          <w:color w:val="000000"/>
          <w:spacing w:val="-1"/>
          <w:sz w:val="28"/>
        </w:rPr>
        <w:t>ASIC Corporations (Rounding in Financial/Directors’ Reports) Instrument 201</w:t>
      </w:r>
      <w:r w:rsidR="00741C0A">
        <w:rPr>
          <w:b/>
          <w:color w:val="000000"/>
          <w:spacing w:val="-1"/>
          <w:sz w:val="28"/>
        </w:rPr>
        <w:t>6</w:t>
      </w:r>
      <w:r w:rsidR="00774BAA">
        <w:rPr>
          <w:b/>
          <w:color w:val="000000"/>
          <w:spacing w:val="-1"/>
          <w:sz w:val="28"/>
        </w:rPr>
        <w:t>/</w:t>
      </w:r>
      <w:r w:rsidR="00D17D51">
        <w:rPr>
          <w:b/>
          <w:color w:val="000000"/>
          <w:spacing w:val="-1"/>
          <w:sz w:val="28"/>
        </w:rPr>
        <w:t>191</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774BAA"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774BAA" w:rsidRPr="00774BAA">
        <w:rPr>
          <w:i/>
        </w:rPr>
        <w:t>ASIC Corporations (Rounding in Financial/Directors’ Reports) Instrument 201</w:t>
      </w:r>
      <w:r w:rsidR="00741C0A">
        <w:rPr>
          <w:i/>
        </w:rPr>
        <w:t>6</w:t>
      </w:r>
      <w:r w:rsidR="00774BAA" w:rsidRPr="00774BAA">
        <w:rPr>
          <w:i/>
        </w:rPr>
        <w:t>/</w:t>
      </w:r>
      <w:r w:rsidR="00D17D51">
        <w:rPr>
          <w:i/>
        </w:rPr>
        <w:t>191</w:t>
      </w:r>
      <w:r>
        <w:rPr>
          <w:color w:val="000000"/>
          <w:spacing w:val="-1"/>
        </w:rPr>
        <w:t xml:space="preserve"> under </w:t>
      </w:r>
      <w:r w:rsidR="00774BAA" w:rsidRPr="00774BAA">
        <w:t xml:space="preserve">subsections 341(1) and 992B(1) of the </w:t>
      </w:r>
      <w:r w:rsidR="00774BAA" w:rsidRPr="00774BAA">
        <w:rPr>
          <w:i/>
        </w:rPr>
        <w:t>Corporations Act 2001</w:t>
      </w:r>
      <w:r w:rsidR="00774BAA" w:rsidRPr="00774BAA">
        <w:t xml:space="preserve"> (the Corporations Act)</w:t>
      </w:r>
      <w:r w:rsidRPr="00774BAA">
        <w:rPr>
          <w:spacing w:val="-1"/>
        </w:rPr>
        <w:t>.</w:t>
      </w:r>
      <w:r>
        <w:rPr>
          <w:color w:val="000000"/>
          <w:spacing w:val="-1"/>
        </w:rPr>
        <w:t xml:space="preserve"> </w:t>
      </w:r>
    </w:p>
    <w:p w:rsidR="005B0E3A" w:rsidRDefault="00774BAA" w:rsidP="005B0E3A">
      <w:pPr>
        <w:pStyle w:val="BodyText"/>
        <w:spacing w:line="261" w:lineRule="auto"/>
      </w:pPr>
      <w:r>
        <w:t xml:space="preserve">Subsection </w:t>
      </w:r>
      <w:r w:rsidRPr="00F3152A">
        <w:rPr>
          <w:spacing w:val="-1"/>
        </w:rPr>
        <w:t xml:space="preserve">341(1) </w:t>
      </w:r>
      <w:r>
        <w:rPr>
          <w:color w:val="000000"/>
        </w:rPr>
        <w:t xml:space="preserve">provides that ASIC </w:t>
      </w:r>
      <w:r w:rsidRPr="00C1165C">
        <w:t>may</w:t>
      </w:r>
      <w:r w:rsidRPr="00C1165C">
        <w:rPr>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t xml:space="preserve">Corporations </w:t>
      </w:r>
      <w:r w:rsidRPr="00C1165C">
        <w:t>Act.</w:t>
      </w:r>
    </w:p>
    <w:p w:rsidR="0014109D" w:rsidRPr="0014109D" w:rsidRDefault="0014109D" w:rsidP="0014109D">
      <w:pPr>
        <w:pStyle w:val="BodyText"/>
        <w:spacing w:line="261" w:lineRule="auto"/>
        <w:rPr>
          <w:lang w:val="en-US"/>
        </w:rPr>
      </w:pPr>
      <w:r w:rsidRPr="0014109D">
        <w:t xml:space="preserve">Subsection </w:t>
      </w:r>
      <w:r>
        <w:t>992B</w:t>
      </w:r>
      <w:r w:rsidRPr="0014109D">
        <w:t>(1) provides that ASIC may declare that Part 7.</w:t>
      </w:r>
      <w:r>
        <w:t>8</w:t>
      </w:r>
      <w:r w:rsidRPr="0014109D">
        <w:t xml:space="preserve"> of the Act applies in relation to a person or a financial product, or a class of persons or financial products, as if specified provisions were omitted, modified or varied as specified in the declaration.</w:t>
      </w:r>
    </w:p>
    <w:p w:rsidR="00774BAA" w:rsidRDefault="00774BAA"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B0E3A" w:rsidP="005B0E3A">
      <w:pPr>
        <w:spacing w:before="4" w:line="220" w:lineRule="exact"/>
      </w:pPr>
    </w:p>
    <w:p w:rsidR="0014109D" w:rsidRDefault="0014109D" w:rsidP="0014109D">
      <w:pPr>
        <w:pStyle w:val="BodyText"/>
      </w:pPr>
      <w:r>
        <w:t>Part 2M.3 of the Corporations Act requires specified entities to prepare and lodge with ASIC a financial report,</w:t>
      </w:r>
      <w:r w:rsidRPr="00705796">
        <w:t xml:space="preserve"> </w:t>
      </w:r>
      <w:r>
        <w:t>directors’ report and auditor’s report (</w:t>
      </w:r>
      <w:r w:rsidRPr="00285ED2">
        <w:t>Pt 2M.3 reports</w:t>
      </w:r>
      <w:r>
        <w:t>). In addition, these reports must be circulated or made available to members.</w:t>
      </w:r>
    </w:p>
    <w:p w:rsidR="0014109D" w:rsidRDefault="0014109D" w:rsidP="0014109D">
      <w:pPr>
        <w:pStyle w:val="BodyText"/>
      </w:pPr>
      <w:r w:rsidRPr="001A7E0F">
        <w:rPr>
          <w:spacing w:val="-2"/>
        </w:rPr>
        <w:t>The Corporations Act specifies the information to be included in the directors</w:t>
      </w:r>
      <w:r>
        <w:rPr>
          <w:spacing w:val="-2"/>
        </w:rPr>
        <w:t>’</w:t>
      </w:r>
      <w:r>
        <w:t xml:space="preserve"> report and requires the financial report to be prepared in accordance with accounting standards. An entity is required to keep financial records that would enable true and fair financial statements to be prepared and audited.</w:t>
      </w:r>
    </w:p>
    <w:p w:rsidR="0014109D" w:rsidRDefault="0014109D" w:rsidP="0014109D">
      <w:pPr>
        <w:pStyle w:val="BodyText"/>
      </w:pPr>
      <w:r>
        <w:t xml:space="preserve">The Corporations Act and accounting standards require amounts to be disclosed in the </w:t>
      </w:r>
      <w:r w:rsidRPr="001A7E0F">
        <w:t xml:space="preserve">Pt 2M.3 </w:t>
      </w:r>
      <w:r w:rsidRPr="00C25A91">
        <w:t>reports. Amounts disclosed will include the</w:t>
      </w:r>
      <w:r w:rsidRPr="00165779">
        <w:t xml:space="preserve"> amounts recorded in the entit</w:t>
      </w:r>
      <w:r>
        <w:t xml:space="preserve">y’s financial records. </w:t>
      </w:r>
    </w:p>
    <w:p w:rsidR="0014109D" w:rsidRDefault="0014109D" w:rsidP="0014109D">
      <w:pPr>
        <w:pStyle w:val="BodyText"/>
        <w:spacing w:before="199"/>
      </w:pPr>
      <w:r>
        <w:lastRenderedPageBreak/>
        <w:t>In the absence of ASIC relief, entities preparing financial reports under the Corporations Act would be required to present amounts to the lowest level (e.g. cents).</w:t>
      </w:r>
    </w:p>
    <w:p w:rsidR="005B0E3A" w:rsidRDefault="0014109D" w:rsidP="0014109D">
      <w:pPr>
        <w:pStyle w:val="BodyText"/>
        <w:spacing w:before="199"/>
        <w:rPr>
          <w:sz w:val="12"/>
          <w:szCs w:val="12"/>
        </w:rPr>
      </w:pPr>
      <w:r>
        <w:t xml:space="preserve">For larger entities, disclosure of the exact amounts from the financial records would result in unnecessary clutter in the reports. </w:t>
      </w:r>
      <w:r w:rsidRPr="00285ED2">
        <w:t>Excessive detail</w:t>
      </w:r>
      <w:r>
        <w:t xml:space="preserve"> can detract from the usefulness of the financial statements to users as they become more difficult to read and important information may be obscured.</w:t>
      </w:r>
    </w:p>
    <w:p w:rsidR="005B0E3A" w:rsidRDefault="005B0E3A" w:rsidP="005B0E3A">
      <w:pPr>
        <w:spacing w:line="240" w:lineRule="exact"/>
        <w:rPr>
          <w:sz w:val="24"/>
          <w:szCs w:val="24"/>
        </w:rPr>
      </w:pPr>
    </w:p>
    <w:p w:rsidR="005B0E3A" w:rsidRPr="0014109D"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14109D">
        <w:rPr>
          <w:rFonts w:ascii="Arial" w:hAnsi="Arial" w:cs="Arial"/>
          <w:b/>
          <w:spacing w:val="-1"/>
          <w:sz w:val="24"/>
          <w:szCs w:val="24"/>
        </w:rPr>
        <w:t>Purpose</w:t>
      </w:r>
      <w:r w:rsidRPr="0014109D">
        <w:rPr>
          <w:rFonts w:ascii="Arial" w:hAnsi="Arial" w:cs="Arial"/>
          <w:b/>
          <w:sz w:val="24"/>
          <w:szCs w:val="24"/>
        </w:rPr>
        <w:t xml:space="preserve"> of </w:t>
      </w:r>
      <w:r w:rsidRPr="0014109D">
        <w:rPr>
          <w:rFonts w:ascii="Arial" w:hAnsi="Arial" w:cs="Arial"/>
          <w:b/>
          <w:spacing w:val="-1"/>
          <w:sz w:val="24"/>
          <w:szCs w:val="24"/>
        </w:rPr>
        <w:t>the</w:t>
      </w:r>
      <w:r w:rsidRPr="0014109D">
        <w:rPr>
          <w:rFonts w:ascii="Arial" w:hAnsi="Arial" w:cs="Arial"/>
          <w:b/>
          <w:sz w:val="24"/>
          <w:szCs w:val="24"/>
        </w:rPr>
        <w:t xml:space="preserve"> </w:t>
      </w:r>
      <w:r w:rsidRPr="0014109D">
        <w:rPr>
          <w:rFonts w:ascii="Arial" w:hAnsi="Arial" w:cs="Arial"/>
          <w:b/>
          <w:spacing w:val="-1"/>
          <w:sz w:val="24"/>
          <w:szCs w:val="24"/>
        </w:rPr>
        <w:t>instrument</w:t>
      </w:r>
    </w:p>
    <w:p w:rsidR="005B0E3A" w:rsidRDefault="005B0E3A" w:rsidP="005B0E3A">
      <w:pPr>
        <w:spacing w:before="4" w:line="220" w:lineRule="exact"/>
      </w:pPr>
    </w:p>
    <w:p w:rsidR="0014109D" w:rsidRDefault="0014109D" w:rsidP="0014109D">
      <w:pPr>
        <w:pStyle w:val="BodyText"/>
      </w:pPr>
      <w:bookmarkStart w:id="3" w:name="Insert_a_level_3_heading_"/>
      <w:bookmarkEnd w:id="3"/>
      <w:r>
        <w:t xml:space="preserve">The instrument generally allows entities to round the amounts presented in the </w:t>
      </w:r>
      <w:r w:rsidRPr="001A7E0F">
        <w:t xml:space="preserve">Pt 2M.3 </w:t>
      </w:r>
      <w:r w:rsidRPr="00C25A91">
        <w:t>reports</w:t>
      </w:r>
      <w:r>
        <w:t xml:space="preserve"> to at least the nearest thousand dollars. The extent to which rounding is allowed may vary depending on the nature or amount of the item being disclosed.</w:t>
      </w:r>
    </w:p>
    <w:p w:rsidR="000270FF" w:rsidRPr="00D9546D" w:rsidRDefault="000270FF" w:rsidP="0014109D">
      <w:pPr>
        <w:pStyle w:val="BodyText"/>
        <w:rPr>
          <w:i/>
        </w:rPr>
      </w:pPr>
      <w:r>
        <w:t xml:space="preserve">Class Order [CO 98/100] is repealed by Schedule </w:t>
      </w:r>
      <w:r w:rsidR="00CB0FD3">
        <w:t>2</w:t>
      </w:r>
      <w:r>
        <w:t xml:space="preserve"> to the </w:t>
      </w:r>
      <w:r w:rsidRPr="00F5025B">
        <w:rPr>
          <w:i/>
        </w:rPr>
        <w:t>ASIC Corporations (Amendment and Repeal) Instrument 201</w:t>
      </w:r>
      <w:r w:rsidR="00741C0A">
        <w:rPr>
          <w:i/>
        </w:rPr>
        <w:t>6</w:t>
      </w:r>
      <w:r w:rsidRPr="00F5025B">
        <w:rPr>
          <w:i/>
        </w:rPr>
        <w:t>/</w:t>
      </w:r>
      <w:r w:rsidR="00CB0FD3">
        <w:rPr>
          <w:i/>
        </w:rPr>
        <w:t>182</w:t>
      </w:r>
      <w:r>
        <w:t>.</w:t>
      </w:r>
    </w:p>
    <w:p w:rsidR="005B0E3A" w:rsidRDefault="005B0E3A" w:rsidP="005B0E3A">
      <w:pPr>
        <w:spacing w:line="240" w:lineRule="exact"/>
        <w:rPr>
          <w:sz w:val="24"/>
          <w:szCs w:val="24"/>
        </w:rPr>
      </w:pPr>
    </w:p>
    <w:p w:rsidR="005B0E3A" w:rsidRPr="0014109D"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14109D">
        <w:rPr>
          <w:rFonts w:ascii="Arial" w:hAnsi="Arial" w:cs="Arial"/>
          <w:b/>
          <w:spacing w:val="-1"/>
          <w:sz w:val="24"/>
          <w:szCs w:val="24"/>
        </w:rPr>
        <w:t>Operation</w:t>
      </w:r>
      <w:r w:rsidRPr="0014109D">
        <w:rPr>
          <w:rFonts w:ascii="Arial" w:hAnsi="Arial" w:cs="Arial"/>
          <w:b/>
          <w:sz w:val="24"/>
          <w:szCs w:val="24"/>
        </w:rPr>
        <w:t xml:space="preserve"> </w:t>
      </w:r>
      <w:r w:rsidRPr="0014109D">
        <w:rPr>
          <w:rFonts w:ascii="Arial" w:hAnsi="Arial" w:cs="Arial"/>
          <w:b/>
          <w:spacing w:val="-1"/>
          <w:sz w:val="24"/>
          <w:szCs w:val="24"/>
        </w:rPr>
        <w:t>of</w:t>
      </w:r>
      <w:r w:rsidRPr="0014109D">
        <w:rPr>
          <w:rFonts w:ascii="Arial" w:hAnsi="Arial" w:cs="Arial"/>
          <w:b/>
          <w:sz w:val="24"/>
          <w:szCs w:val="24"/>
        </w:rPr>
        <w:t xml:space="preserve"> </w:t>
      </w:r>
      <w:r w:rsidRPr="0014109D">
        <w:rPr>
          <w:rFonts w:ascii="Arial" w:hAnsi="Arial" w:cs="Arial"/>
          <w:b/>
          <w:spacing w:val="-1"/>
          <w:sz w:val="24"/>
          <w:szCs w:val="24"/>
        </w:rPr>
        <w:t>the</w:t>
      </w:r>
      <w:r w:rsidRPr="0014109D">
        <w:rPr>
          <w:rFonts w:ascii="Arial" w:hAnsi="Arial" w:cs="Arial"/>
          <w:b/>
          <w:sz w:val="24"/>
          <w:szCs w:val="24"/>
        </w:rPr>
        <w:t xml:space="preserve"> instrument</w:t>
      </w:r>
    </w:p>
    <w:p w:rsidR="005B0E3A" w:rsidRPr="0014109D" w:rsidRDefault="005B0E3A" w:rsidP="0014109D">
      <w:pPr>
        <w:spacing w:line="260" w:lineRule="auto"/>
        <w:rPr>
          <w:sz w:val="24"/>
          <w:szCs w:val="24"/>
        </w:rPr>
      </w:pPr>
    </w:p>
    <w:p w:rsidR="005B0E3A" w:rsidRDefault="0014109D" w:rsidP="005B0E3A">
      <w:pPr>
        <w:pStyle w:val="BodyText"/>
        <w:spacing w:before="199"/>
      </w:pPr>
      <w:r>
        <w:t>The extent to which amounts can be rounded depends upon both the amount of assets recorded in an entity’s balance sheet or consolidated</w:t>
      </w:r>
      <w:r w:rsidR="00E60E4A">
        <w:t xml:space="preserve"> balance sheet and the nature of the item for which an amount is presented</w:t>
      </w:r>
      <w:r w:rsidR="005B0E3A">
        <w:t>.</w:t>
      </w:r>
    </w:p>
    <w:p w:rsidR="00E60E4A" w:rsidRDefault="00E60E4A" w:rsidP="005B0E3A">
      <w:pPr>
        <w:pStyle w:val="BodyText"/>
        <w:spacing w:before="199"/>
      </w:pPr>
      <w:r>
        <w:t>Where an amount is rounded any comparative amount must be also be rounded. If rounding causes the amount and the comparative amount</w:t>
      </w:r>
      <w:r w:rsidR="000270FF">
        <w:t xml:space="preserve"> of an item</w:t>
      </w:r>
      <w:r>
        <w:t xml:space="preserve"> to become nil, the item need not be disclosed.</w:t>
      </w:r>
    </w:p>
    <w:p w:rsidR="00E60E4A" w:rsidRDefault="00E60E4A" w:rsidP="005B0E3A">
      <w:pPr>
        <w:pStyle w:val="BodyText"/>
        <w:spacing w:before="199"/>
      </w:pPr>
      <w:r>
        <w:t>The instrument applies to reports prepared and lodged for a financial year or half-year.</w:t>
      </w:r>
    </w:p>
    <w:p w:rsidR="00E60E4A" w:rsidRDefault="00E60E4A" w:rsidP="005B0E3A">
      <w:pPr>
        <w:pStyle w:val="BodyText"/>
        <w:spacing w:before="199"/>
      </w:pPr>
      <w:r>
        <w:t>An entity must disclose</w:t>
      </w:r>
      <w:r w:rsidR="000270FF">
        <w:t xml:space="preserve"> in its financial report that the instrument applies and amounts have been rounded in accordance with the instrument. The extent to which amounts have been rounded must be disclosed on each page where rounding has occurred.</w:t>
      </w:r>
    </w:p>
    <w:p w:rsidR="005B0E3A" w:rsidRDefault="005B0E3A" w:rsidP="005B0E3A">
      <w:pPr>
        <w:spacing w:before="1" w:line="120" w:lineRule="exact"/>
        <w:rPr>
          <w:sz w:val="12"/>
          <w:szCs w:val="12"/>
        </w:rPr>
      </w:pPr>
    </w:p>
    <w:p w:rsidR="005B0E3A" w:rsidRDefault="005B0E3A" w:rsidP="005B0E3A">
      <w:pPr>
        <w:spacing w:line="240" w:lineRule="exact"/>
        <w:rPr>
          <w:sz w:val="24"/>
          <w:szCs w:val="24"/>
        </w:rPr>
      </w:pPr>
    </w:p>
    <w:p w:rsidR="005B0E3A" w:rsidRPr="000270F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0270FF">
        <w:rPr>
          <w:rFonts w:ascii="Arial" w:hAnsi="Arial" w:cs="Arial"/>
          <w:b/>
          <w:sz w:val="24"/>
          <w:szCs w:val="24"/>
        </w:rPr>
        <w:t>Consultation</w:t>
      </w:r>
    </w:p>
    <w:p w:rsidR="005B0E3A" w:rsidRDefault="005B0E3A" w:rsidP="005B0E3A">
      <w:pPr>
        <w:spacing w:before="4" w:line="220" w:lineRule="exact"/>
      </w:pPr>
    </w:p>
    <w:p w:rsidR="000270FF" w:rsidRPr="00455D65" w:rsidRDefault="000270FF" w:rsidP="000270FF">
      <w:pPr>
        <w:pStyle w:val="Bodytextplain"/>
        <w:ind w:left="0"/>
        <w:rPr>
          <w:sz w:val="24"/>
          <w:szCs w:val="24"/>
        </w:rPr>
      </w:pPr>
      <w:r w:rsidRPr="00455D65">
        <w:rPr>
          <w:sz w:val="24"/>
          <w:szCs w:val="24"/>
        </w:rPr>
        <w:t>ASIC has consulted with stakeholders through Consultation Paper 240 which was issued on 1 October 2015 and was open for comment to 30 October 2015.</w:t>
      </w:r>
    </w:p>
    <w:p w:rsidR="000270FF" w:rsidRPr="00455D65" w:rsidRDefault="00217C02" w:rsidP="000270FF">
      <w:pPr>
        <w:pStyle w:val="Bodytextplain"/>
        <w:ind w:left="0"/>
        <w:rPr>
          <w:sz w:val="24"/>
          <w:szCs w:val="24"/>
        </w:rPr>
      </w:pPr>
      <w:r>
        <w:rPr>
          <w:sz w:val="24"/>
          <w:szCs w:val="24"/>
        </w:rPr>
        <w:t>The Office of Best Practice Regulation</w:t>
      </w:r>
      <w:r w:rsidRPr="00501AE6">
        <w:rPr>
          <w:sz w:val="24"/>
          <w:szCs w:val="24"/>
        </w:rPr>
        <w:t xml:space="preserve"> has assessed that a Regulatory Impact Statement is not necessary for this instrument</w:t>
      </w:r>
      <w:r>
        <w:rPr>
          <w:sz w:val="24"/>
          <w:szCs w:val="24"/>
        </w:rPr>
        <w:t>.</w:t>
      </w:r>
    </w:p>
    <w:p w:rsidR="005B0E3A" w:rsidRDefault="005B0E3A" w:rsidP="005B0E3A">
      <w:pPr>
        <w:pStyle w:val="Bodytextplain"/>
        <w:ind w:left="0"/>
      </w:pP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0270FF" w:rsidP="000076D6">
                            <w:pPr>
                              <w:spacing w:before="120" w:after="120"/>
                              <w:jc w:val="center"/>
                            </w:pPr>
                            <w:r w:rsidRPr="000270FF">
                              <w:rPr>
                                <w:b/>
                              </w:rPr>
                              <w:t>ASIC Corporations (Rounding in Financial/Directors’ Reports) Instrument 201</w:t>
                            </w:r>
                            <w:r w:rsidR="00741C0A">
                              <w:rPr>
                                <w:b/>
                              </w:rPr>
                              <w:t>6</w:t>
                            </w:r>
                            <w:r w:rsidRPr="000270FF">
                              <w:rPr>
                                <w:b/>
                              </w:rPr>
                              <w:t>/</w:t>
                            </w:r>
                            <w:r w:rsidR="00D17D51">
                              <w:rPr>
                                <w:b/>
                              </w:rPr>
                              <w:t>191</w:t>
                            </w:r>
                          </w:p>
                          <w:p w:rsidR="000076D6" w:rsidRPr="00247F54" w:rsidRDefault="000270FF" w:rsidP="000076D6">
                            <w:pPr>
                              <w:spacing w:before="120" w:after="120"/>
                              <w:jc w:val="center"/>
                            </w:pPr>
                            <w:r w:rsidRPr="00774BAA">
                              <w:rPr>
                                <w:i/>
                              </w:rPr>
                              <w:t>ASIC Corporations (Rounding in Financial/Directors’ Reports) Instrument 201</w:t>
                            </w:r>
                            <w:r w:rsidR="00741C0A">
                              <w:rPr>
                                <w:i/>
                              </w:rPr>
                              <w:t>6</w:t>
                            </w:r>
                            <w:r w:rsidRPr="00774BAA">
                              <w:rPr>
                                <w:i/>
                              </w:rPr>
                              <w:t>/</w:t>
                            </w:r>
                            <w:r w:rsidR="00D17D51">
                              <w:rPr>
                                <w:i/>
                              </w:rPr>
                              <w:t xml:space="preserve">191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FE034E" w:rsidRDefault="00FE034E" w:rsidP="000076D6">
                            <w:pPr>
                              <w:spacing w:before="120" w:after="120"/>
                              <w:jc w:val="both"/>
                            </w:pPr>
                          </w:p>
                          <w:p w:rsidR="000076D6" w:rsidRPr="00247F54" w:rsidRDefault="000076D6" w:rsidP="000076D6">
                            <w:pPr>
                              <w:spacing w:before="120" w:after="120"/>
                              <w:jc w:val="both"/>
                              <w:rPr>
                                <w:b/>
                              </w:rPr>
                            </w:pPr>
                            <w:r w:rsidRPr="00247F54">
                              <w:rPr>
                                <w:b/>
                              </w:rPr>
                              <w:t>Overview</w:t>
                            </w:r>
                          </w:p>
                          <w:p w:rsidR="000076D6" w:rsidRPr="00F640B8" w:rsidRDefault="000270FF" w:rsidP="000076D6">
                            <w:pPr>
                              <w:spacing w:before="120" w:after="120"/>
                            </w:pPr>
                            <w:r>
                              <w:t>The objective of the legislative instrument is to permit entities to round amounts in the financial and directors’ reports.</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0270FF"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0270FF" w:rsidP="000076D6">
                      <w:pPr>
                        <w:spacing w:before="120" w:after="120"/>
                        <w:jc w:val="center"/>
                      </w:pPr>
                      <w:r w:rsidRPr="000270FF">
                        <w:rPr>
                          <w:b/>
                        </w:rPr>
                        <w:t>ASIC Corporations (Rounding in Financial/Directors’ Reports) Instrument 201</w:t>
                      </w:r>
                      <w:r w:rsidR="00741C0A">
                        <w:rPr>
                          <w:b/>
                        </w:rPr>
                        <w:t>6</w:t>
                      </w:r>
                      <w:r w:rsidRPr="000270FF">
                        <w:rPr>
                          <w:b/>
                        </w:rPr>
                        <w:t>/</w:t>
                      </w:r>
                      <w:r w:rsidR="00D17D51">
                        <w:rPr>
                          <w:b/>
                        </w:rPr>
                        <w:t>191</w:t>
                      </w:r>
                    </w:p>
                    <w:p w:rsidR="000076D6" w:rsidRPr="00247F54" w:rsidRDefault="000270FF" w:rsidP="000076D6">
                      <w:pPr>
                        <w:spacing w:before="120" w:after="120"/>
                        <w:jc w:val="center"/>
                      </w:pPr>
                      <w:r w:rsidRPr="00774BAA">
                        <w:rPr>
                          <w:i/>
                        </w:rPr>
                        <w:t>ASIC Corporations (Rounding in Financial/Directors’ Reports) Instrument 201</w:t>
                      </w:r>
                      <w:r w:rsidR="00741C0A">
                        <w:rPr>
                          <w:i/>
                        </w:rPr>
                        <w:t>6</w:t>
                      </w:r>
                      <w:r w:rsidRPr="00774BAA">
                        <w:rPr>
                          <w:i/>
                        </w:rPr>
                        <w:t>/</w:t>
                      </w:r>
                      <w:r w:rsidR="00D17D51">
                        <w:rPr>
                          <w:i/>
                        </w:rPr>
                        <w:t xml:space="preserve">191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FE034E" w:rsidRDefault="00FE034E" w:rsidP="000076D6">
                      <w:pPr>
                        <w:spacing w:before="120" w:after="120"/>
                        <w:jc w:val="both"/>
                      </w:pPr>
                    </w:p>
                    <w:p w:rsidR="000076D6" w:rsidRPr="00247F54" w:rsidRDefault="000076D6" w:rsidP="000076D6">
                      <w:pPr>
                        <w:spacing w:before="120" w:after="120"/>
                        <w:jc w:val="both"/>
                        <w:rPr>
                          <w:b/>
                        </w:rPr>
                      </w:pPr>
                      <w:r w:rsidRPr="00247F54">
                        <w:rPr>
                          <w:b/>
                        </w:rPr>
                        <w:t>Overview</w:t>
                      </w:r>
                    </w:p>
                    <w:p w:rsidR="000076D6" w:rsidRPr="00F640B8" w:rsidRDefault="000270FF" w:rsidP="000076D6">
                      <w:pPr>
                        <w:spacing w:before="120" w:after="120"/>
                      </w:pPr>
                      <w:r>
                        <w:t>The objective of the legislative instrument is to permit entities to round amounts in the financial and directors’ reports.</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0270FF"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8D" w:rsidRDefault="00394B8D">
      <w:pPr>
        <w:spacing w:after="0"/>
      </w:pPr>
      <w:r>
        <w:separator/>
      </w:r>
    </w:p>
  </w:endnote>
  <w:endnote w:type="continuationSeparator" w:id="0">
    <w:p w:rsidR="00394B8D" w:rsidRDefault="00394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394B8D">
    <w:pPr>
      <w:pStyle w:val="Footer"/>
      <w:ind w:right="360"/>
    </w:pPr>
  </w:p>
  <w:p w:rsidR="00C27A4B" w:rsidRDefault="00394B8D"/>
  <w:p w:rsidR="00C27A4B" w:rsidRDefault="00394B8D"/>
  <w:p w:rsidR="00C27A4B" w:rsidRDefault="00394B8D"/>
  <w:p w:rsidR="00C27A4B" w:rsidRDefault="00394B8D"/>
  <w:p w:rsidR="00C27A4B" w:rsidRDefault="00394B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394B8D">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1.95pt;margin-top:-41.4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07E4B92E" wp14:editId="6CA0C804">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94B8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94B8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EF" w:rsidRDefault="00252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8D" w:rsidRDefault="00394B8D">
      <w:pPr>
        <w:spacing w:after="0"/>
      </w:pPr>
      <w:r>
        <w:separator/>
      </w:r>
    </w:p>
  </w:footnote>
  <w:footnote w:type="continuationSeparator" w:id="0">
    <w:p w:rsidR="00394B8D" w:rsidRDefault="00394B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394B8D"/>
  <w:p w:rsidR="00C27A4B" w:rsidRDefault="00394B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4109D">
    <w:pPr>
      <w:pStyle w:val="Footer"/>
      <w:pBdr>
        <w:bottom w:val="single" w:sz="4" w:space="1" w:color="117DC7"/>
      </w:pBdr>
      <w:jc w:val="right"/>
      <w:rPr>
        <w:color w:val="117DC7"/>
      </w:rPr>
    </w:pPr>
    <w:r w:rsidRPr="0014109D">
      <w:t>ASIC Corporations (Rounding in Financial/Directors’ Reports) Instrument 201</w:t>
    </w:r>
    <w:r w:rsidR="00741C0A">
      <w:t>6</w:t>
    </w:r>
    <w:r w:rsidRPr="0014109D">
      <w:t>/</w:t>
    </w:r>
    <w:r w:rsidR="00FE034E">
      <w:t>191</w:t>
    </w:r>
  </w:p>
  <w:p w:rsidR="00C27A4B" w:rsidRDefault="00394B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8D"/>
    <w:rsid w:val="000076D6"/>
    <w:rsid w:val="000270FF"/>
    <w:rsid w:val="000B7D1D"/>
    <w:rsid w:val="000D5EE9"/>
    <w:rsid w:val="0014109D"/>
    <w:rsid w:val="00217C02"/>
    <w:rsid w:val="00252FEF"/>
    <w:rsid w:val="00394B8D"/>
    <w:rsid w:val="00455D65"/>
    <w:rsid w:val="005B0E3A"/>
    <w:rsid w:val="00741C0A"/>
    <w:rsid w:val="00774BAA"/>
    <w:rsid w:val="00A106FA"/>
    <w:rsid w:val="00AC02C2"/>
    <w:rsid w:val="00CB0FD3"/>
    <w:rsid w:val="00D17D51"/>
    <w:rsid w:val="00E60E4A"/>
    <w:rsid w:val="00FE0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21530">
      <w:bodyDiv w:val="1"/>
      <w:marLeft w:val="0"/>
      <w:marRight w:val="0"/>
      <w:marTop w:val="0"/>
      <w:marBottom w:val="0"/>
      <w:divBdr>
        <w:top w:val="none" w:sz="0" w:space="0" w:color="auto"/>
        <w:left w:val="none" w:sz="0" w:space="0" w:color="auto"/>
        <w:bottom w:val="none" w:sz="0" w:space="0" w:color="auto"/>
        <w:right w:val="none" w:sz="0" w:space="0" w:color="auto"/>
      </w:divBdr>
      <w:divsChild>
        <w:div w:id="2016299443">
          <w:marLeft w:val="0"/>
          <w:marRight w:val="0"/>
          <w:marTop w:val="0"/>
          <w:marBottom w:val="0"/>
          <w:divBdr>
            <w:top w:val="none" w:sz="0" w:space="0" w:color="auto"/>
            <w:left w:val="none" w:sz="0" w:space="0" w:color="auto"/>
            <w:bottom w:val="none" w:sz="0" w:space="0" w:color="auto"/>
            <w:right w:val="none" w:sz="0" w:space="0" w:color="auto"/>
          </w:divBdr>
          <w:divsChild>
            <w:div w:id="347489538">
              <w:marLeft w:val="0"/>
              <w:marRight w:val="0"/>
              <w:marTop w:val="0"/>
              <w:marBottom w:val="0"/>
              <w:divBdr>
                <w:top w:val="none" w:sz="0" w:space="0" w:color="auto"/>
                <w:left w:val="none" w:sz="0" w:space="0" w:color="auto"/>
                <w:bottom w:val="none" w:sz="0" w:space="0" w:color="auto"/>
                <w:right w:val="none" w:sz="0" w:space="0" w:color="auto"/>
              </w:divBdr>
              <w:divsChild>
                <w:div w:id="1877963501">
                  <w:marLeft w:val="0"/>
                  <w:marRight w:val="0"/>
                  <w:marTop w:val="0"/>
                  <w:marBottom w:val="0"/>
                  <w:divBdr>
                    <w:top w:val="none" w:sz="0" w:space="0" w:color="auto"/>
                    <w:left w:val="none" w:sz="0" w:space="0" w:color="auto"/>
                    <w:bottom w:val="none" w:sz="0" w:space="0" w:color="auto"/>
                    <w:right w:val="none" w:sz="0" w:space="0" w:color="auto"/>
                  </w:divBdr>
                  <w:divsChild>
                    <w:div w:id="365184585">
                      <w:marLeft w:val="0"/>
                      <w:marRight w:val="0"/>
                      <w:marTop w:val="0"/>
                      <w:marBottom w:val="0"/>
                      <w:divBdr>
                        <w:top w:val="none" w:sz="0" w:space="0" w:color="auto"/>
                        <w:left w:val="none" w:sz="0" w:space="0" w:color="auto"/>
                        <w:bottom w:val="none" w:sz="0" w:space="0" w:color="auto"/>
                        <w:right w:val="none" w:sz="0" w:space="0" w:color="auto"/>
                      </w:divBdr>
                      <w:divsChild>
                        <w:div w:id="328020192">
                          <w:marLeft w:val="0"/>
                          <w:marRight w:val="0"/>
                          <w:marTop w:val="0"/>
                          <w:marBottom w:val="0"/>
                          <w:divBdr>
                            <w:top w:val="none" w:sz="0" w:space="0" w:color="auto"/>
                            <w:left w:val="none" w:sz="0" w:space="0" w:color="auto"/>
                            <w:bottom w:val="none" w:sz="0" w:space="0" w:color="auto"/>
                            <w:right w:val="none" w:sz="0" w:space="0" w:color="auto"/>
                          </w:divBdr>
                          <w:divsChild>
                            <w:div w:id="568157225">
                              <w:marLeft w:val="0"/>
                              <w:marRight w:val="0"/>
                              <w:marTop w:val="0"/>
                              <w:marBottom w:val="0"/>
                              <w:divBdr>
                                <w:top w:val="single" w:sz="6" w:space="0" w:color="828282"/>
                                <w:left w:val="single" w:sz="6" w:space="0" w:color="828282"/>
                                <w:bottom w:val="single" w:sz="6" w:space="0" w:color="828282"/>
                                <w:right w:val="single" w:sz="6" w:space="0" w:color="828282"/>
                              </w:divBdr>
                              <w:divsChild>
                                <w:div w:id="1820607033">
                                  <w:marLeft w:val="0"/>
                                  <w:marRight w:val="0"/>
                                  <w:marTop w:val="0"/>
                                  <w:marBottom w:val="0"/>
                                  <w:divBdr>
                                    <w:top w:val="none" w:sz="0" w:space="0" w:color="auto"/>
                                    <w:left w:val="none" w:sz="0" w:space="0" w:color="auto"/>
                                    <w:bottom w:val="none" w:sz="0" w:space="0" w:color="auto"/>
                                    <w:right w:val="none" w:sz="0" w:space="0" w:color="auto"/>
                                  </w:divBdr>
                                  <w:divsChild>
                                    <w:div w:id="644244450">
                                      <w:marLeft w:val="0"/>
                                      <w:marRight w:val="0"/>
                                      <w:marTop w:val="0"/>
                                      <w:marBottom w:val="0"/>
                                      <w:divBdr>
                                        <w:top w:val="none" w:sz="0" w:space="0" w:color="auto"/>
                                        <w:left w:val="none" w:sz="0" w:space="0" w:color="auto"/>
                                        <w:bottom w:val="none" w:sz="0" w:space="0" w:color="auto"/>
                                        <w:right w:val="none" w:sz="0" w:space="0" w:color="auto"/>
                                      </w:divBdr>
                                      <w:divsChild>
                                        <w:div w:id="1989623336">
                                          <w:marLeft w:val="0"/>
                                          <w:marRight w:val="0"/>
                                          <w:marTop w:val="0"/>
                                          <w:marBottom w:val="0"/>
                                          <w:divBdr>
                                            <w:top w:val="none" w:sz="0" w:space="0" w:color="auto"/>
                                            <w:left w:val="none" w:sz="0" w:space="0" w:color="auto"/>
                                            <w:bottom w:val="none" w:sz="0" w:space="0" w:color="auto"/>
                                            <w:right w:val="none" w:sz="0" w:space="0" w:color="auto"/>
                                          </w:divBdr>
                                          <w:divsChild>
                                            <w:div w:id="1802647325">
                                              <w:marLeft w:val="0"/>
                                              <w:marRight w:val="0"/>
                                              <w:marTop w:val="0"/>
                                              <w:marBottom w:val="0"/>
                                              <w:divBdr>
                                                <w:top w:val="none" w:sz="0" w:space="0" w:color="auto"/>
                                                <w:left w:val="none" w:sz="0" w:space="0" w:color="auto"/>
                                                <w:bottom w:val="none" w:sz="0" w:space="0" w:color="auto"/>
                                                <w:right w:val="none" w:sz="0" w:space="0" w:color="auto"/>
                                              </w:divBdr>
                                              <w:divsChild>
                                                <w:div w:id="1559167182">
                                                  <w:marLeft w:val="0"/>
                                                  <w:marRight w:val="0"/>
                                                  <w:marTop w:val="0"/>
                                                  <w:marBottom w:val="0"/>
                                                  <w:divBdr>
                                                    <w:top w:val="none" w:sz="0" w:space="0" w:color="auto"/>
                                                    <w:left w:val="none" w:sz="0" w:space="0" w:color="auto"/>
                                                    <w:bottom w:val="none" w:sz="0" w:space="0" w:color="auto"/>
                                                    <w:right w:val="none" w:sz="0" w:space="0" w:color="auto"/>
                                                  </w:divBdr>
                                                  <w:divsChild>
                                                    <w:div w:id="258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ESRou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4D82-2925-404C-ACD9-DB722A4E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ESRounding.dotx</Template>
  <TotalTime>1</TotalTime>
  <Pages>3</Pages>
  <Words>591</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Ruki.Weerasinghe</dc:creator>
  <cp:lastModifiedBy>Ruki.Weerasinghe</cp:lastModifiedBy>
  <cp:revision>1</cp:revision>
  <cp:lastPrinted>2016-03-24T02:00:00Z</cp:lastPrinted>
  <dcterms:created xsi:type="dcterms:W3CDTF">2016-03-24T06:06:00Z</dcterms:created>
  <dcterms:modified xsi:type="dcterms:W3CDTF">2016-03-24T06:07:00Z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