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3A" w:rsidRDefault="005B0E3A" w:rsidP="005B0E3A">
      <w:pPr>
        <w:spacing w:before="63" w:line="479" w:lineRule="auto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EXPLANATORY</w:t>
      </w:r>
      <w:r>
        <w:rPr>
          <w:b/>
          <w:color w:val="000000"/>
          <w:spacing w:val="-39"/>
          <w:sz w:val="28"/>
        </w:rPr>
        <w:t xml:space="preserve"> </w:t>
      </w:r>
      <w:r>
        <w:rPr>
          <w:b/>
          <w:color w:val="000000"/>
          <w:spacing w:val="-1"/>
          <w:sz w:val="28"/>
        </w:rPr>
        <w:t xml:space="preserve">STATEMENT for </w:t>
      </w:r>
      <w:r>
        <w:rPr>
          <w:b/>
          <w:color w:val="000000"/>
          <w:spacing w:val="-1"/>
          <w:sz w:val="28"/>
        </w:rPr>
        <w:br/>
      </w:r>
      <w:r w:rsidR="00F7643A">
        <w:rPr>
          <w:b/>
          <w:color w:val="000000"/>
          <w:spacing w:val="-1"/>
          <w:sz w:val="28"/>
        </w:rPr>
        <w:t>ASIC Corporations (Foreign Licensees and ADIs) Instrument 201</w:t>
      </w:r>
      <w:r w:rsidR="000673CA">
        <w:rPr>
          <w:b/>
          <w:color w:val="000000"/>
          <w:spacing w:val="-1"/>
          <w:sz w:val="28"/>
        </w:rPr>
        <w:t>6</w:t>
      </w:r>
      <w:r w:rsidR="00F7643A">
        <w:rPr>
          <w:b/>
          <w:color w:val="000000"/>
          <w:spacing w:val="-1"/>
          <w:sz w:val="28"/>
        </w:rPr>
        <w:t>/</w:t>
      </w:r>
      <w:r w:rsidR="00401E6B">
        <w:rPr>
          <w:b/>
          <w:color w:val="000000"/>
          <w:spacing w:val="-1"/>
          <w:sz w:val="28"/>
        </w:rPr>
        <w:t>186</w:t>
      </w:r>
      <w:r>
        <w:rPr>
          <w:b/>
          <w:color w:val="000000"/>
          <w:spacing w:val="-1"/>
          <w:sz w:val="28"/>
        </w:rPr>
        <w:t xml:space="preserve"> </w:t>
      </w:r>
    </w:p>
    <w:p w:rsidR="005B0E3A" w:rsidRDefault="005B0E3A" w:rsidP="005B0E3A">
      <w:pPr>
        <w:pStyle w:val="BodyText"/>
        <w:jc w:val="center"/>
      </w:pPr>
      <w:r>
        <w:t>Prepared by the Australian Securities and Investments Commission</w:t>
      </w:r>
    </w:p>
    <w:p w:rsidR="005B0E3A" w:rsidRDefault="005B0E3A" w:rsidP="005B0E3A">
      <w:pPr>
        <w:spacing w:before="4" w:line="220" w:lineRule="exact"/>
        <w:jc w:val="center"/>
      </w:pPr>
    </w:p>
    <w:p w:rsidR="005B0E3A" w:rsidRDefault="005B0E3A" w:rsidP="005B0E3A">
      <w:pPr>
        <w:jc w:val="center"/>
        <w:rPr>
          <w:sz w:val="24"/>
          <w:szCs w:val="24"/>
        </w:rPr>
      </w:pPr>
      <w:r>
        <w:rPr>
          <w:i/>
          <w:sz w:val="24"/>
        </w:rPr>
        <w:t>Corporations Act 2001</w:t>
      </w:r>
    </w:p>
    <w:p w:rsidR="00F7643A" w:rsidRDefault="005B0E3A" w:rsidP="005B0E3A">
      <w:pPr>
        <w:pStyle w:val="BodyText"/>
        <w:spacing w:line="261" w:lineRule="auto"/>
        <w:rPr>
          <w:color w:val="000000"/>
          <w:spacing w:val="-1"/>
        </w:rPr>
      </w:pPr>
      <w:r>
        <w:t xml:space="preserve">The Australian Securities and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Commission</w:t>
      </w:r>
      <w:r>
        <w:t xml:space="preserve"> (ASIC) </w:t>
      </w:r>
      <w:r>
        <w:rPr>
          <w:spacing w:val="-1"/>
        </w:rPr>
        <w:t>makes</w:t>
      </w:r>
      <w:r>
        <w:t xml:space="preserve"> </w:t>
      </w:r>
      <w:r w:rsidR="00F7643A" w:rsidRPr="00F7643A">
        <w:rPr>
          <w:i/>
        </w:rPr>
        <w:t>ASIC Corporations (Foreign Licensees and ADIs) Instrument 201</w:t>
      </w:r>
      <w:r w:rsidR="000673CA">
        <w:rPr>
          <w:i/>
        </w:rPr>
        <w:t>6</w:t>
      </w:r>
      <w:r w:rsidR="00F7643A" w:rsidRPr="00F7643A">
        <w:rPr>
          <w:i/>
        </w:rPr>
        <w:t>/</w:t>
      </w:r>
      <w:r w:rsidR="00401E6B">
        <w:rPr>
          <w:i/>
        </w:rPr>
        <w:t>186</w:t>
      </w:r>
      <w:r>
        <w:rPr>
          <w:color w:val="000000"/>
          <w:spacing w:val="-1"/>
        </w:rPr>
        <w:t xml:space="preserve"> </w:t>
      </w:r>
      <w:r w:rsidR="005478AD">
        <w:rPr>
          <w:color w:val="000000"/>
          <w:spacing w:val="-1"/>
        </w:rPr>
        <w:t xml:space="preserve">(the </w:t>
      </w:r>
      <w:r w:rsidR="005478AD" w:rsidRPr="0067013D">
        <w:rPr>
          <w:color w:val="000000"/>
          <w:spacing w:val="-1"/>
        </w:rPr>
        <w:t>Instrument</w:t>
      </w:r>
      <w:r w:rsidR="005478AD">
        <w:rPr>
          <w:color w:val="000000"/>
          <w:spacing w:val="-1"/>
        </w:rPr>
        <w:t>)</w:t>
      </w:r>
      <w:r w:rsidR="005478AD">
        <w:rPr>
          <w:b/>
          <w:i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under </w:t>
      </w:r>
      <w:r w:rsidR="00FA09BE">
        <w:t>paragraphs</w:t>
      </w:r>
      <w:r w:rsidR="00FA09BE" w:rsidRPr="00F7643A">
        <w:t xml:space="preserve"> </w:t>
      </w:r>
      <w:r w:rsidR="00F7643A" w:rsidRPr="00F7643A">
        <w:t>926A(2)</w:t>
      </w:r>
      <w:r w:rsidR="00FA09BE">
        <w:t>(a)</w:t>
      </w:r>
      <w:r w:rsidR="00F7643A" w:rsidRPr="00F7643A">
        <w:t xml:space="preserve"> and 992B(1)</w:t>
      </w:r>
      <w:r w:rsidR="00B04B97">
        <w:t>(a)</w:t>
      </w:r>
      <w:r w:rsidR="00F7643A">
        <w:t xml:space="preserve"> </w:t>
      </w:r>
      <w:r w:rsidR="00F7643A" w:rsidRPr="00F7643A">
        <w:t xml:space="preserve">of </w:t>
      </w:r>
      <w:r w:rsidR="001424A0">
        <w:t xml:space="preserve">the </w:t>
      </w:r>
      <w:r w:rsidR="00F7643A" w:rsidRPr="00F7643A">
        <w:rPr>
          <w:i/>
        </w:rPr>
        <w:t>Corporations Act 2001</w:t>
      </w:r>
      <w:r w:rsidR="00F7643A" w:rsidRPr="00F7643A">
        <w:t xml:space="preserve"> (the Corporations Act)</w:t>
      </w:r>
      <w:r>
        <w:rPr>
          <w:color w:val="000000"/>
          <w:spacing w:val="-1"/>
        </w:rPr>
        <w:t xml:space="preserve">. </w:t>
      </w:r>
    </w:p>
    <w:p w:rsidR="00F7643A" w:rsidRPr="0014109D" w:rsidRDefault="00FA09BE" w:rsidP="00F7643A">
      <w:pPr>
        <w:pStyle w:val="BodyText"/>
        <w:spacing w:line="261" w:lineRule="auto"/>
        <w:rPr>
          <w:lang w:val="en-US"/>
        </w:rPr>
      </w:pPr>
      <w:r>
        <w:t>Paragraph</w:t>
      </w:r>
      <w:r w:rsidRPr="0014109D">
        <w:t xml:space="preserve"> </w:t>
      </w:r>
      <w:r w:rsidR="00F7643A">
        <w:t>926A(2)</w:t>
      </w:r>
      <w:r>
        <w:t>(a)</w:t>
      </w:r>
      <w:r w:rsidR="00F7643A" w:rsidRPr="0014109D">
        <w:t xml:space="preserve"> provides that ASIC may </w:t>
      </w:r>
      <w:r>
        <w:t xml:space="preserve">exempt a person or class of persons from all or specified provisions of Part 7.6 (other than Divisions 4 </w:t>
      </w:r>
      <w:r w:rsidR="0067013D">
        <w:t>and 8) of the Corporations Act.</w:t>
      </w:r>
    </w:p>
    <w:p w:rsidR="00F7643A" w:rsidRPr="0014109D" w:rsidRDefault="00B04B97" w:rsidP="00F7643A">
      <w:pPr>
        <w:pStyle w:val="BodyText"/>
        <w:spacing w:line="261" w:lineRule="auto"/>
        <w:rPr>
          <w:lang w:val="en-US"/>
        </w:rPr>
      </w:pPr>
      <w:r>
        <w:t>Paragraph</w:t>
      </w:r>
      <w:r w:rsidRPr="0014109D">
        <w:t xml:space="preserve"> </w:t>
      </w:r>
      <w:r w:rsidR="00F7643A">
        <w:t>992B</w:t>
      </w:r>
      <w:r w:rsidR="00F7643A" w:rsidRPr="0014109D">
        <w:t>(1)</w:t>
      </w:r>
      <w:r>
        <w:t>(a)</w:t>
      </w:r>
      <w:r w:rsidR="00F7643A" w:rsidRPr="0014109D">
        <w:t xml:space="preserve"> provides that ASIC may </w:t>
      </w:r>
      <w:r>
        <w:t xml:space="preserve">exempt a person or class of persons from all or specified provisions of </w:t>
      </w:r>
      <w:r w:rsidR="00F7643A" w:rsidRPr="0014109D">
        <w:t xml:space="preserve"> Part 7.</w:t>
      </w:r>
      <w:r w:rsidR="00F7643A">
        <w:t>8</w:t>
      </w:r>
      <w:r w:rsidR="00F7643A" w:rsidRPr="0014109D">
        <w:t xml:space="preserve"> of the </w:t>
      </w:r>
      <w:r>
        <w:t xml:space="preserve">Corporations </w:t>
      </w:r>
      <w:r w:rsidR="00F7643A" w:rsidRPr="0014109D">
        <w:t>Act</w:t>
      </w:r>
      <w:r>
        <w:t>.</w:t>
      </w:r>
      <w:r w:rsidR="00F7643A" w:rsidRPr="0014109D">
        <w:t xml:space="preserve"> </w:t>
      </w:r>
    </w:p>
    <w:p w:rsidR="005B0E3A" w:rsidRDefault="005B0E3A" w:rsidP="005B0E3A">
      <w:pPr>
        <w:spacing w:before="6" w:line="220" w:lineRule="exact"/>
      </w:pPr>
    </w:p>
    <w:p w:rsidR="005B0E3A" w:rsidRDefault="00F7643A" w:rsidP="005B0E3A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 w:eastAsia="Arial" w:hAnsi="Arial" w:cs="Arial"/>
          <w:sz w:val="24"/>
          <w:szCs w:val="24"/>
        </w:rPr>
      </w:pPr>
      <w:bookmarkStart w:id="0" w:name="1._Background"/>
      <w:bookmarkEnd w:id="0"/>
      <w:r>
        <w:rPr>
          <w:rFonts w:ascii="Arial"/>
          <w:b/>
          <w:spacing w:val="-1"/>
          <w:sz w:val="24"/>
        </w:rPr>
        <w:t>B</w:t>
      </w:r>
      <w:r w:rsidR="005B0E3A">
        <w:rPr>
          <w:rFonts w:ascii="Arial"/>
          <w:b/>
          <w:spacing w:val="-1"/>
          <w:sz w:val="24"/>
        </w:rPr>
        <w:t>ackground</w:t>
      </w:r>
    </w:p>
    <w:p w:rsidR="00F7643A" w:rsidRPr="00913E93" w:rsidRDefault="00F7643A" w:rsidP="00C626AB">
      <w:pPr>
        <w:pStyle w:val="BodyText"/>
        <w:tabs>
          <w:tab w:val="clear" w:pos="567"/>
          <w:tab w:val="clear" w:pos="680"/>
        </w:tabs>
        <w:overflowPunct/>
        <w:autoSpaceDE/>
        <w:autoSpaceDN/>
        <w:adjustRightInd/>
        <w:spacing w:before="160"/>
        <w:textAlignment w:val="auto"/>
      </w:pPr>
      <w:r>
        <w:rPr>
          <w:lang w:val="en-US"/>
        </w:rPr>
        <w:t>Division 6 of P</w:t>
      </w:r>
      <w:r w:rsidR="00936F36">
        <w:rPr>
          <w:lang w:val="en-US"/>
        </w:rPr>
        <w:t>ar</w:t>
      </w:r>
      <w:r>
        <w:rPr>
          <w:lang w:val="en-US"/>
        </w:rPr>
        <w:t xml:space="preserve">t 7.8 of the Corporations Act requires Australian </w:t>
      </w:r>
      <w:r w:rsidRPr="00D913BF">
        <w:rPr>
          <w:lang w:val="en-US"/>
        </w:rPr>
        <w:t xml:space="preserve">financial services </w:t>
      </w:r>
      <w:r>
        <w:rPr>
          <w:lang w:val="en-US"/>
        </w:rPr>
        <w:t xml:space="preserve">(AFS) </w:t>
      </w:r>
      <w:r w:rsidRPr="00D913BF">
        <w:rPr>
          <w:lang w:val="en-US"/>
        </w:rPr>
        <w:t>licensee</w:t>
      </w:r>
      <w:r>
        <w:rPr>
          <w:lang w:val="en-US"/>
        </w:rPr>
        <w:t>s</w:t>
      </w:r>
      <w:r w:rsidRPr="00D913BF">
        <w:rPr>
          <w:lang w:val="en-US"/>
        </w:rPr>
        <w:t xml:space="preserve"> to</w:t>
      </w:r>
      <w:r w:rsidR="003C3A52">
        <w:rPr>
          <w:lang w:val="en-US"/>
        </w:rPr>
        <w:t xml:space="preserve"> </w:t>
      </w:r>
      <w:r w:rsidRPr="00E24506">
        <w:rPr>
          <w:szCs w:val="24"/>
          <w:lang w:val="en-US"/>
        </w:rPr>
        <w:t>prepare and lodge a</w:t>
      </w:r>
      <w:r w:rsidR="003C3A52">
        <w:rPr>
          <w:szCs w:val="24"/>
          <w:lang w:val="en-US"/>
        </w:rPr>
        <w:t xml:space="preserve">udited financial statements and to </w:t>
      </w:r>
      <w:r w:rsidRPr="00E24506">
        <w:rPr>
          <w:szCs w:val="24"/>
          <w:lang w:val="en-US"/>
        </w:rPr>
        <w:t>keep financial records in relation to their financial services businesses.</w:t>
      </w:r>
      <w:r w:rsidRPr="00D913BF">
        <w:rPr>
          <w:lang w:val="en-US"/>
        </w:rPr>
        <w:t xml:space="preserve"> These obligations apply to </w:t>
      </w:r>
      <w:r>
        <w:rPr>
          <w:lang w:val="en-US"/>
        </w:rPr>
        <w:t xml:space="preserve">all AFS </w:t>
      </w:r>
      <w:r w:rsidRPr="00D913BF">
        <w:rPr>
          <w:lang w:val="en-US"/>
        </w:rPr>
        <w:t xml:space="preserve">licensees </w:t>
      </w:r>
      <w:r>
        <w:rPr>
          <w:lang w:val="en-US"/>
        </w:rPr>
        <w:t>regardless of where they are</w:t>
      </w:r>
      <w:r w:rsidRPr="00D913BF">
        <w:rPr>
          <w:lang w:val="en-US"/>
        </w:rPr>
        <w:t xml:space="preserve"> incorporated</w:t>
      </w:r>
      <w:r>
        <w:rPr>
          <w:lang w:val="en-US"/>
        </w:rPr>
        <w:t xml:space="preserve"> or where they carry on their business</w:t>
      </w:r>
      <w:r w:rsidR="0067013D">
        <w:rPr>
          <w:lang w:val="en-US"/>
        </w:rPr>
        <w:t>es</w:t>
      </w:r>
      <w:r>
        <w:rPr>
          <w:lang w:val="en-US"/>
        </w:rPr>
        <w:t>.</w:t>
      </w:r>
    </w:p>
    <w:p w:rsidR="00913E93" w:rsidRDefault="00913E93" w:rsidP="00913E93">
      <w:pPr>
        <w:pStyle w:val="BodyText"/>
        <w:tabs>
          <w:tab w:val="clear" w:pos="567"/>
          <w:tab w:val="clear" w:pos="680"/>
        </w:tabs>
        <w:overflowPunct/>
        <w:autoSpaceDE/>
        <w:autoSpaceDN/>
        <w:adjustRightInd/>
        <w:textAlignment w:val="auto"/>
      </w:pPr>
      <w:r>
        <w:t xml:space="preserve">In 2003 ASIC issued Class Order [CO 03/823] </w:t>
      </w:r>
      <w:r>
        <w:rPr>
          <w:i/>
        </w:rPr>
        <w:t>Relief from licensing, accounting and audit requirements for foreign authorised deposit-taking institutions</w:t>
      </w:r>
      <w:r>
        <w:t xml:space="preserve"> to exempt foreign licensees that are ADIs from certain obligations in Division 6 of Part 7.8.</w:t>
      </w:r>
      <w:r w:rsidRPr="00913E93">
        <w:t xml:space="preserve"> </w:t>
      </w:r>
      <w:r>
        <w:t xml:space="preserve">In 2006 ASIC issued Class Order [CO 06/68] </w:t>
      </w:r>
      <w:r>
        <w:rPr>
          <w:i/>
        </w:rPr>
        <w:t>Conditional relief for foreign licensees from financial reporting and record keeping obligations</w:t>
      </w:r>
      <w:r>
        <w:t xml:space="preserve"> to exempt foreign licensees that are not ADIs </w:t>
      </w:r>
      <w:r w:rsidR="009D1F85">
        <w:t>from similar obligations.</w:t>
      </w:r>
    </w:p>
    <w:p w:rsidR="00913E93" w:rsidRDefault="00131FFD" w:rsidP="009D1F85">
      <w:pPr>
        <w:pStyle w:val="BodyText"/>
        <w:tabs>
          <w:tab w:val="clear" w:pos="567"/>
          <w:tab w:val="clear" w:pos="680"/>
        </w:tabs>
        <w:overflowPunct/>
        <w:autoSpaceDE/>
        <w:autoSpaceDN/>
        <w:adjustRightInd/>
        <w:spacing w:before="160"/>
        <w:textAlignment w:val="auto"/>
      </w:pPr>
      <w:r>
        <w:rPr>
          <w:lang w:val="en-US"/>
        </w:rPr>
        <w:t xml:space="preserve">The </w:t>
      </w:r>
      <w:r w:rsidR="007808AC">
        <w:rPr>
          <w:lang w:val="en-US"/>
        </w:rPr>
        <w:t xml:space="preserve">Australian </w:t>
      </w:r>
      <w:r w:rsidRPr="003C3A52">
        <w:rPr>
          <w:color w:val="000000"/>
          <w:szCs w:val="22"/>
        </w:rPr>
        <w:t xml:space="preserve">financial services regulatory regime, as a general rule, does not require persons transacting on their own behalf to hold an AFS licence. However, persons who carry out </w:t>
      </w:r>
      <w:r w:rsidR="009D1F85">
        <w:rPr>
          <w:color w:val="000000"/>
          <w:szCs w:val="22"/>
        </w:rPr>
        <w:t>particular</w:t>
      </w:r>
      <w:r w:rsidRPr="003C3A52">
        <w:rPr>
          <w:color w:val="000000"/>
          <w:szCs w:val="22"/>
        </w:rPr>
        <w:t xml:space="preserve"> dealings in derivatives or foreign exchange contracts</w:t>
      </w:r>
      <w:r w:rsidR="009D1F85">
        <w:rPr>
          <w:color w:val="000000"/>
          <w:szCs w:val="22"/>
        </w:rPr>
        <w:t xml:space="preserve"> cannot rely on this exemption.</w:t>
      </w:r>
      <w:r w:rsidR="009D1F85">
        <w:t xml:space="preserve"> </w:t>
      </w:r>
      <w:r w:rsidR="007808AC">
        <w:t xml:space="preserve">[CO 03/823] </w:t>
      </w:r>
      <w:r>
        <w:t>exempts foreign licensees that are ADIs</w:t>
      </w:r>
      <w:r w:rsidR="00913E93">
        <w:t xml:space="preserve"> from AFS licensing requirements in relation to </w:t>
      </w:r>
      <w:r w:rsidR="009D1F85">
        <w:t>such dealings</w:t>
      </w:r>
      <w:r w:rsidR="00913E93">
        <w:t>.</w:t>
      </w:r>
    </w:p>
    <w:p w:rsidR="009D1F85" w:rsidRPr="0067013D" w:rsidRDefault="00426B31" w:rsidP="0067013D">
      <w:pPr>
        <w:pStyle w:val="BodyText"/>
        <w:tabs>
          <w:tab w:val="clear" w:pos="567"/>
          <w:tab w:val="clear" w:pos="680"/>
        </w:tabs>
        <w:overflowPunct/>
        <w:autoSpaceDE/>
        <w:autoSpaceDN/>
        <w:adjustRightInd/>
        <w:spacing w:after="240"/>
        <w:textAlignment w:val="auto"/>
      </w:pPr>
      <w:r>
        <w:t>[CO 03/823] will sunset on 1 April 2017 and [CO 06/68] will sunset on 1 April 2016.</w:t>
      </w:r>
    </w:p>
    <w:p w:rsidR="005B0E3A" w:rsidRPr="00936F36" w:rsidRDefault="005B0E3A" w:rsidP="005B0E3A">
      <w:pPr>
        <w:pStyle w:val="Heading3"/>
        <w:keepNext w:val="0"/>
        <w:widowControl w:val="0"/>
        <w:numPr>
          <w:ilvl w:val="0"/>
          <w:numId w:val="7"/>
        </w:numPr>
        <w:tabs>
          <w:tab w:val="left" w:pos="1592"/>
        </w:tabs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1" w:name="2._Purpose_of_the_class_order_"/>
      <w:bookmarkEnd w:id="1"/>
      <w:r w:rsidRPr="00936F36">
        <w:rPr>
          <w:rFonts w:ascii="Arial" w:hAnsi="Arial" w:cs="Arial"/>
          <w:b/>
          <w:spacing w:val="-1"/>
          <w:sz w:val="24"/>
          <w:szCs w:val="24"/>
        </w:rPr>
        <w:t>Purpose</w:t>
      </w:r>
      <w:r w:rsidRPr="00936F36">
        <w:rPr>
          <w:rFonts w:ascii="Arial" w:hAnsi="Arial" w:cs="Arial"/>
          <w:b/>
          <w:sz w:val="24"/>
          <w:szCs w:val="24"/>
        </w:rPr>
        <w:t xml:space="preserve"> of </w:t>
      </w:r>
      <w:r w:rsidRPr="00936F36">
        <w:rPr>
          <w:rFonts w:ascii="Arial" w:hAnsi="Arial" w:cs="Arial"/>
          <w:b/>
          <w:spacing w:val="-1"/>
          <w:sz w:val="24"/>
          <w:szCs w:val="24"/>
        </w:rPr>
        <w:t>the</w:t>
      </w:r>
      <w:r w:rsidRPr="00936F36">
        <w:rPr>
          <w:rFonts w:ascii="Arial" w:hAnsi="Arial" w:cs="Arial"/>
          <w:b/>
          <w:sz w:val="24"/>
          <w:szCs w:val="24"/>
        </w:rPr>
        <w:t xml:space="preserve"> </w:t>
      </w:r>
      <w:r w:rsidRPr="00936F36">
        <w:rPr>
          <w:rFonts w:ascii="Arial" w:hAnsi="Arial" w:cs="Arial"/>
          <w:b/>
          <w:spacing w:val="-1"/>
          <w:sz w:val="24"/>
          <w:szCs w:val="24"/>
        </w:rPr>
        <w:t>instrument</w:t>
      </w:r>
    </w:p>
    <w:p w:rsidR="00B5086E" w:rsidRDefault="0017412B" w:rsidP="00936F36">
      <w:pPr>
        <w:pStyle w:val="BodyText"/>
      </w:pPr>
      <w:bookmarkStart w:id="2" w:name="Insert_a_level_3_heading_"/>
      <w:bookmarkEnd w:id="2"/>
      <w:r>
        <w:t>ASIC has issued the Instrument in order to continue the relief provided by [CO 03/823] and [CO 06/68].</w:t>
      </w:r>
    </w:p>
    <w:p w:rsidR="00BE3D0D" w:rsidRDefault="00BE3D0D" w:rsidP="00BE3D0D">
      <w:pPr>
        <w:pStyle w:val="BodyText"/>
        <w:tabs>
          <w:tab w:val="clear" w:pos="567"/>
          <w:tab w:val="clear" w:pos="680"/>
        </w:tabs>
        <w:overflowPunct/>
        <w:autoSpaceDE/>
        <w:autoSpaceDN/>
        <w:adjustRightInd/>
        <w:spacing w:before="160"/>
        <w:textAlignment w:val="auto"/>
      </w:pPr>
      <w:r>
        <w:t>The relief in [CO 03/823] and [CO 06/68] was g</w:t>
      </w:r>
      <w:r w:rsidR="005478AD">
        <w:t>iven</w:t>
      </w:r>
      <w:r w:rsidR="009D1F85">
        <w:t xml:space="preserve"> on the basis that the</w:t>
      </w:r>
      <w:r>
        <w:t xml:space="preserve"> </w:t>
      </w:r>
      <w:r w:rsidRPr="001625D8">
        <w:t>obligations</w:t>
      </w:r>
      <w:r w:rsidR="009D1F85">
        <w:t xml:space="preserve"> in question</w:t>
      </w:r>
      <w:r w:rsidRPr="001625D8">
        <w:t xml:space="preserve"> can be dispropor</w:t>
      </w:r>
      <w:r w:rsidRPr="0015194B">
        <w:t xml:space="preserve">tionately burdensome for some </w:t>
      </w:r>
      <w:r w:rsidRPr="001625D8">
        <w:t xml:space="preserve">foreign entities that hold </w:t>
      </w:r>
      <w:r w:rsidR="009D1F85">
        <w:t>AFS licences – in particular</w:t>
      </w:r>
      <w:r>
        <w:t>:</w:t>
      </w:r>
    </w:p>
    <w:p w:rsidR="00BE3D0D" w:rsidRPr="00E24506" w:rsidRDefault="009D1F85" w:rsidP="005478AD">
      <w:pPr>
        <w:pStyle w:val="subparaa"/>
        <w:numPr>
          <w:ilvl w:val="0"/>
          <w:numId w:val="2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BE3D0D" w:rsidRPr="00E24506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financial reporting and record keeping </w:t>
      </w:r>
      <w:r w:rsidR="00BE3D0D" w:rsidRPr="00E24506">
        <w:rPr>
          <w:sz w:val="24"/>
          <w:szCs w:val="24"/>
        </w:rPr>
        <w:t>obligations apply to the whole of a foreign company, and not just their operations in Australia (which are often a relatively sm</w:t>
      </w:r>
      <w:r w:rsidR="000B57CE">
        <w:rPr>
          <w:sz w:val="24"/>
          <w:szCs w:val="24"/>
        </w:rPr>
        <w:t>all part of their business).</w:t>
      </w:r>
    </w:p>
    <w:p w:rsidR="00BE3D0D" w:rsidRDefault="00BE3D0D" w:rsidP="000B57CE">
      <w:pPr>
        <w:pStyle w:val="subparaa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E24506">
        <w:rPr>
          <w:sz w:val="24"/>
          <w:szCs w:val="24"/>
        </w:rPr>
        <w:t xml:space="preserve">ASIC already has access to financial information about registered foreign companies operating </w:t>
      </w:r>
      <w:r>
        <w:rPr>
          <w:sz w:val="24"/>
          <w:szCs w:val="24"/>
        </w:rPr>
        <w:t xml:space="preserve">as foreign licensees </w:t>
      </w:r>
      <w:r w:rsidRPr="00E24506">
        <w:rPr>
          <w:sz w:val="24"/>
          <w:szCs w:val="24"/>
        </w:rPr>
        <w:t xml:space="preserve">in Australia. Under subsection 601CK(1) of the </w:t>
      </w:r>
      <w:r w:rsidRPr="00E24506">
        <w:rPr>
          <w:sz w:val="24"/>
          <w:szCs w:val="24"/>
          <w:lang w:val="en-US"/>
        </w:rPr>
        <w:t>Corporations Act</w:t>
      </w:r>
      <w:r w:rsidRPr="00E24506">
        <w:rPr>
          <w:sz w:val="24"/>
          <w:szCs w:val="24"/>
        </w:rPr>
        <w:t>, foreign companies must lodge financial statements with ASIC in the form required by the laws of the forei</w:t>
      </w:r>
      <w:r w:rsidR="005478AD">
        <w:rPr>
          <w:sz w:val="24"/>
          <w:szCs w:val="24"/>
        </w:rPr>
        <w:t>gn licensee’s home jurisdiction.</w:t>
      </w:r>
    </w:p>
    <w:p w:rsidR="005478AD" w:rsidRPr="000B57CE" w:rsidRDefault="000B57CE" w:rsidP="000B57CE">
      <w:pPr>
        <w:pStyle w:val="subparaa"/>
        <w:numPr>
          <w:ilvl w:val="0"/>
          <w:numId w:val="21"/>
        </w:numPr>
        <w:spacing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5478AD" w:rsidRPr="000B57CE">
        <w:rPr>
          <w:sz w:val="24"/>
          <w:szCs w:val="24"/>
        </w:rPr>
        <w:t>some entities, the sole reason for needing an AFS licence may be to carry out certain dealings in derivatives or foreign exchange contracts on their own behalf</w:t>
      </w:r>
      <w:r>
        <w:rPr>
          <w:sz w:val="24"/>
          <w:szCs w:val="24"/>
        </w:rPr>
        <w:t>.</w:t>
      </w:r>
    </w:p>
    <w:p w:rsidR="00B5086E" w:rsidRDefault="00B5086E" w:rsidP="00B5086E">
      <w:pPr>
        <w:pStyle w:val="subparaa"/>
        <w:tabs>
          <w:tab w:val="clear" w:pos="2693"/>
        </w:tabs>
        <w:spacing w:after="240"/>
        <w:ind w:left="0" w:firstLine="0"/>
        <w:rPr>
          <w:sz w:val="24"/>
          <w:szCs w:val="24"/>
        </w:rPr>
      </w:pPr>
      <w:r w:rsidRPr="00B5086E">
        <w:rPr>
          <w:sz w:val="24"/>
          <w:szCs w:val="24"/>
        </w:rPr>
        <w:t>The content of [CO 03/823] and [CO 06/</w:t>
      </w:r>
      <w:r w:rsidR="0067013D">
        <w:rPr>
          <w:sz w:val="24"/>
          <w:szCs w:val="24"/>
        </w:rPr>
        <w:t xml:space="preserve">68] has been merged </w:t>
      </w:r>
      <w:r w:rsidRPr="00B5086E">
        <w:rPr>
          <w:sz w:val="24"/>
          <w:szCs w:val="24"/>
        </w:rPr>
        <w:t xml:space="preserve">in order to remove unnecessary regulatory duplication. </w:t>
      </w:r>
    </w:p>
    <w:p w:rsidR="00264100" w:rsidRPr="00B5086E" w:rsidRDefault="00264100" w:rsidP="00B5086E">
      <w:pPr>
        <w:pStyle w:val="subparaa"/>
        <w:tabs>
          <w:tab w:val="clear" w:pos="2693"/>
        </w:tabs>
        <w:spacing w:after="240"/>
        <w:ind w:left="0" w:firstLine="0"/>
        <w:rPr>
          <w:sz w:val="24"/>
          <w:szCs w:val="24"/>
        </w:rPr>
      </w:pPr>
      <w:r>
        <w:t xml:space="preserve">Class Orders [CO 03/823] and [CO 06/68] are repealed by Schedule </w:t>
      </w:r>
      <w:r w:rsidR="00F77516">
        <w:t>2</w:t>
      </w:r>
      <w:r>
        <w:t xml:space="preserve"> to the </w:t>
      </w:r>
      <w:r w:rsidRPr="00F5025B">
        <w:rPr>
          <w:i/>
        </w:rPr>
        <w:t>ASIC Corporations (Amendment and Repeal) Instrument 201</w:t>
      </w:r>
      <w:r>
        <w:rPr>
          <w:i/>
        </w:rPr>
        <w:t>6</w:t>
      </w:r>
      <w:r w:rsidRPr="00F5025B">
        <w:rPr>
          <w:i/>
        </w:rPr>
        <w:t>/</w:t>
      </w:r>
      <w:r w:rsidR="00F77516">
        <w:rPr>
          <w:i/>
        </w:rPr>
        <w:t>182</w:t>
      </w:r>
      <w:bookmarkStart w:id="3" w:name="_GoBack"/>
      <w:bookmarkEnd w:id="3"/>
      <w:r>
        <w:t>.</w:t>
      </w:r>
    </w:p>
    <w:p w:rsidR="005B0E3A" w:rsidRPr="00936F36" w:rsidRDefault="005B0E3A" w:rsidP="005B0E3A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4" w:name="3._Operation_of_the_class_order_"/>
      <w:bookmarkEnd w:id="4"/>
      <w:r w:rsidRPr="00936F36">
        <w:rPr>
          <w:rFonts w:ascii="Arial" w:hAnsi="Arial" w:cs="Arial"/>
          <w:b/>
          <w:spacing w:val="-1"/>
          <w:sz w:val="24"/>
          <w:szCs w:val="24"/>
        </w:rPr>
        <w:t>Operation</w:t>
      </w:r>
      <w:r w:rsidRPr="00936F36">
        <w:rPr>
          <w:rFonts w:ascii="Arial" w:hAnsi="Arial" w:cs="Arial"/>
          <w:b/>
          <w:sz w:val="24"/>
          <w:szCs w:val="24"/>
        </w:rPr>
        <w:t xml:space="preserve"> </w:t>
      </w:r>
      <w:r w:rsidRPr="00936F36">
        <w:rPr>
          <w:rFonts w:ascii="Arial" w:hAnsi="Arial" w:cs="Arial"/>
          <w:b/>
          <w:spacing w:val="-1"/>
          <w:sz w:val="24"/>
          <w:szCs w:val="24"/>
        </w:rPr>
        <w:t>of</w:t>
      </w:r>
      <w:r w:rsidRPr="00936F36">
        <w:rPr>
          <w:rFonts w:ascii="Arial" w:hAnsi="Arial" w:cs="Arial"/>
          <w:b/>
          <w:sz w:val="24"/>
          <w:szCs w:val="24"/>
        </w:rPr>
        <w:t xml:space="preserve"> </w:t>
      </w:r>
      <w:r w:rsidRPr="00936F36">
        <w:rPr>
          <w:rFonts w:ascii="Arial" w:hAnsi="Arial" w:cs="Arial"/>
          <w:b/>
          <w:spacing w:val="-1"/>
          <w:sz w:val="24"/>
          <w:szCs w:val="24"/>
        </w:rPr>
        <w:t>the</w:t>
      </w:r>
      <w:r w:rsidRPr="00936F36">
        <w:rPr>
          <w:rFonts w:ascii="Arial" w:hAnsi="Arial" w:cs="Arial"/>
          <w:b/>
          <w:sz w:val="24"/>
          <w:szCs w:val="24"/>
        </w:rPr>
        <w:t xml:space="preserve"> instrument</w:t>
      </w:r>
    </w:p>
    <w:p w:rsidR="000B57CE" w:rsidRDefault="00E54CA0" w:rsidP="00E54CA0">
      <w:pPr>
        <w:pStyle w:val="BodyText"/>
        <w:spacing w:before="199"/>
      </w:pPr>
      <w:r>
        <w:t>The Instrument operates in substantially the same way</w:t>
      </w:r>
      <w:r w:rsidR="000B57CE">
        <w:t xml:space="preserve"> as [CO 03/823] and [CO 06/68].</w:t>
      </w:r>
    </w:p>
    <w:p w:rsidR="0067013D" w:rsidRDefault="00C948A7" w:rsidP="00C948A7">
      <w:pPr>
        <w:pStyle w:val="BodyText"/>
        <w:tabs>
          <w:tab w:val="clear" w:pos="680"/>
          <w:tab w:val="left" w:pos="426"/>
        </w:tabs>
        <w:spacing w:before="199"/>
      </w:pPr>
      <w:r>
        <w:t xml:space="preserve">A foreign licensee seeking to rely on the financial reporting and record keeping relief in the Instrument must lodge with ASIC at least once every calendar year a </w:t>
      </w:r>
      <w:r w:rsidRPr="0067013D">
        <w:t>certified copy</w:t>
      </w:r>
      <w:r>
        <w:t xml:space="preserve"> of its balance sheet, cash flow statements and profit and loss statement</w:t>
      </w:r>
      <w:r w:rsidR="0067013D">
        <w:t xml:space="preserve"> together with a certified copy of a document setting out the views of the licensee’s auditor about the documents </w:t>
      </w:r>
      <w:r w:rsidR="000B57CE">
        <w:t>– as required to be prepared by the laws of the foreign licensee’s home jurisdiction</w:t>
      </w:r>
      <w:r w:rsidR="0067013D">
        <w:t>.</w:t>
      </w:r>
    </w:p>
    <w:p w:rsidR="000B57CE" w:rsidRDefault="000B57CE" w:rsidP="0067013D">
      <w:pPr>
        <w:pStyle w:val="BodyText"/>
        <w:tabs>
          <w:tab w:val="clear" w:pos="680"/>
          <w:tab w:val="left" w:pos="426"/>
        </w:tabs>
        <w:spacing w:before="199"/>
      </w:pPr>
      <w:r>
        <w:t xml:space="preserve">The relief </w:t>
      </w:r>
      <w:r w:rsidR="0067013D">
        <w:t xml:space="preserve">relating to dealings in derivatives and foreign exchange contracts </w:t>
      </w:r>
      <w:r>
        <w:t>is only available where:</w:t>
      </w:r>
    </w:p>
    <w:p w:rsidR="0067013D" w:rsidRDefault="0067013D" w:rsidP="00C23AAA">
      <w:pPr>
        <w:pStyle w:val="BodyText"/>
        <w:numPr>
          <w:ilvl w:val="0"/>
          <w:numId w:val="34"/>
        </w:numPr>
        <w:tabs>
          <w:tab w:val="clear" w:pos="680"/>
          <w:tab w:val="left" w:pos="426"/>
        </w:tabs>
        <w:spacing w:before="199"/>
        <w:ind w:left="426" w:hanging="426"/>
      </w:pPr>
      <w:r>
        <w:t>The financial service consists only of dealing in derivatives and/or foreign exchange contracts;</w:t>
      </w:r>
    </w:p>
    <w:p w:rsidR="00C23AAA" w:rsidRDefault="00C23AAA" w:rsidP="00C23AAA">
      <w:pPr>
        <w:pStyle w:val="BodyText"/>
        <w:numPr>
          <w:ilvl w:val="0"/>
          <w:numId w:val="34"/>
        </w:numPr>
        <w:tabs>
          <w:tab w:val="clear" w:pos="680"/>
          <w:tab w:val="left" w:pos="426"/>
        </w:tabs>
        <w:spacing w:before="199"/>
        <w:ind w:left="426" w:hanging="426"/>
      </w:pPr>
      <w:r>
        <w:t xml:space="preserve">the </w:t>
      </w:r>
      <w:r w:rsidR="0067013D">
        <w:t xml:space="preserve">financial </w:t>
      </w:r>
      <w:r>
        <w:t>service does not involve the making of a market for derivatives or foreign exchange contracts;</w:t>
      </w:r>
    </w:p>
    <w:p w:rsidR="00C23AAA" w:rsidRDefault="00C23AAA" w:rsidP="00C23AAA">
      <w:pPr>
        <w:pStyle w:val="BodyText"/>
        <w:numPr>
          <w:ilvl w:val="0"/>
          <w:numId w:val="34"/>
        </w:numPr>
        <w:tabs>
          <w:tab w:val="clear" w:pos="680"/>
          <w:tab w:val="left" w:pos="426"/>
        </w:tabs>
        <w:spacing w:before="199"/>
        <w:ind w:left="426" w:hanging="426"/>
      </w:pPr>
      <w:r>
        <w:t>the dealing is entered into for the purpose of managing a financial risk that arises in the ordinary course of the foreign ADI’s banking business;</w:t>
      </w:r>
    </w:p>
    <w:p w:rsidR="00C23AAA" w:rsidRDefault="00C23AAA" w:rsidP="00C23AAA">
      <w:pPr>
        <w:pStyle w:val="BodyText"/>
        <w:numPr>
          <w:ilvl w:val="0"/>
          <w:numId w:val="34"/>
        </w:numPr>
        <w:tabs>
          <w:tab w:val="clear" w:pos="680"/>
          <w:tab w:val="left" w:pos="426"/>
        </w:tabs>
        <w:spacing w:before="199"/>
        <w:ind w:left="426" w:hanging="426"/>
      </w:pPr>
      <w:r>
        <w:t>the dealing is entered into on the foreign ADI’s own behalf;</w:t>
      </w:r>
    </w:p>
    <w:p w:rsidR="00C23AAA" w:rsidRDefault="00C23AAA" w:rsidP="00C23AAA">
      <w:pPr>
        <w:pStyle w:val="BodyText"/>
        <w:numPr>
          <w:ilvl w:val="0"/>
          <w:numId w:val="34"/>
        </w:numPr>
        <w:tabs>
          <w:tab w:val="clear" w:pos="680"/>
          <w:tab w:val="left" w:pos="426"/>
        </w:tabs>
        <w:spacing w:before="199"/>
        <w:ind w:left="426" w:hanging="426"/>
      </w:pPr>
      <w:r>
        <w:t>the counterparty for the dealing is a wholesale client; and</w:t>
      </w:r>
    </w:p>
    <w:p w:rsidR="00B5086E" w:rsidRDefault="00C23AAA" w:rsidP="00B5086E">
      <w:pPr>
        <w:pStyle w:val="BodyText"/>
        <w:numPr>
          <w:ilvl w:val="0"/>
          <w:numId w:val="34"/>
        </w:numPr>
        <w:tabs>
          <w:tab w:val="clear" w:pos="680"/>
          <w:tab w:val="left" w:pos="426"/>
        </w:tabs>
        <w:spacing w:before="199" w:after="240"/>
        <w:ind w:left="426" w:hanging="426"/>
      </w:pPr>
      <w:r>
        <w:t xml:space="preserve">the foreign ADI does not hold an </w:t>
      </w:r>
      <w:r w:rsidR="0067013D">
        <w:t>AFS</w:t>
      </w:r>
      <w:r>
        <w:t xml:space="preserve"> licence covering the provision of the </w:t>
      </w:r>
      <w:r w:rsidR="0067013D">
        <w:t xml:space="preserve">financial </w:t>
      </w:r>
      <w:r>
        <w:t>service.</w:t>
      </w:r>
    </w:p>
    <w:p w:rsidR="005B0E3A" w:rsidRPr="00105F54" w:rsidRDefault="005B0E3A" w:rsidP="005B0E3A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5" w:name="5._Consultation"/>
      <w:bookmarkEnd w:id="5"/>
      <w:r w:rsidRPr="00105F54">
        <w:rPr>
          <w:rFonts w:ascii="Arial" w:hAnsi="Arial" w:cs="Arial"/>
          <w:b/>
          <w:sz w:val="24"/>
          <w:szCs w:val="24"/>
        </w:rPr>
        <w:t>Consultation</w:t>
      </w:r>
    </w:p>
    <w:p w:rsidR="00CA7913" w:rsidRDefault="007808AC" w:rsidP="00105F54">
      <w:pPr>
        <w:pStyle w:val="Bodytextplain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On 1 October 2015 </w:t>
      </w:r>
      <w:r w:rsidR="00105F54" w:rsidRPr="00E42E80">
        <w:rPr>
          <w:sz w:val="24"/>
          <w:szCs w:val="24"/>
        </w:rPr>
        <w:t xml:space="preserve">ASIC </w:t>
      </w:r>
      <w:r w:rsidR="00CA7913">
        <w:rPr>
          <w:sz w:val="24"/>
          <w:szCs w:val="24"/>
        </w:rPr>
        <w:t xml:space="preserve">released Consultation Paper </w:t>
      </w:r>
      <w:r>
        <w:rPr>
          <w:sz w:val="24"/>
          <w:szCs w:val="24"/>
        </w:rPr>
        <w:t xml:space="preserve">241 </w:t>
      </w:r>
      <w:r>
        <w:rPr>
          <w:i/>
          <w:sz w:val="24"/>
          <w:szCs w:val="24"/>
        </w:rPr>
        <w:t xml:space="preserve">Remaking ASIC class orders on foreign licensees and ADIs: [CO 06/68] and [CO 03/823] </w:t>
      </w:r>
      <w:r>
        <w:rPr>
          <w:sz w:val="24"/>
          <w:szCs w:val="24"/>
        </w:rPr>
        <w:t>(</w:t>
      </w:r>
      <w:r w:rsidR="00CA7913">
        <w:rPr>
          <w:sz w:val="24"/>
          <w:szCs w:val="24"/>
        </w:rPr>
        <w:t xml:space="preserve">CP 241), as part of its review of </w:t>
      </w:r>
      <w:r w:rsidR="00CA7913">
        <w:rPr>
          <w:sz w:val="24"/>
          <w:szCs w:val="24"/>
        </w:rPr>
        <w:lastRenderedPageBreak/>
        <w:t xml:space="preserve">[CO 03/823] and [CO 06/68]. A draft of the instrument was attached to CP </w:t>
      </w:r>
      <w:r>
        <w:rPr>
          <w:sz w:val="24"/>
          <w:szCs w:val="24"/>
        </w:rPr>
        <w:t>241</w:t>
      </w:r>
      <w:r w:rsidR="00CA7913">
        <w:rPr>
          <w:sz w:val="24"/>
          <w:szCs w:val="24"/>
        </w:rPr>
        <w:t>. ASIC did not receive any submissions in response to CP 241.</w:t>
      </w:r>
    </w:p>
    <w:p w:rsidR="00CA7913" w:rsidRPr="00CA7913" w:rsidRDefault="00105F54" w:rsidP="00CA7913">
      <w:pPr>
        <w:pStyle w:val="Bodytextplain"/>
        <w:ind w:left="0"/>
        <w:rPr>
          <w:sz w:val="24"/>
          <w:szCs w:val="24"/>
        </w:rPr>
        <w:sectPr w:rsidR="00CA7913" w:rsidRPr="00CA7913" w:rsidSect="00105F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  <w:r w:rsidRPr="00E42E80">
        <w:rPr>
          <w:sz w:val="24"/>
          <w:szCs w:val="24"/>
        </w:rPr>
        <w:t>ASIC has assessed that a Regulatory Impact Statement is not necessary for this instrument as it is operating effectively and efficiently, as informed by the consultation process, and is being rem</w:t>
      </w:r>
      <w:r w:rsidR="00CA7913">
        <w:rPr>
          <w:sz w:val="24"/>
          <w:szCs w:val="24"/>
        </w:rPr>
        <w:t>ade without significant changes.</w:t>
      </w:r>
    </w:p>
    <w:p w:rsidR="000076D6" w:rsidRDefault="00007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6D6" w:rsidRPr="00834797" w:rsidRDefault="000076D6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:rsidR="000076D6" w:rsidRPr="00247F54" w:rsidRDefault="00DD1B1B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DD1B1B">
                              <w:rPr>
                                <w:b/>
                              </w:rPr>
                              <w:t>ASIC Corporations (Foreign Licensees and ADIs) Instrument 201</w:t>
                            </w:r>
                            <w:r w:rsidR="000673CA">
                              <w:rPr>
                                <w:b/>
                              </w:rPr>
                              <w:t>6</w:t>
                            </w:r>
                            <w:r w:rsidRPr="00DD1B1B">
                              <w:rPr>
                                <w:b/>
                              </w:rPr>
                              <w:t>/</w:t>
                            </w:r>
                            <w:r w:rsidR="00401E6B">
                              <w:rPr>
                                <w:b/>
                              </w:rPr>
                              <w:t>186</w:t>
                            </w:r>
                            <w:r w:rsidR="000076D6" w:rsidRPr="00247F5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:rsidR="000076D6" w:rsidRPr="00247F54" w:rsidRDefault="00DD1B1B" w:rsidP="000076D6">
                            <w:pPr>
                              <w:spacing w:before="120" w:after="120"/>
                              <w:jc w:val="center"/>
                            </w:pPr>
                            <w:r w:rsidRPr="00F7643A">
                              <w:rPr>
                                <w:i/>
                              </w:rPr>
                              <w:t>ASIC Corporations (Foreign Licensees and ADIs) Instrument 201</w:t>
                            </w:r>
                            <w:r w:rsidR="000673CA">
                              <w:rPr>
                                <w:i/>
                              </w:rPr>
                              <w:t>6</w:t>
                            </w:r>
                            <w:r w:rsidRPr="00F7643A">
                              <w:rPr>
                                <w:i/>
                              </w:rPr>
                              <w:t>/</w:t>
                            </w:r>
                            <w:r w:rsidR="00401E6B">
                              <w:rPr>
                                <w:i/>
                              </w:rPr>
                              <w:t>186</w:t>
                            </w:r>
                            <w:r>
                              <w:t xml:space="preserve"> </w:t>
                            </w:r>
                            <w:r w:rsidR="000076D6" w:rsidRPr="00247F54">
                              <w:t xml:space="preserve">is compatible with the human rights and freedoms recognised or declared in the international instruments listed in section 3 of the </w:t>
                            </w:r>
                            <w:r w:rsidR="000076D6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0076D6" w:rsidRPr="00247F54">
                              <w:t>.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:rsidR="00B5086E" w:rsidRPr="00F640B8" w:rsidRDefault="00B5086E" w:rsidP="000076D6">
                            <w:pPr>
                              <w:spacing w:before="120" w:after="120"/>
                            </w:pPr>
                            <w:r>
                              <w:t xml:space="preserve">The </w:t>
                            </w:r>
                            <w:r w:rsidR="00131B0F">
                              <w:t xml:space="preserve">general purpose of the </w:t>
                            </w:r>
                            <w:r>
                              <w:t xml:space="preserve">Instrument </w:t>
                            </w:r>
                            <w:r w:rsidR="00131B0F">
                              <w:t xml:space="preserve">is to </w:t>
                            </w:r>
                            <w:r w:rsidR="00DD1B1B">
                              <w:t xml:space="preserve">exempt foreign licensees </w:t>
                            </w:r>
                            <w:r>
                              <w:t>fr</w:t>
                            </w:r>
                            <w:r w:rsidR="00DD1B1B">
                              <w:t>om certain</w:t>
                            </w:r>
                            <w:r>
                              <w:t xml:space="preserve"> financial reporting and record </w:t>
                            </w:r>
                            <w:r w:rsidR="00DD1B1B">
                              <w:t>keeping obligations</w:t>
                            </w:r>
                            <w:r>
                              <w:t xml:space="preserve"> </w:t>
                            </w:r>
                            <w:r w:rsidR="00131B0F">
                              <w:t xml:space="preserve">in the </w:t>
                            </w:r>
                            <w:r w:rsidR="00131B0F" w:rsidRPr="00131B0F">
                              <w:rPr>
                                <w:i/>
                              </w:rPr>
                              <w:t>Corporations Act 2001</w:t>
                            </w:r>
                            <w:r w:rsidR="00131B0F">
                              <w:t xml:space="preserve"> (the </w:t>
                            </w:r>
                            <w:r w:rsidR="00131B0F">
                              <w:rPr>
                                <w:b/>
                                <w:i/>
                              </w:rPr>
                              <w:t>Corporations Act</w:t>
                            </w:r>
                            <w:r w:rsidR="00131B0F">
                              <w:t>) and to exempt foreign licensee that are ADIs from Australian financial services licensing obligations in the Corporations Act in respect of certain dealings in derivatives and foreign exchange contracts.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:rsidR="000076D6" w:rsidRDefault="000076D6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does not engage any of the applicable rights or freedoms.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is compatible with human rights as it does not raise any human rights issues.</w:t>
                            </w:r>
                          </w:p>
                          <w:p w:rsidR="000076D6" w:rsidRPr="00E4135E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:rsidR="000076D6" w:rsidRPr="00E4135E" w:rsidRDefault="00DD1B1B" w:rsidP="000076D6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Australian Securities and Investments Commission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38.8pt;width:418.2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:rsidR="000076D6" w:rsidRPr="00834797" w:rsidRDefault="000076D6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:rsidR="000076D6" w:rsidRPr="00247F54" w:rsidRDefault="00DD1B1B" w:rsidP="000076D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DD1B1B">
                        <w:rPr>
                          <w:b/>
                        </w:rPr>
                        <w:t>ASIC Corporations (Foreign Licensees and ADIs) Instrument 201</w:t>
                      </w:r>
                      <w:r w:rsidR="000673CA">
                        <w:rPr>
                          <w:b/>
                        </w:rPr>
                        <w:t>6</w:t>
                      </w:r>
                      <w:r w:rsidRPr="00DD1B1B">
                        <w:rPr>
                          <w:b/>
                        </w:rPr>
                        <w:t>/</w:t>
                      </w:r>
                      <w:r w:rsidR="00401E6B">
                        <w:rPr>
                          <w:b/>
                        </w:rPr>
                        <w:t>186</w:t>
                      </w:r>
                      <w:r w:rsidR="000076D6" w:rsidRPr="00247F54">
                        <w:rPr>
                          <w:b/>
                        </w:rPr>
                        <w:t xml:space="preserve"> 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:rsidR="000076D6" w:rsidRPr="00247F54" w:rsidRDefault="00DD1B1B" w:rsidP="000076D6">
                      <w:pPr>
                        <w:spacing w:before="120" w:after="120"/>
                        <w:jc w:val="center"/>
                      </w:pPr>
                      <w:r w:rsidRPr="00F7643A">
                        <w:rPr>
                          <w:i/>
                        </w:rPr>
                        <w:t>ASIC Corporations (Foreign Licensees and ADIs) Instrument 201</w:t>
                      </w:r>
                      <w:r w:rsidR="000673CA">
                        <w:rPr>
                          <w:i/>
                        </w:rPr>
                        <w:t>6</w:t>
                      </w:r>
                      <w:r w:rsidRPr="00F7643A">
                        <w:rPr>
                          <w:i/>
                        </w:rPr>
                        <w:t>/</w:t>
                      </w:r>
                      <w:r w:rsidR="00401E6B">
                        <w:rPr>
                          <w:i/>
                        </w:rPr>
                        <w:t>186</w:t>
                      </w:r>
                      <w:bookmarkStart w:id="6" w:name="_GoBack"/>
                      <w:bookmarkEnd w:id="6"/>
                      <w:r>
                        <w:t xml:space="preserve"> </w:t>
                      </w:r>
                      <w:r w:rsidR="000076D6" w:rsidRPr="00247F54">
                        <w:t xml:space="preserve">is compatible with the human rights and freedoms recognised or declared in the international instruments listed in section 3 of the </w:t>
                      </w:r>
                      <w:r w:rsidR="000076D6" w:rsidRPr="00247F54">
                        <w:rPr>
                          <w:i/>
                        </w:rPr>
                        <w:t>Human Rights (Parliamentary Scrutiny) Act 2011</w:t>
                      </w:r>
                      <w:r w:rsidR="000076D6" w:rsidRPr="00247F54">
                        <w:t>.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:rsidR="00B5086E" w:rsidRPr="00F640B8" w:rsidRDefault="00B5086E" w:rsidP="000076D6">
                      <w:pPr>
                        <w:spacing w:before="120" w:after="120"/>
                      </w:pPr>
                      <w:r>
                        <w:t xml:space="preserve">The </w:t>
                      </w:r>
                      <w:r w:rsidR="00131B0F">
                        <w:t xml:space="preserve">general purpose of the </w:t>
                      </w:r>
                      <w:r>
                        <w:t xml:space="preserve">Instrument </w:t>
                      </w:r>
                      <w:r w:rsidR="00131B0F">
                        <w:t xml:space="preserve">is to </w:t>
                      </w:r>
                      <w:r w:rsidR="00DD1B1B">
                        <w:t xml:space="preserve">exempt foreign licensees </w:t>
                      </w:r>
                      <w:r>
                        <w:t>fr</w:t>
                      </w:r>
                      <w:r w:rsidR="00DD1B1B">
                        <w:t>om certain</w:t>
                      </w:r>
                      <w:r>
                        <w:t xml:space="preserve"> financial reporting and record </w:t>
                      </w:r>
                      <w:r w:rsidR="00DD1B1B">
                        <w:t>keeping obligations</w:t>
                      </w:r>
                      <w:r>
                        <w:t xml:space="preserve"> </w:t>
                      </w:r>
                      <w:r w:rsidR="00131B0F">
                        <w:t xml:space="preserve">in the </w:t>
                      </w:r>
                      <w:r w:rsidR="00131B0F" w:rsidRPr="00131B0F">
                        <w:rPr>
                          <w:i/>
                        </w:rPr>
                        <w:t>Corporations Act 2001</w:t>
                      </w:r>
                      <w:r w:rsidR="00131B0F">
                        <w:t xml:space="preserve"> (the </w:t>
                      </w:r>
                      <w:r w:rsidR="00131B0F">
                        <w:rPr>
                          <w:b/>
                          <w:i/>
                        </w:rPr>
                        <w:t>Corporations Act</w:t>
                      </w:r>
                      <w:r w:rsidR="00131B0F">
                        <w:t>) and to exempt foreign licensee that are ADIs from Australian financial services licensing obligations in the Corporations Act in respect of certain dealings in derivatives and foreign exchange contracts.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:rsidR="000076D6" w:rsidRDefault="000076D6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does not engage any of the applicable rights or freedoms.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is compatible with human rights as it does not raise any human rights issues.</w:t>
                      </w:r>
                    </w:p>
                    <w:p w:rsidR="000076D6" w:rsidRPr="00E4135E" w:rsidRDefault="000076D6" w:rsidP="000076D6">
                      <w:pPr>
                        <w:spacing w:before="120" w:after="120"/>
                        <w:jc w:val="center"/>
                      </w:pPr>
                    </w:p>
                    <w:p w:rsidR="000076D6" w:rsidRPr="00E4135E" w:rsidRDefault="00DD1B1B" w:rsidP="000076D6">
                      <w:pPr>
                        <w:spacing w:before="120" w:after="120"/>
                        <w:jc w:val="center"/>
                      </w:pPr>
                      <w:r>
                        <w:rPr>
                          <w:b/>
                        </w:rPr>
                        <w:t>Australian Securities and Investments Commission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A1" w:rsidRDefault="004363A1">
      <w:pPr>
        <w:spacing w:after="0"/>
      </w:pPr>
      <w:r>
        <w:separator/>
      </w:r>
    </w:p>
  </w:endnote>
  <w:endnote w:type="continuationSeparator" w:id="0">
    <w:p w:rsidR="004363A1" w:rsidRDefault="004363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5B0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C27A4B" w:rsidRDefault="00F77516">
    <w:pPr>
      <w:pStyle w:val="Footer"/>
      <w:ind w:right="360"/>
    </w:pPr>
  </w:p>
  <w:p w:rsidR="00C27A4B" w:rsidRDefault="00F77516"/>
  <w:p w:rsidR="00C27A4B" w:rsidRDefault="00F77516"/>
  <w:p w:rsidR="00C27A4B" w:rsidRDefault="00F77516"/>
  <w:p w:rsidR="00C27A4B" w:rsidRDefault="00F77516"/>
  <w:p w:rsidR="00C27A4B" w:rsidRDefault="00F775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F77516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86.45pt;margin-top:20.1pt;width:125.1pt;height:27pt;rotation:270;z-index:-251658240;mso-position-horizontal-relative:text;mso-position-vertical-relative:text" fillcolor="silver" stroked="f" strokecolor="silver">
          <v:shadow color="#868686"/>
          <v:textpath style="font-family:&quot;Arial&quot;;font-weight:bold;v-text-kern:t" trim="t" fitpath="t" string="DRAFT"/>
        </v:shape>
      </w:pict>
    </w:r>
    <w:r w:rsidR="005B0E3A"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2DAC2E" wp14:editId="54333A40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A4B" w:rsidRPr="008F541E" w:rsidRDefault="005B0E3A" w:rsidP="009E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7516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2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:rsidR="00C27A4B" w:rsidRPr="008F541E" w:rsidRDefault="005B0E3A" w:rsidP="009E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F77516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2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5B0E3A">
      <w:rPr>
        <w:color w:val="117DC7"/>
      </w:rPr>
      <w:t>© Australian Securities and Investments Commission</w:t>
    </w:r>
    <w:r w:rsidR="005B0E3A"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A1" w:rsidRDefault="004363A1">
      <w:pPr>
        <w:spacing w:after="0"/>
      </w:pPr>
      <w:r>
        <w:separator/>
      </w:r>
    </w:p>
  </w:footnote>
  <w:footnote w:type="continuationSeparator" w:id="0">
    <w:p w:rsidR="004363A1" w:rsidRDefault="004363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F77516"/>
  <w:p w:rsidR="00C27A4B" w:rsidRDefault="00F775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5B0E3A">
    <w:pPr>
      <w:pStyle w:val="Footer"/>
      <w:pBdr>
        <w:bottom w:val="single" w:sz="4" w:space="1" w:color="117DC7"/>
      </w:pBdr>
      <w:jc w:val="right"/>
      <w:rPr>
        <w:color w:val="117DC7"/>
      </w:rPr>
    </w:pPr>
    <w:r>
      <w:tab/>
    </w:r>
    <w:r w:rsidR="00AB2AF6">
      <w:t xml:space="preserve">Explanatory Statement for </w:t>
    </w:r>
    <w:r w:rsidR="00EE5C5F" w:rsidRPr="00EE5C5F">
      <w:t>ASIC Corporations (Foreign Licensees and ADIs) Instrument 201</w:t>
    </w:r>
    <w:r w:rsidR="000673CA">
      <w:t>6</w:t>
    </w:r>
    <w:r w:rsidR="00EE5C5F" w:rsidRPr="00EE5C5F">
      <w:t>/</w:t>
    </w:r>
    <w:r w:rsidR="00401E6B">
      <w:t>186</w:t>
    </w:r>
  </w:p>
  <w:p w:rsidR="00C27A4B" w:rsidRDefault="00F775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5B0E3A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23A9B"/>
    <w:multiLevelType w:val="hybridMultilevel"/>
    <w:tmpl w:val="2130B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47FC8"/>
    <w:multiLevelType w:val="hybridMultilevel"/>
    <w:tmpl w:val="A2146BE0"/>
    <w:lvl w:ilvl="0" w:tplc="2BE453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C6808"/>
    <w:multiLevelType w:val="multilevel"/>
    <w:tmpl w:val="7C7C2F5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2693"/>
        </w:tabs>
        <w:ind w:left="2693" w:hanging="425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1F9C574D"/>
    <w:multiLevelType w:val="hybridMultilevel"/>
    <w:tmpl w:val="FD5A0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E1B97"/>
    <w:multiLevelType w:val="hybridMultilevel"/>
    <w:tmpl w:val="2C1EC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>
    <w:nsid w:val="258A4D57"/>
    <w:multiLevelType w:val="hybridMultilevel"/>
    <w:tmpl w:val="775ED27C"/>
    <w:lvl w:ilvl="0" w:tplc="0C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F016B"/>
    <w:multiLevelType w:val="hybridMultilevel"/>
    <w:tmpl w:val="A53ED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733D1"/>
    <w:multiLevelType w:val="hybridMultilevel"/>
    <w:tmpl w:val="2182CF94"/>
    <w:lvl w:ilvl="0" w:tplc="33965F72"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E8F3EA6"/>
    <w:multiLevelType w:val="hybridMultilevel"/>
    <w:tmpl w:val="731E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17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F17F74"/>
    <w:multiLevelType w:val="hybridMultilevel"/>
    <w:tmpl w:val="A40CD3C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015D1C"/>
    <w:multiLevelType w:val="hybridMultilevel"/>
    <w:tmpl w:val="96C80E2E"/>
    <w:lvl w:ilvl="0" w:tplc="E63C26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17A80"/>
    <w:multiLevelType w:val="hybridMultilevel"/>
    <w:tmpl w:val="85E07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06BD4"/>
    <w:multiLevelType w:val="hybridMultilevel"/>
    <w:tmpl w:val="E6EA55CC"/>
    <w:lvl w:ilvl="0" w:tplc="0C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>
    <w:nsid w:val="55420CF0"/>
    <w:multiLevelType w:val="hybridMultilevel"/>
    <w:tmpl w:val="70EC72C6"/>
    <w:lvl w:ilvl="0" w:tplc="DCDC6EAE">
      <w:start w:val="1"/>
      <w:numFmt w:val="lowerLetter"/>
      <w:lvlText w:val="(%1)"/>
      <w:lvlJc w:val="left"/>
      <w:pPr>
        <w:ind w:left="220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25" w:hanging="360"/>
      </w:pPr>
    </w:lvl>
    <w:lvl w:ilvl="2" w:tplc="0C09001B" w:tentative="1">
      <w:start w:val="1"/>
      <w:numFmt w:val="lowerRoman"/>
      <w:lvlText w:val="%3."/>
      <w:lvlJc w:val="right"/>
      <w:pPr>
        <w:ind w:left="3645" w:hanging="180"/>
      </w:pPr>
    </w:lvl>
    <w:lvl w:ilvl="3" w:tplc="0C09000F" w:tentative="1">
      <w:start w:val="1"/>
      <w:numFmt w:val="decimal"/>
      <w:lvlText w:val="%4."/>
      <w:lvlJc w:val="left"/>
      <w:pPr>
        <w:ind w:left="4365" w:hanging="360"/>
      </w:pPr>
    </w:lvl>
    <w:lvl w:ilvl="4" w:tplc="0C090019" w:tentative="1">
      <w:start w:val="1"/>
      <w:numFmt w:val="lowerLetter"/>
      <w:lvlText w:val="%5."/>
      <w:lvlJc w:val="left"/>
      <w:pPr>
        <w:ind w:left="5085" w:hanging="360"/>
      </w:pPr>
    </w:lvl>
    <w:lvl w:ilvl="5" w:tplc="0C09001B" w:tentative="1">
      <w:start w:val="1"/>
      <w:numFmt w:val="lowerRoman"/>
      <w:lvlText w:val="%6."/>
      <w:lvlJc w:val="right"/>
      <w:pPr>
        <w:ind w:left="5805" w:hanging="180"/>
      </w:pPr>
    </w:lvl>
    <w:lvl w:ilvl="6" w:tplc="0C09000F" w:tentative="1">
      <w:start w:val="1"/>
      <w:numFmt w:val="decimal"/>
      <w:lvlText w:val="%7."/>
      <w:lvlJc w:val="left"/>
      <w:pPr>
        <w:ind w:left="6525" w:hanging="360"/>
      </w:pPr>
    </w:lvl>
    <w:lvl w:ilvl="7" w:tplc="0C090019" w:tentative="1">
      <w:start w:val="1"/>
      <w:numFmt w:val="lowerLetter"/>
      <w:lvlText w:val="%8."/>
      <w:lvlJc w:val="left"/>
      <w:pPr>
        <w:ind w:left="7245" w:hanging="360"/>
      </w:pPr>
    </w:lvl>
    <w:lvl w:ilvl="8" w:tplc="0C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4">
    <w:nsid w:val="59DF13AA"/>
    <w:multiLevelType w:val="hybridMultilevel"/>
    <w:tmpl w:val="4B36C14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66541C"/>
    <w:multiLevelType w:val="hybridMultilevel"/>
    <w:tmpl w:val="7604F960"/>
    <w:lvl w:ilvl="0" w:tplc="C06A3D92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5DE021D4"/>
    <w:multiLevelType w:val="multilevel"/>
    <w:tmpl w:val="7C7C2F5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2693"/>
        </w:tabs>
        <w:ind w:left="2693" w:hanging="425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7">
    <w:nsid w:val="5E534D87"/>
    <w:multiLevelType w:val="multilevel"/>
    <w:tmpl w:val="7C7C2F5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2693"/>
        </w:tabs>
        <w:ind w:left="2693" w:hanging="425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8">
    <w:nsid w:val="5E9826E1"/>
    <w:multiLevelType w:val="hybridMultilevel"/>
    <w:tmpl w:val="F8BABC72"/>
    <w:lvl w:ilvl="0" w:tplc="33965F7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5361747"/>
    <w:multiLevelType w:val="hybridMultilevel"/>
    <w:tmpl w:val="744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32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13275B"/>
    <w:multiLevelType w:val="hybridMultilevel"/>
    <w:tmpl w:val="6B7CE424"/>
    <w:lvl w:ilvl="0" w:tplc="74A079CE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2" w:hanging="360"/>
      </w:pPr>
    </w:lvl>
    <w:lvl w:ilvl="2" w:tplc="0C09001B" w:tentative="1">
      <w:start w:val="1"/>
      <w:numFmt w:val="lowerRoman"/>
      <w:lvlText w:val="%3."/>
      <w:lvlJc w:val="right"/>
      <w:pPr>
        <w:ind w:left="3502" w:hanging="180"/>
      </w:pPr>
    </w:lvl>
    <w:lvl w:ilvl="3" w:tplc="0C09000F" w:tentative="1">
      <w:start w:val="1"/>
      <w:numFmt w:val="decimal"/>
      <w:lvlText w:val="%4."/>
      <w:lvlJc w:val="left"/>
      <w:pPr>
        <w:ind w:left="4222" w:hanging="360"/>
      </w:pPr>
    </w:lvl>
    <w:lvl w:ilvl="4" w:tplc="0C090019" w:tentative="1">
      <w:start w:val="1"/>
      <w:numFmt w:val="lowerLetter"/>
      <w:lvlText w:val="%5."/>
      <w:lvlJc w:val="left"/>
      <w:pPr>
        <w:ind w:left="4942" w:hanging="360"/>
      </w:pPr>
    </w:lvl>
    <w:lvl w:ilvl="5" w:tplc="0C09001B" w:tentative="1">
      <w:start w:val="1"/>
      <w:numFmt w:val="lowerRoman"/>
      <w:lvlText w:val="%6."/>
      <w:lvlJc w:val="right"/>
      <w:pPr>
        <w:ind w:left="5662" w:hanging="180"/>
      </w:pPr>
    </w:lvl>
    <w:lvl w:ilvl="6" w:tplc="0C09000F" w:tentative="1">
      <w:start w:val="1"/>
      <w:numFmt w:val="decimal"/>
      <w:lvlText w:val="%7."/>
      <w:lvlJc w:val="left"/>
      <w:pPr>
        <w:ind w:left="6382" w:hanging="360"/>
      </w:pPr>
    </w:lvl>
    <w:lvl w:ilvl="7" w:tplc="0C090019" w:tentative="1">
      <w:start w:val="1"/>
      <w:numFmt w:val="lowerLetter"/>
      <w:lvlText w:val="%8."/>
      <w:lvlJc w:val="left"/>
      <w:pPr>
        <w:ind w:left="7102" w:hanging="360"/>
      </w:pPr>
    </w:lvl>
    <w:lvl w:ilvl="8" w:tplc="0C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31"/>
  </w:num>
  <w:num w:numId="5">
    <w:abstractNumId w:val="9"/>
  </w:num>
  <w:num w:numId="6">
    <w:abstractNumId w:val="6"/>
  </w:num>
  <w:num w:numId="7">
    <w:abstractNumId w:val="16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20"/>
  </w:num>
  <w:num w:numId="14">
    <w:abstractNumId w:val="11"/>
  </w:num>
  <w:num w:numId="15">
    <w:abstractNumId w:val="26"/>
  </w:num>
  <w:num w:numId="16">
    <w:abstractNumId w:val="27"/>
  </w:num>
  <w:num w:numId="17">
    <w:abstractNumId w:val="22"/>
  </w:num>
  <w:num w:numId="18">
    <w:abstractNumId w:val="10"/>
  </w:num>
  <w:num w:numId="19">
    <w:abstractNumId w:val="7"/>
  </w:num>
  <w:num w:numId="20">
    <w:abstractNumId w:val="18"/>
  </w:num>
  <w:num w:numId="21">
    <w:abstractNumId w:val="24"/>
  </w:num>
  <w:num w:numId="22">
    <w:abstractNumId w:val="19"/>
  </w:num>
  <w:num w:numId="23">
    <w:abstractNumId w:val="13"/>
  </w:num>
  <w:num w:numId="24">
    <w:abstractNumId w:val="15"/>
  </w:num>
  <w:num w:numId="25">
    <w:abstractNumId w:val="25"/>
  </w:num>
  <w:num w:numId="26">
    <w:abstractNumId w:val="29"/>
  </w:num>
  <w:num w:numId="27">
    <w:abstractNumId w:val="3"/>
  </w:num>
  <w:num w:numId="28">
    <w:abstractNumId w:val="23"/>
  </w:num>
  <w:num w:numId="29">
    <w:abstractNumId w:val="33"/>
  </w:num>
  <w:num w:numId="30">
    <w:abstractNumId w:val="2"/>
  </w:num>
  <w:num w:numId="31">
    <w:abstractNumId w:val="8"/>
  </w:num>
  <w:num w:numId="32">
    <w:abstractNumId w:val="28"/>
  </w:num>
  <w:num w:numId="33">
    <w:abstractNumId w:val="1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A0"/>
    <w:rsid w:val="000076D6"/>
    <w:rsid w:val="000673CA"/>
    <w:rsid w:val="00073BCA"/>
    <w:rsid w:val="000B57CE"/>
    <w:rsid w:val="000C07D0"/>
    <w:rsid w:val="00105F54"/>
    <w:rsid w:val="00131B0F"/>
    <w:rsid w:val="00131FFD"/>
    <w:rsid w:val="001424A0"/>
    <w:rsid w:val="0017412B"/>
    <w:rsid w:val="00201721"/>
    <w:rsid w:val="00264100"/>
    <w:rsid w:val="002B5D99"/>
    <w:rsid w:val="002D11B6"/>
    <w:rsid w:val="003C3A52"/>
    <w:rsid w:val="003F5111"/>
    <w:rsid w:val="00401E6B"/>
    <w:rsid w:val="00426B31"/>
    <w:rsid w:val="004363A1"/>
    <w:rsid w:val="004F7CD4"/>
    <w:rsid w:val="005478AD"/>
    <w:rsid w:val="005B0E3A"/>
    <w:rsid w:val="0067013D"/>
    <w:rsid w:val="00683014"/>
    <w:rsid w:val="0069503A"/>
    <w:rsid w:val="006B27D1"/>
    <w:rsid w:val="007808AC"/>
    <w:rsid w:val="00780C70"/>
    <w:rsid w:val="00912A31"/>
    <w:rsid w:val="00913E93"/>
    <w:rsid w:val="00936F36"/>
    <w:rsid w:val="009D1F85"/>
    <w:rsid w:val="00A106FA"/>
    <w:rsid w:val="00A97D01"/>
    <w:rsid w:val="00AB2AF6"/>
    <w:rsid w:val="00AC02C2"/>
    <w:rsid w:val="00B04B97"/>
    <w:rsid w:val="00B5086E"/>
    <w:rsid w:val="00BE3D0D"/>
    <w:rsid w:val="00C23AAA"/>
    <w:rsid w:val="00C626AB"/>
    <w:rsid w:val="00C948A7"/>
    <w:rsid w:val="00CA7913"/>
    <w:rsid w:val="00DD1B1B"/>
    <w:rsid w:val="00E24506"/>
    <w:rsid w:val="00E42E80"/>
    <w:rsid w:val="00E54CA0"/>
    <w:rsid w:val="00E662D8"/>
    <w:rsid w:val="00EE5C5F"/>
    <w:rsid w:val="00F209F3"/>
    <w:rsid w:val="00F7643A"/>
    <w:rsid w:val="00F77516"/>
    <w:rsid w:val="00FA09BE"/>
    <w:rsid w:val="00FB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09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BE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9B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9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B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-BodyTextParaa">
    <w:name w:val="LI - Body Text Para (a)"/>
    <w:basedOn w:val="Normal"/>
    <w:link w:val="LI-BodyTextParaaChar"/>
    <w:rsid w:val="00E54CA0"/>
    <w:pPr>
      <w:spacing w:before="240" w:after="0"/>
      <w:ind w:left="1701" w:hanging="567"/>
    </w:pPr>
    <w:rPr>
      <w:sz w:val="24"/>
      <w:szCs w:val="24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E54CA0"/>
    <w:pPr>
      <w:ind w:left="2268"/>
    </w:pPr>
  </w:style>
  <w:style w:type="character" w:customStyle="1" w:styleId="LI-BodyTextParaaChar">
    <w:name w:val="LI - Body Text Para (a) Char"/>
    <w:link w:val="LI-BodyTextParaa"/>
    <w:rsid w:val="00E54CA0"/>
    <w:rPr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E54CA0"/>
    <w:rPr>
      <w:sz w:val="24"/>
      <w:szCs w:val="24"/>
    </w:rPr>
  </w:style>
  <w:style w:type="paragraph" w:customStyle="1" w:styleId="LI-BodyTextNumbered">
    <w:name w:val="LI - Body Text Numbered"/>
    <w:basedOn w:val="Normal"/>
    <w:link w:val="LI-BodyTextNumberedChar"/>
    <w:qFormat/>
    <w:rsid w:val="00E54CA0"/>
    <w:pPr>
      <w:spacing w:before="240" w:after="0"/>
      <w:ind w:left="1134" w:hanging="567"/>
    </w:pPr>
    <w:rPr>
      <w:sz w:val="24"/>
      <w:szCs w:val="24"/>
    </w:rPr>
  </w:style>
  <w:style w:type="character" w:customStyle="1" w:styleId="LI-BodyTextNumberedChar">
    <w:name w:val="LI - Body Text Numbered Char"/>
    <w:link w:val="LI-BodyTextNumbered"/>
    <w:rsid w:val="00E54CA0"/>
    <w:rPr>
      <w:sz w:val="24"/>
      <w:szCs w:val="24"/>
    </w:rPr>
  </w:style>
  <w:style w:type="paragraph" w:customStyle="1" w:styleId="ListA">
    <w:name w:val="ListA"/>
    <w:rsid w:val="00E54CA0"/>
    <w:pPr>
      <w:overflowPunct w:val="0"/>
      <w:autoSpaceDE w:val="0"/>
      <w:autoSpaceDN w:val="0"/>
      <w:adjustRightInd w:val="0"/>
      <w:spacing w:before="120" w:after="120"/>
      <w:ind w:left="425" w:hanging="425"/>
      <w:textAlignment w:val="baseline"/>
    </w:pPr>
    <w:rPr>
      <w:sz w:val="24"/>
      <w:lang w:eastAsia="en-US"/>
    </w:rPr>
  </w:style>
  <w:style w:type="character" w:customStyle="1" w:styleId="OPCCharBase">
    <w:name w:val="OPCCharBase"/>
    <w:uiPriority w:val="1"/>
    <w:qFormat/>
    <w:rsid w:val="00CA7913"/>
  </w:style>
  <w:style w:type="paragraph" w:customStyle="1" w:styleId="ListB">
    <w:name w:val="ListB"/>
    <w:rsid w:val="00CA7913"/>
    <w:pPr>
      <w:overflowPunct w:val="0"/>
      <w:autoSpaceDE w:val="0"/>
      <w:autoSpaceDN w:val="0"/>
      <w:adjustRightInd w:val="0"/>
      <w:spacing w:before="120" w:after="120"/>
      <w:ind w:left="850" w:hanging="425"/>
      <w:textAlignment w:val="baseline"/>
    </w:pPr>
    <w:rPr>
      <w:sz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808AC"/>
    <w:rPr>
      <w:color w:val="0D6BBC"/>
      <w:u w:val="single"/>
    </w:rPr>
  </w:style>
  <w:style w:type="character" w:styleId="Strong">
    <w:name w:val="Strong"/>
    <w:basedOn w:val="DefaultParagraphFont"/>
    <w:uiPriority w:val="22"/>
    <w:qFormat/>
    <w:rsid w:val="007808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09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BE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9B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9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B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-BodyTextParaa">
    <w:name w:val="LI - Body Text Para (a)"/>
    <w:basedOn w:val="Normal"/>
    <w:link w:val="LI-BodyTextParaaChar"/>
    <w:rsid w:val="00E54CA0"/>
    <w:pPr>
      <w:spacing w:before="240" w:after="0"/>
      <w:ind w:left="1701" w:hanging="567"/>
    </w:pPr>
    <w:rPr>
      <w:sz w:val="24"/>
      <w:szCs w:val="24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E54CA0"/>
    <w:pPr>
      <w:ind w:left="2268"/>
    </w:pPr>
  </w:style>
  <w:style w:type="character" w:customStyle="1" w:styleId="LI-BodyTextParaaChar">
    <w:name w:val="LI - Body Text Para (a) Char"/>
    <w:link w:val="LI-BodyTextParaa"/>
    <w:rsid w:val="00E54CA0"/>
    <w:rPr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E54CA0"/>
    <w:rPr>
      <w:sz w:val="24"/>
      <w:szCs w:val="24"/>
    </w:rPr>
  </w:style>
  <w:style w:type="paragraph" w:customStyle="1" w:styleId="LI-BodyTextNumbered">
    <w:name w:val="LI - Body Text Numbered"/>
    <w:basedOn w:val="Normal"/>
    <w:link w:val="LI-BodyTextNumberedChar"/>
    <w:qFormat/>
    <w:rsid w:val="00E54CA0"/>
    <w:pPr>
      <w:spacing w:before="240" w:after="0"/>
      <w:ind w:left="1134" w:hanging="567"/>
    </w:pPr>
    <w:rPr>
      <w:sz w:val="24"/>
      <w:szCs w:val="24"/>
    </w:rPr>
  </w:style>
  <w:style w:type="character" w:customStyle="1" w:styleId="LI-BodyTextNumberedChar">
    <w:name w:val="LI - Body Text Numbered Char"/>
    <w:link w:val="LI-BodyTextNumbered"/>
    <w:rsid w:val="00E54CA0"/>
    <w:rPr>
      <w:sz w:val="24"/>
      <w:szCs w:val="24"/>
    </w:rPr>
  </w:style>
  <w:style w:type="paragraph" w:customStyle="1" w:styleId="ListA">
    <w:name w:val="ListA"/>
    <w:rsid w:val="00E54CA0"/>
    <w:pPr>
      <w:overflowPunct w:val="0"/>
      <w:autoSpaceDE w:val="0"/>
      <w:autoSpaceDN w:val="0"/>
      <w:adjustRightInd w:val="0"/>
      <w:spacing w:before="120" w:after="120"/>
      <w:ind w:left="425" w:hanging="425"/>
      <w:textAlignment w:val="baseline"/>
    </w:pPr>
    <w:rPr>
      <w:sz w:val="24"/>
      <w:lang w:eastAsia="en-US"/>
    </w:rPr>
  </w:style>
  <w:style w:type="character" w:customStyle="1" w:styleId="OPCCharBase">
    <w:name w:val="OPCCharBase"/>
    <w:uiPriority w:val="1"/>
    <w:qFormat/>
    <w:rsid w:val="00CA7913"/>
  </w:style>
  <w:style w:type="paragraph" w:customStyle="1" w:styleId="ListB">
    <w:name w:val="ListB"/>
    <w:rsid w:val="00CA7913"/>
    <w:pPr>
      <w:overflowPunct w:val="0"/>
      <w:autoSpaceDE w:val="0"/>
      <w:autoSpaceDN w:val="0"/>
      <w:adjustRightInd w:val="0"/>
      <w:spacing w:before="120" w:after="120"/>
      <w:ind w:left="850" w:hanging="425"/>
      <w:textAlignment w:val="baseline"/>
    </w:pPr>
    <w:rPr>
      <w:sz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808AC"/>
    <w:rPr>
      <w:color w:val="0D6BBC"/>
      <w:u w:val="single"/>
    </w:rPr>
  </w:style>
  <w:style w:type="character" w:styleId="Strong">
    <w:name w:val="Strong"/>
    <w:basedOn w:val="DefaultParagraphFont"/>
    <w:uiPriority w:val="22"/>
    <w:qFormat/>
    <w:rsid w:val="00780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Documents\Corporations%20Act\Sunset%20Class%20Orders\ESForeignLicense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6A8C-D297-4D8B-8052-6F076DEC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ESForeignLicensees.dotx</Template>
  <TotalTime>6</TotalTime>
  <Pages>4</Pages>
  <Words>801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jennifer.lyons</dc:creator>
  <cp:lastModifiedBy>frank.traczewski</cp:lastModifiedBy>
  <cp:revision>6</cp:revision>
  <dcterms:created xsi:type="dcterms:W3CDTF">2016-01-22T03:41:00Z</dcterms:created>
  <dcterms:modified xsi:type="dcterms:W3CDTF">2016-03-24T02:52:00Z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B1124883</vt:lpwstr>
  </property>
  <property fmtid="{D5CDD505-2E9C-101B-9397-08002B2CF9AE}" pid="4" name="Objective-Title">
    <vt:lpwstr>20160121 - Draft Explanatory Statement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2016-01-21T04:23:34Z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2016-01-22T03:25:23Z</vt:filetime>
  </property>
  <property fmtid="{D5CDD505-2E9C-101B-9397-08002B2CF9AE}" pid="11" name="Objective-Owner">
    <vt:lpwstr>Jennifer Lyons</vt:lpwstr>
  </property>
  <property fmtid="{D5CDD505-2E9C-101B-9397-08002B2CF9AE}" pid="12" name="Objective-Path">
    <vt:lpwstr>BCS:ASIC:POLICY &amp; REGULATORY FRAMEWORK:Policy Development:Technical Updates &amp; Other:Sunsetting Class Orders Project:DTCI:Class Orders:[CO 03/823] - Foreign ADIs: Licensing, accounting and audit relief:Documents:</vt:lpwstr>
  </property>
  <property fmtid="{D5CDD505-2E9C-101B-9397-08002B2CF9AE}" pid="13" name="Objective-Parent">
    <vt:lpwstr>Documents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i4>5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