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9D7F" w14:textId="3872CB2C" w:rsidR="00C42995" w:rsidRPr="00587858" w:rsidRDefault="00C42995" w:rsidP="00C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C429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ASIC Corporations (Derivative Transaction </w:t>
      </w:r>
      <w:r w:rsidR="00F7715C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Clearing</w:t>
      </w:r>
      <w:r w:rsidR="00F7715C" w:rsidRPr="00C429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</w:t>
      </w:r>
      <w:r w:rsidRPr="00C429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Exemption</w:t>
      </w:r>
      <w:r w:rsidRPr="0058785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) Instrument 201</w:t>
      </w:r>
      <w:r w:rsidR="00F7715C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6</w:t>
      </w:r>
      <w:r w:rsidRPr="0058785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/</w:t>
      </w:r>
      <w:r w:rsidR="00F7715C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258</w:t>
      </w:r>
    </w:p>
    <w:p w14:paraId="44F59D80" w14:textId="77777777" w:rsidR="00C12570" w:rsidRPr="00B504E6" w:rsidRDefault="00C12570" w:rsidP="00B5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14:paraId="44F59D81" w14:textId="77777777" w:rsidR="00C12570" w:rsidRPr="00B504E6" w:rsidRDefault="00C12570" w:rsidP="009F4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50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EXPLANATORY STATEMENT</w:t>
      </w:r>
    </w:p>
    <w:p w14:paraId="44F59D82" w14:textId="77777777" w:rsidR="00C12570" w:rsidRPr="00C12570" w:rsidRDefault="00C12570" w:rsidP="009F4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3" w14:textId="77777777" w:rsidR="00C12570" w:rsidRPr="00C12570" w:rsidRDefault="00C12570" w:rsidP="009F4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Prepared by the Australian Securities and Investments Commission</w:t>
      </w:r>
    </w:p>
    <w:p w14:paraId="44F59D84" w14:textId="77777777" w:rsidR="00C12570" w:rsidRPr="00C12570" w:rsidRDefault="00C12570" w:rsidP="009F4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5" w14:textId="77777777" w:rsidR="00C12570" w:rsidRPr="00C12570" w:rsidRDefault="00C12570" w:rsidP="009F4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Corporations Act 2001</w:t>
      </w:r>
    </w:p>
    <w:p w14:paraId="44F59D86" w14:textId="77777777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7" w14:textId="2234531E" w:rsidR="00C12570" w:rsidRPr="00673674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Australian Securities and Investments Commission (</w:t>
      </w:r>
      <w:r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ASIC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) makes </w:t>
      </w:r>
      <w:r w:rsidR="00C4299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</w:t>
      </w:r>
      <w:r w:rsidR="00C42995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ASIC Corporations (Derivative Transaction </w:t>
      </w:r>
      <w:r w:rsidR="00F7715C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Clearing </w:t>
      </w:r>
      <w:r w:rsidR="00C42995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Exemption) Instrument 201</w:t>
      </w:r>
      <w:r w:rsidR="00F7715C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6</w:t>
      </w:r>
      <w:r w:rsidR="00C42995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/</w:t>
      </w:r>
      <w:r w:rsidR="00F7715C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258</w:t>
      </w:r>
      <w:r w:rsidR="00C4299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(the</w:t>
      </w:r>
      <w:r w:rsidRPr="0067367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en-AU"/>
        </w:rPr>
        <w:t> </w:t>
      </w:r>
      <w:r w:rsidR="00C4299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Legislative Instrument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</w:t>
      </w:r>
      <w:r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 </w:t>
      </w:r>
      <w:r w:rsidR="00F7715C" w:rsidRPr="00673674" w:rsidDel="00F7715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under paragraph 907D(2)(</w:t>
      </w:r>
      <w:r w:rsidR="00F03899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 of the </w:t>
      </w:r>
      <w:r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Corporations Act 2001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(</w:t>
      </w:r>
      <w:r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).</w:t>
      </w:r>
    </w:p>
    <w:p w14:paraId="44F59D88" w14:textId="77777777" w:rsidR="00C12570" w:rsidRPr="00673674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9" w14:textId="4C656D14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Under paragraph 907D(2)(</w:t>
      </w:r>
      <w:r w:rsidR="00F03899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) of the Act, ASIC may exempt a person or class of persons from all or specified provisions of the </w:t>
      </w:r>
      <w:r w:rsidR="00415E43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ASIC Derivative Transaction Rules (</w:t>
      </w:r>
      <w:r w:rsidR="00F7715C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Clearing</w:t>
      </w:r>
      <w:r w:rsidR="00415E43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) 201</w:t>
      </w:r>
      <w:r w:rsidR="00F7715C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5</w:t>
      </w:r>
      <w:r w:rsidR="00415E4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(</w:t>
      </w:r>
      <w:r w:rsidR="00415E43"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Rules</w:t>
      </w:r>
      <w:r w:rsidR="00415E4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. </w:t>
      </w:r>
    </w:p>
    <w:p w14:paraId="44F59D8A" w14:textId="77777777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B" w14:textId="77777777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An exemption may apply unconditionally or subject to specified conditions, and a person to whom a condition specified in an exemption applies must comply with the condition</w:t>
      </w:r>
      <w:r w:rsidR="00240227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8C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D" w14:textId="77777777" w:rsidR="00C12570" w:rsidRPr="00C12570" w:rsidRDefault="00C12570" w:rsidP="00C1257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1.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Background</w:t>
      </w:r>
    </w:p>
    <w:p w14:paraId="44F59D8E" w14:textId="77777777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8F" w14:textId="77777777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In </w:t>
      </w:r>
      <w:r w:rsidR="00F7715C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December 2015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, ASIC, acting with the consent of the Minister under section 901K of the Act, made the </w:t>
      </w:r>
      <w:r w:rsidR="00415E43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Rules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. </w:t>
      </w:r>
      <w:r w:rsidR="00415E43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Unless explained otherwise, c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apitalised terms used in this Explanatory Statement have the meaning given by the Rules.</w:t>
      </w:r>
    </w:p>
    <w:p w14:paraId="44F59D90" w14:textId="77777777" w:rsidR="009F4559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1" w14:textId="634522A0" w:rsidR="00C12570" w:rsidRP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Rules impose 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clearing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requirements </w:t>
      </w:r>
      <w:r w:rsidR="00C4299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in relation to </w:t>
      </w:r>
      <w:r w:rsidR="00F03899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certain 'Clearing Transactions'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  </w:t>
      </w:r>
    </w:p>
    <w:p w14:paraId="44F59D92" w14:textId="77777777" w:rsidR="009F4559" w:rsidRDefault="009F4559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44F59D93" w14:textId="4917A8A8" w:rsidR="00C12570" w:rsidRDefault="00C12570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Under Rule 2.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1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.1 of the Rules, ‘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Entities’ are required to 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ensure that each of </w:t>
      </w:r>
      <w:r w:rsidR="0086143D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their 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 Transactions is Cleared Through a Clearing Facility as soon as reasonably practicable after a Clearing Transaction is entered into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94" w14:textId="77777777" w:rsidR="009F4559" w:rsidRPr="00C12570" w:rsidRDefault="009F4559" w:rsidP="009F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4F59D95" w14:textId="77777777" w:rsidR="00C12570" w:rsidRPr="00C12570" w:rsidRDefault="00C12570" w:rsidP="00C1257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2.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Purpose of </w:t>
      </w:r>
      <w:r w:rsidR="005878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the 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Legislative Instrument</w:t>
      </w:r>
    </w:p>
    <w:p w14:paraId="44F59D96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7" w14:textId="5C882B82" w:rsidR="00C12570" w:rsidRPr="00C12570" w:rsidRDefault="00C12570" w:rsidP="00C125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purpose of the</w:t>
      </w:r>
      <w:r w:rsidR="00587858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Legislative Instrument is to provide transitional exempti</w:t>
      </w:r>
      <w:r w:rsidR="0048331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ve relief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from the 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Clearing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Requirement</w:t>
      </w:r>
      <w:r w:rsidR="00853F9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under the Rules</w:t>
      </w:r>
      <w:r w:rsidR="002C627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in relation to </w:t>
      </w:r>
      <w:r w:rsidR="004838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swaptions containing embedded 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options </w:t>
      </w:r>
      <w:r w:rsidR="004838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over</w:t>
      </w:r>
      <w:r w:rsidR="00F7715C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Clearing Derivative</w:t>
      </w:r>
      <w:r w:rsidR="004838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s. The relief applies </w:t>
      </w:r>
      <w:r w:rsidR="00853F9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to</w:t>
      </w:r>
      <w:r w:rsidR="004838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swaptions </w:t>
      </w:r>
      <w:r w:rsidR="00853F9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that </w:t>
      </w:r>
      <w:r w:rsidR="004838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have been entered before</w:t>
      </w:r>
      <w:r w:rsidR="002C627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commencement of the Rules on 4 April 2016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8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Calibri" w:eastAsia="Times New Roman" w:hAnsi="Calibri" w:cs="Times New Roman"/>
          <w:color w:val="000000"/>
          <w:lang w:eastAsia="en-AU"/>
        </w:rPr>
        <w:t> </w:t>
      </w:r>
    </w:p>
    <w:p w14:paraId="44F59D99" w14:textId="7F29B12E" w:rsid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Legislative Instrument </w:t>
      </w:r>
      <w:r w:rsidR="00F7715C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is</w:t>
      </w:r>
      <w:r w:rsidR="00587858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described in more detail in 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en-AU"/>
        </w:rPr>
        <w:t>Attachment A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9A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B" w14:textId="2AB1DCC4" w:rsidR="00C12570" w:rsidRPr="00C12570" w:rsidRDefault="00C12570" w:rsidP="00C1257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3.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Commencement of Legislative Instrument</w:t>
      </w:r>
    </w:p>
    <w:p w14:paraId="44F59D9C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D" w14:textId="741A175A" w:rsidR="00C12570" w:rsidRPr="00C12570" w:rsidRDefault="001167E9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</w:t>
      </w:r>
      <w:r w:rsidR="00587858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Legislative Instrument</w:t>
      </w:r>
      <w:r w:rsidR="00587858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commences on the </w:t>
      </w:r>
      <w:r w:rsidR="00587858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day after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instrument is registered </w:t>
      </w:r>
      <w:r w:rsidR="0086143D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on the Federal Register of Legislation</w:t>
      </w:r>
      <w:r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.</w:t>
      </w:r>
      <w:r w:rsidR="00C12570"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 xml:space="preserve"> </w:t>
      </w:r>
    </w:p>
    <w:p w14:paraId="44F59D9E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9F" w14:textId="77777777" w:rsidR="00C12570" w:rsidRPr="00C12570" w:rsidRDefault="00C12570" w:rsidP="00C1257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4.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Consultation</w:t>
      </w:r>
    </w:p>
    <w:p w14:paraId="44F59DA0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> </w:t>
      </w:r>
    </w:p>
    <w:p w14:paraId="44F59DA1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val="en-GB" w:eastAsia="en-AU"/>
        </w:rPr>
        <w:t>Consultation on Legislative Instrument</w:t>
      </w:r>
    </w:p>
    <w:p w14:paraId="44F59DA2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GB" w:eastAsia="en-AU"/>
        </w:rPr>
        <w:t> </w:t>
      </w:r>
    </w:p>
    <w:p w14:paraId="44F59DA3" w14:textId="7959F7DC" w:rsidR="00C12570" w:rsidRDefault="00C12570" w:rsidP="002C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lastRenderedPageBreak/>
        <w:t xml:space="preserve">ASIC consulted on the Legislative Instrument through discussions and correspondence with </w:t>
      </w:r>
      <w:r w:rsidR="00676D16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 xml:space="preserve">several </w:t>
      </w:r>
      <w:r w:rsidR="002C6273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>Clearing Entities</w:t>
      </w:r>
      <w:r w:rsidR="00F03899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>,</w:t>
      </w:r>
      <w:r w:rsidR="002C6273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 xml:space="preserve"> 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</w:t>
      </w:r>
      <w:r w:rsidR="005901FB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International Swaps and Derivatives Association (</w:t>
      </w:r>
      <w:r w:rsidR="005901F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en-AU"/>
        </w:rPr>
        <w:t>ISDA</w:t>
      </w:r>
      <w:r w:rsidR="005901FB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</w:t>
      </w:r>
      <w:r w:rsidR="00F03899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and the Australian Financial Markets Association (</w:t>
      </w:r>
      <w:r w:rsidR="00F03899" w:rsidRPr="00F0389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en-AU"/>
        </w:rPr>
        <w:t>AFMA</w:t>
      </w:r>
      <w:r w:rsidR="00F03899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A4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> </w:t>
      </w:r>
    </w:p>
    <w:p w14:paraId="44F59DA5" w14:textId="77777777" w:rsidR="00C12570" w:rsidRPr="00C12570" w:rsidRDefault="00C12570" w:rsidP="001B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5.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Regulation Impact Statement</w:t>
      </w:r>
    </w:p>
    <w:p w14:paraId="44F59DA6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A7" w14:textId="1BB84ABA" w:rsidR="00676D16" w:rsidRPr="00673674" w:rsidRDefault="00C12570" w:rsidP="006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A Regulation Impact Statement </w:t>
      </w:r>
      <w:r w:rsidR="003B7FB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(RIS)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was prepared in relation to the Rules</w:t>
      </w:r>
      <w:r w:rsidR="0086143D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and approved by </w:t>
      </w:r>
      <w:r w:rsidR="00682BB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Office of Best Practice Regulation (OBPR). </w:t>
      </w:r>
      <w:r w:rsidR="0086143D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An amended RIS has been prepared to take account of the relief granted by the Legislative Instrument and the amended RIS has been approved by OBPR.</w:t>
      </w:r>
    </w:p>
    <w:p w14:paraId="44F59DA8" w14:textId="77777777" w:rsidR="00676D16" w:rsidRPr="00673674" w:rsidRDefault="00676D16" w:rsidP="006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44F59DA9" w14:textId="77777777" w:rsidR="00C12570" w:rsidRPr="00676D16" w:rsidRDefault="00C12570" w:rsidP="006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Legislative Instrument</w:t>
      </w:r>
      <w:r w:rsidR="0095538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substantially reduce</w:t>
      </w:r>
      <w:r w:rsidR="00715C7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the short-term regulatory impact of the Rules on </w:t>
      </w:r>
      <w:r w:rsidR="002C627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Clearing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Entities</w:t>
      </w:r>
      <w:r w:rsidR="002C627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and is consistent with the clearing treatment of </w:t>
      </w:r>
      <w:r w:rsidR="00676D16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OTC Derivatives of a similar nature</w:t>
      </w:r>
      <w:r w:rsidR="002C6273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in the US and Europe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. </w:t>
      </w:r>
      <w:r w:rsidR="00715C75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he impact on ASIC’s regulatory objectives is considered to be minimal.</w:t>
      </w:r>
    </w:p>
    <w:p w14:paraId="44F59DAA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 </w:t>
      </w:r>
    </w:p>
    <w:p w14:paraId="44F59DAB" w14:textId="77777777" w:rsidR="00C12570" w:rsidRPr="00C12570" w:rsidRDefault="00C12570" w:rsidP="00C1257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6.</w:t>
      </w:r>
      <w:r w:rsidRPr="00C1257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Statement of Compatibility with Human Rights</w:t>
      </w:r>
    </w:p>
    <w:p w14:paraId="44F59DAC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AD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A Statement of Compatibility with Human Rights is included in this Explanatory Statement at 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en-AU"/>
        </w:rPr>
        <w:t>Attachment B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AE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AF" w14:textId="77777777" w:rsidR="00C12570" w:rsidRP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 w:type="page"/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lastRenderedPageBreak/>
        <w:t xml:space="preserve">ATTACHMENT A – Provision-by-provision description of the </w:t>
      </w:r>
      <w:r w:rsidR="009553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t xml:space="preserve">legislative </w:t>
      </w: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t>instrument</w:t>
      </w:r>
      <w:r w:rsidR="009553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t>s</w:t>
      </w:r>
    </w:p>
    <w:p w14:paraId="44F59DB0" w14:textId="77777777" w:rsidR="00C12570" w:rsidRDefault="00C12570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Capitalised terms used in this Attachment have the same meaning as in the Rules.</w:t>
      </w:r>
    </w:p>
    <w:p w14:paraId="44F59DB1" w14:textId="77777777" w:rsidR="0095538E" w:rsidRDefault="0095538E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44F59DB2" w14:textId="77777777" w:rsidR="0095538E" w:rsidRPr="00C83C56" w:rsidRDefault="0095538E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</w:pPr>
      <w:r w:rsidRPr="00C8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Legislative Instrument</w:t>
      </w:r>
    </w:p>
    <w:p w14:paraId="44F59DB3" w14:textId="77777777" w:rsidR="0095538E" w:rsidRPr="00C12570" w:rsidRDefault="0095538E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4F59DB4" w14:textId="77777777" w:rsidR="00C12570" w:rsidRPr="00B202F0" w:rsidRDefault="001E2EB6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Section 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1 </w:t>
      </w:r>
      <w:r w:rsidR="0095538E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–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 </w:t>
      </w:r>
      <w:r w:rsidR="0095538E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Name of legislative instrument</w:t>
      </w:r>
    </w:p>
    <w:p w14:paraId="44F59DB5" w14:textId="16475C87" w:rsidR="0095538E" w:rsidRDefault="00715C75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This </w:t>
      </w:r>
      <w:r w:rsidR="001E2EB6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section</w:t>
      </w:r>
      <w:r w:rsidR="001E2EB6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provides that the title of the instrument is</w:t>
      </w:r>
      <w:r w:rsidR="0095538E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the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1B21C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ASIC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Corporations (Derivative Transaction </w:t>
      </w:r>
      <w:r w:rsidR="002C627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Clearing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Exemption) Instrument 201</w:t>
      </w:r>
      <w:r w:rsidR="002C627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/</w:t>
      </w:r>
      <w:r w:rsidR="002C627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258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.</w:t>
      </w:r>
    </w:p>
    <w:p w14:paraId="44F59DB6" w14:textId="77777777" w:rsidR="0095538E" w:rsidRDefault="0095538E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</w:pPr>
    </w:p>
    <w:p w14:paraId="44F59DB7" w14:textId="77777777" w:rsidR="00C12570" w:rsidRPr="000259DA" w:rsidRDefault="001E2EB6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</w:pP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Section 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2 </w:t>
      </w: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–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 </w:t>
      </w: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Commencement</w:t>
      </w:r>
    </w:p>
    <w:p w14:paraId="44F59DB8" w14:textId="78AB9B70" w:rsidR="001E2EB6" w:rsidRPr="001E2EB6" w:rsidRDefault="001E2EB6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207B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 xml:space="preserve">This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>section</w:t>
      </w:r>
      <w:r w:rsidRPr="00207B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 xml:space="preserve"> provides that the instrument commences on the day after it is registered </w:t>
      </w:r>
      <w:r w:rsidR="000C7AD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 xml:space="preserve">of the Federal Register of </w:t>
      </w:r>
      <w:r w:rsidR="00853F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>Legislation</w:t>
      </w:r>
      <w:r w:rsidRPr="00207B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en-AU"/>
        </w:rPr>
        <w:t>.</w:t>
      </w:r>
    </w:p>
    <w:p w14:paraId="44F59DB9" w14:textId="77777777" w:rsidR="00D5338D" w:rsidRPr="000259DA" w:rsidRDefault="00D5338D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</w:pPr>
    </w:p>
    <w:p w14:paraId="44F59DBA" w14:textId="77777777" w:rsidR="00C12570" w:rsidRPr="00B202F0" w:rsidRDefault="001E2EB6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Section 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3 - </w:t>
      </w:r>
      <w:r w:rsidR="0095538E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Authority</w:t>
      </w:r>
    </w:p>
    <w:p w14:paraId="44F59DBB" w14:textId="296C4F47" w:rsidR="00D5338D" w:rsidRDefault="007A0F2C" w:rsidP="007A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This </w:t>
      </w:r>
      <w:r w:rsidR="00207B49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section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provides that ASIC makes the instrument under paragraph 907D(2)(</w:t>
      </w:r>
      <w:r w:rsidR="003B7FB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 of the Act.</w:t>
      </w:r>
    </w:p>
    <w:p w14:paraId="44F59DBC" w14:textId="77777777" w:rsidR="0095538E" w:rsidRDefault="0095538E" w:rsidP="007A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</w:pPr>
    </w:p>
    <w:p w14:paraId="44F59DBD" w14:textId="77777777" w:rsidR="007A0F2C" w:rsidRPr="00B202F0" w:rsidRDefault="001E2EB6" w:rsidP="007A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Section </w:t>
      </w:r>
      <w:r w:rsidR="00C12570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4 </w:t>
      </w:r>
      <w:r w:rsidR="000C7A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- </w:t>
      </w:r>
      <w:r w:rsidR="00207B49" w:rsidRPr="000259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Definitions</w:t>
      </w:r>
    </w:p>
    <w:p w14:paraId="44F59DBE" w14:textId="77777777" w:rsidR="007A0F2C" w:rsidRPr="00C12570" w:rsidRDefault="001E2EB6" w:rsidP="007A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Section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7A0F2C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4</w:t>
      </w:r>
      <w:r w:rsidR="007A0F2C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of the instrument provides for definitions of terms used in the instrument.</w:t>
      </w:r>
    </w:p>
    <w:p w14:paraId="44F59DBF" w14:textId="77777777" w:rsidR="007A0F2C" w:rsidRDefault="007A0F2C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</w:pPr>
    </w:p>
    <w:p w14:paraId="44F59DC0" w14:textId="77777777" w:rsidR="00C12570" w:rsidRPr="00673674" w:rsidRDefault="001E2EB6" w:rsidP="00C1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Sections </w:t>
      </w:r>
      <w:r w:rsidR="007A0F2C"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5</w:t>
      </w:r>
      <w:r w:rsidR="00C12570"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– Exemption</w:t>
      </w:r>
      <w:r w:rsidR="000C7AD4"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 xml:space="preserve"> 1 (Swaption)</w:t>
      </w:r>
    </w:p>
    <w:p w14:paraId="492560E3" w14:textId="77777777" w:rsidR="00702E8F" w:rsidRPr="00673674" w:rsidRDefault="003B7FBE" w:rsidP="00702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Section 5 of the instrument provides </w:t>
      </w:r>
      <w:r w:rsidR="00702E8F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that Rule 2.1.1 of the Rules does not apply to a Clearing Transaction that is the entry into a Clearing Derivative where:</w:t>
      </w:r>
    </w:p>
    <w:p w14:paraId="3A02B65D" w14:textId="7B35E4EB" w:rsidR="00702E8F" w:rsidRPr="00673674" w:rsidRDefault="00702E8F" w:rsidP="00702E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Clearing Derivative was entered into as a result of a party to a Swaption exercising the option granted to the party under the Swaption; and</w:t>
      </w:r>
    </w:p>
    <w:p w14:paraId="151AD5B8" w14:textId="76F604C8" w:rsidR="00702E8F" w:rsidRPr="00673674" w:rsidRDefault="00702E8F" w:rsidP="00702E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Swaption was entered into before 4 April 2016.</w:t>
      </w:r>
    </w:p>
    <w:p w14:paraId="0B105D39" w14:textId="3AC392B8" w:rsidR="003B7FBE" w:rsidRDefault="003B7FBE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en-AU"/>
        </w:rPr>
      </w:pPr>
    </w:p>
    <w:p w14:paraId="43C8C1FC" w14:textId="77777777" w:rsidR="003B7FBE" w:rsidRDefault="003B7FBE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en-AU"/>
        </w:rPr>
      </w:pPr>
    </w:p>
    <w:p w14:paraId="44F59DC1" w14:textId="0DD51D11" w:rsidR="000C7AD4" w:rsidRDefault="000C7AD4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br w:type="page"/>
      </w:r>
    </w:p>
    <w:p w14:paraId="44F59DC2" w14:textId="77777777" w:rsidR="00C12570" w:rsidRPr="00C12570" w:rsidRDefault="00C12570" w:rsidP="00C1257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AU"/>
        </w:rPr>
        <w:t>ATTACHMENT B – Statement of Compatibility with Human Rights</w:t>
      </w:r>
    </w:p>
    <w:p w14:paraId="44F59DC3" w14:textId="77777777" w:rsidR="00C12570" w:rsidRPr="00C12570" w:rsidRDefault="00C12570" w:rsidP="00C1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Prepared in accordance with Part 3 of the Human Rights (Parliamentary Scrutiny) Act 2011.</w:t>
      </w:r>
    </w:p>
    <w:p w14:paraId="44F59DC4" w14:textId="6A77175D" w:rsidR="00B5623D" w:rsidRPr="001B7100" w:rsidRDefault="00B5623D" w:rsidP="00B56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1B710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ASIC Corporations (Derivative Transaction </w:t>
      </w:r>
      <w:r w:rsidR="000C7AD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Clearing</w:t>
      </w:r>
      <w:r w:rsidR="000C7AD4" w:rsidRPr="001B710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1B710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Exemption) Instrument 201</w:t>
      </w:r>
      <w:r w:rsidR="000C7AD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6</w:t>
      </w:r>
      <w:r w:rsidRPr="001B710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</w:t>
      </w:r>
      <w:r w:rsidR="000C7AD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258</w:t>
      </w:r>
    </w:p>
    <w:p w14:paraId="44F59DC5" w14:textId="77777777" w:rsidR="00C12570" w:rsidRPr="00C12570" w:rsidRDefault="00B5623D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e above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C12570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legislative instrument</w:t>
      </w:r>
      <w:r w:rsidR="0048331B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0C7AD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is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C12570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compatible with the human rights and freedoms recognised or declared in the international instruments listed in section 3 of the </w:t>
      </w:r>
      <w:r w:rsidR="00C12570" w:rsidRPr="00C125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Human Rights (Parliamentary Scrutiny) Act 2011</w:t>
      </w:r>
      <w:r w:rsidR="00C12570"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C6" w14:textId="77777777" w:rsidR="00C12570" w:rsidRPr="00C12570" w:rsidRDefault="00C12570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1.      Overview of the Legislative Instrument</w:t>
      </w:r>
    </w:p>
    <w:p w14:paraId="44F59DC7" w14:textId="27EE2CB6" w:rsidR="00C12570" w:rsidRPr="00673674" w:rsidRDefault="00B5623D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The </w:t>
      </w:r>
      <w:r w:rsidR="00C12570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ASIC </w:t>
      </w:r>
      <w:r w:rsidR="00836A1A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Corporations (Derivative Transaction </w:t>
      </w:r>
      <w:r w:rsidR="000C7AD4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Clearing </w:t>
      </w:r>
      <w:r w:rsidR="00836A1A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Exemption) </w:t>
      </w:r>
      <w:r w:rsidR="00C12570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 xml:space="preserve">Instrument </w:t>
      </w:r>
      <w:r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201</w:t>
      </w:r>
      <w:r w:rsidR="000C7AD4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6</w:t>
      </w:r>
      <w:r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/</w:t>
      </w:r>
      <w:r w:rsidR="000C7AD4" w:rsidRPr="0067367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AU"/>
        </w:rPr>
        <w:t>0258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(the </w:t>
      </w:r>
      <w:r w:rsidR="00C12570"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Legislative Instrument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), made by ASIC under paragraph 907D(2)(</w:t>
      </w:r>
      <w:r w:rsidR="003B7FB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 of the </w:t>
      </w:r>
      <w:r w:rsidR="00C12570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Corporations Act 2001</w:t>
      </w:r>
      <w:r w:rsidR="00836A1A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 xml:space="preserve">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(the </w:t>
      </w:r>
      <w:r w:rsidR="00C12570"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), provide</w:t>
      </w:r>
      <w:r w:rsidR="0048331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="000C7AD4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transitional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exempti</w:t>
      </w:r>
      <w:r w:rsidR="000C7AD4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ve relief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from the </w:t>
      </w:r>
      <w:r w:rsidR="000C7AD4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clearing 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requirements under the </w:t>
      </w:r>
      <w:r w:rsidR="00C12570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ASIC Derivative Transaction Rules (</w:t>
      </w:r>
      <w:r w:rsidR="000C7AD4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Clearing</w:t>
      </w:r>
      <w:r w:rsidR="00C12570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) 201</w:t>
      </w:r>
      <w:r w:rsidR="000C7AD4" w:rsidRPr="006736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AU"/>
        </w:rPr>
        <w:t>5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(the </w:t>
      </w:r>
      <w:r w:rsidR="00C12570" w:rsidRPr="0067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n-AU"/>
        </w:rPr>
        <w:t>Rules</w:t>
      </w:r>
      <w:r w:rsidR="00C12570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).</w:t>
      </w:r>
    </w:p>
    <w:p w14:paraId="44F59DC8" w14:textId="77777777" w:rsidR="00836A1A" w:rsidRDefault="00C12570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Rules</w:t>
      </w:r>
      <w:r w:rsidR="00836A1A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impose requirements (referred to in the Rules as '</w:t>
      </w:r>
      <w:r w:rsidR="000C7AD4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Requirements'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) on ‘</w:t>
      </w:r>
      <w:r w:rsidR="000C7AD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Entities’ to </w:t>
      </w:r>
      <w:r w:rsidR="000C7AD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ensure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their ‘</w:t>
      </w:r>
      <w:r w:rsidR="000C7AD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Transactions’ </w:t>
      </w:r>
      <w:r w:rsidR="000C7AD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are Cleared Through a Clearing Facility as soon as reasonably practicable after the Clearing Transaction is entered into</w:t>
      </w: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.</w:t>
      </w:r>
    </w:p>
    <w:p w14:paraId="44F59DC9" w14:textId="77777777" w:rsidR="00C12570" w:rsidRPr="00C12570" w:rsidRDefault="00C12570" w:rsidP="00C125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 </w:t>
      </w:r>
    </w:p>
    <w:p w14:paraId="44F59DCA" w14:textId="728600D2" w:rsidR="00202B21" w:rsidRPr="00673674" w:rsidRDefault="00C12570" w:rsidP="00C125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purpose of the Legislative Instrument is to provide limited transitional exempti</w:t>
      </w:r>
      <w:r w:rsidR="0097776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ve relief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from the </w:t>
      </w:r>
      <w:r w:rsidR="0097776E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Clearing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 Requirements under the Rules </w:t>
      </w:r>
      <w:r w:rsidR="00853F9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in relation </w:t>
      </w:r>
      <w:r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 xml:space="preserve">to </w:t>
      </w:r>
      <w:r w:rsidR="00853F9B" w:rsidRPr="00673674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swaptions containing embedded options over Clearing Derivatives. The relief applies to swaptions that have been entered before the commencement of the Rules on 4 April 2016. </w:t>
      </w:r>
      <w:r w:rsidRPr="006736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4F59DCB" w14:textId="77777777" w:rsidR="00C12570" w:rsidRPr="00C12570" w:rsidRDefault="00C12570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736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2.      Human rights implications</w:t>
      </w:r>
    </w:p>
    <w:p w14:paraId="44F59DCC" w14:textId="77777777" w:rsidR="00676D16" w:rsidRDefault="00676D16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 w:rsidRPr="00676D16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t>The Legislative Instrument does not engage any of the applicable rights or freedoms.</w:t>
      </w:r>
    </w:p>
    <w:p w14:paraId="44F59DCD" w14:textId="77777777" w:rsidR="00C12570" w:rsidRPr="00C12570" w:rsidRDefault="00C12570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AU"/>
        </w:rPr>
        <w:t>3.      Conclusion</w:t>
      </w:r>
    </w:p>
    <w:p w14:paraId="44F59DCE" w14:textId="77777777" w:rsidR="00202B21" w:rsidRPr="00C83C56" w:rsidRDefault="0097776E" w:rsidP="00C83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02B21" w:rsidRPr="000E1134">
        <w:rPr>
          <w:rFonts w:ascii="Times New Roman" w:hAnsi="Times New Roman"/>
          <w:sz w:val="24"/>
          <w:szCs w:val="24"/>
        </w:rPr>
        <w:t>Th</w:t>
      </w:r>
      <w:r w:rsidR="00762BA1">
        <w:rPr>
          <w:rFonts w:ascii="Times New Roman" w:hAnsi="Times New Roman"/>
          <w:sz w:val="24"/>
          <w:szCs w:val="24"/>
        </w:rPr>
        <w:t>e</w:t>
      </w:r>
      <w:r w:rsidR="00202B21" w:rsidRPr="000E1134">
        <w:rPr>
          <w:rFonts w:ascii="Times New Roman" w:hAnsi="Times New Roman"/>
          <w:sz w:val="24"/>
          <w:szCs w:val="24"/>
        </w:rPr>
        <w:t xml:space="preserve"> </w:t>
      </w:r>
      <w:r w:rsidR="00202B21">
        <w:rPr>
          <w:rFonts w:ascii="Times New Roman" w:hAnsi="Times New Roman"/>
          <w:sz w:val="24"/>
          <w:szCs w:val="24"/>
        </w:rPr>
        <w:t>Legislative Instrument</w:t>
      </w:r>
      <w:r w:rsidR="00202B21" w:rsidRPr="008B3B0C">
        <w:rPr>
          <w:rFonts w:ascii="Times New Roman" w:hAnsi="Times New Roman"/>
          <w:sz w:val="24"/>
          <w:szCs w:val="24"/>
        </w:rPr>
        <w:t xml:space="preserve"> </w:t>
      </w:r>
      <w:r w:rsidR="00202B21" w:rsidRPr="000E1134">
        <w:rPr>
          <w:rFonts w:ascii="Times New Roman" w:hAnsi="Times New Roman"/>
          <w:sz w:val="24"/>
          <w:szCs w:val="24"/>
        </w:rPr>
        <w:t>is compatible with human rights as it does not raise any human rights issues.</w:t>
      </w:r>
    </w:p>
    <w:p w14:paraId="44F59DCF" w14:textId="77777777" w:rsidR="00C12570" w:rsidRPr="00C12570" w:rsidRDefault="00C12570" w:rsidP="00C12570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12570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AU"/>
        </w:rPr>
        <w:t> </w:t>
      </w:r>
    </w:p>
    <w:p w14:paraId="44F59DD0" w14:textId="77777777" w:rsidR="008B3093" w:rsidRDefault="008B3093" w:rsidP="00A8431A">
      <w:bookmarkStart w:id="0" w:name="_GoBack"/>
      <w:bookmarkEnd w:id="0"/>
    </w:p>
    <w:sectPr w:rsidR="008B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D4"/>
    <w:multiLevelType w:val="hybridMultilevel"/>
    <w:tmpl w:val="7FFEB31A"/>
    <w:lvl w:ilvl="0" w:tplc="6E96D1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836"/>
    <w:multiLevelType w:val="multilevel"/>
    <w:tmpl w:val="037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77D1E"/>
    <w:multiLevelType w:val="multilevel"/>
    <w:tmpl w:val="89A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F4CB2"/>
    <w:multiLevelType w:val="multilevel"/>
    <w:tmpl w:val="1D0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B6CCF"/>
    <w:multiLevelType w:val="multilevel"/>
    <w:tmpl w:val="259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B4771"/>
    <w:multiLevelType w:val="hybridMultilevel"/>
    <w:tmpl w:val="8D489F26"/>
    <w:lvl w:ilvl="0" w:tplc="47AE74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34DD2"/>
    <w:multiLevelType w:val="hybridMultilevel"/>
    <w:tmpl w:val="0FC6A112"/>
    <w:lvl w:ilvl="0" w:tplc="42CAD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16A79"/>
    <w:multiLevelType w:val="multilevel"/>
    <w:tmpl w:val="E91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70"/>
    <w:rsid w:val="000259DA"/>
    <w:rsid w:val="000330A6"/>
    <w:rsid w:val="000570AF"/>
    <w:rsid w:val="000C7AD4"/>
    <w:rsid w:val="000D2279"/>
    <w:rsid w:val="000D614A"/>
    <w:rsid w:val="000E5818"/>
    <w:rsid w:val="001167E9"/>
    <w:rsid w:val="00120DF9"/>
    <w:rsid w:val="0017104B"/>
    <w:rsid w:val="00174CA0"/>
    <w:rsid w:val="001B21C4"/>
    <w:rsid w:val="001B7100"/>
    <w:rsid w:val="001E2EB6"/>
    <w:rsid w:val="00202B21"/>
    <w:rsid w:val="00207B49"/>
    <w:rsid w:val="00220CD3"/>
    <w:rsid w:val="00240227"/>
    <w:rsid w:val="002433D7"/>
    <w:rsid w:val="00256E6A"/>
    <w:rsid w:val="00270A6B"/>
    <w:rsid w:val="002C023B"/>
    <w:rsid w:val="002C6273"/>
    <w:rsid w:val="003123E7"/>
    <w:rsid w:val="00315FE0"/>
    <w:rsid w:val="00360826"/>
    <w:rsid w:val="00361DF8"/>
    <w:rsid w:val="003B7FBE"/>
    <w:rsid w:val="00415E43"/>
    <w:rsid w:val="00437FAF"/>
    <w:rsid w:val="00460CE4"/>
    <w:rsid w:val="00465DA3"/>
    <w:rsid w:val="0048331B"/>
    <w:rsid w:val="0048388E"/>
    <w:rsid w:val="004B3824"/>
    <w:rsid w:val="005036D4"/>
    <w:rsid w:val="0050482F"/>
    <w:rsid w:val="00523EB8"/>
    <w:rsid w:val="00527C4B"/>
    <w:rsid w:val="00554917"/>
    <w:rsid w:val="00587858"/>
    <w:rsid w:val="005901FB"/>
    <w:rsid w:val="005A0F1A"/>
    <w:rsid w:val="005D6F5D"/>
    <w:rsid w:val="005F6406"/>
    <w:rsid w:val="00602606"/>
    <w:rsid w:val="0066515C"/>
    <w:rsid w:val="00673674"/>
    <w:rsid w:val="00676D16"/>
    <w:rsid w:val="00682BB0"/>
    <w:rsid w:val="006873BB"/>
    <w:rsid w:val="006D2A57"/>
    <w:rsid w:val="006F54B6"/>
    <w:rsid w:val="00702E8F"/>
    <w:rsid w:val="00715C75"/>
    <w:rsid w:val="0075026F"/>
    <w:rsid w:val="00762BA1"/>
    <w:rsid w:val="007A0F2C"/>
    <w:rsid w:val="007B45DB"/>
    <w:rsid w:val="00836A1A"/>
    <w:rsid w:val="00853F9B"/>
    <w:rsid w:val="0086143D"/>
    <w:rsid w:val="00890373"/>
    <w:rsid w:val="008B3093"/>
    <w:rsid w:val="008E55C3"/>
    <w:rsid w:val="008F44BA"/>
    <w:rsid w:val="0095538E"/>
    <w:rsid w:val="00970375"/>
    <w:rsid w:val="0097776E"/>
    <w:rsid w:val="009B7225"/>
    <w:rsid w:val="009D7EC1"/>
    <w:rsid w:val="009F4559"/>
    <w:rsid w:val="00A47D06"/>
    <w:rsid w:val="00A622A4"/>
    <w:rsid w:val="00A664FF"/>
    <w:rsid w:val="00A71FBE"/>
    <w:rsid w:val="00A8431A"/>
    <w:rsid w:val="00B202F0"/>
    <w:rsid w:val="00B3522E"/>
    <w:rsid w:val="00B504E6"/>
    <w:rsid w:val="00B5623D"/>
    <w:rsid w:val="00B92B3A"/>
    <w:rsid w:val="00BA3AD0"/>
    <w:rsid w:val="00C12570"/>
    <w:rsid w:val="00C25E9D"/>
    <w:rsid w:val="00C42995"/>
    <w:rsid w:val="00C771FA"/>
    <w:rsid w:val="00C83C56"/>
    <w:rsid w:val="00CE3F63"/>
    <w:rsid w:val="00D35642"/>
    <w:rsid w:val="00D51E69"/>
    <w:rsid w:val="00D5338D"/>
    <w:rsid w:val="00D90A6C"/>
    <w:rsid w:val="00DD564E"/>
    <w:rsid w:val="00DD6C9F"/>
    <w:rsid w:val="00DF0FC2"/>
    <w:rsid w:val="00E3710E"/>
    <w:rsid w:val="00E64BD5"/>
    <w:rsid w:val="00E745A2"/>
    <w:rsid w:val="00E75E7D"/>
    <w:rsid w:val="00F03899"/>
    <w:rsid w:val="00F24DDF"/>
    <w:rsid w:val="00F36BA5"/>
    <w:rsid w:val="00F7715C"/>
    <w:rsid w:val="00F81F37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570"/>
  </w:style>
  <w:style w:type="character" w:styleId="Hyperlink">
    <w:name w:val="Hyperlink"/>
    <w:basedOn w:val="DefaultParagraphFont"/>
    <w:uiPriority w:val="99"/>
    <w:semiHidden/>
    <w:unhideWhenUsed/>
    <w:rsid w:val="00C1257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2570"/>
  </w:style>
  <w:style w:type="paragraph" w:customStyle="1" w:styleId="default">
    <w:name w:val="default"/>
    <w:basedOn w:val="Normal"/>
    <w:rsid w:val="00C1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5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858"/>
    <w:pPr>
      <w:spacing w:after="0" w:line="240" w:lineRule="auto"/>
    </w:pPr>
  </w:style>
  <w:style w:type="paragraph" w:customStyle="1" w:styleId="LI-BodyTextNumbered">
    <w:name w:val="LI - Body Text Numbered"/>
    <w:basedOn w:val="Normal"/>
    <w:link w:val="LI-BodyTextNumberedChar"/>
    <w:qFormat/>
    <w:rsid w:val="005036D4"/>
    <w:pPr>
      <w:spacing w:before="240"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BodyTextNumberedChar">
    <w:name w:val="LI - Body Text Numbered Char"/>
    <w:link w:val="LI-BodyTextNumbered"/>
    <w:rsid w:val="005036D4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570"/>
  </w:style>
  <w:style w:type="character" w:styleId="Hyperlink">
    <w:name w:val="Hyperlink"/>
    <w:basedOn w:val="DefaultParagraphFont"/>
    <w:uiPriority w:val="99"/>
    <w:semiHidden/>
    <w:unhideWhenUsed/>
    <w:rsid w:val="00C1257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2570"/>
  </w:style>
  <w:style w:type="paragraph" w:customStyle="1" w:styleId="default">
    <w:name w:val="default"/>
    <w:basedOn w:val="Normal"/>
    <w:rsid w:val="00C1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5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858"/>
    <w:pPr>
      <w:spacing w:after="0" w:line="240" w:lineRule="auto"/>
    </w:pPr>
  </w:style>
  <w:style w:type="paragraph" w:customStyle="1" w:styleId="LI-BodyTextNumbered">
    <w:name w:val="LI - Body Text Numbered"/>
    <w:basedOn w:val="Normal"/>
    <w:link w:val="LI-BodyTextNumberedChar"/>
    <w:qFormat/>
    <w:rsid w:val="005036D4"/>
    <w:pPr>
      <w:spacing w:before="240"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BodyTextNumberedChar">
    <w:name w:val="LI - Body Text Numbered Char"/>
    <w:link w:val="LI-BodyTextNumbered"/>
    <w:rsid w:val="005036D4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7e3e4654c41b3bfc62440ac2045fe xmlns="45ece80c-b315-4d5d-9a70-8e6727b661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947e3e4654c41b3bfc62440ac2045fe>
    <RecordNumber xmlns="da7a9ac0-bc47-4684-84e6-3a8e9ac80c12">R20160000178375</RecordNumber>
    <ObjectiveID xmlns="da7a9ac0-bc47-4684-84e6-3a8e9ac80c12" xsi:nil="true"/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TaxCatchAll xmlns="45ece80c-b315-4d5d-9a70-8e6727b66180">
      <Value>6</Value>
    </TaxCatchAll>
    <NotesLinks xmlns="da7a9ac0-bc47-4684-84e6-3a8e9ac80c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6230EB0F13162A4CBA24F6723BC8FB1F" ma:contentTypeVersion="19" ma:contentTypeDescription="" ma:contentTypeScope="" ma:versionID="8b4846959570308f8a4dcddf2b35675b">
  <xsd:schema xmlns:xsd="http://www.w3.org/2001/XMLSchema" xmlns:xs="http://www.w3.org/2001/XMLSchema" xmlns:p="http://schemas.microsoft.com/office/2006/metadata/properties" xmlns:ns2="da7a9ac0-bc47-4684-84e6-3a8e9ac80c12" xmlns:ns3="45ece80c-b315-4d5d-9a70-8e6727b66180" xmlns:ns5="17f478ab-373e-4295-9ff0-9b833ad01319" xmlns:ns6="http://schemas.microsoft.com/sharepoint/v4" targetNamespace="http://schemas.microsoft.com/office/2006/metadata/properties" ma:root="true" ma:fieldsID="82b77f1d08dc9db82800a40c510c392d" ns2:_="" ns3:_="" ns5:_="" ns6:_="">
    <xsd:import namespace="da7a9ac0-bc47-4684-84e6-3a8e9ac80c12"/>
    <xsd:import namespace="45ece80c-b315-4d5d-9a70-8e6727b66180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947e3e4654c41b3bfc62440ac2045fe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e80c-b315-4d5d-9a70-8e6727b6618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fa2fde2e-23a4-4ca6-95d5-a937369306aa}" ma:internalName="TaxCatchAll" ma:showField="CatchAllData" ma:web="45ece80c-b315-4d5d-9a70-8e6727b66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fa2fde2e-23a4-4ca6-95d5-a937369306aa}" ma:internalName="TaxCatchAllLabel" ma:readOnly="true" ma:showField="CatchAllDataLabel" ma:web="45ece80c-b315-4d5d-9a70-8e6727b66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47e3e4654c41b3bfc62440ac2045fe" ma:index="17" ma:taxonomy="true" ma:internalName="d947e3e4654c41b3bfc62440ac2045fe" ma:taxonomyFieldName="SecurityClassification" ma:displayName="Security Classification" ma:default="6;#Sensitive|19fd2cb8-3e97-4464-ae71-8c2c2095d028" ma:fieldId="{d947e3e4-654c-41b3-bfc6-2440ac2045fe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7EB6-C399-443E-9325-4E72EA274EC5}"/>
</file>

<file path=customXml/itemProps2.xml><?xml version="1.0" encoding="utf-8"?>
<ds:datastoreItem xmlns:ds="http://schemas.openxmlformats.org/officeDocument/2006/customXml" ds:itemID="{E3885E0E-FC7B-46C8-8147-2F211578EBDD}"/>
</file>

<file path=customXml/itemProps3.xml><?xml version="1.0" encoding="utf-8"?>
<ds:datastoreItem xmlns:ds="http://schemas.openxmlformats.org/officeDocument/2006/customXml" ds:itemID="{5D252A8B-3CE8-4EC7-BA61-A28136C7A654}"/>
</file>

<file path=customXml/itemProps4.xml><?xml version="1.0" encoding="utf-8"?>
<ds:datastoreItem xmlns:ds="http://schemas.openxmlformats.org/officeDocument/2006/customXml" ds:itemID="{841D849B-9629-4D9A-9F81-4CDE3A165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Explanatory Statement to Corporations Act (Derivative Transaction Clearing Exemption) 2016-0258</vt:lpstr>
    </vt:vector>
  </TitlesOfParts>
  <Company>ASIC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Explanatory Statement to Corporations Act (Derivative Transaction Clearing Exemption) 2016-0258</dc:title>
  <dc:creator>Hui-Xian.Chong</dc:creator>
  <cp:lastModifiedBy>ASIC</cp:lastModifiedBy>
  <cp:revision>10</cp:revision>
  <cp:lastPrinted>2016-03-31T04:56:00Z</cp:lastPrinted>
  <dcterms:created xsi:type="dcterms:W3CDTF">2016-03-23T03:30:00Z</dcterms:created>
  <dcterms:modified xsi:type="dcterms:W3CDTF">2016-03-31T06:15:00Z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A4604988</vt:lpwstr>
  </property>
  <property fmtid="{D5CDD505-2E9C-101B-9397-08002B2CF9AE}" pid="4" name="Objective-Title">
    <vt:lpwstr>FINAL Explanatory Statement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2015-09-18T01:49:33Z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2015-09-18T01:53:50Z</vt:filetime>
  </property>
  <property fmtid="{D5CDD505-2E9C-101B-9397-08002B2CF9AE}" pid="11" name="Objective-Owner">
    <vt:lpwstr>Hui-xian.Chong</vt:lpwstr>
  </property>
  <property fmtid="{D5CDD505-2E9C-101B-9397-08002B2CF9AE}" pid="12" name="Objective-Path">
    <vt:lpwstr>BCS:ASIC:POLICY &amp; REGULATORY FRAMEWORK:Policy Development:Markets:G20 OTC Derivative Reforms:Trade reporting (DTRs):Relief Applications:AFMA-ISDA Industry Relief 2015:</vt:lpwstr>
  </property>
  <property fmtid="{D5CDD505-2E9C-101B-9397-08002B2CF9AE}" pid="13" name="Objective-Parent">
    <vt:lpwstr>AFMA-ISDA Industry Relief 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0x010100B5F685A1365F544391EF8C813B164F3A006230EB0F13162A4CBA24F6723BC8FB1F</vt:lpwstr>
  </property>
  <property fmtid="{D5CDD505-2E9C-101B-9397-08002B2CF9AE}" pid="23" name="Order">
    <vt:r8>1400</vt:r8>
  </property>
  <property fmtid="{D5CDD505-2E9C-101B-9397-08002B2CF9AE}" pid="24" name="SecurityClassification">
    <vt:lpwstr>6;#Sensitive|19fd2cb8-3e97-4464-ae71-8c2c2095d028</vt:lpwstr>
  </property>
  <property fmtid="{D5CDD505-2E9C-101B-9397-08002B2CF9AE}" pid="25" name="RecordPoint_WorkflowType">
    <vt:lpwstr>ActiveSubmitStub</vt:lpwstr>
  </property>
  <property fmtid="{D5CDD505-2E9C-101B-9397-08002B2CF9AE}" pid="26" name="RecordPoint_ActiveItemWebId">
    <vt:lpwstr>{45ece80c-b315-4d5d-9a70-8e6727b66180}</vt:lpwstr>
  </property>
  <property fmtid="{D5CDD505-2E9C-101B-9397-08002B2CF9AE}" pid="27" name="RecordPoint_ActiveItemSiteId">
    <vt:lpwstr>{368636a5-d9cc-41a1-9183-d1ef0ea347ec}</vt:lpwstr>
  </property>
  <property fmtid="{D5CDD505-2E9C-101B-9397-08002B2CF9AE}" pid="28" name="RecordPoint_ActiveItemListId">
    <vt:lpwstr>{6dab2036-b4ba-47b0-8757-d64fd59db27c}</vt:lpwstr>
  </property>
  <property fmtid="{D5CDD505-2E9C-101B-9397-08002B2CF9AE}" pid="29" name="RecordPoint_ActiveItemUniqueId">
    <vt:lpwstr>{eaf2396f-9f0f-42f1-ada7-295d3bbbbda9}</vt:lpwstr>
  </property>
  <property fmtid="{D5CDD505-2E9C-101B-9397-08002B2CF9AE}" pid="30" name="RecordPoint_RecordNumberSubmitted">
    <vt:lpwstr>R20160000178375</vt:lpwstr>
  </property>
  <property fmtid="{D5CDD505-2E9C-101B-9397-08002B2CF9AE}" pid="31" name="RecordPoint_SubmissionCompleted">
    <vt:lpwstr>2016-04-01T06:34:01.3438618+11:00</vt:lpwstr>
  </property>
</Properties>
</file>