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98" w:rsidRPr="003124F3" w:rsidRDefault="00E06298" w:rsidP="00A3690A">
      <w:pPr>
        <w:ind w:right="372"/>
        <w:jc w:val="center"/>
        <w:rPr>
          <w:b/>
          <w:bCs/>
        </w:rPr>
      </w:pPr>
      <w:r w:rsidRPr="003124F3">
        <w:rPr>
          <w:b/>
          <w:bCs/>
          <w:u w:val="single"/>
        </w:rPr>
        <w:t>EXPLANATORY STATEMENT</w:t>
      </w:r>
    </w:p>
    <w:p w:rsidR="00E06298" w:rsidRPr="003124F3" w:rsidRDefault="00E06298" w:rsidP="00A3690A">
      <w:pPr>
        <w:ind w:right="372"/>
        <w:jc w:val="center"/>
        <w:rPr>
          <w:b/>
          <w:bCs/>
          <w:u w:val="single"/>
        </w:rPr>
      </w:pPr>
      <w:r w:rsidRPr="003124F3">
        <w:rPr>
          <w:b/>
          <w:bCs/>
          <w:u w:val="single"/>
        </w:rPr>
        <w:t xml:space="preserve">Select Legislative Instrument </w:t>
      </w:r>
      <w:r w:rsidR="00B630FB" w:rsidRPr="003124F3">
        <w:rPr>
          <w:b/>
          <w:bCs/>
          <w:u w:val="single"/>
        </w:rPr>
        <w:t>201</w:t>
      </w:r>
      <w:r w:rsidR="00B630FB">
        <w:rPr>
          <w:b/>
          <w:bCs/>
          <w:u w:val="single"/>
        </w:rPr>
        <w:t xml:space="preserve">6 </w:t>
      </w:r>
      <w:r w:rsidR="00930050" w:rsidRPr="000B6374">
        <w:rPr>
          <w:b/>
          <w:bCs/>
          <w:u w:val="single"/>
        </w:rPr>
        <w:t>No.</w:t>
      </w:r>
      <w:r w:rsidRPr="003124F3">
        <w:rPr>
          <w:b/>
          <w:bCs/>
          <w:u w:val="single"/>
        </w:rPr>
        <w:t xml:space="preserve"> </w:t>
      </w:r>
    </w:p>
    <w:p w:rsidR="00A32255" w:rsidRPr="00D02468" w:rsidRDefault="00D02468" w:rsidP="00713EBD">
      <w:pPr>
        <w:ind w:right="372"/>
        <w:jc w:val="center"/>
      </w:pPr>
      <w:r>
        <w:t>Issued by the a</w:t>
      </w:r>
      <w:r w:rsidR="00E06298" w:rsidRPr="00D02468">
        <w:t xml:space="preserve">uthority of the </w:t>
      </w:r>
      <w:r w:rsidR="00713EBD">
        <w:t>Minister for Finance</w:t>
      </w:r>
    </w:p>
    <w:p w:rsidR="00E06298" w:rsidRPr="003124F3" w:rsidRDefault="00E06298" w:rsidP="00A3690A">
      <w:pPr>
        <w:jc w:val="center"/>
        <w:rPr>
          <w:i/>
        </w:rPr>
      </w:pPr>
      <w:r w:rsidRPr="003124F3">
        <w:rPr>
          <w:i/>
        </w:rPr>
        <w:t>Parliamentary Entitlements Act 1990</w:t>
      </w:r>
    </w:p>
    <w:p w:rsidR="00E06298" w:rsidRPr="003124F3" w:rsidRDefault="00930050" w:rsidP="00A3690A">
      <w:pPr>
        <w:spacing w:before="120"/>
        <w:jc w:val="center"/>
        <w:rPr>
          <w:i/>
        </w:rPr>
      </w:pPr>
      <w:r w:rsidRPr="00072F81">
        <w:rPr>
          <w:i/>
        </w:rPr>
        <w:t xml:space="preserve">Parliamentary Entitlements </w:t>
      </w:r>
      <w:r w:rsidR="00713EBD">
        <w:rPr>
          <w:i/>
        </w:rPr>
        <w:t>Amendment</w:t>
      </w:r>
      <w:r w:rsidRPr="00072F81">
        <w:rPr>
          <w:i/>
        </w:rPr>
        <w:t xml:space="preserve"> Regulation 201</w:t>
      </w:r>
      <w:r w:rsidR="00713EBD">
        <w:rPr>
          <w:i/>
        </w:rPr>
        <w:t>6 (No. 1)</w:t>
      </w:r>
    </w:p>
    <w:p w:rsidR="000C261A" w:rsidRDefault="00113E40" w:rsidP="000C261A">
      <w:pPr>
        <w:spacing w:after="120"/>
      </w:pPr>
      <w:bookmarkStart w:id="0" w:name="OLE_LINK1"/>
      <w:bookmarkStart w:id="1" w:name="OLE_LINK2"/>
      <w:r w:rsidRPr="00D57A71">
        <w:t xml:space="preserve">The </w:t>
      </w:r>
      <w:r w:rsidRPr="00D57A71">
        <w:rPr>
          <w:i/>
          <w:iCs/>
        </w:rPr>
        <w:t xml:space="preserve">Parliamentary Entitlements Act 1990 </w:t>
      </w:r>
      <w:r w:rsidRPr="00D57A71">
        <w:t xml:space="preserve">(the Act) provides members of each House of </w:t>
      </w:r>
      <w:r w:rsidR="00713EBD">
        <w:t xml:space="preserve">the </w:t>
      </w:r>
      <w:r w:rsidRPr="00D57A71">
        <w:t>Parliament (mem</w:t>
      </w:r>
      <w:bookmarkStart w:id="2" w:name="OLE_LINK3"/>
      <w:bookmarkStart w:id="3" w:name="OLE_LINK4"/>
      <w:bookmarkStart w:id="4" w:name="OLE_LINK5"/>
      <w:r w:rsidR="006F24D8">
        <w:t xml:space="preserve">bers) with a range of </w:t>
      </w:r>
      <w:r w:rsidR="00234F81">
        <w:t xml:space="preserve">benefits. These benefits are set out in Schedule 1 </w:t>
      </w:r>
      <w:r w:rsidR="00F200D1">
        <w:t xml:space="preserve">to </w:t>
      </w:r>
      <w:r w:rsidR="00234F81">
        <w:t xml:space="preserve">the Act </w:t>
      </w:r>
      <w:r w:rsidR="002E5519">
        <w:t>(section 4), and additio</w:t>
      </w:r>
      <w:r w:rsidR="00F200D1">
        <w:t>n</w:t>
      </w:r>
      <w:r w:rsidR="002E5519">
        <w:t>a</w:t>
      </w:r>
      <w:r w:rsidR="00F200D1">
        <w:t>l</w:t>
      </w:r>
      <w:r w:rsidR="002E5519">
        <w:t xml:space="preserve"> benefits may be prescribed by regulations made by the Governor-General (paragraph 5(1)(b)).</w:t>
      </w:r>
      <w:r w:rsidR="00A32255">
        <w:t xml:space="preserve"> </w:t>
      </w:r>
      <w:r w:rsidR="002E5519">
        <w:t xml:space="preserve">Section 12 of the Act provides that the Governor-General may make regulations for the purposes of paragraph 5(1)(b) of the Act. The </w:t>
      </w:r>
      <w:r w:rsidR="002E5519">
        <w:rPr>
          <w:i/>
        </w:rPr>
        <w:t xml:space="preserve">Parliamentary Entitlements Regulations 1997 </w:t>
      </w:r>
      <w:r w:rsidR="002E5519">
        <w:t>(the Principal Regulations) currently prescribe a range of additional benefits (Parts 1 to 3).</w:t>
      </w:r>
    </w:p>
    <w:p w:rsidR="000C261A" w:rsidRPr="000C261A" w:rsidRDefault="009274DE" w:rsidP="000C261A">
      <w:r>
        <w:t>This</w:t>
      </w:r>
      <w:r w:rsidR="00D90800">
        <w:t xml:space="preserve"> Regulation </w:t>
      </w:r>
      <w:r w:rsidR="00F20031">
        <w:t xml:space="preserve">amends the </w:t>
      </w:r>
      <w:r w:rsidR="00BB3F22">
        <w:t>Principal</w:t>
      </w:r>
      <w:r w:rsidR="00F20031">
        <w:t xml:space="preserve"> Regulations to</w:t>
      </w:r>
      <w:r w:rsidR="00F93DA7">
        <w:t xml:space="preserve"> </w:t>
      </w:r>
      <w:r w:rsidR="006A077F">
        <w:t>ensure that each member’s office budget reflects the increase in the standard postage rate that took effect on 4 January 2016.</w:t>
      </w:r>
      <w:r w:rsidR="00677416" w:rsidRPr="00677416">
        <w:t xml:space="preserve"> </w:t>
      </w:r>
      <w:r w:rsidR="000C261A" w:rsidRPr="000C261A">
        <w:t xml:space="preserve">The increase is </w:t>
      </w:r>
      <w:r w:rsidR="00713EBD">
        <w:t xml:space="preserve">calculated </w:t>
      </w:r>
      <w:r w:rsidR="000C261A" w:rsidRPr="000C261A">
        <w:t>on a pro-rata basis</w:t>
      </w:r>
      <w:r w:rsidR="00713EBD">
        <w:t>, so that the communications component of members’ office budgets is increased by an equivalent percentage to the increase in the standard rate of postage for the period from 4 January 2016 to 30 June 2016.</w:t>
      </w:r>
    </w:p>
    <w:p w:rsidR="00BD698E" w:rsidRDefault="00834221" w:rsidP="00A3690A">
      <w:pPr>
        <w:pStyle w:val="NumberList"/>
        <w:numPr>
          <w:ilvl w:val="0"/>
          <w:numId w:val="0"/>
        </w:numPr>
        <w:tabs>
          <w:tab w:val="clear" w:pos="1985"/>
          <w:tab w:val="left" w:pos="720"/>
        </w:tabs>
      </w:pPr>
      <w:r>
        <w:t xml:space="preserve">A Statement of Compatibility with Human Rights is included in </w:t>
      </w:r>
      <w:r>
        <w:rPr>
          <w:u w:val="single"/>
        </w:rPr>
        <w:t>Attachment A</w:t>
      </w:r>
      <w:r w:rsidRPr="00137A62">
        <w:t>.</w:t>
      </w:r>
      <w:r>
        <w:t xml:space="preserve"> </w:t>
      </w:r>
      <w:r w:rsidR="00533AD2">
        <w:t xml:space="preserve"> </w:t>
      </w:r>
      <w:r w:rsidR="00BD698E" w:rsidRPr="00BD698E">
        <w:t xml:space="preserve">Details of the Regulation are included </w:t>
      </w:r>
      <w:r w:rsidR="00DC43DB">
        <w:t>in</w:t>
      </w:r>
      <w:r w:rsidR="00BD698E" w:rsidRPr="00BD698E">
        <w:t xml:space="preserve"> </w:t>
      </w:r>
      <w:r w:rsidR="00BD698E" w:rsidRPr="00BD698E">
        <w:rPr>
          <w:u w:val="single"/>
        </w:rPr>
        <w:t>Attachment</w:t>
      </w:r>
      <w:r w:rsidR="00DC43DB">
        <w:rPr>
          <w:u w:val="single"/>
        </w:rPr>
        <w:t xml:space="preserve"> </w:t>
      </w:r>
      <w:r>
        <w:rPr>
          <w:u w:val="single"/>
        </w:rPr>
        <w:t>B</w:t>
      </w:r>
      <w:r w:rsidR="00BD698E" w:rsidRPr="00BD698E">
        <w:t>.</w:t>
      </w:r>
    </w:p>
    <w:p w:rsidR="00154EC4" w:rsidRDefault="00EF2DD8">
      <w:pPr>
        <w:tabs>
          <w:tab w:val="left" w:pos="6521"/>
        </w:tabs>
        <w:ind w:right="91"/>
      </w:pPr>
      <w:r>
        <w:t>T</w:t>
      </w:r>
      <w:r w:rsidR="00C00F28" w:rsidRPr="00BD698E">
        <w:t>he Act does not impose any conditions that need to be satisfied</w:t>
      </w:r>
      <w:r w:rsidR="00C00F28">
        <w:t xml:space="preserve"> before the power to make the Regulation may be exercised.  </w:t>
      </w:r>
    </w:p>
    <w:p w:rsidR="00A478F1" w:rsidRDefault="00EF2DD8">
      <w:pPr>
        <w:tabs>
          <w:tab w:val="left" w:pos="6521"/>
        </w:tabs>
        <w:ind w:right="91"/>
      </w:pPr>
      <w:r>
        <w:t xml:space="preserve">This </w:t>
      </w:r>
      <w:r w:rsidR="00154EC4">
        <w:t>Regulation is a le</w:t>
      </w:r>
      <w:r w:rsidR="00C00F28">
        <w:t xml:space="preserve">gislative instrument for the purposes of the </w:t>
      </w:r>
      <w:r w:rsidR="00424AF1">
        <w:rPr>
          <w:i/>
        </w:rPr>
        <w:t>Legislation</w:t>
      </w:r>
      <w:r w:rsidR="00C00F28">
        <w:rPr>
          <w:i/>
        </w:rPr>
        <w:t xml:space="preserve"> Act 2003</w:t>
      </w:r>
      <w:r w:rsidR="00C00F28">
        <w:t xml:space="preserve">. </w:t>
      </w:r>
    </w:p>
    <w:bookmarkEnd w:id="0"/>
    <w:bookmarkEnd w:id="1"/>
    <w:bookmarkEnd w:id="2"/>
    <w:bookmarkEnd w:id="3"/>
    <w:bookmarkEnd w:id="4"/>
    <w:p w:rsidR="00154EC4" w:rsidRDefault="00BA7790" w:rsidP="00A3690A">
      <w:pPr>
        <w:pStyle w:val="NumberListSub"/>
        <w:numPr>
          <w:ilvl w:val="0"/>
          <w:numId w:val="0"/>
        </w:numPr>
        <w:rPr>
          <w:b/>
        </w:rPr>
      </w:pPr>
      <w:r>
        <w:rPr>
          <w:b/>
        </w:rPr>
        <w:t>Commencement</w:t>
      </w:r>
    </w:p>
    <w:p w:rsidR="00154EC4" w:rsidRDefault="00154EC4" w:rsidP="00A3690A">
      <w:pPr>
        <w:pStyle w:val="NumberListSub"/>
        <w:numPr>
          <w:ilvl w:val="0"/>
          <w:numId w:val="0"/>
        </w:numPr>
        <w:rPr>
          <w:b/>
        </w:rPr>
      </w:pPr>
      <w:r w:rsidRPr="00BA7790">
        <w:t>Schedule 1, Part 1 of the Regulation operates retrospectively</w:t>
      </w:r>
      <w:r>
        <w:t xml:space="preserve"> (commences 1 July 2015)</w:t>
      </w:r>
      <w:r w:rsidRPr="00BA7790">
        <w:t xml:space="preserve">. This retrospective operation is in accordance with subsection 12(2) of the </w:t>
      </w:r>
      <w:r w:rsidRPr="00BA7790">
        <w:rPr>
          <w:i/>
        </w:rPr>
        <w:t>Legislation Act 2003</w:t>
      </w:r>
      <w:r w:rsidRPr="00BA7790">
        <w:t xml:space="preserve">, as this part of the Regulation does not affect the rights of a person (other than the Commonwealth or an authority of the Commonwealth) to that person’s disadvantage, nor does it impose any liability on such a person. </w:t>
      </w:r>
      <w:r>
        <w:t>Schedule 1, Part 2 of the regulation commences on 1 July 2016, and the remaining provisions commence the day after the Regulation is registered on the Federal Register of Legislation.</w:t>
      </w:r>
    </w:p>
    <w:p w:rsidR="00406BA7" w:rsidRPr="00E126B5" w:rsidRDefault="00930050" w:rsidP="00A3690A">
      <w:pPr>
        <w:pStyle w:val="NumberListSub"/>
        <w:numPr>
          <w:ilvl w:val="0"/>
          <w:numId w:val="0"/>
        </w:numPr>
        <w:rPr>
          <w:b/>
        </w:rPr>
      </w:pPr>
      <w:r>
        <w:rPr>
          <w:b/>
        </w:rPr>
        <w:t xml:space="preserve">Consultation and Regulatory Impact </w:t>
      </w:r>
    </w:p>
    <w:p w:rsidR="005D55EA" w:rsidRPr="00C2513D" w:rsidRDefault="005D55EA" w:rsidP="005D55EA">
      <w:pPr>
        <w:rPr>
          <w:szCs w:val="24"/>
        </w:rPr>
      </w:pPr>
      <w:r w:rsidRPr="00C2513D">
        <w:rPr>
          <w:szCs w:val="24"/>
        </w:rPr>
        <w:t xml:space="preserve">In relation to section 17 of the </w:t>
      </w:r>
      <w:r w:rsidR="00707FD3">
        <w:rPr>
          <w:i/>
          <w:szCs w:val="24"/>
        </w:rPr>
        <w:t>Legislation</w:t>
      </w:r>
      <w:r w:rsidRPr="00C2513D">
        <w:rPr>
          <w:i/>
          <w:szCs w:val="24"/>
        </w:rPr>
        <w:t xml:space="preserve"> Act</w:t>
      </w:r>
      <w:r w:rsidRPr="00C2513D">
        <w:rPr>
          <w:szCs w:val="24"/>
        </w:rPr>
        <w:t xml:space="preserve"> </w:t>
      </w:r>
      <w:r w:rsidRPr="00C2513D">
        <w:rPr>
          <w:i/>
          <w:szCs w:val="24"/>
        </w:rPr>
        <w:t>2003</w:t>
      </w:r>
      <w:r w:rsidRPr="00C2513D">
        <w:rPr>
          <w:szCs w:val="24"/>
        </w:rPr>
        <w:t xml:space="preserve">, </w:t>
      </w:r>
      <w:r w:rsidR="00713EBD">
        <w:rPr>
          <w:szCs w:val="24"/>
        </w:rPr>
        <w:t>c</w:t>
      </w:r>
      <w:r w:rsidRPr="00C2513D">
        <w:rPr>
          <w:szCs w:val="24"/>
        </w:rPr>
        <w:t xml:space="preserve">onsultation was </w:t>
      </w:r>
      <w:r w:rsidR="00707FD3">
        <w:rPr>
          <w:szCs w:val="24"/>
        </w:rPr>
        <w:t xml:space="preserve">not considered necessary or appropriate </w:t>
      </w:r>
      <w:r w:rsidRPr="00C2513D">
        <w:rPr>
          <w:szCs w:val="24"/>
        </w:rPr>
        <w:t>as the amendments are machinery in nature and do not substantially alter existing arrangements</w:t>
      </w:r>
      <w:r w:rsidR="00707FD3">
        <w:rPr>
          <w:szCs w:val="24"/>
        </w:rPr>
        <w:t xml:space="preserve"> under the Principal Regulations</w:t>
      </w:r>
      <w:r w:rsidRPr="00C2513D">
        <w:rPr>
          <w:szCs w:val="24"/>
        </w:rPr>
        <w:t>.</w:t>
      </w:r>
    </w:p>
    <w:p w:rsidR="00BB3F22" w:rsidRDefault="00BB3F22" w:rsidP="00BB3F22">
      <w:pPr>
        <w:pStyle w:val="NumberListSub"/>
        <w:numPr>
          <w:ilvl w:val="0"/>
          <w:numId w:val="0"/>
        </w:numPr>
      </w:pPr>
      <w:r w:rsidRPr="00AD7485">
        <w:rPr>
          <w:iCs/>
        </w:rPr>
        <w:t xml:space="preserve">The Office of Best Practice Regulation (OBPR) has </w:t>
      </w:r>
      <w:r w:rsidR="00707FD3">
        <w:rPr>
          <w:iCs/>
        </w:rPr>
        <w:t>agreed that proposals such as these have</w:t>
      </w:r>
      <w:r w:rsidRPr="00AD7485">
        <w:rPr>
          <w:iCs/>
        </w:rPr>
        <w:t xml:space="preserve"> no regulatory impact on businesses, individuals or organisations and therefore the regulatory costs are nil</w:t>
      </w:r>
      <w:r>
        <w:t>. OBPR ID Number: 19957</w:t>
      </w:r>
      <w:r w:rsidRPr="00930050">
        <w:t>.</w:t>
      </w:r>
    </w:p>
    <w:p w:rsidR="00C80FB8" w:rsidRDefault="00C80FB8" w:rsidP="00A3690A">
      <w:pPr>
        <w:pStyle w:val="NumberListSub"/>
        <w:numPr>
          <w:ilvl w:val="0"/>
          <w:numId w:val="0"/>
        </w:numPr>
        <w:tabs>
          <w:tab w:val="left" w:pos="4253"/>
        </w:tabs>
        <w:ind w:left="567"/>
      </w:pPr>
      <w:r w:rsidRPr="00C80FB8">
        <w:tab/>
      </w:r>
      <w:r w:rsidRPr="00C80FB8">
        <w:tab/>
      </w:r>
      <w:r>
        <w:tab/>
      </w:r>
      <w:r w:rsidRPr="00C80FB8">
        <w:tab/>
      </w:r>
      <w:r w:rsidR="00CC3324">
        <w:rPr>
          <w:u w:val="single"/>
        </w:rPr>
        <w:t>Authority:</w:t>
      </w:r>
      <w:r w:rsidR="00CC3324">
        <w:t xml:space="preserve"> </w:t>
      </w:r>
      <w:r>
        <w:tab/>
      </w:r>
      <w:r w:rsidR="00CC3324">
        <w:t>Section 12 of the</w:t>
      </w:r>
    </w:p>
    <w:p w:rsidR="00834221" w:rsidRDefault="00C80FB8" w:rsidP="00A3690A">
      <w:pPr>
        <w:pStyle w:val="NumberListSub"/>
        <w:numPr>
          <w:ilvl w:val="0"/>
          <w:numId w:val="0"/>
        </w:numPr>
        <w:tabs>
          <w:tab w:val="left" w:pos="4111"/>
        </w:tabs>
        <w:spacing w:before="0" w:line="240" w:lineRule="auto"/>
        <w:ind w:left="567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C3324">
        <w:rPr>
          <w:i/>
        </w:rPr>
        <w:t>Parliamentary Entitlements Act 1990</w:t>
      </w:r>
    </w:p>
    <w:p w:rsidR="00066EA1" w:rsidRDefault="00066EA1" w:rsidP="00A3690A">
      <w:pPr>
        <w:spacing w:before="0"/>
        <w:rPr>
          <w:i/>
          <w:szCs w:val="24"/>
          <w:lang w:eastAsia="en-US"/>
        </w:rPr>
      </w:pPr>
      <w:r>
        <w:rPr>
          <w:i/>
        </w:rPr>
        <w:br w:type="page"/>
      </w:r>
    </w:p>
    <w:p w:rsidR="00834221" w:rsidRPr="00834221" w:rsidRDefault="00834221" w:rsidP="00A3690A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 A</w:t>
      </w:r>
    </w:p>
    <w:p w:rsidR="00066EA1" w:rsidRDefault="00066EA1" w:rsidP="00A3690A">
      <w:pPr>
        <w:spacing w:before="0"/>
        <w:rPr>
          <w:b/>
          <w:sz w:val="28"/>
          <w:szCs w:val="28"/>
        </w:rPr>
      </w:pPr>
    </w:p>
    <w:p w:rsidR="00A4063F" w:rsidRPr="00D664E6" w:rsidRDefault="00A4063F" w:rsidP="00A4063F">
      <w:pPr>
        <w:spacing w:before="360" w:after="120"/>
        <w:jc w:val="center"/>
        <w:rPr>
          <w:b/>
          <w:sz w:val="28"/>
          <w:szCs w:val="28"/>
        </w:rPr>
      </w:pPr>
      <w:r w:rsidRPr="00D664E6">
        <w:rPr>
          <w:b/>
          <w:sz w:val="28"/>
          <w:szCs w:val="28"/>
        </w:rPr>
        <w:t>Statement of Compatibility with Human Rights</w:t>
      </w:r>
    </w:p>
    <w:p w:rsidR="00A4063F" w:rsidRDefault="00A4063F" w:rsidP="00A4063F">
      <w:pPr>
        <w:spacing w:before="120" w:after="120"/>
        <w:jc w:val="center"/>
        <w:rPr>
          <w:i/>
          <w:szCs w:val="24"/>
        </w:rPr>
      </w:pPr>
      <w:r w:rsidRPr="00716EC5">
        <w:rPr>
          <w:szCs w:val="24"/>
        </w:rPr>
        <w:t>Prepared in accordance with Part 3 of the</w:t>
      </w:r>
      <w:r w:rsidRPr="00D664E6">
        <w:rPr>
          <w:i/>
          <w:szCs w:val="24"/>
        </w:rPr>
        <w:t xml:space="preserve"> Human Rights (Parliamentary Scrutiny) Act 2011</w:t>
      </w:r>
    </w:p>
    <w:p w:rsidR="00A4063F" w:rsidRDefault="00A4063F" w:rsidP="00A4063F">
      <w:pPr>
        <w:spacing w:before="120" w:after="120"/>
        <w:jc w:val="center"/>
        <w:rPr>
          <w:i/>
          <w:szCs w:val="24"/>
        </w:rPr>
      </w:pPr>
    </w:p>
    <w:p w:rsidR="00A4063F" w:rsidRDefault="000C261A" w:rsidP="00A4063F">
      <w:pPr>
        <w:spacing w:before="120"/>
        <w:jc w:val="center"/>
        <w:rPr>
          <w:b/>
          <w:i/>
        </w:rPr>
      </w:pPr>
      <w:r w:rsidRPr="000C261A">
        <w:rPr>
          <w:b/>
          <w:i/>
        </w:rPr>
        <w:t>Parliamentary Entitlements Amendment Regulation 2016</w:t>
      </w:r>
      <w:r w:rsidR="00677416">
        <w:rPr>
          <w:b/>
          <w:i/>
        </w:rPr>
        <w:t xml:space="preserve"> (No.1)</w:t>
      </w:r>
    </w:p>
    <w:p w:rsidR="00A4063F" w:rsidRDefault="00A4063F" w:rsidP="00A4063F">
      <w:pPr>
        <w:spacing w:before="120"/>
        <w:rPr>
          <w:b/>
          <w:i/>
        </w:rPr>
      </w:pPr>
    </w:p>
    <w:p w:rsidR="00A4063F" w:rsidRDefault="00A4063F" w:rsidP="00A374EC">
      <w:pPr>
        <w:spacing w:before="120"/>
        <w:jc w:val="center"/>
      </w:pPr>
      <w:r>
        <w:t xml:space="preserve">This Regulation is compatible with the human rights and freedoms recognised or declared in the international instruments listed in section 3 of the </w:t>
      </w:r>
      <w:r w:rsidR="000C261A" w:rsidRPr="000C261A">
        <w:rPr>
          <w:i/>
        </w:rPr>
        <w:t>Human Rights (Parliamentary Scrutiny) Act 2011</w:t>
      </w:r>
      <w:r>
        <w:t>.</w:t>
      </w:r>
    </w:p>
    <w:p w:rsidR="00A4063F" w:rsidRDefault="00A4063F" w:rsidP="00A4063F">
      <w:pPr>
        <w:spacing w:before="120"/>
      </w:pPr>
    </w:p>
    <w:p w:rsidR="00A4063F" w:rsidRDefault="00A4063F" w:rsidP="00A4063F">
      <w:pPr>
        <w:spacing w:before="120"/>
        <w:rPr>
          <w:b/>
        </w:rPr>
      </w:pPr>
      <w:r>
        <w:rPr>
          <w:b/>
        </w:rPr>
        <w:t xml:space="preserve">Overview of the Legislative Instrument </w:t>
      </w:r>
    </w:p>
    <w:p w:rsidR="00A4063F" w:rsidRPr="00A374EC" w:rsidRDefault="00A4063F" w:rsidP="00A4063F">
      <w:pPr>
        <w:spacing w:before="120"/>
      </w:pPr>
      <w:r>
        <w:t xml:space="preserve">This Legislative Instrument amends </w:t>
      </w:r>
      <w:r w:rsidR="00A374EC">
        <w:t xml:space="preserve">the </w:t>
      </w:r>
      <w:r w:rsidR="00A374EC">
        <w:rPr>
          <w:i/>
        </w:rPr>
        <w:t>Parl</w:t>
      </w:r>
      <w:r w:rsidR="00BA7790">
        <w:rPr>
          <w:i/>
        </w:rPr>
        <w:t>i</w:t>
      </w:r>
      <w:r w:rsidR="00A374EC">
        <w:rPr>
          <w:i/>
        </w:rPr>
        <w:t>amentary Entitlements Regulations1997</w:t>
      </w:r>
      <w:r w:rsidR="00A374EC">
        <w:t xml:space="preserve"> to increase the communications component of the office budgets of members of each House of Parliament for the </w:t>
      </w:r>
      <w:r w:rsidR="00A374EC">
        <w:br/>
        <w:t>2015-16 financial year. This increase corresponds to the increase in the standard rate of postage that occurred on 4 January 2016.</w:t>
      </w:r>
    </w:p>
    <w:p w:rsidR="00A4063F" w:rsidRDefault="00A4063F" w:rsidP="00A4063F">
      <w:pPr>
        <w:spacing w:before="120"/>
      </w:pPr>
    </w:p>
    <w:p w:rsidR="00A4063F" w:rsidRDefault="00A4063F" w:rsidP="00A4063F">
      <w:pPr>
        <w:spacing w:before="120"/>
        <w:rPr>
          <w:b/>
        </w:rPr>
      </w:pPr>
      <w:r>
        <w:rPr>
          <w:b/>
        </w:rPr>
        <w:t>Human rights implications</w:t>
      </w:r>
    </w:p>
    <w:p w:rsidR="00A4063F" w:rsidRPr="00B43046" w:rsidRDefault="00A4063F" w:rsidP="00A4063F">
      <w:pPr>
        <w:spacing w:before="120"/>
      </w:pPr>
      <w:r>
        <w:t>This Legislative Instrument does not engage any of the applicable rights o</w:t>
      </w:r>
      <w:r w:rsidR="00A374EC">
        <w:t>r</w:t>
      </w:r>
      <w:r>
        <w:t xml:space="preserve"> freedoms. </w:t>
      </w:r>
    </w:p>
    <w:p w:rsidR="00A4063F" w:rsidRDefault="00A4063F" w:rsidP="00A4063F">
      <w:pPr>
        <w:spacing w:before="120"/>
      </w:pPr>
    </w:p>
    <w:p w:rsidR="00A4063F" w:rsidRDefault="00A4063F" w:rsidP="00A4063F">
      <w:pPr>
        <w:spacing w:before="120"/>
        <w:rPr>
          <w:b/>
        </w:rPr>
      </w:pPr>
      <w:r>
        <w:rPr>
          <w:b/>
        </w:rPr>
        <w:t>Conclusion</w:t>
      </w:r>
    </w:p>
    <w:p w:rsidR="00A4063F" w:rsidRDefault="00A4063F" w:rsidP="00A4063F">
      <w:pPr>
        <w:spacing w:before="120"/>
      </w:pPr>
      <w:r>
        <w:t xml:space="preserve">This Legislative Instrument is compatible with human rights as it does not raise </w:t>
      </w:r>
      <w:r w:rsidR="00F727B5">
        <w:t>any</w:t>
      </w:r>
      <w:r>
        <w:t xml:space="preserve"> human rights issues. </w:t>
      </w:r>
    </w:p>
    <w:p w:rsidR="00A4063F" w:rsidRDefault="00A4063F" w:rsidP="00A4063F">
      <w:pPr>
        <w:spacing w:before="120"/>
      </w:pPr>
    </w:p>
    <w:p w:rsidR="00A4063F" w:rsidRDefault="00A4063F" w:rsidP="00A4063F">
      <w:pPr>
        <w:spacing w:before="120"/>
        <w:jc w:val="center"/>
        <w:rPr>
          <w:b/>
        </w:rPr>
      </w:pPr>
      <w:r>
        <w:rPr>
          <w:b/>
        </w:rPr>
        <w:t>Mathias Cormann</w:t>
      </w:r>
    </w:p>
    <w:p w:rsidR="00A4063F" w:rsidRDefault="00A374EC" w:rsidP="00A4063F">
      <w:pPr>
        <w:spacing w:before="120"/>
        <w:jc w:val="center"/>
        <w:rPr>
          <w:b/>
        </w:rPr>
      </w:pPr>
      <w:r>
        <w:rPr>
          <w:b/>
        </w:rPr>
        <w:t>Minister for Finance</w:t>
      </w:r>
    </w:p>
    <w:p w:rsidR="00C15274" w:rsidRDefault="00C15274">
      <w:pPr>
        <w:spacing w:before="0"/>
        <w:rPr>
          <w:b/>
          <w:u w:val="single"/>
        </w:rPr>
      </w:pPr>
      <w:r>
        <w:rPr>
          <w:b/>
          <w:u w:val="single"/>
        </w:rPr>
        <w:br w:type="page"/>
      </w:r>
    </w:p>
    <w:p w:rsidR="00A478F1" w:rsidRDefault="00D02468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  <w:r>
        <w:rPr>
          <w:b/>
          <w:u w:val="single"/>
        </w:rPr>
        <w:lastRenderedPageBreak/>
        <w:t>Attachment</w:t>
      </w:r>
      <w:r w:rsidR="00834221">
        <w:rPr>
          <w:b/>
          <w:u w:val="single"/>
        </w:rPr>
        <w:t xml:space="preserve"> B</w:t>
      </w:r>
    </w:p>
    <w:p w:rsidR="00F200D1" w:rsidRDefault="00F200D1">
      <w:pPr>
        <w:tabs>
          <w:tab w:val="left" w:pos="3969"/>
          <w:tab w:val="left" w:pos="5245"/>
        </w:tabs>
        <w:spacing w:before="0"/>
        <w:ind w:right="91"/>
        <w:jc w:val="right"/>
        <w:rPr>
          <w:b/>
          <w:u w:val="single"/>
        </w:rPr>
      </w:pPr>
    </w:p>
    <w:p w:rsidR="00A478F1" w:rsidRDefault="00C66D12">
      <w:pPr>
        <w:tabs>
          <w:tab w:val="left" w:pos="3969"/>
          <w:tab w:val="left" w:pos="5245"/>
        </w:tabs>
        <w:spacing w:before="0"/>
        <w:ind w:right="91"/>
      </w:pPr>
      <w:r>
        <w:rPr>
          <w:b/>
          <w:u w:val="single"/>
        </w:rPr>
        <w:t xml:space="preserve">Details of the </w:t>
      </w:r>
      <w:r w:rsidR="00930050" w:rsidRPr="00AC16BC">
        <w:rPr>
          <w:b/>
          <w:i/>
          <w:u w:val="single"/>
        </w:rPr>
        <w:t xml:space="preserve">Parliamentary Entitlements </w:t>
      </w:r>
      <w:r w:rsidR="00A374EC">
        <w:rPr>
          <w:b/>
          <w:i/>
          <w:u w:val="single"/>
        </w:rPr>
        <w:t>Amendment</w:t>
      </w:r>
      <w:r w:rsidR="00A9623F">
        <w:rPr>
          <w:b/>
          <w:i/>
          <w:u w:val="single"/>
        </w:rPr>
        <w:t xml:space="preserve"> </w:t>
      </w:r>
      <w:r w:rsidR="00930050" w:rsidRPr="00AC16BC">
        <w:rPr>
          <w:b/>
          <w:i/>
          <w:u w:val="single"/>
        </w:rPr>
        <w:t>Regulation 2015</w:t>
      </w:r>
      <w:r w:rsidR="00A374EC">
        <w:rPr>
          <w:b/>
          <w:i/>
          <w:u w:val="single"/>
        </w:rPr>
        <w:t xml:space="preserve"> (No. 1)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6970F9">
        <w:rPr>
          <w:u w:val="single"/>
        </w:rPr>
        <w:t>Section 1- Name</w:t>
      </w:r>
    </w:p>
    <w:p w:rsidR="00F200D1" w:rsidRDefault="00C66D12">
      <w:pPr>
        <w:tabs>
          <w:tab w:val="left" w:pos="3969"/>
          <w:tab w:val="left" w:pos="5245"/>
        </w:tabs>
        <w:ind w:right="91"/>
      </w:pPr>
      <w:r>
        <w:t xml:space="preserve">This section provides that the title of the Regulation is the </w:t>
      </w:r>
      <w:r w:rsidR="00930050" w:rsidRPr="00AC16BC">
        <w:rPr>
          <w:i/>
        </w:rPr>
        <w:t>Parliamentary Entitlements Amendment Regulation 201</w:t>
      </w:r>
      <w:r w:rsidR="00624235">
        <w:rPr>
          <w:i/>
        </w:rPr>
        <w:t>6</w:t>
      </w:r>
      <w:r w:rsidR="00D62FE8">
        <w:rPr>
          <w:i/>
        </w:rPr>
        <w:t xml:space="preserve"> (No. 1)</w:t>
      </w:r>
      <w:r w:rsidR="00930050" w:rsidRPr="00930050">
        <w:rPr>
          <w:i/>
        </w:rPr>
        <w:t xml:space="preserve"> </w:t>
      </w:r>
      <w:r w:rsidR="00930050" w:rsidRPr="00930050">
        <w:t>(the Regulation)</w:t>
      </w:r>
      <w:r>
        <w:t>.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6970F9">
        <w:rPr>
          <w:u w:val="single"/>
        </w:rPr>
        <w:t>Section 2 – Commencement</w:t>
      </w:r>
    </w:p>
    <w:p w:rsidR="00F200D1" w:rsidRDefault="00C66D12">
      <w:pPr>
        <w:tabs>
          <w:tab w:val="left" w:pos="3969"/>
          <w:tab w:val="left" w:pos="5245"/>
        </w:tabs>
        <w:ind w:right="91"/>
      </w:pPr>
      <w:r w:rsidRPr="002C4B1F">
        <w:t xml:space="preserve">This section provides </w:t>
      </w:r>
      <w:r w:rsidR="00DC5123">
        <w:t xml:space="preserve">that the Regulation commences </w:t>
      </w:r>
      <w:r w:rsidR="00D62FE8">
        <w:t xml:space="preserve">in accordance </w:t>
      </w:r>
      <w:r w:rsidR="001D2106">
        <w:t>with</w:t>
      </w:r>
      <w:r w:rsidR="00CE12ED">
        <w:t xml:space="preserve"> column 2 of the table in subsection 2(1)</w:t>
      </w:r>
      <w:r w:rsidRPr="002C4B1F">
        <w:t>.</w:t>
      </w:r>
    </w:p>
    <w:p w:rsidR="00CE12ED" w:rsidRPr="00CE12ED" w:rsidRDefault="008E30BD">
      <w:pPr>
        <w:tabs>
          <w:tab w:val="left" w:pos="3969"/>
          <w:tab w:val="left" w:pos="5245"/>
        </w:tabs>
        <w:ind w:right="91"/>
      </w:pPr>
      <w:r w:rsidRPr="008E30BD">
        <w:t xml:space="preserve">Item 1 </w:t>
      </w:r>
      <w:r w:rsidR="00CE12ED" w:rsidRPr="00CE12ED">
        <w:t>of the table provides that section</w:t>
      </w:r>
      <w:r w:rsidR="0000142F">
        <w:t>s</w:t>
      </w:r>
      <w:r w:rsidR="00CE12ED" w:rsidRPr="00CE12ED">
        <w:t xml:space="preserve"> 1 to 4 </w:t>
      </w:r>
      <w:r w:rsidR="0000142F">
        <w:t xml:space="preserve">of the </w:t>
      </w:r>
      <w:r w:rsidR="00BA7790">
        <w:t>Regulation</w:t>
      </w:r>
      <w:r w:rsidR="0000142F">
        <w:t xml:space="preserve"> </w:t>
      </w:r>
      <w:r w:rsidR="00CE12ED" w:rsidRPr="00CE12ED">
        <w:t xml:space="preserve">commence on the day after the </w:t>
      </w:r>
      <w:r w:rsidR="0000142F">
        <w:t>Regulation</w:t>
      </w:r>
      <w:r w:rsidR="00CE12ED" w:rsidRPr="00CE12ED">
        <w:t xml:space="preserve"> is registered on the Federal Register of Legislation.</w:t>
      </w:r>
    </w:p>
    <w:p w:rsidR="00CE12ED" w:rsidRDefault="008E30BD">
      <w:pPr>
        <w:tabs>
          <w:tab w:val="left" w:pos="3969"/>
          <w:tab w:val="left" w:pos="5245"/>
        </w:tabs>
        <w:ind w:right="91"/>
      </w:pPr>
      <w:r w:rsidRPr="008E30BD">
        <w:t>Item 2</w:t>
      </w:r>
      <w:r w:rsidR="00CE12ED">
        <w:t xml:space="preserve"> of the table provides that </w:t>
      </w:r>
      <w:r w:rsidR="0000142F">
        <w:t>Schedule 1, Part 1 of the Regulation commences on 1 July 2015.</w:t>
      </w:r>
    </w:p>
    <w:p w:rsidR="0000142F" w:rsidRDefault="0000142F">
      <w:pPr>
        <w:tabs>
          <w:tab w:val="left" w:pos="3969"/>
          <w:tab w:val="left" w:pos="5245"/>
        </w:tabs>
        <w:ind w:right="91"/>
      </w:pPr>
      <w:r>
        <w:t xml:space="preserve">Item 3 of the table provides that Schedule 1, Part 2 of the Regulation commences on 1 July 2016. </w:t>
      </w:r>
    </w:p>
    <w:p w:rsidR="00F200D1" w:rsidRDefault="00C66D12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 xml:space="preserve">Section 3 </w:t>
      </w:r>
      <w:r w:rsidR="008E1206" w:rsidRPr="002C4B1F">
        <w:rPr>
          <w:u w:val="single"/>
        </w:rPr>
        <w:t>–</w:t>
      </w:r>
      <w:r w:rsidRPr="002C4B1F">
        <w:rPr>
          <w:u w:val="single"/>
        </w:rPr>
        <w:t xml:space="preserve"> Authority</w:t>
      </w:r>
    </w:p>
    <w:p w:rsidR="00F200D1" w:rsidRDefault="008E1206">
      <w:pPr>
        <w:tabs>
          <w:tab w:val="left" w:pos="3969"/>
          <w:tab w:val="left" w:pos="5245"/>
        </w:tabs>
        <w:ind w:right="91"/>
      </w:pPr>
      <w:r w:rsidRPr="002C4B1F">
        <w:t xml:space="preserve">This section states that </w:t>
      </w:r>
      <w:r w:rsidR="00DC5123">
        <w:t>the</w:t>
      </w:r>
      <w:r w:rsidR="00DC5123" w:rsidRPr="002C4B1F">
        <w:t xml:space="preserve"> </w:t>
      </w:r>
      <w:r w:rsidR="002142F7">
        <w:t>R</w:t>
      </w:r>
      <w:r w:rsidRPr="002C4B1F">
        <w:t xml:space="preserve">egulation is made under the </w:t>
      </w:r>
      <w:r w:rsidRPr="002C4B1F">
        <w:rPr>
          <w:i/>
        </w:rPr>
        <w:t>Parliamentary Entitlements Act 1990</w:t>
      </w:r>
      <w:r w:rsidR="00620F9B">
        <w:rPr>
          <w:i/>
        </w:rPr>
        <w:t xml:space="preserve"> </w:t>
      </w:r>
      <w:r w:rsidR="00620F9B">
        <w:t>(the Act)</w:t>
      </w:r>
      <w:r w:rsidRPr="002C4B1F">
        <w:t>.</w:t>
      </w:r>
    </w:p>
    <w:p w:rsidR="00F200D1" w:rsidRDefault="008E1206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>Section 4 – Schedule</w:t>
      </w:r>
      <w:r w:rsidR="00DC5123">
        <w:rPr>
          <w:u w:val="single"/>
        </w:rPr>
        <w:t>s</w:t>
      </w:r>
    </w:p>
    <w:p w:rsidR="00F200D1" w:rsidRDefault="008E1206">
      <w:pPr>
        <w:tabs>
          <w:tab w:val="left" w:pos="3969"/>
          <w:tab w:val="left" w:pos="5245"/>
        </w:tabs>
        <w:ind w:right="91"/>
      </w:pPr>
      <w:r w:rsidRPr="002C4B1F">
        <w:t xml:space="preserve">This section provides that </w:t>
      </w:r>
      <w:r w:rsidR="007C0755" w:rsidRPr="002C4B1F">
        <w:t>each instrument specified in a Schedule to the Regulation is amended or repealed as set out in the Schedule, and that any other item in a Schedule has effect according to its terms</w:t>
      </w:r>
      <w:r w:rsidRPr="002C4B1F">
        <w:t>.</w:t>
      </w:r>
    </w:p>
    <w:p w:rsidR="00F200D1" w:rsidRDefault="008E1206">
      <w:pPr>
        <w:tabs>
          <w:tab w:val="left" w:pos="3969"/>
          <w:tab w:val="left" w:pos="5245"/>
        </w:tabs>
        <w:ind w:right="91"/>
        <w:rPr>
          <w:u w:val="single"/>
        </w:rPr>
      </w:pPr>
      <w:r w:rsidRPr="002C4B1F">
        <w:rPr>
          <w:u w:val="single"/>
        </w:rPr>
        <w:t>Schedule 1 – Amendments</w:t>
      </w:r>
    </w:p>
    <w:p w:rsidR="00FB10C4" w:rsidRPr="00FB10C4" w:rsidRDefault="008E30BD">
      <w:pPr>
        <w:tabs>
          <w:tab w:val="left" w:pos="3969"/>
          <w:tab w:val="left" w:pos="5245"/>
        </w:tabs>
        <w:ind w:right="91"/>
        <w:rPr>
          <w:u w:val="single"/>
        </w:rPr>
      </w:pPr>
      <w:r w:rsidRPr="008E30BD">
        <w:rPr>
          <w:u w:val="single"/>
        </w:rPr>
        <w:t>Part 1 – Amendments commencing 1 July 2015</w:t>
      </w:r>
    </w:p>
    <w:p w:rsidR="00FB10C4" w:rsidRDefault="00930050">
      <w:pPr>
        <w:tabs>
          <w:tab w:val="left" w:pos="3969"/>
          <w:tab w:val="left" w:pos="5245"/>
        </w:tabs>
        <w:ind w:right="91"/>
        <w:rPr>
          <w:b/>
        </w:rPr>
      </w:pPr>
      <w:r w:rsidRPr="00930050">
        <w:rPr>
          <w:b/>
        </w:rPr>
        <w:t xml:space="preserve">Item </w:t>
      </w:r>
      <w:r w:rsidR="00C568AE">
        <w:rPr>
          <w:b/>
        </w:rPr>
        <w:t>[1]</w:t>
      </w:r>
      <w:r w:rsidR="00FB56A4">
        <w:rPr>
          <w:b/>
        </w:rPr>
        <w:t xml:space="preserve"> </w:t>
      </w:r>
      <w:r w:rsidR="00FB56A4">
        <w:t>o</w:t>
      </w:r>
      <w:r w:rsidR="00C568AE">
        <w:t>mits and substitute</w:t>
      </w:r>
      <w:r w:rsidR="003B32E4">
        <w:t>s</w:t>
      </w:r>
      <w:r w:rsidR="00C568AE">
        <w:t xml:space="preserve"> a new amount for the purposes of calculating a Senator’s office budget under paragraph 3ED(1)(b). The new amount </w:t>
      </w:r>
      <w:r w:rsidR="003B32E4">
        <w:t xml:space="preserve">provides for an increase in the budget to account for additional costs relating to the </w:t>
      </w:r>
      <w:r w:rsidR="008E30BD" w:rsidRPr="008E30BD">
        <w:t xml:space="preserve">increase in the </w:t>
      </w:r>
      <w:r w:rsidR="003B32E4">
        <w:t>standard rate</w:t>
      </w:r>
      <w:r w:rsidR="008E30BD" w:rsidRPr="008E30BD">
        <w:t xml:space="preserve"> of postage from 4 January 2016. </w:t>
      </w:r>
      <w:r w:rsidR="00BB1882">
        <w:t>The increase</w:t>
      </w:r>
      <w:r w:rsidR="00236C3A">
        <w:t xml:space="preserve"> in the cost of postage</w:t>
      </w:r>
      <w:r w:rsidR="00BB1882">
        <w:t xml:space="preserve"> was not factored in to the office budget for the financial year commencing on 1</w:t>
      </w:r>
      <w:r w:rsidR="00236C3A">
        <w:t> </w:t>
      </w:r>
      <w:r w:rsidR="00BB1882">
        <w:t>July 2015 as the increase in the standard rate of postage occurred part way through the financial year.</w:t>
      </w:r>
    </w:p>
    <w:p w:rsidR="00FB10C4" w:rsidRPr="00FB56A4" w:rsidRDefault="00FB56A4">
      <w:pPr>
        <w:tabs>
          <w:tab w:val="left" w:pos="3969"/>
          <w:tab w:val="left" w:pos="5245"/>
        </w:tabs>
        <w:ind w:right="91"/>
        <w:rPr>
          <w:b/>
        </w:rPr>
      </w:pPr>
      <w:r>
        <w:rPr>
          <w:b/>
        </w:rPr>
        <w:t xml:space="preserve">Item [2] </w:t>
      </w:r>
      <w:r w:rsidR="008E30BD" w:rsidRPr="008E30BD">
        <w:t xml:space="preserve">repeals and replaces paragraph 3ED(2)(b) </w:t>
      </w:r>
      <w:r w:rsidR="00240C43">
        <w:t>from 1 July 201</w:t>
      </w:r>
      <w:r w:rsidR="00BF1DC3">
        <w:t>5</w:t>
      </w:r>
      <w:r w:rsidR="00240C43">
        <w:t xml:space="preserve"> </w:t>
      </w:r>
      <w:r w:rsidR="008E30BD" w:rsidRPr="008E30BD">
        <w:t xml:space="preserve">so that the reference to </w:t>
      </w:r>
      <w:r w:rsidR="000C6885">
        <w:t>subsection</w:t>
      </w:r>
      <w:r w:rsidR="003B32E4">
        <w:t> </w:t>
      </w:r>
      <w:r w:rsidR="00C568AE">
        <w:t>3ED</w:t>
      </w:r>
      <w:r w:rsidR="000C6885">
        <w:t>(4</w:t>
      </w:r>
      <w:r w:rsidR="00237AD9">
        <w:t>) is removed</w:t>
      </w:r>
      <w:r w:rsidR="003B32E4">
        <w:t xml:space="preserve"> (see further at item 3)</w:t>
      </w:r>
      <w:r w:rsidR="00237AD9">
        <w:t>.</w:t>
      </w:r>
    </w:p>
    <w:p w:rsidR="00BA3506" w:rsidRDefault="008E30BD">
      <w:pPr>
        <w:tabs>
          <w:tab w:val="left" w:pos="3969"/>
          <w:tab w:val="left" w:pos="5245"/>
        </w:tabs>
        <w:ind w:right="91"/>
      </w:pPr>
      <w:r w:rsidRPr="008E30BD">
        <w:rPr>
          <w:b/>
        </w:rPr>
        <w:t>Item [3]</w:t>
      </w:r>
      <w:r w:rsidR="00237AD9">
        <w:t xml:space="preserve"> repeals subregulations 3ED(3) and (4) </w:t>
      </w:r>
      <w:r w:rsidR="00687E26">
        <w:t>and substitutes new subregulation 3ED(3)</w:t>
      </w:r>
      <w:r w:rsidR="00240C43">
        <w:t xml:space="preserve"> from 1</w:t>
      </w:r>
      <w:r w:rsidR="00BA3506">
        <w:t> </w:t>
      </w:r>
      <w:r w:rsidR="00240C43">
        <w:t>July</w:t>
      </w:r>
      <w:r w:rsidR="00BA3506">
        <w:t> </w:t>
      </w:r>
      <w:r w:rsidR="00240C43">
        <w:t>2015</w:t>
      </w:r>
      <w:r w:rsidR="00687E26">
        <w:t xml:space="preserve">. </w:t>
      </w:r>
      <w:r w:rsidR="00BA3506">
        <w:t xml:space="preserve">New subregulation </w:t>
      </w:r>
      <w:r w:rsidR="00687E26">
        <w:t xml:space="preserve">3ED(3) provides </w:t>
      </w:r>
      <w:r w:rsidR="00BA3506">
        <w:t>for the calculation of the voter</w:t>
      </w:r>
      <w:r w:rsidR="00BA3506">
        <w:noBreakHyphen/>
        <w:t xml:space="preserve">related component of the office budget </w:t>
      </w:r>
      <w:r w:rsidR="00236C3A">
        <w:t xml:space="preserve">for members of the House of Representatives </w:t>
      </w:r>
      <w:r w:rsidR="00BA3506">
        <w:t xml:space="preserve">to </w:t>
      </w:r>
      <w:r w:rsidR="00236C3A">
        <w:t>include</w:t>
      </w:r>
      <w:r w:rsidR="00BA3506">
        <w:t xml:space="preserve"> in the increase in the standard rate of postage from $0.70 to $1.00, which took effect on 4 January 2015.</w:t>
      </w:r>
    </w:p>
    <w:p w:rsidR="00FB10C4" w:rsidRPr="00237AD9" w:rsidRDefault="00BA3506">
      <w:pPr>
        <w:tabs>
          <w:tab w:val="left" w:pos="3969"/>
          <w:tab w:val="left" w:pos="5245"/>
        </w:tabs>
        <w:ind w:right="91"/>
      </w:pPr>
      <w:r>
        <w:t xml:space="preserve">The new formula provides </w:t>
      </w:r>
      <w:r w:rsidR="00687E26">
        <w:t>that for the first 187 days of the year (1 July 2015 – 3</w:t>
      </w:r>
      <w:r>
        <w:t> </w:t>
      </w:r>
      <w:r w:rsidR="00687E26">
        <w:t xml:space="preserve">January 2016) the </w:t>
      </w:r>
      <w:r w:rsidR="00236C3A">
        <w:t xml:space="preserve">amount in the calculation relating to the standard rate of postage </w:t>
      </w:r>
      <w:r w:rsidR="00687E26">
        <w:t xml:space="preserve">is $0.70 </w:t>
      </w:r>
      <w:r>
        <w:t>(the standard rate of postage for that part of the financial year)</w:t>
      </w:r>
      <w:r w:rsidR="00687E26">
        <w:t xml:space="preserve">; and for the remaining 179 days in the year </w:t>
      </w:r>
      <w:r w:rsidR="004D3FEB">
        <w:t>(4</w:t>
      </w:r>
      <w:r>
        <w:t> </w:t>
      </w:r>
      <w:r w:rsidR="004D3FEB">
        <w:t xml:space="preserve">January 2016 – 30 June 2016) </w:t>
      </w:r>
      <w:r w:rsidR="00687E26">
        <w:t xml:space="preserve">the </w:t>
      </w:r>
      <w:r w:rsidR="00236C3A">
        <w:t>amount in the calculation relating to the standard rate of postage</w:t>
      </w:r>
      <w:r w:rsidR="00687E26">
        <w:t xml:space="preserve"> is $1.00</w:t>
      </w:r>
      <w:r>
        <w:t xml:space="preserve"> (the new standard rate of postage)</w:t>
      </w:r>
      <w:r w:rsidR="00236C3A">
        <w:t>. These amounts are divided by 366 to provide for each postage rate to apply for the relevant proportion of the financial year. This is then</w:t>
      </w:r>
      <w:r w:rsidR="00687E26">
        <w:t xml:space="preserve"> multiplied by the number of enrolled voters</w:t>
      </w:r>
      <w:r w:rsidR="00236C3A">
        <w:t xml:space="preserve"> to determine the voter</w:t>
      </w:r>
      <w:r w:rsidR="003C2BF5">
        <w:t>-</w:t>
      </w:r>
      <w:r w:rsidR="00236C3A">
        <w:t>related component of the office budget for the financial year starting on 1 July 2015</w:t>
      </w:r>
      <w:r w:rsidR="00687E26">
        <w:t>.</w:t>
      </w:r>
      <w:r w:rsidR="00240C43">
        <w:t xml:space="preserve"> </w:t>
      </w:r>
    </w:p>
    <w:p w:rsidR="00F30C61" w:rsidRDefault="008E30BD">
      <w:pPr>
        <w:keepNext/>
        <w:tabs>
          <w:tab w:val="left" w:pos="3969"/>
          <w:tab w:val="left" w:pos="5245"/>
        </w:tabs>
        <w:ind w:right="91"/>
        <w:rPr>
          <w:u w:val="single"/>
        </w:rPr>
      </w:pPr>
      <w:r w:rsidRPr="008E30BD">
        <w:rPr>
          <w:u w:val="single"/>
        </w:rPr>
        <w:lastRenderedPageBreak/>
        <w:t>Part 2 – Amendments commencing 1 July 2016</w:t>
      </w:r>
    </w:p>
    <w:p w:rsidR="00F30C61" w:rsidRDefault="00D73ADE">
      <w:pPr>
        <w:keepNext/>
        <w:tabs>
          <w:tab w:val="left" w:pos="3969"/>
          <w:tab w:val="left" w:pos="5245"/>
        </w:tabs>
        <w:ind w:right="91"/>
      </w:pPr>
      <w:r w:rsidRPr="002C4B1F">
        <w:rPr>
          <w:b/>
        </w:rPr>
        <w:t>Item [</w:t>
      </w:r>
      <w:r w:rsidR="00240C43">
        <w:rPr>
          <w:b/>
        </w:rPr>
        <w:t>4</w:t>
      </w:r>
      <w:r w:rsidRPr="002C4B1F">
        <w:rPr>
          <w:b/>
        </w:rPr>
        <w:t>]</w:t>
      </w:r>
      <w:r w:rsidR="00FF1D75" w:rsidRPr="002C4B1F">
        <w:t xml:space="preserve"> </w:t>
      </w:r>
      <w:r w:rsidR="00240C43">
        <w:t xml:space="preserve">repeals and replaces paragraph 3ED(2)(b) from 1 July 2016 </w:t>
      </w:r>
      <w:r w:rsidR="000C6885">
        <w:t xml:space="preserve">to make reference to </w:t>
      </w:r>
      <w:r w:rsidR="00BF1DC3">
        <w:t xml:space="preserve">new </w:t>
      </w:r>
      <w:r w:rsidR="000C6885">
        <w:t>subregulation 3ED(4)</w:t>
      </w:r>
      <w:r w:rsidR="00BA3506">
        <w:t xml:space="preserve"> (see further at item 5)</w:t>
      </w:r>
      <w:r w:rsidR="000C6885">
        <w:t>.</w:t>
      </w:r>
    </w:p>
    <w:p w:rsidR="00A478F1" w:rsidRDefault="000C6885">
      <w:pPr>
        <w:tabs>
          <w:tab w:val="left" w:pos="3969"/>
          <w:tab w:val="left" w:pos="5245"/>
        </w:tabs>
        <w:ind w:right="91"/>
      </w:pPr>
      <w:r>
        <w:rPr>
          <w:b/>
        </w:rPr>
        <w:t xml:space="preserve">Item [5] </w:t>
      </w:r>
      <w:r>
        <w:t xml:space="preserve">repeals subregulation 3ED(3) and substitutes </w:t>
      </w:r>
      <w:r w:rsidR="003C2BF5">
        <w:t xml:space="preserve">new </w:t>
      </w:r>
      <w:r>
        <w:t>subregulations 3ED(3) and 3ED(4) from 1</w:t>
      </w:r>
      <w:r w:rsidR="00BA3506">
        <w:t> </w:t>
      </w:r>
      <w:r>
        <w:t>July</w:t>
      </w:r>
      <w:r w:rsidR="00BA3506">
        <w:t> </w:t>
      </w:r>
      <w:r>
        <w:t xml:space="preserve">2016 which provide that the voter-related component of the office budget for Members of the House of Representatives is to be calculated by multiplying the number of enrolled voters, by the standard rate of postage. </w:t>
      </w:r>
      <w:r w:rsidR="00BB1882">
        <w:t>This restores the previous calculation of the voter-related component of the office budget from the financial year commencing 1 July 2016.</w:t>
      </w:r>
    </w:p>
    <w:sectPr w:rsidR="00A478F1" w:rsidSect="00A53472">
      <w:headerReference w:type="first" r:id="rId9"/>
      <w:pgSz w:w="11906" w:h="16838" w:code="9"/>
      <w:pgMar w:top="907" w:right="851" w:bottom="90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CC" w:rsidRDefault="000F7CCC">
      <w:r>
        <w:separator/>
      </w:r>
    </w:p>
  </w:endnote>
  <w:endnote w:type="continuationSeparator" w:id="0">
    <w:p w:rsidR="000F7CCC" w:rsidRDefault="000F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CC" w:rsidRDefault="000F7CCC">
      <w:r>
        <w:separator/>
      </w:r>
    </w:p>
  </w:footnote>
  <w:footnote w:type="continuationSeparator" w:id="0">
    <w:p w:rsidR="000F7CCC" w:rsidRDefault="000F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C61" w:rsidRDefault="00F30C61" w:rsidP="00A53472">
    <w:pPr>
      <w:pStyle w:val="Header"/>
      <w:tabs>
        <w:tab w:val="clear" w:pos="4153"/>
        <w:tab w:val="clear" w:pos="8306"/>
        <w:tab w:val="left" w:pos="82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267D"/>
    <w:multiLevelType w:val="hybridMultilevel"/>
    <w:tmpl w:val="36FAA7B0"/>
    <w:lvl w:ilvl="0" w:tplc="7D0A4486">
      <w:start w:val="1"/>
      <w:numFmt w:val="lowerRoman"/>
      <w:lvlText w:val="(%1)"/>
      <w:lvlJc w:val="left"/>
      <w:pPr>
        <w:ind w:left="1560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C95045"/>
    <w:multiLevelType w:val="hybridMultilevel"/>
    <w:tmpl w:val="4D204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C7B2E"/>
    <w:multiLevelType w:val="hybridMultilevel"/>
    <w:tmpl w:val="B9A8F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">
    <w:nsid w:val="37E20634"/>
    <w:multiLevelType w:val="hybridMultilevel"/>
    <w:tmpl w:val="3AF2DA6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1E6496"/>
    <w:multiLevelType w:val="hybridMultilevel"/>
    <w:tmpl w:val="A134EE12"/>
    <w:lvl w:ilvl="0" w:tplc="F962D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8">
    <w:nsid w:val="3B0C694D"/>
    <w:multiLevelType w:val="hybridMultilevel"/>
    <w:tmpl w:val="F7F646EA"/>
    <w:lvl w:ilvl="0" w:tplc="4A12F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26D2D"/>
    <w:multiLevelType w:val="hybridMultilevel"/>
    <w:tmpl w:val="3A5A161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41A2344F"/>
    <w:multiLevelType w:val="hybridMultilevel"/>
    <w:tmpl w:val="1F50C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8B7093"/>
    <w:multiLevelType w:val="hybridMultilevel"/>
    <w:tmpl w:val="915C0854"/>
    <w:lvl w:ilvl="0" w:tplc="A8A0AFB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D4222DD"/>
    <w:multiLevelType w:val="hybridMultilevel"/>
    <w:tmpl w:val="81C835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145130"/>
    <w:multiLevelType w:val="hybridMultilevel"/>
    <w:tmpl w:val="CBDE8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F6C24"/>
    <w:multiLevelType w:val="hybridMultilevel"/>
    <w:tmpl w:val="F9C81E6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4153B7"/>
    <w:multiLevelType w:val="hybridMultilevel"/>
    <w:tmpl w:val="A8986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91B7C"/>
    <w:multiLevelType w:val="hybridMultilevel"/>
    <w:tmpl w:val="4E185F4A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9">
    <w:nsid w:val="63237118"/>
    <w:multiLevelType w:val="hybridMultilevel"/>
    <w:tmpl w:val="69BCE2E6"/>
    <w:lvl w:ilvl="0" w:tplc="98743C8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654258E0"/>
    <w:multiLevelType w:val="hybridMultilevel"/>
    <w:tmpl w:val="A8149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25CC8"/>
    <w:multiLevelType w:val="hybridMultilevel"/>
    <w:tmpl w:val="38DCAA72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748708B"/>
    <w:multiLevelType w:val="hybridMultilevel"/>
    <w:tmpl w:val="E36E8C4A"/>
    <w:lvl w:ilvl="0" w:tplc="C5422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C3496"/>
    <w:multiLevelType w:val="hybridMultilevel"/>
    <w:tmpl w:val="1BE0EABC"/>
    <w:lvl w:ilvl="0" w:tplc="5A364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10079"/>
    <w:multiLevelType w:val="hybridMultilevel"/>
    <w:tmpl w:val="E36E8C4A"/>
    <w:lvl w:ilvl="0" w:tplc="C5422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20D4C"/>
    <w:multiLevelType w:val="multilevel"/>
    <w:tmpl w:val="680C1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27"/>
  </w:num>
  <w:num w:numId="5">
    <w:abstractNumId w:val="4"/>
  </w:num>
  <w:num w:numId="6">
    <w:abstractNumId w:val="18"/>
  </w:num>
  <w:num w:numId="7">
    <w:abstractNumId w:val="18"/>
  </w:num>
  <w:num w:numId="8">
    <w:abstractNumId w:val="3"/>
  </w:num>
  <w:num w:numId="9">
    <w:abstractNumId w:val="20"/>
  </w:num>
  <w:num w:numId="10">
    <w:abstractNumId w:val="8"/>
  </w:num>
  <w:num w:numId="11">
    <w:abstractNumId w:val="23"/>
  </w:num>
  <w:num w:numId="12">
    <w:abstractNumId w:val="9"/>
  </w:num>
  <w:num w:numId="13">
    <w:abstractNumId w:val="17"/>
  </w:num>
  <w:num w:numId="14">
    <w:abstractNumId w:val="21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1"/>
  </w:num>
  <w:num w:numId="21">
    <w:abstractNumId w:val="18"/>
  </w:num>
  <w:num w:numId="22">
    <w:abstractNumId w:val="2"/>
  </w:num>
  <w:num w:numId="23">
    <w:abstractNumId w:val="24"/>
  </w:num>
  <w:num w:numId="24">
    <w:abstractNumId w:val="22"/>
  </w:num>
  <w:num w:numId="25">
    <w:abstractNumId w:val="0"/>
  </w:num>
  <w:num w:numId="26">
    <w:abstractNumId w:val="19"/>
  </w:num>
  <w:num w:numId="27">
    <w:abstractNumId w:val="5"/>
  </w:num>
  <w:num w:numId="28">
    <w:abstractNumId w:val="25"/>
  </w:num>
  <w:num w:numId="29">
    <w:abstractNumId w:val="16"/>
  </w:num>
  <w:num w:numId="30">
    <w:abstractNumId w:val="1"/>
  </w:num>
  <w:num w:numId="31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activeWritingStyle w:appName="MSWord" w:lang="en-AU" w:vendorID="8" w:dllVersion="513" w:checkStyle="1"/>
  <w:proofState w:spelling="clean" w:grammar="clean"/>
  <w:stylePaneFormatFilter w:val="3F01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10725"/>
    <w:rsid w:val="000001B1"/>
    <w:rsid w:val="000005A6"/>
    <w:rsid w:val="00000FC7"/>
    <w:rsid w:val="0000142F"/>
    <w:rsid w:val="0000199B"/>
    <w:rsid w:val="00002652"/>
    <w:rsid w:val="00006159"/>
    <w:rsid w:val="00010317"/>
    <w:rsid w:val="000129E4"/>
    <w:rsid w:val="00014E4D"/>
    <w:rsid w:val="00015E28"/>
    <w:rsid w:val="00015FBA"/>
    <w:rsid w:val="00016F98"/>
    <w:rsid w:val="00017E4B"/>
    <w:rsid w:val="00020C54"/>
    <w:rsid w:val="00021DAB"/>
    <w:rsid w:val="000221A2"/>
    <w:rsid w:val="00024003"/>
    <w:rsid w:val="00025D52"/>
    <w:rsid w:val="00033C30"/>
    <w:rsid w:val="00034423"/>
    <w:rsid w:val="00036923"/>
    <w:rsid w:val="00041419"/>
    <w:rsid w:val="00043D9C"/>
    <w:rsid w:val="0004776E"/>
    <w:rsid w:val="000530A0"/>
    <w:rsid w:val="0005313F"/>
    <w:rsid w:val="0005609A"/>
    <w:rsid w:val="00056480"/>
    <w:rsid w:val="00056752"/>
    <w:rsid w:val="000571AD"/>
    <w:rsid w:val="00060F19"/>
    <w:rsid w:val="00061D1A"/>
    <w:rsid w:val="00061D38"/>
    <w:rsid w:val="0006348A"/>
    <w:rsid w:val="00064ED2"/>
    <w:rsid w:val="00066EA1"/>
    <w:rsid w:val="000707C8"/>
    <w:rsid w:val="00072C5D"/>
    <w:rsid w:val="00072F81"/>
    <w:rsid w:val="00075A9C"/>
    <w:rsid w:val="00076651"/>
    <w:rsid w:val="00077C8E"/>
    <w:rsid w:val="000825E9"/>
    <w:rsid w:val="0008407C"/>
    <w:rsid w:val="00086E15"/>
    <w:rsid w:val="0009147A"/>
    <w:rsid w:val="0009195D"/>
    <w:rsid w:val="000A0ED6"/>
    <w:rsid w:val="000A3A80"/>
    <w:rsid w:val="000A5D51"/>
    <w:rsid w:val="000A77BE"/>
    <w:rsid w:val="000A7E55"/>
    <w:rsid w:val="000B36FE"/>
    <w:rsid w:val="000B5920"/>
    <w:rsid w:val="000B6374"/>
    <w:rsid w:val="000B7290"/>
    <w:rsid w:val="000B7DF5"/>
    <w:rsid w:val="000C113B"/>
    <w:rsid w:val="000C2423"/>
    <w:rsid w:val="000C261A"/>
    <w:rsid w:val="000C36B8"/>
    <w:rsid w:val="000C371E"/>
    <w:rsid w:val="000C49D8"/>
    <w:rsid w:val="000C56B8"/>
    <w:rsid w:val="000C6105"/>
    <w:rsid w:val="000C6885"/>
    <w:rsid w:val="000C6980"/>
    <w:rsid w:val="000C6EE5"/>
    <w:rsid w:val="000C7CE0"/>
    <w:rsid w:val="000D0239"/>
    <w:rsid w:val="000D034F"/>
    <w:rsid w:val="000D0B75"/>
    <w:rsid w:val="000D19E6"/>
    <w:rsid w:val="000D35BC"/>
    <w:rsid w:val="000D43C3"/>
    <w:rsid w:val="000D5443"/>
    <w:rsid w:val="000E0BD1"/>
    <w:rsid w:val="000E117F"/>
    <w:rsid w:val="000E1254"/>
    <w:rsid w:val="000E1A70"/>
    <w:rsid w:val="000E1D20"/>
    <w:rsid w:val="000E50A5"/>
    <w:rsid w:val="000E758E"/>
    <w:rsid w:val="000F1371"/>
    <w:rsid w:val="000F4819"/>
    <w:rsid w:val="000F51CC"/>
    <w:rsid w:val="000F61A3"/>
    <w:rsid w:val="000F6B53"/>
    <w:rsid w:val="000F7940"/>
    <w:rsid w:val="000F7CCC"/>
    <w:rsid w:val="00100DC4"/>
    <w:rsid w:val="00102526"/>
    <w:rsid w:val="001034A1"/>
    <w:rsid w:val="00104001"/>
    <w:rsid w:val="00104275"/>
    <w:rsid w:val="0010503D"/>
    <w:rsid w:val="00107C93"/>
    <w:rsid w:val="00111C6A"/>
    <w:rsid w:val="00113DD8"/>
    <w:rsid w:val="00113E40"/>
    <w:rsid w:val="00114C55"/>
    <w:rsid w:val="00115874"/>
    <w:rsid w:val="001165A1"/>
    <w:rsid w:val="00116A6D"/>
    <w:rsid w:val="00120748"/>
    <w:rsid w:val="001219A3"/>
    <w:rsid w:val="001220E9"/>
    <w:rsid w:val="001221D9"/>
    <w:rsid w:val="00123E87"/>
    <w:rsid w:val="001253A0"/>
    <w:rsid w:val="0012677E"/>
    <w:rsid w:val="00127C8F"/>
    <w:rsid w:val="00130690"/>
    <w:rsid w:val="00130DF2"/>
    <w:rsid w:val="00131AFC"/>
    <w:rsid w:val="00132BAF"/>
    <w:rsid w:val="00136FA0"/>
    <w:rsid w:val="00137672"/>
    <w:rsid w:val="00137A62"/>
    <w:rsid w:val="00140E74"/>
    <w:rsid w:val="0014245D"/>
    <w:rsid w:val="00143635"/>
    <w:rsid w:val="00145996"/>
    <w:rsid w:val="001468B2"/>
    <w:rsid w:val="00146DC2"/>
    <w:rsid w:val="00147A19"/>
    <w:rsid w:val="00150D01"/>
    <w:rsid w:val="00151226"/>
    <w:rsid w:val="0015225A"/>
    <w:rsid w:val="00152E01"/>
    <w:rsid w:val="001530E0"/>
    <w:rsid w:val="001539BF"/>
    <w:rsid w:val="00154EC4"/>
    <w:rsid w:val="00155263"/>
    <w:rsid w:val="00157BF1"/>
    <w:rsid w:val="00161D14"/>
    <w:rsid w:val="00162B6A"/>
    <w:rsid w:val="001643F1"/>
    <w:rsid w:val="00165FD2"/>
    <w:rsid w:val="00166322"/>
    <w:rsid w:val="00166825"/>
    <w:rsid w:val="00170063"/>
    <w:rsid w:val="001717BF"/>
    <w:rsid w:val="001725C0"/>
    <w:rsid w:val="00173E59"/>
    <w:rsid w:val="00174358"/>
    <w:rsid w:val="00174687"/>
    <w:rsid w:val="00176ABA"/>
    <w:rsid w:val="001800B3"/>
    <w:rsid w:val="00182772"/>
    <w:rsid w:val="0018338F"/>
    <w:rsid w:val="001836FC"/>
    <w:rsid w:val="0018546C"/>
    <w:rsid w:val="00187D36"/>
    <w:rsid w:val="001906A0"/>
    <w:rsid w:val="001906D7"/>
    <w:rsid w:val="0019235E"/>
    <w:rsid w:val="00192B2C"/>
    <w:rsid w:val="00195428"/>
    <w:rsid w:val="00195E96"/>
    <w:rsid w:val="00196D42"/>
    <w:rsid w:val="001B1B47"/>
    <w:rsid w:val="001B2BAF"/>
    <w:rsid w:val="001B40D8"/>
    <w:rsid w:val="001B47B0"/>
    <w:rsid w:val="001B4E68"/>
    <w:rsid w:val="001B5B68"/>
    <w:rsid w:val="001C2600"/>
    <w:rsid w:val="001C3247"/>
    <w:rsid w:val="001C3300"/>
    <w:rsid w:val="001C5F3F"/>
    <w:rsid w:val="001D028C"/>
    <w:rsid w:val="001D095A"/>
    <w:rsid w:val="001D2106"/>
    <w:rsid w:val="001D2232"/>
    <w:rsid w:val="001D383E"/>
    <w:rsid w:val="001D54BB"/>
    <w:rsid w:val="001D6FCD"/>
    <w:rsid w:val="001E233E"/>
    <w:rsid w:val="001E3353"/>
    <w:rsid w:val="001E43A7"/>
    <w:rsid w:val="001E477E"/>
    <w:rsid w:val="001E5A55"/>
    <w:rsid w:val="001E5BB6"/>
    <w:rsid w:val="001F4B2A"/>
    <w:rsid w:val="001F7CCF"/>
    <w:rsid w:val="0020007E"/>
    <w:rsid w:val="00201430"/>
    <w:rsid w:val="00203B49"/>
    <w:rsid w:val="00203CF7"/>
    <w:rsid w:val="002050E7"/>
    <w:rsid w:val="002060F8"/>
    <w:rsid w:val="00207A2F"/>
    <w:rsid w:val="00211D59"/>
    <w:rsid w:val="0021370E"/>
    <w:rsid w:val="00213D33"/>
    <w:rsid w:val="002142F7"/>
    <w:rsid w:val="00214C80"/>
    <w:rsid w:val="00216002"/>
    <w:rsid w:val="00216341"/>
    <w:rsid w:val="00221BBD"/>
    <w:rsid w:val="00222780"/>
    <w:rsid w:val="00223209"/>
    <w:rsid w:val="002242E9"/>
    <w:rsid w:val="002243BD"/>
    <w:rsid w:val="0022533F"/>
    <w:rsid w:val="00225B26"/>
    <w:rsid w:val="002266E2"/>
    <w:rsid w:val="0022747F"/>
    <w:rsid w:val="00231B71"/>
    <w:rsid w:val="00232870"/>
    <w:rsid w:val="00232F83"/>
    <w:rsid w:val="00234F81"/>
    <w:rsid w:val="00235E67"/>
    <w:rsid w:val="002365B1"/>
    <w:rsid w:val="00236C3A"/>
    <w:rsid w:val="00237AD9"/>
    <w:rsid w:val="00240C43"/>
    <w:rsid w:val="00242BD1"/>
    <w:rsid w:val="00244D52"/>
    <w:rsid w:val="00246EE9"/>
    <w:rsid w:val="0025107E"/>
    <w:rsid w:val="002518E9"/>
    <w:rsid w:val="00252BA6"/>
    <w:rsid w:val="00254050"/>
    <w:rsid w:val="0025452F"/>
    <w:rsid w:val="00255257"/>
    <w:rsid w:val="002579C9"/>
    <w:rsid w:val="00260361"/>
    <w:rsid w:val="00262A09"/>
    <w:rsid w:val="00262FA9"/>
    <w:rsid w:val="002630BD"/>
    <w:rsid w:val="00264105"/>
    <w:rsid w:val="002646C4"/>
    <w:rsid w:val="00264952"/>
    <w:rsid w:val="0026546F"/>
    <w:rsid w:val="00265C10"/>
    <w:rsid w:val="002662AA"/>
    <w:rsid w:val="0026715C"/>
    <w:rsid w:val="00270D7D"/>
    <w:rsid w:val="00277C13"/>
    <w:rsid w:val="00283B1F"/>
    <w:rsid w:val="0028456F"/>
    <w:rsid w:val="002858E3"/>
    <w:rsid w:val="00286073"/>
    <w:rsid w:val="002863AA"/>
    <w:rsid w:val="002863CD"/>
    <w:rsid w:val="00292D57"/>
    <w:rsid w:val="00292F6B"/>
    <w:rsid w:val="00297A86"/>
    <w:rsid w:val="00297CC5"/>
    <w:rsid w:val="002A02B1"/>
    <w:rsid w:val="002A12D8"/>
    <w:rsid w:val="002A22D6"/>
    <w:rsid w:val="002A269E"/>
    <w:rsid w:val="002A283C"/>
    <w:rsid w:val="002A2FC8"/>
    <w:rsid w:val="002A324A"/>
    <w:rsid w:val="002A52CE"/>
    <w:rsid w:val="002B16B0"/>
    <w:rsid w:val="002B1C8C"/>
    <w:rsid w:val="002B536B"/>
    <w:rsid w:val="002B5A36"/>
    <w:rsid w:val="002B6416"/>
    <w:rsid w:val="002C04B3"/>
    <w:rsid w:val="002C0D4E"/>
    <w:rsid w:val="002C26CC"/>
    <w:rsid w:val="002C33E0"/>
    <w:rsid w:val="002C4B1F"/>
    <w:rsid w:val="002C4B96"/>
    <w:rsid w:val="002C7FFB"/>
    <w:rsid w:val="002D0662"/>
    <w:rsid w:val="002D0B3A"/>
    <w:rsid w:val="002D16F9"/>
    <w:rsid w:val="002D4373"/>
    <w:rsid w:val="002E044E"/>
    <w:rsid w:val="002E2D16"/>
    <w:rsid w:val="002E32B7"/>
    <w:rsid w:val="002E5519"/>
    <w:rsid w:val="002E560D"/>
    <w:rsid w:val="002E62A7"/>
    <w:rsid w:val="002F040E"/>
    <w:rsid w:val="002F0935"/>
    <w:rsid w:val="002F5432"/>
    <w:rsid w:val="002F6C92"/>
    <w:rsid w:val="002F7643"/>
    <w:rsid w:val="002F7672"/>
    <w:rsid w:val="00301D89"/>
    <w:rsid w:val="00302175"/>
    <w:rsid w:val="00303BA5"/>
    <w:rsid w:val="0030490D"/>
    <w:rsid w:val="003051E0"/>
    <w:rsid w:val="00306467"/>
    <w:rsid w:val="003103EB"/>
    <w:rsid w:val="00311DBD"/>
    <w:rsid w:val="0031208F"/>
    <w:rsid w:val="003124F3"/>
    <w:rsid w:val="0031283F"/>
    <w:rsid w:val="003131A8"/>
    <w:rsid w:val="00313474"/>
    <w:rsid w:val="003149EB"/>
    <w:rsid w:val="0031650B"/>
    <w:rsid w:val="0031661F"/>
    <w:rsid w:val="003169F9"/>
    <w:rsid w:val="003174DC"/>
    <w:rsid w:val="00321984"/>
    <w:rsid w:val="00322A5D"/>
    <w:rsid w:val="00322BF1"/>
    <w:rsid w:val="00323121"/>
    <w:rsid w:val="00326A28"/>
    <w:rsid w:val="00326D1D"/>
    <w:rsid w:val="00327F79"/>
    <w:rsid w:val="00330FF6"/>
    <w:rsid w:val="00335CD8"/>
    <w:rsid w:val="00337115"/>
    <w:rsid w:val="003414BA"/>
    <w:rsid w:val="00345B34"/>
    <w:rsid w:val="00346E2E"/>
    <w:rsid w:val="00346FE8"/>
    <w:rsid w:val="003507C1"/>
    <w:rsid w:val="00351417"/>
    <w:rsid w:val="0036098D"/>
    <w:rsid w:val="00361CC5"/>
    <w:rsid w:val="00363049"/>
    <w:rsid w:val="00363F33"/>
    <w:rsid w:val="003645C4"/>
    <w:rsid w:val="00367275"/>
    <w:rsid w:val="003678ED"/>
    <w:rsid w:val="003713F5"/>
    <w:rsid w:val="0037189F"/>
    <w:rsid w:val="00375BA0"/>
    <w:rsid w:val="00375FA9"/>
    <w:rsid w:val="00376489"/>
    <w:rsid w:val="0037675F"/>
    <w:rsid w:val="0038127A"/>
    <w:rsid w:val="00382D08"/>
    <w:rsid w:val="00383822"/>
    <w:rsid w:val="0038557B"/>
    <w:rsid w:val="00386014"/>
    <w:rsid w:val="0038646F"/>
    <w:rsid w:val="0038786E"/>
    <w:rsid w:val="0038792B"/>
    <w:rsid w:val="0039370E"/>
    <w:rsid w:val="003938D7"/>
    <w:rsid w:val="003943D0"/>
    <w:rsid w:val="00395D66"/>
    <w:rsid w:val="003A0A6D"/>
    <w:rsid w:val="003A1AB4"/>
    <w:rsid w:val="003A3114"/>
    <w:rsid w:val="003A3E64"/>
    <w:rsid w:val="003A41CB"/>
    <w:rsid w:val="003A66C5"/>
    <w:rsid w:val="003A6BF1"/>
    <w:rsid w:val="003A6E38"/>
    <w:rsid w:val="003B1AA1"/>
    <w:rsid w:val="003B32E4"/>
    <w:rsid w:val="003B373C"/>
    <w:rsid w:val="003B474D"/>
    <w:rsid w:val="003B5C20"/>
    <w:rsid w:val="003B5C25"/>
    <w:rsid w:val="003C0178"/>
    <w:rsid w:val="003C214B"/>
    <w:rsid w:val="003C2BF5"/>
    <w:rsid w:val="003C52CD"/>
    <w:rsid w:val="003C55C3"/>
    <w:rsid w:val="003D17B0"/>
    <w:rsid w:val="003D241E"/>
    <w:rsid w:val="003D4939"/>
    <w:rsid w:val="003E0989"/>
    <w:rsid w:val="003E31AF"/>
    <w:rsid w:val="003E42EE"/>
    <w:rsid w:val="003E4D80"/>
    <w:rsid w:val="003E562F"/>
    <w:rsid w:val="003E6065"/>
    <w:rsid w:val="003E6B47"/>
    <w:rsid w:val="003F65DD"/>
    <w:rsid w:val="003F743D"/>
    <w:rsid w:val="004003EE"/>
    <w:rsid w:val="00403613"/>
    <w:rsid w:val="00403864"/>
    <w:rsid w:val="00405158"/>
    <w:rsid w:val="00406BA7"/>
    <w:rsid w:val="00407C00"/>
    <w:rsid w:val="004102BF"/>
    <w:rsid w:val="00410725"/>
    <w:rsid w:val="004123DA"/>
    <w:rsid w:val="00414E67"/>
    <w:rsid w:val="004157B2"/>
    <w:rsid w:val="00416DC9"/>
    <w:rsid w:val="00417FEE"/>
    <w:rsid w:val="004228C5"/>
    <w:rsid w:val="00422ACE"/>
    <w:rsid w:val="004243E6"/>
    <w:rsid w:val="00424AF1"/>
    <w:rsid w:val="00424FEE"/>
    <w:rsid w:val="00425389"/>
    <w:rsid w:val="004300BC"/>
    <w:rsid w:val="00431684"/>
    <w:rsid w:val="004321E8"/>
    <w:rsid w:val="00432BA1"/>
    <w:rsid w:val="004353FC"/>
    <w:rsid w:val="0043661C"/>
    <w:rsid w:val="00436851"/>
    <w:rsid w:val="0043726E"/>
    <w:rsid w:val="004405BF"/>
    <w:rsid w:val="004419DA"/>
    <w:rsid w:val="00442759"/>
    <w:rsid w:val="004434C4"/>
    <w:rsid w:val="00446B54"/>
    <w:rsid w:val="004477C4"/>
    <w:rsid w:val="00447FE6"/>
    <w:rsid w:val="004500E8"/>
    <w:rsid w:val="004531AE"/>
    <w:rsid w:val="00453EFD"/>
    <w:rsid w:val="00457D1D"/>
    <w:rsid w:val="004601F6"/>
    <w:rsid w:val="00460C3B"/>
    <w:rsid w:val="00461758"/>
    <w:rsid w:val="00462BCB"/>
    <w:rsid w:val="00464EE0"/>
    <w:rsid w:val="00466CB4"/>
    <w:rsid w:val="004722B6"/>
    <w:rsid w:val="00473685"/>
    <w:rsid w:val="00473CDC"/>
    <w:rsid w:val="00475EA4"/>
    <w:rsid w:val="0047785F"/>
    <w:rsid w:val="00480207"/>
    <w:rsid w:val="004821C8"/>
    <w:rsid w:val="00484862"/>
    <w:rsid w:val="004850E8"/>
    <w:rsid w:val="00490BF1"/>
    <w:rsid w:val="00491ECE"/>
    <w:rsid w:val="00497BC4"/>
    <w:rsid w:val="004A127C"/>
    <w:rsid w:val="004A2086"/>
    <w:rsid w:val="004A2E4A"/>
    <w:rsid w:val="004A3672"/>
    <w:rsid w:val="004A58CE"/>
    <w:rsid w:val="004A5F82"/>
    <w:rsid w:val="004B291A"/>
    <w:rsid w:val="004B3681"/>
    <w:rsid w:val="004B5999"/>
    <w:rsid w:val="004B5D6A"/>
    <w:rsid w:val="004B6A36"/>
    <w:rsid w:val="004B70D7"/>
    <w:rsid w:val="004C031A"/>
    <w:rsid w:val="004C77B9"/>
    <w:rsid w:val="004C7D38"/>
    <w:rsid w:val="004D2A6D"/>
    <w:rsid w:val="004D3FEB"/>
    <w:rsid w:val="004D4ACB"/>
    <w:rsid w:val="004D6C28"/>
    <w:rsid w:val="004D71F7"/>
    <w:rsid w:val="004D7448"/>
    <w:rsid w:val="004E3816"/>
    <w:rsid w:val="004E4120"/>
    <w:rsid w:val="004E48D4"/>
    <w:rsid w:val="004E51EB"/>
    <w:rsid w:val="004F07CD"/>
    <w:rsid w:val="004F0EFB"/>
    <w:rsid w:val="004F5EDB"/>
    <w:rsid w:val="004F78EE"/>
    <w:rsid w:val="004F7E4E"/>
    <w:rsid w:val="005005DA"/>
    <w:rsid w:val="00500E97"/>
    <w:rsid w:val="00500FD6"/>
    <w:rsid w:val="00503580"/>
    <w:rsid w:val="0051162A"/>
    <w:rsid w:val="005116D4"/>
    <w:rsid w:val="005141BA"/>
    <w:rsid w:val="00514D3C"/>
    <w:rsid w:val="0051546C"/>
    <w:rsid w:val="0051557B"/>
    <w:rsid w:val="005204CA"/>
    <w:rsid w:val="00521BAD"/>
    <w:rsid w:val="00522A7F"/>
    <w:rsid w:val="00523B3F"/>
    <w:rsid w:val="0052600B"/>
    <w:rsid w:val="00527A02"/>
    <w:rsid w:val="0053281C"/>
    <w:rsid w:val="00532928"/>
    <w:rsid w:val="005335BF"/>
    <w:rsid w:val="00533693"/>
    <w:rsid w:val="00533AD2"/>
    <w:rsid w:val="0053650C"/>
    <w:rsid w:val="005366CB"/>
    <w:rsid w:val="0053765C"/>
    <w:rsid w:val="00537AB5"/>
    <w:rsid w:val="00541130"/>
    <w:rsid w:val="00542EDB"/>
    <w:rsid w:val="00543D9A"/>
    <w:rsid w:val="0054441B"/>
    <w:rsid w:val="00547D11"/>
    <w:rsid w:val="00547FE1"/>
    <w:rsid w:val="005518DB"/>
    <w:rsid w:val="00552036"/>
    <w:rsid w:val="00552570"/>
    <w:rsid w:val="005548F8"/>
    <w:rsid w:val="00555603"/>
    <w:rsid w:val="00556104"/>
    <w:rsid w:val="00557C0B"/>
    <w:rsid w:val="00557DDF"/>
    <w:rsid w:val="00560F45"/>
    <w:rsid w:val="00561525"/>
    <w:rsid w:val="00561B5F"/>
    <w:rsid w:val="00566534"/>
    <w:rsid w:val="00567969"/>
    <w:rsid w:val="0057059D"/>
    <w:rsid w:val="005715BB"/>
    <w:rsid w:val="005721B0"/>
    <w:rsid w:val="0057264F"/>
    <w:rsid w:val="00576B10"/>
    <w:rsid w:val="00577354"/>
    <w:rsid w:val="00577868"/>
    <w:rsid w:val="00577E73"/>
    <w:rsid w:val="00581612"/>
    <w:rsid w:val="00582B65"/>
    <w:rsid w:val="005841B9"/>
    <w:rsid w:val="00590751"/>
    <w:rsid w:val="00592C37"/>
    <w:rsid w:val="00592F9C"/>
    <w:rsid w:val="005937F5"/>
    <w:rsid w:val="005951EF"/>
    <w:rsid w:val="00596558"/>
    <w:rsid w:val="005969AB"/>
    <w:rsid w:val="005A09DF"/>
    <w:rsid w:val="005A12A8"/>
    <w:rsid w:val="005A1BBC"/>
    <w:rsid w:val="005A260F"/>
    <w:rsid w:val="005B2AF1"/>
    <w:rsid w:val="005B5F77"/>
    <w:rsid w:val="005C0163"/>
    <w:rsid w:val="005C2CC6"/>
    <w:rsid w:val="005C4B7D"/>
    <w:rsid w:val="005C6BAB"/>
    <w:rsid w:val="005D026A"/>
    <w:rsid w:val="005D1A00"/>
    <w:rsid w:val="005D2BE2"/>
    <w:rsid w:val="005D4C9B"/>
    <w:rsid w:val="005D4D93"/>
    <w:rsid w:val="005D55EA"/>
    <w:rsid w:val="005D5746"/>
    <w:rsid w:val="005D75D9"/>
    <w:rsid w:val="005E37E5"/>
    <w:rsid w:val="005E485F"/>
    <w:rsid w:val="005E5859"/>
    <w:rsid w:val="005E69E7"/>
    <w:rsid w:val="005F198F"/>
    <w:rsid w:val="005F30A5"/>
    <w:rsid w:val="005F5644"/>
    <w:rsid w:val="005F5BF3"/>
    <w:rsid w:val="005F7B62"/>
    <w:rsid w:val="005F7CBB"/>
    <w:rsid w:val="006013A6"/>
    <w:rsid w:val="00601D18"/>
    <w:rsid w:val="00602C79"/>
    <w:rsid w:val="00606CE8"/>
    <w:rsid w:val="00607258"/>
    <w:rsid w:val="00607C47"/>
    <w:rsid w:val="0061113D"/>
    <w:rsid w:val="00611A38"/>
    <w:rsid w:val="00614A71"/>
    <w:rsid w:val="006152BC"/>
    <w:rsid w:val="0062024F"/>
    <w:rsid w:val="00620F9B"/>
    <w:rsid w:val="006215EF"/>
    <w:rsid w:val="006217D6"/>
    <w:rsid w:val="00624235"/>
    <w:rsid w:val="00624704"/>
    <w:rsid w:val="0062564F"/>
    <w:rsid w:val="006312FB"/>
    <w:rsid w:val="00632AC6"/>
    <w:rsid w:val="0063533B"/>
    <w:rsid w:val="00640EC4"/>
    <w:rsid w:val="00641987"/>
    <w:rsid w:val="00641C60"/>
    <w:rsid w:val="00642980"/>
    <w:rsid w:val="0064422F"/>
    <w:rsid w:val="00646FEE"/>
    <w:rsid w:val="00647E85"/>
    <w:rsid w:val="00647FC9"/>
    <w:rsid w:val="00651D1A"/>
    <w:rsid w:val="00653CD6"/>
    <w:rsid w:val="00654D2B"/>
    <w:rsid w:val="00655C10"/>
    <w:rsid w:val="00657918"/>
    <w:rsid w:val="00662487"/>
    <w:rsid w:val="006635D4"/>
    <w:rsid w:val="006635DB"/>
    <w:rsid w:val="00664CD9"/>
    <w:rsid w:val="00666610"/>
    <w:rsid w:val="00666E38"/>
    <w:rsid w:val="00673C64"/>
    <w:rsid w:val="006756A5"/>
    <w:rsid w:val="0067662F"/>
    <w:rsid w:val="00676A4B"/>
    <w:rsid w:val="00677416"/>
    <w:rsid w:val="00677A84"/>
    <w:rsid w:val="00683E4E"/>
    <w:rsid w:val="006856CE"/>
    <w:rsid w:val="00685EBA"/>
    <w:rsid w:val="00687CA4"/>
    <w:rsid w:val="00687CAA"/>
    <w:rsid w:val="00687E26"/>
    <w:rsid w:val="0069113D"/>
    <w:rsid w:val="00691307"/>
    <w:rsid w:val="00692612"/>
    <w:rsid w:val="00692EB5"/>
    <w:rsid w:val="00693780"/>
    <w:rsid w:val="00694499"/>
    <w:rsid w:val="006968C4"/>
    <w:rsid w:val="006970F9"/>
    <w:rsid w:val="00697463"/>
    <w:rsid w:val="00697A81"/>
    <w:rsid w:val="006A077F"/>
    <w:rsid w:val="006A3CCF"/>
    <w:rsid w:val="006A5913"/>
    <w:rsid w:val="006A6502"/>
    <w:rsid w:val="006A6E33"/>
    <w:rsid w:val="006B0117"/>
    <w:rsid w:val="006B0BA5"/>
    <w:rsid w:val="006B18E6"/>
    <w:rsid w:val="006B291B"/>
    <w:rsid w:val="006B38B9"/>
    <w:rsid w:val="006B573C"/>
    <w:rsid w:val="006B798D"/>
    <w:rsid w:val="006C26C7"/>
    <w:rsid w:val="006C2761"/>
    <w:rsid w:val="006C2785"/>
    <w:rsid w:val="006C4D04"/>
    <w:rsid w:val="006C4EF0"/>
    <w:rsid w:val="006C6AEA"/>
    <w:rsid w:val="006D0339"/>
    <w:rsid w:val="006D0615"/>
    <w:rsid w:val="006D41BF"/>
    <w:rsid w:val="006D50B2"/>
    <w:rsid w:val="006D5A81"/>
    <w:rsid w:val="006D7400"/>
    <w:rsid w:val="006E0642"/>
    <w:rsid w:val="006E1513"/>
    <w:rsid w:val="006E1C5D"/>
    <w:rsid w:val="006E3AE0"/>
    <w:rsid w:val="006E47A9"/>
    <w:rsid w:val="006E4EA9"/>
    <w:rsid w:val="006F24D8"/>
    <w:rsid w:val="006F3F6B"/>
    <w:rsid w:val="006F5315"/>
    <w:rsid w:val="006F6952"/>
    <w:rsid w:val="006F6E52"/>
    <w:rsid w:val="006F6FE5"/>
    <w:rsid w:val="006F7FB9"/>
    <w:rsid w:val="00701E93"/>
    <w:rsid w:val="007023E7"/>
    <w:rsid w:val="00703C1E"/>
    <w:rsid w:val="00704AF0"/>
    <w:rsid w:val="00705631"/>
    <w:rsid w:val="00707F2E"/>
    <w:rsid w:val="00707FD3"/>
    <w:rsid w:val="0071210C"/>
    <w:rsid w:val="00712E6E"/>
    <w:rsid w:val="00713E9D"/>
    <w:rsid w:val="00713EBD"/>
    <w:rsid w:val="00716EC5"/>
    <w:rsid w:val="00720403"/>
    <w:rsid w:val="00720524"/>
    <w:rsid w:val="00720659"/>
    <w:rsid w:val="00721C26"/>
    <w:rsid w:val="00724100"/>
    <w:rsid w:val="007244C0"/>
    <w:rsid w:val="00725F29"/>
    <w:rsid w:val="0072636C"/>
    <w:rsid w:val="00726D8F"/>
    <w:rsid w:val="00727873"/>
    <w:rsid w:val="00732050"/>
    <w:rsid w:val="0073466D"/>
    <w:rsid w:val="00737348"/>
    <w:rsid w:val="00742BF5"/>
    <w:rsid w:val="00751FDE"/>
    <w:rsid w:val="00752EE5"/>
    <w:rsid w:val="007535FF"/>
    <w:rsid w:val="00755E1E"/>
    <w:rsid w:val="00757ADE"/>
    <w:rsid w:val="0076533A"/>
    <w:rsid w:val="0076545D"/>
    <w:rsid w:val="00767F9E"/>
    <w:rsid w:val="007735F6"/>
    <w:rsid w:val="0077507A"/>
    <w:rsid w:val="007770FF"/>
    <w:rsid w:val="00777D61"/>
    <w:rsid w:val="00781019"/>
    <w:rsid w:val="007815F3"/>
    <w:rsid w:val="0078404B"/>
    <w:rsid w:val="00785413"/>
    <w:rsid w:val="00787090"/>
    <w:rsid w:val="00793E71"/>
    <w:rsid w:val="00794E80"/>
    <w:rsid w:val="007A0618"/>
    <w:rsid w:val="007A0EFB"/>
    <w:rsid w:val="007A11BC"/>
    <w:rsid w:val="007A193D"/>
    <w:rsid w:val="007A78EB"/>
    <w:rsid w:val="007B4E25"/>
    <w:rsid w:val="007B6FB0"/>
    <w:rsid w:val="007B7389"/>
    <w:rsid w:val="007C0755"/>
    <w:rsid w:val="007C1CEB"/>
    <w:rsid w:val="007C665F"/>
    <w:rsid w:val="007C6705"/>
    <w:rsid w:val="007C7CD2"/>
    <w:rsid w:val="007D03DE"/>
    <w:rsid w:val="007D097C"/>
    <w:rsid w:val="007D11CB"/>
    <w:rsid w:val="007D1DA4"/>
    <w:rsid w:val="007D384D"/>
    <w:rsid w:val="007D4BCE"/>
    <w:rsid w:val="007D59CD"/>
    <w:rsid w:val="007D635C"/>
    <w:rsid w:val="007E1704"/>
    <w:rsid w:val="007E2B7A"/>
    <w:rsid w:val="007E3066"/>
    <w:rsid w:val="007E3E52"/>
    <w:rsid w:val="007E6033"/>
    <w:rsid w:val="007F0551"/>
    <w:rsid w:val="007F238F"/>
    <w:rsid w:val="007F554D"/>
    <w:rsid w:val="007F56C8"/>
    <w:rsid w:val="007F62CD"/>
    <w:rsid w:val="00802F63"/>
    <w:rsid w:val="00804803"/>
    <w:rsid w:val="008127AA"/>
    <w:rsid w:val="00814870"/>
    <w:rsid w:val="00814F53"/>
    <w:rsid w:val="008155A4"/>
    <w:rsid w:val="00815795"/>
    <w:rsid w:val="00823D8B"/>
    <w:rsid w:val="00826198"/>
    <w:rsid w:val="00826423"/>
    <w:rsid w:val="00826C2D"/>
    <w:rsid w:val="00826D58"/>
    <w:rsid w:val="00826E46"/>
    <w:rsid w:val="0083086D"/>
    <w:rsid w:val="00831852"/>
    <w:rsid w:val="00833B57"/>
    <w:rsid w:val="00834221"/>
    <w:rsid w:val="00834ED5"/>
    <w:rsid w:val="008361B8"/>
    <w:rsid w:val="008404E0"/>
    <w:rsid w:val="00840802"/>
    <w:rsid w:val="00840BE2"/>
    <w:rsid w:val="008458AE"/>
    <w:rsid w:val="00845FC7"/>
    <w:rsid w:val="00846CA2"/>
    <w:rsid w:val="00851B20"/>
    <w:rsid w:val="00853A4C"/>
    <w:rsid w:val="00853B45"/>
    <w:rsid w:val="00857480"/>
    <w:rsid w:val="00860051"/>
    <w:rsid w:val="00860DC5"/>
    <w:rsid w:val="00861D53"/>
    <w:rsid w:val="00861E62"/>
    <w:rsid w:val="00862551"/>
    <w:rsid w:val="00863739"/>
    <w:rsid w:val="0086465E"/>
    <w:rsid w:val="008657A2"/>
    <w:rsid w:val="00867779"/>
    <w:rsid w:val="0087011D"/>
    <w:rsid w:val="00872058"/>
    <w:rsid w:val="008730E4"/>
    <w:rsid w:val="00873C66"/>
    <w:rsid w:val="00876AC8"/>
    <w:rsid w:val="008802FB"/>
    <w:rsid w:val="0088093D"/>
    <w:rsid w:val="008838E3"/>
    <w:rsid w:val="00885D02"/>
    <w:rsid w:val="00891A77"/>
    <w:rsid w:val="00893177"/>
    <w:rsid w:val="008951AD"/>
    <w:rsid w:val="008A13C2"/>
    <w:rsid w:val="008A1718"/>
    <w:rsid w:val="008A357D"/>
    <w:rsid w:val="008A5650"/>
    <w:rsid w:val="008A579D"/>
    <w:rsid w:val="008A7141"/>
    <w:rsid w:val="008A760F"/>
    <w:rsid w:val="008A7868"/>
    <w:rsid w:val="008A7BCC"/>
    <w:rsid w:val="008B5441"/>
    <w:rsid w:val="008B57A3"/>
    <w:rsid w:val="008C245B"/>
    <w:rsid w:val="008C2937"/>
    <w:rsid w:val="008C344D"/>
    <w:rsid w:val="008C3E30"/>
    <w:rsid w:val="008C4E8C"/>
    <w:rsid w:val="008D1964"/>
    <w:rsid w:val="008D252E"/>
    <w:rsid w:val="008D2DCA"/>
    <w:rsid w:val="008D5A13"/>
    <w:rsid w:val="008D5CC6"/>
    <w:rsid w:val="008E1206"/>
    <w:rsid w:val="008E2AE4"/>
    <w:rsid w:val="008E30BD"/>
    <w:rsid w:val="008E3E28"/>
    <w:rsid w:val="008E45FD"/>
    <w:rsid w:val="008E51E7"/>
    <w:rsid w:val="008E57A2"/>
    <w:rsid w:val="008E7159"/>
    <w:rsid w:val="008E743D"/>
    <w:rsid w:val="008E7EFD"/>
    <w:rsid w:val="008F0BEC"/>
    <w:rsid w:val="008F1C8B"/>
    <w:rsid w:val="008F4F74"/>
    <w:rsid w:val="008F520C"/>
    <w:rsid w:val="008F7CC4"/>
    <w:rsid w:val="009003B3"/>
    <w:rsid w:val="009021D7"/>
    <w:rsid w:val="009023A2"/>
    <w:rsid w:val="009028C5"/>
    <w:rsid w:val="00903C2B"/>
    <w:rsid w:val="009113C3"/>
    <w:rsid w:val="009116BC"/>
    <w:rsid w:val="009120B6"/>
    <w:rsid w:val="00912A80"/>
    <w:rsid w:val="009142D6"/>
    <w:rsid w:val="00914A86"/>
    <w:rsid w:val="0091650B"/>
    <w:rsid w:val="009173F7"/>
    <w:rsid w:val="0092176A"/>
    <w:rsid w:val="00926020"/>
    <w:rsid w:val="00926C9E"/>
    <w:rsid w:val="009274DE"/>
    <w:rsid w:val="00930050"/>
    <w:rsid w:val="00932C32"/>
    <w:rsid w:val="00941B80"/>
    <w:rsid w:val="00944BCB"/>
    <w:rsid w:val="00944D11"/>
    <w:rsid w:val="00945891"/>
    <w:rsid w:val="009479E4"/>
    <w:rsid w:val="00955713"/>
    <w:rsid w:val="0095742D"/>
    <w:rsid w:val="00957C9E"/>
    <w:rsid w:val="00961682"/>
    <w:rsid w:val="0096464C"/>
    <w:rsid w:val="00972377"/>
    <w:rsid w:val="009741F3"/>
    <w:rsid w:val="009813BD"/>
    <w:rsid w:val="00983224"/>
    <w:rsid w:val="00983781"/>
    <w:rsid w:val="009857A7"/>
    <w:rsid w:val="00987220"/>
    <w:rsid w:val="009918B2"/>
    <w:rsid w:val="009921C0"/>
    <w:rsid w:val="009A674F"/>
    <w:rsid w:val="009B0ACC"/>
    <w:rsid w:val="009B0BE0"/>
    <w:rsid w:val="009B4B36"/>
    <w:rsid w:val="009B5483"/>
    <w:rsid w:val="009B7685"/>
    <w:rsid w:val="009C021A"/>
    <w:rsid w:val="009C2669"/>
    <w:rsid w:val="009C7A63"/>
    <w:rsid w:val="009C7EAF"/>
    <w:rsid w:val="009D0D0F"/>
    <w:rsid w:val="009D1253"/>
    <w:rsid w:val="009D1C85"/>
    <w:rsid w:val="009D26EE"/>
    <w:rsid w:val="009D27A3"/>
    <w:rsid w:val="009D586F"/>
    <w:rsid w:val="009D6065"/>
    <w:rsid w:val="009E0200"/>
    <w:rsid w:val="009E0741"/>
    <w:rsid w:val="009E0BAC"/>
    <w:rsid w:val="009E1406"/>
    <w:rsid w:val="009E48D0"/>
    <w:rsid w:val="009E5229"/>
    <w:rsid w:val="009E681F"/>
    <w:rsid w:val="009E7B23"/>
    <w:rsid w:val="009E7E40"/>
    <w:rsid w:val="009F20C2"/>
    <w:rsid w:val="009F22CF"/>
    <w:rsid w:val="009F2765"/>
    <w:rsid w:val="009F294F"/>
    <w:rsid w:val="009F3B4C"/>
    <w:rsid w:val="00A00D35"/>
    <w:rsid w:val="00A00D62"/>
    <w:rsid w:val="00A01758"/>
    <w:rsid w:val="00A03046"/>
    <w:rsid w:val="00A0385D"/>
    <w:rsid w:val="00A051AF"/>
    <w:rsid w:val="00A074C7"/>
    <w:rsid w:val="00A10700"/>
    <w:rsid w:val="00A11158"/>
    <w:rsid w:val="00A120DB"/>
    <w:rsid w:val="00A2258E"/>
    <w:rsid w:val="00A22CAD"/>
    <w:rsid w:val="00A25269"/>
    <w:rsid w:val="00A27D20"/>
    <w:rsid w:val="00A302AC"/>
    <w:rsid w:val="00A32255"/>
    <w:rsid w:val="00A32556"/>
    <w:rsid w:val="00A33860"/>
    <w:rsid w:val="00A357F8"/>
    <w:rsid w:val="00A3636E"/>
    <w:rsid w:val="00A3690A"/>
    <w:rsid w:val="00A36942"/>
    <w:rsid w:val="00A374EC"/>
    <w:rsid w:val="00A4021B"/>
    <w:rsid w:val="00A4063F"/>
    <w:rsid w:val="00A41A32"/>
    <w:rsid w:val="00A425FB"/>
    <w:rsid w:val="00A426D6"/>
    <w:rsid w:val="00A46001"/>
    <w:rsid w:val="00A478F1"/>
    <w:rsid w:val="00A47DF3"/>
    <w:rsid w:val="00A5049F"/>
    <w:rsid w:val="00A52D7B"/>
    <w:rsid w:val="00A53472"/>
    <w:rsid w:val="00A54037"/>
    <w:rsid w:val="00A54DA2"/>
    <w:rsid w:val="00A54F1C"/>
    <w:rsid w:val="00A56E31"/>
    <w:rsid w:val="00A5747F"/>
    <w:rsid w:val="00A574EB"/>
    <w:rsid w:val="00A57CF1"/>
    <w:rsid w:val="00A60B11"/>
    <w:rsid w:val="00A64062"/>
    <w:rsid w:val="00A650BF"/>
    <w:rsid w:val="00A66D83"/>
    <w:rsid w:val="00A66E53"/>
    <w:rsid w:val="00A67964"/>
    <w:rsid w:val="00A70714"/>
    <w:rsid w:val="00A7178F"/>
    <w:rsid w:val="00A74089"/>
    <w:rsid w:val="00A74B1B"/>
    <w:rsid w:val="00A76572"/>
    <w:rsid w:val="00A7699F"/>
    <w:rsid w:val="00A803F1"/>
    <w:rsid w:val="00A81028"/>
    <w:rsid w:val="00A8232A"/>
    <w:rsid w:val="00A83FC2"/>
    <w:rsid w:val="00A84D62"/>
    <w:rsid w:val="00A9129A"/>
    <w:rsid w:val="00A91432"/>
    <w:rsid w:val="00A9623F"/>
    <w:rsid w:val="00A97C12"/>
    <w:rsid w:val="00AA0258"/>
    <w:rsid w:val="00AA13F6"/>
    <w:rsid w:val="00AA2080"/>
    <w:rsid w:val="00AA3C22"/>
    <w:rsid w:val="00AA5668"/>
    <w:rsid w:val="00AA6B54"/>
    <w:rsid w:val="00AB0B2D"/>
    <w:rsid w:val="00AB0D25"/>
    <w:rsid w:val="00AB0E0F"/>
    <w:rsid w:val="00AB29BD"/>
    <w:rsid w:val="00AB2B8B"/>
    <w:rsid w:val="00AB3225"/>
    <w:rsid w:val="00AB33FE"/>
    <w:rsid w:val="00AB4A7A"/>
    <w:rsid w:val="00AB671D"/>
    <w:rsid w:val="00AC16BC"/>
    <w:rsid w:val="00AC3D87"/>
    <w:rsid w:val="00AC415D"/>
    <w:rsid w:val="00AC4B39"/>
    <w:rsid w:val="00AC5A34"/>
    <w:rsid w:val="00AC6148"/>
    <w:rsid w:val="00AC6E2A"/>
    <w:rsid w:val="00AC6F2F"/>
    <w:rsid w:val="00AD4C84"/>
    <w:rsid w:val="00AD6A57"/>
    <w:rsid w:val="00AD7271"/>
    <w:rsid w:val="00AD7485"/>
    <w:rsid w:val="00AD7504"/>
    <w:rsid w:val="00AE184C"/>
    <w:rsid w:val="00AE20C0"/>
    <w:rsid w:val="00AE2ABA"/>
    <w:rsid w:val="00AE3084"/>
    <w:rsid w:val="00AE347B"/>
    <w:rsid w:val="00AE3B64"/>
    <w:rsid w:val="00AF00AD"/>
    <w:rsid w:val="00AF10FA"/>
    <w:rsid w:val="00AF2333"/>
    <w:rsid w:val="00AF3C31"/>
    <w:rsid w:val="00AF3CEC"/>
    <w:rsid w:val="00AF47AE"/>
    <w:rsid w:val="00AF502F"/>
    <w:rsid w:val="00AF72E1"/>
    <w:rsid w:val="00B000C3"/>
    <w:rsid w:val="00B01D65"/>
    <w:rsid w:val="00B0597C"/>
    <w:rsid w:val="00B14494"/>
    <w:rsid w:val="00B15643"/>
    <w:rsid w:val="00B17F84"/>
    <w:rsid w:val="00B232E0"/>
    <w:rsid w:val="00B24DA8"/>
    <w:rsid w:val="00B25197"/>
    <w:rsid w:val="00B265FD"/>
    <w:rsid w:val="00B27720"/>
    <w:rsid w:val="00B30AB5"/>
    <w:rsid w:val="00B31648"/>
    <w:rsid w:val="00B31BD5"/>
    <w:rsid w:val="00B3203B"/>
    <w:rsid w:val="00B33FBC"/>
    <w:rsid w:val="00B344B0"/>
    <w:rsid w:val="00B34F49"/>
    <w:rsid w:val="00B4051C"/>
    <w:rsid w:val="00B43417"/>
    <w:rsid w:val="00B447BF"/>
    <w:rsid w:val="00B46154"/>
    <w:rsid w:val="00B501DA"/>
    <w:rsid w:val="00B503BA"/>
    <w:rsid w:val="00B50A94"/>
    <w:rsid w:val="00B532F9"/>
    <w:rsid w:val="00B557FE"/>
    <w:rsid w:val="00B56BCD"/>
    <w:rsid w:val="00B60107"/>
    <w:rsid w:val="00B60850"/>
    <w:rsid w:val="00B630FB"/>
    <w:rsid w:val="00B63AF6"/>
    <w:rsid w:val="00B6717E"/>
    <w:rsid w:val="00B7158F"/>
    <w:rsid w:val="00B72256"/>
    <w:rsid w:val="00B72FA9"/>
    <w:rsid w:val="00B7412F"/>
    <w:rsid w:val="00B7594A"/>
    <w:rsid w:val="00B76847"/>
    <w:rsid w:val="00B806F4"/>
    <w:rsid w:val="00B82F31"/>
    <w:rsid w:val="00B87888"/>
    <w:rsid w:val="00B87A95"/>
    <w:rsid w:val="00B91015"/>
    <w:rsid w:val="00B9354E"/>
    <w:rsid w:val="00B968DE"/>
    <w:rsid w:val="00B96C5B"/>
    <w:rsid w:val="00B973EE"/>
    <w:rsid w:val="00BA0F0E"/>
    <w:rsid w:val="00BA1EFD"/>
    <w:rsid w:val="00BA2E46"/>
    <w:rsid w:val="00BA3506"/>
    <w:rsid w:val="00BA4F41"/>
    <w:rsid w:val="00BA6471"/>
    <w:rsid w:val="00BA7790"/>
    <w:rsid w:val="00BB0FD3"/>
    <w:rsid w:val="00BB1882"/>
    <w:rsid w:val="00BB3F22"/>
    <w:rsid w:val="00BB522C"/>
    <w:rsid w:val="00BB6F5E"/>
    <w:rsid w:val="00BC278B"/>
    <w:rsid w:val="00BC3BA8"/>
    <w:rsid w:val="00BC4A80"/>
    <w:rsid w:val="00BC614B"/>
    <w:rsid w:val="00BC6498"/>
    <w:rsid w:val="00BC669C"/>
    <w:rsid w:val="00BC69E9"/>
    <w:rsid w:val="00BC79CC"/>
    <w:rsid w:val="00BD079C"/>
    <w:rsid w:val="00BD0F2C"/>
    <w:rsid w:val="00BD1880"/>
    <w:rsid w:val="00BD3EF8"/>
    <w:rsid w:val="00BD455D"/>
    <w:rsid w:val="00BD5B9E"/>
    <w:rsid w:val="00BD631A"/>
    <w:rsid w:val="00BD68AD"/>
    <w:rsid w:val="00BD698E"/>
    <w:rsid w:val="00BD71B2"/>
    <w:rsid w:val="00BE031F"/>
    <w:rsid w:val="00BE1644"/>
    <w:rsid w:val="00BE3445"/>
    <w:rsid w:val="00BE67AC"/>
    <w:rsid w:val="00BF0849"/>
    <w:rsid w:val="00BF132D"/>
    <w:rsid w:val="00BF1498"/>
    <w:rsid w:val="00BF1DC3"/>
    <w:rsid w:val="00BF24FF"/>
    <w:rsid w:val="00BF2DC4"/>
    <w:rsid w:val="00BF66F7"/>
    <w:rsid w:val="00C00F28"/>
    <w:rsid w:val="00C01926"/>
    <w:rsid w:val="00C0359C"/>
    <w:rsid w:val="00C04483"/>
    <w:rsid w:val="00C05401"/>
    <w:rsid w:val="00C057A3"/>
    <w:rsid w:val="00C05FD8"/>
    <w:rsid w:val="00C10062"/>
    <w:rsid w:val="00C10C2B"/>
    <w:rsid w:val="00C12C6D"/>
    <w:rsid w:val="00C1361D"/>
    <w:rsid w:val="00C15274"/>
    <w:rsid w:val="00C1660B"/>
    <w:rsid w:val="00C22073"/>
    <w:rsid w:val="00C22CD7"/>
    <w:rsid w:val="00C25285"/>
    <w:rsid w:val="00C26BC9"/>
    <w:rsid w:val="00C26CC0"/>
    <w:rsid w:val="00C30A59"/>
    <w:rsid w:val="00C31179"/>
    <w:rsid w:val="00C319C9"/>
    <w:rsid w:val="00C31B21"/>
    <w:rsid w:val="00C32860"/>
    <w:rsid w:val="00C34EE5"/>
    <w:rsid w:val="00C36262"/>
    <w:rsid w:val="00C3697B"/>
    <w:rsid w:val="00C40085"/>
    <w:rsid w:val="00C406AE"/>
    <w:rsid w:val="00C430E8"/>
    <w:rsid w:val="00C47506"/>
    <w:rsid w:val="00C53B50"/>
    <w:rsid w:val="00C54EBD"/>
    <w:rsid w:val="00C568AE"/>
    <w:rsid w:val="00C61AA7"/>
    <w:rsid w:val="00C62758"/>
    <w:rsid w:val="00C65F64"/>
    <w:rsid w:val="00C66D12"/>
    <w:rsid w:val="00C71FFC"/>
    <w:rsid w:val="00C73547"/>
    <w:rsid w:val="00C74E12"/>
    <w:rsid w:val="00C758CA"/>
    <w:rsid w:val="00C77BEC"/>
    <w:rsid w:val="00C80FB8"/>
    <w:rsid w:val="00C81CEB"/>
    <w:rsid w:val="00C84705"/>
    <w:rsid w:val="00C860EF"/>
    <w:rsid w:val="00C86631"/>
    <w:rsid w:val="00C86A0C"/>
    <w:rsid w:val="00C94DEB"/>
    <w:rsid w:val="00C95BA1"/>
    <w:rsid w:val="00CA0486"/>
    <w:rsid w:val="00CA0F98"/>
    <w:rsid w:val="00CA3707"/>
    <w:rsid w:val="00CA3843"/>
    <w:rsid w:val="00CA558A"/>
    <w:rsid w:val="00CB1D73"/>
    <w:rsid w:val="00CB2C0A"/>
    <w:rsid w:val="00CB2F51"/>
    <w:rsid w:val="00CB5D30"/>
    <w:rsid w:val="00CB5F34"/>
    <w:rsid w:val="00CC0DE2"/>
    <w:rsid w:val="00CC10BD"/>
    <w:rsid w:val="00CC1E9D"/>
    <w:rsid w:val="00CC2B70"/>
    <w:rsid w:val="00CC3324"/>
    <w:rsid w:val="00CC5DE8"/>
    <w:rsid w:val="00CC6A58"/>
    <w:rsid w:val="00CC6AB7"/>
    <w:rsid w:val="00CD0939"/>
    <w:rsid w:val="00CD0C3F"/>
    <w:rsid w:val="00CD2A3E"/>
    <w:rsid w:val="00CD4DDD"/>
    <w:rsid w:val="00CD6C07"/>
    <w:rsid w:val="00CE12ED"/>
    <w:rsid w:val="00CE2D6F"/>
    <w:rsid w:val="00CE3455"/>
    <w:rsid w:val="00CE3670"/>
    <w:rsid w:val="00CE4949"/>
    <w:rsid w:val="00CE6A83"/>
    <w:rsid w:val="00CF0033"/>
    <w:rsid w:val="00CF2AB5"/>
    <w:rsid w:val="00CF2FFD"/>
    <w:rsid w:val="00CF4624"/>
    <w:rsid w:val="00CF5CC9"/>
    <w:rsid w:val="00CF754E"/>
    <w:rsid w:val="00CF7671"/>
    <w:rsid w:val="00CF7FFD"/>
    <w:rsid w:val="00D019A7"/>
    <w:rsid w:val="00D01B19"/>
    <w:rsid w:val="00D022FC"/>
    <w:rsid w:val="00D02468"/>
    <w:rsid w:val="00D04FE4"/>
    <w:rsid w:val="00D061A1"/>
    <w:rsid w:val="00D061C0"/>
    <w:rsid w:val="00D0627A"/>
    <w:rsid w:val="00D100B9"/>
    <w:rsid w:val="00D10AEF"/>
    <w:rsid w:val="00D112D9"/>
    <w:rsid w:val="00D11680"/>
    <w:rsid w:val="00D12C08"/>
    <w:rsid w:val="00D153A9"/>
    <w:rsid w:val="00D159BB"/>
    <w:rsid w:val="00D21FEF"/>
    <w:rsid w:val="00D22154"/>
    <w:rsid w:val="00D23E7A"/>
    <w:rsid w:val="00D24C60"/>
    <w:rsid w:val="00D25152"/>
    <w:rsid w:val="00D251B1"/>
    <w:rsid w:val="00D253AE"/>
    <w:rsid w:val="00D2665A"/>
    <w:rsid w:val="00D26FD0"/>
    <w:rsid w:val="00D2771D"/>
    <w:rsid w:val="00D30D09"/>
    <w:rsid w:val="00D315A6"/>
    <w:rsid w:val="00D32C5E"/>
    <w:rsid w:val="00D33DCC"/>
    <w:rsid w:val="00D35F85"/>
    <w:rsid w:val="00D44F5D"/>
    <w:rsid w:val="00D46807"/>
    <w:rsid w:val="00D47232"/>
    <w:rsid w:val="00D506E8"/>
    <w:rsid w:val="00D528FA"/>
    <w:rsid w:val="00D54133"/>
    <w:rsid w:val="00D54C7F"/>
    <w:rsid w:val="00D551CA"/>
    <w:rsid w:val="00D55372"/>
    <w:rsid w:val="00D56067"/>
    <w:rsid w:val="00D601CB"/>
    <w:rsid w:val="00D60531"/>
    <w:rsid w:val="00D60C7D"/>
    <w:rsid w:val="00D61AE4"/>
    <w:rsid w:val="00D61E14"/>
    <w:rsid w:val="00D62132"/>
    <w:rsid w:val="00D62FE8"/>
    <w:rsid w:val="00D70DB5"/>
    <w:rsid w:val="00D728F6"/>
    <w:rsid w:val="00D73ADE"/>
    <w:rsid w:val="00D73E7F"/>
    <w:rsid w:val="00D74148"/>
    <w:rsid w:val="00D748D8"/>
    <w:rsid w:val="00D74AA8"/>
    <w:rsid w:val="00D75140"/>
    <w:rsid w:val="00D805EC"/>
    <w:rsid w:val="00D82B3A"/>
    <w:rsid w:val="00D83E21"/>
    <w:rsid w:val="00D869AE"/>
    <w:rsid w:val="00D90800"/>
    <w:rsid w:val="00D91E45"/>
    <w:rsid w:val="00D943A6"/>
    <w:rsid w:val="00D94873"/>
    <w:rsid w:val="00D95F41"/>
    <w:rsid w:val="00D97816"/>
    <w:rsid w:val="00D97C74"/>
    <w:rsid w:val="00DA3397"/>
    <w:rsid w:val="00DA6002"/>
    <w:rsid w:val="00DA6D35"/>
    <w:rsid w:val="00DA7B67"/>
    <w:rsid w:val="00DB0F97"/>
    <w:rsid w:val="00DB2A8A"/>
    <w:rsid w:val="00DB33A3"/>
    <w:rsid w:val="00DB378C"/>
    <w:rsid w:val="00DB42D4"/>
    <w:rsid w:val="00DB47C5"/>
    <w:rsid w:val="00DB4CBF"/>
    <w:rsid w:val="00DB7610"/>
    <w:rsid w:val="00DC0889"/>
    <w:rsid w:val="00DC245F"/>
    <w:rsid w:val="00DC31FF"/>
    <w:rsid w:val="00DC3A3A"/>
    <w:rsid w:val="00DC43DB"/>
    <w:rsid w:val="00DC5123"/>
    <w:rsid w:val="00DC69BD"/>
    <w:rsid w:val="00DC74BC"/>
    <w:rsid w:val="00DD175D"/>
    <w:rsid w:val="00DD3E83"/>
    <w:rsid w:val="00DD3F49"/>
    <w:rsid w:val="00DD4232"/>
    <w:rsid w:val="00DD5139"/>
    <w:rsid w:val="00DD656D"/>
    <w:rsid w:val="00DD7896"/>
    <w:rsid w:val="00DE243E"/>
    <w:rsid w:val="00DE2E23"/>
    <w:rsid w:val="00DE31E2"/>
    <w:rsid w:val="00DE3425"/>
    <w:rsid w:val="00DE4C92"/>
    <w:rsid w:val="00DE5A1E"/>
    <w:rsid w:val="00DE64FA"/>
    <w:rsid w:val="00DE6B37"/>
    <w:rsid w:val="00DE7700"/>
    <w:rsid w:val="00DF0662"/>
    <w:rsid w:val="00DF1368"/>
    <w:rsid w:val="00DF207A"/>
    <w:rsid w:val="00DF440D"/>
    <w:rsid w:val="00DF5B5D"/>
    <w:rsid w:val="00E02BF1"/>
    <w:rsid w:val="00E04CDC"/>
    <w:rsid w:val="00E06298"/>
    <w:rsid w:val="00E07F75"/>
    <w:rsid w:val="00E103DC"/>
    <w:rsid w:val="00E11024"/>
    <w:rsid w:val="00E126B5"/>
    <w:rsid w:val="00E12A93"/>
    <w:rsid w:val="00E12EA7"/>
    <w:rsid w:val="00E13407"/>
    <w:rsid w:val="00E13D7A"/>
    <w:rsid w:val="00E1414C"/>
    <w:rsid w:val="00E1592A"/>
    <w:rsid w:val="00E20AA5"/>
    <w:rsid w:val="00E21046"/>
    <w:rsid w:val="00E22585"/>
    <w:rsid w:val="00E23563"/>
    <w:rsid w:val="00E23C54"/>
    <w:rsid w:val="00E2526B"/>
    <w:rsid w:val="00E346AA"/>
    <w:rsid w:val="00E35B70"/>
    <w:rsid w:val="00E35CC0"/>
    <w:rsid w:val="00E36F0D"/>
    <w:rsid w:val="00E3761E"/>
    <w:rsid w:val="00E405FF"/>
    <w:rsid w:val="00E41277"/>
    <w:rsid w:val="00E430C8"/>
    <w:rsid w:val="00E44723"/>
    <w:rsid w:val="00E44BEF"/>
    <w:rsid w:val="00E460EB"/>
    <w:rsid w:val="00E46308"/>
    <w:rsid w:val="00E471B0"/>
    <w:rsid w:val="00E50AAB"/>
    <w:rsid w:val="00E50AC0"/>
    <w:rsid w:val="00E51CB4"/>
    <w:rsid w:val="00E52FA4"/>
    <w:rsid w:val="00E5648B"/>
    <w:rsid w:val="00E609EC"/>
    <w:rsid w:val="00E625A8"/>
    <w:rsid w:val="00E627AE"/>
    <w:rsid w:val="00E63EEE"/>
    <w:rsid w:val="00E64041"/>
    <w:rsid w:val="00E64B6D"/>
    <w:rsid w:val="00E64DE0"/>
    <w:rsid w:val="00E66603"/>
    <w:rsid w:val="00E66676"/>
    <w:rsid w:val="00E70773"/>
    <w:rsid w:val="00E70E4E"/>
    <w:rsid w:val="00E70F62"/>
    <w:rsid w:val="00E7106E"/>
    <w:rsid w:val="00E71920"/>
    <w:rsid w:val="00E741BE"/>
    <w:rsid w:val="00E7533D"/>
    <w:rsid w:val="00E76AC2"/>
    <w:rsid w:val="00E77EAD"/>
    <w:rsid w:val="00E80129"/>
    <w:rsid w:val="00E82ABA"/>
    <w:rsid w:val="00E83440"/>
    <w:rsid w:val="00E8564E"/>
    <w:rsid w:val="00E85A65"/>
    <w:rsid w:val="00E865EB"/>
    <w:rsid w:val="00E86967"/>
    <w:rsid w:val="00E86E2F"/>
    <w:rsid w:val="00E87517"/>
    <w:rsid w:val="00E90224"/>
    <w:rsid w:val="00E91A6F"/>
    <w:rsid w:val="00E92476"/>
    <w:rsid w:val="00E94112"/>
    <w:rsid w:val="00E95D43"/>
    <w:rsid w:val="00E97088"/>
    <w:rsid w:val="00E978E8"/>
    <w:rsid w:val="00EA1F84"/>
    <w:rsid w:val="00EA2AA3"/>
    <w:rsid w:val="00EA42B0"/>
    <w:rsid w:val="00EA4FFA"/>
    <w:rsid w:val="00EA52DA"/>
    <w:rsid w:val="00EA61BC"/>
    <w:rsid w:val="00EA65C0"/>
    <w:rsid w:val="00EB1EE4"/>
    <w:rsid w:val="00EB24A5"/>
    <w:rsid w:val="00EB7192"/>
    <w:rsid w:val="00EB7E5C"/>
    <w:rsid w:val="00EC0DD1"/>
    <w:rsid w:val="00EC3E8B"/>
    <w:rsid w:val="00EC5E48"/>
    <w:rsid w:val="00EC5E90"/>
    <w:rsid w:val="00ED0735"/>
    <w:rsid w:val="00ED15B2"/>
    <w:rsid w:val="00ED2A48"/>
    <w:rsid w:val="00ED313A"/>
    <w:rsid w:val="00ED670F"/>
    <w:rsid w:val="00EE137C"/>
    <w:rsid w:val="00EE4713"/>
    <w:rsid w:val="00EE5AF4"/>
    <w:rsid w:val="00EE602D"/>
    <w:rsid w:val="00EE7159"/>
    <w:rsid w:val="00EF0BEE"/>
    <w:rsid w:val="00EF2DD8"/>
    <w:rsid w:val="00EF3445"/>
    <w:rsid w:val="00EF3DD3"/>
    <w:rsid w:val="00EF46CE"/>
    <w:rsid w:val="00EF5ECE"/>
    <w:rsid w:val="00EF60ED"/>
    <w:rsid w:val="00EF70A7"/>
    <w:rsid w:val="00EF7A92"/>
    <w:rsid w:val="00EF7B65"/>
    <w:rsid w:val="00EF7B9F"/>
    <w:rsid w:val="00F052F1"/>
    <w:rsid w:val="00F05B1E"/>
    <w:rsid w:val="00F05E36"/>
    <w:rsid w:val="00F07AC4"/>
    <w:rsid w:val="00F14293"/>
    <w:rsid w:val="00F20031"/>
    <w:rsid w:val="00F20077"/>
    <w:rsid w:val="00F200D1"/>
    <w:rsid w:val="00F21002"/>
    <w:rsid w:val="00F229B4"/>
    <w:rsid w:val="00F24BC3"/>
    <w:rsid w:val="00F266D5"/>
    <w:rsid w:val="00F2785C"/>
    <w:rsid w:val="00F30C61"/>
    <w:rsid w:val="00F31E4D"/>
    <w:rsid w:val="00F33F2E"/>
    <w:rsid w:val="00F35B65"/>
    <w:rsid w:val="00F37E73"/>
    <w:rsid w:val="00F41A69"/>
    <w:rsid w:val="00F44C66"/>
    <w:rsid w:val="00F44EB1"/>
    <w:rsid w:val="00F46BF4"/>
    <w:rsid w:val="00F47538"/>
    <w:rsid w:val="00F47663"/>
    <w:rsid w:val="00F521A3"/>
    <w:rsid w:val="00F526CC"/>
    <w:rsid w:val="00F56512"/>
    <w:rsid w:val="00F56EBB"/>
    <w:rsid w:val="00F6031E"/>
    <w:rsid w:val="00F67C99"/>
    <w:rsid w:val="00F71BC8"/>
    <w:rsid w:val="00F727B5"/>
    <w:rsid w:val="00F72A40"/>
    <w:rsid w:val="00F7319E"/>
    <w:rsid w:val="00F73BB3"/>
    <w:rsid w:val="00F76B56"/>
    <w:rsid w:val="00F80A38"/>
    <w:rsid w:val="00F818C1"/>
    <w:rsid w:val="00F81F61"/>
    <w:rsid w:val="00F822ED"/>
    <w:rsid w:val="00F830F6"/>
    <w:rsid w:val="00F846EE"/>
    <w:rsid w:val="00F84E29"/>
    <w:rsid w:val="00F86199"/>
    <w:rsid w:val="00F86D9A"/>
    <w:rsid w:val="00F913B4"/>
    <w:rsid w:val="00F936D0"/>
    <w:rsid w:val="00F93DA7"/>
    <w:rsid w:val="00F9595F"/>
    <w:rsid w:val="00FA1F7F"/>
    <w:rsid w:val="00FA3D5C"/>
    <w:rsid w:val="00FA73A2"/>
    <w:rsid w:val="00FB01FB"/>
    <w:rsid w:val="00FB0E45"/>
    <w:rsid w:val="00FB10C4"/>
    <w:rsid w:val="00FB1848"/>
    <w:rsid w:val="00FB3B1C"/>
    <w:rsid w:val="00FB4C71"/>
    <w:rsid w:val="00FB55A4"/>
    <w:rsid w:val="00FB56A4"/>
    <w:rsid w:val="00FB591C"/>
    <w:rsid w:val="00FB5E57"/>
    <w:rsid w:val="00FB6CED"/>
    <w:rsid w:val="00FB7A4E"/>
    <w:rsid w:val="00FC17C3"/>
    <w:rsid w:val="00FC1DC2"/>
    <w:rsid w:val="00FC2C5B"/>
    <w:rsid w:val="00FC2E9E"/>
    <w:rsid w:val="00FC38CE"/>
    <w:rsid w:val="00FC46F9"/>
    <w:rsid w:val="00FC6112"/>
    <w:rsid w:val="00FC6B59"/>
    <w:rsid w:val="00FD0B9C"/>
    <w:rsid w:val="00FD32B3"/>
    <w:rsid w:val="00FD3743"/>
    <w:rsid w:val="00FD479A"/>
    <w:rsid w:val="00FE0649"/>
    <w:rsid w:val="00FE1781"/>
    <w:rsid w:val="00FE2F39"/>
    <w:rsid w:val="00FE3FC6"/>
    <w:rsid w:val="00FE54E3"/>
    <w:rsid w:val="00FF0332"/>
    <w:rsid w:val="00FF1D75"/>
    <w:rsid w:val="00FF31A6"/>
    <w:rsid w:val="00FF43B9"/>
    <w:rsid w:val="00FF5720"/>
    <w:rsid w:val="00FF6011"/>
    <w:rsid w:val="00FF6202"/>
    <w:rsid w:val="00FF79F2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77E"/>
    <w:pPr>
      <w:spacing w:before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F4B2A"/>
    <w:pPr>
      <w:keepNext/>
      <w:numPr>
        <w:numId w:val="4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1F4B2A"/>
    <w:pPr>
      <w:keepNext/>
      <w:numPr>
        <w:ilvl w:val="1"/>
        <w:numId w:val="4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E477E"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1F4B2A"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E477E"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F4B2A"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1F4B2A"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477E"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E477E"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477E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rsid w:val="001F4B2A"/>
    <w:pPr>
      <w:numPr>
        <w:numId w:val="5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rsid w:val="001F4B2A"/>
    <w:pPr>
      <w:spacing w:before="0"/>
      <w:jc w:val="right"/>
    </w:pPr>
    <w:rPr>
      <w:b/>
    </w:rPr>
  </w:style>
  <w:style w:type="character" w:customStyle="1" w:styleId="AppendixCharChar">
    <w:name w:val="Appendix Char Char"/>
    <w:basedOn w:val="DefaultParagraphFont"/>
    <w:rsid w:val="001F4B2A"/>
    <w:rPr>
      <w:b/>
      <w:sz w:val="24"/>
      <w:lang w:val="en-AU" w:eastAsia="en-AU" w:bidi="ar-SA"/>
    </w:rPr>
  </w:style>
  <w:style w:type="paragraph" w:styleId="BlockText">
    <w:name w:val="Block Text"/>
    <w:basedOn w:val="Normal"/>
    <w:rsid w:val="001F4B2A"/>
    <w:pPr>
      <w:ind w:left="1440" w:right="90" w:hanging="720"/>
    </w:pPr>
  </w:style>
  <w:style w:type="paragraph" w:customStyle="1" w:styleId="AppendixTitle">
    <w:name w:val="Appendix Title"/>
    <w:basedOn w:val="Normal"/>
    <w:rsid w:val="001F4B2A"/>
    <w:pPr>
      <w:jc w:val="center"/>
    </w:pPr>
    <w:rPr>
      <w:b/>
    </w:rPr>
  </w:style>
  <w:style w:type="paragraph" w:styleId="DocumentMap">
    <w:name w:val="Document Map"/>
    <w:basedOn w:val="Normal"/>
    <w:link w:val="DocumentMapChar"/>
    <w:semiHidden/>
    <w:rsid w:val="001F4B2A"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rsid w:val="001F4B2A"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rsid w:val="001F4B2A"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rsid w:val="001F4B2A"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rsid w:val="001F4B2A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1F4B2A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1F4B2A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1F4B2A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1F4B2A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1F4B2A"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basedOn w:val="DefaultParagraphFont"/>
    <w:rsid w:val="001F4B2A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rsid w:val="001F4B2A"/>
    <w:pPr>
      <w:ind w:left="851"/>
    </w:pPr>
  </w:style>
  <w:style w:type="paragraph" w:customStyle="1" w:styleId="HB-dotpoint">
    <w:name w:val="HB - dotpoint"/>
    <w:basedOn w:val="Normal"/>
    <w:rsid w:val="001F4B2A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rsid w:val="001F4B2A"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rsid w:val="001F4B2A"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rsid w:val="001F4B2A"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link w:val="BalloonTextChar"/>
    <w:semiHidden/>
    <w:rsid w:val="001E477E"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rsid w:val="001F4B2A"/>
    <w:pPr>
      <w:numPr>
        <w:ilvl w:val="2"/>
        <w:numId w:val="4"/>
      </w:numPr>
      <w:spacing w:before="120" w:after="120"/>
    </w:pPr>
  </w:style>
  <w:style w:type="character" w:customStyle="1" w:styleId="HB-ParagraphCharChar">
    <w:name w:val="HB - Paragraph Char Char"/>
    <w:basedOn w:val="DefaultParagraphFont"/>
    <w:rsid w:val="001F4B2A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rsid w:val="001F4B2A"/>
    <w:pPr>
      <w:numPr>
        <w:numId w:val="3"/>
      </w:numPr>
      <w:spacing w:before="120"/>
    </w:pPr>
  </w:style>
  <w:style w:type="paragraph" w:customStyle="1" w:styleId="Indentedtext">
    <w:name w:val="Indented text"/>
    <w:basedOn w:val="Normal"/>
    <w:rsid w:val="001F4B2A"/>
    <w:pPr>
      <w:tabs>
        <w:tab w:val="left" w:pos="720"/>
      </w:tabs>
      <w:spacing w:before="0"/>
      <w:ind w:left="1440"/>
    </w:pPr>
  </w:style>
  <w:style w:type="character" w:styleId="Hyperlink">
    <w:name w:val="Hyperlink"/>
    <w:basedOn w:val="DefaultParagraphFont"/>
    <w:rsid w:val="001F4B2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4B2A"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rsid w:val="001F4B2A"/>
    <w:pPr>
      <w:numPr>
        <w:numId w:val="2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link w:val="HeaderChar"/>
    <w:rsid w:val="001E47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1E477E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basedOn w:val="DefaultParagraphFont"/>
    <w:qFormat/>
    <w:rsid w:val="001F4B2A"/>
    <w:rPr>
      <w:b/>
      <w:bCs/>
    </w:rPr>
  </w:style>
  <w:style w:type="paragraph" w:customStyle="1" w:styleId="P1">
    <w:name w:val="P1"/>
    <w:aliases w:val="(a)"/>
    <w:basedOn w:val="Normal"/>
    <w:rsid w:val="001F4B2A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DB76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761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477E"/>
    <w:rPr>
      <w:b/>
      <w:bCs/>
    </w:rPr>
  </w:style>
  <w:style w:type="character" w:styleId="PageNumber">
    <w:name w:val="page number"/>
    <w:basedOn w:val="DefaultParagraphFont"/>
    <w:rsid w:val="008F0BEC"/>
  </w:style>
  <w:style w:type="paragraph" w:customStyle="1" w:styleId="NumberList">
    <w:name w:val="Number List"/>
    <w:basedOn w:val="Normal"/>
    <w:rsid w:val="001E477E"/>
    <w:pPr>
      <w:numPr>
        <w:numId w:val="6"/>
      </w:numPr>
      <w:tabs>
        <w:tab w:val="left" w:pos="1985"/>
      </w:tabs>
      <w:spacing w:line="240" w:lineRule="atLeast"/>
    </w:pPr>
    <w:rPr>
      <w:szCs w:val="24"/>
      <w:lang w:eastAsia="en-US"/>
    </w:rPr>
  </w:style>
  <w:style w:type="paragraph" w:customStyle="1" w:styleId="NumberListSub">
    <w:name w:val="Number List Sub"/>
    <w:basedOn w:val="NumberList"/>
    <w:rsid w:val="00C406AE"/>
    <w:pPr>
      <w:numPr>
        <w:ilvl w:val="1"/>
        <w:numId w:val="7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298"/>
    <w:rPr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E06298"/>
    <w:pPr>
      <w:spacing w:before="0"/>
      <w:ind w:left="720"/>
      <w:contextualSpacing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06298"/>
    <w:rPr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locked/>
    <w:rsid w:val="001E477E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locked/>
    <w:rsid w:val="001E477E"/>
    <w:rPr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locked/>
    <w:rsid w:val="001E477E"/>
    <w:rPr>
      <w:b/>
      <w:i/>
      <w:sz w:val="24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1E477E"/>
    <w:rPr>
      <w:sz w:val="24"/>
      <w:lang w:val="en-AU" w:eastAsia="en-AU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1E477E"/>
    <w:rPr>
      <w:b/>
      <w:sz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1E477E"/>
    <w:rPr>
      <w:sz w:val="24"/>
      <w:u w:val="single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1E477E"/>
    <w:rPr>
      <w:sz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1E477E"/>
    <w:rPr>
      <w:sz w:val="24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1E477E"/>
    <w:rPr>
      <w:sz w:val="24"/>
      <w:lang w:val="en-AU" w:eastAsia="en-AU" w:bidi="ar-SA"/>
    </w:rPr>
  </w:style>
  <w:style w:type="paragraph" w:customStyle="1" w:styleId="Style">
    <w:name w:val="Style"/>
    <w:basedOn w:val="Normal"/>
    <w:rsid w:val="001E477E"/>
    <w:pPr>
      <w:spacing w:before="0"/>
    </w:pPr>
    <w:rPr>
      <w:rFonts w:ascii="Arial" w:hAnsi="Arial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E477E"/>
    <w:rPr>
      <w:rFonts w:ascii="Tahoma" w:hAnsi="Tahoma" w:cs="Tahoma"/>
      <w:sz w:val="16"/>
      <w:szCs w:val="16"/>
      <w:lang w:val="en-AU" w:eastAsia="en-AU" w:bidi="ar-SA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1E477E"/>
    <w:rPr>
      <w:b/>
      <w:bCs/>
    </w:rPr>
  </w:style>
  <w:style w:type="character" w:customStyle="1" w:styleId="HeaderChar">
    <w:name w:val="Header Char"/>
    <w:basedOn w:val="DefaultParagraphFont"/>
    <w:link w:val="Header"/>
    <w:locked/>
    <w:rsid w:val="001E477E"/>
    <w:rPr>
      <w:sz w:val="24"/>
      <w:lang w:val="en-AU" w:eastAsia="en-AU" w:bidi="ar-S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1E477E"/>
    <w:rPr>
      <w:rFonts w:ascii="Tahoma" w:hAnsi="Tahoma" w:cs="Tahoma"/>
      <w:lang w:val="en-AU" w:eastAsia="en-AU" w:bidi="ar-SA"/>
    </w:rPr>
  </w:style>
  <w:style w:type="character" w:customStyle="1" w:styleId="TitleChar">
    <w:name w:val="Title Char"/>
    <w:basedOn w:val="DefaultParagraphFont"/>
    <w:link w:val="Title"/>
    <w:locked/>
    <w:rsid w:val="001E477E"/>
    <w:rPr>
      <w:b/>
      <w:sz w:val="36"/>
      <w:lang w:val="en-AU" w:eastAsia="en-AU" w:bidi="ar-SA"/>
    </w:rPr>
  </w:style>
  <w:style w:type="paragraph" w:customStyle="1" w:styleId="msolistparagraph0">
    <w:name w:val="msolistparagraph"/>
    <w:basedOn w:val="Normal"/>
    <w:rsid w:val="00EA61BC"/>
    <w:pPr>
      <w:spacing w:before="0"/>
      <w:ind w:left="720"/>
    </w:pPr>
    <w:rPr>
      <w:szCs w:val="24"/>
    </w:rPr>
  </w:style>
  <w:style w:type="paragraph" w:customStyle="1" w:styleId="paragraph">
    <w:name w:val="paragraph"/>
    <w:aliases w:val="a"/>
    <w:basedOn w:val="Normal"/>
    <w:rsid w:val="00225B26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(sub)"/>
    <w:aliases w:val="aa"/>
    <w:basedOn w:val="Normal"/>
    <w:rsid w:val="001E5BB6"/>
    <w:pPr>
      <w:tabs>
        <w:tab w:val="right" w:pos="1985"/>
      </w:tabs>
      <w:spacing w:before="40"/>
      <w:ind w:left="2098" w:hanging="2098"/>
    </w:pPr>
    <w:rPr>
      <w:sz w:val="22"/>
    </w:rPr>
  </w:style>
  <w:style w:type="paragraph" w:styleId="Revision">
    <w:name w:val="Revision"/>
    <w:hidden/>
    <w:uiPriority w:val="99"/>
    <w:semiHidden/>
    <w:rsid w:val="001906D7"/>
    <w:rPr>
      <w:sz w:val="24"/>
    </w:rPr>
  </w:style>
  <w:style w:type="paragraph" w:customStyle="1" w:styleId="Item">
    <w:name w:val="Item"/>
    <w:aliases w:val="i"/>
    <w:basedOn w:val="Normal"/>
    <w:next w:val="Normal"/>
    <w:rsid w:val="006F7FB9"/>
    <w:pPr>
      <w:keepLines/>
      <w:spacing w:before="80"/>
      <w:ind w:left="709"/>
    </w:pPr>
    <w:rPr>
      <w:sz w:val="22"/>
    </w:rPr>
  </w:style>
  <w:style w:type="paragraph" w:styleId="FootnoteText">
    <w:name w:val="footnote text"/>
    <w:basedOn w:val="Normal"/>
    <w:link w:val="FootnoteTextChar"/>
    <w:rsid w:val="009F20C2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F20C2"/>
  </w:style>
  <w:style w:type="character" w:styleId="FootnoteReference">
    <w:name w:val="footnote reference"/>
    <w:basedOn w:val="DefaultParagraphFont"/>
    <w:rsid w:val="009F20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742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8366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B6670-BE17-4798-881A-AA7E425BE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24D2D-A3C8-460D-A80A-AA87DD37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2016-04-11T03:49:00Z</dcterms:created>
  <dcterms:modified xsi:type="dcterms:W3CDTF">2016-04-11T03:49:00Z</dcterms:modified>
</cp:coreProperties>
</file>