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585" w:rsidRDefault="00DA6585" w:rsidP="00DA6585">
      <w:pPr>
        <w:jc w:val="center"/>
        <w:rPr>
          <w:b/>
          <w:u w:val="single"/>
        </w:rPr>
      </w:pPr>
      <w:bookmarkStart w:id="0" w:name="_GoBack"/>
      <w:bookmarkEnd w:id="0"/>
      <w:r w:rsidRPr="00DA6585">
        <w:rPr>
          <w:b/>
          <w:u w:val="single"/>
        </w:rPr>
        <w:t xml:space="preserve">EXPLANATORY </w:t>
      </w:r>
      <w:r w:rsidR="00C608F6">
        <w:rPr>
          <w:b/>
          <w:u w:val="single"/>
        </w:rPr>
        <w:t>STATEMENT</w:t>
      </w:r>
    </w:p>
    <w:p w:rsidR="00583D4F" w:rsidRDefault="00583D4F" w:rsidP="00DA6585">
      <w:pPr>
        <w:jc w:val="center"/>
        <w:rPr>
          <w:b/>
          <w:u w:val="single"/>
        </w:rPr>
      </w:pPr>
    </w:p>
    <w:p w:rsidR="00DA6585" w:rsidRDefault="00DA6585" w:rsidP="00DA6585">
      <w:pPr>
        <w:jc w:val="center"/>
        <w:rPr>
          <w:u w:val="single"/>
        </w:rPr>
      </w:pPr>
      <w:r>
        <w:rPr>
          <w:u w:val="single"/>
        </w:rPr>
        <w:t xml:space="preserve">Issued by the </w:t>
      </w:r>
      <w:r w:rsidR="0048255B">
        <w:rPr>
          <w:u w:val="single"/>
        </w:rPr>
        <w:t xml:space="preserve">Chief </w:t>
      </w:r>
      <w:proofErr w:type="spellStart"/>
      <w:r w:rsidR="0048255B">
        <w:rPr>
          <w:u w:val="single"/>
        </w:rPr>
        <w:t>Metrologist</w:t>
      </w:r>
      <w:proofErr w:type="spellEnd"/>
    </w:p>
    <w:p w:rsidR="00DA6585" w:rsidRDefault="00DA6585" w:rsidP="00DA6585">
      <w:pPr>
        <w:jc w:val="center"/>
        <w:rPr>
          <w:u w:val="single"/>
        </w:rPr>
      </w:pPr>
    </w:p>
    <w:p w:rsidR="00DA6585" w:rsidRDefault="00DA6585" w:rsidP="00DA6585">
      <w:pPr>
        <w:jc w:val="center"/>
        <w:rPr>
          <w:i/>
        </w:rPr>
      </w:pPr>
      <w:r>
        <w:rPr>
          <w:i/>
        </w:rPr>
        <w:t>National Measurement Act 1960</w:t>
      </w:r>
    </w:p>
    <w:p w:rsidR="00764A4E" w:rsidRDefault="00764A4E" w:rsidP="00DA6585">
      <w:pPr>
        <w:jc w:val="center"/>
        <w:rPr>
          <w:i/>
        </w:rPr>
      </w:pPr>
    </w:p>
    <w:p w:rsidR="00DA6585" w:rsidRPr="00675230" w:rsidRDefault="00DA6585" w:rsidP="00DA6585">
      <w:pPr>
        <w:jc w:val="center"/>
      </w:pPr>
      <w:r>
        <w:rPr>
          <w:i/>
        </w:rPr>
        <w:t xml:space="preserve">National Measurement Amendment </w:t>
      </w:r>
      <w:r w:rsidR="0048255B">
        <w:rPr>
          <w:i/>
        </w:rPr>
        <w:t>Guidelines</w:t>
      </w:r>
      <w:r>
        <w:rPr>
          <w:i/>
        </w:rPr>
        <w:t xml:space="preserve"> </w:t>
      </w:r>
      <w:r w:rsidR="00C608F6">
        <w:rPr>
          <w:i/>
        </w:rPr>
        <w:t>2016</w:t>
      </w:r>
    </w:p>
    <w:p w:rsidR="00DA6585" w:rsidRDefault="00DA6585" w:rsidP="00DA6585">
      <w:pPr>
        <w:jc w:val="center"/>
        <w:rPr>
          <w:i/>
        </w:rPr>
      </w:pPr>
    </w:p>
    <w:p w:rsidR="00E246F5" w:rsidRPr="00E246F5" w:rsidRDefault="00E246F5" w:rsidP="00DA6585">
      <w:pPr>
        <w:ind w:right="91"/>
        <w:rPr>
          <w:b/>
          <w:u w:val="single"/>
        </w:rPr>
      </w:pPr>
      <w:r>
        <w:rPr>
          <w:b/>
          <w:u w:val="single"/>
        </w:rPr>
        <w:t>Purpose and Operation</w:t>
      </w:r>
    </w:p>
    <w:p w:rsidR="00E246F5" w:rsidRDefault="00E246F5" w:rsidP="00DA6585">
      <w:pPr>
        <w:ind w:right="91"/>
      </w:pPr>
    </w:p>
    <w:p w:rsidR="00583D4F" w:rsidRDefault="00DA6585" w:rsidP="00DA6585">
      <w:pPr>
        <w:ind w:right="91"/>
      </w:pPr>
      <w:r>
        <w:t xml:space="preserve">The principal objects of the </w:t>
      </w:r>
      <w:r>
        <w:rPr>
          <w:i/>
        </w:rPr>
        <w:t xml:space="preserve">National Measurement Act 1960 </w:t>
      </w:r>
      <w:r w:rsidRPr="00E13283">
        <w:t>(</w:t>
      </w:r>
      <w:r>
        <w:t>the Act)</w:t>
      </w:r>
      <w:r>
        <w:rPr>
          <w:i/>
        </w:rPr>
        <w:t xml:space="preserve"> </w:t>
      </w:r>
      <w:r>
        <w:t>are</w:t>
      </w:r>
      <w:r w:rsidR="009A3BF6">
        <w:t xml:space="preserve"> to</w:t>
      </w:r>
      <w:r>
        <w:t>:</w:t>
      </w:r>
    </w:p>
    <w:p w:rsidR="00DA6585" w:rsidRDefault="00DA6585" w:rsidP="00583D4F">
      <w:pPr>
        <w:numPr>
          <w:ilvl w:val="0"/>
          <w:numId w:val="11"/>
        </w:numPr>
        <w:spacing w:before="240"/>
        <w:ind w:right="91"/>
      </w:pPr>
      <w:r>
        <w:t>establish a national system of units and standards of measurement of physical quantities;</w:t>
      </w:r>
    </w:p>
    <w:p w:rsidR="00DA6585" w:rsidRDefault="00DA6585" w:rsidP="00DA6585">
      <w:pPr>
        <w:numPr>
          <w:ilvl w:val="0"/>
          <w:numId w:val="11"/>
        </w:numPr>
        <w:ind w:right="91"/>
      </w:pPr>
      <w:r>
        <w:t>provide for the uniform use of those uniform units and standards of measurement throughout Australia;</w:t>
      </w:r>
    </w:p>
    <w:p w:rsidR="00C11CDF" w:rsidRDefault="009743F5" w:rsidP="007453D0">
      <w:pPr>
        <w:numPr>
          <w:ilvl w:val="0"/>
          <w:numId w:val="11"/>
        </w:numPr>
        <w:ind w:right="91"/>
      </w:pPr>
      <w:r>
        <w:t xml:space="preserve">co-ordinate the operation of </w:t>
      </w:r>
      <w:r w:rsidR="00DA6585">
        <w:t>the national system of measurement;</w:t>
      </w:r>
      <w:r w:rsidR="007453D0">
        <w:t xml:space="preserve"> and</w:t>
      </w:r>
    </w:p>
    <w:p w:rsidR="00DA6585" w:rsidRDefault="00C11CDF" w:rsidP="00DA6585">
      <w:pPr>
        <w:numPr>
          <w:ilvl w:val="0"/>
          <w:numId w:val="11"/>
        </w:numPr>
        <w:ind w:right="91"/>
      </w:pPr>
      <w:proofErr w:type="gramStart"/>
      <w:r>
        <w:t>provide</w:t>
      </w:r>
      <w:proofErr w:type="gramEnd"/>
      <w:r>
        <w:t xml:space="preserve"> the legal framework for a national system of trade measurement</w:t>
      </w:r>
      <w:r w:rsidR="00DA6585">
        <w:t>.</w:t>
      </w:r>
    </w:p>
    <w:p w:rsidR="00583D4F" w:rsidRDefault="00583D4F" w:rsidP="002C5E4A">
      <w:pPr>
        <w:spacing w:before="240"/>
        <w:ind w:right="91"/>
        <w:jc w:val="both"/>
      </w:pPr>
      <w:r>
        <w:t xml:space="preserve">The Act and the </w:t>
      </w:r>
      <w:r>
        <w:rPr>
          <w:i/>
        </w:rPr>
        <w:t>National Measurement Regulations 1999</w:t>
      </w:r>
      <w:r>
        <w:t xml:space="preserve"> (the R</w:t>
      </w:r>
      <w:r w:rsidRPr="00583D4F">
        <w:t>egulations</w:t>
      </w:r>
      <w:r>
        <w:t xml:space="preserve">) prescribe SI </w:t>
      </w:r>
      <w:r>
        <w:rPr>
          <w:lang w:val="en-US" w:eastAsia="en-US"/>
        </w:rPr>
        <w:t>(I</w:t>
      </w:r>
      <w:r w:rsidRPr="00583D4F">
        <w:rPr>
          <w:lang w:val="en-US" w:eastAsia="en-US"/>
        </w:rPr>
        <w:t xml:space="preserve">nternational </w:t>
      </w:r>
      <w:r>
        <w:rPr>
          <w:lang w:val="en-US" w:eastAsia="en-US"/>
        </w:rPr>
        <w:t>System of U</w:t>
      </w:r>
      <w:r w:rsidRPr="00583D4F">
        <w:rPr>
          <w:lang w:val="en-US" w:eastAsia="en-US"/>
        </w:rPr>
        <w:t>nits</w:t>
      </w:r>
      <w:r>
        <w:rPr>
          <w:lang w:val="en-US" w:eastAsia="en-US"/>
        </w:rPr>
        <w:t xml:space="preserve">) </w:t>
      </w:r>
      <w:r>
        <w:t>base units of measurement and Australian legal units of measurement. They also prescribe certain additional, non-SI, legal units of measurement that may be used for particular purposes.</w:t>
      </w:r>
    </w:p>
    <w:p w:rsidR="00DA6585" w:rsidRDefault="00DA6585" w:rsidP="00583D4F">
      <w:pPr>
        <w:spacing w:before="240"/>
        <w:ind w:right="91"/>
        <w:jc w:val="both"/>
      </w:pPr>
      <w:r>
        <w:t xml:space="preserve">Section </w:t>
      </w:r>
      <w:r w:rsidR="0048255B">
        <w:t>7B</w:t>
      </w:r>
      <w:r>
        <w:t xml:space="preserve"> of the Act provides</w:t>
      </w:r>
      <w:r w:rsidR="0048255B">
        <w:t xml:space="preserve"> </w:t>
      </w:r>
      <w:r>
        <w:t xml:space="preserve">that the </w:t>
      </w:r>
      <w:r w:rsidR="0048255B">
        <w:t xml:space="preserve">Chief </w:t>
      </w:r>
      <w:proofErr w:type="spellStart"/>
      <w:r w:rsidR="0048255B">
        <w:t>Metrologist</w:t>
      </w:r>
      <w:proofErr w:type="spellEnd"/>
      <w:r w:rsidR="0048255B">
        <w:t xml:space="preserve"> </w:t>
      </w:r>
      <w:r>
        <w:t xml:space="preserve">may make </w:t>
      </w:r>
      <w:r w:rsidR="0048255B">
        <w:t>guidelines governing the way in which Australian legal units of measurement may be combined to produce Australian legal units of measurement, and the way in which Australia legal units of measurement may be combined with a prefix for the purposes of section 7</w:t>
      </w:r>
      <w:r w:rsidR="00887067">
        <w:t>A</w:t>
      </w:r>
      <w:r w:rsidR="0048255B">
        <w:t>(3) of the Act</w:t>
      </w:r>
      <w:r>
        <w:t>.</w:t>
      </w:r>
    </w:p>
    <w:p w:rsidR="00583D4F" w:rsidRDefault="003409DE" w:rsidP="00583D4F">
      <w:pPr>
        <w:spacing w:before="240"/>
        <w:ind w:right="91"/>
        <w:jc w:val="both"/>
      </w:pPr>
      <w:r>
        <w:t xml:space="preserve">The purpose of the </w:t>
      </w:r>
      <w:r w:rsidR="008B5C9A" w:rsidRPr="008B5C9A">
        <w:rPr>
          <w:i/>
        </w:rPr>
        <w:t>National Measurement Guidelines</w:t>
      </w:r>
      <w:r w:rsidR="008B5C9A">
        <w:t xml:space="preserve"> </w:t>
      </w:r>
      <w:r w:rsidR="00F6360E" w:rsidRPr="00F6360E">
        <w:rPr>
          <w:i/>
        </w:rPr>
        <w:t>2016</w:t>
      </w:r>
      <w:r w:rsidR="00F6360E">
        <w:t xml:space="preserve"> </w:t>
      </w:r>
      <w:r w:rsidR="008B5C9A">
        <w:t>(the Guidelines)</w:t>
      </w:r>
      <w:r w:rsidR="00CD56E1">
        <w:t xml:space="preserve"> is </w:t>
      </w:r>
      <w:r>
        <w:t xml:space="preserve">to </w:t>
      </w:r>
      <w:r w:rsidR="00583D4F">
        <w:t>support the national measurement system by prescribing a uniform system to express Australian legal units of measurement to ensure a common and consistent understanding of measurement units used in Australia</w:t>
      </w:r>
      <w:r w:rsidR="009570FE">
        <w:t xml:space="preserve"> and to align the expression of measurement units in Australia with internationally accepted practice</w:t>
      </w:r>
      <w:r w:rsidR="00583D4F">
        <w:t xml:space="preserve">. </w:t>
      </w:r>
    </w:p>
    <w:p w:rsidR="00583D4F" w:rsidRPr="004F341D" w:rsidRDefault="00583D4F" w:rsidP="004F341D">
      <w:pPr>
        <w:tabs>
          <w:tab w:val="left" w:pos="6521"/>
        </w:tabs>
        <w:spacing w:before="240"/>
        <w:ind w:right="91"/>
        <w:jc w:val="both"/>
      </w:pPr>
      <w:r>
        <w:t xml:space="preserve">The </w:t>
      </w:r>
      <w:r w:rsidR="00F6360E" w:rsidRPr="00F6360E">
        <w:t>Guidelines</w:t>
      </w:r>
      <w:r w:rsidR="008B5C9A">
        <w:rPr>
          <w:i/>
        </w:rPr>
        <w:t xml:space="preserve"> </w:t>
      </w:r>
      <w:r>
        <w:t xml:space="preserve">commenced on </w:t>
      </w:r>
      <w:r w:rsidR="00B91753">
        <w:rPr>
          <w:color w:val="000000"/>
        </w:rPr>
        <w:t>1 April 2016</w:t>
      </w:r>
      <w:r w:rsidRPr="004F341D">
        <w:t>.</w:t>
      </w:r>
    </w:p>
    <w:p w:rsidR="00E246F5" w:rsidRPr="00E246F5" w:rsidRDefault="00E246F5" w:rsidP="004F341D">
      <w:pPr>
        <w:tabs>
          <w:tab w:val="left" w:pos="6521"/>
        </w:tabs>
        <w:spacing w:before="240"/>
        <w:ind w:right="91"/>
        <w:jc w:val="both"/>
        <w:rPr>
          <w:b/>
        </w:rPr>
      </w:pPr>
      <w:r>
        <w:rPr>
          <w:b/>
        </w:rPr>
        <w:t>Consultation</w:t>
      </w:r>
    </w:p>
    <w:p w:rsidR="00405FCB" w:rsidRPr="004F341D" w:rsidRDefault="00CD56E1" w:rsidP="004F341D">
      <w:pPr>
        <w:tabs>
          <w:tab w:val="left" w:pos="6521"/>
        </w:tabs>
        <w:spacing w:before="240"/>
        <w:ind w:right="91"/>
        <w:jc w:val="both"/>
      </w:pPr>
      <w:r>
        <w:t xml:space="preserve">The Guidelines are a legislative instrument for the purposes of the </w:t>
      </w:r>
      <w:r w:rsidRPr="00B63B3C">
        <w:rPr>
          <w:i/>
        </w:rPr>
        <w:t>Legislative Instruments Act 2003</w:t>
      </w:r>
      <w:r w:rsidR="004F341D">
        <w:t xml:space="preserve">. </w:t>
      </w:r>
      <w:r w:rsidR="00405FCB">
        <w:rPr>
          <w:bCs/>
        </w:rPr>
        <w:t>S</w:t>
      </w:r>
      <w:r w:rsidR="00583D4F">
        <w:rPr>
          <w:bCs/>
        </w:rPr>
        <w:t xml:space="preserve">ections </w:t>
      </w:r>
      <w:r w:rsidR="00405FCB" w:rsidRPr="007F491E">
        <w:rPr>
          <w:bCs/>
        </w:rPr>
        <w:t xml:space="preserve">17 and 18 of the </w:t>
      </w:r>
      <w:r w:rsidR="00405FCB" w:rsidRPr="007F491E">
        <w:rPr>
          <w:bCs/>
          <w:i/>
          <w:iCs/>
        </w:rPr>
        <w:t>Legislative Instruments Act 2003</w:t>
      </w:r>
      <w:r w:rsidR="00405FCB" w:rsidRPr="007F491E">
        <w:rPr>
          <w:bCs/>
        </w:rPr>
        <w:t xml:space="preserve"> </w:t>
      </w:r>
      <w:r w:rsidR="00405FCB">
        <w:rPr>
          <w:bCs/>
        </w:rPr>
        <w:t>require</w:t>
      </w:r>
      <w:r w:rsidR="00405FCB" w:rsidRPr="007F491E">
        <w:rPr>
          <w:bCs/>
        </w:rPr>
        <w:t xml:space="preserve"> </w:t>
      </w:r>
      <w:r w:rsidR="00405FCB">
        <w:rPr>
          <w:bCs/>
        </w:rPr>
        <w:t>details of</w:t>
      </w:r>
      <w:r w:rsidR="00405FCB" w:rsidRPr="007F491E">
        <w:rPr>
          <w:bCs/>
        </w:rPr>
        <w:t xml:space="preserve"> consultation undertaken </w:t>
      </w:r>
      <w:r w:rsidR="00405FCB">
        <w:rPr>
          <w:bCs/>
        </w:rPr>
        <w:t xml:space="preserve">to be provided </w:t>
      </w:r>
      <w:r w:rsidR="00405FCB" w:rsidRPr="007F491E">
        <w:rPr>
          <w:bCs/>
        </w:rPr>
        <w:t>in the Explanatory Statement accompanying such instruments or their exemption from it.</w:t>
      </w:r>
      <w:r w:rsidR="00405FCB">
        <w:rPr>
          <w:bCs/>
        </w:rPr>
        <w:t xml:space="preserve"> In the case of this l</w:t>
      </w:r>
      <w:r w:rsidR="00405FCB" w:rsidRPr="00D45DFB">
        <w:rPr>
          <w:bCs/>
          <w:iCs/>
        </w:rPr>
        <w:t xml:space="preserve">egislative </w:t>
      </w:r>
      <w:r w:rsidR="00405FCB">
        <w:rPr>
          <w:bCs/>
          <w:iCs/>
        </w:rPr>
        <w:t>i</w:t>
      </w:r>
      <w:r w:rsidR="00405FCB" w:rsidRPr="00D45DFB">
        <w:rPr>
          <w:bCs/>
          <w:iCs/>
        </w:rPr>
        <w:t>nstrument</w:t>
      </w:r>
      <w:r w:rsidR="00583D4F">
        <w:rPr>
          <w:bCs/>
        </w:rPr>
        <w:t xml:space="preserve">, </w:t>
      </w:r>
      <w:r w:rsidR="00405FCB">
        <w:rPr>
          <w:bCs/>
        </w:rPr>
        <w:t>only mi</w:t>
      </w:r>
      <w:r w:rsidR="00583D4F">
        <w:rPr>
          <w:bCs/>
        </w:rPr>
        <w:t xml:space="preserve">nor adjustments are being made and </w:t>
      </w:r>
      <w:r w:rsidR="00405FCB">
        <w:rPr>
          <w:bCs/>
        </w:rPr>
        <w:t xml:space="preserve">there is no change in regulatory policy and no new fee items </w:t>
      </w:r>
      <w:r w:rsidR="00DC1F39">
        <w:rPr>
          <w:bCs/>
        </w:rPr>
        <w:t xml:space="preserve">are </w:t>
      </w:r>
      <w:r w:rsidR="00405FCB">
        <w:rPr>
          <w:bCs/>
        </w:rPr>
        <w:t>introduced. In these circumstances, it is not appropriate to eng</w:t>
      </w:r>
      <w:r w:rsidR="008434D6">
        <w:rPr>
          <w:bCs/>
        </w:rPr>
        <w:t>age in a consultation process.</w:t>
      </w:r>
    </w:p>
    <w:p w:rsidR="00CD56E1" w:rsidRDefault="00481D94" w:rsidP="004F341D">
      <w:pPr>
        <w:tabs>
          <w:tab w:val="left" w:pos="6521"/>
        </w:tabs>
        <w:spacing w:before="240"/>
        <w:ind w:right="91"/>
        <w:jc w:val="both"/>
      </w:pPr>
      <w:r>
        <w:t xml:space="preserve">Details of </w:t>
      </w:r>
      <w:r w:rsidR="00CD56E1">
        <w:t xml:space="preserve">the Guidelines are set out in the </w:t>
      </w:r>
      <w:r w:rsidR="00CD56E1" w:rsidRPr="00DD0511">
        <w:rPr>
          <w:u w:val="single"/>
        </w:rPr>
        <w:t>Attachment</w:t>
      </w:r>
      <w:r w:rsidR="00CD56E1">
        <w:t>.</w:t>
      </w:r>
    </w:p>
    <w:p w:rsidR="003A78DA" w:rsidRPr="009C7A63" w:rsidRDefault="00510847" w:rsidP="003A78DA">
      <w:pPr>
        <w:ind w:right="91"/>
        <w:jc w:val="right"/>
        <w:rPr>
          <w:u w:val="single"/>
        </w:rPr>
      </w:pPr>
      <w:r>
        <w:br w:type="page"/>
      </w:r>
      <w:r w:rsidR="003A78DA" w:rsidRPr="009C7A63">
        <w:rPr>
          <w:b/>
          <w:u w:val="single"/>
        </w:rPr>
        <w:lastRenderedPageBreak/>
        <w:t>ATTACHMENT</w:t>
      </w:r>
    </w:p>
    <w:p w:rsidR="00DC1F39" w:rsidRPr="00D26862" w:rsidRDefault="003A78DA" w:rsidP="00D26862">
      <w:pPr>
        <w:spacing w:before="360"/>
        <w:ind w:right="91"/>
        <w:rPr>
          <w:b/>
          <w:u w:val="single"/>
        </w:rPr>
      </w:pPr>
      <w:r w:rsidRPr="009C7A63">
        <w:rPr>
          <w:b/>
          <w:u w:val="single"/>
        </w:rPr>
        <w:t xml:space="preserve">Details of the </w:t>
      </w:r>
      <w:r>
        <w:rPr>
          <w:b/>
          <w:i/>
          <w:u w:val="single"/>
        </w:rPr>
        <w:t xml:space="preserve">National Measurement Amendment </w:t>
      </w:r>
      <w:r w:rsidR="001345A3">
        <w:rPr>
          <w:b/>
          <w:i/>
          <w:u w:val="single"/>
        </w:rPr>
        <w:t>Guidelines</w:t>
      </w:r>
      <w:r w:rsidR="00C608F6">
        <w:rPr>
          <w:b/>
          <w:i/>
          <w:u w:val="single"/>
        </w:rPr>
        <w:t xml:space="preserve"> 2016</w:t>
      </w:r>
    </w:p>
    <w:p w:rsidR="003A78DA" w:rsidRPr="00EE58C5" w:rsidRDefault="00BA18DE" w:rsidP="00D26862">
      <w:pPr>
        <w:spacing w:before="360"/>
        <w:rPr>
          <w:b/>
        </w:rPr>
      </w:pPr>
      <w:r>
        <w:rPr>
          <w:b/>
        </w:rPr>
        <w:t>Clause</w:t>
      </w:r>
      <w:r w:rsidR="003A78DA" w:rsidRPr="00EE58C5">
        <w:rPr>
          <w:b/>
        </w:rPr>
        <w:t xml:space="preserve"> 1 – Name of </w:t>
      </w:r>
      <w:r w:rsidR="001345A3">
        <w:rPr>
          <w:b/>
        </w:rPr>
        <w:t>Guidelines</w:t>
      </w:r>
    </w:p>
    <w:p w:rsidR="003A78DA" w:rsidRDefault="003A78DA" w:rsidP="003A78DA">
      <w:pPr>
        <w:spacing w:before="240"/>
      </w:pPr>
      <w:r>
        <w:t xml:space="preserve">This specifies the name of the </w:t>
      </w:r>
      <w:r w:rsidR="001345A3">
        <w:t>Guidelines</w:t>
      </w:r>
      <w:r>
        <w:t xml:space="preserve"> as the </w:t>
      </w:r>
      <w:r w:rsidRPr="00EE58C5">
        <w:rPr>
          <w:i/>
        </w:rPr>
        <w:t xml:space="preserve">National Measurement </w:t>
      </w:r>
      <w:r w:rsidR="001345A3">
        <w:rPr>
          <w:i/>
        </w:rPr>
        <w:t>Guidelines</w:t>
      </w:r>
      <w:r w:rsidRPr="00EE58C5">
        <w:rPr>
          <w:i/>
        </w:rPr>
        <w:t xml:space="preserve"> </w:t>
      </w:r>
      <w:r w:rsidR="00C608F6">
        <w:rPr>
          <w:i/>
        </w:rPr>
        <w:t>2016</w:t>
      </w:r>
      <w:r w:rsidR="00764A4E">
        <w:rPr>
          <w:i/>
        </w:rPr>
        <w:t xml:space="preserve">. </w:t>
      </w:r>
    </w:p>
    <w:p w:rsidR="00E246F5" w:rsidRDefault="00E246F5" w:rsidP="00F6360E">
      <w:pPr>
        <w:spacing w:before="240"/>
        <w:rPr>
          <w:b/>
        </w:rPr>
      </w:pPr>
      <w:r>
        <w:rPr>
          <w:b/>
        </w:rPr>
        <w:t>Clause 2 – Authority</w:t>
      </w:r>
    </w:p>
    <w:p w:rsidR="00E246F5" w:rsidRPr="00E246F5" w:rsidRDefault="00E246F5" w:rsidP="00F6360E">
      <w:pPr>
        <w:spacing w:before="240"/>
      </w:pPr>
      <w:r w:rsidRPr="00E246F5">
        <w:t>This s</w:t>
      </w:r>
      <w:r>
        <w:t xml:space="preserve">ets out the provision of the </w:t>
      </w:r>
      <w:r>
        <w:rPr>
          <w:i/>
        </w:rPr>
        <w:t xml:space="preserve">National Measurement Act 1960 </w:t>
      </w:r>
      <w:r>
        <w:t>under which the Guidelines are made.</w:t>
      </w:r>
    </w:p>
    <w:p w:rsidR="00F6360E" w:rsidRDefault="00F6360E" w:rsidP="00F6360E">
      <w:pPr>
        <w:spacing w:before="240"/>
        <w:rPr>
          <w:b/>
        </w:rPr>
      </w:pPr>
      <w:r>
        <w:rPr>
          <w:b/>
        </w:rPr>
        <w:t>Clause</w:t>
      </w:r>
      <w:r w:rsidRPr="00EE58C5">
        <w:rPr>
          <w:b/>
        </w:rPr>
        <w:t xml:space="preserve"> </w:t>
      </w:r>
      <w:r w:rsidR="00E246F5">
        <w:rPr>
          <w:b/>
        </w:rPr>
        <w:t>3</w:t>
      </w:r>
      <w:r w:rsidRPr="00EE58C5">
        <w:rPr>
          <w:b/>
        </w:rPr>
        <w:t xml:space="preserve"> – </w:t>
      </w:r>
      <w:r>
        <w:rPr>
          <w:b/>
        </w:rPr>
        <w:t>Commencement</w:t>
      </w:r>
    </w:p>
    <w:p w:rsidR="00F6360E" w:rsidRPr="004F341D" w:rsidRDefault="004B418D" w:rsidP="00F6360E">
      <w:pPr>
        <w:spacing w:before="240" w:after="100" w:afterAutospacing="1"/>
      </w:pPr>
      <w:r>
        <w:t xml:space="preserve">This </w:t>
      </w:r>
      <w:r w:rsidR="00F6360E">
        <w:t xml:space="preserve">provides that </w:t>
      </w:r>
      <w:r w:rsidR="00764A4E">
        <w:t xml:space="preserve">the Guidelines </w:t>
      </w:r>
      <w:r w:rsidR="00F6360E">
        <w:t xml:space="preserve">commenced on </w:t>
      </w:r>
      <w:r w:rsidR="00F6360E" w:rsidRPr="005962A2">
        <w:rPr>
          <w:color w:val="000000"/>
        </w:rPr>
        <w:t>1 April 2016</w:t>
      </w:r>
      <w:r w:rsidR="00F6360E">
        <w:t>.</w:t>
      </w:r>
    </w:p>
    <w:p w:rsidR="004F341D" w:rsidRDefault="004F341D" w:rsidP="004F341D">
      <w:pPr>
        <w:spacing w:before="240"/>
        <w:rPr>
          <w:b/>
        </w:rPr>
      </w:pPr>
      <w:r>
        <w:rPr>
          <w:b/>
        </w:rPr>
        <w:t>Clause</w:t>
      </w:r>
      <w:r w:rsidRPr="00EE58C5">
        <w:rPr>
          <w:b/>
        </w:rPr>
        <w:t xml:space="preserve"> </w:t>
      </w:r>
      <w:r w:rsidR="00E246F5">
        <w:rPr>
          <w:b/>
        </w:rPr>
        <w:t>4</w:t>
      </w:r>
      <w:r w:rsidRPr="00EE58C5">
        <w:rPr>
          <w:b/>
        </w:rPr>
        <w:t xml:space="preserve"> – </w:t>
      </w:r>
      <w:r>
        <w:rPr>
          <w:b/>
        </w:rPr>
        <w:t>Revocation</w:t>
      </w:r>
    </w:p>
    <w:p w:rsidR="004F341D" w:rsidRPr="004F341D" w:rsidRDefault="004B418D" w:rsidP="004F341D">
      <w:pPr>
        <w:spacing w:before="240" w:after="100" w:afterAutospacing="1"/>
      </w:pPr>
      <w:r>
        <w:t xml:space="preserve">This </w:t>
      </w:r>
      <w:r w:rsidR="004F341D">
        <w:t xml:space="preserve">provides that </w:t>
      </w:r>
      <w:r w:rsidR="00764A4E">
        <w:t xml:space="preserve">the Guidelines </w:t>
      </w:r>
      <w:r w:rsidR="004F341D">
        <w:t xml:space="preserve">revokes the </w:t>
      </w:r>
      <w:r w:rsidR="004F341D" w:rsidRPr="00B91753">
        <w:rPr>
          <w:i/>
        </w:rPr>
        <w:t>National Measurement Guidelines 1999</w:t>
      </w:r>
      <w:r w:rsidR="004F341D">
        <w:t xml:space="preserve"> (the former Guidelines) on </w:t>
      </w:r>
      <w:r w:rsidR="004F341D" w:rsidRPr="005962A2">
        <w:rPr>
          <w:color w:val="000000"/>
        </w:rPr>
        <w:t>1 April 2016</w:t>
      </w:r>
      <w:r w:rsidR="004F341D">
        <w:t>.</w:t>
      </w:r>
    </w:p>
    <w:p w:rsidR="003A78DA" w:rsidRPr="00EE58C5" w:rsidRDefault="00BA18DE" w:rsidP="003A78DA">
      <w:pPr>
        <w:spacing w:before="240"/>
        <w:rPr>
          <w:b/>
        </w:rPr>
      </w:pPr>
      <w:r>
        <w:rPr>
          <w:b/>
        </w:rPr>
        <w:t>Clause</w:t>
      </w:r>
      <w:r w:rsidR="003A78DA" w:rsidRPr="00EE58C5">
        <w:rPr>
          <w:b/>
        </w:rPr>
        <w:t xml:space="preserve"> </w:t>
      </w:r>
      <w:r w:rsidR="00E246F5">
        <w:rPr>
          <w:b/>
        </w:rPr>
        <w:t>5</w:t>
      </w:r>
      <w:r w:rsidR="003A78DA" w:rsidRPr="00EE58C5">
        <w:rPr>
          <w:b/>
        </w:rPr>
        <w:t xml:space="preserve"> – </w:t>
      </w:r>
      <w:r w:rsidR="00F6360E">
        <w:rPr>
          <w:b/>
        </w:rPr>
        <w:t xml:space="preserve">Objects of the </w:t>
      </w:r>
      <w:r w:rsidR="00ED59C9">
        <w:rPr>
          <w:b/>
        </w:rPr>
        <w:t>Guidelines</w:t>
      </w:r>
    </w:p>
    <w:p w:rsidR="003A78DA" w:rsidRPr="003317FE" w:rsidRDefault="003A78DA" w:rsidP="003A78DA">
      <w:pPr>
        <w:spacing w:before="240"/>
      </w:pPr>
      <w:r>
        <w:t xml:space="preserve">This </w:t>
      </w:r>
      <w:r w:rsidR="004B418D">
        <w:t>item</w:t>
      </w:r>
      <w:r w:rsidR="00F6360E">
        <w:t xml:space="preserve"> </w:t>
      </w:r>
      <w:r>
        <w:t xml:space="preserve">provides that the </w:t>
      </w:r>
      <w:r w:rsidR="003317FE">
        <w:t xml:space="preserve">objects of </w:t>
      </w:r>
      <w:r w:rsidR="00764A4E">
        <w:t xml:space="preserve">the Guidelines </w:t>
      </w:r>
      <w:r w:rsidR="00E246F5">
        <w:t>are</w:t>
      </w:r>
      <w:r w:rsidR="00ED59C9">
        <w:t xml:space="preserve"> to provide a uniform system to express Australian legal units of measurement by </w:t>
      </w:r>
      <w:r w:rsidR="004B418D" w:rsidRPr="004B418D">
        <w:t>govern</w:t>
      </w:r>
      <w:r w:rsidR="00ED59C9">
        <w:t>ing</w:t>
      </w:r>
      <w:r w:rsidR="004B418D" w:rsidRPr="004B418D">
        <w:t xml:space="preserve"> the way in which Australian legal units of measurement may be combined to produce an Australian legal unit of measurement, and how they may be combined with prefixes to produce Austral</w:t>
      </w:r>
      <w:r w:rsidR="00ED59C9">
        <w:t xml:space="preserve">ian legal units of measurement. </w:t>
      </w:r>
      <w:r>
        <w:rPr>
          <w:b/>
          <w:i/>
        </w:rPr>
        <w:t xml:space="preserve"> </w:t>
      </w:r>
    </w:p>
    <w:p w:rsidR="00764A4E" w:rsidRPr="00EE58C5" w:rsidRDefault="00764A4E" w:rsidP="00764A4E">
      <w:pPr>
        <w:spacing w:before="240"/>
        <w:rPr>
          <w:b/>
        </w:rPr>
      </w:pPr>
      <w:r>
        <w:rPr>
          <w:b/>
        </w:rPr>
        <w:t>Clause</w:t>
      </w:r>
      <w:r w:rsidRPr="00EE58C5">
        <w:rPr>
          <w:b/>
        </w:rPr>
        <w:t xml:space="preserve"> </w:t>
      </w:r>
      <w:r w:rsidR="00E246F5">
        <w:rPr>
          <w:b/>
        </w:rPr>
        <w:t>6</w:t>
      </w:r>
      <w:r w:rsidRPr="00EE58C5">
        <w:rPr>
          <w:b/>
        </w:rPr>
        <w:t xml:space="preserve"> – </w:t>
      </w:r>
      <w:r>
        <w:rPr>
          <w:b/>
        </w:rPr>
        <w:t>Definitions</w:t>
      </w:r>
    </w:p>
    <w:p w:rsidR="00764A4E" w:rsidRDefault="00764A4E" w:rsidP="003A78DA">
      <w:pPr>
        <w:spacing w:before="240"/>
      </w:pPr>
      <w:r>
        <w:t>This item provides for definitions of terms used in the Guidelines.</w:t>
      </w:r>
    </w:p>
    <w:p w:rsidR="00ED59C9" w:rsidRPr="00EE58C5" w:rsidRDefault="00ED59C9" w:rsidP="00ED59C9">
      <w:pPr>
        <w:spacing w:before="240"/>
        <w:rPr>
          <w:b/>
        </w:rPr>
      </w:pPr>
      <w:r>
        <w:rPr>
          <w:b/>
        </w:rPr>
        <w:t>Clause</w:t>
      </w:r>
      <w:r w:rsidRPr="00EE58C5">
        <w:rPr>
          <w:b/>
        </w:rPr>
        <w:t xml:space="preserve"> </w:t>
      </w:r>
      <w:r w:rsidR="00E246F5">
        <w:rPr>
          <w:b/>
        </w:rPr>
        <w:t>7</w:t>
      </w:r>
      <w:r w:rsidRPr="00EE58C5">
        <w:rPr>
          <w:b/>
        </w:rPr>
        <w:t xml:space="preserve"> – </w:t>
      </w:r>
      <w:r>
        <w:rPr>
          <w:b/>
        </w:rPr>
        <w:t>Physical quantities</w:t>
      </w:r>
    </w:p>
    <w:p w:rsidR="00F05157" w:rsidRDefault="00CF6A4E" w:rsidP="00D26862">
      <w:pPr>
        <w:spacing w:before="240"/>
        <w:jc w:val="both"/>
      </w:pPr>
      <w:r>
        <w:t>The manner of expression of p</w:t>
      </w:r>
      <w:r w:rsidR="00DC1F39">
        <w:t xml:space="preserve">hysical quantities </w:t>
      </w:r>
      <w:r>
        <w:t>in</w:t>
      </w:r>
      <w:r w:rsidR="00DC1F39">
        <w:t xml:space="preserve"> Australian</w:t>
      </w:r>
      <w:r w:rsidR="00D26862">
        <w:t xml:space="preserve"> </w:t>
      </w:r>
      <w:r>
        <w:t>l</w:t>
      </w:r>
      <w:r w:rsidR="00D26862">
        <w:t xml:space="preserve">egal </w:t>
      </w:r>
      <w:r>
        <w:t>u</w:t>
      </w:r>
      <w:r w:rsidR="00D26862">
        <w:t xml:space="preserve">nits of </w:t>
      </w:r>
      <w:r>
        <w:t>m</w:t>
      </w:r>
      <w:r w:rsidR="00D26862">
        <w:t xml:space="preserve">easurement </w:t>
      </w:r>
      <w:r>
        <w:t>is</w:t>
      </w:r>
      <w:r w:rsidR="00D26862">
        <w:t xml:space="preserve"> prescribed </w:t>
      </w:r>
      <w:r w:rsidR="00DC1F39">
        <w:t xml:space="preserve">under </w:t>
      </w:r>
      <w:r w:rsidR="004A6C30">
        <w:t>s</w:t>
      </w:r>
      <w:r w:rsidR="00DC1F39">
        <w:t xml:space="preserve">chedule 1 and </w:t>
      </w:r>
      <w:r>
        <w:t xml:space="preserve">schedule </w:t>
      </w:r>
      <w:r w:rsidR="00DC1F39">
        <w:t xml:space="preserve">2 of the </w:t>
      </w:r>
      <w:r w:rsidR="008112F0">
        <w:rPr>
          <w:i/>
        </w:rPr>
        <w:t>National Measurement Regulations 1999</w:t>
      </w:r>
      <w:r w:rsidR="004A6C30">
        <w:rPr>
          <w:i/>
        </w:rPr>
        <w:t xml:space="preserve"> </w:t>
      </w:r>
      <w:r w:rsidR="004A6C30">
        <w:t>(the Regulations)</w:t>
      </w:r>
      <w:r w:rsidR="00DC1F39">
        <w:t xml:space="preserve">. </w:t>
      </w:r>
      <w:r w:rsidR="00372C56">
        <w:t xml:space="preserve">This item </w:t>
      </w:r>
      <w:r w:rsidR="00D26862">
        <w:t>replace</w:t>
      </w:r>
      <w:r w:rsidR="00143579">
        <w:t>s</w:t>
      </w:r>
      <w:r w:rsidR="00D26862">
        <w:t xml:space="preserve"> </w:t>
      </w:r>
      <w:r w:rsidR="00DC1F39">
        <w:t xml:space="preserve">the </w:t>
      </w:r>
      <w:r w:rsidR="00713998">
        <w:t>unnecessary</w:t>
      </w:r>
      <w:r w:rsidR="00352263">
        <w:t xml:space="preserve"> </w:t>
      </w:r>
      <w:r w:rsidR="00DC1F39">
        <w:t xml:space="preserve">duplication </w:t>
      </w:r>
      <w:r w:rsidR="00583D4F">
        <w:t xml:space="preserve">of </w:t>
      </w:r>
      <w:r w:rsidR="00D26862">
        <w:t>listing</w:t>
      </w:r>
      <w:r w:rsidR="00352263">
        <w:t xml:space="preserve"> p</w:t>
      </w:r>
      <w:r w:rsidR="00583D4F">
        <w:t xml:space="preserve">hysical quantities </w:t>
      </w:r>
      <w:r w:rsidR="00324B5C">
        <w:t>expressed in</w:t>
      </w:r>
      <w:r w:rsidR="00583D4F">
        <w:t xml:space="preserve"> </w:t>
      </w:r>
      <w:r w:rsidR="001345A3">
        <w:t xml:space="preserve">Australian legal units of measurement </w:t>
      </w:r>
      <w:r w:rsidR="00ED59C9">
        <w:t>under the former Guidelines</w:t>
      </w:r>
      <w:r w:rsidR="00D26862">
        <w:t xml:space="preserve"> to a</w:t>
      </w:r>
      <w:r w:rsidR="00ED59C9">
        <w:t>n amended</w:t>
      </w:r>
      <w:r w:rsidR="00D26862">
        <w:t xml:space="preserve"> provision </w:t>
      </w:r>
      <w:r w:rsidR="00ED59C9">
        <w:t xml:space="preserve">that </w:t>
      </w:r>
      <w:r w:rsidR="00D26862" w:rsidRPr="00D26862">
        <w:t>Australian legal units of measurement may be formed only for the physical quan</w:t>
      </w:r>
      <w:r w:rsidR="004A6C30">
        <w:t>tities prescribed under the R</w:t>
      </w:r>
      <w:r w:rsidR="00D26862" w:rsidRPr="00D26862">
        <w:t>egulations.</w:t>
      </w:r>
      <w:r w:rsidR="00D26862">
        <w:t xml:space="preserve"> The amendment remove</w:t>
      </w:r>
      <w:r w:rsidR="00143579">
        <w:t>s</w:t>
      </w:r>
      <w:r w:rsidR="00D26862">
        <w:t xml:space="preserve"> the requirement to amend the </w:t>
      </w:r>
      <w:r w:rsidR="00713998">
        <w:t>instrument</w:t>
      </w:r>
      <w:r w:rsidR="00D26862">
        <w:t xml:space="preserve"> when </w:t>
      </w:r>
      <w:r w:rsidR="00352263">
        <w:t>new Australian legal units of measurement are introduced</w:t>
      </w:r>
      <w:r w:rsidR="00D26862">
        <w:t xml:space="preserve"> to </w:t>
      </w:r>
      <w:r w:rsidR="00D26862" w:rsidRPr="00D26862">
        <w:t>ensure that the national measurement legislation provides for the current formation of Australian legal units of measurement.</w:t>
      </w:r>
    </w:p>
    <w:p w:rsidR="00ED59C9" w:rsidRPr="00EE58C5" w:rsidRDefault="00ED59C9" w:rsidP="00ED59C9">
      <w:pPr>
        <w:spacing w:before="240"/>
        <w:rPr>
          <w:b/>
        </w:rPr>
      </w:pPr>
      <w:r>
        <w:rPr>
          <w:b/>
        </w:rPr>
        <w:t>Clause</w:t>
      </w:r>
      <w:r w:rsidRPr="00EE58C5">
        <w:rPr>
          <w:b/>
        </w:rPr>
        <w:t xml:space="preserve"> </w:t>
      </w:r>
      <w:r w:rsidR="00E246F5">
        <w:rPr>
          <w:b/>
        </w:rPr>
        <w:t>8</w:t>
      </w:r>
      <w:r w:rsidRPr="00EE58C5">
        <w:rPr>
          <w:b/>
        </w:rPr>
        <w:t xml:space="preserve"> – </w:t>
      </w:r>
      <w:r>
        <w:rPr>
          <w:b/>
        </w:rPr>
        <w:t>Combining Australian legal units of measurement</w:t>
      </w:r>
    </w:p>
    <w:p w:rsidR="00ED59C9" w:rsidRDefault="009E2A0E" w:rsidP="00D26862">
      <w:pPr>
        <w:spacing w:before="240"/>
        <w:jc w:val="both"/>
      </w:pPr>
      <w:r>
        <w:lastRenderedPageBreak/>
        <w:t>This item provides tha</w:t>
      </w:r>
      <w:r w:rsidR="001507F8">
        <w:t>t if a physical quantity is formed by combining two or more physical quantities then the Australian legal unit of measurement used to describe the combined physical quantity would be the same as the relationship between the Australian legal unit</w:t>
      </w:r>
      <w:r w:rsidR="004E2996">
        <w:t>s</w:t>
      </w:r>
      <w:r w:rsidR="001507F8">
        <w:t xml:space="preserve"> of measurement for those physical quantities. The resulting Australian legal unit of measurement may be then represented by either a name or symbol that is </w:t>
      </w:r>
      <w:r w:rsidR="004E2996">
        <w:t xml:space="preserve">itself </w:t>
      </w:r>
      <w:r w:rsidR="001507F8">
        <w:t xml:space="preserve">derived from an Australian legal unit of measurement. </w:t>
      </w:r>
      <w:r w:rsidR="004E2996">
        <w:t xml:space="preserve">For example the Australian legal unit of measurement of </w:t>
      </w:r>
      <w:r w:rsidR="004E2996" w:rsidRPr="004E2996">
        <w:rPr>
          <w:i/>
        </w:rPr>
        <w:t>pascal</w:t>
      </w:r>
      <w:r w:rsidR="004E2996">
        <w:t xml:space="preserve"> can either be represented as Pa or N/m</w:t>
      </w:r>
      <w:r w:rsidR="004E2996">
        <w:rPr>
          <w:vertAlign w:val="superscript"/>
        </w:rPr>
        <w:t>2</w:t>
      </w:r>
      <w:r w:rsidR="004E2996">
        <w:t xml:space="preserve">. </w:t>
      </w:r>
      <w:r w:rsidR="001507F8">
        <w:t xml:space="preserve">See schedule </w:t>
      </w:r>
      <w:r w:rsidR="004E2996">
        <w:t>1 and 2</w:t>
      </w:r>
      <w:r w:rsidR="001507F8">
        <w:t xml:space="preserve"> of the Regulations for t</w:t>
      </w:r>
      <w:r w:rsidR="004E2996">
        <w:t>he list of names and symbols</w:t>
      </w:r>
      <w:r w:rsidR="001507F8">
        <w:t xml:space="preserve"> of Australian legal units of measurement. </w:t>
      </w:r>
    </w:p>
    <w:p w:rsidR="004E2996" w:rsidRPr="00EE58C5" w:rsidRDefault="004E2996" w:rsidP="004E2996">
      <w:pPr>
        <w:spacing w:before="240"/>
        <w:rPr>
          <w:b/>
        </w:rPr>
      </w:pPr>
      <w:r>
        <w:rPr>
          <w:b/>
        </w:rPr>
        <w:t>Clause</w:t>
      </w:r>
      <w:r w:rsidRPr="00EE58C5">
        <w:rPr>
          <w:b/>
        </w:rPr>
        <w:t xml:space="preserve"> </w:t>
      </w:r>
      <w:r w:rsidR="00E246F5">
        <w:rPr>
          <w:b/>
        </w:rPr>
        <w:t>9</w:t>
      </w:r>
      <w:r w:rsidRPr="00EE58C5">
        <w:rPr>
          <w:b/>
        </w:rPr>
        <w:t xml:space="preserve"> – </w:t>
      </w:r>
      <w:r>
        <w:rPr>
          <w:b/>
        </w:rPr>
        <w:t>Combining Australian legal units of measurement</w:t>
      </w:r>
      <w:r w:rsidR="00D812F1">
        <w:rPr>
          <w:b/>
        </w:rPr>
        <w:t xml:space="preserve"> </w:t>
      </w:r>
      <w:r>
        <w:rPr>
          <w:b/>
        </w:rPr>
        <w:t>and SI prefix</w:t>
      </w:r>
    </w:p>
    <w:p w:rsidR="00D17066" w:rsidRDefault="004E2996" w:rsidP="00D17066">
      <w:pPr>
        <w:spacing w:before="240"/>
        <w:jc w:val="both"/>
      </w:pPr>
      <w:r>
        <w:t xml:space="preserve">This item provides that a decimal multiple or submultiple of an Australian legal unit of measurement must be </w:t>
      </w:r>
      <w:r w:rsidR="00FE1153">
        <w:t xml:space="preserve">formed using a single SI prefix, as prescribed under schedule 3 of the Regulations, </w:t>
      </w:r>
      <w:r>
        <w:t xml:space="preserve">with the exemption of a </w:t>
      </w:r>
      <w:r w:rsidRPr="004E2996">
        <w:rPr>
          <w:i/>
        </w:rPr>
        <w:t>kilogram</w:t>
      </w:r>
      <w:r>
        <w:t xml:space="preserve"> which due to historical </w:t>
      </w:r>
      <w:r w:rsidR="008507B2">
        <w:t>reasons</w:t>
      </w:r>
      <w:r>
        <w:t xml:space="preserve"> </w:t>
      </w:r>
      <w:r w:rsidR="00CE7182">
        <w:t>is the only SI base unit which already contains a prefix (</w:t>
      </w:r>
      <w:r w:rsidRPr="004E2996">
        <w:rPr>
          <w:i/>
        </w:rPr>
        <w:t>kilo</w:t>
      </w:r>
      <w:r w:rsidR="00CE7182" w:rsidRPr="00CE7182">
        <w:t>)</w:t>
      </w:r>
      <w:r>
        <w:t xml:space="preserve"> </w:t>
      </w:r>
      <w:r w:rsidR="00CE7182">
        <w:t>as part of its na</w:t>
      </w:r>
      <w:r w:rsidR="00CE7182" w:rsidRPr="00D17066">
        <w:t>me</w:t>
      </w:r>
      <w:r w:rsidRPr="00D17066">
        <w:t xml:space="preserve">. </w:t>
      </w:r>
    </w:p>
    <w:p w:rsidR="00D17066" w:rsidRPr="00D17066" w:rsidRDefault="00D17066" w:rsidP="00D17066">
      <w:pPr>
        <w:spacing w:before="240"/>
        <w:jc w:val="both"/>
      </w:pPr>
      <w:r w:rsidRPr="0055370E">
        <w:rPr>
          <w:lang w:val="en-US" w:eastAsia="en-US"/>
        </w:rPr>
        <w:t>This item includes a typographical amendment from the former Guidelines.</w:t>
      </w:r>
      <w:r w:rsidRPr="00D17066">
        <w:rPr>
          <w:lang w:val="en-US" w:eastAsia="en-US"/>
        </w:rPr>
        <w:t xml:space="preserve"> The amendment corrects the example annotating how a decimal multiple or submultiple of an Australian legal unit of measurement, formed using a single SI prefix, is expressed to render it consistent with the re</w:t>
      </w:r>
      <w:r w:rsidR="00FE1153">
        <w:rPr>
          <w:lang w:val="en-US" w:eastAsia="en-US"/>
        </w:rPr>
        <w:t xml:space="preserve">quirements in section </w:t>
      </w:r>
      <w:r w:rsidR="00BE1F25">
        <w:rPr>
          <w:lang w:val="en-US" w:eastAsia="en-US"/>
        </w:rPr>
        <w:t>13</w:t>
      </w:r>
      <w:r w:rsidRPr="00D17066">
        <w:rPr>
          <w:lang w:val="en-US" w:eastAsia="en-US"/>
        </w:rPr>
        <w:t>(10) of the instrument. The previous wording may have caused confusion in relation to the use of a space when expressing Australian legal units of measurement.</w:t>
      </w:r>
    </w:p>
    <w:p w:rsidR="00E55F0E" w:rsidRDefault="00D17066" w:rsidP="004E2996">
      <w:pPr>
        <w:spacing w:before="240"/>
        <w:jc w:val="both"/>
      </w:pPr>
      <w:r>
        <w:t>The item also provides that a</w:t>
      </w:r>
      <w:r w:rsidR="00632A23">
        <w:t xml:space="preserve">n additional derived unit of measurement, as listed under part 4 of schedule 1 of the Regulations, may </w:t>
      </w:r>
      <w:r w:rsidR="00E55F0E">
        <w:t xml:space="preserve">also </w:t>
      </w:r>
      <w:r w:rsidR="00632A23">
        <w:t xml:space="preserve">be combined with another Australian legal unit of measurement to form an Australian legal unit of measurement. For example </w:t>
      </w:r>
      <w:r w:rsidR="00E55F0E">
        <w:t>the amount of gram per mole unit may be represented as grams/mol.</w:t>
      </w:r>
    </w:p>
    <w:p w:rsidR="00D17066" w:rsidRDefault="00E55F0E" w:rsidP="004E2996">
      <w:pPr>
        <w:spacing w:before="240"/>
        <w:jc w:val="both"/>
      </w:pPr>
      <w:r>
        <w:t>In addition</w:t>
      </w:r>
      <w:r w:rsidR="005443FE">
        <w:t>, this item provides that an Australian legal unit of measurement and a SI prefix may be combined with other Australian legal units of measurement symbols, as listed under schedule 1 and 2 of the Regulations, to form a symbol for a compound unit that is an Australian legal unit of measurement</w:t>
      </w:r>
      <w:r w:rsidR="004A6917">
        <w:t xml:space="preserve">. For example the Australian legal unit measurement of </w:t>
      </w:r>
      <w:r w:rsidR="004A6917" w:rsidRPr="00D17066">
        <w:rPr>
          <w:i/>
        </w:rPr>
        <w:t>metre</w:t>
      </w:r>
      <w:r w:rsidR="004A6917">
        <w:t xml:space="preserve"> (</w:t>
      </w:r>
      <w:r w:rsidR="004A6917" w:rsidRPr="00D17066">
        <w:t>m</w:t>
      </w:r>
      <w:r w:rsidR="004A6917">
        <w:t xml:space="preserve">) with the prefix of </w:t>
      </w:r>
      <w:r w:rsidR="004A6917" w:rsidRPr="00D17066">
        <w:rPr>
          <w:i/>
        </w:rPr>
        <w:t>kilo</w:t>
      </w:r>
      <w:r w:rsidR="004A6917">
        <w:t xml:space="preserve"> (</w:t>
      </w:r>
      <w:r w:rsidR="004A6917" w:rsidRPr="00D17066">
        <w:t>k</w:t>
      </w:r>
      <w:r w:rsidR="004A6917">
        <w:t>) can be combined with the</w:t>
      </w:r>
      <w:r w:rsidR="008507B2">
        <w:t xml:space="preserve"> non-SI unit of time (</w:t>
      </w:r>
      <w:r w:rsidR="008507B2" w:rsidRPr="008507B2">
        <w:rPr>
          <w:i/>
        </w:rPr>
        <w:t>hour</w:t>
      </w:r>
      <w:r w:rsidR="00481D94" w:rsidRPr="00481D94">
        <w:t>)</w:t>
      </w:r>
      <w:r w:rsidR="00481D94">
        <w:t>,</w:t>
      </w:r>
      <w:r w:rsidR="00D17066">
        <w:rPr>
          <w:i/>
        </w:rPr>
        <w:t xml:space="preserve"> </w:t>
      </w:r>
      <w:r w:rsidR="00481D94">
        <w:t>represented with the symbol (</w:t>
      </w:r>
      <w:r w:rsidR="00D17066">
        <w:t>h</w:t>
      </w:r>
      <w:r w:rsidR="008507B2">
        <w:t>)</w:t>
      </w:r>
      <w:r w:rsidR="00481D94">
        <w:t>,</w:t>
      </w:r>
      <w:r w:rsidR="008507B2">
        <w:t xml:space="preserve"> to form km/h for a measurement of </w:t>
      </w:r>
      <w:r w:rsidR="002D0BD5">
        <w:t>speed</w:t>
      </w:r>
      <w:r w:rsidR="008507B2">
        <w:t xml:space="preserve">. </w:t>
      </w:r>
      <w:r w:rsidR="004A6917">
        <w:t xml:space="preserve">  </w:t>
      </w:r>
    </w:p>
    <w:p w:rsidR="00D17066" w:rsidRPr="00EE58C5" w:rsidRDefault="00D17066" w:rsidP="00D17066">
      <w:pPr>
        <w:spacing w:before="240"/>
        <w:rPr>
          <w:b/>
        </w:rPr>
      </w:pPr>
      <w:r>
        <w:rPr>
          <w:b/>
        </w:rPr>
        <w:t>Clause</w:t>
      </w:r>
      <w:r w:rsidRPr="00EE58C5">
        <w:rPr>
          <w:b/>
        </w:rPr>
        <w:t xml:space="preserve"> </w:t>
      </w:r>
      <w:r w:rsidR="00E246F5">
        <w:rPr>
          <w:b/>
        </w:rPr>
        <w:t>10</w:t>
      </w:r>
      <w:r w:rsidRPr="00EE58C5">
        <w:rPr>
          <w:b/>
        </w:rPr>
        <w:t xml:space="preserve"> – </w:t>
      </w:r>
      <w:r w:rsidRPr="00D17066">
        <w:rPr>
          <w:b/>
        </w:rPr>
        <w:t>Australian legal units of measurement that must not be combined with prefixes</w:t>
      </w:r>
    </w:p>
    <w:p w:rsidR="00D17066" w:rsidRPr="00D17066" w:rsidRDefault="00D17066" w:rsidP="00D17066">
      <w:pPr>
        <w:spacing w:before="240"/>
        <w:jc w:val="both"/>
        <w:rPr>
          <w:i/>
        </w:rPr>
      </w:pPr>
      <w:r>
        <w:t xml:space="preserve">This item provides the </w:t>
      </w:r>
      <w:r w:rsidR="00481D94">
        <w:t xml:space="preserve">list of </w:t>
      </w:r>
      <w:r>
        <w:t xml:space="preserve">Australian legal units of measurement which must not be combined with SI prefixes </w:t>
      </w:r>
      <w:r w:rsidR="00FE1153">
        <w:t xml:space="preserve">as to avoid confusion </w:t>
      </w:r>
      <w:r>
        <w:t>and that a</w:t>
      </w:r>
      <w:r w:rsidR="00FE1153">
        <w:t xml:space="preserve">s </w:t>
      </w:r>
      <w:r w:rsidR="00FE1153">
        <w:rPr>
          <w:i/>
        </w:rPr>
        <w:t xml:space="preserve">kilogram </w:t>
      </w:r>
      <w:r w:rsidR="00FE1153" w:rsidRPr="00FE1153">
        <w:t>already contains a prefix a</w:t>
      </w:r>
      <w:r w:rsidRPr="00FE1153">
        <w:t xml:space="preserve"> </w:t>
      </w:r>
      <w:r>
        <w:t xml:space="preserve">decimal multiple of sub-multiple of </w:t>
      </w:r>
      <w:r>
        <w:rPr>
          <w:i/>
        </w:rPr>
        <w:t>kilogram</w:t>
      </w:r>
      <w:r>
        <w:t xml:space="preserve"> must be formed by attaching a prefix to </w:t>
      </w:r>
      <w:r>
        <w:rPr>
          <w:i/>
        </w:rPr>
        <w:t xml:space="preserve">gram. </w:t>
      </w:r>
    </w:p>
    <w:p w:rsidR="00481D94" w:rsidRPr="00EE58C5" w:rsidRDefault="00481D94" w:rsidP="00481D94">
      <w:pPr>
        <w:spacing w:before="240"/>
        <w:rPr>
          <w:b/>
        </w:rPr>
      </w:pPr>
      <w:r>
        <w:rPr>
          <w:b/>
        </w:rPr>
        <w:t>Clause</w:t>
      </w:r>
      <w:r w:rsidRPr="00EE58C5">
        <w:rPr>
          <w:b/>
        </w:rPr>
        <w:t xml:space="preserve"> </w:t>
      </w:r>
      <w:r>
        <w:rPr>
          <w:b/>
        </w:rPr>
        <w:t>1</w:t>
      </w:r>
      <w:r w:rsidR="00E246F5">
        <w:rPr>
          <w:b/>
        </w:rPr>
        <w:t>1</w:t>
      </w:r>
      <w:r w:rsidRPr="00EE58C5">
        <w:rPr>
          <w:b/>
        </w:rPr>
        <w:t xml:space="preserve"> – </w:t>
      </w:r>
      <w:r w:rsidRPr="00D17066">
        <w:rPr>
          <w:b/>
        </w:rPr>
        <w:t xml:space="preserve">Australian legal units of measurement </w:t>
      </w:r>
      <w:r>
        <w:rPr>
          <w:b/>
        </w:rPr>
        <w:t>that may only be combined with prefixes that form multiples of the unit</w:t>
      </w:r>
    </w:p>
    <w:p w:rsidR="00481D94" w:rsidRPr="00D17066" w:rsidRDefault="00481D94" w:rsidP="00481D94">
      <w:pPr>
        <w:spacing w:before="240"/>
        <w:jc w:val="both"/>
        <w:rPr>
          <w:i/>
        </w:rPr>
      </w:pPr>
      <w:r>
        <w:t xml:space="preserve">This item provides the Australian legal units of measurement of </w:t>
      </w:r>
      <w:r>
        <w:rPr>
          <w:i/>
        </w:rPr>
        <w:t xml:space="preserve">tonne </w:t>
      </w:r>
      <w:r>
        <w:t xml:space="preserve">may only be combined with an SI prefix that gives a decimal multiple of </w:t>
      </w:r>
      <w:r>
        <w:rPr>
          <w:i/>
        </w:rPr>
        <w:t xml:space="preserve">tonne. </w:t>
      </w:r>
      <w:r>
        <w:t>For example</w:t>
      </w:r>
      <w:r w:rsidR="00FE1153">
        <w:t xml:space="preserve"> </w:t>
      </w:r>
      <w:r w:rsidR="00FE1153">
        <w:rPr>
          <w:i/>
        </w:rPr>
        <w:t xml:space="preserve">tonne </w:t>
      </w:r>
      <w:r w:rsidR="00FE1153">
        <w:t xml:space="preserve">may be combined with the SI prefix of </w:t>
      </w:r>
      <w:r w:rsidR="00FE1153">
        <w:rPr>
          <w:i/>
        </w:rPr>
        <w:t>kilo</w:t>
      </w:r>
      <w:r w:rsidR="00FE1153">
        <w:t xml:space="preserve"> to form</w:t>
      </w:r>
      <w:r>
        <w:t xml:space="preserve"> </w:t>
      </w:r>
      <w:proofErr w:type="spellStart"/>
      <w:r>
        <w:t>kilotonne</w:t>
      </w:r>
      <w:proofErr w:type="spellEnd"/>
      <w:r w:rsidR="00FE1153">
        <w:t xml:space="preserve"> </w:t>
      </w:r>
      <w:r w:rsidR="003040E0">
        <w:t xml:space="preserve">which is a multiple of a </w:t>
      </w:r>
      <w:r w:rsidR="003040E0">
        <w:rPr>
          <w:i/>
        </w:rPr>
        <w:lastRenderedPageBreak/>
        <w:t xml:space="preserve">tonne </w:t>
      </w:r>
      <w:r w:rsidR="00FE1153">
        <w:t xml:space="preserve">but not with the SI prefix of </w:t>
      </w:r>
      <w:proofErr w:type="spellStart"/>
      <w:r w:rsidR="00FE1153">
        <w:rPr>
          <w:i/>
        </w:rPr>
        <w:t>milli</w:t>
      </w:r>
      <w:proofErr w:type="spellEnd"/>
      <w:r w:rsidR="00FE1153">
        <w:rPr>
          <w:i/>
        </w:rPr>
        <w:t xml:space="preserve"> </w:t>
      </w:r>
      <w:r w:rsidR="00DC5DE5">
        <w:t xml:space="preserve">to form </w:t>
      </w:r>
      <w:proofErr w:type="spellStart"/>
      <w:r w:rsidR="00DC5DE5">
        <w:t>millitonne</w:t>
      </w:r>
      <w:proofErr w:type="spellEnd"/>
      <w:r w:rsidR="00DC5DE5">
        <w:t xml:space="preserve"> as </w:t>
      </w:r>
      <w:r w:rsidR="003040E0">
        <w:t>it is a</w:t>
      </w:r>
      <w:r w:rsidR="00DC5DE5">
        <w:t xml:space="preserve"> decimal sub-multiple of a </w:t>
      </w:r>
      <w:r w:rsidR="00DC5DE5" w:rsidRPr="00DC5DE5">
        <w:rPr>
          <w:i/>
        </w:rPr>
        <w:t>tonne</w:t>
      </w:r>
      <w:r>
        <w:t>.</w:t>
      </w:r>
      <w:r>
        <w:rPr>
          <w:i/>
        </w:rPr>
        <w:t xml:space="preserve"> </w:t>
      </w:r>
    </w:p>
    <w:p w:rsidR="00DC5DE5" w:rsidRDefault="00DC5DE5" w:rsidP="00DC5DE5">
      <w:pPr>
        <w:spacing w:before="240"/>
        <w:rPr>
          <w:b/>
        </w:rPr>
      </w:pPr>
      <w:r>
        <w:rPr>
          <w:b/>
        </w:rPr>
        <w:t>Clause</w:t>
      </w:r>
      <w:r w:rsidRPr="00EE58C5">
        <w:rPr>
          <w:b/>
        </w:rPr>
        <w:t xml:space="preserve"> </w:t>
      </w:r>
      <w:r>
        <w:rPr>
          <w:b/>
        </w:rPr>
        <w:t>1</w:t>
      </w:r>
      <w:r w:rsidR="00E246F5">
        <w:rPr>
          <w:b/>
        </w:rPr>
        <w:t>2</w:t>
      </w:r>
      <w:r w:rsidRPr="00EE58C5">
        <w:rPr>
          <w:b/>
        </w:rPr>
        <w:t xml:space="preserve"> – </w:t>
      </w:r>
      <w:r>
        <w:rPr>
          <w:b/>
        </w:rPr>
        <w:t>Combination of a prescribed SI prefix with a combination of Australian Legal units of measurement</w:t>
      </w:r>
    </w:p>
    <w:p w:rsidR="00DC5DE5" w:rsidRDefault="00DC5DE5" w:rsidP="00DC5DE5">
      <w:pPr>
        <w:spacing w:before="240"/>
        <w:jc w:val="both"/>
      </w:pPr>
      <w:r>
        <w:t xml:space="preserve">This item provides that an Australian legal unit of measurement must be formed </w:t>
      </w:r>
      <w:r w:rsidR="00BE1F25">
        <w:t xml:space="preserve">from </w:t>
      </w:r>
      <w:r>
        <w:t xml:space="preserve">a combination of Australian legal units of measurement as prescribed under section </w:t>
      </w:r>
      <w:r w:rsidR="00BE1F25">
        <w:t xml:space="preserve">8 </w:t>
      </w:r>
      <w:r>
        <w:t xml:space="preserve">of the instrument and the use of an SI prefix as prescribed under schedule 3 of the Regulations. </w:t>
      </w:r>
    </w:p>
    <w:p w:rsidR="003040E0" w:rsidRDefault="003040E0" w:rsidP="003040E0">
      <w:pPr>
        <w:spacing w:before="240"/>
        <w:rPr>
          <w:b/>
        </w:rPr>
      </w:pPr>
      <w:r>
        <w:rPr>
          <w:b/>
        </w:rPr>
        <w:t>Clause</w:t>
      </w:r>
      <w:r w:rsidRPr="00EE58C5">
        <w:rPr>
          <w:b/>
        </w:rPr>
        <w:t xml:space="preserve"> </w:t>
      </w:r>
      <w:r>
        <w:rPr>
          <w:b/>
        </w:rPr>
        <w:t>1</w:t>
      </w:r>
      <w:r w:rsidR="00E246F5">
        <w:rPr>
          <w:b/>
        </w:rPr>
        <w:t>3</w:t>
      </w:r>
      <w:r w:rsidRPr="00EE58C5">
        <w:rPr>
          <w:b/>
        </w:rPr>
        <w:t xml:space="preserve"> – </w:t>
      </w:r>
      <w:r>
        <w:rPr>
          <w:b/>
        </w:rPr>
        <w:t>Expression of Australian legal units of measurement</w:t>
      </w:r>
    </w:p>
    <w:p w:rsidR="0055370E" w:rsidRDefault="0055370E" w:rsidP="001930D6">
      <w:pPr>
        <w:pStyle w:val="R2"/>
        <w:ind w:left="0" w:firstLine="0"/>
      </w:pPr>
      <w:r>
        <w:t xml:space="preserve">This item provides for </w:t>
      </w:r>
      <w:r w:rsidR="001930D6">
        <w:t>requirements when expressing Australian legal units of measurement</w:t>
      </w:r>
      <w:r>
        <w:t xml:space="preserve"> to align the expression of measurement units in Australia with internationally accepted practice</w:t>
      </w:r>
      <w:r w:rsidR="00F41339">
        <w:t>.</w:t>
      </w:r>
    </w:p>
    <w:p w:rsidR="00D812F1" w:rsidRDefault="00F41339" w:rsidP="00F41339">
      <w:pPr>
        <w:pStyle w:val="R2"/>
        <w:ind w:left="0" w:firstLine="0"/>
        <w:rPr>
          <w:lang w:val="en-US"/>
        </w:rPr>
      </w:pPr>
      <w:r>
        <w:rPr>
          <w:lang w:val="en-US"/>
        </w:rPr>
        <w:t xml:space="preserve">This item includes </w:t>
      </w:r>
      <w:r w:rsidR="00D812F1">
        <w:rPr>
          <w:lang w:val="en-US"/>
        </w:rPr>
        <w:t>the following</w:t>
      </w:r>
      <w:r>
        <w:rPr>
          <w:lang w:val="en-US"/>
        </w:rPr>
        <w:t xml:space="preserve"> </w:t>
      </w:r>
      <w:r w:rsidR="0055370E" w:rsidRPr="00D17066">
        <w:rPr>
          <w:lang w:val="en-US"/>
        </w:rPr>
        <w:t>amendment</w:t>
      </w:r>
      <w:r w:rsidR="00C928B9">
        <w:rPr>
          <w:lang w:val="en-US"/>
        </w:rPr>
        <w:t>s</w:t>
      </w:r>
      <w:r w:rsidR="0055370E" w:rsidRPr="00D17066">
        <w:rPr>
          <w:lang w:val="en-US"/>
        </w:rPr>
        <w:t xml:space="preserve"> </w:t>
      </w:r>
      <w:r w:rsidR="00D812F1">
        <w:rPr>
          <w:lang w:val="en-US"/>
        </w:rPr>
        <w:t>from the former Guidelines:</w:t>
      </w:r>
    </w:p>
    <w:p w:rsidR="00C928B9" w:rsidRDefault="00C928B9" w:rsidP="005F5085">
      <w:pPr>
        <w:pStyle w:val="R2"/>
        <w:spacing w:before="240"/>
      </w:pPr>
      <w:r>
        <w:tab/>
        <w:t>(</w:t>
      </w:r>
      <w:proofErr w:type="spellStart"/>
      <w:r w:rsidR="0006319A">
        <w:t>i</w:t>
      </w:r>
      <w:proofErr w:type="spellEnd"/>
      <w:r>
        <w:t>)</w:t>
      </w:r>
      <w:r>
        <w:tab/>
      </w:r>
      <w:r>
        <w:rPr>
          <w:lang w:val="en-US"/>
        </w:rPr>
        <w:t xml:space="preserve">The use of the product symbol of a space is excluded when the symbol for an Australian legal unit of measurement is the same as an SI prefix to align the expression with internationally accepted practice. The previous wording </w:t>
      </w:r>
      <w:r w:rsidRPr="00583D4F">
        <w:rPr>
          <w:lang w:val="en-US"/>
        </w:rPr>
        <w:t xml:space="preserve">may have caused confusion in relation </w:t>
      </w:r>
      <w:r>
        <w:rPr>
          <w:lang w:val="en-US"/>
        </w:rPr>
        <w:t>to the correct expression of</w:t>
      </w:r>
      <w:r>
        <w:rPr>
          <w:color w:val="000000"/>
        </w:rPr>
        <w:t xml:space="preserve"> Australian legal units of measurement.</w:t>
      </w:r>
      <w:r>
        <w:rPr>
          <w:lang w:val="en-US"/>
        </w:rPr>
        <w:t xml:space="preserve"> </w:t>
      </w:r>
      <w:r w:rsidR="005F5085">
        <w:rPr>
          <w:lang w:val="en-US"/>
        </w:rPr>
        <w:t>For example the Australian legal unit of measurement of thermo-dynamic temperature (</w:t>
      </w:r>
      <w:r w:rsidR="005F5085">
        <w:rPr>
          <w:i/>
          <w:lang w:val="en-US"/>
        </w:rPr>
        <w:t>kelvin</w:t>
      </w:r>
      <w:r w:rsidR="005F5085">
        <w:rPr>
          <w:lang w:val="en-US"/>
        </w:rPr>
        <w:t>)</w:t>
      </w:r>
      <w:r w:rsidR="005F5085">
        <w:rPr>
          <w:i/>
          <w:lang w:val="en-US"/>
        </w:rPr>
        <w:t xml:space="preserve"> </w:t>
      </w:r>
      <w:r w:rsidR="005F5085">
        <w:rPr>
          <w:lang w:val="en-US"/>
        </w:rPr>
        <w:t>represented with the symbol (K) and length (</w:t>
      </w:r>
      <w:proofErr w:type="spellStart"/>
      <w:r w:rsidR="005F5085">
        <w:rPr>
          <w:i/>
          <w:lang w:val="en-US"/>
        </w:rPr>
        <w:t>metre</w:t>
      </w:r>
      <w:proofErr w:type="spellEnd"/>
      <w:r w:rsidR="005F5085">
        <w:rPr>
          <w:lang w:val="en-US"/>
        </w:rPr>
        <w:t>),</w:t>
      </w:r>
      <w:r w:rsidR="005F5085">
        <w:rPr>
          <w:i/>
          <w:lang w:val="en-US"/>
        </w:rPr>
        <w:t xml:space="preserve"> </w:t>
      </w:r>
      <w:r w:rsidR="005F5085">
        <w:rPr>
          <w:lang w:val="en-US"/>
        </w:rPr>
        <w:t>represented with the symbol (m), may be combined with the SI derived unit of measurement of power (</w:t>
      </w:r>
      <w:r w:rsidR="005F5085">
        <w:rPr>
          <w:i/>
          <w:lang w:val="en-US"/>
        </w:rPr>
        <w:t>watt),</w:t>
      </w:r>
      <w:r w:rsidR="005F5085">
        <w:rPr>
          <w:lang w:val="en-US"/>
        </w:rPr>
        <w:t xml:space="preserve"> represented with the symbol (W), to form the expressed as </w:t>
      </w:r>
      <w:proofErr w:type="spellStart"/>
      <w:r w:rsidR="005F5085">
        <w:t>m·K</w:t>
      </w:r>
      <w:proofErr w:type="spellEnd"/>
      <w:r w:rsidR="005F5085">
        <w:t>/W</w:t>
      </w:r>
      <w:r w:rsidR="005F5085">
        <w:rPr>
          <w:lang w:val="en-US"/>
        </w:rPr>
        <w:t xml:space="preserve"> </w:t>
      </w:r>
      <w:r w:rsidR="005F5085">
        <w:t>(</w:t>
      </w:r>
      <w:r w:rsidR="005F5085" w:rsidRPr="005F5085">
        <w:rPr>
          <w:i/>
        </w:rPr>
        <w:t>metre</w:t>
      </w:r>
      <w:r w:rsidR="005F5085">
        <w:t xml:space="preserve"> </w:t>
      </w:r>
      <w:r w:rsidR="005F5085" w:rsidRPr="005F5085">
        <w:rPr>
          <w:i/>
        </w:rPr>
        <w:t>kelvin</w:t>
      </w:r>
      <w:r w:rsidR="005F5085">
        <w:t xml:space="preserve"> per </w:t>
      </w:r>
      <w:r w:rsidR="005F5085" w:rsidRPr="005F5085">
        <w:rPr>
          <w:i/>
        </w:rPr>
        <w:t>watt</w:t>
      </w:r>
      <w:r w:rsidR="005F5085">
        <w:t xml:space="preserve">) </w:t>
      </w:r>
      <w:r w:rsidR="005F5085">
        <w:rPr>
          <w:lang w:val="en-US"/>
        </w:rPr>
        <w:t xml:space="preserve">as a measurement for thermal resistivity which if the product symbol of a space was used to form the expression </w:t>
      </w:r>
      <w:r w:rsidR="005F5085">
        <w:t xml:space="preserve">m K/W it may be confused with </w:t>
      </w:r>
      <w:proofErr w:type="spellStart"/>
      <w:r w:rsidR="005F5085">
        <w:t>millikelvin</w:t>
      </w:r>
      <w:proofErr w:type="spellEnd"/>
      <w:r w:rsidR="005F5085">
        <w:t xml:space="preserve"> per </w:t>
      </w:r>
      <w:r w:rsidR="005F5085" w:rsidRPr="005F5085">
        <w:rPr>
          <w:i/>
        </w:rPr>
        <w:t>watt</w:t>
      </w:r>
      <w:r w:rsidR="005F5085">
        <w:rPr>
          <w:i/>
        </w:rPr>
        <w:t xml:space="preserve"> </w:t>
      </w:r>
      <w:r w:rsidR="005F5085">
        <w:t xml:space="preserve">(which itself may be expressed as </w:t>
      </w:r>
      <w:proofErr w:type="spellStart"/>
      <w:r w:rsidR="005F5085">
        <w:t>mK</w:t>
      </w:r>
      <w:proofErr w:type="spellEnd"/>
      <w:r w:rsidR="005F5085">
        <w:t xml:space="preserve">/W). </w:t>
      </w:r>
      <w:r>
        <w:rPr>
          <w:lang w:val="en-US"/>
        </w:rPr>
        <w:t xml:space="preserve">The amendment replaces the requirement previously under section 11(8) of the instrument. </w:t>
      </w:r>
    </w:p>
    <w:p w:rsidR="00C928B9" w:rsidRDefault="00C928B9" w:rsidP="00C928B9">
      <w:pPr>
        <w:pStyle w:val="R2"/>
      </w:pPr>
      <w:r>
        <w:tab/>
        <w:t>(</w:t>
      </w:r>
      <w:r w:rsidR="0006319A">
        <w:t>ii</w:t>
      </w:r>
      <w:r>
        <w:t>)</w:t>
      </w:r>
      <w:r>
        <w:tab/>
      </w:r>
      <w:r w:rsidR="005F5085">
        <w:t>T</w:t>
      </w:r>
      <w:r w:rsidR="005F5085" w:rsidRPr="005F5085">
        <w:t xml:space="preserve">he example annotating how an Australian legal unit of measurement derived from the division of 2 other Australian legal units of measurement may be expressed to produce an unambiguous expression </w:t>
      </w:r>
      <w:r w:rsidR="005F5085">
        <w:t xml:space="preserve">has been corrected </w:t>
      </w:r>
      <w:r w:rsidR="005F5085" w:rsidRPr="005F5085">
        <w:t>to render it consistent wit</w:t>
      </w:r>
      <w:r w:rsidR="000B7BE9">
        <w:t xml:space="preserve">h the requirements in section </w:t>
      </w:r>
      <w:r w:rsidR="00BE1F25">
        <w:t>13</w:t>
      </w:r>
      <w:r w:rsidR="005F5085" w:rsidRPr="005F5085">
        <w:t>(6) of the instrument. The previous wording may have caused confusion in relation to the correct expression of Australian legal units of measurement.</w:t>
      </w:r>
      <w:r w:rsidR="005F5085">
        <w:t xml:space="preserve"> </w:t>
      </w:r>
    </w:p>
    <w:p w:rsidR="005F5085" w:rsidRDefault="005F5085" w:rsidP="00C928B9">
      <w:pPr>
        <w:pStyle w:val="R2"/>
      </w:pPr>
      <w:r>
        <w:tab/>
        <w:t>(</w:t>
      </w:r>
      <w:r w:rsidR="0006319A">
        <w:t>iii</w:t>
      </w:r>
      <w:r>
        <w:t>)</w:t>
      </w:r>
      <w:r>
        <w:tab/>
      </w:r>
      <w:r w:rsidR="000B7BE9">
        <w:t>T</w:t>
      </w:r>
      <w:r w:rsidR="000B7BE9" w:rsidRPr="000B7BE9">
        <w:t xml:space="preserve">he example annotating how a complex expression, negative exponents or parentheses must be used when expressing Australian legal unit of measurement </w:t>
      </w:r>
      <w:r w:rsidR="000B7BE9">
        <w:t xml:space="preserve">has been corrected </w:t>
      </w:r>
      <w:r w:rsidR="000B7BE9" w:rsidRPr="000B7BE9">
        <w:t>to render it consistent wit</w:t>
      </w:r>
      <w:r w:rsidR="000B7BE9">
        <w:t xml:space="preserve">h the requirements in section </w:t>
      </w:r>
      <w:r w:rsidR="00BE1F25">
        <w:t>13</w:t>
      </w:r>
      <w:r w:rsidR="000B7BE9" w:rsidRPr="000B7BE9">
        <w:t>(6) of the instrument. The previous wording may have caused confusion in relation to the correct expression of Australian legal units of measurement.</w:t>
      </w:r>
    </w:p>
    <w:p w:rsidR="000B7BE9" w:rsidRPr="000B7BE9" w:rsidRDefault="000B7BE9" w:rsidP="000B7BE9">
      <w:pPr>
        <w:pStyle w:val="R2"/>
        <w:keepNext/>
        <w:rPr>
          <w:color w:val="000000"/>
        </w:rPr>
      </w:pPr>
      <w:r>
        <w:lastRenderedPageBreak/>
        <w:tab/>
      </w:r>
      <w:proofErr w:type="gramStart"/>
      <w:r>
        <w:t>(</w:t>
      </w:r>
      <w:r w:rsidR="0006319A">
        <w:t>iv</w:t>
      </w:r>
      <w:r>
        <w:t>)</w:t>
      </w:r>
      <w:r>
        <w:tab/>
      </w:r>
      <w:r>
        <w:rPr>
          <w:color w:val="000000"/>
        </w:rPr>
        <w:t>An</w:t>
      </w:r>
      <w:proofErr w:type="gramEnd"/>
      <w:r>
        <w:rPr>
          <w:color w:val="000000"/>
        </w:rPr>
        <w:t xml:space="preserve"> exemption to the requirements regarding the use of a space after the numerical value of an Australian legal unit of measurement and the symbol of unit of measurement has been provided for expressing angles. </w:t>
      </w:r>
      <w:r>
        <w:t xml:space="preserve">When expressing </w:t>
      </w:r>
      <w:r>
        <w:rPr>
          <w:color w:val="000000"/>
        </w:rPr>
        <w:t xml:space="preserve">geographic coordinates no space must be left between the numerical values and the symbols for </w:t>
      </w:r>
      <w:r>
        <w:t>degrees, minutes and seconds</w:t>
      </w:r>
      <w:r>
        <w:rPr>
          <w:color w:val="000000"/>
        </w:rPr>
        <w:t xml:space="preserve">. On consultation with Geoscience Australia </w:t>
      </w:r>
      <w:r>
        <w:rPr>
          <w:lang w:val="en-US"/>
        </w:rPr>
        <w:t>t</w:t>
      </w:r>
      <w:r w:rsidRPr="00583D4F">
        <w:rPr>
          <w:lang w:val="en-US"/>
        </w:rPr>
        <w:t xml:space="preserve">he </w:t>
      </w:r>
      <w:r>
        <w:rPr>
          <w:lang w:val="en-US"/>
        </w:rPr>
        <w:t>former Guidelines</w:t>
      </w:r>
      <w:r w:rsidRPr="00583D4F">
        <w:rPr>
          <w:lang w:val="en-US"/>
        </w:rPr>
        <w:t xml:space="preserve"> may have caused confusion in relation </w:t>
      </w:r>
      <w:r>
        <w:rPr>
          <w:lang w:val="en-US"/>
        </w:rPr>
        <w:t xml:space="preserve">to </w:t>
      </w:r>
      <w:r>
        <w:rPr>
          <w:color w:val="000000"/>
        </w:rPr>
        <w:t xml:space="preserve">expressing geographic coordinates. </w:t>
      </w:r>
    </w:p>
    <w:p w:rsidR="00A71376" w:rsidRPr="00143579" w:rsidRDefault="00F43D5D" w:rsidP="00143579">
      <w:pPr>
        <w:spacing w:before="240"/>
        <w:jc w:val="both"/>
        <w:rPr>
          <w:lang w:val="en-US" w:eastAsia="en-US"/>
        </w:rPr>
      </w:pPr>
      <w:r>
        <w:rPr>
          <w:color w:val="000000"/>
        </w:rPr>
        <w:t xml:space="preserve"> </w:t>
      </w:r>
    </w:p>
    <w:sectPr w:rsidR="00A71376" w:rsidRPr="00143579" w:rsidSect="00775103">
      <w:headerReference w:type="even" r:id="rId9"/>
      <w:headerReference w:type="default" r:id="rId10"/>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A37" w:rsidRDefault="00BD5A37">
      <w:r>
        <w:separator/>
      </w:r>
    </w:p>
  </w:endnote>
  <w:endnote w:type="continuationSeparator" w:id="0">
    <w:p w:rsidR="00BD5A37" w:rsidRDefault="00BD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A37" w:rsidRDefault="00BD5A37">
      <w:r>
        <w:separator/>
      </w:r>
    </w:p>
  </w:footnote>
  <w:footnote w:type="continuationSeparator" w:id="0">
    <w:p w:rsidR="00BD5A37" w:rsidRDefault="00BD5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DE" w:rsidRDefault="00BA18DE" w:rsidP="007751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18DE" w:rsidRDefault="00BA18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DE" w:rsidRDefault="00BA18DE" w:rsidP="007751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2F9E">
      <w:rPr>
        <w:rStyle w:val="PageNumber"/>
        <w:noProof/>
      </w:rPr>
      <w:t>3</w:t>
    </w:r>
    <w:r>
      <w:rPr>
        <w:rStyle w:val="PageNumber"/>
      </w:rPr>
      <w:fldChar w:fldCharType="end"/>
    </w:r>
  </w:p>
  <w:p w:rsidR="00BA18DE" w:rsidRDefault="00BA18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CE0D78"/>
    <w:lvl w:ilvl="0">
      <w:start w:val="1"/>
      <w:numFmt w:val="decimal"/>
      <w:lvlText w:val="%1."/>
      <w:lvlJc w:val="left"/>
      <w:pPr>
        <w:tabs>
          <w:tab w:val="num" w:pos="1492"/>
        </w:tabs>
        <w:ind w:left="1492" w:hanging="360"/>
      </w:pPr>
    </w:lvl>
  </w:abstractNum>
  <w:abstractNum w:abstractNumId="1">
    <w:nsid w:val="FFFFFF7D"/>
    <w:multiLevelType w:val="singleLevel"/>
    <w:tmpl w:val="3CF29010"/>
    <w:lvl w:ilvl="0">
      <w:start w:val="1"/>
      <w:numFmt w:val="decimal"/>
      <w:lvlText w:val="%1."/>
      <w:lvlJc w:val="left"/>
      <w:pPr>
        <w:tabs>
          <w:tab w:val="num" w:pos="1209"/>
        </w:tabs>
        <w:ind w:left="1209" w:hanging="360"/>
      </w:pPr>
    </w:lvl>
  </w:abstractNum>
  <w:abstractNum w:abstractNumId="2">
    <w:nsid w:val="FFFFFF7E"/>
    <w:multiLevelType w:val="singleLevel"/>
    <w:tmpl w:val="B1B84FF0"/>
    <w:lvl w:ilvl="0">
      <w:start w:val="1"/>
      <w:numFmt w:val="decimal"/>
      <w:lvlText w:val="%1."/>
      <w:lvlJc w:val="left"/>
      <w:pPr>
        <w:tabs>
          <w:tab w:val="num" w:pos="926"/>
        </w:tabs>
        <w:ind w:left="926" w:hanging="360"/>
      </w:pPr>
    </w:lvl>
  </w:abstractNum>
  <w:abstractNum w:abstractNumId="3">
    <w:nsid w:val="FFFFFF7F"/>
    <w:multiLevelType w:val="singleLevel"/>
    <w:tmpl w:val="3D86B176"/>
    <w:lvl w:ilvl="0">
      <w:start w:val="1"/>
      <w:numFmt w:val="decimal"/>
      <w:lvlText w:val="%1."/>
      <w:lvlJc w:val="left"/>
      <w:pPr>
        <w:tabs>
          <w:tab w:val="num" w:pos="643"/>
        </w:tabs>
        <w:ind w:left="643" w:hanging="360"/>
      </w:pPr>
    </w:lvl>
  </w:abstractNum>
  <w:abstractNum w:abstractNumId="4">
    <w:nsid w:val="FFFFFF80"/>
    <w:multiLevelType w:val="singleLevel"/>
    <w:tmpl w:val="C6986A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4CC6A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2EE72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754EF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CAE5840"/>
    <w:lvl w:ilvl="0">
      <w:start w:val="1"/>
      <w:numFmt w:val="decimal"/>
      <w:lvlText w:val="%1."/>
      <w:lvlJc w:val="left"/>
      <w:pPr>
        <w:tabs>
          <w:tab w:val="num" w:pos="360"/>
        </w:tabs>
        <w:ind w:left="360" w:hanging="360"/>
      </w:pPr>
    </w:lvl>
  </w:abstractNum>
  <w:abstractNum w:abstractNumId="9">
    <w:nsid w:val="FFFFFF89"/>
    <w:multiLevelType w:val="singleLevel"/>
    <w:tmpl w:val="FD8449C4"/>
    <w:lvl w:ilvl="0">
      <w:start w:val="1"/>
      <w:numFmt w:val="bullet"/>
      <w:lvlText w:val=""/>
      <w:lvlJc w:val="left"/>
      <w:pPr>
        <w:tabs>
          <w:tab w:val="num" w:pos="360"/>
        </w:tabs>
        <w:ind w:left="360" w:hanging="360"/>
      </w:pPr>
      <w:rPr>
        <w:rFonts w:ascii="Symbol" w:hAnsi="Symbol" w:hint="default"/>
      </w:rPr>
    </w:lvl>
  </w:abstractNum>
  <w:abstractNum w:abstractNumId="10">
    <w:nsid w:val="00707DCB"/>
    <w:multiLevelType w:val="hybridMultilevel"/>
    <w:tmpl w:val="CC7AF8AE"/>
    <w:lvl w:ilvl="0" w:tplc="C16CE2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4B00BB6"/>
    <w:multiLevelType w:val="multilevel"/>
    <w:tmpl w:val="490A588E"/>
    <w:lvl w:ilvl="0">
      <w:start w:val="2"/>
      <w:numFmt w:val="decimal"/>
      <w:pStyle w:val="Heading1"/>
      <w:lvlText w:val="Item %1"/>
      <w:lvlJc w:val="left"/>
      <w:pPr>
        <w:tabs>
          <w:tab w:val="num" w:pos="2984"/>
        </w:tabs>
        <w:ind w:left="2984" w:hanging="432"/>
      </w:pPr>
      <w:rPr>
        <w:rFonts w:ascii="Times New Roman" w:hAnsi="Times New Roman" w:hint="default"/>
        <w:sz w:val="24"/>
        <w:u w:val="single"/>
      </w:rPr>
    </w:lvl>
    <w:lvl w:ilvl="1">
      <w:start w:val="1"/>
      <w:numFmt w:val="decimal"/>
      <w:pStyle w:val="Heading2"/>
      <w:lvlText w:val="%1.%2"/>
      <w:lvlJc w:val="left"/>
      <w:pPr>
        <w:tabs>
          <w:tab w:val="num" w:pos="3128"/>
        </w:tabs>
        <w:ind w:left="3128" w:hanging="576"/>
      </w:pPr>
      <w:rPr>
        <w:rFonts w:hint="default"/>
      </w:rPr>
    </w:lvl>
    <w:lvl w:ilvl="2">
      <w:start w:val="1"/>
      <w:numFmt w:val="decimal"/>
      <w:pStyle w:val="Heading3"/>
      <w:lvlText w:val="%1.%2.%3"/>
      <w:lvlJc w:val="left"/>
      <w:pPr>
        <w:tabs>
          <w:tab w:val="num" w:pos="3272"/>
        </w:tabs>
        <w:ind w:left="3272" w:hanging="720"/>
      </w:pPr>
      <w:rPr>
        <w:rFonts w:hint="default"/>
        <w:lang w:val="en-US"/>
      </w:rPr>
    </w:lvl>
    <w:lvl w:ilvl="3">
      <w:start w:val="1"/>
      <w:numFmt w:val="decimal"/>
      <w:pStyle w:val="Heading4"/>
      <w:lvlText w:val="%1.%2.%3.%4"/>
      <w:lvlJc w:val="left"/>
      <w:pPr>
        <w:tabs>
          <w:tab w:val="num" w:pos="3416"/>
        </w:tabs>
        <w:ind w:left="3416" w:hanging="864"/>
      </w:pPr>
      <w:rPr>
        <w:rFonts w:hint="default"/>
      </w:rPr>
    </w:lvl>
    <w:lvl w:ilvl="4">
      <w:start w:val="1"/>
      <w:numFmt w:val="decimal"/>
      <w:pStyle w:val="Heading5"/>
      <w:lvlText w:val="%1.%2.%3.%4.%5"/>
      <w:lvlJc w:val="left"/>
      <w:pPr>
        <w:tabs>
          <w:tab w:val="num" w:pos="3560"/>
        </w:tabs>
        <w:ind w:left="3560" w:hanging="1008"/>
      </w:pPr>
      <w:rPr>
        <w:rFonts w:hint="default"/>
      </w:rPr>
    </w:lvl>
    <w:lvl w:ilvl="5">
      <w:start w:val="1"/>
      <w:numFmt w:val="decimal"/>
      <w:pStyle w:val="Heading6"/>
      <w:lvlText w:val="%1.%2.%3.%4.%5.%6"/>
      <w:lvlJc w:val="left"/>
      <w:pPr>
        <w:tabs>
          <w:tab w:val="num" w:pos="3704"/>
        </w:tabs>
        <w:ind w:left="3704" w:hanging="1152"/>
      </w:pPr>
      <w:rPr>
        <w:rFonts w:hint="default"/>
      </w:rPr>
    </w:lvl>
    <w:lvl w:ilvl="6">
      <w:start w:val="1"/>
      <w:numFmt w:val="decimal"/>
      <w:pStyle w:val="Heading7"/>
      <w:lvlText w:val="%1.%2.%3.%4.%5.%6.%7"/>
      <w:lvlJc w:val="left"/>
      <w:pPr>
        <w:tabs>
          <w:tab w:val="num" w:pos="3848"/>
        </w:tabs>
        <w:ind w:left="3848" w:hanging="1296"/>
      </w:pPr>
      <w:rPr>
        <w:rFonts w:hint="default"/>
      </w:rPr>
    </w:lvl>
    <w:lvl w:ilvl="7">
      <w:start w:val="1"/>
      <w:numFmt w:val="decimal"/>
      <w:pStyle w:val="Heading8"/>
      <w:lvlText w:val="%1.%2.%3.%4.%5.%6.%7.%8"/>
      <w:lvlJc w:val="left"/>
      <w:pPr>
        <w:tabs>
          <w:tab w:val="num" w:pos="3992"/>
        </w:tabs>
        <w:ind w:left="3992" w:hanging="1440"/>
      </w:pPr>
      <w:rPr>
        <w:rFonts w:hint="default"/>
      </w:rPr>
    </w:lvl>
    <w:lvl w:ilvl="8">
      <w:start w:val="1"/>
      <w:numFmt w:val="decimal"/>
      <w:pStyle w:val="Heading9"/>
      <w:lvlText w:val="%1.%2.%3.%4.%5.%6.%7.%8.%9"/>
      <w:lvlJc w:val="left"/>
      <w:pPr>
        <w:tabs>
          <w:tab w:val="num" w:pos="4136"/>
        </w:tabs>
        <w:ind w:left="4136" w:hanging="1584"/>
      </w:pPr>
      <w:rPr>
        <w:rFonts w:hint="default"/>
      </w:rPr>
    </w:lvl>
  </w:abstractNum>
  <w:abstractNum w:abstractNumId="12">
    <w:nsid w:val="0C1D7686"/>
    <w:multiLevelType w:val="hybridMultilevel"/>
    <w:tmpl w:val="7584C17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D577F5D"/>
    <w:multiLevelType w:val="hybridMultilevel"/>
    <w:tmpl w:val="3050DBA2"/>
    <w:lvl w:ilvl="0" w:tplc="C85E77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4FC7F89"/>
    <w:multiLevelType w:val="hybridMultilevel"/>
    <w:tmpl w:val="243C991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nsid w:val="5B1501B6"/>
    <w:multiLevelType w:val="hybridMultilevel"/>
    <w:tmpl w:val="A3800002"/>
    <w:lvl w:ilvl="0" w:tplc="30464E84">
      <w:start w:val="1"/>
      <w:numFmt w:val="bullet"/>
      <w:lvlText w:val=""/>
      <w:lvlJc w:val="left"/>
      <w:pPr>
        <w:tabs>
          <w:tab w:val="num" w:pos="1980"/>
        </w:tabs>
        <w:ind w:left="1980" w:hanging="360"/>
      </w:pPr>
      <w:rPr>
        <w:rFonts w:ascii="Symbol" w:hAnsi="Symbol" w:hint="default"/>
        <w:color w:val="auto"/>
        <w:sz w:val="20"/>
        <w:szCs w:val="20"/>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6">
    <w:nsid w:val="69D61787"/>
    <w:multiLevelType w:val="hybridMultilevel"/>
    <w:tmpl w:val="3ADC94F2"/>
    <w:lvl w:ilvl="0" w:tplc="A2BEC9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585"/>
    <w:rsid w:val="00010D62"/>
    <w:rsid w:val="00015B69"/>
    <w:rsid w:val="00042D35"/>
    <w:rsid w:val="00060F4B"/>
    <w:rsid w:val="0006319A"/>
    <w:rsid w:val="00063867"/>
    <w:rsid w:val="00072EBA"/>
    <w:rsid w:val="000A1EB9"/>
    <w:rsid w:val="000B7BE9"/>
    <w:rsid w:val="000C6C41"/>
    <w:rsid w:val="000E29A7"/>
    <w:rsid w:val="000E2CA9"/>
    <w:rsid w:val="000E35FE"/>
    <w:rsid w:val="000E3DE4"/>
    <w:rsid w:val="000F112A"/>
    <w:rsid w:val="000F6D32"/>
    <w:rsid w:val="00104B5B"/>
    <w:rsid w:val="00107F44"/>
    <w:rsid w:val="0011564A"/>
    <w:rsid w:val="0013342B"/>
    <w:rsid w:val="001345A3"/>
    <w:rsid w:val="00143579"/>
    <w:rsid w:val="001507F8"/>
    <w:rsid w:val="00156C38"/>
    <w:rsid w:val="00184FB4"/>
    <w:rsid w:val="00192383"/>
    <w:rsid w:val="001930D6"/>
    <w:rsid w:val="00194BF4"/>
    <w:rsid w:val="001B34DB"/>
    <w:rsid w:val="001F4674"/>
    <w:rsid w:val="001F69B2"/>
    <w:rsid w:val="00201DDC"/>
    <w:rsid w:val="0024135F"/>
    <w:rsid w:val="00243A87"/>
    <w:rsid w:val="002742DF"/>
    <w:rsid w:val="00290765"/>
    <w:rsid w:val="00296382"/>
    <w:rsid w:val="002C3190"/>
    <w:rsid w:val="002C4F97"/>
    <w:rsid w:val="002C5E4A"/>
    <w:rsid w:val="002D0BD5"/>
    <w:rsid w:val="002D3A82"/>
    <w:rsid w:val="002F0350"/>
    <w:rsid w:val="0030014C"/>
    <w:rsid w:val="003040E0"/>
    <w:rsid w:val="00322A3F"/>
    <w:rsid w:val="00324B5C"/>
    <w:rsid w:val="003317FE"/>
    <w:rsid w:val="003409DE"/>
    <w:rsid w:val="00352229"/>
    <w:rsid w:val="00352263"/>
    <w:rsid w:val="0035627B"/>
    <w:rsid w:val="00362234"/>
    <w:rsid w:val="00372C56"/>
    <w:rsid w:val="003A009A"/>
    <w:rsid w:val="003A2EB7"/>
    <w:rsid w:val="003A78DA"/>
    <w:rsid w:val="003D1EDD"/>
    <w:rsid w:val="00403435"/>
    <w:rsid w:val="00405FCB"/>
    <w:rsid w:val="004218A2"/>
    <w:rsid w:val="00434CB5"/>
    <w:rsid w:val="004501BC"/>
    <w:rsid w:val="00453D38"/>
    <w:rsid w:val="00467B57"/>
    <w:rsid w:val="00481D94"/>
    <w:rsid w:val="0048255B"/>
    <w:rsid w:val="004A6917"/>
    <w:rsid w:val="004A6C30"/>
    <w:rsid w:val="004B418D"/>
    <w:rsid w:val="004E0324"/>
    <w:rsid w:val="004E2996"/>
    <w:rsid w:val="004F118D"/>
    <w:rsid w:val="004F341D"/>
    <w:rsid w:val="0050427E"/>
    <w:rsid w:val="00510847"/>
    <w:rsid w:val="00524986"/>
    <w:rsid w:val="00542B6A"/>
    <w:rsid w:val="005443FE"/>
    <w:rsid w:val="0055370E"/>
    <w:rsid w:val="00580102"/>
    <w:rsid w:val="00583D4F"/>
    <w:rsid w:val="00590896"/>
    <w:rsid w:val="005962A2"/>
    <w:rsid w:val="005F5085"/>
    <w:rsid w:val="0060351D"/>
    <w:rsid w:val="006171FB"/>
    <w:rsid w:val="00627CFA"/>
    <w:rsid w:val="00632A23"/>
    <w:rsid w:val="00637B83"/>
    <w:rsid w:val="006641FE"/>
    <w:rsid w:val="00675230"/>
    <w:rsid w:val="006929D5"/>
    <w:rsid w:val="006F79D3"/>
    <w:rsid w:val="00713998"/>
    <w:rsid w:val="00727FFA"/>
    <w:rsid w:val="00731883"/>
    <w:rsid w:val="00737DB3"/>
    <w:rsid w:val="007453D0"/>
    <w:rsid w:val="00764A4E"/>
    <w:rsid w:val="0077368A"/>
    <w:rsid w:val="00775103"/>
    <w:rsid w:val="00787179"/>
    <w:rsid w:val="007B1670"/>
    <w:rsid w:val="007D53C0"/>
    <w:rsid w:val="008112F0"/>
    <w:rsid w:val="0082725D"/>
    <w:rsid w:val="008434D6"/>
    <w:rsid w:val="008507B2"/>
    <w:rsid w:val="00872EBC"/>
    <w:rsid w:val="00882404"/>
    <w:rsid w:val="00885A66"/>
    <w:rsid w:val="00887067"/>
    <w:rsid w:val="008A2285"/>
    <w:rsid w:val="008B5C9A"/>
    <w:rsid w:val="008E01E3"/>
    <w:rsid w:val="00903757"/>
    <w:rsid w:val="0090635F"/>
    <w:rsid w:val="009132DB"/>
    <w:rsid w:val="009439F9"/>
    <w:rsid w:val="009570FE"/>
    <w:rsid w:val="009665C8"/>
    <w:rsid w:val="009743F5"/>
    <w:rsid w:val="00983D1A"/>
    <w:rsid w:val="009A3BF6"/>
    <w:rsid w:val="009A4596"/>
    <w:rsid w:val="009C0266"/>
    <w:rsid w:val="009E2A0E"/>
    <w:rsid w:val="009E5854"/>
    <w:rsid w:val="009E58F1"/>
    <w:rsid w:val="00A04B8A"/>
    <w:rsid w:val="00A06A77"/>
    <w:rsid w:val="00A42F9E"/>
    <w:rsid w:val="00A526A5"/>
    <w:rsid w:val="00A62E75"/>
    <w:rsid w:val="00A630BA"/>
    <w:rsid w:val="00A71376"/>
    <w:rsid w:val="00A8554A"/>
    <w:rsid w:val="00AA275F"/>
    <w:rsid w:val="00AC0DD2"/>
    <w:rsid w:val="00AD34D1"/>
    <w:rsid w:val="00AF4085"/>
    <w:rsid w:val="00B22707"/>
    <w:rsid w:val="00B60C0F"/>
    <w:rsid w:val="00B91753"/>
    <w:rsid w:val="00BA18DE"/>
    <w:rsid w:val="00BB71AB"/>
    <w:rsid w:val="00BC4680"/>
    <w:rsid w:val="00BC73B0"/>
    <w:rsid w:val="00BD5A37"/>
    <w:rsid w:val="00BE1F25"/>
    <w:rsid w:val="00C0375B"/>
    <w:rsid w:val="00C11CDF"/>
    <w:rsid w:val="00C17FA0"/>
    <w:rsid w:val="00C51802"/>
    <w:rsid w:val="00C608F6"/>
    <w:rsid w:val="00C66145"/>
    <w:rsid w:val="00C76D7B"/>
    <w:rsid w:val="00C928B9"/>
    <w:rsid w:val="00CD56E1"/>
    <w:rsid w:val="00CE7182"/>
    <w:rsid w:val="00CF6A4E"/>
    <w:rsid w:val="00CF7C87"/>
    <w:rsid w:val="00D113FC"/>
    <w:rsid w:val="00D166DB"/>
    <w:rsid w:val="00D17066"/>
    <w:rsid w:val="00D24748"/>
    <w:rsid w:val="00D26862"/>
    <w:rsid w:val="00D37011"/>
    <w:rsid w:val="00D43857"/>
    <w:rsid w:val="00D7033D"/>
    <w:rsid w:val="00D812F1"/>
    <w:rsid w:val="00DA6585"/>
    <w:rsid w:val="00DC1F39"/>
    <w:rsid w:val="00DC5DE5"/>
    <w:rsid w:val="00E246F5"/>
    <w:rsid w:val="00E55F0E"/>
    <w:rsid w:val="00EA4DB4"/>
    <w:rsid w:val="00EB2C14"/>
    <w:rsid w:val="00ED59C9"/>
    <w:rsid w:val="00F05157"/>
    <w:rsid w:val="00F354D0"/>
    <w:rsid w:val="00F41339"/>
    <w:rsid w:val="00F43D5D"/>
    <w:rsid w:val="00F536C7"/>
    <w:rsid w:val="00F558A0"/>
    <w:rsid w:val="00F6360E"/>
    <w:rsid w:val="00F675AC"/>
    <w:rsid w:val="00F8403B"/>
    <w:rsid w:val="00FA512B"/>
    <w:rsid w:val="00FE1153"/>
    <w:rsid w:val="00FF1152"/>
    <w:rsid w:val="00FF37D9"/>
    <w:rsid w:val="00FF66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50427E"/>
    <w:pPr>
      <w:keepNext/>
      <w:numPr>
        <w:numId w:val="1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50427E"/>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50427E"/>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50427E"/>
    <w:pPr>
      <w:keepNext/>
      <w:numPr>
        <w:ilvl w:val="3"/>
        <w:numId w:val="13"/>
      </w:numPr>
      <w:spacing w:before="240" w:after="60"/>
      <w:outlineLvl w:val="3"/>
    </w:pPr>
    <w:rPr>
      <w:b/>
      <w:bCs/>
      <w:sz w:val="28"/>
      <w:szCs w:val="28"/>
    </w:rPr>
  </w:style>
  <w:style w:type="paragraph" w:styleId="Heading5">
    <w:name w:val="heading 5"/>
    <w:basedOn w:val="Normal"/>
    <w:next w:val="Normal"/>
    <w:qFormat/>
    <w:rsid w:val="0050427E"/>
    <w:pPr>
      <w:numPr>
        <w:ilvl w:val="4"/>
        <w:numId w:val="13"/>
      </w:numPr>
      <w:spacing w:before="240" w:after="60"/>
      <w:outlineLvl w:val="4"/>
    </w:pPr>
    <w:rPr>
      <w:b/>
      <w:bCs/>
      <w:i/>
      <w:iCs/>
      <w:sz w:val="26"/>
      <w:szCs w:val="26"/>
    </w:rPr>
  </w:style>
  <w:style w:type="paragraph" w:styleId="Heading6">
    <w:name w:val="heading 6"/>
    <w:basedOn w:val="Normal"/>
    <w:next w:val="Normal"/>
    <w:qFormat/>
    <w:rsid w:val="0050427E"/>
    <w:pPr>
      <w:keepNext/>
      <w:numPr>
        <w:ilvl w:val="5"/>
        <w:numId w:val="13"/>
      </w:numPr>
      <w:spacing w:before="60" w:after="60"/>
      <w:jc w:val="center"/>
      <w:outlineLvl w:val="5"/>
    </w:pPr>
    <w:rPr>
      <w:b/>
      <w:bCs/>
      <w:sz w:val="28"/>
      <w:szCs w:val="28"/>
      <w:lang w:val="en-US" w:eastAsia="en-US"/>
    </w:rPr>
  </w:style>
  <w:style w:type="paragraph" w:styleId="Heading7">
    <w:name w:val="heading 7"/>
    <w:basedOn w:val="Normal"/>
    <w:next w:val="Normal"/>
    <w:qFormat/>
    <w:rsid w:val="0050427E"/>
    <w:pPr>
      <w:numPr>
        <w:ilvl w:val="6"/>
        <w:numId w:val="13"/>
      </w:numPr>
      <w:spacing w:before="240" w:after="60"/>
      <w:outlineLvl w:val="6"/>
    </w:pPr>
  </w:style>
  <w:style w:type="paragraph" w:styleId="Heading8">
    <w:name w:val="heading 8"/>
    <w:basedOn w:val="Normal"/>
    <w:next w:val="Normal"/>
    <w:qFormat/>
    <w:rsid w:val="0050427E"/>
    <w:pPr>
      <w:numPr>
        <w:ilvl w:val="7"/>
        <w:numId w:val="13"/>
      </w:numPr>
      <w:spacing w:before="240" w:after="60"/>
      <w:outlineLvl w:val="7"/>
    </w:pPr>
    <w:rPr>
      <w:i/>
      <w:iCs/>
    </w:rPr>
  </w:style>
  <w:style w:type="paragraph" w:styleId="Heading9">
    <w:name w:val="heading 9"/>
    <w:basedOn w:val="Normal"/>
    <w:next w:val="Normal"/>
    <w:qFormat/>
    <w:rsid w:val="0050427E"/>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4680"/>
    <w:rPr>
      <w:rFonts w:ascii="Tahoma" w:hAnsi="Tahoma" w:cs="Tahoma"/>
      <w:sz w:val="16"/>
      <w:szCs w:val="16"/>
    </w:rPr>
  </w:style>
  <w:style w:type="character" w:styleId="CommentReference">
    <w:name w:val="annotation reference"/>
    <w:rsid w:val="00BC4680"/>
    <w:rPr>
      <w:sz w:val="16"/>
      <w:szCs w:val="16"/>
    </w:rPr>
  </w:style>
  <w:style w:type="paragraph" w:styleId="CommentText">
    <w:name w:val="annotation text"/>
    <w:basedOn w:val="Normal"/>
    <w:rsid w:val="00BC4680"/>
    <w:rPr>
      <w:sz w:val="20"/>
      <w:szCs w:val="20"/>
    </w:rPr>
  </w:style>
  <w:style w:type="paragraph" w:styleId="CommentSubject">
    <w:name w:val="annotation subject"/>
    <w:basedOn w:val="CommentText"/>
    <w:next w:val="CommentText"/>
    <w:semiHidden/>
    <w:rsid w:val="00BC4680"/>
    <w:rPr>
      <w:b/>
      <w:bCs/>
    </w:rPr>
  </w:style>
  <w:style w:type="paragraph" w:styleId="Header">
    <w:name w:val="header"/>
    <w:basedOn w:val="Normal"/>
    <w:rsid w:val="00775103"/>
    <w:pPr>
      <w:tabs>
        <w:tab w:val="center" w:pos="4153"/>
        <w:tab w:val="right" w:pos="8306"/>
      </w:tabs>
    </w:pPr>
  </w:style>
  <w:style w:type="character" w:styleId="PageNumber">
    <w:name w:val="page number"/>
    <w:basedOn w:val="DefaultParagraphFont"/>
    <w:rsid w:val="00775103"/>
  </w:style>
  <w:style w:type="table" w:styleId="TableGrid">
    <w:name w:val="Table Grid"/>
    <w:basedOn w:val="TableNormal"/>
    <w:rsid w:val="00504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rsid w:val="001930D6"/>
    <w:pPr>
      <w:spacing w:before="120" w:line="220" w:lineRule="exact"/>
      <w:ind w:left="964"/>
      <w:jc w:val="both"/>
    </w:pPr>
    <w:rPr>
      <w:szCs w:val="24"/>
    </w:rPr>
  </w:style>
  <w:style w:type="paragraph" w:customStyle="1" w:styleId="R2">
    <w:name w:val="R2"/>
    <w:aliases w:val="(2)"/>
    <w:basedOn w:val="Normal"/>
    <w:rsid w:val="001930D6"/>
    <w:pPr>
      <w:keepLines/>
      <w:tabs>
        <w:tab w:val="right" w:pos="794"/>
      </w:tabs>
      <w:spacing w:before="180" w:line="260" w:lineRule="exact"/>
      <w:ind w:left="964" w:hanging="964"/>
      <w:jc w:val="both"/>
    </w:pPr>
    <w:rPr>
      <w:lang w:eastAsia="en-US"/>
    </w:rPr>
  </w:style>
  <w:style w:type="paragraph" w:customStyle="1" w:styleId="P1">
    <w:name w:val="P1"/>
    <w:aliases w:val="(a)"/>
    <w:basedOn w:val="Normal"/>
    <w:rsid w:val="000E35FE"/>
    <w:pPr>
      <w:tabs>
        <w:tab w:val="right" w:pos="1191"/>
      </w:tabs>
      <w:spacing w:before="60" w:line="260" w:lineRule="exact"/>
      <w:ind w:left="1418" w:hanging="1418"/>
      <w:jc w:val="both"/>
    </w:pPr>
    <w:rPr>
      <w:lang w:eastAsia="en-US"/>
    </w:rPr>
  </w:style>
  <w:style w:type="paragraph" w:customStyle="1" w:styleId="HE">
    <w:name w:val="HE"/>
    <w:aliases w:val="Example heading"/>
    <w:basedOn w:val="Normal"/>
    <w:next w:val="Normal"/>
    <w:rsid w:val="000E35FE"/>
    <w:pPr>
      <w:keepNext/>
      <w:spacing w:before="120" w:line="220" w:lineRule="exact"/>
      <w:ind w:left="964"/>
    </w:pPr>
    <w:rPr>
      <w:i/>
      <w:sz w:val="20"/>
      <w:lang w:eastAsia="en-US"/>
    </w:rPr>
  </w:style>
  <w:style w:type="paragraph" w:customStyle="1" w:styleId="Notepara">
    <w:name w:val="Note para"/>
    <w:basedOn w:val="Normal"/>
    <w:rsid w:val="000E35FE"/>
    <w:pPr>
      <w:spacing w:before="60" w:line="220" w:lineRule="exact"/>
      <w:ind w:left="1304" w:hanging="340"/>
      <w:jc w:val="both"/>
    </w:pPr>
    <w:rPr>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50427E"/>
    <w:pPr>
      <w:keepNext/>
      <w:numPr>
        <w:numId w:val="1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50427E"/>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50427E"/>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50427E"/>
    <w:pPr>
      <w:keepNext/>
      <w:numPr>
        <w:ilvl w:val="3"/>
        <w:numId w:val="13"/>
      </w:numPr>
      <w:spacing w:before="240" w:after="60"/>
      <w:outlineLvl w:val="3"/>
    </w:pPr>
    <w:rPr>
      <w:b/>
      <w:bCs/>
      <w:sz w:val="28"/>
      <w:szCs w:val="28"/>
    </w:rPr>
  </w:style>
  <w:style w:type="paragraph" w:styleId="Heading5">
    <w:name w:val="heading 5"/>
    <w:basedOn w:val="Normal"/>
    <w:next w:val="Normal"/>
    <w:qFormat/>
    <w:rsid w:val="0050427E"/>
    <w:pPr>
      <w:numPr>
        <w:ilvl w:val="4"/>
        <w:numId w:val="13"/>
      </w:numPr>
      <w:spacing w:before="240" w:after="60"/>
      <w:outlineLvl w:val="4"/>
    </w:pPr>
    <w:rPr>
      <w:b/>
      <w:bCs/>
      <w:i/>
      <w:iCs/>
      <w:sz w:val="26"/>
      <w:szCs w:val="26"/>
    </w:rPr>
  </w:style>
  <w:style w:type="paragraph" w:styleId="Heading6">
    <w:name w:val="heading 6"/>
    <w:basedOn w:val="Normal"/>
    <w:next w:val="Normal"/>
    <w:qFormat/>
    <w:rsid w:val="0050427E"/>
    <w:pPr>
      <w:keepNext/>
      <w:numPr>
        <w:ilvl w:val="5"/>
        <w:numId w:val="13"/>
      </w:numPr>
      <w:spacing w:before="60" w:after="60"/>
      <w:jc w:val="center"/>
      <w:outlineLvl w:val="5"/>
    </w:pPr>
    <w:rPr>
      <w:b/>
      <w:bCs/>
      <w:sz w:val="28"/>
      <w:szCs w:val="28"/>
      <w:lang w:val="en-US" w:eastAsia="en-US"/>
    </w:rPr>
  </w:style>
  <w:style w:type="paragraph" w:styleId="Heading7">
    <w:name w:val="heading 7"/>
    <w:basedOn w:val="Normal"/>
    <w:next w:val="Normal"/>
    <w:qFormat/>
    <w:rsid w:val="0050427E"/>
    <w:pPr>
      <w:numPr>
        <w:ilvl w:val="6"/>
        <w:numId w:val="13"/>
      </w:numPr>
      <w:spacing w:before="240" w:after="60"/>
      <w:outlineLvl w:val="6"/>
    </w:pPr>
  </w:style>
  <w:style w:type="paragraph" w:styleId="Heading8">
    <w:name w:val="heading 8"/>
    <w:basedOn w:val="Normal"/>
    <w:next w:val="Normal"/>
    <w:qFormat/>
    <w:rsid w:val="0050427E"/>
    <w:pPr>
      <w:numPr>
        <w:ilvl w:val="7"/>
        <w:numId w:val="13"/>
      </w:numPr>
      <w:spacing w:before="240" w:after="60"/>
      <w:outlineLvl w:val="7"/>
    </w:pPr>
    <w:rPr>
      <w:i/>
      <w:iCs/>
    </w:rPr>
  </w:style>
  <w:style w:type="paragraph" w:styleId="Heading9">
    <w:name w:val="heading 9"/>
    <w:basedOn w:val="Normal"/>
    <w:next w:val="Normal"/>
    <w:qFormat/>
    <w:rsid w:val="0050427E"/>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4680"/>
    <w:rPr>
      <w:rFonts w:ascii="Tahoma" w:hAnsi="Tahoma" w:cs="Tahoma"/>
      <w:sz w:val="16"/>
      <w:szCs w:val="16"/>
    </w:rPr>
  </w:style>
  <w:style w:type="character" w:styleId="CommentReference">
    <w:name w:val="annotation reference"/>
    <w:rsid w:val="00BC4680"/>
    <w:rPr>
      <w:sz w:val="16"/>
      <w:szCs w:val="16"/>
    </w:rPr>
  </w:style>
  <w:style w:type="paragraph" w:styleId="CommentText">
    <w:name w:val="annotation text"/>
    <w:basedOn w:val="Normal"/>
    <w:rsid w:val="00BC4680"/>
    <w:rPr>
      <w:sz w:val="20"/>
      <w:szCs w:val="20"/>
    </w:rPr>
  </w:style>
  <w:style w:type="paragraph" w:styleId="CommentSubject">
    <w:name w:val="annotation subject"/>
    <w:basedOn w:val="CommentText"/>
    <w:next w:val="CommentText"/>
    <w:semiHidden/>
    <w:rsid w:val="00BC4680"/>
    <w:rPr>
      <w:b/>
      <w:bCs/>
    </w:rPr>
  </w:style>
  <w:style w:type="paragraph" w:styleId="Header">
    <w:name w:val="header"/>
    <w:basedOn w:val="Normal"/>
    <w:rsid w:val="00775103"/>
    <w:pPr>
      <w:tabs>
        <w:tab w:val="center" w:pos="4153"/>
        <w:tab w:val="right" w:pos="8306"/>
      </w:tabs>
    </w:pPr>
  </w:style>
  <w:style w:type="character" w:styleId="PageNumber">
    <w:name w:val="page number"/>
    <w:basedOn w:val="DefaultParagraphFont"/>
    <w:rsid w:val="00775103"/>
  </w:style>
  <w:style w:type="table" w:styleId="TableGrid">
    <w:name w:val="Table Grid"/>
    <w:basedOn w:val="TableNormal"/>
    <w:rsid w:val="00504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rsid w:val="001930D6"/>
    <w:pPr>
      <w:spacing w:before="120" w:line="220" w:lineRule="exact"/>
      <w:ind w:left="964"/>
      <w:jc w:val="both"/>
    </w:pPr>
    <w:rPr>
      <w:szCs w:val="24"/>
    </w:rPr>
  </w:style>
  <w:style w:type="paragraph" w:customStyle="1" w:styleId="R2">
    <w:name w:val="R2"/>
    <w:aliases w:val="(2)"/>
    <w:basedOn w:val="Normal"/>
    <w:rsid w:val="001930D6"/>
    <w:pPr>
      <w:keepLines/>
      <w:tabs>
        <w:tab w:val="right" w:pos="794"/>
      </w:tabs>
      <w:spacing w:before="180" w:line="260" w:lineRule="exact"/>
      <w:ind w:left="964" w:hanging="964"/>
      <w:jc w:val="both"/>
    </w:pPr>
    <w:rPr>
      <w:lang w:eastAsia="en-US"/>
    </w:rPr>
  </w:style>
  <w:style w:type="paragraph" w:customStyle="1" w:styleId="P1">
    <w:name w:val="P1"/>
    <w:aliases w:val="(a)"/>
    <w:basedOn w:val="Normal"/>
    <w:rsid w:val="000E35FE"/>
    <w:pPr>
      <w:tabs>
        <w:tab w:val="right" w:pos="1191"/>
      </w:tabs>
      <w:spacing w:before="60" w:line="260" w:lineRule="exact"/>
      <w:ind w:left="1418" w:hanging="1418"/>
      <w:jc w:val="both"/>
    </w:pPr>
    <w:rPr>
      <w:lang w:eastAsia="en-US"/>
    </w:rPr>
  </w:style>
  <w:style w:type="paragraph" w:customStyle="1" w:styleId="HE">
    <w:name w:val="HE"/>
    <w:aliases w:val="Example heading"/>
    <w:basedOn w:val="Normal"/>
    <w:next w:val="Normal"/>
    <w:rsid w:val="000E35FE"/>
    <w:pPr>
      <w:keepNext/>
      <w:spacing w:before="120" w:line="220" w:lineRule="exact"/>
      <w:ind w:left="964"/>
    </w:pPr>
    <w:rPr>
      <w:i/>
      <w:sz w:val="20"/>
      <w:lang w:eastAsia="en-US"/>
    </w:rPr>
  </w:style>
  <w:style w:type="paragraph" w:customStyle="1" w:styleId="Notepara">
    <w:name w:val="Note para"/>
    <w:basedOn w:val="Normal"/>
    <w:rsid w:val="000E35FE"/>
    <w:pPr>
      <w:spacing w:before="60" w:line="220" w:lineRule="exact"/>
      <w:ind w:left="1304" w:hanging="340"/>
      <w:jc w:val="both"/>
    </w:pPr>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0630">
      <w:bodyDiv w:val="1"/>
      <w:marLeft w:val="0"/>
      <w:marRight w:val="0"/>
      <w:marTop w:val="0"/>
      <w:marBottom w:val="0"/>
      <w:divBdr>
        <w:top w:val="none" w:sz="0" w:space="0" w:color="auto"/>
        <w:left w:val="none" w:sz="0" w:space="0" w:color="auto"/>
        <w:bottom w:val="none" w:sz="0" w:space="0" w:color="auto"/>
        <w:right w:val="none" w:sz="0" w:space="0" w:color="auto"/>
      </w:divBdr>
    </w:div>
    <w:div w:id="485706643">
      <w:bodyDiv w:val="1"/>
      <w:marLeft w:val="0"/>
      <w:marRight w:val="0"/>
      <w:marTop w:val="0"/>
      <w:marBottom w:val="0"/>
      <w:divBdr>
        <w:top w:val="none" w:sz="0" w:space="0" w:color="auto"/>
        <w:left w:val="none" w:sz="0" w:space="0" w:color="auto"/>
        <w:bottom w:val="none" w:sz="0" w:space="0" w:color="auto"/>
        <w:right w:val="none" w:sz="0" w:space="0" w:color="auto"/>
      </w:divBdr>
      <w:divsChild>
        <w:div w:id="1023559489">
          <w:marLeft w:val="0"/>
          <w:marRight w:val="0"/>
          <w:marTop w:val="0"/>
          <w:marBottom w:val="0"/>
          <w:divBdr>
            <w:top w:val="none" w:sz="0" w:space="0" w:color="auto"/>
            <w:left w:val="none" w:sz="0" w:space="0" w:color="auto"/>
            <w:bottom w:val="none" w:sz="0" w:space="0" w:color="auto"/>
            <w:right w:val="none" w:sz="0" w:space="0" w:color="auto"/>
          </w:divBdr>
          <w:divsChild>
            <w:div w:id="588778972">
              <w:marLeft w:val="0"/>
              <w:marRight w:val="0"/>
              <w:marTop w:val="0"/>
              <w:marBottom w:val="0"/>
              <w:divBdr>
                <w:top w:val="none" w:sz="0" w:space="0" w:color="auto"/>
                <w:left w:val="none" w:sz="0" w:space="0" w:color="auto"/>
                <w:bottom w:val="none" w:sz="0" w:space="0" w:color="auto"/>
                <w:right w:val="none" w:sz="0" w:space="0" w:color="auto"/>
              </w:divBdr>
              <w:divsChild>
                <w:div w:id="1700081331">
                  <w:marLeft w:val="0"/>
                  <w:marRight w:val="0"/>
                  <w:marTop w:val="0"/>
                  <w:marBottom w:val="0"/>
                  <w:divBdr>
                    <w:top w:val="none" w:sz="0" w:space="0" w:color="auto"/>
                    <w:left w:val="none" w:sz="0" w:space="0" w:color="auto"/>
                    <w:bottom w:val="none" w:sz="0" w:space="0" w:color="auto"/>
                    <w:right w:val="none" w:sz="0" w:space="0" w:color="auto"/>
                  </w:divBdr>
                  <w:divsChild>
                    <w:div w:id="6101116">
                      <w:marLeft w:val="0"/>
                      <w:marRight w:val="0"/>
                      <w:marTop w:val="0"/>
                      <w:marBottom w:val="0"/>
                      <w:divBdr>
                        <w:top w:val="none" w:sz="0" w:space="0" w:color="auto"/>
                        <w:left w:val="none" w:sz="0" w:space="0" w:color="auto"/>
                        <w:bottom w:val="none" w:sz="0" w:space="0" w:color="auto"/>
                        <w:right w:val="none" w:sz="0" w:space="0" w:color="auto"/>
                      </w:divBdr>
                      <w:divsChild>
                        <w:div w:id="1320309515">
                          <w:marLeft w:val="0"/>
                          <w:marRight w:val="0"/>
                          <w:marTop w:val="0"/>
                          <w:marBottom w:val="0"/>
                          <w:divBdr>
                            <w:top w:val="none" w:sz="0" w:space="0" w:color="auto"/>
                            <w:left w:val="none" w:sz="0" w:space="0" w:color="auto"/>
                            <w:bottom w:val="none" w:sz="0" w:space="0" w:color="auto"/>
                            <w:right w:val="none" w:sz="0" w:space="0" w:color="auto"/>
                          </w:divBdr>
                          <w:divsChild>
                            <w:div w:id="2065717860">
                              <w:marLeft w:val="0"/>
                              <w:marRight w:val="0"/>
                              <w:marTop w:val="0"/>
                              <w:marBottom w:val="0"/>
                              <w:divBdr>
                                <w:top w:val="single" w:sz="6" w:space="0" w:color="828282"/>
                                <w:left w:val="single" w:sz="6" w:space="0" w:color="828282"/>
                                <w:bottom w:val="single" w:sz="6" w:space="0" w:color="828282"/>
                                <w:right w:val="single" w:sz="6" w:space="0" w:color="828282"/>
                              </w:divBdr>
                              <w:divsChild>
                                <w:div w:id="780997847">
                                  <w:marLeft w:val="0"/>
                                  <w:marRight w:val="0"/>
                                  <w:marTop w:val="0"/>
                                  <w:marBottom w:val="0"/>
                                  <w:divBdr>
                                    <w:top w:val="none" w:sz="0" w:space="0" w:color="auto"/>
                                    <w:left w:val="none" w:sz="0" w:space="0" w:color="auto"/>
                                    <w:bottom w:val="none" w:sz="0" w:space="0" w:color="auto"/>
                                    <w:right w:val="none" w:sz="0" w:space="0" w:color="auto"/>
                                  </w:divBdr>
                                  <w:divsChild>
                                    <w:div w:id="443229561">
                                      <w:marLeft w:val="0"/>
                                      <w:marRight w:val="0"/>
                                      <w:marTop w:val="0"/>
                                      <w:marBottom w:val="0"/>
                                      <w:divBdr>
                                        <w:top w:val="none" w:sz="0" w:space="0" w:color="auto"/>
                                        <w:left w:val="none" w:sz="0" w:space="0" w:color="auto"/>
                                        <w:bottom w:val="none" w:sz="0" w:space="0" w:color="auto"/>
                                        <w:right w:val="none" w:sz="0" w:space="0" w:color="auto"/>
                                      </w:divBdr>
                                      <w:divsChild>
                                        <w:div w:id="1220171833">
                                          <w:marLeft w:val="0"/>
                                          <w:marRight w:val="0"/>
                                          <w:marTop w:val="0"/>
                                          <w:marBottom w:val="0"/>
                                          <w:divBdr>
                                            <w:top w:val="none" w:sz="0" w:space="0" w:color="auto"/>
                                            <w:left w:val="none" w:sz="0" w:space="0" w:color="auto"/>
                                            <w:bottom w:val="none" w:sz="0" w:space="0" w:color="auto"/>
                                            <w:right w:val="none" w:sz="0" w:space="0" w:color="auto"/>
                                          </w:divBdr>
                                          <w:divsChild>
                                            <w:div w:id="1132479217">
                                              <w:marLeft w:val="0"/>
                                              <w:marRight w:val="0"/>
                                              <w:marTop w:val="0"/>
                                              <w:marBottom w:val="0"/>
                                              <w:divBdr>
                                                <w:top w:val="none" w:sz="0" w:space="0" w:color="auto"/>
                                                <w:left w:val="none" w:sz="0" w:space="0" w:color="auto"/>
                                                <w:bottom w:val="none" w:sz="0" w:space="0" w:color="auto"/>
                                                <w:right w:val="none" w:sz="0" w:space="0" w:color="auto"/>
                                              </w:divBdr>
                                              <w:divsChild>
                                                <w:div w:id="1211110863">
                                                  <w:marLeft w:val="0"/>
                                                  <w:marRight w:val="0"/>
                                                  <w:marTop w:val="0"/>
                                                  <w:marBottom w:val="0"/>
                                                  <w:divBdr>
                                                    <w:top w:val="none" w:sz="0" w:space="0" w:color="auto"/>
                                                    <w:left w:val="none" w:sz="0" w:space="0" w:color="auto"/>
                                                    <w:bottom w:val="none" w:sz="0" w:space="0" w:color="auto"/>
                                                    <w:right w:val="none" w:sz="0" w:space="0" w:color="auto"/>
                                                  </w:divBdr>
                                                  <w:divsChild>
                                                    <w:div w:id="292954580">
                                                      <w:marLeft w:val="0"/>
                                                      <w:marRight w:val="0"/>
                                                      <w:marTop w:val="0"/>
                                                      <w:marBottom w:val="0"/>
                                                      <w:divBdr>
                                                        <w:top w:val="none" w:sz="0" w:space="0" w:color="auto"/>
                                                        <w:left w:val="none" w:sz="0" w:space="0" w:color="auto"/>
                                                        <w:bottom w:val="none" w:sz="0" w:space="0" w:color="auto"/>
                                                        <w:right w:val="none" w:sz="0" w:space="0" w:color="auto"/>
                                                      </w:divBdr>
                                                      <w:divsChild>
                                                        <w:div w:id="15011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61D82-EEAB-4335-A7FF-204DDD9A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NATIONAL MEASUREMENT REGULATIONS 1999</vt:lpstr>
    </vt:vector>
  </TitlesOfParts>
  <LinksUpToDate>false</LinksUpToDate>
  <CharactersWithSpaces>10409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MEASUREMENT REGULATIONS 1999</dc:title>
  <dc:creator/>
  <cp:lastModifiedBy/>
  <cp:revision>1</cp:revision>
  <cp:lastPrinted>2009-06-15T22:58:00Z</cp:lastPrinted>
  <dcterms:created xsi:type="dcterms:W3CDTF">2016-04-15T06:33:00Z</dcterms:created>
  <dcterms:modified xsi:type="dcterms:W3CDTF">2016-04-15T06:41:00Z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_NewReviewCycle">
    <vt:lpwstr/>
  </property>
</Properties>
</file>