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2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D4" w:rsidRDefault="004B296C" w:rsidP="00274E79">
      <w:r>
        <w:rPr>
          <w:noProof/>
        </w:rPr>
        <w:drawing>
          <wp:inline distT="0" distB="0" distL="0" distR="0" wp14:anchorId="15CB9E41">
            <wp:extent cx="1901825" cy="1402080"/>
            <wp:effectExtent l="0" t="0" r="317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296C" w:rsidRDefault="004B296C" w:rsidP="00233CD4">
      <w:pPr>
        <w:pStyle w:val="Title"/>
      </w:pPr>
      <w:bookmarkStart w:id="0" w:name="Citation"/>
    </w:p>
    <w:p w:rsidR="00233CD4" w:rsidRDefault="00233CD4" w:rsidP="00233CD4">
      <w:pPr>
        <w:pStyle w:val="Title"/>
      </w:pPr>
      <w:r>
        <w:t>National Measurement Guidelines 2016</w:t>
      </w:r>
      <w:bookmarkEnd w:id="0"/>
    </w:p>
    <w:p w:rsidR="004B296C" w:rsidRDefault="004B296C" w:rsidP="00233CD4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</w:p>
    <w:p w:rsidR="00233CD4" w:rsidRDefault="00233CD4" w:rsidP="00233CD4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National Measurement Act 1960</w:t>
      </w:r>
    </w:p>
    <w:p w:rsidR="004B296C" w:rsidRDefault="004B296C" w:rsidP="00233CD4">
      <w:pPr>
        <w:spacing w:before="360"/>
        <w:jc w:val="both"/>
      </w:pPr>
    </w:p>
    <w:p w:rsidR="004B296C" w:rsidRDefault="004B296C" w:rsidP="00233CD4">
      <w:pPr>
        <w:spacing w:before="360"/>
        <w:jc w:val="both"/>
      </w:pPr>
    </w:p>
    <w:p w:rsidR="00233CD4" w:rsidRDefault="00233CD4" w:rsidP="00233CD4">
      <w:pPr>
        <w:spacing w:before="360"/>
        <w:jc w:val="both"/>
      </w:pPr>
      <w:r>
        <w:t xml:space="preserve">I, </w:t>
      </w:r>
      <w:r w:rsidR="00344097">
        <w:t>PETER FISK</w:t>
      </w:r>
      <w:r>
        <w:t xml:space="preserve">, Chief Metrologist, make these Guidelines under subsection 7B (1) of the </w:t>
      </w:r>
      <w:r>
        <w:rPr>
          <w:i/>
        </w:rPr>
        <w:t>National Measurement Act 1960</w:t>
      </w:r>
      <w:r>
        <w:t>.</w:t>
      </w:r>
    </w:p>
    <w:p w:rsidR="004B296C" w:rsidRDefault="004B296C" w:rsidP="00233CD4">
      <w:pPr>
        <w:spacing w:before="300" w:after="600" w:line="300" w:lineRule="exact"/>
      </w:pPr>
    </w:p>
    <w:p w:rsidR="004B296C" w:rsidRDefault="004B296C" w:rsidP="00233CD4">
      <w:pPr>
        <w:spacing w:before="300" w:after="600" w:line="300" w:lineRule="exact"/>
      </w:pPr>
    </w:p>
    <w:p w:rsidR="004B296C" w:rsidRDefault="004B296C" w:rsidP="00233CD4">
      <w:pPr>
        <w:spacing w:before="300" w:after="600" w:line="300" w:lineRule="exact"/>
      </w:pPr>
    </w:p>
    <w:p w:rsidR="00233CD4" w:rsidRDefault="00233CD4" w:rsidP="00233CD4">
      <w:pPr>
        <w:spacing w:before="300" w:after="600" w:line="300" w:lineRule="exact"/>
      </w:pPr>
      <w:r>
        <w:t xml:space="preserve">Dated </w:t>
      </w:r>
      <w:bookmarkStart w:id="1" w:name="MadeDate"/>
      <w:bookmarkEnd w:id="1"/>
      <w:r w:rsidR="00833DD0">
        <w:t>31 March 2016</w:t>
      </w:r>
    </w:p>
    <w:p w:rsidR="00833DD0" w:rsidRDefault="00833DD0" w:rsidP="004B296C">
      <w:r>
        <w:t>PETER FISK</w:t>
      </w:r>
      <w:bookmarkStart w:id="2" w:name="_GoBack"/>
      <w:bookmarkEnd w:id="2"/>
    </w:p>
    <w:p w:rsidR="004B296C" w:rsidRPr="004B296C" w:rsidRDefault="004B296C" w:rsidP="004B296C">
      <w:r w:rsidRPr="004B296C">
        <w:t>______________________________</w:t>
      </w:r>
    </w:p>
    <w:p w:rsidR="00233CD4" w:rsidRDefault="004B296C" w:rsidP="004B296C">
      <w:pPr>
        <w:spacing w:before="120" w:line="240" w:lineRule="exact"/>
      </w:pPr>
      <w:r>
        <w:t>Peter Fisk</w:t>
      </w:r>
    </w:p>
    <w:p w:rsidR="00233CD4" w:rsidRDefault="00233CD4" w:rsidP="00233CD4">
      <w:pPr>
        <w:pStyle w:val="SigningPageBreak"/>
        <w:sectPr w:rsidR="00233CD4" w:rsidSect="00D12D78">
          <w:headerReference w:type="even" r:id="rId10"/>
          <w:headerReference w:type="default" r:id="rId11"/>
          <w:footerReference w:type="even" r:id="rId12"/>
          <w:footerReference w:type="default" r:id="rId13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  <w:bookmarkStart w:id="3" w:name="Minister"/>
      <w:r>
        <w:t>Chief Metrologist</w:t>
      </w:r>
      <w:bookmarkEnd w:id="3"/>
    </w:p>
    <w:p w:rsidR="00233CD4" w:rsidRPr="004B296C" w:rsidRDefault="00233CD4" w:rsidP="00233CD4">
      <w:pPr>
        <w:pStyle w:val="ContentsHead"/>
        <w:rPr>
          <w:sz w:val="32"/>
          <w:szCs w:val="32"/>
        </w:rPr>
      </w:pPr>
      <w:r w:rsidRPr="004B296C">
        <w:rPr>
          <w:sz w:val="32"/>
          <w:szCs w:val="32"/>
        </w:rPr>
        <w:lastRenderedPageBreak/>
        <w:t>Contents</w:t>
      </w:r>
    </w:p>
    <w:p w:rsidR="0013030D" w:rsidRDefault="0013030D" w:rsidP="0013030D">
      <w:pPr>
        <w:pStyle w:val="TOC7"/>
        <w:spacing w:before="120"/>
        <w:rPr>
          <w:rFonts w:ascii="Times New Roman" w:hAnsi="Times New Roman"/>
          <w:noProof/>
          <w:sz w:val="22"/>
          <w:szCs w:val="22"/>
        </w:rPr>
      </w:pPr>
      <w:r w:rsidRPr="0013030D">
        <w:rPr>
          <w:rFonts w:ascii="Times New Roman" w:hAnsi="Times New Roman"/>
          <w:b w:val="0"/>
          <w:sz w:val="22"/>
          <w:szCs w:val="22"/>
        </w:rPr>
        <w:fldChar w:fldCharType="begin"/>
      </w:r>
      <w:r w:rsidRPr="0013030D">
        <w:rPr>
          <w:rFonts w:ascii="Times New Roman" w:hAnsi="Times New Roman"/>
          <w:b w:val="0"/>
          <w:sz w:val="22"/>
          <w:szCs w:val="22"/>
        </w:rPr>
        <w:instrText xml:space="preserve"> TOC \o "1-9" \t "HC,1, HP,2, HD,3, HS,4, HR,5, RGHead,7, Schedule title,6, Schedule part,8,Schedule Division,8, RX.SC,8, Dictionary Heading,9, Note Heading,9"  \* MERGEFORMAT </w:instrText>
      </w:r>
      <w:r w:rsidRPr="0013030D">
        <w:rPr>
          <w:rFonts w:ascii="Times New Roman" w:hAnsi="Times New Roman"/>
          <w:b w:val="0"/>
          <w:sz w:val="22"/>
          <w:szCs w:val="22"/>
        </w:rPr>
        <w:fldChar w:fldCharType="separate"/>
      </w:r>
      <w:r w:rsidRPr="0013030D">
        <w:rPr>
          <w:rFonts w:ascii="Times New Roman" w:hAnsi="Times New Roman"/>
          <w:noProof/>
          <w:sz w:val="22"/>
          <w:szCs w:val="22"/>
        </w:rPr>
        <w:t>Reader’s guide</w:t>
      </w:r>
      <w:r w:rsidRPr="0013030D">
        <w:rPr>
          <w:rFonts w:ascii="Times New Roman" w:hAnsi="Times New Roman"/>
          <w:noProof/>
          <w:sz w:val="22"/>
          <w:szCs w:val="22"/>
        </w:rPr>
        <w:tab/>
      </w:r>
      <w:r w:rsidRPr="0013030D">
        <w:rPr>
          <w:rFonts w:ascii="Times New Roman" w:hAnsi="Times New Roman"/>
          <w:noProof/>
          <w:sz w:val="22"/>
          <w:szCs w:val="22"/>
        </w:rPr>
        <w:fldChar w:fldCharType="begin"/>
      </w:r>
      <w:r w:rsidRPr="0013030D">
        <w:rPr>
          <w:rFonts w:ascii="Times New Roman" w:hAnsi="Times New Roman"/>
          <w:noProof/>
          <w:sz w:val="22"/>
          <w:szCs w:val="22"/>
        </w:rPr>
        <w:instrText xml:space="preserve"> PAGEREF _Toc446412292 \h </w:instrText>
      </w:r>
      <w:r w:rsidRPr="0013030D">
        <w:rPr>
          <w:rFonts w:ascii="Times New Roman" w:hAnsi="Times New Roman"/>
          <w:noProof/>
          <w:sz w:val="22"/>
          <w:szCs w:val="22"/>
        </w:rPr>
      </w:r>
      <w:r w:rsidRPr="0013030D">
        <w:rPr>
          <w:rFonts w:ascii="Times New Roman" w:hAnsi="Times New Roman"/>
          <w:noProof/>
          <w:sz w:val="22"/>
          <w:szCs w:val="22"/>
        </w:rPr>
        <w:fldChar w:fldCharType="separate"/>
      </w:r>
      <w:r w:rsidR="00FD1532">
        <w:rPr>
          <w:rFonts w:ascii="Times New Roman" w:hAnsi="Times New Roman"/>
          <w:noProof/>
          <w:sz w:val="22"/>
          <w:szCs w:val="22"/>
        </w:rPr>
        <w:t>3</w:t>
      </w:r>
      <w:r w:rsidRPr="0013030D">
        <w:rPr>
          <w:rFonts w:ascii="Times New Roman" w:hAnsi="Times New Roman"/>
          <w:noProof/>
          <w:sz w:val="22"/>
          <w:szCs w:val="22"/>
        </w:rPr>
        <w:fldChar w:fldCharType="end"/>
      </w:r>
    </w:p>
    <w:p w:rsidR="0013030D" w:rsidRPr="0013030D" w:rsidRDefault="0013030D" w:rsidP="0013030D">
      <w:pPr>
        <w:pStyle w:val="TOC5"/>
        <w:spacing w:before="120" w:after="120"/>
        <w:rPr>
          <w:rFonts w:ascii="Times New Roman" w:eastAsiaTheme="minorEastAsia" w:hAnsi="Times New Roman"/>
          <w:sz w:val="22"/>
          <w:szCs w:val="22"/>
          <w:lang w:eastAsia="en-AU"/>
        </w:rPr>
      </w:pPr>
      <w:r w:rsidRPr="0013030D">
        <w:rPr>
          <w:rFonts w:ascii="Times New Roman" w:hAnsi="Times New Roman"/>
          <w:sz w:val="22"/>
          <w:szCs w:val="22"/>
        </w:rPr>
        <w:t>1</w:t>
      </w:r>
      <w:r w:rsidRPr="0013030D">
        <w:rPr>
          <w:rFonts w:ascii="Times New Roman" w:eastAsiaTheme="minorEastAsia" w:hAnsi="Times New Roman"/>
          <w:sz w:val="22"/>
          <w:szCs w:val="22"/>
          <w:lang w:eastAsia="en-AU"/>
        </w:rPr>
        <w:tab/>
        <w:t xml:space="preserve"> - </w:t>
      </w:r>
      <w:r w:rsidRPr="0013030D">
        <w:rPr>
          <w:rFonts w:ascii="Times New Roman" w:hAnsi="Times New Roman"/>
          <w:sz w:val="22"/>
          <w:szCs w:val="22"/>
        </w:rPr>
        <w:t xml:space="preserve">Name of Guidelines </w:t>
      </w:r>
      <w:r w:rsidRPr="0013030D">
        <w:rPr>
          <w:rFonts w:ascii="Times New Roman" w:hAnsi="Times New Roman"/>
          <w:sz w:val="22"/>
          <w:szCs w:val="22"/>
        </w:rPr>
        <w:tab/>
      </w:r>
      <w:r w:rsidRPr="0013030D">
        <w:rPr>
          <w:rFonts w:ascii="Times New Roman" w:hAnsi="Times New Roman"/>
          <w:sz w:val="22"/>
          <w:szCs w:val="22"/>
        </w:rPr>
        <w:fldChar w:fldCharType="begin"/>
      </w:r>
      <w:r w:rsidRPr="0013030D">
        <w:rPr>
          <w:rFonts w:ascii="Times New Roman" w:hAnsi="Times New Roman"/>
          <w:sz w:val="22"/>
          <w:szCs w:val="22"/>
        </w:rPr>
        <w:instrText xml:space="preserve"> PAGEREF _Toc446412293 \h </w:instrText>
      </w:r>
      <w:r w:rsidRPr="0013030D">
        <w:rPr>
          <w:rFonts w:ascii="Times New Roman" w:hAnsi="Times New Roman"/>
          <w:sz w:val="22"/>
          <w:szCs w:val="22"/>
        </w:rPr>
      </w:r>
      <w:r w:rsidRPr="0013030D">
        <w:rPr>
          <w:rFonts w:ascii="Times New Roman" w:hAnsi="Times New Roman"/>
          <w:sz w:val="22"/>
          <w:szCs w:val="22"/>
        </w:rPr>
        <w:fldChar w:fldCharType="separate"/>
      </w:r>
      <w:r w:rsidR="00FD1532">
        <w:rPr>
          <w:rFonts w:ascii="Times New Roman" w:hAnsi="Times New Roman"/>
          <w:sz w:val="22"/>
          <w:szCs w:val="22"/>
        </w:rPr>
        <w:t>4</w:t>
      </w:r>
      <w:r w:rsidRPr="0013030D">
        <w:rPr>
          <w:rFonts w:ascii="Times New Roman" w:hAnsi="Times New Roman"/>
          <w:sz w:val="22"/>
          <w:szCs w:val="22"/>
        </w:rPr>
        <w:fldChar w:fldCharType="end"/>
      </w:r>
    </w:p>
    <w:p w:rsidR="0013030D" w:rsidRPr="0013030D" w:rsidRDefault="0013030D" w:rsidP="0013030D">
      <w:pPr>
        <w:pStyle w:val="TOC5"/>
        <w:spacing w:before="120" w:after="120"/>
        <w:rPr>
          <w:rFonts w:ascii="Times New Roman" w:eastAsiaTheme="minorEastAsia" w:hAnsi="Times New Roman"/>
          <w:sz w:val="22"/>
          <w:szCs w:val="22"/>
          <w:lang w:eastAsia="en-AU"/>
        </w:rPr>
      </w:pPr>
      <w:r w:rsidRPr="0013030D">
        <w:rPr>
          <w:rFonts w:ascii="Times New Roman" w:hAnsi="Times New Roman"/>
          <w:sz w:val="22"/>
          <w:szCs w:val="22"/>
        </w:rPr>
        <w:t>2 - Authority</w:t>
      </w:r>
      <w:r w:rsidRPr="0013030D">
        <w:rPr>
          <w:rFonts w:ascii="Times New Roman" w:hAnsi="Times New Roman"/>
          <w:sz w:val="22"/>
          <w:szCs w:val="22"/>
        </w:rPr>
        <w:tab/>
      </w:r>
      <w:r w:rsidRPr="0013030D">
        <w:rPr>
          <w:rFonts w:ascii="Times New Roman" w:hAnsi="Times New Roman"/>
          <w:sz w:val="22"/>
          <w:szCs w:val="22"/>
        </w:rPr>
        <w:tab/>
      </w:r>
      <w:r w:rsidRPr="0013030D">
        <w:rPr>
          <w:rFonts w:ascii="Times New Roman" w:hAnsi="Times New Roman"/>
          <w:sz w:val="22"/>
          <w:szCs w:val="22"/>
        </w:rPr>
        <w:tab/>
      </w:r>
      <w:r w:rsidRPr="0013030D">
        <w:rPr>
          <w:rFonts w:ascii="Times New Roman" w:hAnsi="Times New Roman"/>
          <w:sz w:val="22"/>
          <w:szCs w:val="22"/>
        </w:rPr>
        <w:fldChar w:fldCharType="begin"/>
      </w:r>
      <w:r w:rsidRPr="0013030D">
        <w:rPr>
          <w:rFonts w:ascii="Times New Roman" w:hAnsi="Times New Roman"/>
          <w:sz w:val="22"/>
          <w:szCs w:val="22"/>
        </w:rPr>
        <w:instrText xml:space="preserve"> PAGEREF _Toc446412294 \h </w:instrText>
      </w:r>
      <w:r w:rsidRPr="0013030D">
        <w:rPr>
          <w:rFonts w:ascii="Times New Roman" w:hAnsi="Times New Roman"/>
          <w:sz w:val="22"/>
          <w:szCs w:val="22"/>
        </w:rPr>
      </w:r>
      <w:r w:rsidRPr="0013030D">
        <w:rPr>
          <w:rFonts w:ascii="Times New Roman" w:hAnsi="Times New Roman"/>
          <w:sz w:val="22"/>
          <w:szCs w:val="22"/>
        </w:rPr>
        <w:fldChar w:fldCharType="separate"/>
      </w:r>
      <w:r w:rsidR="00FD1532">
        <w:rPr>
          <w:rFonts w:ascii="Times New Roman" w:hAnsi="Times New Roman"/>
          <w:sz w:val="22"/>
          <w:szCs w:val="22"/>
        </w:rPr>
        <w:t>4</w:t>
      </w:r>
      <w:r w:rsidRPr="0013030D">
        <w:rPr>
          <w:rFonts w:ascii="Times New Roman" w:hAnsi="Times New Roman"/>
          <w:sz w:val="22"/>
          <w:szCs w:val="22"/>
        </w:rPr>
        <w:fldChar w:fldCharType="end"/>
      </w:r>
    </w:p>
    <w:p w:rsidR="0013030D" w:rsidRPr="0013030D" w:rsidRDefault="0013030D" w:rsidP="0013030D">
      <w:pPr>
        <w:pStyle w:val="TOC5"/>
        <w:spacing w:before="120" w:after="120"/>
        <w:rPr>
          <w:rFonts w:ascii="Times New Roman" w:eastAsiaTheme="minorEastAsia" w:hAnsi="Times New Roman"/>
          <w:sz w:val="22"/>
          <w:szCs w:val="22"/>
          <w:lang w:eastAsia="en-AU"/>
        </w:rPr>
      </w:pPr>
      <w:r w:rsidRPr="0013030D">
        <w:rPr>
          <w:rFonts w:ascii="Times New Roman" w:hAnsi="Times New Roman"/>
          <w:sz w:val="22"/>
          <w:szCs w:val="22"/>
        </w:rPr>
        <w:t>3</w:t>
      </w:r>
      <w:r w:rsidRPr="0013030D">
        <w:rPr>
          <w:rFonts w:ascii="Times New Roman" w:eastAsiaTheme="minorEastAsia" w:hAnsi="Times New Roman"/>
          <w:sz w:val="22"/>
          <w:szCs w:val="22"/>
          <w:lang w:eastAsia="en-AU"/>
        </w:rPr>
        <w:tab/>
        <w:t xml:space="preserve"> - </w:t>
      </w:r>
      <w:r w:rsidRPr="0013030D">
        <w:rPr>
          <w:rFonts w:ascii="Times New Roman" w:hAnsi="Times New Roman"/>
          <w:sz w:val="22"/>
          <w:szCs w:val="22"/>
        </w:rPr>
        <w:t xml:space="preserve">Commencement </w:t>
      </w:r>
      <w:r w:rsidRPr="0013030D">
        <w:rPr>
          <w:rFonts w:ascii="Times New Roman" w:hAnsi="Times New Roman"/>
          <w:sz w:val="22"/>
          <w:szCs w:val="22"/>
        </w:rPr>
        <w:tab/>
      </w:r>
      <w:r w:rsidRPr="0013030D">
        <w:rPr>
          <w:rFonts w:ascii="Times New Roman" w:hAnsi="Times New Roman"/>
          <w:sz w:val="22"/>
          <w:szCs w:val="22"/>
        </w:rPr>
        <w:tab/>
      </w:r>
      <w:r w:rsidRPr="0013030D">
        <w:rPr>
          <w:rFonts w:ascii="Times New Roman" w:hAnsi="Times New Roman"/>
          <w:sz w:val="22"/>
          <w:szCs w:val="22"/>
        </w:rPr>
        <w:fldChar w:fldCharType="begin"/>
      </w:r>
      <w:r w:rsidRPr="0013030D">
        <w:rPr>
          <w:rFonts w:ascii="Times New Roman" w:hAnsi="Times New Roman"/>
          <w:sz w:val="22"/>
          <w:szCs w:val="22"/>
        </w:rPr>
        <w:instrText xml:space="preserve"> PAGEREF _Toc446412295 \h </w:instrText>
      </w:r>
      <w:r w:rsidRPr="0013030D">
        <w:rPr>
          <w:rFonts w:ascii="Times New Roman" w:hAnsi="Times New Roman"/>
          <w:sz w:val="22"/>
          <w:szCs w:val="22"/>
        </w:rPr>
      </w:r>
      <w:r w:rsidRPr="0013030D">
        <w:rPr>
          <w:rFonts w:ascii="Times New Roman" w:hAnsi="Times New Roman"/>
          <w:sz w:val="22"/>
          <w:szCs w:val="22"/>
        </w:rPr>
        <w:fldChar w:fldCharType="separate"/>
      </w:r>
      <w:r w:rsidR="00FD1532">
        <w:rPr>
          <w:rFonts w:ascii="Times New Roman" w:hAnsi="Times New Roman"/>
          <w:sz w:val="22"/>
          <w:szCs w:val="22"/>
        </w:rPr>
        <w:t>4</w:t>
      </w:r>
      <w:r w:rsidRPr="0013030D">
        <w:rPr>
          <w:rFonts w:ascii="Times New Roman" w:hAnsi="Times New Roman"/>
          <w:sz w:val="22"/>
          <w:szCs w:val="22"/>
        </w:rPr>
        <w:fldChar w:fldCharType="end"/>
      </w:r>
    </w:p>
    <w:p w:rsidR="0013030D" w:rsidRPr="0013030D" w:rsidRDefault="0013030D" w:rsidP="0013030D">
      <w:pPr>
        <w:pStyle w:val="TOC5"/>
        <w:spacing w:before="120" w:after="120"/>
        <w:rPr>
          <w:rFonts w:ascii="Times New Roman" w:eastAsiaTheme="minorEastAsia" w:hAnsi="Times New Roman"/>
          <w:sz w:val="22"/>
          <w:szCs w:val="22"/>
          <w:lang w:eastAsia="en-AU"/>
        </w:rPr>
      </w:pPr>
      <w:r w:rsidRPr="0013030D">
        <w:rPr>
          <w:rFonts w:ascii="Times New Roman" w:hAnsi="Times New Roman"/>
          <w:sz w:val="22"/>
          <w:szCs w:val="22"/>
        </w:rPr>
        <w:t xml:space="preserve">4 - </w:t>
      </w:r>
      <w:r w:rsidRPr="0013030D">
        <w:rPr>
          <w:rFonts w:ascii="Times New Roman" w:hAnsi="Times New Roman"/>
          <w:bCs/>
          <w:sz w:val="22"/>
          <w:szCs w:val="22"/>
        </w:rPr>
        <w:t>Revocation</w:t>
      </w:r>
      <w:r w:rsidRPr="0013030D">
        <w:rPr>
          <w:rFonts w:ascii="Times New Roman" w:hAnsi="Times New Roman"/>
          <w:sz w:val="22"/>
          <w:szCs w:val="22"/>
        </w:rPr>
        <w:tab/>
      </w:r>
      <w:r w:rsidRPr="0013030D">
        <w:rPr>
          <w:rFonts w:ascii="Times New Roman" w:hAnsi="Times New Roman"/>
          <w:sz w:val="22"/>
          <w:szCs w:val="22"/>
        </w:rPr>
        <w:tab/>
      </w:r>
      <w:r w:rsidRPr="0013030D">
        <w:rPr>
          <w:rFonts w:ascii="Times New Roman" w:hAnsi="Times New Roman"/>
          <w:sz w:val="22"/>
          <w:szCs w:val="22"/>
        </w:rPr>
        <w:tab/>
      </w:r>
      <w:r w:rsidRPr="0013030D">
        <w:rPr>
          <w:rFonts w:ascii="Times New Roman" w:hAnsi="Times New Roman"/>
          <w:sz w:val="22"/>
          <w:szCs w:val="22"/>
        </w:rPr>
        <w:fldChar w:fldCharType="begin"/>
      </w:r>
      <w:r w:rsidRPr="0013030D">
        <w:rPr>
          <w:rFonts w:ascii="Times New Roman" w:hAnsi="Times New Roman"/>
          <w:sz w:val="22"/>
          <w:szCs w:val="22"/>
        </w:rPr>
        <w:instrText xml:space="preserve"> PAGEREF _Toc446412296 \h </w:instrText>
      </w:r>
      <w:r w:rsidRPr="0013030D">
        <w:rPr>
          <w:rFonts w:ascii="Times New Roman" w:hAnsi="Times New Roman"/>
          <w:sz w:val="22"/>
          <w:szCs w:val="22"/>
        </w:rPr>
      </w:r>
      <w:r w:rsidRPr="0013030D">
        <w:rPr>
          <w:rFonts w:ascii="Times New Roman" w:hAnsi="Times New Roman"/>
          <w:sz w:val="22"/>
          <w:szCs w:val="22"/>
        </w:rPr>
        <w:fldChar w:fldCharType="separate"/>
      </w:r>
      <w:r w:rsidR="00FD1532">
        <w:rPr>
          <w:rFonts w:ascii="Times New Roman" w:hAnsi="Times New Roman"/>
          <w:sz w:val="22"/>
          <w:szCs w:val="22"/>
        </w:rPr>
        <w:t>4</w:t>
      </w:r>
      <w:r w:rsidRPr="0013030D">
        <w:rPr>
          <w:rFonts w:ascii="Times New Roman" w:hAnsi="Times New Roman"/>
          <w:sz w:val="22"/>
          <w:szCs w:val="22"/>
        </w:rPr>
        <w:fldChar w:fldCharType="end"/>
      </w:r>
    </w:p>
    <w:p w:rsidR="0013030D" w:rsidRPr="0013030D" w:rsidRDefault="0013030D" w:rsidP="0013030D">
      <w:pPr>
        <w:pStyle w:val="TOC5"/>
        <w:spacing w:before="120" w:after="120"/>
        <w:rPr>
          <w:rFonts w:ascii="Times New Roman" w:eastAsiaTheme="minorEastAsia" w:hAnsi="Times New Roman"/>
          <w:sz w:val="22"/>
          <w:szCs w:val="22"/>
          <w:lang w:eastAsia="en-AU"/>
        </w:rPr>
      </w:pPr>
      <w:r w:rsidRPr="0013030D">
        <w:rPr>
          <w:rFonts w:ascii="Times New Roman" w:hAnsi="Times New Roman"/>
          <w:sz w:val="22"/>
          <w:szCs w:val="22"/>
        </w:rPr>
        <w:t>5 - Objects</w:t>
      </w:r>
      <w:r w:rsidRPr="0013030D">
        <w:rPr>
          <w:rFonts w:ascii="Times New Roman" w:hAnsi="Times New Roman"/>
          <w:sz w:val="22"/>
          <w:szCs w:val="22"/>
        </w:rPr>
        <w:tab/>
      </w:r>
      <w:r w:rsidRPr="0013030D">
        <w:rPr>
          <w:rFonts w:ascii="Times New Roman" w:hAnsi="Times New Roman"/>
          <w:sz w:val="22"/>
          <w:szCs w:val="22"/>
        </w:rPr>
        <w:tab/>
      </w:r>
      <w:r w:rsidRPr="0013030D">
        <w:rPr>
          <w:rFonts w:ascii="Times New Roman" w:hAnsi="Times New Roman"/>
          <w:sz w:val="22"/>
          <w:szCs w:val="22"/>
        </w:rPr>
        <w:tab/>
      </w:r>
      <w:r w:rsidRPr="0013030D">
        <w:rPr>
          <w:rFonts w:ascii="Times New Roman" w:hAnsi="Times New Roman"/>
          <w:sz w:val="22"/>
          <w:szCs w:val="22"/>
        </w:rPr>
        <w:fldChar w:fldCharType="begin"/>
      </w:r>
      <w:r w:rsidRPr="0013030D">
        <w:rPr>
          <w:rFonts w:ascii="Times New Roman" w:hAnsi="Times New Roman"/>
          <w:sz w:val="22"/>
          <w:szCs w:val="22"/>
        </w:rPr>
        <w:instrText xml:space="preserve"> PAGEREF _Toc446412297 \h </w:instrText>
      </w:r>
      <w:r w:rsidRPr="0013030D">
        <w:rPr>
          <w:rFonts w:ascii="Times New Roman" w:hAnsi="Times New Roman"/>
          <w:sz w:val="22"/>
          <w:szCs w:val="22"/>
        </w:rPr>
      </w:r>
      <w:r w:rsidRPr="0013030D">
        <w:rPr>
          <w:rFonts w:ascii="Times New Roman" w:hAnsi="Times New Roman"/>
          <w:sz w:val="22"/>
          <w:szCs w:val="22"/>
        </w:rPr>
        <w:fldChar w:fldCharType="separate"/>
      </w:r>
      <w:r w:rsidR="00FD1532">
        <w:rPr>
          <w:rFonts w:ascii="Times New Roman" w:hAnsi="Times New Roman"/>
          <w:sz w:val="22"/>
          <w:szCs w:val="22"/>
        </w:rPr>
        <w:t>4</w:t>
      </w:r>
      <w:r w:rsidRPr="0013030D">
        <w:rPr>
          <w:rFonts w:ascii="Times New Roman" w:hAnsi="Times New Roman"/>
          <w:sz w:val="22"/>
          <w:szCs w:val="22"/>
        </w:rPr>
        <w:fldChar w:fldCharType="end"/>
      </w:r>
    </w:p>
    <w:p w:rsidR="0013030D" w:rsidRPr="0013030D" w:rsidRDefault="0013030D" w:rsidP="0013030D">
      <w:pPr>
        <w:pStyle w:val="TOC5"/>
        <w:spacing w:before="120" w:after="120"/>
        <w:rPr>
          <w:rFonts w:ascii="Times New Roman" w:eastAsiaTheme="minorEastAsia" w:hAnsi="Times New Roman"/>
          <w:sz w:val="22"/>
          <w:szCs w:val="22"/>
          <w:lang w:eastAsia="en-AU"/>
        </w:rPr>
      </w:pPr>
      <w:r w:rsidRPr="0013030D">
        <w:rPr>
          <w:rFonts w:ascii="Times New Roman" w:hAnsi="Times New Roman"/>
          <w:sz w:val="22"/>
          <w:szCs w:val="22"/>
        </w:rPr>
        <w:t>6 - Definitions</w:t>
      </w:r>
      <w:r w:rsidRPr="0013030D">
        <w:rPr>
          <w:rFonts w:ascii="Times New Roman" w:hAnsi="Times New Roman"/>
          <w:sz w:val="22"/>
          <w:szCs w:val="22"/>
        </w:rPr>
        <w:tab/>
      </w:r>
      <w:r w:rsidRPr="0013030D">
        <w:rPr>
          <w:rFonts w:ascii="Times New Roman" w:hAnsi="Times New Roman"/>
          <w:sz w:val="22"/>
          <w:szCs w:val="22"/>
        </w:rPr>
        <w:tab/>
      </w:r>
      <w:r w:rsidRPr="0013030D">
        <w:rPr>
          <w:rFonts w:ascii="Times New Roman" w:hAnsi="Times New Roman"/>
          <w:sz w:val="22"/>
          <w:szCs w:val="22"/>
        </w:rPr>
        <w:tab/>
      </w:r>
      <w:r w:rsidRPr="0013030D">
        <w:rPr>
          <w:rFonts w:ascii="Times New Roman" w:hAnsi="Times New Roman"/>
          <w:sz w:val="22"/>
          <w:szCs w:val="22"/>
        </w:rPr>
        <w:fldChar w:fldCharType="begin"/>
      </w:r>
      <w:r w:rsidRPr="0013030D">
        <w:rPr>
          <w:rFonts w:ascii="Times New Roman" w:hAnsi="Times New Roman"/>
          <w:sz w:val="22"/>
          <w:szCs w:val="22"/>
        </w:rPr>
        <w:instrText xml:space="preserve"> PAGEREF _Toc446412298 \h </w:instrText>
      </w:r>
      <w:r w:rsidRPr="0013030D">
        <w:rPr>
          <w:rFonts w:ascii="Times New Roman" w:hAnsi="Times New Roman"/>
          <w:sz w:val="22"/>
          <w:szCs w:val="22"/>
        </w:rPr>
      </w:r>
      <w:r w:rsidRPr="0013030D">
        <w:rPr>
          <w:rFonts w:ascii="Times New Roman" w:hAnsi="Times New Roman"/>
          <w:sz w:val="22"/>
          <w:szCs w:val="22"/>
        </w:rPr>
        <w:fldChar w:fldCharType="separate"/>
      </w:r>
      <w:r w:rsidR="00FD1532">
        <w:rPr>
          <w:rFonts w:ascii="Times New Roman" w:hAnsi="Times New Roman"/>
          <w:sz w:val="22"/>
          <w:szCs w:val="22"/>
        </w:rPr>
        <w:t>4</w:t>
      </w:r>
      <w:r w:rsidRPr="0013030D">
        <w:rPr>
          <w:rFonts w:ascii="Times New Roman" w:hAnsi="Times New Roman"/>
          <w:sz w:val="22"/>
          <w:szCs w:val="22"/>
        </w:rPr>
        <w:fldChar w:fldCharType="end"/>
      </w:r>
    </w:p>
    <w:p w:rsidR="0013030D" w:rsidRPr="0013030D" w:rsidRDefault="0013030D" w:rsidP="0013030D">
      <w:pPr>
        <w:pStyle w:val="TOC5"/>
        <w:spacing w:before="120" w:after="120"/>
        <w:rPr>
          <w:rFonts w:ascii="Times New Roman" w:eastAsiaTheme="minorEastAsia" w:hAnsi="Times New Roman"/>
          <w:sz w:val="22"/>
          <w:szCs w:val="22"/>
          <w:lang w:eastAsia="en-AU"/>
        </w:rPr>
      </w:pPr>
      <w:r w:rsidRPr="0013030D">
        <w:rPr>
          <w:rFonts w:ascii="Times New Roman" w:hAnsi="Times New Roman"/>
          <w:sz w:val="22"/>
          <w:szCs w:val="22"/>
        </w:rPr>
        <w:t>7</w:t>
      </w:r>
      <w:r w:rsidRPr="0013030D">
        <w:rPr>
          <w:rFonts w:ascii="Times New Roman" w:eastAsiaTheme="minorEastAsia" w:hAnsi="Times New Roman"/>
          <w:sz w:val="22"/>
          <w:szCs w:val="22"/>
          <w:lang w:eastAsia="en-AU"/>
        </w:rPr>
        <w:tab/>
        <w:t xml:space="preserve"> - </w:t>
      </w:r>
      <w:r w:rsidRPr="0013030D">
        <w:rPr>
          <w:rFonts w:ascii="Times New Roman" w:hAnsi="Times New Roman"/>
          <w:sz w:val="22"/>
          <w:szCs w:val="22"/>
        </w:rPr>
        <w:t>Physical quantities</w:t>
      </w:r>
      <w:r w:rsidRPr="0013030D">
        <w:rPr>
          <w:rFonts w:ascii="Times New Roman" w:hAnsi="Times New Roman"/>
          <w:sz w:val="22"/>
          <w:szCs w:val="22"/>
        </w:rPr>
        <w:tab/>
      </w:r>
      <w:r w:rsidRPr="0013030D">
        <w:rPr>
          <w:rFonts w:ascii="Times New Roman" w:hAnsi="Times New Roman"/>
          <w:sz w:val="22"/>
          <w:szCs w:val="22"/>
        </w:rPr>
        <w:fldChar w:fldCharType="begin"/>
      </w:r>
      <w:r w:rsidRPr="0013030D">
        <w:rPr>
          <w:rFonts w:ascii="Times New Roman" w:hAnsi="Times New Roman"/>
          <w:sz w:val="22"/>
          <w:szCs w:val="22"/>
        </w:rPr>
        <w:instrText xml:space="preserve"> PAGEREF _Toc446412299 \h </w:instrText>
      </w:r>
      <w:r w:rsidRPr="0013030D">
        <w:rPr>
          <w:rFonts w:ascii="Times New Roman" w:hAnsi="Times New Roman"/>
          <w:sz w:val="22"/>
          <w:szCs w:val="22"/>
        </w:rPr>
      </w:r>
      <w:r w:rsidRPr="0013030D">
        <w:rPr>
          <w:rFonts w:ascii="Times New Roman" w:hAnsi="Times New Roman"/>
          <w:sz w:val="22"/>
          <w:szCs w:val="22"/>
        </w:rPr>
        <w:fldChar w:fldCharType="separate"/>
      </w:r>
      <w:r w:rsidR="00FD1532">
        <w:rPr>
          <w:rFonts w:ascii="Times New Roman" w:hAnsi="Times New Roman"/>
          <w:sz w:val="22"/>
          <w:szCs w:val="22"/>
        </w:rPr>
        <w:t>4</w:t>
      </w:r>
      <w:r w:rsidRPr="0013030D">
        <w:rPr>
          <w:rFonts w:ascii="Times New Roman" w:hAnsi="Times New Roman"/>
          <w:sz w:val="22"/>
          <w:szCs w:val="22"/>
        </w:rPr>
        <w:fldChar w:fldCharType="end"/>
      </w:r>
    </w:p>
    <w:p w:rsidR="0013030D" w:rsidRPr="0013030D" w:rsidRDefault="0013030D" w:rsidP="0013030D">
      <w:pPr>
        <w:pStyle w:val="TOC5"/>
        <w:spacing w:before="120" w:after="120"/>
        <w:rPr>
          <w:rFonts w:ascii="Times New Roman" w:eastAsiaTheme="minorEastAsia" w:hAnsi="Times New Roman"/>
          <w:sz w:val="22"/>
          <w:szCs w:val="22"/>
          <w:lang w:eastAsia="en-AU"/>
        </w:rPr>
      </w:pPr>
      <w:r w:rsidRPr="0013030D">
        <w:rPr>
          <w:rFonts w:ascii="Times New Roman" w:hAnsi="Times New Roman"/>
          <w:sz w:val="22"/>
          <w:szCs w:val="22"/>
        </w:rPr>
        <w:t>8</w:t>
      </w:r>
      <w:r w:rsidRPr="0013030D">
        <w:rPr>
          <w:rFonts w:ascii="Times New Roman" w:eastAsiaTheme="minorEastAsia" w:hAnsi="Times New Roman"/>
          <w:sz w:val="22"/>
          <w:szCs w:val="22"/>
          <w:lang w:eastAsia="en-AU"/>
        </w:rPr>
        <w:tab/>
        <w:t xml:space="preserve"> - </w:t>
      </w:r>
      <w:r w:rsidRPr="0013030D">
        <w:rPr>
          <w:rFonts w:ascii="Times New Roman" w:hAnsi="Times New Roman"/>
          <w:sz w:val="22"/>
          <w:szCs w:val="22"/>
        </w:rPr>
        <w:t>Combining Australian legal units of measurement</w:t>
      </w:r>
      <w:r w:rsidRPr="0013030D">
        <w:rPr>
          <w:rFonts w:ascii="Times New Roman" w:hAnsi="Times New Roman"/>
          <w:sz w:val="22"/>
          <w:szCs w:val="22"/>
        </w:rPr>
        <w:tab/>
      </w:r>
      <w:r w:rsidRPr="0013030D">
        <w:rPr>
          <w:rFonts w:ascii="Times New Roman" w:hAnsi="Times New Roman"/>
          <w:sz w:val="22"/>
          <w:szCs w:val="22"/>
        </w:rPr>
        <w:fldChar w:fldCharType="begin"/>
      </w:r>
      <w:r w:rsidRPr="0013030D">
        <w:rPr>
          <w:rFonts w:ascii="Times New Roman" w:hAnsi="Times New Roman"/>
          <w:sz w:val="22"/>
          <w:szCs w:val="22"/>
        </w:rPr>
        <w:instrText xml:space="preserve"> PAGEREF _Toc446412300 \h </w:instrText>
      </w:r>
      <w:r w:rsidRPr="0013030D">
        <w:rPr>
          <w:rFonts w:ascii="Times New Roman" w:hAnsi="Times New Roman"/>
          <w:sz w:val="22"/>
          <w:szCs w:val="22"/>
        </w:rPr>
      </w:r>
      <w:r w:rsidRPr="0013030D">
        <w:rPr>
          <w:rFonts w:ascii="Times New Roman" w:hAnsi="Times New Roman"/>
          <w:sz w:val="22"/>
          <w:szCs w:val="22"/>
        </w:rPr>
        <w:fldChar w:fldCharType="separate"/>
      </w:r>
      <w:r w:rsidR="00FD1532">
        <w:rPr>
          <w:rFonts w:ascii="Times New Roman" w:hAnsi="Times New Roman"/>
          <w:sz w:val="22"/>
          <w:szCs w:val="22"/>
        </w:rPr>
        <w:t>4</w:t>
      </w:r>
      <w:r w:rsidRPr="0013030D">
        <w:rPr>
          <w:rFonts w:ascii="Times New Roman" w:hAnsi="Times New Roman"/>
          <w:sz w:val="22"/>
          <w:szCs w:val="22"/>
        </w:rPr>
        <w:fldChar w:fldCharType="end"/>
      </w:r>
    </w:p>
    <w:p w:rsidR="0013030D" w:rsidRPr="0013030D" w:rsidRDefault="0013030D" w:rsidP="0013030D">
      <w:pPr>
        <w:pStyle w:val="TOC5"/>
        <w:spacing w:before="120" w:after="120"/>
        <w:rPr>
          <w:rFonts w:ascii="Times New Roman" w:eastAsiaTheme="minorEastAsia" w:hAnsi="Times New Roman"/>
          <w:sz w:val="22"/>
          <w:szCs w:val="22"/>
          <w:lang w:eastAsia="en-AU"/>
        </w:rPr>
      </w:pPr>
      <w:r w:rsidRPr="0013030D">
        <w:rPr>
          <w:rFonts w:ascii="Times New Roman" w:hAnsi="Times New Roman"/>
          <w:sz w:val="22"/>
          <w:szCs w:val="22"/>
        </w:rPr>
        <w:t>9</w:t>
      </w:r>
      <w:r w:rsidRPr="0013030D">
        <w:rPr>
          <w:rFonts w:ascii="Times New Roman" w:eastAsiaTheme="minorEastAsia" w:hAnsi="Times New Roman"/>
          <w:sz w:val="22"/>
          <w:szCs w:val="22"/>
          <w:lang w:eastAsia="en-AU"/>
        </w:rPr>
        <w:tab/>
      </w:r>
      <w:r w:rsidRPr="0013030D">
        <w:rPr>
          <w:rFonts w:ascii="Times New Roman" w:hAnsi="Times New Roman"/>
          <w:sz w:val="22"/>
          <w:szCs w:val="22"/>
        </w:rPr>
        <w:t xml:space="preserve"> - Combining Australian legal unit of measurement and prescribed SI prefix</w:t>
      </w:r>
      <w:r w:rsidRPr="0013030D">
        <w:rPr>
          <w:rFonts w:ascii="Times New Roman" w:hAnsi="Times New Roman"/>
          <w:sz w:val="22"/>
          <w:szCs w:val="22"/>
        </w:rPr>
        <w:tab/>
      </w:r>
      <w:r w:rsidRPr="0013030D">
        <w:rPr>
          <w:rFonts w:ascii="Times New Roman" w:hAnsi="Times New Roman"/>
          <w:sz w:val="22"/>
          <w:szCs w:val="22"/>
        </w:rPr>
        <w:fldChar w:fldCharType="begin"/>
      </w:r>
      <w:r w:rsidRPr="0013030D">
        <w:rPr>
          <w:rFonts w:ascii="Times New Roman" w:hAnsi="Times New Roman"/>
          <w:sz w:val="22"/>
          <w:szCs w:val="22"/>
        </w:rPr>
        <w:instrText xml:space="preserve"> PAGEREF _Toc446412301 \h </w:instrText>
      </w:r>
      <w:r w:rsidRPr="0013030D">
        <w:rPr>
          <w:rFonts w:ascii="Times New Roman" w:hAnsi="Times New Roman"/>
          <w:sz w:val="22"/>
          <w:szCs w:val="22"/>
        </w:rPr>
      </w:r>
      <w:r w:rsidRPr="0013030D">
        <w:rPr>
          <w:rFonts w:ascii="Times New Roman" w:hAnsi="Times New Roman"/>
          <w:sz w:val="22"/>
          <w:szCs w:val="22"/>
        </w:rPr>
        <w:fldChar w:fldCharType="separate"/>
      </w:r>
      <w:r w:rsidR="00FD1532">
        <w:rPr>
          <w:rFonts w:ascii="Times New Roman" w:hAnsi="Times New Roman"/>
          <w:sz w:val="22"/>
          <w:szCs w:val="22"/>
        </w:rPr>
        <w:t>5</w:t>
      </w:r>
      <w:r w:rsidRPr="0013030D">
        <w:rPr>
          <w:rFonts w:ascii="Times New Roman" w:hAnsi="Times New Roman"/>
          <w:sz w:val="22"/>
          <w:szCs w:val="22"/>
        </w:rPr>
        <w:fldChar w:fldCharType="end"/>
      </w:r>
    </w:p>
    <w:p w:rsidR="0013030D" w:rsidRPr="0013030D" w:rsidRDefault="0013030D" w:rsidP="0013030D">
      <w:pPr>
        <w:pStyle w:val="TOC5"/>
        <w:spacing w:before="120" w:after="120"/>
        <w:rPr>
          <w:rFonts w:ascii="Times New Roman" w:eastAsiaTheme="minorEastAsia" w:hAnsi="Times New Roman"/>
          <w:sz w:val="22"/>
          <w:szCs w:val="22"/>
          <w:lang w:eastAsia="en-AU"/>
        </w:rPr>
      </w:pPr>
      <w:r w:rsidRPr="0013030D">
        <w:rPr>
          <w:rFonts w:ascii="Times New Roman" w:hAnsi="Times New Roman"/>
          <w:sz w:val="22"/>
          <w:szCs w:val="22"/>
        </w:rPr>
        <w:t>10</w:t>
      </w:r>
      <w:r w:rsidRPr="0013030D">
        <w:rPr>
          <w:rFonts w:ascii="Times New Roman" w:eastAsiaTheme="minorEastAsia" w:hAnsi="Times New Roman"/>
          <w:sz w:val="22"/>
          <w:szCs w:val="22"/>
          <w:lang w:eastAsia="en-AU"/>
        </w:rPr>
        <w:tab/>
      </w:r>
      <w:r w:rsidRPr="0013030D">
        <w:rPr>
          <w:rFonts w:ascii="Times New Roman" w:hAnsi="Times New Roman"/>
          <w:sz w:val="22"/>
          <w:szCs w:val="22"/>
        </w:rPr>
        <w:t xml:space="preserve"> - Australian legal units of measurement that must not be combined with prefixes</w:t>
      </w:r>
      <w:r w:rsidRPr="0013030D">
        <w:rPr>
          <w:rFonts w:ascii="Times New Roman" w:hAnsi="Times New Roman"/>
          <w:sz w:val="22"/>
          <w:szCs w:val="22"/>
        </w:rPr>
        <w:tab/>
      </w:r>
      <w:r w:rsidRPr="0013030D">
        <w:rPr>
          <w:rFonts w:ascii="Times New Roman" w:hAnsi="Times New Roman"/>
          <w:sz w:val="22"/>
          <w:szCs w:val="22"/>
        </w:rPr>
        <w:fldChar w:fldCharType="begin"/>
      </w:r>
      <w:r w:rsidRPr="0013030D">
        <w:rPr>
          <w:rFonts w:ascii="Times New Roman" w:hAnsi="Times New Roman"/>
          <w:sz w:val="22"/>
          <w:szCs w:val="22"/>
        </w:rPr>
        <w:instrText xml:space="preserve"> PAGEREF _Toc446412302 \h </w:instrText>
      </w:r>
      <w:r w:rsidRPr="0013030D">
        <w:rPr>
          <w:rFonts w:ascii="Times New Roman" w:hAnsi="Times New Roman"/>
          <w:sz w:val="22"/>
          <w:szCs w:val="22"/>
        </w:rPr>
      </w:r>
      <w:r w:rsidRPr="0013030D">
        <w:rPr>
          <w:rFonts w:ascii="Times New Roman" w:hAnsi="Times New Roman"/>
          <w:sz w:val="22"/>
          <w:szCs w:val="22"/>
        </w:rPr>
        <w:fldChar w:fldCharType="separate"/>
      </w:r>
      <w:r w:rsidR="00FD1532">
        <w:rPr>
          <w:rFonts w:ascii="Times New Roman" w:hAnsi="Times New Roman"/>
          <w:sz w:val="22"/>
          <w:szCs w:val="22"/>
        </w:rPr>
        <w:t>5</w:t>
      </w:r>
      <w:r w:rsidRPr="0013030D">
        <w:rPr>
          <w:rFonts w:ascii="Times New Roman" w:hAnsi="Times New Roman"/>
          <w:sz w:val="22"/>
          <w:szCs w:val="22"/>
        </w:rPr>
        <w:fldChar w:fldCharType="end"/>
      </w:r>
    </w:p>
    <w:p w:rsidR="0013030D" w:rsidRPr="0013030D" w:rsidRDefault="0013030D" w:rsidP="0013030D">
      <w:pPr>
        <w:pStyle w:val="TOC5"/>
        <w:spacing w:before="120" w:after="120"/>
        <w:ind w:left="426" w:hanging="426"/>
        <w:rPr>
          <w:rFonts w:ascii="Times New Roman" w:eastAsiaTheme="minorEastAsia" w:hAnsi="Times New Roman"/>
          <w:sz w:val="22"/>
          <w:szCs w:val="22"/>
          <w:lang w:eastAsia="en-AU"/>
        </w:rPr>
      </w:pPr>
      <w:r w:rsidRPr="0013030D">
        <w:rPr>
          <w:rFonts w:ascii="Times New Roman" w:hAnsi="Times New Roman"/>
          <w:sz w:val="22"/>
          <w:szCs w:val="22"/>
        </w:rPr>
        <w:t>11</w:t>
      </w:r>
      <w:r w:rsidRPr="0013030D">
        <w:rPr>
          <w:rFonts w:ascii="Times New Roman" w:eastAsiaTheme="minorEastAsia" w:hAnsi="Times New Roman"/>
          <w:sz w:val="22"/>
          <w:szCs w:val="22"/>
          <w:lang w:eastAsia="en-AU"/>
        </w:rPr>
        <w:t xml:space="preserve"> </w:t>
      </w:r>
      <w:r w:rsidRPr="0013030D">
        <w:rPr>
          <w:rFonts w:ascii="Times New Roman" w:hAnsi="Times New Roman"/>
          <w:sz w:val="22"/>
          <w:szCs w:val="22"/>
        </w:rPr>
        <w:t>- Australian legal units of measurement that may only be combined with prefixes that form multiples of the unit</w:t>
      </w:r>
      <w:r w:rsidRPr="0013030D">
        <w:rPr>
          <w:rFonts w:ascii="Times New Roman" w:hAnsi="Times New Roman"/>
          <w:sz w:val="22"/>
          <w:szCs w:val="22"/>
        </w:rPr>
        <w:tab/>
      </w:r>
      <w:r w:rsidRPr="0013030D">
        <w:rPr>
          <w:rFonts w:ascii="Times New Roman" w:hAnsi="Times New Roman"/>
          <w:sz w:val="22"/>
          <w:szCs w:val="22"/>
        </w:rPr>
        <w:fldChar w:fldCharType="begin"/>
      </w:r>
      <w:r w:rsidRPr="0013030D">
        <w:rPr>
          <w:rFonts w:ascii="Times New Roman" w:hAnsi="Times New Roman"/>
          <w:sz w:val="22"/>
          <w:szCs w:val="22"/>
        </w:rPr>
        <w:instrText xml:space="preserve"> PAGEREF _Toc446412303 \h </w:instrText>
      </w:r>
      <w:r w:rsidRPr="0013030D">
        <w:rPr>
          <w:rFonts w:ascii="Times New Roman" w:hAnsi="Times New Roman"/>
          <w:sz w:val="22"/>
          <w:szCs w:val="22"/>
        </w:rPr>
      </w:r>
      <w:r w:rsidRPr="0013030D">
        <w:rPr>
          <w:rFonts w:ascii="Times New Roman" w:hAnsi="Times New Roman"/>
          <w:sz w:val="22"/>
          <w:szCs w:val="22"/>
        </w:rPr>
        <w:fldChar w:fldCharType="separate"/>
      </w:r>
      <w:r w:rsidR="00FD1532">
        <w:rPr>
          <w:rFonts w:ascii="Times New Roman" w:hAnsi="Times New Roman"/>
          <w:sz w:val="22"/>
          <w:szCs w:val="22"/>
        </w:rPr>
        <w:t>6</w:t>
      </w:r>
      <w:r w:rsidRPr="0013030D">
        <w:rPr>
          <w:rFonts w:ascii="Times New Roman" w:hAnsi="Times New Roman"/>
          <w:sz w:val="22"/>
          <w:szCs w:val="22"/>
        </w:rPr>
        <w:fldChar w:fldCharType="end"/>
      </w:r>
    </w:p>
    <w:p w:rsidR="0013030D" w:rsidRPr="0013030D" w:rsidRDefault="0013030D" w:rsidP="0013030D">
      <w:pPr>
        <w:pStyle w:val="TOC5"/>
        <w:spacing w:before="120" w:after="120"/>
        <w:ind w:left="426" w:hanging="426"/>
        <w:rPr>
          <w:rFonts w:ascii="Times New Roman" w:eastAsiaTheme="minorEastAsia" w:hAnsi="Times New Roman"/>
          <w:sz w:val="22"/>
          <w:szCs w:val="22"/>
          <w:lang w:eastAsia="en-AU"/>
        </w:rPr>
      </w:pPr>
      <w:r w:rsidRPr="0013030D">
        <w:rPr>
          <w:rFonts w:ascii="Times New Roman" w:hAnsi="Times New Roman"/>
          <w:sz w:val="22"/>
          <w:szCs w:val="22"/>
        </w:rPr>
        <w:t>12</w:t>
      </w:r>
      <w:r w:rsidRPr="0013030D">
        <w:rPr>
          <w:rFonts w:ascii="Times New Roman" w:eastAsiaTheme="minorEastAsia" w:hAnsi="Times New Roman"/>
          <w:sz w:val="22"/>
          <w:szCs w:val="22"/>
          <w:lang w:eastAsia="en-AU"/>
        </w:rPr>
        <w:t xml:space="preserve"> - </w:t>
      </w:r>
      <w:r w:rsidRPr="0013030D">
        <w:rPr>
          <w:rFonts w:ascii="Times New Roman" w:hAnsi="Times New Roman"/>
          <w:sz w:val="22"/>
          <w:szCs w:val="22"/>
        </w:rPr>
        <w:t>Combination of a prescribed SI prefix with a combination of Australian legal units of measurement</w:t>
      </w:r>
      <w:r w:rsidRPr="0013030D">
        <w:rPr>
          <w:rFonts w:ascii="Times New Roman" w:hAnsi="Times New Roman"/>
          <w:sz w:val="22"/>
          <w:szCs w:val="22"/>
        </w:rPr>
        <w:tab/>
      </w:r>
      <w:r w:rsidRPr="0013030D">
        <w:rPr>
          <w:rFonts w:ascii="Times New Roman" w:hAnsi="Times New Roman"/>
          <w:sz w:val="22"/>
          <w:szCs w:val="22"/>
        </w:rPr>
        <w:fldChar w:fldCharType="begin"/>
      </w:r>
      <w:r w:rsidRPr="0013030D">
        <w:rPr>
          <w:rFonts w:ascii="Times New Roman" w:hAnsi="Times New Roman"/>
          <w:sz w:val="22"/>
          <w:szCs w:val="22"/>
        </w:rPr>
        <w:instrText xml:space="preserve"> PAGEREF _Toc446412304 \h </w:instrText>
      </w:r>
      <w:r w:rsidRPr="0013030D">
        <w:rPr>
          <w:rFonts w:ascii="Times New Roman" w:hAnsi="Times New Roman"/>
          <w:sz w:val="22"/>
          <w:szCs w:val="22"/>
        </w:rPr>
      </w:r>
      <w:r w:rsidRPr="0013030D">
        <w:rPr>
          <w:rFonts w:ascii="Times New Roman" w:hAnsi="Times New Roman"/>
          <w:sz w:val="22"/>
          <w:szCs w:val="22"/>
        </w:rPr>
        <w:fldChar w:fldCharType="separate"/>
      </w:r>
      <w:r w:rsidR="00FD1532">
        <w:rPr>
          <w:rFonts w:ascii="Times New Roman" w:hAnsi="Times New Roman"/>
          <w:sz w:val="22"/>
          <w:szCs w:val="22"/>
        </w:rPr>
        <w:t>6</w:t>
      </w:r>
      <w:r w:rsidRPr="0013030D">
        <w:rPr>
          <w:rFonts w:ascii="Times New Roman" w:hAnsi="Times New Roman"/>
          <w:sz w:val="22"/>
          <w:szCs w:val="22"/>
        </w:rPr>
        <w:fldChar w:fldCharType="end"/>
      </w:r>
    </w:p>
    <w:p w:rsidR="0013030D" w:rsidRPr="0013030D" w:rsidRDefault="0013030D" w:rsidP="0013030D">
      <w:pPr>
        <w:pStyle w:val="TOC5"/>
        <w:spacing w:before="120" w:after="120"/>
        <w:rPr>
          <w:rFonts w:ascii="Times New Roman" w:eastAsiaTheme="minorEastAsia" w:hAnsi="Times New Roman"/>
          <w:sz w:val="22"/>
          <w:szCs w:val="22"/>
          <w:lang w:eastAsia="en-AU"/>
        </w:rPr>
      </w:pPr>
      <w:r w:rsidRPr="0013030D">
        <w:rPr>
          <w:rFonts w:ascii="Times New Roman" w:hAnsi="Times New Roman"/>
          <w:sz w:val="22"/>
          <w:szCs w:val="22"/>
        </w:rPr>
        <w:t>13</w:t>
      </w:r>
      <w:r w:rsidRPr="0013030D">
        <w:rPr>
          <w:rFonts w:ascii="Times New Roman" w:eastAsiaTheme="minorEastAsia" w:hAnsi="Times New Roman"/>
          <w:sz w:val="22"/>
          <w:szCs w:val="22"/>
          <w:lang w:eastAsia="en-AU"/>
        </w:rPr>
        <w:tab/>
        <w:t xml:space="preserve"> - </w:t>
      </w:r>
      <w:r w:rsidRPr="0013030D">
        <w:rPr>
          <w:rFonts w:ascii="Times New Roman" w:hAnsi="Times New Roman"/>
          <w:sz w:val="22"/>
          <w:szCs w:val="22"/>
        </w:rPr>
        <w:t>Expression of Australian legal units of measurement</w:t>
      </w:r>
      <w:r w:rsidRPr="0013030D">
        <w:rPr>
          <w:rFonts w:ascii="Times New Roman" w:hAnsi="Times New Roman"/>
          <w:sz w:val="22"/>
          <w:szCs w:val="22"/>
        </w:rPr>
        <w:tab/>
      </w:r>
      <w:r w:rsidRPr="0013030D">
        <w:rPr>
          <w:rFonts w:ascii="Times New Roman" w:hAnsi="Times New Roman"/>
          <w:sz w:val="22"/>
          <w:szCs w:val="22"/>
        </w:rPr>
        <w:fldChar w:fldCharType="begin"/>
      </w:r>
      <w:r w:rsidRPr="0013030D">
        <w:rPr>
          <w:rFonts w:ascii="Times New Roman" w:hAnsi="Times New Roman"/>
          <w:sz w:val="22"/>
          <w:szCs w:val="22"/>
        </w:rPr>
        <w:instrText xml:space="preserve"> PAGEREF _Toc446412305 \h </w:instrText>
      </w:r>
      <w:r w:rsidRPr="0013030D">
        <w:rPr>
          <w:rFonts w:ascii="Times New Roman" w:hAnsi="Times New Roman"/>
          <w:sz w:val="22"/>
          <w:szCs w:val="22"/>
        </w:rPr>
      </w:r>
      <w:r w:rsidRPr="0013030D">
        <w:rPr>
          <w:rFonts w:ascii="Times New Roman" w:hAnsi="Times New Roman"/>
          <w:sz w:val="22"/>
          <w:szCs w:val="22"/>
        </w:rPr>
        <w:fldChar w:fldCharType="separate"/>
      </w:r>
      <w:r w:rsidR="00FD1532">
        <w:rPr>
          <w:rFonts w:ascii="Times New Roman" w:hAnsi="Times New Roman"/>
          <w:sz w:val="22"/>
          <w:szCs w:val="22"/>
        </w:rPr>
        <w:t>6</w:t>
      </w:r>
      <w:r w:rsidRPr="0013030D">
        <w:rPr>
          <w:rFonts w:ascii="Times New Roman" w:hAnsi="Times New Roman"/>
          <w:sz w:val="22"/>
          <w:szCs w:val="22"/>
        </w:rPr>
        <w:fldChar w:fldCharType="end"/>
      </w:r>
    </w:p>
    <w:p w:rsidR="00233CD4" w:rsidRPr="00C34E99" w:rsidRDefault="0013030D" w:rsidP="0013030D">
      <w:pPr>
        <w:pStyle w:val="TOC"/>
        <w:spacing w:before="120"/>
      </w:pPr>
      <w:r w:rsidRPr="0013030D">
        <w:rPr>
          <w:rFonts w:ascii="Times New Roman" w:hAnsi="Times New Roman"/>
          <w:b/>
          <w:sz w:val="22"/>
          <w:szCs w:val="22"/>
        </w:rPr>
        <w:fldChar w:fldCharType="end"/>
      </w:r>
    </w:p>
    <w:p w:rsidR="00233CD4" w:rsidRDefault="00233CD4" w:rsidP="004B296C">
      <w:pPr>
        <w:pStyle w:val="ContentsHead"/>
        <w:sectPr w:rsidR="00233CD4">
          <w:headerReference w:type="even" r:id="rId14"/>
          <w:headerReference w:type="default" r:id="rId15"/>
          <w:pgSz w:w="11906" w:h="16838" w:code="9"/>
          <w:pgMar w:top="1440" w:right="1797" w:bottom="1440" w:left="1797" w:header="709" w:footer="709" w:gutter="0"/>
          <w:cols w:space="708"/>
          <w:docGrid w:linePitch="360"/>
        </w:sectPr>
      </w:pPr>
    </w:p>
    <w:p w:rsidR="00233CD4" w:rsidRDefault="00233CD4" w:rsidP="00233CD4">
      <w:pPr>
        <w:pStyle w:val="RGHead"/>
        <w:outlineLvl w:val="0"/>
      </w:pPr>
      <w:bookmarkStart w:id="4" w:name="_Toc446412268"/>
      <w:bookmarkStart w:id="5" w:name="_Toc446412292"/>
      <w:r>
        <w:lastRenderedPageBreak/>
        <w:t>Reader’s guide</w:t>
      </w:r>
      <w:bookmarkEnd w:id="4"/>
      <w:bookmarkEnd w:id="5"/>
    </w:p>
    <w:p w:rsidR="00233CD4" w:rsidRDefault="00233CD4" w:rsidP="00233CD4">
      <w:pPr>
        <w:pStyle w:val="RGPtHd"/>
        <w:outlineLvl w:val="0"/>
      </w:pPr>
      <w:r>
        <w:t>Aim of the guide</w:t>
      </w:r>
    </w:p>
    <w:p w:rsidR="00233CD4" w:rsidRDefault="00233CD4" w:rsidP="00233CD4">
      <w:pPr>
        <w:pStyle w:val="RGPara"/>
      </w:pPr>
      <w:r>
        <w:t xml:space="preserve">The aim of this guide is to </w:t>
      </w:r>
      <w:r w:rsidR="008852FB">
        <w:t xml:space="preserve">assist your </w:t>
      </w:r>
      <w:r>
        <w:t>understand</w:t>
      </w:r>
      <w:r w:rsidR="008852FB">
        <w:t>ing of</w:t>
      </w:r>
      <w:r>
        <w:t xml:space="preserve"> the </w:t>
      </w:r>
      <w:r>
        <w:rPr>
          <w:i/>
        </w:rPr>
        <w:t>National Measurement Guidelines </w:t>
      </w:r>
      <w:r w:rsidR="00FA395F">
        <w:rPr>
          <w:i/>
        </w:rPr>
        <w:t>2016</w:t>
      </w:r>
      <w:r>
        <w:rPr>
          <w:i/>
        </w:rPr>
        <w:t xml:space="preserve"> </w:t>
      </w:r>
      <w:r>
        <w:t xml:space="preserve">(the </w:t>
      </w:r>
      <w:r w:rsidR="004B296C">
        <w:rPr>
          <w:b/>
          <w:i/>
        </w:rPr>
        <w:t>G</w:t>
      </w:r>
      <w:r>
        <w:rPr>
          <w:b/>
          <w:i/>
        </w:rPr>
        <w:t>uidelines</w:t>
      </w:r>
      <w:r>
        <w:t xml:space="preserve">). However, the guide is not part of the </w:t>
      </w:r>
      <w:r w:rsidR="004B296C">
        <w:t>G</w:t>
      </w:r>
      <w:r>
        <w:t xml:space="preserve">uidelines and has no legal force. </w:t>
      </w:r>
    </w:p>
    <w:p w:rsidR="00233CD4" w:rsidRDefault="00233CD4" w:rsidP="00233CD4">
      <w:pPr>
        <w:pStyle w:val="RGPara"/>
      </w:pPr>
      <w:r>
        <w:t xml:space="preserve">The </w:t>
      </w:r>
      <w:r w:rsidR="004B296C">
        <w:t>G</w:t>
      </w:r>
      <w:r>
        <w:t xml:space="preserve">uidelines are made under the </w:t>
      </w:r>
      <w:r>
        <w:rPr>
          <w:i/>
        </w:rPr>
        <w:t xml:space="preserve">National Measurements Act 1960 </w:t>
      </w:r>
      <w:r>
        <w:t>(the</w:t>
      </w:r>
      <w:r>
        <w:rPr>
          <w:i/>
        </w:rPr>
        <w:t xml:space="preserve"> </w:t>
      </w:r>
      <w:r>
        <w:rPr>
          <w:b/>
          <w:i/>
        </w:rPr>
        <w:t>Act</w:t>
      </w:r>
      <w:r>
        <w:t>).</w:t>
      </w:r>
    </w:p>
    <w:p w:rsidR="00233CD4" w:rsidRDefault="00233CD4" w:rsidP="00233CD4">
      <w:pPr>
        <w:pStyle w:val="RGPtHd"/>
        <w:outlineLvl w:val="0"/>
      </w:pPr>
      <w:r>
        <w:t>Introduction</w:t>
      </w:r>
    </w:p>
    <w:p w:rsidR="00233CD4" w:rsidRDefault="00233CD4" w:rsidP="00233CD4">
      <w:pPr>
        <w:pStyle w:val="RGPara"/>
      </w:pPr>
      <w:r>
        <w:t xml:space="preserve">The Act and the </w:t>
      </w:r>
      <w:r>
        <w:rPr>
          <w:i/>
        </w:rPr>
        <w:t>National Measurement Regulations 1999</w:t>
      </w:r>
      <w:r>
        <w:t xml:space="preserve"> (the </w:t>
      </w:r>
      <w:r w:rsidR="00CD1C85">
        <w:rPr>
          <w:b/>
          <w:i/>
        </w:rPr>
        <w:t>R</w:t>
      </w:r>
      <w:r>
        <w:rPr>
          <w:b/>
          <w:i/>
        </w:rPr>
        <w:t>egulations</w:t>
      </w:r>
      <w:r>
        <w:t xml:space="preserve">) prescribe the </w:t>
      </w:r>
      <w:r w:rsidR="00CD1C85">
        <w:t>International System of Units (</w:t>
      </w:r>
      <w:r>
        <w:t>SI</w:t>
      </w:r>
      <w:r w:rsidR="00CD1C85">
        <w:t>)</w:t>
      </w:r>
      <w:r>
        <w:t xml:space="preserve"> base, supplementary and certain derived Australian legal units of measurement for specified physical quantities. They also prescribe certain additional, non-SI, legal units of measurement that may be used for particular purposes. The purpose of the </w:t>
      </w:r>
      <w:r w:rsidR="00CD1C85">
        <w:t>G</w:t>
      </w:r>
      <w:r>
        <w:t xml:space="preserve">uidelines is to supplement those provisions. </w:t>
      </w:r>
    </w:p>
    <w:p w:rsidR="00233CD4" w:rsidRDefault="00233CD4" w:rsidP="00233CD4">
      <w:pPr>
        <w:pStyle w:val="RGPtHd"/>
        <w:outlineLvl w:val="0"/>
      </w:pPr>
      <w:r>
        <w:t>Australian legal units of measurement</w:t>
      </w:r>
    </w:p>
    <w:p w:rsidR="00233CD4" w:rsidRDefault="00233CD4" w:rsidP="00233CD4">
      <w:pPr>
        <w:pStyle w:val="RGPara"/>
      </w:pPr>
      <w:r>
        <w:t xml:space="preserve">The </w:t>
      </w:r>
      <w:r w:rsidR="004662C2">
        <w:t>G</w:t>
      </w:r>
      <w:r>
        <w:t xml:space="preserve">uidelines set out how to form Australian legal units of measurement for physical quantities from the Australian legal units of measurement prescribed by the </w:t>
      </w:r>
      <w:r w:rsidR="004662C2">
        <w:t>R</w:t>
      </w:r>
      <w:r>
        <w:t>egulations.</w:t>
      </w:r>
    </w:p>
    <w:p w:rsidR="00233CD4" w:rsidRDefault="00233CD4" w:rsidP="00233CD4">
      <w:pPr>
        <w:pStyle w:val="RGPara"/>
      </w:pPr>
      <w:r>
        <w:t>Subsection 3 (1) of the Act defines Australian legal units of measurement as:</w:t>
      </w:r>
    </w:p>
    <w:p w:rsidR="00233CD4" w:rsidRDefault="00233CD4" w:rsidP="00233CD4">
      <w:pPr>
        <w:pStyle w:val="P1"/>
        <w:tabs>
          <w:tab w:val="left" w:pos="567"/>
        </w:tabs>
        <w:ind w:left="567" w:hanging="567"/>
      </w:pPr>
      <w:r>
        <w:t>(a)</w:t>
      </w:r>
      <w:r>
        <w:tab/>
      </w:r>
      <w:r>
        <w:tab/>
      </w:r>
      <w:proofErr w:type="gramStart"/>
      <w:r>
        <w:t>a</w:t>
      </w:r>
      <w:proofErr w:type="gramEnd"/>
      <w:r>
        <w:t xml:space="preserve"> unit of measurement prescribed for the purposes of subsection 7A (1); or</w:t>
      </w:r>
    </w:p>
    <w:p w:rsidR="00233CD4" w:rsidRDefault="00233CD4" w:rsidP="00233CD4">
      <w:pPr>
        <w:pStyle w:val="P1"/>
        <w:tabs>
          <w:tab w:val="left" w:pos="567"/>
        </w:tabs>
        <w:ind w:left="567" w:hanging="567"/>
      </w:pPr>
      <w:r>
        <w:t>(b)</w:t>
      </w:r>
      <w:r>
        <w:tab/>
      </w:r>
      <w:proofErr w:type="gramStart"/>
      <w:r>
        <w:t>a</w:t>
      </w:r>
      <w:proofErr w:type="gramEnd"/>
      <w:r>
        <w:t xml:space="preserve"> unit of measurement derived by the application of guidelines issued by the Chief </w:t>
      </w:r>
      <w:proofErr w:type="spellStart"/>
      <w:r>
        <w:t>Metrologist</w:t>
      </w:r>
      <w:proofErr w:type="spellEnd"/>
      <w:r>
        <w:t xml:space="preserve"> under subsection 7B (1), or 2 or more successive applications of those guidelines.</w:t>
      </w:r>
    </w:p>
    <w:p w:rsidR="00233CD4" w:rsidRDefault="00233CD4" w:rsidP="00233CD4">
      <w:pPr>
        <w:pStyle w:val="RGPara"/>
      </w:pPr>
      <w:r>
        <w:t>Sections 7 and 7A of the Act provide that the Australian legal units of measurement of a physical quantity are the sole legal units of measurement of that physical quantity and may be prescribed by the regulations.</w:t>
      </w:r>
    </w:p>
    <w:p w:rsidR="00233CD4" w:rsidRDefault="00233CD4" w:rsidP="00233CD4">
      <w:pPr>
        <w:pStyle w:val="RGPara"/>
      </w:pPr>
      <w:r>
        <w:t xml:space="preserve">The </w:t>
      </w:r>
      <w:r w:rsidR="004662C2">
        <w:t>R</w:t>
      </w:r>
      <w:r>
        <w:t>egulations contain the following schedules</w:t>
      </w:r>
      <w:r w:rsidR="008852FB">
        <w:t xml:space="preserve"> pertaining to the Guidelines</w:t>
      </w:r>
      <w:r>
        <w:t>:</w:t>
      </w:r>
    </w:p>
    <w:p w:rsidR="00233CD4" w:rsidRDefault="00233CD4" w:rsidP="008852FB">
      <w:pPr>
        <w:pStyle w:val="RGPara"/>
        <w:numPr>
          <w:ilvl w:val="0"/>
          <w:numId w:val="3"/>
        </w:numPr>
        <w:jc w:val="left"/>
      </w:pPr>
      <w:r>
        <w:t>Schedule 1, Part 1 — SI base units of measurement</w:t>
      </w:r>
    </w:p>
    <w:p w:rsidR="00233CD4" w:rsidRDefault="008852FB" w:rsidP="008852FB">
      <w:pPr>
        <w:pStyle w:val="RGPara"/>
        <w:numPr>
          <w:ilvl w:val="0"/>
          <w:numId w:val="3"/>
        </w:numPr>
        <w:jc w:val="left"/>
      </w:pPr>
      <w:r>
        <w:t xml:space="preserve">Schedule 1, </w:t>
      </w:r>
      <w:r w:rsidR="00233CD4">
        <w:t>Part 2 — SI derived units of measurement with special names</w:t>
      </w:r>
    </w:p>
    <w:p w:rsidR="00233CD4" w:rsidRDefault="008852FB" w:rsidP="008852FB">
      <w:pPr>
        <w:pStyle w:val="RGPara"/>
        <w:numPr>
          <w:ilvl w:val="0"/>
          <w:numId w:val="3"/>
        </w:numPr>
        <w:jc w:val="left"/>
      </w:pPr>
      <w:r>
        <w:t>Schedule 1, Part 3 — N</w:t>
      </w:r>
      <w:r w:rsidR="00233CD4">
        <w:t>on-SI units of measurement used with SI units of measurement</w:t>
      </w:r>
    </w:p>
    <w:p w:rsidR="00233CD4" w:rsidRDefault="008852FB" w:rsidP="008852FB">
      <w:pPr>
        <w:pStyle w:val="RGPara"/>
        <w:numPr>
          <w:ilvl w:val="0"/>
          <w:numId w:val="3"/>
        </w:numPr>
        <w:jc w:val="left"/>
      </w:pPr>
      <w:r>
        <w:t>Schedule 1, Part 4 — A</w:t>
      </w:r>
      <w:r w:rsidR="00233CD4">
        <w:t>dditional derived units of measurement</w:t>
      </w:r>
    </w:p>
    <w:p w:rsidR="00233CD4" w:rsidRDefault="00233CD4" w:rsidP="008852FB">
      <w:pPr>
        <w:pStyle w:val="RGPara"/>
        <w:numPr>
          <w:ilvl w:val="0"/>
          <w:numId w:val="3"/>
        </w:numPr>
        <w:jc w:val="left"/>
      </w:pPr>
      <w:r>
        <w:t xml:space="preserve">Schedule 2, Part 1 — </w:t>
      </w:r>
      <w:r w:rsidR="008852FB">
        <w:t>A</w:t>
      </w:r>
      <w:r>
        <w:t>dditional Australian legal units of measurement</w:t>
      </w:r>
    </w:p>
    <w:p w:rsidR="00233CD4" w:rsidRDefault="008852FB" w:rsidP="008852FB">
      <w:pPr>
        <w:pStyle w:val="RGPara"/>
        <w:numPr>
          <w:ilvl w:val="0"/>
          <w:numId w:val="3"/>
        </w:numPr>
        <w:jc w:val="left"/>
      </w:pPr>
      <w:r>
        <w:t>Schedule 2, Part 2 — P</w:t>
      </w:r>
      <w:r w:rsidR="00233CD4">
        <w:t>urposes for which additional legal units of measurement may be used</w:t>
      </w:r>
    </w:p>
    <w:p w:rsidR="00233CD4" w:rsidRDefault="00233CD4" w:rsidP="00007ACB">
      <w:pPr>
        <w:pStyle w:val="RGPara"/>
        <w:numPr>
          <w:ilvl w:val="0"/>
          <w:numId w:val="3"/>
        </w:numPr>
        <w:jc w:val="left"/>
        <w:sectPr w:rsidR="00233CD4">
          <w:headerReference w:type="even" r:id="rId16"/>
          <w:headerReference w:type="default" r:id="rId17"/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  <w:r>
        <w:t xml:space="preserve">Schedule 3 — SI prefixes </w:t>
      </w:r>
    </w:p>
    <w:p w:rsidR="00436D70" w:rsidRPr="00C02E0C" w:rsidRDefault="00436D70" w:rsidP="00C02E0C">
      <w:pPr>
        <w:pStyle w:val="RGHead"/>
        <w:spacing w:before="0"/>
        <w:outlineLvl w:val="0"/>
      </w:pPr>
      <w:bookmarkStart w:id="6" w:name="_Toc446412269"/>
      <w:bookmarkStart w:id="7" w:name="_Toc446412293"/>
      <w:r w:rsidRPr="00C02E0C">
        <w:lastRenderedPageBreak/>
        <w:t>Guidelines</w:t>
      </w:r>
    </w:p>
    <w:p w:rsidR="00233CD4" w:rsidRPr="00FA5715" w:rsidRDefault="00233CD4" w:rsidP="00EE1C08">
      <w:pPr>
        <w:pStyle w:val="HR"/>
        <w:numPr>
          <w:ilvl w:val="0"/>
          <w:numId w:val="5"/>
        </w:numPr>
        <w:ind w:left="993"/>
        <w:outlineLvl w:val="0"/>
      </w:pPr>
      <w:r>
        <w:t xml:space="preserve">Name of </w:t>
      </w:r>
      <w:r w:rsidR="004662C2">
        <w:t>G</w:t>
      </w:r>
      <w:r>
        <w:t xml:space="preserve">uidelines </w:t>
      </w:r>
      <w:bookmarkEnd w:id="6"/>
      <w:bookmarkEnd w:id="7"/>
    </w:p>
    <w:p w:rsidR="00233CD4" w:rsidRPr="004655AE" w:rsidRDefault="00233CD4" w:rsidP="004655AE">
      <w:pPr>
        <w:spacing w:before="120"/>
        <w:ind w:left="992"/>
        <w:rPr>
          <w:lang w:eastAsia="en-US"/>
        </w:rPr>
      </w:pPr>
      <w:r w:rsidRPr="004655AE">
        <w:rPr>
          <w:lang w:eastAsia="en-US"/>
        </w:rPr>
        <w:t xml:space="preserve">These </w:t>
      </w:r>
      <w:r w:rsidR="004662C2" w:rsidRPr="004655AE">
        <w:rPr>
          <w:lang w:eastAsia="en-US"/>
        </w:rPr>
        <w:t>G</w:t>
      </w:r>
      <w:r w:rsidRPr="004655AE">
        <w:rPr>
          <w:lang w:eastAsia="en-US"/>
        </w:rPr>
        <w:t>uidelines are the</w:t>
      </w:r>
      <w:r w:rsidR="004655AE">
        <w:rPr>
          <w:lang w:eastAsia="en-US"/>
        </w:rPr>
        <w:t xml:space="preserve"> </w:t>
      </w:r>
      <w:r w:rsidR="004655AE" w:rsidRPr="004655AE">
        <w:rPr>
          <w:lang w:eastAsia="en-US"/>
        </w:rPr>
        <w:t>National Measurement Guidelines 2016</w:t>
      </w:r>
    </w:p>
    <w:p w:rsidR="004662C2" w:rsidRDefault="004662C2" w:rsidP="004662C2">
      <w:pPr>
        <w:pStyle w:val="HR"/>
        <w:numPr>
          <w:ilvl w:val="0"/>
          <w:numId w:val="5"/>
        </w:numPr>
        <w:ind w:left="993"/>
        <w:outlineLvl w:val="0"/>
      </w:pPr>
      <w:bookmarkStart w:id="8" w:name="_Toc446412270"/>
      <w:bookmarkStart w:id="9" w:name="_Toc446412294"/>
      <w:r>
        <w:t>Authority</w:t>
      </w:r>
      <w:bookmarkEnd w:id="8"/>
      <w:bookmarkEnd w:id="9"/>
    </w:p>
    <w:p w:rsidR="004662C2" w:rsidRPr="004662C2" w:rsidRDefault="004662C2" w:rsidP="004662C2">
      <w:pPr>
        <w:spacing w:before="120"/>
        <w:ind w:left="992"/>
        <w:rPr>
          <w:b/>
          <w:lang w:eastAsia="en-US"/>
        </w:rPr>
      </w:pPr>
      <w:r>
        <w:rPr>
          <w:lang w:eastAsia="en-US"/>
        </w:rPr>
        <w:t xml:space="preserve">These Guidelines are made under subsection </w:t>
      </w:r>
      <w:r>
        <w:t xml:space="preserve">7B (1) of the </w:t>
      </w:r>
      <w:r>
        <w:rPr>
          <w:i/>
        </w:rPr>
        <w:t>National Measurement Act 1960</w:t>
      </w:r>
      <w:r>
        <w:t>.</w:t>
      </w:r>
    </w:p>
    <w:p w:rsidR="00233CD4" w:rsidRPr="004B7A2A" w:rsidRDefault="00233CD4" w:rsidP="004662C2">
      <w:pPr>
        <w:pStyle w:val="HR"/>
        <w:numPr>
          <w:ilvl w:val="0"/>
          <w:numId w:val="5"/>
        </w:numPr>
        <w:ind w:left="993"/>
        <w:outlineLvl w:val="0"/>
        <w:rPr>
          <w:b w:val="0"/>
          <w:sz w:val="18"/>
        </w:rPr>
      </w:pPr>
      <w:bookmarkStart w:id="10" w:name="_Toc446412271"/>
      <w:bookmarkStart w:id="11" w:name="_Toc446412295"/>
      <w:r>
        <w:t xml:space="preserve">Commencement </w:t>
      </w:r>
      <w:bookmarkEnd w:id="10"/>
      <w:bookmarkEnd w:id="11"/>
    </w:p>
    <w:p w:rsidR="00233CD4" w:rsidRDefault="00233CD4" w:rsidP="004662C2">
      <w:pPr>
        <w:spacing w:before="120"/>
        <w:ind w:left="992"/>
      </w:pPr>
      <w:r>
        <w:t xml:space="preserve">These </w:t>
      </w:r>
      <w:r w:rsidR="004662C2">
        <w:t>G</w:t>
      </w:r>
      <w:r>
        <w:t xml:space="preserve">uidelines commence on </w:t>
      </w:r>
      <w:r w:rsidR="005E3245">
        <w:t>1 April 2016</w:t>
      </w:r>
      <w:r>
        <w:t>.</w:t>
      </w:r>
    </w:p>
    <w:p w:rsidR="00233CD4" w:rsidRDefault="008C52D6" w:rsidP="004662C2">
      <w:pPr>
        <w:pStyle w:val="HR"/>
        <w:numPr>
          <w:ilvl w:val="0"/>
          <w:numId w:val="5"/>
        </w:numPr>
        <w:ind w:left="993"/>
        <w:outlineLvl w:val="0"/>
      </w:pPr>
      <w:bookmarkStart w:id="12" w:name="_Toc446412272"/>
      <w:bookmarkStart w:id="13" w:name="_Toc446412296"/>
      <w:r w:rsidRPr="008C52D6">
        <w:rPr>
          <w:rStyle w:val="CharSectno"/>
          <w:bCs/>
        </w:rPr>
        <w:t>Revocation</w:t>
      </w:r>
      <w:bookmarkEnd w:id="12"/>
      <w:bookmarkEnd w:id="13"/>
    </w:p>
    <w:p w:rsidR="008C52D6" w:rsidRDefault="008C52D6" w:rsidP="004662C2">
      <w:pPr>
        <w:spacing w:before="120"/>
        <w:ind w:left="992"/>
        <w:rPr>
          <w:rStyle w:val="Strong"/>
        </w:rPr>
      </w:pPr>
      <w:r>
        <w:t xml:space="preserve">These </w:t>
      </w:r>
      <w:r w:rsidR="004662C2">
        <w:t>G</w:t>
      </w:r>
      <w:r>
        <w:t xml:space="preserve">uidelines revoke the </w:t>
      </w:r>
      <w:r>
        <w:rPr>
          <w:i/>
        </w:rPr>
        <w:t xml:space="preserve">National Measurement Guidelines 1999 </w:t>
      </w:r>
      <w:r w:rsidRPr="008C52D6">
        <w:t>(the former Guidelines)</w:t>
      </w:r>
      <w:r>
        <w:rPr>
          <w:i/>
        </w:rPr>
        <w:t xml:space="preserve"> </w:t>
      </w:r>
      <w:r w:rsidR="00274E79">
        <w:t>on 1 April 2016</w:t>
      </w:r>
      <w:r w:rsidR="00EC4D4D">
        <w:t>.</w:t>
      </w:r>
      <w:r>
        <w:t xml:space="preserve"> </w:t>
      </w:r>
    </w:p>
    <w:p w:rsidR="008C52D6" w:rsidRPr="004662C2" w:rsidRDefault="008C52D6" w:rsidP="004662C2">
      <w:pPr>
        <w:pStyle w:val="HR"/>
        <w:numPr>
          <w:ilvl w:val="0"/>
          <w:numId w:val="5"/>
        </w:numPr>
        <w:ind w:left="993"/>
        <w:outlineLvl w:val="0"/>
        <w:rPr>
          <w:rStyle w:val="CharSectno"/>
        </w:rPr>
      </w:pPr>
      <w:bookmarkStart w:id="14" w:name="_Toc446412273"/>
      <w:bookmarkStart w:id="15" w:name="_Toc446412297"/>
      <w:r w:rsidRPr="004662C2">
        <w:rPr>
          <w:rStyle w:val="CharSectno"/>
        </w:rPr>
        <w:t>Objects</w:t>
      </w:r>
      <w:bookmarkEnd w:id="14"/>
      <w:bookmarkEnd w:id="15"/>
    </w:p>
    <w:p w:rsidR="008C52D6" w:rsidRDefault="008C52D6" w:rsidP="004662C2">
      <w:pPr>
        <w:spacing w:before="120"/>
        <w:ind w:left="992"/>
      </w:pPr>
      <w:r>
        <w:t xml:space="preserve">These </w:t>
      </w:r>
      <w:r w:rsidR="004662C2">
        <w:t>G</w:t>
      </w:r>
      <w:r>
        <w:t>uidelines govern the way in which Australian legal units of measurement may be combined:</w:t>
      </w:r>
    </w:p>
    <w:p w:rsidR="008C52D6" w:rsidRDefault="008C52D6" w:rsidP="004662C2">
      <w:pPr>
        <w:pStyle w:val="P1"/>
        <w:numPr>
          <w:ilvl w:val="0"/>
          <w:numId w:val="7"/>
        </w:numPr>
      </w:pPr>
      <w:r>
        <w:t>to produce an Australian legal unit of measurement; and</w:t>
      </w:r>
    </w:p>
    <w:p w:rsidR="008C52D6" w:rsidRDefault="008C52D6" w:rsidP="004662C2">
      <w:pPr>
        <w:pStyle w:val="P1"/>
        <w:numPr>
          <w:ilvl w:val="0"/>
          <w:numId w:val="7"/>
        </w:numPr>
      </w:pPr>
      <w:proofErr w:type="gramStart"/>
      <w:r>
        <w:t>with</w:t>
      </w:r>
      <w:proofErr w:type="gramEnd"/>
      <w:r>
        <w:t xml:space="preserve"> prefixes to produce Australian legal units of measurement.</w:t>
      </w:r>
    </w:p>
    <w:p w:rsidR="008C52D6" w:rsidRDefault="008C52D6" w:rsidP="008C52D6">
      <w:pPr>
        <w:pStyle w:val="Note"/>
      </w:pPr>
      <w:r>
        <w:rPr>
          <w:i/>
        </w:rPr>
        <w:t>Note</w:t>
      </w:r>
      <w:r>
        <w:t xml:space="preserve">   These </w:t>
      </w:r>
      <w:r w:rsidR="00B2118C">
        <w:t>G</w:t>
      </w:r>
      <w:r>
        <w:t>uidelines are a disallowable instrument: subs</w:t>
      </w:r>
      <w:r w:rsidR="009646F3">
        <w:t>ection</w:t>
      </w:r>
      <w:r>
        <w:t xml:space="preserve"> 7B (2)</w:t>
      </w:r>
      <w:r w:rsidR="009646F3">
        <w:t xml:space="preserve"> of the Act</w:t>
      </w:r>
      <w:r>
        <w:t>.</w:t>
      </w:r>
    </w:p>
    <w:p w:rsidR="00233CD4" w:rsidRDefault="00233CD4" w:rsidP="004662C2">
      <w:pPr>
        <w:pStyle w:val="HR"/>
        <w:numPr>
          <w:ilvl w:val="0"/>
          <w:numId w:val="5"/>
        </w:numPr>
        <w:ind w:left="993"/>
        <w:outlineLvl w:val="0"/>
      </w:pPr>
      <w:bookmarkStart w:id="16" w:name="_Toc446412274"/>
      <w:bookmarkStart w:id="17" w:name="_Toc446412298"/>
      <w:r>
        <w:t>Definitions</w:t>
      </w:r>
      <w:bookmarkEnd w:id="16"/>
      <w:bookmarkEnd w:id="17"/>
    </w:p>
    <w:p w:rsidR="00233CD4" w:rsidRDefault="00233CD4" w:rsidP="004662C2">
      <w:pPr>
        <w:spacing w:before="120"/>
        <w:ind w:left="992"/>
      </w:pPr>
      <w:r>
        <w:t xml:space="preserve">In these </w:t>
      </w:r>
      <w:r w:rsidR="009646F3">
        <w:t>G</w:t>
      </w:r>
      <w:r>
        <w:t>uidelines:</w:t>
      </w:r>
    </w:p>
    <w:p w:rsidR="00233CD4" w:rsidRDefault="009646F3" w:rsidP="00233CD4">
      <w:pPr>
        <w:pStyle w:val="definition"/>
      </w:pPr>
      <w:r>
        <w:rPr>
          <w:b/>
          <w:i/>
        </w:rPr>
        <w:t>P</w:t>
      </w:r>
      <w:r w:rsidR="00233CD4">
        <w:rPr>
          <w:b/>
          <w:i/>
        </w:rPr>
        <w:t xml:space="preserve">roduct </w:t>
      </w:r>
      <w:r>
        <w:rPr>
          <w:b/>
          <w:i/>
        </w:rPr>
        <w:t>S</w:t>
      </w:r>
      <w:r w:rsidR="00233CD4">
        <w:rPr>
          <w:b/>
          <w:i/>
        </w:rPr>
        <w:t>ymbol</w:t>
      </w:r>
      <w:r w:rsidR="00233CD4">
        <w:t xml:space="preserve"> means a symbol used to indicate the product of 2 or more Australian legal units of measurement.</w:t>
      </w:r>
    </w:p>
    <w:p w:rsidR="00233CD4" w:rsidRDefault="009646F3" w:rsidP="00233CD4">
      <w:pPr>
        <w:pStyle w:val="definition"/>
      </w:pPr>
      <w:r>
        <w:rPr>
          <w:b/>
          <w:i/>
        </w:rPr>
        <w:t>R</w:t>
      </w:r>
      <w:r w:rsidR="00233CD4">
        <w:rPr>
          <w:b/>
          <w:i/>
        </w:rPr>
        <w:t>egulations</w:t>
      </w:r>
      <w:r w:rsidR="00233CD4">
        <w:t xml:space="preserve"> mean the </w:t>
      </w:r>
      <w:r w:rsidR="00233CD4">
        <w:rPr>
          <w:i/>
        </w:rPr>
        <w:t>National Measurement Regulations 1999</w:t>
      </w:r>
      <w:r w:rsidR="00233CD4">
        <w:t>.</w:t>
      </w:r>
    </w:p>
    <w:p w:rsidR="00233CD4" w:rsidRDefault="00233CD4" w:rsidP="00233CD4">
      <w:pPr>
        <w:pStyle w:val="definition"/>
      </w:pPr>
      <w:r>
        <w:rPr>
          <w:b/>
          <w:i/>
        </w:rPr>
        <w:t xml:space="preserve">SI </w:t>
      </w:r>
      <w:r w:rsidR="009646F3">
        <w:rPr>
          <w:b/>
          <w:i/>
        </w:rPr>
        <w:t>P</w:t>
      </w:r>
      <w:r>
        <w:rPr>
          <w:b/>
          <w:i/>
        </w:rPr>
        <w:t>refix</w:t>
      </w:r>
      <w:r>
        <w:t xml:space="preserve"> means a prefix mentioned in Schedule 3 of the </w:t>
      </w:r>
      <w:r w:rsidR="009646F3">
        <w:t>R</w:t>
      </w:r>
      <w:r>
        <w:t>egulations.</w:t>
      </w:r>
    </w:p>
    <w:p w:rsidR="00B2118C" w:rsidRPr="00FA5715" w:rsidRDefault="00B2118C" w:rsidP="00FA5715">
      <w:pPr>
        <w:pStyle w:val="Note"/>
        <w:rPr>
          <w:i/>
        </w:rPr>
      </w:pPr>
      <w:r w:rsidRPr="00B2118C">
        <w:rPr>
          <w:i/>
        </w:rPr>
        <w:t>Note</w:t>
      </w:r>
      <w:r>
        <w:rPr>
          <w:i/>
        </w:rPr>
        <w:t xml:space="preserve">   Several other </w:t>
      </w:r>
      <w:r w:rsidRPr="00FA5715">
        <w:rPr>
          <w:i/>
        </w:rPr>
        <w:t>words and expressions used in th</w:t>
      </w:r>
      <w:r>
        <w:rPr>
          <w:i/>
        </w:rPr>
        <w:t xml:space="preserve">ese Guidelines </w:t>
      </w:r>
      <w:r w:rsidRPr="00FA5715">
        <w:rPr>
          <w:i/>
        </w:rPr>
        <w:t>hav</w:t>
      </w:r>
      <w:r w:rsidRPr="00B2118C">
        <w:rPr>
          <w:i/>
        </w:rPr>
        <w:t xml:space="preserve">e the meaning given by section </w:t>
      </w:r>
      <w:r>
        <w:rPr>
          <w:i/>
        </w:rPr>
        <w:t>3</w:t>
      </w:r>
      <w:r w:rsidRPr="00FA5715">
        <w:rPr>
          <w:i/>
        </w:rPr>
        <w:t xml:space="preserve"> of the Act.</w:t>
      </w:r>
    </w:p>
    <w:p w:rsidR="00233CD4" w:rsidRDefault="00233CD4" w:rsidP="004662C2">
      <w:pPr>
        <w:pStyle w:val="HR"/>
        <w:numPr>
          <w:ilvl w:val="0"/>
          <w:numId w:val="5"/>
        </w:numPr>
        <w:ind w:left="993"/>
        <w:outlineLvl w:val="0"/>
      </w:pPr>
      <w:bookmarkStart w:id="18" w:name="_Toc446412275"/>
      <w:bookmarkStart w:id="19" w:name="_Toc446412299"/>
      <w:r>
        <w:t>Physical quantities</w:t>
      </w:r>
      <w:bookmarkEnd w:id="18"/>
      <w:bookmarkEnd w:id="19"/>
    </w:p>
    <w:p w:rsidR="00233CD4" w:rsidRPr="00072CDF" w:rsidRDefault="00233CD4" w:rsidP="004662C2">
      <w:pPr>
        <w:spacing w:before="120"/>
        <w:ind w:left="992"/>
      </w:pPr>
      <w:r>
        <w:t xml:space="preserve">Australian legal units of measurement may be formed only for the physical quantities as prescribed under the </w:t>
      </w:r>
      <w:r w:rsidR="009646F3">
        <w:t>R</w:t>
      </w:r>
      <w:r>
        <w:t>egulations.</w:t>
      </w:r>
    </w:p>
    <w:p w:rsidR="00233CD4" w:rsidRPr="00B93229" w:rsidRDefault="00233CD4" w:rsidP="00EE1C08">
      <w:pPr>
        <w:pStyle w:val="HR"/>
        <w:numPr>
          <w:ilvl w:val="0"/>
          <w:numId w:val="5"/>
        </w:numPr>
        <w:ind w:left="993"/>
        <w:outlineLvl w:val="0"/>
        <w:rPr>
          <w:rStyle w:val="CharSectno"/>
        </w:rPr>
      </w:pPr>
      <w:bookmarkStart w:id="20" w:name="_Toc446412276"/>
      <w:bookmarkStart w:id="21" w:name="_Toc446412300"/>
      <w:r w:rsidRPr="00B93229">
        <w:rPr>
          <w:rStyle w:val="CharSectno"/>
        </w:rPr>
        <w:t>Combining Australian legal units of measurement</w:t>
      </w:r>
      <w:bookmarkEnd w:id="20"/>
      <w:bookmarkEnd w:id="21"/>
    </w:p>
    <w:p w:rsidR="003D3CC2" w:rsidRDefault="00233CD4" w:rsidP="00FA5715">
      <w:pPr>
        <w:pStyle w:val="R1"/>
        <w:keepNext/>
        <w:numPr>
          <w:ilvl w:val="0"/>
          <w:numId w:val="8"/>
        </w:numPr>
        <w:tabs>
          <w:tab w:val="clear" w:pos="794"/>
          <w:tab w:val="right" w:pos="1701"/>
        </w:tabs>
        <w:ind w:left="1418" w:hanging="425"/>
      </w:pPr>
      <w:r>
        <w:t>An Australian legal unit of measurement for a physical quantity may be formed by combining Australian legal units of measurement according to the mathematical relations linking the co</w:t>
      </w:r>
      <w:r w:rsidR="003D3CC2">
        <w:t>rresponding physical quantities.</w:t>
      </w:r>
    </w:p>
    <w:p w:rsidR="002741C9" w:rsidRPr="00FA5715" w:rsidRDefault="00233CD4" w:rsidP="00FA5715">
      <w:pPr>
        <w:pStyle w:val="R1"/>
        <w:keepNext/>
        <w:numPr>
          <w:ilvl w:val="0"/>
          <w:numId w:val="8"/>
        </w:numPr>
        <w:tabs>
          <w:tab w:val="clear" w:pos="794"/>
          <w:tab w:val="right" w:pos="1701"/>
        </w:tabs>
        <w:ind w:left="1418" w:hanging="425"/>
      </w:pPr>
      <w:r>
        <w:t>The resulting Australian legal unit of measurement may be represented by using a name or symbol that is itself formed from derived units.</w:t>
      </w:r>
    </w:p>
    <w:p w:rsidR="00D856E0" w:rsidRPr="00FA5715" w:rsidRDefault="00233CD4" w:rsidP="00FA5715">
      <w:pPr>
        <w:spacing w:before="120"/>
        <w:ind w:left="992"/>
      </w:pPr>
      <w:r w:rsidRPr="00950915">
        <w:rPr>
          <w:i/>
          <w:sz w:val="20"/>
          <w:szCs w:val="20"/>
        </w:rPr>
        <w:t>Example   pascal (pressure in newtons per square metre): Pa = N/m</w:t>
      </w:r>
      <w:r w:rsidRPr="00404D6C">
        <w:rPr>
          <w:i/>
          <w:sz w:val="20"/>
          <w:szCs w:val="20"/>
          <w:vertAlign w:val="superscript"/>
        </w:rPr>
        <w:t>2</w:t>
      </w:r>
      <w:r w:rsidRPr="00950915">
        <w:rPr>
          <w:i/>
          <w:sz w:val="20"/>
          <w:szCs w:val="20"/>
        </w:rPr>
        <w:t>.</w:t>
      </w:r>
    </w:p>
    <w:p w:rsidR="00233CD4" w:rsidRDefault="00233CD4" w:rsidP="004662C2">
      <w:pPr>
        <w:pStyle w:val="HR"/>
        <w:numPr>
          <w:ilvl w:val="0"/>
          <w:numId w:val="5"/>
        </w:numPr>
        <w:ind w:left="993"/>
        <w:outlineLvl w:val="0"/>
      </w:pPr>
      <w:bookmarkStart w:id="22" w:name="_Toc446412277"/>
      <w:bookmarkStart w:id="23" w:name="_Toc446412301"/>
      <w:r>
        <w:lastRenderedPageBreak/>
        <w:t>Combining Australian legal unit of measurement and prescribed SI prefix</w:t>
      </w:r>
      <w:bookmarkEnd w:id="22"/>
      <w:bookmarkEnd w:id="23"/>
    </w:p>
    <w:p w:rsidR="00233CD4" w:rsidRDefault="00233CD4" w:rsidP="00FA5715">
      <w:pPr>
        <w:pStyle w:val="R1"/>
        <w:keepNext/>
        <w:numPr>
          <w:ilvl w:val="0"/>
          <w:numId w:val="9"/>
        </w:numPr>
        <w:tabs>
          <w:tab w:val="clear" w:pos="794"/>
          <w:tab w:val="right" w:pos="1701"/>
        </w:tabs>
        <w:ind w:left="1418" w:hanging="425"/>
      </w:pPr>
      <w:r>
        <w:tab/>
        <w:t>A decimal multiple</w:t>
      </w:r>
      <w:r w:rsidR="00EE1C08">
        <w:t>,</w:t>
      </w:r>
      <w:r>
        <w:t xml:space="preserve"> or submultiple</w:t>
      </w:r>
      <w:r w:rsidR="00EE1C08">
        <w:t>,</w:t>
      </w:r>
      <w:r>
        <w:t xml:space="preserve"> of an Australian legal unit of measurement must be formed by using a single SI </w:t>
      </w:r>
      <w:r w:rsidR="00EE1C08">
        <w:t>P</w:t>
      </w:r>
      <w:r>
        <w:t>refix.</w:t>
      </w:r>
    </w:p>
    <w:p w:rsidR="00233CD4" w:rsidRDefault="00233CD4" w:rsidP="00FA5715">
      <w:pPr>
        <w:pStyle w:val="Note"/>
        <w:ind w:firstLine="454"/>
      </w:pPr>
      <w:r>
        <w:rPr>
          <w:i/>
        </w:rPr>
        <w:t>Example</w:t>
      </w:r>
      <w:r>
        <w:t>   Nanometre: 1 nm or 1 x 10</w:t>
      </w:r>
      <w:r>
        <w:rPr>
          <w:vertAlign w:val="superscript"/>
        </w:rPr>
        <w:t xml:space="preserve">-9 </w:t>
      </w:r>
      <w:r>
        <w:t xml:space="preserve">m, but not 1 </w:t>
      </w:r>
      <w:proofErr w:type="spellStart"/>
      <w:r>
        <w:t>mµm</w:t>
      </w:r>
      <w:proofErr w:type="spellEnd"/>
      <w:r>
        <w:t>.</w:t>
      </w:r>
    </w:p>
    <w:p w:rsidR="00233CD4" w:rsidRDefault="00233CD4" w:rsidP="00FA5715">
      <w:pPr>
        <w:pStyle w:val="R1"/>
        <w:keepNext/>
        <w:numPr>
          <w:ilvl w:val="0"/>
          <w:numId w:val="9"/>
        </w:numPr>
        <w:tabs>
          <w:tab w:val="clear" w:pos="794"/>
          <w:tab w:val="right" w:pos="1701"/>
        </w:tabs>
        <w:ind w:left="1418" w:hanging="425"/>
      </w:pPr>
      <w:r>
        <w:tab/>
      </w:r>
      <w:r w:rsidR="00EE1C08">
        <w:t>S</w:t>
      </w:r>
      <w:r>
        <w:t xml:space="preserve">ubsection </w:t>
      </w:r>
      <w:r w:rsidR="00EE1C08">
        <w:t>9</w:t>
      </w:r>
      <w:r>
        <w:t xml:space="preserve">(1) </w:t>
      </w:r>
      <w:r w:rsidR="009E3742">
        <w:t xml:space="preserve">of these Guidelines </w:t>
      </w:r>
      <w:r>
        <w:t xml:space="preserve">does not apply to </w:t>
      </w:r>
      <w:r>
        <w:rPr>
          <w:i/>
        </w:rPr>
        <w:t>kilogram</w:t>
      </w:r>
      <w:r>
        <w:t>.</w:t>
      </w:r>
    </w:p>
    <w:p w:rsidR="00233CD4" w:rsidRDefault="00233CD4" w:rsidP="00FA5715">
      <w:pPr>
        <w:pStyle w:val="Note"/>
        <w:ind w:firstLine="454"/>
      </w:pPr>
      <w:r>
        <w:rPr>
          <w:i/>
        </w:rPr>
        <w:t>Example</w:t>
      </w:r>
      <w:r w:rsidR="00E65717">
        <w:t>   kJ/kg</w:t>
      </w:r>
    </w:p>
    <w:p w:rsidR="00233CD4" w:rsidRDefault="00233CD4" w:rsidP="00FA5715">
      <w:pPr>
        <w:pStyle w:val="Note"/>
        <w:ind w:firstLine="454"/>
      </w:pPr>
      <w:r>
        <w:rPr>
          <w:i/>
        </w:rPr>
        <w:t>Note</w:t>
      </w:r>
      <w:r>
        <w:t xml:space="preserve">   Kilogram is an SI base unit of measurement: see </w:t>
      </w:r>
      <w:r w:rsidR="00EE1C08">
        <w:t>R</w:t>
      </w:r>
      <w:r>
        <w:t xml:space="preserve">egulations, </w:t>
      </w:r>
      <w:proofErr w:type="spellStart"/>
      <w:r>
        <w:t>Sch</w:t>
      </w:r>
      <w:proofErr w:type="spellEnd"/>
      <w:r>
        <w:t> 1, item 1.1.</w:t>
      </w:r>
    </w:p>
    <w:p w:rsidR="00233CD4" w:rsidRDefault="00233CD4" w:rsidP="00FA5715">
      <w:pPr>
        <w:pStyle w:val="R1"/>
        <w:keepNext/>
        <w:numPr>
          <w:ilvl w:val="0"/>
          <w:numId w:val="9"/>
        </w:numPr>
        <w:tabs>
          <w:tab w:val="clear" w:pos="794"/>
          <w:tab w:val="right" w:pos="1701"/>
        </w:tabs>
        <w:ind w:left="1418" w:hanging="425"/>
      </w:pPr>
      <w:r>
        <w:tab/>
        <w:t xml:space="preserve">An additional derived unit of measurement, mentioned in Part 4 of Schedule 1 to the </w:t>
      </w:r>
      <w:r w:rsidR="00EE1C08">
        <w:t>R</w:t>
      </w:r>
      <w:r>
        <w:t>egulations, may be combined with another Australian legal unit of measurement to form an Australian legal unit of measurement.</w:t>
      </w:r>
    </w:p>
    <w:p w:rsidR="00233CD4" w:rsidRDefault="00233CD4" w:rsidP="00FA5715">
      <w:pPr>
        <w:pStyle w:val="Note"/>
        <w:ind w:left="1418"/>
      </w:pPr>
      <w:r>
        <w:rPr>
          <w:i/>
        </w:rPr>
        <w:t>Note</w:t>
      </w:r>
      <w:r>
        <w:t>   An exponent associated with a symbol for an Australian legal unit of measurement indicates that the multiple</w:t>
      </w:r>
      <w:r w:rsidR="00EE1C08">
        <w:t>,</w:t>
      </w:r>
      <w:r>
        <w:t xml:space="preserve"> or </w:t>
      </w:r>
      <w:r w:rsidR="00EE1C08">
        <w:t>submultiple,</w:t>
      </w:r>
      <w:r>
        <w:t xml:space="preserve"> of the unit is raised to the power expressed by the exponent.</w:t>
      </w:r>
    </w:p>
    <w:p w:rsidR="00233CD4" w:rsidRDefault="00233CD4" w:rsidP="00FA5715">
      <w:pPr>
        <w:pStyle w:val="R1"/>
        <w:keepNext/>
        <w:numPr>
          <w:ilvl w:val="0"/>
          <w:numId w:val="9"/>
        </w:numPr>
        <w:tabs>
          <w:tab w:val="clear" w:pos="794"/>
          <w:tab w:val="right" w:pos="1701"/>
        </w:tabs>
        <w:ind w:left="1418" w:hanging="425"/>
      </w:pPr>
      <w:r>
        <w:tab/>
      </w:r>
      <w:r w:rsidR="00EE1C08">
        <w:t>T</w:t>
      </w:r>
      <w:r>
        <w:t>he combination of the unit and a prefix may be combined with other Australian legal unit of measurement symbols to form the symbol for a compound unit that is an Australian legal unit of measurement.</w:t>
      </w:r>
    </w:p>
    <w:p w:rsidR="00233CD4" w:rsidRDefault="00233CD4" w:rsidP="00FA5715">
      <w:pPr>
        <w:pStyle w:val="Note"/>
        <w:ind w:firstLine="454"/>
      </w:pPr>
      <w:r>
        <w:rPr>
          <w:i/>
        </w:rPr>
        <w:t>Example</w:t>
      </w:r>
      <w:r>
        <w:t>   </w:t>
      </w:r>
      <w:r w:rsidR="00A6786A">
        <w:t>Speed</w:t>
      </w:r>
      <w:r>
        <w:t xml:space="preserve"> in kilometres per hour: km/h.</w:t>
      </w:r>
    </w:p>
    <w:p w:rsidR="00233CD4" w:rsidRDefault="00233CD4" w:rsidP="00EE1C08">
      <w:pPr>
        <w:pStyle w:val="HR"/>
        <w:numPr>
          <w:ilvl w:val="0"/>
          <w:numId w:val="5"/>
        </w:numPr>
        <w:ind w:left="993"/>
        <w:outlineLvl w:val="0"/>
      </w:pPr>
      <w:bookmarkStart w:id="24" w:name="_Toc446412278"/>
      <w:bookmarkStart w:id="25" w:name="_Toc446412302"/>
      <w:r>
        <w:t>Australian legal units of measurement that must not be combined with prefixes</w:t>
      </w:r>
      <w:bookmarkEnd w:id="24"/>
      <w:bookmarkEnd w:id="25"/>
    </w:p>
    <w:p w:rsidR="00233CD4" w:rsidRDefault="00233CD4" w:rsidP="00FA5715">
      <w:pPr>
        <w:pStyle w:val="R1"/>
        <w:keepNext/>
        <w:numPr>
          <w:ilvl w:val="0"/>
          <w:numId w:val="10"/>
        </w:numPr>
        <w:tabs>
          <w:tab w:val="clear" w:pos="794"/>
          <w:tab w:val="right" w:pos="1701"/>
        </w:tabs>
        <w:ind w:left="1418" w:hanging="425"/>
      </w:pPr>
      <w:r>
        <w:tab/>
        <w:t>The following Australian legal units of measurement must not be combined with SI prefixes:</w:t>
      </w:r>
    </w:p>
    <w:p w:rsidR="00E65717" w:rsidRDefault="00E65717" w:rsidP="00007ACB">
      <w:pPr>
        <w:pStyle w:val="P1"/>
        <w:keepNext/>
        <w:spacing w:before="0"/>
        <w:ind w:left="0" w:firstLine="0"/>
        <w:sectPr w:rsidR="00E65717" w:rsidSect="00C02E0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1907" w:h="16839" w:code="9"/>
          <w:pgMar w:top="815" w:right="1797" w:bottom="1440" w:left="1797" w:header="720" w:footer="555" w:gutter="0"/>
          <w:cols w:space="708"/>
          <w:docGrid w:linePitch="360"/>
        </w:sectPr>
      </w:pPr>
    </w:p>
    <w:p w:rsidR="00233CD4" w:rsidRDefault="00233CD4" w:rsidP="00FA5715">
      <w:pPr>
        <w:pStyle w:val="P1"/>
        <w:numPr>
          <w:ilvl w:val="1"/>
          <w:numId w:val="2"/>
        </w:numPr>
        <w:tabs>
          <w:tab w:val="clear" w:pos="1191"/>
          <w:tab w:val="right" w:pos="1843"/>
        </w:tabs>
        <w:spacing w:before="120"/>
        <w:ind w:left="1985" w:hanging="567"/>
      </w:pPr>
      <w:r>
        <w:lastRenderedPageBreak/>
        <w:t>kilogram</w:t>
      </w:r>
    </w:p>
    <w:p w:rsidR="00233CD4" w:rsidRDefault="00233CD4" w:rsidP="00FA5715">
      <w:pPr>
        <w:pStyle w:val="P1"/>
        <w:numPr>
          <w:ilvl w:val="1"/>
          <w:numId w:val="2"/>
        </w:numPr>
        <w:tabs>
          <w:tab w:val="clear" w:pos="1191"/>
          <w:tab w:val="right" w:pos="1843"/>
        </w:tabs>
        <w:spacing w:before="120"/>
        <w:ind w:left="1985" w:hanging="567"/>
      </w:pPr>
      <w:r>
        <w:t>minute</w:t>
      </w:r>
    </w:p>
    <w:p w:rsidR="00233CD4" w:rsidRDefault="00233CD4" w:rsidP="00FA5715">
      <w:pPr>
        <w:pStyle w:val="P1"/>
        <w:numPr>
          <w:ilvl w:val="1"/>
          <w:numId w:val="2"/>
        </w:numPr>
        <w:tabs>
          <w:tab w:val="clear" w:pos="1191"/>
          <w:tab w:val="right" w:pos="1843"/>
        </w:tabs>
        <w:spacing w:before="120"/>
        <w:ind w:left="1985" w:hanging="567"/>
      </w:pPr>
      <w:r>
        <w:t>hour</w:t>
      </w:r>
    </w:p>
    <w:p w:rsidR="00233CD4" w:rsidRDefault="00233CD4" w:rsidP="00FA5715">
      <w:pPr>
        <w:pStyle w:val="P1"/>
        <w:numPr>
          <w:ilvl w:val="1"/>
          <w:numId w:val="2"/>
        </w:numPr>
        <w:tabs>
          <w:tab w:val="clear" w:pos="1191"/>
          <w:tab w:val="right" w:pos="1843"/>
        </w:tabs>
        <w:spacing w:before="120"/>
        <w:ind w:left="1985" w:hanging="567"/>
      </w:pPr>
      <w:r>
        <w:t>day</w:t>
      </w:r>
    </w:p>
    <w:p w:rsidR="00233CD4" w:rsidRDefault="00233CD4" w:rsidP="00FA5715">
      <w:pPr>
        <w:pStyle w:val="P1"/>
        <w:numPr>
          <w:ilvl w:val="1"/>
          <w:numId w:val="2"/>
        </w:numPr>
        <w:tabs>
          <w:tab w:val="clear" w:pos="1191"/>
          <w:tab w:val="right" w:pos="1843"/>
        </w:tabs>
        <w:spacing w:before="120"/>
        <w:ind w:left="1985" w:hanging="567"/>
      </w:pPr>
      <w:r>
        <w:t>decibel</w:t>
      </w:r>
    </w:p>
    <w:p w:rsidR="00233CD4" w:rsidRDefault="00233CD4" w:rsidP="00FA5715">
      <w:pPr>
        <w:pStyle w:val="P1"/>
        <w:numPr>
          <w:ilvl w:val="1"/>
          <w:numId w:val="2"/>
        </w:numPr>
        <w:tabs>
          <w:tab w:val="clear" w:pos="1191"/>
          <w:tab w:val="right" w:pos="1843"/>
        </w:tabs>
        <w:spacing w:before="120"/>
        <w:ind w:left="1985" w:hanging="567"/>
      </w:pPr>
      <w:r>
        <w:t>inch</w:t>
      </w:r>
    </w:p>
    <w:p w:rsidR="00233CD4" w:rsidRDefault="00233CD4" w:rsidP="00FA5715">
      <w:pPr>
        <w:pStyle w:val="P1"/>
        <w:numPr>
          <w:ilvl w:val="1"/>
          <w:numId w:val="2"/>
        </w:numPr>
        <w:tabs>
          <w:tab w:val="clear" w:pos="1191"/>
          <w:tab w:val="right" w:pos="1843"/>
        </w:tabs>
        <w:spacing w:before="120"/>
        <w:ind w:left="1985" w:hanging="567"/>
      </w:pPr>
      <w:r>
        <w:t>foot</w:t>
      </w:r>
    </w:p>
    <w:p w:rsidR="00233CD4" w:rsidRDefault="00233CD4" w:rsidP="00FA5715">
      <w:pPr>
        <w:pStyle w:val="P1"/>
        <w:numPr>
          <w:ilvl w:val="1"/>
          <w:numId w:val="2"/>
        </w:numPr>
        <w:tabs>
          <w:tab w:val="clear" w:pos="1191"/>
          <w:tab w:val="right" w:pos="1843"/>
        </w:tabs>
        <w:spacing w:before="120"/>
        <w:ind w:left="1985" w:hanging="567"/>
      </w:pPr>
      <w:r>
        <w:t>hectare</w:t>
      </w:r>
    </w:p>
    <w:p w:rsidR="00233CD4" w:rsidRDefault="00233CD4" w:rsidP="00FA5715">
      <w:pPr>
        <w:pStyle w:val="P1"/>
        <w:numPr>
          <w:ilvl w:val="1"/>
          <w:numId w:val="2"/>
        </w:numPr>
        <w:tabs>
          <w:tab w:val="clear" w:pos="1191"/>
          <w:tab w:val="right" w:pos="1843"/>
        </w:tabs>
        <w:spacing w:before="120"/>
        <w:ind w:left="1985" w:hanging="567"/>
      </w:pPr>
      <w:r>
        <w:t>ounce</w:t>
      </w:r>
    </w:p>
    <w:p w:rsidR="00233CD4" w:rsidRDefault="00233CD4" w:rsidP="00FA5715">
      <w:pPr>
        <w:pStyle w:val="P1"/>
        <w:numPr>
          <w:ilvl w:val="1"/>
          <w:numId w:val="2"/>
        </w:numPr>
        <w:tabs>
          <w:tab w:val="clear" w:pos="1191"/>
          <w:tab w:val="right" w:pos="1843"/>
        </w:tabs>
        <w:spacing w:before="120"/>
        <w:ind w:left="1985" w:hanging="567"/>
      </w:pPr>
      <w:r>
        <w:t>foot/minute</w:t>
      </w:r>
    </w:p>
    <w:p w:rsidR="00233CD4" w:rsidRDefault="00233CD4" w:rsidP="00FA5715">
      <w:pPr>
        <w:pStyle w:val="P1"/>
        <w:numPr>
          <w:ilvl w:val="1"/>
          <w:numId w:val="2"/>
        </w:numPr>
        <w:tabs>
          <w:tab w:val="clear" w:pos="1191"/>
          <w:tab w:val="right" w:pos="1843"/>
        </w:tabs>
        <w:spacing w:before="120"/>
        <w:ind w:left="1985" w:hanging="567"/>
      </w:pPr>
      <w:r>
        <w:t>degree</w:t>
      </w:r>
    </w:p>
    <w:p w:rsidR="00233CD4" w:rsidRDefault="00233CD4" w:rsidP="00FA5715">
      <w:pPr>
        <w:pStyle w:val="P1"/>
        <w:numPr>
          <w:ilvl w:val="1"/>
          <w:numId w:val="2"/>
        </w:numPr>
        <w:tabs>
          <w:tab w:val="clear" w:pos="1191"/>
          <w:tab w:val="right" w:pos="1843"/>
        </w:tabs>
        <w:spacing w:before="120"/>
        <w:ind w:left="1985" w:hanging="567"/>
      </w:pPr>
      <w:r>
        <w:t>minute</w:t>
      </w:r>
    </w:p>
    <w:p w:rsidR="00233CD4" w:rsidRDefault="00233CD4" w:rsidP="00FA5715">
      <w:pPr>
        <w:pStyle w:val="P1"/>
        <w:numPr>
          <w:ilvl w:val="1"/>
          <w:numId w:val="2"/>
        </w:numPr>
        <w:tabs>
          <w:tab w:val="clear" w:pos="1191"/>
          <w:tab w:val="right" w:pos="1843"/>
        </w:tabs>
        <w:spacing w:before="120"/>
        <w:ind w:left="1985" w:hanging="567"/>
      </w:pPr>
      <w:r>
        <w:t>second of arc</w:t>
      </w:r>
    </w:p>
    <w:p w:rsidR="00233CD4" w:rsidRDefault="00233CD4" w:rsidP="00FA5715">
      <w:pPr>
        <w:pStyle w:val="P1"/>
        <w:numPr>
          <w:ilvl w:val="1"/>
          <w:numId w:val="2"/>
        </w:numPr>
        <w:tabs>
          <w:tab w:val="clear" w:pos="1191"/>
          <w:tab w:val="right" w:pos="1843"/>
        </w:tabs>
        <w:spacing w:before="120"/>
        <w:ind w:left="1985" w:hanging="567"/>
      </w:pPr>
      <w:r>
        <w:t>radian</w:t>
      </w:r>
    </w:p>
    <w:p w:rsidR="00233CD4" w:rsidRDefault="00233CD4" w:rsidP="00FA5715">
      <w:pPr>
        <w:pStyle w:val="P1"/>
        <w:numPr>
          <w:ilvl w:val="1"/>
          <w:numId w:val="2"/>
        </w:numPr>
        <w:tabs>
          <w:tab w:val="clear" w:pos="1191"/>
          <w:tab w:val="right" w:pos="1843"/>
        </w:tabs>
        <w:spacing w:before="120"/>
        <w:ind w:left="1985" w:hanging="567"/>
      </w:pPr>
      <w:proofErr w:type="spellStart"/>
      <w:r>
        <w:t>steradian</w:t>
      </w:r>
      <w:proofErr w:type="spellEnd"/>
    </w:p>
    <w:p w:rsidR="00233CD4" w:rsidRDefault="00274E79" w:rsidP="00FA5715">
      <w:pPr>
        <w:pStyle w:val="P1"/>
        <w:numPr>
          <w:ilvl w:val="1"/>
          <w:numId w:val="2"/>
        </w:numPr>
        <w:tabs>
          <w:tab w:val="clear" w:pos="1191"/>
          <w:tab w:val="right" w:pos="1843"/>
        </w:tabs>
        <w:spacing w:before="120"/>
        <w:ind w:left="1985" w:hanging="567"/>
      </w:pPr>
      <w:r>
        <w:t>degree Celsius</w:t>
      </w:r>
      <w:r w:rsidR="00233CD4">
        <w:t xml:space="preserve"> </w:t>
      </w:r>
    </w:p>
    <w:p w:rsidR="00233CD4" w:rsidRDefault="00233CD4" w:rsidP="00007ACB">
      <w:pPr>
        <w:pStyle w:val="MainBodySectionBreak"/>
        <w:keepNext/>
        <w:spacing w:before="120"/>
        <w:sectPr w:rsidR="00233CD4" w:rsidSect="00897EA4">
          <w:type w:val="continuous"/>
          <w:pgSz w:w="11907" w:h="16839" w:code="9"/>
          <w:pgMar w:top="1440" w:right="1797" w:bottom="1440" w:left="1797" w:header="720" w:footer="720" w:gutter="0"/>
          <w:cols w:num="2" w:space="708"/>
          <w:docGrid w:linePitch="360"/>
        </w:sectPr>
      </w:pPr>
    </w:p>
    <w:p w:rsidR="00233CD4" w:rsidRDefault="00233CD4" w:rsidP="00FA5715">
      <w:pPr>
        <w:pStyle w:val="R1"/>
        <w:keepNext/>
        <w:numPr>
          <w:ilvl w:val="0"/>
          <w:numId w:val="10"/>
        </w:numPr>
        <w:tabs>
          <w:tab w:val="clear" w:pos="794"/>
          <w:tab w:val="right" w:pos="1701"/>
        </w:tabs>
        <w:ind w:left="1418" w:hanging="425"/>
      </w:pPr>
      <w:r>
        <w:lastRenderedPageBreak/>
        <w:tab/>
        <w:t xml:space="preserve">A decimal multiple or sub-multiple of </w:t>
      </w:r>
      <w:r>
        <w:rPr>
          <w:i/>
        </w:rPr>
        <w:t>kilogram</w:t>
      </w:r>
      <w:r>
        <w:t xml:space="preserve"> must be formed by attaching a prefix to </w:t>
      </w:r>
      <w:r>
        <w:rPr>
          <w:i/>
        </w:rPr>
        <w:t>gram</w:t>
      </w:r>
      <w:r>
        <w:t>.</w:t>
      </w:r>
    </w:p>
    <w:p w:rsidR="00233CD4" w:rsidRDefault="00233CD4" w:rsidP="00FA5715">
      <w:pPr>
        <w:pStyle w:val="Note"/>
        <w:ind w:firstLine="454"/>
      </w:pPr>
      <w:r>
        <w:rPr>
          <w:i/>
        </w:rPr>
        <w:t>Note</w:t>
      </w:r>
      <w:r>
        <w:t>   For historical reasons, kilogram already contains a prefix.</w:t>
      </w:r>
    </w:p>
    <w:p w:rsidR="00233CD4" w:rsidRDefault="00233CD4" w:rsidP="004662C2">
      <w:pPr>
        <w:pStyle w:val="HR"/>
        <w:numPr>
          <w:ilvl w:val="0"/>
          <w:numId w:val="5"/>
        </w:numPr>
        <w:ind w:left="993"/>
        <w:outlineLvl w:val="0"/>
      </w:pPr>
      <w:bookmarkStart w:id="26" w:name="_Toc446412279"/>
      <w:bookmarkStart w:id="27" w:name="_Toc446412303"/>
      <w:r>
        <w:t>Australian legal units of measurement that may only be combined with prefixes that form multiples of the unit</w:t>
      </w:r>
      <w:bookmarkEnd w:id="26"/>
      <w:bookmarkEnd w:id="27"/>
    </w:p>
    <w:p w:rsidR="00233CD4" w:rsidRDefault="00EE1C08" w:rsidP="00233CD4">
      <w:pPr>
        <w:pStyle w:val="R1"/>
      </w:pPr>
      <w:r>
        <w:tab/>
      </w:r>
      <w:r w:rsidR="00233CD4">
        <w:tab/>
      </w:r>
      <w:r w:rsidR="00233CD4">
        <w:rPr>
          <w:i/>
        </w:rPr>
        <w:t>Tonne</w:t>
      </w:r>
      <w:r w:rsidR="00233CD4">
        <w:t xml:space="preserve"> may be combined only with an SI </w:t>
      </w:r>
      <w:r>
        <w:t>P</w:t>
      </w:r>
      <w:r w:rsidR="00233CD4">
        <w:t xml:space="preserve">refix that gives a decimal multiple of </w:t>
      </w:r>
      <w:r w:rsidR="00233CD4">
        <w:rPr>
          <w:i/>
        </w:rPr>
        <w:t>tonne</w:t>
      </w:r>
      <w:r w:rsidR="00233CD4">
        <w:t>.</w:t>
      </w:r>
    </w:p>
    <w:p w:rsidR="00233CD4" w:rsidRDefault="00233CD4" w:rsidP="00233CD4">
      <w:pPr>
        <w:pStyle w:val="Note"/>
        <w:rPr>
          <w:i/>
        </w:rPr>
      </w:pPr>
      <w:proofErr w:type="gramStart"/>
      <w:r>
        <w:rPr>
          <w:i/>
        </w:rPr>
        <w:t>Example   </w:t>
      </w:r>
      <w:proofErr w:type="spellStart"/>
      <w:r>
        <w:t>kilotonne</w:t>
      </w:r>
      <w:proofErr w:type="spellEnd"/>
      <w:r>
        <w:t xml:space="preserve">, but not </w:t>
      </w:r>
      <w:proofErr w:type="spellStart"/>
      <w:r>
        <w:t>millitonne</w:t>
      </w:r>
      <w:proofErr w:type="spellEnd"/>
      <w:r w:rsidR="00274E79">
        <w:rPr>
          <w:i/>
        </w:rPr>
        <w:t>.</w:t>
      </w:r>
      <w:proofErr w:type="gramEnd"/>
    </w:p>
    <w:p w:rsidR="00233CD4" w:rsidRDefault="00233CD4" w:rsidP="004662C2">
      <w:pPr>
        <w:pStyle w:val="HR"/>
        <w:numPr>
          <w:ilvl w:val="0"/>
          <w:numId w:val="5"/>
        </w:numPr>
        <w:ind w:left="993"/>
        <w:outlineLvl w:val="0"/>
      </w:pPr>
      <w:bookmarkStart w:id="28" w:name="_Toc446412280"/>
      <w:bookmarkStart w:id="29" w:name="_Toc446412304"/>
      <w:r>
        <w:t>Combination of a prescribed SI prefix with a combination of Australian legal units of measurement</w:t>
      </w:r>
      <w:bookmarkEnd w:id="28"/>
      <w:bookmarkEnd w:id="29"/>
    </w:p>
    <w:p w:rsidR="00233CD4" w:rsidRDefault="00233CD4" w:rsidP="00233CD4">
      <w:pPr>
        <w:pStyle w:val="R1"/>
      </w:pPr>
      <w:r>
        <w:tab/>
      </w:r>
      <w:r>
        <w:tab/>
        <w:t xml:space="preserve">An Australian legal unit of measurement may be formed from a combination of Australian legal units of measurement under section </w:t>
      </w:r>
      <w:r w:rsidR="009E3742">
        <w:t xml:space="preserve">8 </w:t>
      </w:r>
      <w:r w:rsidR="00EE1C08">
        <w:t xml:space="preserve">of these Guidelines </w:t>
      </w:r>
      <w:r>
        <w:t xml:space="preserve">and the use of an SI </w:t>
      </w:r>
      <w:r w:rsidR="00EE1C08">
        <w:t>P</w:t>
      </w:r>
      <w:r>
        <w:t>refix.</w:t>
      </w:r>
    </w:p>
    <w:p w:rsidR="00233CD4" w:rsidRDefault="00233CD4" w:rsidP="00233CD4">
      <w:pPr>
        <w:pStyle w:val="Note"/>
      </w:pPr>
      <w:r>
        <w:rPr>
          <w:i/>
        </w:rPr>
        <w:t>Example</w:t>
      </w:r>
      <w:r>
        <w:t>   </w:t>
      </w:r>
      <w:r w:rsidR="005D3C6B">
        <w:t>speed</w:t>
      </w:r>
      <w:r>
        <w:t xml:space="preserve"> (km/h):</w:t>
      </w:r>
    </w:p>
    <w:p w:rsidR="00233CD4" w:rsidRDefault="00233CD4" w:rsidP="00233CD4">
      <w:pPr>
        <w:pStyle w:val="Note"/>
      </w:pPr>
      <w:r>
        <w:t>Metre and hour are Australian legal units of measurement: see subs</w:t>
      </w:r>
      <w:r w:rsidR="00EE1C08">
        <w:t>ection</w:t>
      </w:r>
      <w:r>
        <w:t> 3 (1)</w:t>
      </w:r>
      <w:r w:rsidR="00EE1C08">
        <w:t xml:space="preserve"> of the Act</w:t>
      </w:r>
      <w:r>
        <w:t xml:space="preserve">, definition of </w:t>
      </w:r>
      <w:r>
        <w:rPr>
          <w:b/>
          <w:i/>
        </w:rPr>
        <w:t>Australian legal unit of measurement</w:t>
      </w:r>
      <w:r>
        <w:t xml:space="preserve">, para (a) and </w:t>
      </w:r>
      <w:proofErr w:type="spellStart"/>
      <w:r>
        <w:t>Sch</w:t>
      </w:r>
      <w:proofErr w:type="spellEnd"/>
      <w:r>
        <w:t xml:space="preserve"> 1 of the </w:t>
      </w:r>
      <w:r w:rsidR="00B2118C">
        <w:t>R</w:t>
      </w:r>
      <w:r>
        <w:t>egulations.</w:t>
      </w:r>
    </w:p>
    <w:p w:rsidR="00233CD4" w:rsidRDefault="00233CD4" w:rsidP="00233CD4">
      <w:pPr>
        <w:pStyle w:val="Note"/>
      </w:pPr>
      <w:r>
        <w:t>Metre and hour may be combined to form the Australian legal unit of measurement metre per hour (m/h): see subs</w:t>
      </w:r>
      <w:r w:rsidR="00B2118C">
        <w:t>ection</w:t>
      </w:r>
      <w:r>
        <w:t> 3 (1)</w:t>
      </w:r>
      <w:r w:rsidR="00B2118C">
        <w:t xml:space="preserve"> of the Act</w:t>
      </w:r>
      <w:r>
        <w:t xml:space="preserve">, definition of </w:t>
      </w:r>
      <w:r>
        <w:rPr>
          <w:b/>
          <w:i/>
        </w:rPr>
        <w:t>Australian legal unit of measurement</w:t>
      </w:r>
      <w:r>
        <w:t>, para (b).</w:t>
      </w:r>
    </w:p>
    <w:p w:rsidR="00233CD4" w:rsidRDefault="00233CD4" w:rsidP="00233CD4">
      <w:pPr>
        <w:pStyle w:val="Note"/>
      </w:pPr>
      <w:r>
        <w:t>Metre per hour</w:t>
      </w:r>
      <w:r>
        <w:rPr>
          <w:i/>
        </w:rPr>
        <w:t xml:space="preserve"> </w:t>
      </w:r>
      <w:r>
        <w:t xml:space="preserve">may be further combined with the SI </w:t>
      </w:r>
      <w:r w:rsidR="00B2118C">
        <w:t>P</w:t>
      </w:r>
      <w:r>
        <w:t>refix kilo (k) to form the Australian legal unit of measurement kilometre per hour (km/h): see subs 3 (1)</w:t>
      </w:r>
      <w:r w:rsidR="00B2118C">
        <w:t xml:space="preserve"> of the Act</w:t>
      </w:r>
      <w:r>
        <w:t xml:space="preserve">, definition of </w:t>
      </w:r>
      <w:r>
        <w:rPr>
          <w:b/>
          <w:i/>
        </w:rPr>
        <w:t>Australian legal unit of measurement</w:t>
      </w:r>
      <w:r>
        <w:t>, paragraph (b).</w:t>
      </w:r>
    </w:p>
    <w:p w:rsidR="00233CD4" w:rsidRDefault="00233CD4" w:rsidP="004662C2">
      <w:pPr>
        <w:pStyle w:val="HR"/>
        <w:numPr>
          <w:ilvl w:val="0"/>
          <w:numId w:val="5"/>
        </w:numPr>
        <w:ind w:left="993"/>
        <w:outlineLvl w:val="0"/>
      </w:pPr>
      <w:bookmarkStart w:id="30" w:name="_Toc446412281"/>
      <w:bookmarkStart w:id="31" w:name="_Toc446412305"/>
      <w:r>
        <w:t>Expression of Australian legal units of measurement</w:t>
      </w:r>
      <w:bookmarkEnd w:id="30"/>
      <w:bookmarkEnd w:id="31"/>
    </w:p>
    <w:p w:rsidR="00233CD4" w:rsidRDefault="00233CD4" w:rsidP="00950915">
      <w:pPr>
        <w:pStyle w:val="R1"/>
        <w:keepNext/>
        <w:numPr>
          <w:ilvl w:val="0"/>
          <w:numId w:val="11"/>
        </w:numPr>
        <w:tabs>
          <w:tab w:val="clear" w:pos="794"/>
          <w:tab w:val="right" w:pos="1701"/>
        </w:tabs>
        <w:ind w:left="1418" w:hanging="425"/>
      </w:pPr>
      <w:r>
        <w:tab/>
        <w:t>Names and symbols of Australian legal units of measurement must not be used together in the same expression.</w:t>
      </w:r>
    </w:p>
    <w:p w:rsidR="00233CD4" w:rsidRDefault="00233CD4" w:rsidP="00950915">
      <w:pPr>
        <w:pStyle w:val="Note"/>
        <w:ind w:firstLine="454"/>
      </w:pPr>
      <w:proofErr w:type="gramStart"/>
      <w:r>
        <w:rPr>
          <w:i/>
        </w:rPr>
        <w:t>Example</w:t>
      </w:r>
      <w:r w:rsidR="00274E79">
        <w:t>   km/h, but not kilometre/h.</w:t>
      </w:r>
      <w:proofErr w:type="gramEnd"/>
    </w:p>
    <w:p w:rsidR="00233CD4" w:rsidRDefault="00233CD4" w:rsidP="00950915">
      <w:pPr>
        <w:pStyle w:val="R1"/>
        <w:keepNext/>
        <w:numPr>
          <w:ilvl w:val="0"/>
          <w:numId w:val="11"/>
        </w:numPr>
        <w:tabs>
          <w:tab w:val="clear" w:pos="794"/>
          <w:tab w:val="right" w:pos="1701"/>
        </w:tabs>
        <w:ind w:left="1418" w:hanging="425"/>
      </w:pPr>
      <w:r>
        <w:tab/>
        <w:t>An adjective or sign must not be added to the name or symbol of an Australian legal unit of measurement.</w:t>
      </w:r>
    </w:p>
    <w:p w:rsidR="00233CD4" w:rsidRDefault="00233CD4" w:rsidP="00950915">
      <w:pPr>
        <w:pStyle w:val="Note"/>
        <w:ind w:firstLine="454"/>
      </w:pPr>
      <w:r>
        <w:rPr>
          <w:i/>
        </w:rPr>
        <w:t>Example</w:t>
      </w:r>
      <w:proofErr w:type="gramStart"/>
      <w:r>
        <w:t>   </w:t>
      </w:r>
      <w:proofErr w:type="spellStart"/>
      <w:r>
        <w:t>W</w:t>
      </w:r>
      <w:r>
        <w:rPr>
          <w:vertAlign w:val="subscript"/>
        </w:rPr>
        <w:t>a</w:t>
      </w:r>
      <w:proofErr w:type="spellEnd"/>
      <w:proofErr w:type="gramEnd"/>
      <w:r>
        <w:t xml:space="preserve"> cannot be used as the unit of acoustic power.</w:t>
      </w:r>
    </w:p>
    <w:p w:rsidR="00233CD4" w:rsidRDefault="00233CD4" w:rsidP="00950915">
      <w:pPr>
        <w:pStyle w:val="R1"/>
        <w:keepNext/>
        <w:numPr>
          <w:ilvl w:val="0"/>
          <w:numId w:val="11"/>
        </w:numPr>
        <w:tabs>
          <w:tab w:val="clear" w:pos="794"/>
          <w:tab w:val="right" w:pos="1701"/>
        </w:tabs>
        <w:ind w:left="1418" w:hanging="425"/>
      </w:pPr>
      <w:r>
        <w:tab/>
        <w:t xml:space="preserve">The symbol for an SI </w:t>
      </w:r>
      <w:r w:rsidR="00920673">
        <w:t>P</w:t>
      </w:r>
      <w:r>
        <w:t>refix must be placed immediately before the symbol of the Australian legal unit of measurement to which it refers, without an intermediate space.</w:t>
      </w:r>
    </w:p>
    <w:p w:rsidR="00233CD4" w:rsidRDefault="00233CD4" w:rsidP="00950915">
      <w:pPr>
        <w:pStyle w:val="Note"/>
        <w:ind w:left="1418"/>
      </w:pPr>
      <w:r>
        <w:rPr>
          <w:i/>
        </w:rPr>
        <w:t>Examples</w:t>
      </w:r>
    </w:p>
    <w:p w:rsidR="00233CD4" w:rsidRDefault="00233CD4" w:rsidP="00950915">
      <w:pPr>
        <w:pStyle w:val="Note"/>
        <w:spacing w:before="60"/>
        <w:ind w:left="1418"/>
      </w:pPr>
      <w:r>
        <w:t>1   </w:t>
      </w:r>
      <w:proofErr w:type="spellStart"/>
      <w:r>
        <w:t>milliwatt</w:t>
      </w:r>
      <w:proofErr w:type="spellEnd"/>
      <w:r>
        <w:t xml:space="preserve">: </w:t>
      </w:r>
      <w:proofErr w:type="spellStart"/>
      <w:r>
        <w:t>mW</w:t>
      </w:r>
      <w:proofErr w:type="spellEnd"/>
    </w:p>
    <w:p w:rsidR="00233CD4" w:rsidRDefault="00233CD4" w:rsidP="00950915">
      <w:pPr>
        <w:pStyle w:val="Note"/>
        <w:spacing w:before="60"/>
        <w:ind w:left="1418"/>
      </w:pPr>
      <w:r>
        <w:t>2</w:t>
      </w:r>
      <w:proofErr w:type="gramStart"/>
      <w:r>
        <w:t>   kilometre</w:t>
      </w:r>
      <w:proofErr w:type="gramEnd"/>
      <w:r>
        <w:t>: km</w:t>
      </w:r>
    </w:p>
    <w:p w:rsidR="00233CD4" w:rsidRDefault="00233CD4" w:rsidP="00950915">
      <w:pPr>
        <w:pStyle w:val="Note"/>
        <w:spacing w:before="60"/>
        <w:ind w:left="1418"/>
      </w:pPr>
      <w:r>
        <w:t>3   </w:t>
      </w:r>
      <w:proofErr w:type="spellStart"/>
      <w:r>
        <w:t>gigatonne</w:t>
      </w:r>
      <w:proofErr w:type="spellEnd"/>
      <w:r>
        <w:t>: Gt</w:t>
      </w:r>
    </w:p>
    <w:p w:rsidR="00233CD4" w:rsidRDefault="00233CD4" w:rsidP="00950915">
      <w:pPr>
        <w:pStyle w:val="Note"/>
        <w:spacing w:before="60"/>
        <w:ind w:left="1418"/>
      </w:pPr>
      <w:r>
        <w:t>4</w:t>
      </w:r>
      <w:r w:rsidR="00274E79">
        <w:t>   </w:t>
      </w:r>
      <w:proofErr w:type="spellStart"/>
      <w:r w:rsidR="00274E79">
        <w:t>megajoule</w:t>
      </w:r>
      <w:proofErr w:type="spellEnd"/>
      <w:r w:rsidR="00274E79">
        <w:t>: MJ</w:t>
      </w:r>
    </w:p>
    <w:p w:rsidR="00233CD4" w:rsidRDefault="00233CD4" w:rsidP="00950915">
      <w:pPr>
        <w:pStyle w:val="R1"/>
        <w:keepNext/>
        <w:numPr>
          <w:ilvl w:val="0"/>
          <w:numId w:val="11"/>
        </w:numPr>
        <w:tabs>
          <w:tab w:val="clear" w:pos="794"/>
          <w:tab w:val="right" w:pos="1701"/>
        </w:tabs>
        <w:ind w:left="1418" w:hanging="425"/>
      </w:pPr>
      <w:r>
        <w:lastRenderedPageBreak/>
        <w:tab/>
        <w:t>For a decimal multiple or submultiple of an Australian unit of measurement that is expressed as a fraction, an SI prefix:</w:t>
      </w:r>
    </w:p>
    <w:p w:rsidR="00233CD4" w:rsidRDefault="00233CD4" w:rsidP="00950915">
      <w:pPr>
        <w:pStyle w:val="P1"/>
        <w:numPr>
          <w:ilvl w:val="1"/>
          <w:numId w:val="13"/>
        </w:numPr>
        <w:ind w:left="1843"/>
      </w:pPr>
      <w:r>
        <w:t>may precede the Australian legal unit of measurement in the numerator or the denominator, or both if there is no other way to form an unambiguous expression; and</w:t>
      </w:r>
    </w:p>
    <w:p w:rsidR="00233CD4" w:rsidRDefault="00233CD4" w:rsidP="00950915">
      <w:pPr>
        <w:pStyle w:val="P1"/>
        <w:numPr>
          <w:ilvl w:val="1"/>
          <w:numId w:val="13"/>
        </w:numPr>
        <w:ind w:left="1843"/>
      </w:pPr>
      <w:proofErr w:type="gramStart"/>
      <w:r>
        <w:t>should</w:t>
      </w:r>
      <w:proofErr w:type="gramEnd"/>
      <w:r>
        <w:t xml:space="preserve"> precede the Australian legal unit of measurement in the numerator.</w:t>
      </w:r>
    </w:p>
    <w:p w:rsidR="00233CD4" w:rsidRDefault="00233CD4" w:rsidP="00950915">
      <w:pPr>
        <w:pStyle w:val="Note"/>
        <w:ind w:firstLine="476"/>
        <w:rPr>
          <w:i/>
        </w:rPr>
      </w:pPr>
      <w:r>
        <w:rPr>
          <w:i/>
        </w:rPr>
        <w:t>Examples</w:t>
      </w:r>
    </w:p>
    <w:p w:rsidR="00233CD4" w:rsidRDefault="00233CD4" w:rsidP="00950915">
      <w:pPr>
        <w:pStyle w:val="Note"/>
        <w:ind w:firstLine="476"/>
      </w:pPr>
      <w:r>
        <w:t>1   km/s, but not mm/</w:t>
      </w:r>
      <w:r>
        <w:sym w:font="Symbol" w:char="F06D"/>
      </w:r>
      <w:r>
        <w:t>s or m/</w:t>
      </w:r>
      <w:proofErr w:type="spellStart"/>
      <w:r>
        <w:t>ms</w:t>
      </w:r>
      <w:proofErr w:type="spellEnd"/>
    </w:p>
    <w:p w:rsidR="00233CD4" w:rsidRDefault="00233CD4" w:rsidP="00950915">
      <w:pPr>
        <w:pStyle w:val="Note"/>
        <w:ind w:firstLine="476"/>
      </w:pPr>
      <w:r>
        <w:t>2</w:t>
      </w:r>
      <w:r w:rsidR="00274E79">
        <w:t>   mm/s, but not m/</w:t>
      </w:r>
      <w:proofErr w:type="spellStart"/>
      <w:r w:rsidR="00274E79">
        <w:t>ks</w:t>
      </w:r>
      <w:proofErr w:type="spellEnd"/>
    </w:p>
    <w:p w:rsidR="00233CD4" w:rsidRDefault="00233CD4" w:rsidP="00950915">
      <w:pPr>
        <w:pStyle w:val="R1"/>
        <w:keepNext/>
        <w:numPr>
          <w:ilvl w:val="0"/>
          <w:numId w:val="11"/>
        </w:numPr>
        <w:tabs>
          <w:tab w:val="clear" w:pos="794"/>
          <w:tab w:val="right" w:pos="1701"/>
        </w:tabs>
        <w:ind w:left="1418" w:hanging="425"/>
      </w:pPr>
      <w:r>
        <w:tab/>
        <w:t xml:space="preserve">Only a single SI </w:t>
      </w:r>
      <w:r w:rsidR="00950915">
        <w:t>P</w:t>
      </w:r>
      <w:r>
        <w:t>refix may be used to form a multiple of a derived Australian legal unit of measurement.</w:t>
      </w:r>
    </w:p>
    <w:p w:rsidR="00233CD4" w:rsidRDefault="00233CD4" w:rsidP="00950915">
      <w:pPr>
        <w:pStyle w:val="R1"/>
        <w:keepNext/>
        <w:numPr>
          <w:ilvl w:val="0"/>
          <w:numId w:val="11"/>
        </w:numPr>
        <w:tabs>
          <w:tab w:val="clear" w:pos="794"/>
          <w:tab w:val="right" w:pos="1701"/>
        </w:tabs>
        <w:ind w:left="1418" w:hanging="425"/>
      </w:pPr>
      <w:r>
        <w:tab/>
        <w:t>The product symbol is:</w:t>
      </w:r>
    </w:p>
    <w:p w:rsidR="00233CD4" w:rsidRDefault="00274E79" w:rsidP="00950915">
      <w:pPr>
        <w:pStyle w:val="P1"/>
        <w:numPr>
          <w:ilvl w:val="0"/>
          <w:numId w:val="14"/>
        </w:numPr>
        <w:ind w:left="1843"/>
      </w:pPr>
      <w:r>
        <w:t xml:space="preserve">a dot (·); </w:t>
      </w:r>
    </w:p>
    <w:p w:rsidR="00D856E0" w:rsidRDefault="00233CD4" w:rsidP="00950915">
      <w:pPr>
        <w:pStyle w:val="P1"/>
        <w:numPr>
          <w:ilvl w:val="0"/>
          <w:numId w:val="14"/>
        </w:numPr>
        <w:ind w:left="1843"/>
      </w:pPr>
      <w:r>
        <w:t>if the resulting expression is unambiguous — a full stop (.)</w:t>
      </w:r>
      <w:r w:rsidR="00D856E0">
        <w:t>; or</w:t>
      </w:r>
    </w:p>
    <w:p w:rsidR="00D856E0" w:rsidRDefault="00D856E0" w:rsidP="00950915">
      <w:pPr>
        <w:pStyle w:val="P1"/>
        <w:numPr>
          <w:ilvl w:val="0"/>
          <w:numId w:val="14"/>
        </w:numPr>
        <w:ind w:left="1843"/>
      </w:pPr>
      <w:proofErr w:type="gramStart"/>
      <w:r>
        <w:t>if</w:t>
      </w:r>
      <w:proofErr w:type="gramEnd"/>
      <w:r>
        <w:t xml:space="preserve"> the symbol</w:t>
      </w:r>
      <w:r w:rsidR="00FA395F">
        <w:t xml:space="preserve"> </w:t>
      </w:r>
      <w:r>
        <w:t xml:space="preserve">for an Australian legal unit of measurement is not the same as an SI prefix </w:t>
      </w:r>
      <w:r w:rsidR="00E65717">
        <w:t>—</w:t>
      </w:r>
      <w:r>
        <w:t xml:space="preserve"> a </w:t>
      </w:r>
      <w:r w:rsidR="00271F44">
        <w:t>space</w:t>
      </w:r>
      <w:r w:rsidR="00FA395F">
        <w:t>.</w:t>
      </w:r>
    </w:p>
    <w:p w:rsidR="00FA395F" w:rsidRDefault="00FA395F" w:rsidP="00274E79">
      <w:pPr>
        <w:pStyle w:val="Note"/>
        <w:ind w:left="1418"/>
      </w:pPr>
      <w:r>
        <w:rPr>
          <w:i/>
        </w:rPr>
        <w:t>Example</w:t>
      </w:r>
      <w:r>
        <w:t xml:space="preserve">   Thermal resistivity (metre kelvin per watt): </w:t>
      </w:r>
      <w:proofErr w:type="spellStart"/>
      <w:r>
        <w:t>m·K</w:t>
      </w:r>
      <w:proofErr w:type="spellEnd"/>
      <w:r>
        <w:t xml:space="preserve">/W, not m K/W which may be confused with </w:t>
      </w:r>
      <w:proofErr w:type="spellStart"/>
      <w:r>
        <w:t>millikelvin</w:t>
      </w:r>
      <w:proofErr w:type="spellEnd"/>
      <w:r>
        <w:t xml:space="preserve"> per watt (</w:t>
      </w:r>
      <w:proofErr w:type="spellStart"/>
      <w:r>
        <w:t>mK</w:t>
      </w:r>
      <w:proofErr w:type="spellEnd"/>
      <w:r>
        <w:t>/W).</w:t>
      </w:r>
    </w:p>
    <w:p w:rsidR="00233CD4" w:rsidRDefault="00233CD4" w:rsidP="00950915">
      <w:pPr>
        <w:pStyle w:val="R1"/>
        <w:keepNext/>
        <w:numPr>
          <w:ilvl w:val="0"/>
          <w:numId w:val="11"/>
        </w:numPr>
        <w:tabs>
          <w:tab w:val="clear" w:pos="794"/>
          <w:tab w:val="right" w:pos="1701"/>
        </w:tabs>
        <w:ind w:left="1418" w:hanging="425"/>
        <w:rPr>
          <w:b/>
        </w:rPr>
      </w:pPr>
      <w:r>
        <w:tab/>
        <w:t>The product symbol must be used only with symbols that represent Australian legal units of measurement.</w:t>
      </w:r>
    </w:p>
    <w:p w:rsidR="00233CD4" w:rsidRDefault="00233CD4" w:rsidP="00950915">
      <w:pPr>
        <w:pStyle w:val="Note"/>
        <w:ind w:firstLine="454"/>
      </w:pPr>
      <w:r>
        <w:rPr>
          <w:i/>
        </w:rPr>
        <w:t>Example</w:t>
      </w:r>
      <w:r>
        <w:t>   </w:t>
      </w:r>
      <w:proofErr w:type="spellStart"/>
      <w:r>
        <w:t>N</w:t>
      </w:r>
      <w:r w:rsidR="00274E79">
        <w:t>·m</w:t>
      </w:r>
      <w:proofErr w:type="spellEnd"/>
      <w:r w:rsidR="00274E79">
        <w:t xml:space="preserve"> or N m, but not </w:t>
      </w:r>
      <w:proofErr w:type="spellStart"/>
      <w:r w:rsidR="00274E79">
        <w:t>Newton·meter</w:t>
      </w:r>
      <w:proofErr w:type="spellEnd"/>
    </w:p>
    <w:p w:rsidR="00233CD4" w:rsidRDefault="00233CD4" w:rsidP="00950915">
      <w:pPr>
        <w:pStyle w:val="R1"/>
        <w:keepNext/>
        <w:numPr>
          <w:ilvl w:val="0"/>
          <w:numId w:val="11"/>
        </w:numPr>
        <w:tabs>
          <w:tab w:val="clear" w:pos="794"/>
          <w:tab w:val="right" w:pos="1701"/>
        </w:tabs>
        <w:ind w:left="1418" w:hanging="425"/>
      </w:pPr>
      <w:r>
        <w:tab/>
        <w:t>An Australian legal unit of measurement derived from the division of 2 other Australian legal units of measurement may be expressed using an oblique stroke (/), a horizontal line or a negative exponent to produce an unambiguous expression.</w:t>
      </w:r>
    </w:p>
    <w:p w:rsidR="00233CD4" w:rsidRDefault="00233CD4" w:rsidP="00950915">
      <w:pPr>
        <w:pStyle w:val="Note"/>
        <w:spacing w:line="240" w:lineRule="auto"/>
        <w:ind w:firstLine="454"/>
      </w:pPr>
      <w:r>
        <w:rPr>
          <w:i/>
        </w:rPr>
        <w:t>Example</w:t>
      </w:r>
      <w:r>
        <w:t xml:space="preserve">   m/s, </w:t>
      </w:r>
      <w:r w:rsidRPr="00AC4708">
        <w:rPr>
          <w:position w:val="-22"/>
        </w:rPr>
        <w:object w:dxaOrig="26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27.75pt" o:ole="" fillcolor="window">
            <v:imagedata r:id="rId24" o:title=""/>
          </v:shape>
          <o:OLEObject Type="Embed" ProgID="Equation.DSMT4" ShapeID="_x0000_i1025" DrawAspect="Content" ObjectID="_1522243518" r:id="rId25"/>
        </w:object>
      </w:r>
      <w:r>
        <w:t xml:space="preserve"> or m·s</w:t>
      </w:r>
      <w:r>
        <w:rPr>
          <w:vertAlign w:val="superscript"/>
        </w:rPr>
        <w:t>-1</w:t>
      </w:r>
    </w:p>
    <w:p w:rsidR="00233CD4" w:rsidRDefault="00233CD4" w:rsidP="00950915">
      <w:pPr>
        <w:pStyle w:val="R1"/>
        <w:keepNext/>
        <w:numPr>
          <w:ilvl w:val="0"/>
          <w:numId w:val="11"/>
        </w:numPr>
        <w:tabs>
          <w:tab w:val="clear" w:pos="794"/>
          <w:tab w:val="right" w:pos="1701"/>
        </w:tabs>
        <w:ind w:left="1418" w:hanging="425"/>
      </w:pPr>
      <w:r>
        <w:tab/>
        <w:t>The oblique stroke must not be repeated on a line unless ambiguity is avoided by the use of parentheses.  In a complex expression, negative exponents or parentheses must be used.</w:t>
      </w:r>
    </w:p>
    <w:p w:rsidR="00233CD4" w:rsidRDefault="00233CD4" w:rsidP="00950915">
      <w:pPr>
        <w:pStyle w:val="Note"/>
        <w:keepNext/>
        <w:keepLines/>
        <w:ind w:firstLine="454"/>
        <w:rPr>
          <w:i/>
        </w:rPr>
      </w:pPr>
      <w:r>
        <w:rPr>
          <w:i/>
        </w:rPr>
        <w:t>Examples</w:t>
      </w:r>
    </w:p>
    <w:p w:rsidR="00233CD4" w:rsidRDefault="00233CD4" w:rsidP="00950915">
      <w:pPr>
        <w:pStyle w:val="Note"/>
        <w:spacing w:before="60" w:line="240" w:lineRule="auto"/>
        <w:ind w:firstLine="476"/>
      </w:pPr>
      <w:r>
        <w:t>1</w:t>
      </w:r>
      <w:r>
        <w:rPr>
          <w:i/>
        </w:rPr>
        <w:t>   </w:t>
      </w:r>
      <w:r>
        <w:t>m/s</w:t>
      </w:r>
      <w:r>
        <w:rPr>
          <w:vertAlign w:val="superscript"/>
        </w:rPr>
        <w:t>2</w:t>
      </w:r>
      <w:r>
        <w:t xml:space="preserve">, </w:t>
      </w:r>
      <w:r w:rsidRPr="00400BDF">
        <w:rPr>
          <w:position w:val="-32"/>
        </w:rPr>
        <w:object w:dxaOrig="320" w:dyaOrig="680">
          <v:shape id="_x0000_i1026" type="#_x0000_t75" style="width:15.75pt;height:33.75pt" o:ole="" fillcolor="window">
            <v:imagedata r:id="rId26" o:title=""/>
          </v:shape>
          <o:OLEObject Type="Embed" ProgID="Equation.DSMT4" ShapeID="_x0000_i1026" DrawAspect="Content" ObjectID="_1522243519" r:id="rId27"/>
        </w:object>
      </w:r>
      <w:r>
        <w:t xml:space="preserve"> or m</w:t>
      </w:r>
      <w:r w:rsidR="00274E79">
        <w:t>·</w:t>
      </w:r>
      <w:r>
        <w:t>s</w:t>
      </w:r>
      <w:r>
        <w:rPr>
          <w:vertAlign w:val="superscript"/>
        </w:rPr>
        <w:t>-2</w:t>
      </w:r>
      <w:r>
        <w:t>, but not m/s/s</w:t>
      </w:r>
    </w:p>
    <w:p w:rsidR="00233CD4" w:rsidRDefault="00233CD4" w:rsidP="00950915">
      <w:pPr>
        <w:pStyle w:val="Note"/>
        <w:spacing w:before="0"/>
        <w:ind w:firstLine="454"/>
      </w:pPr>
      <w:r>
        <w:t>2   </w:t>
      </w:r>
      <w:proofErr w:type="spellStart"/>
      <w:r>
        <w:t>m·kg</w:t>
      </w:r>
      <w:proofErr w:type="spellEnd"/>
      <w:proofErr w:type="gramStart"/>
      <w:r>
        <w:t>/(</w:t>
      </w:r>
      <w:proofErr w:type="gramEnd"/>
      <w:r>
        <w:t>s</w:t>
      </w:r>
      <w:r>
        <w:rPr>
          <w:vertAlign w:val="superscript"/>
        </w:rPr>
        <w:t>3</w:t>
      </w:r>
      <w:r>
        <w:t>·A) or m·kg·s</w:t>
      </w:r>
      <w:r>
        <w:rPr>
          <w:vertAlign w:val="superscript"/>
        </w:rPr>
        <w:t>-3</w:t>
      </w:r>
      <w:r>
        <w:t>·A</w:t>
      </w:r>
      <w:r>
        <w:rPr>
          <w:vertAlign w:val="superscript"/>
        </w:rPr>
        <w:t>-1</w:t>
      </w:r>
      <w:r>
        <w:t xml:space="preserve">, but not </w:t>
      </w:r>
      <w:proofErr w:type="spellStart"/>
      <w:r>
        <w:t>m·kg</w:t>
      </w:r>
      <w:proofErr w:type="spellEnd"/>
      <w:r>
        <w:t>/s</w:t>
      </w:r>
      <w:r>
        <w:rPr>
          <w:vertAlign w:val="superscript"/>
        </w:rPr>
        <w:t>3</w:t>
      </w:r>
      <w:r w:rsidR="00274E79">
        <w:t>/A</w:t>
      </w:r>
    </w:p>
    <w:p w:rsidR="00233CD4" w:rsidRDefault="00233CD4" w:rsidP="00950915">
      <w:pPr>
        <w:pStyle w:val="R1"/>
        <w:keepNext/>
        <w:numPr>
          <w:ilvl w:val="0"/>
          <w:numId w:val="11"/>
        </w:numPr>
        <w:tabs>
          <w:tab w:val="clear" w:pos="794"/>
          <w:tab w:val="right" w:pos="1701"/>
        </w:tabs>
        <w:ind w:left="1418" w:hanging="425"/>
      </w:pPr>
      <w:r>
        <w:lastRenderedPageBreak/>
        <w:tab/>
        <w:t>A space must be left after the numerical value of an Australian legal unit of measurement and before the name or symbol of the unit of measurement.</w:t>
      </w:r>
    </w:p>
    <w:p w:rsidR="00233CD4" w:rsidRDefault="00233CD4" w:rsidP="00950915">
      <w:pPr>
        <w:pStyle w:val="HE"/>
        <w:ind w:firstLine="340"/>
      </w:pPr>
      <w:r>
        <w:t>Examples</w:t>
      </w:r>
    </w:p>
    <w:p w:rsidR="00233CD4" w:rsidRDefault="00274E79" w:rsidP="00950915">
      <w:pPr>
        <w:pStyle w:val="Notepara"/>
        <w:keepNext/>
        <w:ind w:firstLine="136"/>
      </w:pPr>
      <w:r>
        <w:t>1   22 m, but not 22m</w:t>
      </w:r>
    </w:p>
    <w:p w:rsidR="00233CD4" w:rsidRDefault="00274E79" w:rsidP="00950915">
      <w:pPr>
        <w:pStyle w:val="Notepara"/>
        <w:keepNext/>
        <w:ind w:firstLine="136"/>
      </w:pPr>
      <w:r>
        <w:t>2   27 volts, but not 27volts</w:t>
      </w:r>
    </w:p>
    <w:p w:rsidR="00233CD4" w:rsidRDefault="00274E79" w:rsidP="00950915">
      <w:pPr>
        <w:pStyle w:val="Notepara"/>
        <w:keepNext/>
        <w:ind w:firstLine="136"/>
      </w:pPr>
      <w:r>
        <w:t>3   15 ºC, but not 15ºC</w:t>
      </w:r>
    </w:p>
    <w:p w:rsidR="00233CD4" w:rsidRDefault="00233CD4" w:rsidP="00950915">
      <w:pPr>
        <w:pStyle w:val="Note"/>
        <w:keepNext/>
        <w:ind w:left="1304"/>
      </w:pPr>
      <w:r w:rsidRPr="00AC5D36">
        <w:rPr>
          <w:i/>
        </w:rPr>
        <w:t>Note 1</w:t>
      </w:r>
      <w:r>
        <w:t>   When expressing temperature in degrees Celsius, a space must not be left between the symbol for degrees and the symbol for Celsius.  See example 3.</w:t>
      </w:r>
    </w:p>
    <w:p w:rsidR="00233CD4" w:rsidRDefault="00233CD4" w:rsidP="00950915">
      <w:pPr>
        <w:pStyle w:val="Note"/>
        <w:keepNext/>
        <w:ind w:left="1304"/>
      </w:pPr>
      <w:r w:rsidRPr="00AC5D36">
        <w:rPr>
          <w:i/>
        </w:rPr>
        <w:t>Note</w:t>
      </w:r>
      <w:r>
        <w:rPr>
          <w:i/>
        </w:rPr>
        <w:t xml:space="preserve"> </w:t>
      </w:r>
      <w:r w:rsidRPr="002712CF">
        <w:t>2</w:t>
      </w:r>
      <w:r>
        <w:rPr>
          <w:i/>
        </w:rPr>
        <w:t>   </w:t>
      </w:r>
      <w:r w:rsidRPr="00111C8B">
        <w:t xml:space="preserve">When expressing a percentage </w:t>
      </w:r>
      <w:r>
        <w:t>in relation to</w:t>
      </w:r>
      <w:r w:rsidRPr="00111C8B">
        <w:t xml:space="preserve"> an Australian legal unit of measurement, a space must not be left between </w:t>
      </w:r>
      <w:r>
        <w:t xml:space="preserve">the number and the symbol for percentage: </w:t>
      </w:r>
      <w:proofErr w:type="spellStart"/>
      <w:r>
        <w:t>eg</w:t>
      </w:r>
      <w:proofErr w:type="spellEnd"/>
      <w:r>
        <w:t xml:space="preserve"> 25%, but not 25 %.</w:t>
      </w:r>
    </w:p>
    <w:p w:rsidR="00233CD4" w:rsidRDefault="00233CD4" w:rsidP="00950915">
      <w:pPr>
        <w:pStyle w:val="R1"/>
        <w:keepNext/>
        <w:numPr>
          <w:ilvl w:val="0"/>
          <w:numId w:val="11"/>
        </w:numPr>
        <w:tabs>
          <w:tab w:val="clear" w:pos="794"/>
          <w:tab w:val="right" w:pos="1701"/>
        </w:tabs>
        <w:ind w:left="1418" w:hanging="425"/>
      </w:pPr>
      <w:r>
        <w:tab/>
      </w:r>
      <w:r w:rsidR="00305DE3">
        <w:t xml:space="preserve">However, subsection </w:t>
      </w:r>
      <w:r w:rsidR="00950915">
        <w:t>13</w:t>
      </w:r>
      <w:r w:rsidR="00305DE3">
        <w:t>(10</w:t>
      </w:r>
      <w:r w:rsidR="00274E79">
        <w:t xml:space="preserve">) </w:t>
      </w:r>
      <w:r w:rsidR="00950915">
        <w:t>of these Guidelines do</w:t>
      </w:r>
      <w:r w:rsidR="00274E79">
        <w:t xml:space="preserve"> not apply to </w:t>
      </w:r>
      <w:r w:rsidR="00274E79">
        <w:rPr>
          <w:color w:val="000000"/>
        </w:rPr>
        <w:t xml:space="preserve">geographic coordinates. </w:t>
      </w:r>
      <w:r w:rsidR="00E65717">
        <w:t>When</w:t>
      </w:r>
      <w:r>
        <w:t xml:space="preserve"> expressing </w:t>
      </w:r>
      <w:r>
        <w:rPr>
          <w:color w:val="000000"/>
        </w:rPr>
        <w:t xml:space="preserve">geographic coordinates no space must be left between the numerical values and the symbols for </w:t>
      </w:r>
      <w:r>
        <w:t>degrees, minutes and seconds.</w:t>
      </w:r>
    </w:p>
    <w:p w:rsidR="00233CD4" w:rsidRDefault="00233CD4" w:rsidP="00950915">
      <w:pPr>
        <w:pStyle w:val="Note"/>
        <w:spacing w:line="240" w:lineRule="auto"/>
        <w:ind w:firstLine="454"/>
      </w:pPr>
      <w:r>
        <w:rPr>
          <w:i/>
        </w:rPr>
        <w:t>Example</w:t>
      </w:r>
      <w:r>
        <w:t>   </w:t>
      </w:r>
      <w:r w:rsidRPr="00887A15">
        <w:t>33°43'03.0"S 151°09'37.1"E</w:t>
      </w:r>
    </w:p>
    <w:p w:rsidR="00233CD4" w:rsidRDefault="00233CD4" w:rsidP="00233CD4">
      <w:pPr>
        <w:pStyle w:val="Notepara"/>
      </w:pPr>
    </w:p>
    <w:p w:rsidR="00233CD4" w:rsidRDefault="00233CD4" w:rsidP="00233CD4">
      <w:pPr>
        <w:pStyle w:val="Note"/>
      </w:pPr>
    </w:p>
    <w:p w:rsidR="00233CD4" w:rsidRDefault="00233CD4" w:rsidP="00233CD4"/>
    <w:sectPr w:rsidR="00233CD4" w:rsidSect="00D856E0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F5" w:rsidRDefault="004F4EF5" w:rsidP="00FA395F">
      <w:r>
        <w:separator/>
      </w:r>
    </w:p>
  </w:endnote>
  <w:endnote w:type="continuationSeparator" w:id="0">
    <w:p w:rsidR="004F4EF5" w:rsidRDefault="004F4EF5" w:rsidP="00FA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6B" w:rsidRPr="00F10D43" w:rsidRDefault="00833DD0" w:rsidP="00D12D78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B0096B" w:rsidRPr="008C43B2">
      <w:tc>
        <w:tcPr>
          <w:tcW w:w="1701" w:type="dxa"/>
          <w:shd w:val="clear" w:color="auto" w:fill="auto"/>
        </w:tcPr>
        <w:p w:rsidR="00B0096B" w:rsidRPr="008C43B2" w:rsidRDefault="00467537" w:rsidP="00D12D78">
          <w:pPr>
            <w:pStyle w:val="FooterPageEven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tc>
        <w:tcPr>
          <w:tcW w:w="4933" w:type="dxa"/>
          <w:shd w:val="clear" w:color="auto" w:fill="auto"/>
        </w:tcPr>
        <w:p w:rsidR="00B0096B" w:rsidRPr="008C43B2" w:rsidRDefault="00FD1532" w:rsidP="00FA395F">
          <w:pPr>
            <w:pStyle w:val="FooterCitation"/>
          </w:pPr>
          <w:r>
            <w:fldChar w:fldCharType="begin"/>
          </w:r>
          <w:r>
            <w:instrText xml:space="preserve"> STYLEREF  Title </w:instrText>
          </w:r>
          <w:r>
            <w:rPr>
              <w:noProof/>
            </w:rPr>
            <w:fldChar w:fldCharType="end"/>
          </w:r>
        </w:p>
      </w:tc>
      <w:tc>
        <w:tcPr>
          <w:tcW w:w="1701" w:type="dxa"/>
          <w:shd w:val="clear" w:color="auto" w:fill="auto"/>
        </w:tcPr>
        <w:p w:rsidR="00B0096B" w:rsidRPr="008C43B2" w:rsidRDefault="00833DD0" w:rsidP="00D12D78">
          <w:pPr>
            <w:pStyle w:val="FooterPageOdd"/>
          </w:pPr>
        </w:p>
      </w:tc>
    </w:tr>
  </w:tbl>
  <w:p w:rsidR="00B0096B" w:rsidRPr="00F10D43" w:rsidRDefault="00833DD0" w:rsidP="00D12D78">
    <w:pPr>
      <w:pStyle w:val="Footerinf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6B" w:rsidRPr="00F10D43" w:rsidRDefault="00833DD0" w:rsidP="00D12D78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B0096B" w:rsidRPr="008C43B2">
      <w:tc>
        <w:tcPr>
          <w:tcW w:w="1701" w:type="dxa"/>
          <w:shd w:val="clear" w:color="auto" w:fill="auto"/>
        </w:tcPr>
        <w:p w:rsidR="00B0096B" w:rsidRPr="008C43B2" w:rsidRDefault="00833DD0" w:rsidP="00D12D78">
          <w:pPr>
            <w:pStyle w:val="FooterPageOdd"/>
          </w:pPr>
        </w:p>
      </w:tc>
      <w:tc>
        <w:tcPr>
          <w:tcW w:w="4933" w:type="dxa"/>
          <w:shd w:val="clear" w:color="auto" w:fill="auto"/>
        </w:tcPr>
        <w:p w:rsidR="00B0096B" w:rsidRPr="008C43B2" w:rsidRDefault="00FD1532" w:rsidP="00D12D78">
          <w:pPr>
            <w:pStyle w:val="FooterCitation"/>
          </w:pPr>
          <w:fldSimple w:instr=" STYLEREF  Title ">
            <w:r w:rsidR="00833DD0">
              <w:rPr>
                <w:noProof/>
              </w:rPr>
              <w:t>National Measurement Guidelines 2016</w:t>
            </w:r>
          </w:fldSimple>
        </w:p>
      </w:tc>
      <w:tc>
        <w:tcPr>
          <w:tcW w:w="1701" w:type="dxa"/>
          <w:shd w:val="clear" w:color="auto" w:fill="auto"/>
        </w:tcPr>
        <w:p w:rsidR="00B0096B" w:rsidRPr="008C43B2" w:rsidRDefault="00467537" w:rsidP="00D12D78">
          <w:pPr>
            <w:pStyle w:val="FooterPageOdd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33DD0">
            <w:rPr>
              <w:noProof/>
            </w:rPr>
            <w:t>2</w:t>
          </w:r>
          <w:r>
            <w:fldChar w:fldCharType="end"/>
          </w:r>
        </w:p>
      </w:tc>
    </w:tr>
  </w:tbl>
  <w:p w:rsidR="00B0096B" w:rsidRPr="00F10D43" w:rsidRDefault="00833DD0" w:rsidP="00D12D78">
    <w:pPr>
      <w:pStyle w:val="Footerinf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6B" w:rsidRPr="00F10D43" w:rsidRDefault="00833DD0" w:rsidP="00D12D78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B0096B" w:rsidRPr="008C43B2">
      <w:tc>
        <w:tcPr>
          <w:tcW w:w="1701" w:type="dxa"/>
          <w:shd w:val="clear" w:color="auto" w:fill="auto"/>
        </w:tcPr>
        <w:p w:rsidR="00B0096B" w:rsidRPr="008C43B2" w:rsidRDefault="00467537" w:rsidP="00D12D78">
          <w:pPr>
            <w:pStyle w:val="FooterPageEven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8</w:t>
          </w:r>
          <w:r>
            <w:fldChar w:fldCharType="end"/>
          </w:r>
        </w:p>
      </w:tc>
      <w:tc>
        <w:tcPr>
          <w:tcW w:w="4933" w:type="dxa"/>
          <w:shd w:val="clear" w:color="auto" w:fill="auto"/>
        </w:tcPr>
        <w:p w:rsidR="00B0096B" w:rsidRPr="008C43B2" w:rsidRDefault="00FD1532" w:rsidP="00D12D78">
          <w:pPr>
            <w:pStyle w:val="FooterCitation"/>
          </w:pPr>
          <w:fldSimple w:instr=" STYLEREF  Title ">
            <w:r>
              <w:rPr>
                <w:noProof/>
              </w:rPr>
              <w:t>National Measurement Guidelines 2016</w:t>
            </w:r>
          </w:fldSimple>
        </w:p>
      </w:tc>
      <w:tc>
        <w:tcPr>
          <w:tcW w:w="1701" w:type="dxa"/>
          <w:shd w:val="clear" w:color="auto" w:fill="auto"/>
        </w:tcPr>
        <w:p w:rsidR="00B0096B" w:rsidRPr="008C43B2" w:rsidRDefault="00833DD0" w:rsidP="00D12D78">
          <w:pPr>
            <w:pStyle w:val="FooterPageOdd"/>
          </w:pPr>
        </w:p>
      </w:tc>
    </w:tr>
  </w:tbl>
  <w:p w:rsidR="00B0096B" w:rsidRPr="00F10D43" w:rsidRDefault="00833DD0" w:rsidP="00D12D78">
    <w:pPr>
      <w:pStyle w:val="Footerinfo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6B" w:rsidRPr="00F10D43" w:rsidRDefault="00833DD0" w:rsidP="00D12D78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B0096B" w:rsidRPr="008C43B2">
      <w:tc>
        <w:tcPr>
          <w:tcW w:w="1701" w:type="dxa"/>
          <w:shd w:val="clear" w:color="auto" w:fill="auto"/>
        </w:tcPr>
        <w:p w:rsidR="00B0096B" w:rsidRPr="008C43B2" w:rsidRDefault="00833DD0" w:rsidP="00D12D78">
          <w:pPr>
            <w:pStyle w:val="FooterPageOdd"/>
          </w:pPr>
        </w:p>
      </w:tc>
      <w:tc>
        <w:tcPr>
          <w:tcW w:w="4933" w:type="dxa"/>
          <w:shd w:val="clear" w:color="auto" w:fill="auto"/>
        </w:tcPr>
        <w:p w:rsidR="00B0096B" w:rsidRPr="008C43B2" w:rsidRDefault="00FD1532" w:rsidP="00D12D78">
          <w:pPr>
            <w:pStyle w:val="FooterCitation"/>
          </w:pPr>
          <w:fldSimple w:instr=" STYLEREF  Title ">
            <w:r w:rsidR="00833DD0">
              <w:rPr>
                <w:noProof/>
              </w:rPr>
              <w:t>National Measurement Guidelines 2016</w:t>
            </w:r>
          </w:fldSimple>
        </w:p>
      </w:tc>
      <w:tc>
        <w:tcPr>
          <w:tcW w:w="1701" w:type="dxa"/>
          <w:shd w:val="clear" w:color="auto" w:fill="auto"/>
        </w:tcPr>
        <w:p w:rsidR="00B0096B" w:rsidRPr="008C43B2" w:rsidRDefault="00467537" w:rsidP="00D12D78">
          <w:pPr>
            <w:pStyle w:val="FooterPageOdd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33DD0">
            <w:rPr>
              <w:noProof/>
            </w:rPr>
            <w:t>5</w:t>
          </w:r>
          <w:r>
            <w:fldChar w:fldCharType="end"/>
          </w:r>
        </w:p>
      </w:tc>
    </w:tr>
  </w:tbl>
  <w:p w:rsidR="00B0096B" w:rsidRPr="00F10D43" w:rsidRDefault="00833DD0" w:rsidP="00D12D78">
    <w:pPr>
      <w:pStyle w:val="Footerinfo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6B" w:rsidRPr="00556EB9" w:rsidRDefault="00833DD0" w:rsidP="00D12D78">
    <w:pPr>
      <w:pStyle w:val="FooterCitation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D18" w:rsidRPr="00F10D43" w:rsidRDefault="00833DD0" w:rsidP="00340D18">
    <w:pPr>
      <w:pStyle w:val="Footer"/>
      <w:rPr>
        <w:rFonts w:ascii="Times New Roman" w:hAnsi="Times New Roman"/>
        <w:sz w:val="24"/>
      </w:rPr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340D18">
      <w:tc>
        <w:tcPr>
          <w:tcW w:w="1701" w:type="dxa"/>
        </w:tcPr>
        <w:p w:rsidR="00340D18" w:rsidRDefault="00467537" w:rsidP="00D12D78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10</w:t>
          </w:r>
          <w:r>
            <w:rPr>
              <w:rStyle w:val="PageNumber"/>
            </w:rPr>
            <w:fldChar w:fldCharType="end"/>
          </w:r>
        </w:p>
      </w:tc>
      <w:tc>
        <w:tcPr>
          <w:tcW w:w="4933" w:type="dxa"/>
        </w:tcPr>
        <w:p w:rsidR="00FD1532" w:rsidRDefault="00467537" w:rsidP="00233CD4">
          <w:pPr>
            <w:pStyle w:val="Title"/>
          </w:pPr>
          <w:r w:rsidRPr="00C75DC4">
            <w:fldChar w:fldCharType="begin"/>
          </w:r>
          <w:r w:rsidRPr="00C75DC4">
            <w:instrText xml:space="preserve"> R</w:instrText>
          </w:r>
          <w:r>
            <w:instrText xml:space="preserve">EF citation \* CHARFORMAT </w:instrText>
          </w:r>
          <w:r w:rsidRPr="00C75DC4">
            <w:fldChar w:fldCharType="separate"/>
          </w:r>
        </w:p>
        <w:p w:rsidR="00340D18" w:rsidRPr="00C75DC4" w:rsidRDefault="00FD1532" w:rsidP="00D12D78">
          <w:pPr>
            <w:pStyle w:val="FooterCitation"/>
          </w:pPr>
          <w:r>
            <w:t>National Measurement Guidelines 2016</w:t>
          </w:r>
          <w:r w:rsidR="00467537" w:rsidRPr="00C75DC4">
            <w:fldChar w:fldCharType="end"/>
          </w:r>
        </w:p>
      </w:tc>
      <w:tc>
        <w:tcPr>
          <w:tcW w:w="1701" w:type="dxa"/>
        </w:tcPr>
        <w:p w:rsidR="00340D18" w:rsidRDefault="00833DD0" w:rsidP="00D12D78">
          <w:pPr>
            <w:pStyle w:val="Footer"/>
            <w:jc w:val="right"/>
          </w:pPr>
        </w:p>
      </w:tc>
    </w:tr>
  </w:tbl>
  <w:p w:rsidR="00340D18" w:rsidRPr="00F10D43" w:rsidRDefault="00833DD0" w:rsidP="00340D18">
    <w:pPr>
      <w:pStyle w:val="Footer"/>
      <w:rPr>
        <w:rFonts w:ascii="Times New Roman" w:hAnsi="Times New Roman"/>
        <w:sz w:val="2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D18" w:rsidRPr="00F10D43" w:rsidRDefault="00833DD0" w:rsidP="00340D18">
    <w:pPr>
      <w:pStyle w:val="Footer"/>
      <w:rPr>
        <w:rFonts w:ascii="Times New Roman" w:hAnsi="Times New Roman"/>
        <w:sz w:val="24"/>
      </w:rPr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340D18">
      <w:tc>
        <w:tcPr>
          <w:tcW w:w="1701" w:type="dxa"/>
        </w:tcPr>
        <w:p w:rsidR="00340D18" w:rsidRDefault="00833DD0" w:rsidP="00D12D78">
          <w:pPr>
            <w:pStyle w:val="Footer"/>
          </w:pPr>
        </w:p>
      </w:tc>
      <w:tc>
        <w:tcPr>
          <w:tcW w:w="4933" w:type="dxa"/>
        </w:tcPr>
        <w:p w:rsidR="00FD1532" w:rsidRDefault="00FD1532" w:rsidP="00233CD4">
          <w:pPr>
            <w:pStyle w:val="Title"/>
          </w:pPr>
          <w:r>
            <w:fldChar w:fldCharType="begin"/>
          </w:r>
          <w:r>
            <w:instrText xml:space="preserve"> REF citation \* CHARFORMAT </w:instrText>
          </w:r>
          <w:r>
            <w:fldChar w:fldCharType="separate"/>
          </w:r>
        </w:p>
        <w:p w:rsidR="00340D18" w:rsidRPr="00C75DC4" w:rsidRDefault="00FD1532" w:rsidP="00FA395F">
          <w:pPr>
            <w:pStyle w:val="FooterCitation"/>
          </w:pPr>
          <w:r>
            <w:t>National Measurement Guidelines 2016</w:t>
          </w:r>
          <w:r>
            <w:fldChar w:fldCharType="end"/>
          </w:r>
        </w:p>
      </w:tc>
      <w:tc>
        <w:tcPr>
          <w:tcW w:w="1701" w:type="dxa"/>
        </w:tcPr>
        <w:p w:rsidR="00340D18" w:rsidRDefault="00467537" w:rsidP="00D12D78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833DD0">
            <w:rPr>
              <w:rStyle w:val="PageNumber"/>
              <w:noProof/>
            </w:rPr>
            <w:t>8</w:t>
          </w:r>
          <w:r>
            <w:rPr>
              <w:rStyle w:val="PageNumber"/>
            </w:rPr>
            <w:fldChar w:fldCharType="end"/>
          </w:r>
        </w:p>
      </w:tc>
    </w:tr>
  </w:tbl>
  <w:p w:rsidR="00340D18" w:rsidRPr="00F10D43" w:rsidRDefault="00833DD0" w:rsidP="00340D18">
    <w:pPr>
      <w:pStyle w:val="Footer"/>
      <w:rPr>
        <w:rFonts w:ascii="Times New Roman" w:hAnsi="Times New Roman"/>
        <w:sz w:val="24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D18" w:rsidRDefault="00833DD0" w:rsidP="00340D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F5" w:rsidRDefault="004F4EF5" w:rsidP="00FA395F">
      <w:r>
        <w:separator/>
      </w:r>
    </w:p>
  </w:footnote>
  <w:footnote w:type="continuationSeparator" w:id="0">
    <w:p w:rsidR="004F4EF5" w:rsidRDefault="004F4EF5" w:rsidP="00FA3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ook w:val="01E0" w:firstRow="1" w:lastRow="1" w:firstColumn="1" w:lastColumn="1" w:noHBand="0" w:noVBand="0"/>
    </w:tblPr>
    <w:tblGrid>
      <w:gridCol w:w="1546"/>
      <w:gridCol w:w="6868"/>
    </w:tblGrid>
    <w:tr w:rsidR="00B0096B">
      <w:tc>
        <w:tcPr>
          <w:tcW w:w="1546" w:type="dxa"/>
        </w:tcPr>
        <w:p w:rsidR="00B0096B" w:rsidRDefault="00833DD0">
          <w:pPr>
            <w:pStyle w:val="HeaderLiteEven"/>
          </w:pPr>
        </w:p>
      </w:tc>
      <w:tc>
        <w:tcPr>
          <w:tcW w:w="6868" w:type="dxa"/>
          <w:vAlign w:val="bottom"/>
        </w:tcPr>
        <w:p w:rsidR="00B0096B" w:rsidRDefault="00833DD0">
          <w:pPr>
            <w:pStyle w:val="HeaderLiteEven"/>
          </w:pPr>
        </w:p>
      </w:tc>
    </w:tr>
    <w:tr w:rsidR="00B0096B">
      <w:tc>
        <w:tcPr>
          <w:tcW w:w="1546" w:type="dxa"/>
        </w:tcPr>
        <w:p w:rsidR="00B0096B" w:rsidRDefault="00833DD0">
          <w:pPr>
            <w:pStyle w:val="HeaderLiteEven"/>
          </w:pPr>
        </w:p>
      </w:tc>
      <w:tc>
        <w:tcPr>
          <w:tcW w:w="6868" w:type="dxa"/>
          <w:vAlign w:val="bottom"/>
        </w:tcPr>
        <w:p w:rsidR="00B0096B" w:rsidRDefault="00833DD0">
          <w:pPr>
            <w:pStyle w:val="HeaderLiteEven"/>
          </w:pPr>
        </w:p>
      </w:tc>
    </w:tr>
    <w:tr w:rsidR="00B0096B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0096B" w:rsidRDefault="00833DD0">
          <w:pPr>
            <w:pStyle w:val="HeaderLiteEven"/>
            <w:spacing w:before="120" w:after="60"/>
            <w:ind w:right="-108"/>
          </w:pPr>
        </w:p>
      </w:tc>
    </w:tr>
  </w:tbl>
  <w:p w:rsidR="00B0096B" w:rsidRDefault="00833DD0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414"/>
    </w:tblGrid>
    <w:tr w:rsidR="00340D18">
      <w:tc>
        <w:tcPr>
          <w:tcW w:w="8414" w:type="dxa"/>
        </w:tcPr>
        <w:p w:rsidR="00FD1532" w:rsidRPr="00FD1532" w:rsidRDefault="00467537" w:rsidP="00233CD4">
          <w:pPr>
            <w:pStyle w:val="Title"/>
            <w:rPr>
              <w:i/>
            </w:rPr>
          </w:pPr>
          <w:r>
            <w:t>Notes to the</w:t>
          </w:r>
          <w:r w:rsidRPr="000D4CDA">
            <w:t xml:space="preserve"> </w:t>
          </w:r>
          <w:r>
            <w:fldChar w:fldCharType="begin"/>
          </w:r>
          <w:r>
            <w:instrText xml:space="preserve"> </w:instrText>
          </w:r>
          <w:r w:rsidRPr="00D12D78">
            <w:rPr>
              <w:i/>
            </w:rPr>
            <w:instrText>REF Citation \*charformat</w:instrText>
          </w:r>
          <w:r>
            <w:fldChar w:fldCharType="separate"/>
          </w:r>
        </w:p>
        <w:p w:rsidR="00340D18" w:rsidRDefault="00FD1532" w:rsidP="00D12D78">
          <w:pPr>
            <w:pStyle w:val="HeaderLiteEven"/>
          </w:pPr>
          <w:r w:rsidRPr="00FD1532">
            <w:rPr>
              <w:i/>
            </w:rPr>
            <w:t>National Measurement Guidelines 2016</w:t>
          </w:r>
          <w:r w:rsidR="00467537">
            <w:fldChar w:fldCharType="end"/>
          </w:r>
        </w:p>
      </w:tc>
    </w:tr>
    <w:tr w:rsidR="00340D18">
      <w:tc>
        <w:tcPr>
          <w:tcW w:w="8414" w:type="dxa"/>
        </w:tcPr>
        <w:p w:rsidR="00340D18" w:rsidRDefault="00833DD0" w:rsidP="00D12D78">
          <w:pPr>
            <w:pStyle w:val="HeaderLiteEven"/>
          </w:pPr>
        </w:p>
      </w:tc>
    </w:tr>
    <w:tr w:rsidR="00340D18">
      <w:tc>
        <w:tcPr>
          <w:tcW w:w="8414" w:type="dxa"/>
        </w:tcPr>
        <w:p w:rsidR="00340D18" w:rsidRPr="000D4CDA" w:rsidRDefault="0006253B" w:rsidP="00D12D78">
          <w:pPr>
            <w:pStyle w:val="HeaderBoldEven"/>
          </w:pPr>
          <w:r>
            <w:fldChar w:fldCharType="begin"/>
          </w:r>
          <w:r>
            <w:instrText xml:space="preserve"> STYLEREF  CharENotesHeading  \* CHARFORMAT </w:instrText>
          </w:r>
          <w:r>
            <w:fldChar w:fldCharType="separate"/>
          </w:r>
          <w:r w:rsidR="00FD1532">
            <w:rPr>
              <w:b w:val="0"/>
              <w:bCs/>
              <w:noProof/>
              <w:lang w:val="en-US"/>
            </w:rPr>
            <w:t>Error! No text of specified style in document.</w:t>
          </w:r>
          <w:r>
            <w:rPr>
              <w:noProof/>
            </w:rPr>
            <w:fldChar w:fldCharType="end"/>
          </w:r>
        </w:p>
      </w:tc>
    </w:tr>
  </w:tbl>
  <w:p w:rsidR="00340D18" w:rsidRDefault="00833DD0" w:rsidP="00340D18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460"/>
    </w:tblGrid>
    <w:tr w:rsidR="00340D18">
      <w:tc>
        <w:tcPr>
          <w:tcW w:w="8460" w:type="dxa"/>
        </w:tcPr>
        <w:p w:rsidR="00340D18" w:rsidRDefault="00833DD0" w:rsidP="00D12D78">
          <w:pPr>
            <w:pStyle w:val="HeaderLiteOdd"/>
          </w:pPr>
        </w:p>
      </w:tc>
    </w:tr>
    <w:tr w:rsidR="00340D18">
      <w:tc>
        <w:tcPr>
          <w:tcW w:w="8460" w:type="dxa"/>
        </w:tcPr>
        <w:p w:rsidR="00340D18" w:rsidRDefault="00833DD0" w:rsidP="00D12D78">
          <w:pPr>
            <w:pStyle w:val="HeaderLiteOdd"/>
          </w:pPr>
        </w:p>
      </w:tc>
    </w:tr>
    <w:tr w:rsidR="00340D18">
      <w:tc>
        <w:tcPr>
          <w:tcW w:w="8460" w:type="dxa"/>
        </w:tcPr>
        <w:p w:rsidR="00340D18" w:rsidRPr="000D4CDA" w:rsidRDefault="00833DD0" w:rsidP="00FA395F">
          <w:pPr>
            <w:pStyle w:val="HeaderBoldOdd"/>
          </w:pPr>
        </w:p>
      </w:tc>
    </w:tr>
  </w:tbl>
  <w:p w:rsidR="00340D18" w:rsidRDefault="00833DD0" w:rsidP="00340D18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D18" w:rsidRDefault="00833DD0" w:rsidP="00340D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14" w:type="dxa"/>
      <w:tblLook w:val="01E0" w:firstRow="1" w:lastRow="1" w:firstColumn="1" w:lastColumn="1" w:noHBand="0" w:noVBand="0"/>
    </w:tblPr>
    <w:tblGrid>
      <w:gridCol w:w="6840"/>
      <w:gridCol w:w="1574"/>
    </w:tblGrid>
    <w:tr w:rsidR="00B0096B">
      <w:tc>
        <w:tcPr>
          <w:tcW w:w="6840" w:type="dxa"/>
          <w:vAlign w:val="bottom"/>
        </w:tcPr>
        <w:p w:rsidR="00B0096B" w:rsidRDefault="00833DD0">
          <w:pPr>
            <w:pStyle w:val="HeaderLiteEven"/>
          </w:pPr>
        </w:p>
      </w:tc>
      <w:tc>
        <w:tcPr>
          <w:tcW w:w="1574" w:type="dxa"/>
        </w:tcPr>
        <w:p w:rsidR="00B0096B" w:rsidRDefault="00833DD0">
          <w:pPr>
            <w:pStyle w:val="HeaderLiteEven"/>
          </w:pPr>
        </w:p>
      </w:tc>
    </w:tr>
    <w:tr w:rsidR="00B0096B">
      <w:tc>
        <w:tcPr>
          <w:tcW w:w="6840" w:type="dxa"/>
          <w:vAlign w:val="bottom"/>
        </w:tcPr>
        <w:p w:rsidR="00B0096B" w:rsidRDefault="00833DD0">
          <w:pPr>
            <w:pStyle w:val="HeaderLiteEven"/>
          </w:pPr>
        </w:p>
      </w:tc>
      <w:tc>
        <w:tcPr>
          <w:tcW w:w="1574" w:type="dxa"/>
        </w:tcPr>
        <w:p w:rsidR="00B0096B" w:rsidRDefault="00833DD0">
          <w:pPr>
            <w:pStyle w:val="HeaderLiteEven"/>
          </w:pPr>
        </w:p>
      </w:tc>
    </w:tr>
    <w:tr w:rsidR="00B0096B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0096B" w:rsidRDefault="00833DD0">
          <w:pPr>
            <w:pStyle w:val="HeaderLiteEven"/>
            <w:spacing w:before="120" w:after="60"/>
            <w:ind w:right="-108"/>
          </w:pPr>
        </w:p>
      </w:tc>
    </w:tr>
  </w:tbl>
  <w:p w:rsidR="00B0096B" w:rsidRDefault="00833DD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43" w:type="dxa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546"/>
      <w:gridCol w:w="6797"/>
    </w:tblGrid>
    <w:tr w:rsidR="00340D18">
      <w:tc>
        <w:tcPr>
          <w:tcW w:w="8343" w:type="dxa"/>
          <w:gridSpan w:val="2"/>
        </w:tcPr>
        <w:p w:rsidR="00340D18" w:rsidRDefault="00467537" w:rsidP="00D12D78">
          <w:pPr>
            <w:pStyle w:val="HeaderLiteEven"/>
            <w:ind w:right="-108"/>
          </w:pPr>
          <w:r>
            <w:t>Contents</w:t>
          </w:r>
        </w:p>
      </w:tc>
    </w:tr>
    <w:tr w:rsidR="00340D18">
      <w:tc>
        <w:tcPr>
          <w:tcW w:w="1546" w:type="dxa"/>
        </w:tcPr>
        <w:p w:rsidR="00340D18" w:rsidRDefault="00833DD0" w:rsidP="00D12D78">
          <w:pPr>
            <w:pStyle w:val="HeaderLiteEven"/>
            <w:ind w:right="-108"/>
          </w:pPr>
        </w:p>
      </w:tc>
      <w:tc>
        <w:tcPr>
          <w:tcW w:w="6797" w:type="dxa"/>
        </w:tcPr>
        <w:p w:rsidR="00340D18" w:rsidRDefault="00833DD0" w:rsidP="00D12D78">
          <w:pPr>
            <w:pStyle w:val="HeaderLiteEven"/>
            <w:ind w:right="-108"/>
          </w:pPr>
        </w:p>
      </w:tc>
    </w:tr>
    <w:tr w:rsidR="00340D18">
      <w:tc>
        <w:tcPr>
          <w:tcW w:w="1546" w:type="dxa"/>
          <w:tcBorders>
            <w:top w:val="nil"/>
            <w:left w:val="nil"/>
            <w:bottom w:val="single" w:sz="4" w:space="0" w:color="auto"/>
            <w:right w:val="nil"/>
            <w:tl2br w:val="nil"/>
            <w:tr2bl w:val="nil"/>
          </w:tcBorders>
        </w:tcPr>
        <w:p w:rsidR="00340D18" w:rsidRDefault="00833DD0" w:rsidP="00D12D78">
          <w:pPr>
            <w:pStyle w:val="HeaderLiteEven"/>
            <w:spacing w:before="120" w:after="60"/>
            <w:ind w:right="-108"/>
          </w:pPr>
        </w:p>
      </w:tc>
      <w:tc>
        <w:tcPr>
          <w:tcW w:w="6797" w:type="dxa"/>
          <w:tcBorders>
            <w:top w:val="nil"/>
            <w:left w:val="nil"/>
            <w:bottom w:val="single" w:sz="4" w:space="0" w:color="auto"/>
            <w:right w:val="nil"/>
            <w:tl2br w:val="nil"/>
            <w:tr2bl w:val="nil"/>
          </w:tcBorders>
        </w:tcPr>
        <w:p w:rsidR="00340D18" w:rsidRDefault="00833DD0" w:rsidP="00D12D78">
          <w:pPr>
            <w:pStyle w:val="HeaderLiteEven"/>
            <w:spacing w:before="120" w:after="60"/>
            <w:ind w:right="-108"/>
          </w:pPr>
        </w:p>
      </w:tc>
    </w:tr>
  </w:tbl>
  <w:p w:rsidR="00340D18" w:rsidRPr="001269B3" w:rsidRDefault="00467537">
    <w:pPr>
      <w:pStyle w:val="HeaderContentsPage"/>
      <w:rPr>
        <w:rStyle w:val="PageNumber"/>
      </w:rPr>
    </w:pPr>
    <w:r>
      <w:rPr>
        <w:rStyle w:val="PageNumber"/>
      </w:rPr>
      <w:t>Page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D18" w:rsidRPr="004B296C" w:rsidRDefault="00833DD0" w:rsidP="004B296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57" w:type="dxa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546"/>
      <w:gridCol w:w="6811"/>
    </w:tblGrid>
    <w:tr w:rsidR="00340D18">
      <w:tc>
        <w:tcPr>
          <w:tcW w:w="8357" w:type="dxa"/>
          <w:gridSpan w:val="2"/>
        </w:tcPr>
        <w:p w:rsidR="00340D18" w:rsidRDefault="00467537" w:rsidP="00D12D78">
          <w:pPr>
            <w:pStyle w:val="HeaderLiteEven"/>
            <w:ind w:right="-108"/>
          </w:pPr>
          <w:r>
            <w:t>Reader’s guide</w:t>
          </w:r>
        </w:p>
      </w:tc>
    </w:tr>
    <w:tr w:rsidR="00340D18">
      <w:tc>
        <w:tcPr>
          <w:tcW w:w="1546" w:type="dxa"/>
        </w:tcPr>
        <w:p w:rsidR="00340D18" w:rsidRDefault="00833DD0" w:rsidP="00D12D78">
          <w:pPr>
            <w:pStyle w:val="HeaderLiteEven"/>
            <w:ind w:right="-108"/>
          </w:pPr>
        </w:p>
      </w:tc>
      <w:tc>
        <w:tcPr>
          <w:tcW w:w="6811" w:type="dxa"/>
        </w:tcPr>
        <w:p w:rsidR="00340D18" w:rsidRDefault="00833DD0" w:rsidP="00D12D78">
          <w:pPr>
            <w:pStyle w:val="HeaderLiteEven"/>
            <w:ind w:right="-108"/>
          </w:pPr>
        </w:p>
      </w:tc>
    </w:tr>
    <w:tr w:rsidR="00340D18">
      <w:tc>
        <w:tcPr>
          <w:tcW w:w="1546" w:type="dxa"/>
        </w:tcPr>
        <w:p w:rsidR="00340D18" w:rsidRDefault="00833DD0" w:rsidP="00D12D78">
          <w:pPr>
            <w:pStyle w:val="HeaderLiteEven"/>
            <w:spacing w:before="120" w:after="60"/>
            <w:ind w:right="-108"/>
          </w:pPr>
        </w:p>
      </w:tc>
      <w:tc>
        <w:tcPr>
          <w:tcW w:w="6811" w:type="dxa"/>
        </w:tcPr>
        <w:p w:rsidR="00340D18" w:rsidRDefault="00833DD0" w:rsidP="00D12D78">
          <w:pPr>
            <w:pStyle w:val="HeaderLiteEven"/>
            <w:spacing w:before="120" w:after="60"/>
            <w:ind w:right="-108"/>
          </w:pPr>
        </w:p>
      </w:tc>
    </w:tr>
  </w:tbl>
  <w:p w:rsidR="00340D18" w:rsidRDefault="00833DD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D18" w:rsidRDefault="00833DD0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548"/>
      <w:gridCol w:w="6980"/>
    </w:tblGrid>
    <w:tr w:rsidR="00B0096B">
      <w:tc>
        <w:tcPr>
          <w:tcW w:w="1548" w:type="dxa"/>
        </w:tcPr>
        <w:p w:rsidR="00B0096B" w:rsidRDefault="00467537">
          <w:pPr>
            <w:pStyle w:val="HeaderLiteEven"/>
          </w:pPr>
          <w:r>
            <w:fldChar w:fldCharType="begin"/>
          </w:r>
          <w:r>
            <w:instrText xml:space="preserve"> STYLEREF  CharPartNo  \* CHARFORMAT </w:instrText>
          </w:r>
          <w:r>
            <w:fldChar w:fldCharType="separate"/>
          </w:r>
          <w:r w:rsidR="00FD1532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  <w:tc>
        <w:tcPr>
          <w:tcW w:w="6980" w:type="dxa"/>
          <w:vAlign w:val="bottom"/>
        </w:tcPr>
        <w:p w:rsidR="00B0096B" w:rsidRDefault="00467537">
          <w:pPr>
            <w:pStyle w:val="HeaderLiteEven"/>
          </w:pPr>
          <w:r>
            <w:fldChar w:fldCharType="begin"/>
          </w:r>
          <w:r>
            <w:instrText xml:space="preserve"> STYLEREF  CharPartText  \* CHARFORMAT </w:instrText>
          </w:r>
          <w:r>
            <w:fldChar w:fldCharType="separate"/>
          </w:r>
          <w:r w:rsidR="00FD1532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</w:tr>
    <w:tr w:rsidR="00B0096B">
      <w:tc>
        <w:tcPr>
          <w:tcW w:w="1548" w:type="dxa"/>
        </w:tcPr>
        <w:p w:rsidR="00B0096B" w:rsidRDefault="00467537">
          <w:pPr>
            <w:pStyle w:val="HeaderLiteEven"/>
          </w:pPr>
          <w:r>
            <w:fldChar w:fldCharType="begin"/>
          </w:r>
          <w:r>
            <w:instrText xml:space="preserve"> STYLEREF  CharDivNo  \* CHARFORMAT </w:instrText>
          </w:r>
          <w:r>
            <w:fldChar w:fldCharType="separate"/>
          </w:r>
          <w:r w:rsidR="00FD1532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  <w:tc>
        <w:tcPr>
          <w:tcW w:w="6980" w:type="dxa"/>
          <w:vAlign w:val="bottom"/>
        </w:tcPr>
        <w:p w:rsidR="00B0096B" w:rsidRDefault="00467537">
          <w:pPr>
            <w:pStyle w:val="HeaderLiteEven"/>
          </w:pPr>
          <w:r>
            <w:fldChar w:fldCharType="begin"/>
          </w:r>
          <w:r>
            <w:instrText xml:space="preserve"> STYLEREF  CharDivText  \* CHARFORMAT </w:instrText>
          </w:r>
          <w:r>
            <w:fldChar w:fldCharType="separate"/>
          </w:r>
          <w:r w:rsidR="00FD1532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</w:tr>
    <w:tr w:rsidR="00B0096B">
      <w:tc>
        <w:tcPr>
          <w:tcW w:w="85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B0096B" w:rsidRDefault="00467537">
          <w:pPr>
            <w:pStyle w:val="HeaderBoldEven"/>
          </w:pPr>
          <w:r>
            <w:t xml:space="preserve">Section </w:t>
          </w:r>
          <w:fldSimple w:instr=" STYLEREF  CharSectno  \* CHARFORMAT ">
            <w:r w:rsidR="00FD1532">
              <w:rPr>
                <w:noProof/>
              </w:rPr>
              <w:t>Revocation</w:t>
            </w:r>
          </w:fldSimple>
        </w:p>
      </w:tc>
    </w:tr>
  </w:tbl>
  <w:p w:rsidR="00B0096B" w:rsidRDefault="00833DD0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6B" w:rsidRDefault="00833DD0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6B" w:rsidRDefault="00833D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2E00"/>
    <w:multiLevelType w:val="hybridMultilevel"/>
    <w:tmpl w:val="D7DA425C"/>
    <w:lvl w:ilvl="0" w:tplc="86CA59C2">
      <w:start w:val="1"/>
      <w:numFmt w:val="decimal"/>
      <w:lvlText w:val="%1"/>
      <w:lvlJc w:val="left"/>
      <w:pPr>
        <w:ind w:left="1320" w:hanging="960"/>
      </w:pPr>
      <w:rPr>
        <w:rFonts w:hint="default"/>
        <w:b/>
        <w:sz w:val="24"/>
      </w:rPr>
    </w:lvl>
    <w:lvl w:ilvl="1" w:tplc="567C3C98">
      <w:start w:val="1"/>
      <w:numFmt w:val="lowerLetter"/>
      <w:lvlText w:val="(%2)"/>
      <w:lvlJc w:val="left"/>
      <w:pPr>
        <w:ind w:left="1575" w:hanging="49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30AF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9D04307"/>
    <w:multiLevelType w:val="hybridMultilevel"/>
    <w:tmpl w:val="25D0F5CC"/>
    <w:lvl w:ilvl="0" w:tplc="567C3C9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AB7671"/>
    <w:multiLevelType w:val="hybridMultilevel"/>
    <w:tmpl w:val="63505C10"/>
    <w:lvl w:ilvl="0" w:tplc="7DEC36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567C3C9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24B8A"/>
    <w:multiLevelType w:val="hybridMultilevel"/>
    <w:tmpl w:val="560C932E"/>
    <w:lvl w:ilvl="0" w:tplc="7DEC364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18E4D77"/>
    <w:multiLevelType w:val="hybridMultilevel"/>
    <w:tmpl w:val="163A3312"/>
    <w:lvl w:ilvl="0" w:tplc="7DEC36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C0D6F"/>
    <w:multiLevelType w:val="hybridMultilevel"/>
    <w:tmpl w:val="F9F258CC"/>
    <w:lvl w:ilvl="0" w:tplc="02864CB6">
      <w:start w:val="1"/>
      <w:numFmt w:val="decimal"/>
      <w:lvlText w:val="(%1)"/>
      <w:lvlJc w:val="left"/>
      <w:pPr>
        <w:ind w:left="344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4162" w:hanging="360"/>
      </w:pPr>
    </w:lvl>
    <w:lvl w:ilvl="2" w:tplc="0C09001B" w:tentative="1">
      <w:start w:val="1"/>
      <w:numFmt w:val="lowerRoman"/>
      <w:lvlText w:val="%3."/>
      <w:lvlJc w:val="right"/>
      <w:pPr>
        <w:ind w:left="4882" w:hanging="180"/>
      </w:pPr>
    </w:lvl>
    <w:lvl w:ilvl="3" w:tplc="0C09000F" w:tentative="1">
      <w:start w:val="1"/>
      <w:numFmt w:val="decimal"/>
      <w:lvlText w:val="%4."/>
      <w:lvlJc w:val="left"/>
      <w:pPr>
        <w:ind w:left="5602" w:hanging="360"/>
      </w:pPr>
    </w:lvl>
    <w:lvl w:ilvl="4" w:tplc="0C090019" w:tentative="1">
      <w:start w:val="1"/>
      <w:numFmt w:val="lowerLetter"/>
      <w:lvlText w:val="%5."/>
      <w:lvlJc w:val="left"/>
      <w:pPr>
        <w:ind w:left="6322" w:hanging="360"/>
      </w:pPr>
    </w:lvl>
    <w:lvl w:ilvl="5" w:tplc="0C09001B" w:tentative="1">
      <w:start w:val="1"/>
      <w:numFmt w:val="lowerRoman"/>
      <w:lvlText w:val="%6."/>
      <w:lvlJc w:val="right"/>
      <w:pPr>
        <w:ind w:left="7042" w:hanging="180"/>
      </w:pPr>
    </w:lvl>
    <w:lvl w:ilvl="6" w:tplc="0C09000F" w:tentative="1">
      <w:start w:val="1"/>
      <w:numFmt w:val="decimal"/>
      <w:lvlText w:val="%7."/>
      <w:lvlJc w:val="left"/>
      <w:pPr>
        <w:ind w:left="7762" w:hanging="360"/>
      </w:pPr>
    </w:lvl>
    <w:lvl w:ilvl="7" w:tplc="0C090019" w:tentative="1">
      <w:start w:val="1"/>
      <w:numFmt w:val="lowerLetter"/>
      <w:lvlText w:val="%8."/>
      <w:lvlJc w:val="left"/>
      <w:pPr>
        <w:ind w:left="8482" w:hanging="360"/>
      </w:pPr>
    </w:lvl>
    <w:lvl w:ilvl="8" w:tplc="0C09001B" w:tentative="1">
      <w:start w:val="1"/>
      <w:numFmt w:val="lowerRoman"/>
      <w:lvlText w:val="%9."/>
      <w:lvlJc w:val="right"/>
      <w:pPr>
        <w:ind w:left="9202" w:hanging="180"/>
      </w:pPr>
    </w:lvl>
  </w:abstractNum>
  <w:abstractNum w:abstractNumId="7">
    <w:nsid w:val="32BF19C6"/>
    <w:multiLevelType w:val="hybridMultilevel"/>
    <w:tmpl w:val="CF7428C8"/>
    <w:lvl w:ilvl="0" w:tplc="7DEC36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544CC"/>
    <w:multiLevelType w:val="hybridMultilevel"/>
    <w:tmpl w:val="F660500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434AD"/>
    <w:multiLevelType w:val="hybridMultilevel"/>
    <w:tmpl w:val="B818F488"/>
    <w:lvl w:ilvl="0" w:tplc="AD8AF2B8">
      <w:start w:val="1"/>
      <w:numFmt w:val="decimal"/>
      <w:lvlText w:val="(%1)"/>
      <w:lvlJc w:val="left"/>
      <w:pPr>
        <w:ind w:left="3442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4162" w:hanging="360"/>
      </w:pPr>
    </w:lvl>
    <w:lvl w:ilvl="2" w:tplc="0C09001B" w:tentative="1">
      <w:start w:val="1"/>
      <w:numFmt w:val="lowerRoman"/>
      <w:lvlText w:val="%3."/>
      <w:lvlJc w:val="right"/>
      <w:pPr>
        <w:ind w:left="4882" w:hanging="180"/>
      </w:pPr>
    </w:lvl>
    <w:lvl w:ilvl="3" w:tplc="0C09000F" w:tentative="1">
      <w:start w:val="1"/>
      <w:numFmt w:val="decimal"/>
      <w:lvlText w:val="%4."/>
      <w:lvlJc w:val="left"/>
      <w:pPr>
        <w:ind w:left="5602" w:hanging="360"/>
      </w:pPr>
    </w:lvl>
    <w:lvl w:ilvl="4" w:tplc="0C090019" w:tentative="1">
      <w:start w:val="1"/>
      <w:numFmt w:val="lowerLetter"/>
      <w:lvlText w:val="%5."/>
      <w:lvlJc w:val="left"/>
      <w:pPr>
        <w:ind w:left="6322" w:hanging="360"/>
      </w:pPr>
    </w:lvl>
    <w:lvl w:ilvl="5" w:tplc="0C09001B" w:tentative="1">
      <w:start w:val="1"/>
      <w:numFmt w:val="lowerRoman"/>
      <w:lvlText w:val="%6."/>
      <w:lvlJc w:val="right"/>
      <w:pPr>
        <w:ind w:left="7042" w:hanging="180"/>
      </w:pPr>
    </w:lvl>
    <w:lvl w:ilvl="6" w:tplc="0C09000F" w:tentative="1">
      <w:start w:val="1"/>
      <w:numFmt w:val="decimal"/>
      <w:lvlText w:val="%7."/>
      <w:lvlJc w:val="left"/>
      <w:pPr>
        <w:ind w:left="7762" w:hanging="360"/>
      </w:pPr>
    </w:lvl>
    <w:lvl w:ilvl="7" w:tplc="0C090019" w:tentative="1">
      <w:start w:val="1"/>
      <w:numFmt w:val="lowerLetter"/>
      <w:lvlText w:val="%8."/>
      <w:lvlJc w:val="left"/>
      <w:pPr>
        <w:ind w:left="8482" w:hanging="360"/>
      </w:pPr>
    </w:lvl>
    <w:lvl w:ilvl="8" w:tplc="0C09001B" w:tentative="1">
      <w:start w:val="1"/>
      <w:numFmt w:val="lowerRoman"/>
      <w:lvlText w:val="%9."/>
      <w:lvlJc w:val="right"/>
      <w:pPr>
        <w:ind w:left="9202" w:hanging="180"/>
      </w:pPr>
    </w:lvl>
  </w:abstractNum>
  <w:abstractNum w:abstractNumId="10">
    <w:nsid w:val="4ECB787E"/>
    <w:multiLevelType w:val="hybridMultilevel"/>
    <w:tmpl w:val="56FA2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0F65A7"/>
    <w:multiLevelType w:val="hybridMultilevel"/>
    <w:tmpl w:val="F9F258CC"/>
    <w:lvl w:ilvl="0" w:tplc="02864CB6">
      <w:start w:val="1"/>
      <w:numFmt w:val="decimal"/>
      <w:lvlText w:val="(%1)"/>
      <w:lvlJc w:val="left"/>
      <w:pPr>
        <w:ind w:left="344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4162" w:hanging="360"/>
      </w:pPr>
    </w:lvl>
    <w:lvl w:ilvl="2" w:tplc="0C09001B" w:tentative="1">
      <w:start w:val="1"/>
      <w:numFmt w:val="lowerRoman"/>
      <w:lvlText w:val="%3."/>
      <w:lvlJc w:val="right"/>
      <w:pPr>
        <w:ind w:left="4882" w:hanging="180"/>
      </w:pPr>
    </w:lvl>
    <w:lvl w:ilvl="3" w:tplc="0C09000F" w:tentative="1">
      <w:start w:val="1"/>
      <w:numFmt w:val="decimal"/>
      <w:lvlText w:val="%4."/>
      <w:lvlJc w:val="left"/>
      <w:pPr>
        <w:ind w:left="5602" w:hanging="360"/>
      </w:pPr>
    </w:lvl>
    <w:lvl w:ilvl="4" w:tplc="0C090019" w:tentative="1">
      <w:start w:val="1"/>
      <w:numFmt w:val="lowerLetter"/>
      <w:lvlText w:val="%5."/>
      <w:lvlJc w:val="left"/>
      <w:pPr>
        <w:ind w:left="6322" w:hanging="360"/>
      </w:pPr>
    </w:lvl>
    <w:lvl w:ilvl="5" w:tplc="0C09001B" w:tentative="1">
      <w:start w:val="1"/>
      <w:numFmt w:val="lowerRoman"/>
      <w:lvlText w:val="%6."/>
      <w:lvlJc w:val="right"/>
      <w:pPr>
        <w:ind w:left="7042" w:hanging="180"/>
      </w:pPr>
    </w:lvl>
    <w:lvl w:ilvl="6" w:tplc="0C09000F" w:tentative="1">
      <w:start w:val="1"/>
      <w:numFmt w:val="decimal"/>
      <w:lvlText w:val="%7."/>
      <w:lvlJc w:val="left"/>
      <w:pPr>
        <w:ind w:left="7762" w:hanging="360"/>
      </w:pPr>
    </w:lvl>
    <w:lvl w:ilvl="7" w:tplc="0C090019" w:tentative="1">
      <w:start w:val="1"/>
      <w:numFmt w:val="lowerLetter"/>
      <w:lvlText w:val="%8."/>
      <w:lvlJc w:val="left"/>
      <w:pPr>
        <w:ind w:left="8482" w:hanging="360"/>
      </w:pPr>
    </w:lvl>
    <w:lvl w:ilvl="8" w:tplc="0C09001B" w:tentative="1">
      <w:start w:val="1"/>
      <w:numFmt w:val="lowerRoman"/>
      <w:lvlText w:val="%9."/>
      <w:lvlJc w:val="right"/>
      <w:pPr>
        <w:ind w:left="9202" w:hanging="180"/>
      </w:pPr>
    </w:lvl>
  </w:abstractNum>
  <w:abstractNum w:abstractNumId="12">
    <w:nsid w:val="7795738F"/>
    <w:multiLevelType w:val="hybridMultilevel"/>
    <w:tmpl w:val="109A24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C118C7"/>
    <w:multiLevelType w:val="hybridMultilevel"/>
    <w:tmpl w:val="F9F258CC"/>
    <w:lvl w:ilvl="0" w:tplc="02864CB6">
      <w:start w:val="1"/>
      <w:numFmt w:val="decimal"/>
      <w:lvlText w:val="(%1)"/>
      <w:lvlJc w:val="left"/>
      <w:pPr>
        <w:ind w:left="344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4162" w:hanging="360"/>
      </w:pPr>
    </w:lvl>
    <w:lvl w:ilvl="2" w:tplc="0C09001B" w:tentative="1">
      <w:start w:val="1"/>
      <w:numFmt w:val="lowerRoman"/>
      <w:lvlText w:val="%3."/>
      <w:lvlJc w:val="right"/>
      <w:pPr>
        <w:ind w:left="4882" w:hanging="180"/>
      </w:pPr>
    </w:lvl>
    <w:lvl w:ilvl="3" w:tplc="0C09000F" w:tentative="1">
      <w:start w:val="1"/>
      <w:numFmt w:val="decimal"/>
      <w:lvlText w:val="%4."/>
      <w:lvlJc w:val="left"/>
      <w:pPr>
        <w:ind w:left="5602" w:hanging="360"/>
      </w:pPr>
    </w:lvl>
    <w:lvl w:ilvl="4" w:tplc="0C090019" w:tentative="1">
      <w:start w:val="1"/>
      <w:numFmt w:val="lowerLetter"/>
      <w:lvlText w:val="%5."/>
      <w:lvlJc w:val="left"/>
      <w:pPr>
        <w:ind w:left="6322" w:hanging="360"/>
      </w:pPr>
    </w:lvl>
    <w:lvl w:ilvl="5" w:tplc="0C09001B" w:tentative="1">
      <w:start w:val="1"/>
      <w:numFmt w:val="lowerRoman"/>
      <w:lvlText w:val="%6."/>
      <w:lvlJc w:val="right"/>
      <w:pPr>
        <w:ind w:left="7042" w:hanging="180"/>
      </w:pPr>
    </w:lvl>
    <w:lvl w:ilvl="6" w:tplc="0C09000F" w:tentative="1">
      <w:start w:val="1"/>
      <w:numFmt w:val="decimal"/>
      <w:lvlText w:val="%7."/>
      <w:lvlJc w:val="left"/>
      <w:pPr>
        <w:ind w:left="7762" w:hanging="360"/>
      </w:pPr>
    </w:lvl>
    <w:lvl w:ilvl="7" w:tplc="0C090019" w:tentative="1">
      <w:start w:val="1"/>
      <w:numFmt w:val="lowerLetter"/>
      <w:lvlText w:val="%8."/>
      <w:lvlJc w:val="left"/>
      <w:pPr>
        <w:ind w:left="8482" w:hanging="360"/>
      </w:pPr>
    </w:lvl>
    <w:lvl w:ilvl="8" w:tplc="0C09001B" w:tentative="1">
      <w:start w:val="1"/>
      <w:numFmt w:val="lowerRoman"/>
      <w:lvlText w:val="%9."/>
      <w:lvlJc w:val="right"/>
      <w:pPr>
        <w:ind w:left="9202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1"/>
  </w:num>
  <w:num w:numId="9">
    <w:abstractNumId w:val="6"/>
  </w:num>
  <w:num w:numId="10">
    <w:abstractNumId w:val="13"/>
  </w:num>
  <w:num w:numId="11">
    <w:abstractNumId w:val="9"/>
  </w:num>
  <w:num w:numId="12">
    <w:abstractNumId w:val="7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D4"/>
    <w:rsid w:val="00007ACB"/>
    <w:rsid w:val="00061074"/>
    <w:rsid w:val="0006253B"/>
    <w:rsid w:val="00107DC9"/>
    <w:rsid w:val="0013030D"/>
    <w:rsid w:val="001A4F6D"/>
    <w:rsid w:val="0020763E"/>
    <w:rsid w:val="0023172A"/>
    <w:rsid w:val="00233CD4"/>
    <w:rsid w:val="0025465C"/>
    <w:rsid w:val="00271F44"/>
    <w:rsid w:val="002741C9"/>
    <w:rsid w:val="0027455A"/>
    <w:rsid w:val="00274E79"/>
    <w:rsid w:val="002B2610"/>
    <w:rsid w:val="00304DC8"/>
    <w:rsid w:val="00305DE3"/>
    <w:rsid w:val="00344097"/>
    <w:rsid w:val="003D3CC2"/>
    <w:rsid w:val="00404D6C"/>
    <w:rsid w:val="00436D70"/>
    <w:rsid w:val="004655AE"/>
    <w:rsid w:val="004662C2"/>
    <w:rsid w:val="00467537"/>
    <w:rsid w:val="00472CCE"/>
    <w:rsid w:val="004B296C"/>
    <w:rsid w:val="004C5323"/>
    <w:rsid w:val="004F4EF5"/>
    <w:rsid w:val="005D3C6B"/>
    <w:rsid w:val="005E3245"/>
    <w:rsid w:val="006A044F"/>
    <w:rsid w:val="006F7326"/>
    <w:rsid w:val="007140C1"/>
    <w:rsid w:val="00802CA1"/>
    <w:rsid w:val="00833DD0"/>
    <w:rsid w:val="00860453"/>
    <w:rsid w:val="008852FB"/>
    <w:rsid w:val="008C52D6"/>
    <w:rsid w:val="00920673"/>
    <w:rsid w:val="00950915"/>
    <w:rsid w:val="009646F3"/>
    <w:rsid w:val="009E3742"/>
    <w:rsid w:val="00A14B23"/>
    <w:rsid w:val="00A50A39"/>
    <w:rsid w:val="00A6786A"/>
    <w:rsid w:val="00A91629"/>
    <w:rsid w:val="00AF720D"/>
    <w:rsid w:val="00B2118C"/>
    <w:rsid w:val="00C02E0C"/>
    <w:rsid w:val="00C52F35"/>
    <w:rsid w:val="00CA14E5"/>
    <w:rsid w:val="00CB556E"/>
    <w:rsid w:val="00CD1C85"/>
    <w:rsid w:val="00D33AA6"/>
    <w:rsid w:val="00D34CC3"/>
    <w:rsid w:val="00D856E0"/>
    <w:rsid w:val="00E65717"/>
    <w:rsid w:val="00E7291D"/>
    <w:rsid w:val="00EC4D4D"/>
    <w:rsid w:val="00EE1C08"/>
    <w:rsid w:val="00FA395F"/>
    <w:rsid w:val="00FA5715"/>
    <w:rsid w:val="00FD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233CD4"/>
    <w:rPr>
      <w:lang w:eastAsia="en-US"/>
    </w:rPr>
  </w:style>
  <w:style w:type="paragraph" w:styleId="Footer">
    <w:name w:val="footer"/>
    <w:basedOn w:val="Normal"/>
    <w:link w:val="FooterChar"/>
    <w:rsid w:val="00233CD4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rsid w:val="00233CD4"/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FooterCitation">
    <w:name w:val="FooterCitation"/>
    <w:basedOn w:val="Footer"/>
    <w:rsid w:val="00233CD4"/>
    <w:pPr>
      <w:spacing w:before="20" w:line="240" w:lineRule="exact"/>
      <w:jc w:val="center"/>
    </w:pPr>
    <w:rPr>
      <w:i/>
    </w:rPr>
  </w:style>
  <w:style w:type="paragraph" w:customStyle="1" w:styleId="HeaderBoldEven">
    <w:name w:val="HeaderBoldEven"/>
    <w:basedOn w:val="Normal"/>
    <w:rsid w:val="00233CD4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233CD4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233CD4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233CD4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233CD4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233CD4"/>
    <w:rPr>
      <w:lang w:eastAsia="en-US"/>
    </w:rPr>
  </w:style>
  <w:style w:type="paragraph" w:customStyle="1" w:styleId="NotesSectionBreak">
    <w:name w:val="NotesSectionBreak"/>
    <w:basedOn w:val="Normal"/>
    <w:next w:val="Normal"/>
    <w:rsid w:val="00233CD4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233CD4"/>
    <w:rPr>
      <w:lang w:eastAsia="en-US"/>
    </w:rPr>
  </w:style>
  <w:style w:type="paragraph" w:customStyle="1" w:styleId="SigningPageBreak">
    <w:name w:val="SigningPageBreak"/>
    <w:basedOn w:val="Normal"/>
    <w:next w:val="Normal"/>
    <w:rsid w:val="00233CD4"/>
    <w:rPr>
      <w:lang w:eastAsia="en-US"/>
    </w:rPr>
  </w:style>
  <w:style w:type="paragraph" w:styleId="Header">
    <w:name w:val="header"/>
    <w:basedOn w:val="Normal"/>
    <w:link w:val="HeaderChar"/>
    <w:rsid w:val="00233CD4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233CD4"/>
    <w:rPr>
      <w:rFonts w:ascii="Arial" w:eastAsia="Times New Roman" w:hAnsi="Arial" w:cs="Times New Roman"/>
      <w:sz w:val="16"/>
      <w:szCs w:val="24"/>
      <w:lang w:eastAsia="en-AU"/>
    </w:rPr>
  </w:style>
  <w:style w:type="paragraph" w:styleId="NoteHeading">
    <w:name w:val="Note Heading"/>
    <w:aliases w:val="HN"/>
    <w:basedOn w:val="Normal"/>
    <w:next w:val="Normal"/>
    <w:link w:val="NoteHeadingChar"/>
    <w:rsid w:val="00233CD4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customStyle="1" w:styleId="NoteHeadingChar">
    <w:name w:val="Note Heading Char"/>
    <w:aliases w:val="HN Char"/>
    <w:basedOn w:val="DefaultParagraphFont"/>
    <w:link w:val="NoteHeading"/>
    <w:rsid w:val="00233CD4"/>
    <w:rPr>
      <w:rFonts w:ascii="Arial" w:eastAsia="Times New Roman" w:hAnsi="Arial" w:cs="Times New Roman"/>
      <w:b/>
      <w:sz w:val="32"/>
      <w:szCs w:val="24"/>
      <w:lang w:eastAsia="en-AU"/>
    </w:rPr>
  </w:style>
  <w:style w:type="character" w:styleId="PageNumber">
    <w:name w:val="page number"/>
    <w:rsid w:val="00233CD4"/>
    <w:rPr>
      <w:rFonts w:ascii="Arial" w:hAnsi="Arial"/>
      <w:sz w:val="22"/>
      <w:szCs w:val="22"/>
    </w:rPr>
  </w:style>
  <w:style w:type="paragraph" w:customStyle="1" w:styleId="TableENotesHeading">
    <w:name w:val="TableENotesHeading"/>
    <w:basedOn w:val="Normal"/>
    <w:next w:val="Normal"/>
    <w:rsid w:val="00233CD4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link w:val="TitleChar"/>
    <w:qFormat/>
    <w:rsid w:val="00233CD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33CD4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DivNo">
    <w:name w:val="CharDivNo"/>
    <w:basedOn w:val="DefaultParagraphFont"/>
    <w:rsid w:val="00233CD4"/>
  </w:style>
  <w:style w:type="character" w:customStyle="1" w:styleId="CharDivText">
    <w:name w:val="CharDivText"/>
    <w:basedOn w:val="DefaultParagraphFont"/>
    <w:rsid w:val="00233CD4"/>
  </w:style>
  <w:style w:type="character" w:customStyle="1" w:styleId="CharPartNo">
    <w:name w:val="CharPartNo"/>
    <w:basedOn w:val="DefaultParagraphFont"/>
    <w:rsid w:val="00233CD4"/>
  </w:style>
  <w:style w:type="character" w:customStyle="1" w:styleId="CharPartText">
    <w:name w:val="CharPartText"/>
    <w:basedOn w:val="DefaultParagraphFont"/>
    <w:rsid w:val="00233CD4"/>
  </w:style>
  <w:style w:type="character" w:customStyle="1" w:styleId="CharSectno">
    <w:name w:val="CharSectno"/>
    <w:basedOn w:val="DefaultParagraphFont"/>
    <w:rsid w:val="00233CD4"/>
  </w:style>
  <w:style w:type="character" w:customStyle="1" w:styleId="CharENotesHeading">
    <w:name w:val="CharENotesHeading"/>
    <w:basedOn w:val="DefaultParagraphFont"/>
    <w:rsid w:val="00233CD4"/>
  </w:style>
  <w:style w:type="paragraph" w:customStyle="1" w:styleId="ContentsHead">
    <w:name w:val="ContentsHead"/>
    <w:basedOn w:val="Normal"/>
    <w:next w:val="Normal"/>
    <w:rsid w:val="00233CD4"/>
    <w:pPr>
      <w:keepNext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efinition">
    <w:name w:val="definition"/>
    <w:basedOn w:val="Normal"/>
    <w:rsid w:val="00233CD4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HE">
    <w:name w:val="HE"/>
    <w:aliases w:val="Example heading"/>
    <w:basedOn w:val="Normal"/>
    <w:next w:val="Normal"/>
    <w:rsid w:val="00233CD4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R">
    <w:name w:val="HR"/>
    <w:aliases w:val="Regulation Heading"/>
    <w:basedOn w:val="Normal"/>
    <w:next w:val="Normal"/>
    <w:rsid w:val="00233CD4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Note">
    <w:name w:val="Note"/>
    <w:rsid w:val="00233CD4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Notepara">
    <w:name w:val="Note para"/>
    <w:basedOn w:val="Normal"/>
    <w:rsid w:val="00233CD4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233CD4"/>
    <w:pPr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R1">
    <w:name w:val="R1"/>
    <w:aliases w:val="1. or 1.(1)"/>
    <w:basedOn w:val="Normal"/>
    <w:next w:val="Normal"/>
    <w:rsid w:val="00233CD4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233CD4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233CD4"/>
    <w:pPr>
      <w:keepNext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233CD4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233CD4"/>
    <w:pPr>
      <w:keepNext/>
      <w:spacing w:before="360"/>
    </w:pPr>
    <w:rPr>
      <w:rFonts w:ascii="Arial" w:hAnsi="Arial"/>
      <w:b/>
      <w:sz w:val="28"/>
      <w:lang w:eastAsia="en-US"/>
    </w:rPr>
  </w:style>
  <w:style w:type="paragraph" w:customStyle="1" w:styleId="TableColHead">
    <w:name w:val="TableColHead"/>
    <w:basedOn w:val="Normal"/>
    <w:rsid w:val="00233CD4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OC">
    <w:name w:val="TOC"/>
    <w:basedOn w:val="Normal"/>
    <w:next w:val="Normal"/>
    <w:rsid w:val="00233CD4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5">
    <w:name w:val="toc 5"/>
    <w:basedOn w:val="Normal"/>
    <w:next w:val="Normal"/>
    <w:uiPriority w:val="39"/>
    <w:rsid w:val="00233CD4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noProof/>
      <w:sz w:val="20"/>
      <w:lang w:eastAsia="en-US"/>
    </w:rPr>
  </w:style>
  <w:style w:type="paragraph" w:styleId="TOC7">
    <w:name w:val="toc 7"/>
    <w:basedOn w:val="Normal"/>
    <w:next w:val="Normal"/>
    <w:uiPriority w:val="39"/>
    <w:rsid w:val="00233CD4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9">
    <w:name w:val="toc 9"/>
    <w:basedOn w:val="Normal"/>
    <w:next w:val="Normal"/>
    <w:uiPriority w:val="39"/>
    <w:rsid w:val="00233CD4"/>
    <w:pPr>
      <w:tabs>
        <w:tab w:val="right" w:pos="827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TableOfAmend">
    <w:name w:val="TableOfAmend"/>
    <w:basedOn w:val="Normal"/>
    <w:rsid w:val="00233CD4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233CD4"/>
    <w:pPr>
      <w:spacing w:before="0"/>
    </w:pPr>
  </w:style>
  <w:style w:type="paragraph" w:customStyle="1" w:styleId="TableOfAmendHead">
    <w:name w:val="TableOfAmendHead"/>
    <w:basedOn w:val="TableOfAmend"/>
    <w:next w:val="Normal"/>
    <w:rsid w:val="00233CD4"/>
    <w:pPr>
      <w:spacing w:after="60"/>
    </w:pPr>
    <w:rPr>
      <w:sz w:val="16"/>
    </w:rPr>
  </w:style>
  <w:style w:type="paragraph" w:customStyle="1" w:styleId="EndNotes">
    <w:name w:val="EndNotes"/>
    <w:basedOn w:val="Normal"/>
    <w:rsid w:val="00233CD4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233CD4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233CD4"/>
    <w:pPr>
      <w:spacing w:before="240"/>
    </w:pPr>
  </w:style>
  <w:style w:type="paragraph" w:customStyle="1" w:styleId="CoverAct">
    <w:name w:val="CoverAct"/>
    <w:basedOn w:val="Normal"/>
    <w:next w:val="CoverUpdate"/>
    <w:rsid w:val="00233CD4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233CD4"/>
    <w:pPr>
      <w:spacing w:before="240" w:after="240"/>
    </w:pPr>
    <w:rPr>
      <w:rFonts w:ascii="Arial" w:hAnsi="Arial"/>
    </w:rPr>
  </w:style>
  <w:style w:type="paragraph" w:customStyle="1" w:styleId="CoverStatRule">
    <w:name w:val="CoverStatRule"/>
    <w:basedOn w:val="Normal"/>
    <w:next w:val="Normal"/>
    <w:rsid w:val="00233CD4"/>
    <w:pPr>
      <w:spacing w:before="240"/>
    </w:pPr>
    <w:rPr>
      <w:rFonts w:ascii="Arial" w:hAnsi="Arial"/>
      <w:b/>
    </w:rPr>
  </w:style>
  <w:style w:type="paragraph" w:customStyle="1" w:styleId="TableENotesHeadingAmdt">
    <w:name w:val="TableENotesHeadingAmdt"/>
    <w:basedOn w:val="Normal"/>
    <w:rsid w:val="00233CD4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character" w:styleId="CommentReference">
    <w:name w:val="annotation reference"/>
    <w:rsid w:val="00233C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3C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3CD4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FooterPageOdd">
    <w:name w:val="FooterPageOdd"/>
    <w:basedOn w:val="Footer"/>
    <w:rsid w:val="00233CD4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FooterPageEven">
    <w:name w:val="FooterPageEven"/>
    <w:basedOn w:val="FooterPageOdd"/>
    <w:rsid w:val="00233CD4"/>
    <w:pPr>
      <w:jc w:val="left"/>
    </w:pPr>
  </w:style>
  <w:style w:type="paragraph" w:customStyle="1" w:styleId="Footerinfo">
    <w:name w:val="Footerinfo"/>
    <w:basedOn w:val="Footer"/>
    <w:rsid w:val="00233CD4"/>
    <w:pPr>
      <w:tabs>
        <w:tab w:val="clear" w:pos="4153"/>
        <w:tab w:val="clear" w:pos="8306"/>
        <w:tab w:val="center" w:pos="3600"/>
        <w:tab w:val="right" w:pos="7201"/>
      </w:tabs>
    </w:pPr>
    <w:rPr>
      <w:sz w:val="12"/>
      <w:szCs w:val="18"/>
      <w:lang w:eastAsia="en-US"/>
    </w:rPr>
  </w:style>
  <w:style w:type="paragraph" w:customStyle="1" w:styleId="TableOfStatRules">
    <w:name w:val="TableOfStatRules"/>
    <w:basedOn w:val="Normal"/>
    <w:rsid w:val="00233CD4"/>
    <w:pPr>
      <w:spacing w:before="60" w:line="200" w:lineRule="exact"/>
    </w:pPr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CD4"/>
    <w:rPr>
      <w:rFonts w:ascii="Tahoma" w:eastAsia="Times New Roman" w:hAnsi="Tahoma" w:cs="Tahoma"/>
      <w:sz w:val="16"/>
      <w:szCs w:val="16"/>
      <w:lang w:eastAsia="en-AU"/>
    </w:rPr>
  </w:style>
  <w:style w:type="character" w:styleId="Strong">
    <w:name w:val="Strong"/>
    <w:basedOn w:val="DefaultParagraphFont"/>
    <w:uiPriority w:val="22"/>
    <w:qFormat/>
    <w:rsid w:val="008C52D6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9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96C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EE1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233CD4"/>
    <w:rPr>
      <w:lang w:eastAsia="en-US"/>
    </w:rPr>
  </w:style>
  <w:style w:type="paragraph" w:styleId="Footer">
    <w:name w:val="footer"/>
    <w:basedOn w:val="Normal"/>
    <w:link w:val="FooterChar"/>
    <w:rsid w:val="00233CD4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rsid w:val="00233CD4"/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FooterCitation">
    <w:name w:val="FooterCitation"/>
    <w:basedOn w:val="Footer"/>
    <w:rsid w:val="00233CD4"/>
    <w:pPr>
      <w:spacing w:before="20" w:line="240" w:lineRule="exact"/>
      <w:jc w:val="center"/>
    </w:pPr>
    <w:rPr>
      <w:i/>
    </w:rPr>
  </w:style>
  <w:style w:type="paragraph" w:customStyle="1" w:styleId="HeaderBoldEven">
    <w:name w:val="HeaderBoldEven"/>
    <w:basedOn w:val="Normal"/>
    <w:rsid w:val="00233CD4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233CD4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233CD4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233CD4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233CD4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233CD4"/>
    <w:rPr>
      <w:lang w:eastAsia="en-US"/>
    </w:rPr>
  </w:style>
  <w:style w:type="paragraph" w:customStyle="1" w:styleId="NotesSectionBreak">
    <w:name w:val="NotesSectionBreak"/>
    <w:basedOn w:val="Normal"/>
    <w:next w:val="Normal"/>
    <w:rsid w:val="00233CD4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233CD4"/>
    <w:rPr>
      <w:lang w:eastAsia="en-US"/>
    </w:rPr>
  </w:style>
  <w:style w:type="paragraph" w:customStyle="1" w:styleId="SigningPageBreak">
    <w:name w:val="SigningPageBreak"/>
    <w:basedOn w:val="Normal"/>
    <w:next w:val="Normal"/>
    <w:rsid w:val="00233CD4"/>
    <w:rPr>
      <w:lang w:eastAsia="en-US"/>
    </w:rPr>
  </w:style>
  <w:style w:type="paragraph" w:styleId="Header">
    <w:name w:val="header"/>
    <w:basedOn w:val="Normal"/>
    <w:link w:val="HeaderChar"/>
    <w:rsid w:val="00233CD4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233CD4"/>
    <w:rPr>
      <w:rFonts w:ascii="Arial" w:eastAsia="Times New Roman" w:hAnsi="Arial" w:cs="Times New Roman"/>
      <w:sz w:val="16"/>
      <w:szCs w:val="24"/>
      <w:lang w:eastAsia="en-AU"/>
    </w:rPr>
  </w:style>
  <w:style w:type="paragraph" w:styleId="NoteHeading">
    <w:name w:val="Note Heading"/>
    <w:aliases w:val="HN"/>
    <w:basedOn w:val="Normal"/>
    <w:next w:val="Normal"/>
    <w:link w:val="NoteHeadingChar"/>
    <w:rsid w:val="00233CD4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customStyle="1" w:styleId="NoteHeadingChar">
    <w:name w:val="Note Heading Char"/>
    <w:aliases w:val="HN Char"/>
    <w:basedOn w:val="DefaultParagraphFont"/>
    <w:link w:val="NoteHeading"/>
    <w:rsid w:val="00233CD4"/>
    <w:rPr>
      <w:rFonts w:ascii="Arial" w:eastAsia="Times New Roman" w:hAnsi="Arial" w:cs="Times New Roman"/>
      <w:b/>
      <w:sz w:val="32"/>
      <w:szCs w:val="24"/>
      <w:lang w:eastAsia="en-AU"/>
    </w:rPr>
  </w:style>
  <w:style w:type="character" w:styleId="PageNumber">
    <w:name w:val="page number"/>
    <w:rsid w:val="00233CD4"/>
    <w:rPr>
      <w:rFonts w:ascii="Arial" w:hAnsi="Arial"/>
      <w:sz w:val="22"/>
      <w:szCs w:val="22"/>
    </w:rPr>
  </w:style>
  <w:style w:type="paragraph" w:customStyle="1" w:styleId="TableENotesHeading">
    <w:name w:val="TableENotesHeading"/>
    <w:basedOn w:val="Normal"/>
    <w:next w:val="Normal"/>
    <w:rsid w:val="00233CD4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link w:val="TitleChar"/>
    <w:qFormat/>
    <w:rsid w:val="00233CD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33CD4"/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CharDivNo">
    <w:name w:val="CharDivNo"/>
    <w:basedOn w:val="DefaultParagraphFont"/>
    <w:rsid w:val="00233CD4"/>
  </w:style>
  <w:style w:type="character" w:customStyle="1" w:styleId="CharDivText">
    <w:name w:val="CharDivText"/>
    <w:basedOn w:val="DefaultParagraphFont"/>
    <w:rsid w:val="00233CD4"/>
  </w:style>
  <w:style w:type="character" w:customStyle="1" w:styleId="CharPartNo">
    <w:name w:val="CharPartNo"/>
    <w:basedOn w:val="DefaultParagraphFont"/>
    <w:rsid w:val="00233CD4"/>
  </w:style>
  <w:style w:type="character" w:customStyle="1" w:styleId="CharPartText">
    <w:name w:val="CharPartText"/>
    <w:basedOn w:val="DefaultParagraphFont"/>
    <w:rsid w:val="00233CD4"/>
  </w:style>
  <w:style w:type="character" w:customStyle="1" w:styleId="CharSectno">
    <w:name w:val="CharSectno"/>
    <w:basedOn w:val="DefaultParagraphFont"/>
    <w:rsid w:val="00233CD4"/>
  </w:style>
  <w:style w:type="character" w:customStyle="1" w:styleId="CharENotesHeading">
    <w:name w:val="CharENotesHeading"/>
    <w:basedOn w:val="DefaultParagraphFont"/>
    <w:rsid w:val="00233CD4"/>
  </w:style>
  <w:style w:type="paragraph" w:customStyle="1" w:styleId="ContentsHead">
    <w:name w:val="ContentsHead"/>
    <w:basedOn w:val="Normal"/>
    <w:next w:val="Normal"/>
    <w:rsid w:val="00233CD4"/>
    <w:pPr>
      <w:keepNext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efinition">
    <w:name w:val="definition"/>
    <w:basedOn w:val="Normal"/>
    <w:rsid w:val="00233CD4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HE">
    <w:name w:val="HE"/>
    <w:aliases w:val="Example heading"/>
    <w:basedOn w:val="Normal"/>
    <w:next w:val="Normal"/>
    <w:rsid w:val="00233CD4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R">
    <w:name w:val="HR"/>
    <w:aliases w:val="Regulation Heading"/>
    <w:basedOn w:val="Normal"/>
    <w:next w:val="Normal"/>
    <w:rsid w:val="00233CD4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Note">
    <w:name w:val="Note"/>
    <w:rsid w:val="00233CD4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Notepara">
    <w:name w:val="Note para"/>
    <w:basedOn w:val="Normal"/>
    <w:rsid w:val="00233CD4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233CD4"/>
    <w:pPr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R1">
    <w:name w:val="R1"/>
    <w:aliases w:val="1. or 1.(1)"/>
    <w:basedOn w:val="Normal"/>
    <w:next w:val="Normal"/>
    <w:rsid w:val="00233CD4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233CD4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233CD4"/>
    <w:pPr>
      <w:keepNext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233CD4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233CD4"/>
    <w:pPr>
      <w:keepNext/>
      <w:spacing w:before="360"/>
    </w:pPr>
    <w:rPr>
      <w:rFonts w:ascii="Arial" w:hAnsi="Arial"/>
      <w:b/>
      <w:sz w:val="28"/>
      <w:lang w:eastAsia="en-US"/>
    </w:rPr>
  </w:style>
  <w:style w:type="paragraph" w:customStyle="1" w:styleId="TableColHead">
    <w:name w:val="TableColHead"/>
    <w:basedOn w:val="Normal"/>
    <w:rsid w:val="00233CD4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OC">
    <w:name w:val="TOC"/>
    <w:basedOn w:val="Normal"/>
    <w:next w:val="Normal"/>
    <w:rsid w:val="00233CD4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5">
    <w:name w:val="toc 5"/>
    <w:basedOn w:val="Normal"/>
    <w:next w:val="Normal"/>
    <w:uiPriority w:val="39"/>
    <w:rsid w:val="00233CD4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noProof/>
      <w:sz w:val="20"/>
      <w:lang w:eastAsia="en-US"/>
    </w:rPr>
  </w:style>
  <w:style w:type="paragraph" w:styleId="TOC7">
    <w:name w:val="toc 7"/>
    <w:basedOn w:val="Normal"/>
    <w:next w:val="Normal"/>
    <w:uiPriority w:val="39"/>
    <w:rsid w:val="00233CD4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9">
    <w:name w:val="toc 9"/>
    <w:basedOn w:val="Normal"/>
    <w:next w:val="Normal"/>
    <w:uiPriority w:val="39"/>
    <w:rsid w:val="00233CD4"/>
    <w:pPr>
      <w:tabs>
        <w:tab w:val="right" w:pos="827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TableOfAmend">
    <w:name w:val="TableOfAmend"/>
    <w:basedOn w:val="Normal"/>
    <w:rsid w:val="00233CD4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233CD4"/>
    <w:pPr>
      <w:spacing w:before="0"/>
    </w:pPr>
  </w:style>
  <w:style w:type="paragraph" w:customStyle="1" w:styleId="TableOfAmendHead">
    <w:name w:val="TableOfAmendHead"/>
    <w:basedOn w:val="TableOfAmend"/>
    <w:next w:val="Normal"/>
    <w:rsid w:val="00233CD4"/>
    <w:pPr>
      <w:spacing w:after="60"/>
    </w:pPr>
    <w:rPr>
      <w:sz w:val="16"/>
    </w:rPr>
  </w:style>
  <w:style w:type="paragraph" w:customStyle="1" w:styleId="EndNotes">
    <w:name w:val="EndNotes"/>
    <w:basedOn w:val="Normal"/>
    <w:rsid w:val="00233CD4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233CD4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233CD4"/>
    <w:pPr>
      <w:spacing w:before="240"/>
    </w:pPr>
  </w:style>
  <w:style w:type="paragraph" w:customStyle="1" w:styleId="CoverAct">
    <w:name w:val="CoverAct"/>
    <w:basedOn w:val="Normal"/>
    <w:next w:val="CoverUpdate"/>
    <w:rsid w:val="00233CD4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233CD4"/>
    <w:pPr>
      <w:spacing w:before="240" w:after="240"/>
    </w:pPr>
    <w:rPr>
      <w:rFonts w:ascii="Arial" w:hAnsi="Arial"/>
    </w:rPr>
  </w:style>
  <w:style w:type="paragraph" w:customStyle="1" w:styleId="CoverStatRule">
    <w:name w:val="CoverStatRule"/>
    <w:basedOn w:val="Normal"/>
    <w:next w:val="Normal"/>
    <w:rsid w:val="00233CD4"/>
    <w:pPr>
      <w:spacing w:before="240"/>
    </w:pPr>
    <w:rPr>
      <w:rFonts w:ascii="Arial" w:hAnsi="Arial"/>
      <w:b/>
    </w:rPr>
  </w:style>
  <w:style w:type="paragraph" w:customStyle="1" w:styleId="TableENotesHeadingAmdt">
    <w:name w:val="TableENotesHeadingAmdt"/>
    <w:basedOn w:val="Normal"/>
    <w:rsid w:val="00233CD4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character" w:styleId="CommentReference">
    <w:name w:val="annotation reference"/>
    <w:rsid w:val="00233C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3C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3CD4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FooterPageOdd">
    <w:name w:val="FooterPageOdd"/>
    <w:basedOn w:val="Footer"/>
    <w:rsid w:val="00233CD4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FooterPageEven">
    <w:name w:val="FooterPageEven"/>
    <w:basedOn w:val="FooterPageOdd"/>
    <w:rsid w:val="00233CD4"/>
    <w:pPr>
      <w:jc w:val="left"/>
    </w:pPr>
  </w:style>
  <w:style w:type="paragraph" w:customStyle="1" w:styleId="Footerinfo">
    <w:name w:val="Footerinfo"/>
    <w:basedOn w:val="Footer"/>
    <w:rsid w:val="00233CD4"/>
    <w:pPr>
      <w:tabs>
        <w:tab w:val="clear" w:pos="4153"/>
        <w:tab w:val="clear" w:pos="8306"/>
        <w:tab w:val="center" w:pos="3600"/>
        <w:tab w:val="right" w:pos="7201"/>
      </w:tabs>
    </w:pPr>
    <w:rPr>
      <w:sz w:val="12"/>
      <w:szCs w:val="18"/>
      <w:lang w:eastAsia="en-US"/>
    </w:rPr>
  </w:style>
  <w:style w:type="paragraph" w:customStyle="1" w:styleId="TableOfStatRules">
    <w:name w:val="TableOfStatRules"/>
    <w:basedOn w:val="Normal"/>
    <w:rsid w:val="00233CD4"/>
    <w:pPr>
      <w:spacing w:before="60" w:line="200" w:lineRule="exact"/>
    </w:pPr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CD4"/>
    <w:rPr>
      <w:rFonts w:ascii="Tahoma" w:eastAsia="Times New Roman" w:hAnsi="Tahoma" w:cs="Tahoma"/>
      <w:sz w:val="16"/>
      <w:szCs w:val="16"/>
      <w:lang w:eastAsia="en-AU"/>
    </w:rPr>
  </w:style>
  <w:style w:type="character" w:styleId="Strong">
    <w:name w:val="Strong"/>
    <w:basedOn w:val="DefaultParagraphFont"/>
    <w:uiPriority w:val="22"/>
    <w:qFormat/>
    <w:rsid w:val="008C52D6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9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96C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EE1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26" Type="http://schemas.openxmlformats.org/officeDocument/2006/relationships/image" Target="media/image3.wmf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5" Type="http://schemas.openxmlformats.org/officeDocument/2006/relationships/oleObject" Target="embeddings/oleObject1.bin"/><Relationship Id="rId33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3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2.wmf"/><Relationship Id="rId32" Type="http://schemas.openxmlformats.org/officeDocument/2006/relationships/header" Target="header1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5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31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9.xml"/><Relationship Id="rId27" Type="http://schemas.openxmlformats.org/officeDocument/2006/relationships/oleObject" Target="embeddings/oleObject2.bin"/><Relationship Id="rId30" Type="http://schemas.openxmlformats.org/officeDocument/2006/relationships/footer" Target="footer6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D07AA-4E8C-4C9A-8B97-4C24AA60B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1721</Words>
  <Characters>8681</Characters>
  <Application>Microsoft Office Word</Application>
  <DocSecurity>4</DocSecurity>
  <Lines>238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Measurement Guidelines 2016</vt:lpstr>
    </vt:vector>
  </TitlesOfParts>
  <Company>INDUSTRY</Company>
  <LinksUpToDate>false</LinksUpToDate>
  <CharactersWithSpaces>10386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Measurement Guidelines 2016</dc:title>
  <dc:creator>Nunzio Antonino Cristaudo</dc:creator>
  <cp:lastModifiedBy>Gilkes, Amanda</cp:lastModifiedBy>
  <cp:revision>2</cp:revision>
  <cp:lastPrinted>2016-04-15T06:24:00Z</cp:lastPrinted>
  <dcterms:created xsi:type="dcterms:W3CDTF">2016-04-15T06:39:00Z</dcterms:created>
  <dcterms:modified xsi:type="dcterms:W3CDTF">2016-04-15T06:39:00Z</dcterms:modified>
</cp:coreProperties>
</file>