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E4" w:rsidRPr="00E549CD" w:rsidRDefault="00C07FE4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8958"/>
        </w:tabs>
        <w:rPr>
          <w:b/>
          <w:vanish/>
          <w:sz w:val="28"/>
          <w:szCs w:val="28"/>
          <w:u w:val="none"/>
          <w:specVanish/>
        </w:rPr>
      </w:pPr>
      <w:r w:rsidRPr="00E44934">
        <w:rPr>
          <w:b/>
          <w:sz w:val="28"/>
          <w:szCs w:val="28"/>
          <w:u w:val="none"/>
        </w:rPr>
        <w:t>EXPLANATORY STATEMENT</w:t>
      </w:r>
    </w:p>
    <w:p w:rsidR="00CC1F2D" w:rsidRDefault="00E549CD">
      <w:pPr>
        <w:spacing w:before="120"/>
        <w:jc w:val="center"/>
        <w:rPr>
          <w:b/>
        </w:rPr>
      </w:pPr>
      <w:r>
        <w:rPr>
          <w:b/>
        </w:rPr>
        <w:t xml:space="preserve"> </w:t>
      </w:r>
    </w:p>
    <w:p w:rsidR="00C07FE4" w:rsidRPr="00E44934" w:rsidRDefault="00C07FE4">
      <w:pPr>
        <w:spacing w:before="120"/>
        <w:jc w:val="center"/>
        <w:rPr>
          <w:b/>
        </w:rPr>
      </w:pPr>
      <w:r w:rsidRPr="00E44934">
        <w:rPr>
          <w:b/>
        </w:rPr>
        <w:t xml:space="preserve">Issued by the authority of the Minister for Finance </w:t>
      </w:r>
    </w:p>
    <w:p w:rsidR="002A0BFE" w:rsidRDefault="00E44934" w:rsidP="002A0BFE">
      <w:pPr>
        <w:pStyle w:val="Heading8"/>
        <w:spacing w:before="120" w:after="120"/>
        <w:jc w:val="center"/>
        <w:rPr>
          <w:iCs/>
          <w:sz w:val="24"/>
        </w:rPr>
      </w:pPr>
      <w:r w:rsidRPr="00E44934">
        <w:rPr>
          <w:iCs/>
          <w:sz w:val="24"/>
        </w:rPr>
        <w:t>Public Governance, Performance and Accountability Act 2013</w:t>
      </w:r>
    </w:p>
    <w:p w:rsidR="00E44934" w:rsidRDefault="00E44934" w:rsidP="00E44934">
      <w:pPr>
        <w:jc w:val="center"/>
        <w:rPr>
          <w:i/>
        </w:rPr>
      </w:pPr>
      <w:r w:rsidRPr="008E60E1">
        <w:rPr>
          <w:i/>
        </w:rPr>
        <w:t>Public Governance, Performance and Accountability</w:t>
      </w:r>
    </w:p>
    <w:p w:rsidR="00E44934" w:rsidRDefault="00E44934" w:rsidP="00E44934">
      <w:pPr>
        <w:jc w:val="center"/>
        <w:rPr>
          <w:i/>
        </w:rPr>
      </w:pPr>
      <w:r>
        <w:rPr>
          <w:i/>
        </w:rPr>
        <w:t xml:space="preserve">(Financial Reporting) </w:t>
      </w:r>
      <w:r w:rsidR="00A956FA">
        <w:rPr>
          <w:i/>
        </w:rPr>
        <w:t xml:space="preserve">Amendment </w:t>
      </w:r>
      <w:r w:rsidR="008F774A">
        <w:rPr>
          <w:i/>
        </w:rPr>
        <w:t xml:space="preserve">(Miscellaneous) </w:t>
      </w:r>
      <w:r w:rsidRPr="008E60E1">
        <w:rPr>
          <w:i/>
        </w:rPr>
        <w:t>Rule 201</w:t>
      </w:r>
      <w:r w:rsidR="00A956FA">
        <w:rPr>
          <w:i/>
        </w:rPr>
        <w:t>6</w:t>
      </w:r>
    </w:p>
    <w:p w:rsidR="00E44934" w:rsidRPr="00407B73" w:rsidRDefault="00E44934" w:rsidP="00E44934">
      <w:pPr>
        <w:jc w:val="center"/>
      </w:pPr>
    </w:p>
    <w:p w:rsidR="00E44934" w:rsidRDefault="00E44934" w:rsidP="00E44934"/>
    <w:p w:rsidR="00E44934" w:rsidRPr="00215DBA" w:rsidRDefault="00E44934" w:rsidP="00E44934">
      <w:pPr>
        <w:rPr>
          <w:vanish/>
          <w:specVanish/>
        </w:rPr>
      </w:pPr>
      <w:r w:rsidRPr="00F95FE8">
        <w:t xml:space="preserve">The </w:t>
      </w:r>
      <w:r w:rsidRPr="00F95FE8">
        <w:rPr>
          <w:i/>
        </w:rPr>
        <w:t>Public Governance, Performance and Accountability Act 2013</w:t>
      </w:r>
      <w:r w:rsidRPr="00F95FE8">
        <w:t xml:space="preserve"> (PGPA Act) consolidates into a single piece of legislation the governance, performance and accountability requirements of the Commonwealth, setting out a fra</w:t>
      </w:r>
      <w:r>
        <w:t>mework for regulating resource</w:t>
      </w:r>
      <w:r w:rsidRPr="00F95FE8">
        <w:t xml:space="preserve"> management by the Commonwealth and relevant entities.</w:t>
      </w:r>
      <w:r>
        <w:t xml:space="preserve"> </w:t>
      </w:r>
      <w:r w:rsidRPr="00132DCA">
        <w:t>The PGPA Act replace</w:t>
      </w:r>
      <w:r>
        <w:t>d</w:t>
      </w:r>
      <w:r w:rsidRPr="00132DCA">
        <w:t xml:space="preserve"> the </w:t>
      </w:r>
      <w:r w:rsidRPr="00132DCA">
        <w:rPr>
          <w:i/>
          <w:iCs/>
        </w:rPr>
        <w:t>Financial Management and Accountability Act 1997</w:t>
      </w:r>
      <w:r>
        <w:t xml:space="preserve"> (FMA Act) </w:t>
      </w:r>
      <w:r w:rsidRPr="00132DCA">
        <w:t>and the</w:t>
      </w:r>
      <w:r>
        <w:t xml:space="preserve"> </w:t>
      </w:r>
      <w:r w:rsidRPr="00132DCA">
        <w:rPr>
          <w:i/>
          <w:iCs/>
        </w:rPr>
        <w:t>Commonwealth Authorities and Companies Act 1997</w:t>
      </w:r>
      <w:r>
        <w:rPr>
          <w:iCs/>
        </w:rPr>
        <w:t xml:space="preserve"> (CAC Act)</w:t>
      </w:r>
      <w:r w:rsidRPr="00132DCA">
        <w:t>.</w:t>
      </w:r>
    </w:p>
    <w:p w:rsidR="00E44934" w:rsidRDefault="00E44934" w:rsidP="00E44934">
      <w:r>
        <w:t xml:space="preserve"> </w:t>
      </w:r>
    </w:p>
    <w:p w:rsidR="00E44934" w:rsidRDefault="00E44934" w:rsidP="00E44934"/>
    <w:p w:rsidR="00E44934" w:rsidRDefault="00E44934" w:rsidP="00E44934">
      <w:r>
        <w:t xml:space="preserve">Section 101 of the </w:t>
      </w:r>
      <w:r w:rsidRPr="00A479B1">
        <w:t>P</w:t>
      </w:r>
      <w:r>
        <w:t xml:space="preserve">GPA Act provides that the Finance Minister may make rules by legislative instrument to prescribe matters giving effect to the Act. </w:t>
      </w:r>
    </w:p>
    <w:p w:rsidR="00E44934" w:rsidRDefault="00E44934" w:rsidP="00E44934"/>
    <w:p w:rsidR="00E44934" w:rsidRDefault="00A956FA" w:rsidP="00E44934">
      <w:r>
        <w:t xml:space="preserve">The </w:t>
      </w:r>
      <w:r w:rsidRPr="00A956FA">
        <w:rPr>
          <w:i/>
        </w:rPr>
        <w:t xml:space="preserve">Public Governance, Performance and Accountability (Financial Reporting) Amendment </w:t>
      </w:r>
      <w:r w:rsidR="008F774A">
        <w:rPr>
          <w:i/>
        </w:rPr>
        <w:t xml:space="preserve">(Miscellaneous) </w:t>
      </w:r>
      <w:r w:rsidRPr="00A956FA">
        <w:rPr>
          <w:i/>
        </w:rPr>
        <w:t>Rule 2016</w:t>
      </w:r>
      <w:r>
        <w:t xml:space="preserve"> amends the </w:t>
      </w:r>
      <w:r w:rsidR="00E44934" w:rsidRPr="00A479B1">
        <w:rPr>
          <w:i/>
        </w:rPr>
        <w:t>Public G</w:t>
      </w:r>
      <w:r w:rsidR="00E44934" w:rsidRPr="008E60E1">
        <w:rPr>
          <w:i/>
        </w:rPr>
        <w:t>overnance, Performance and Accountability</w:t>
      </w:r>
      <w:r w:rsidR="00E44934">
        <w:rPr>
          <w:i/>
        </w:rPr>
        <w:t xml:space="preserve"> (Financial Reporting) </w:t>
      </w:r>
      <w:r w:rsidR="00E44934" w:rsidRPr="008E60E1">
        <w:rPr>
          <w:i/>
        </w:rPr>
        <w:t>Rule 201</w:t>
      </w:r>
      <w:r w:rsidR="00E44934">
        <w:rPr>
          <w:i/>
        </w:rPr>
        <w:t xml:space="preserve">5 </w:t>
      </w:r>
      <w:r w:rsidR="00E44934" w:rsidRPr="004226F4">
        <w:t>(FR</w:t>
      </w:r>
      <w:r w:rsidR="00E44934">
        <w:t>R</w:t>
      </w:r>
      <w:r w:rsidR="00E44934" w:rsidRPr="004226F4">
        <w:t>)</w:t>
      </w:r>
      <w:r>
        <w:t xml:space="preserve">. Both rules are </w:t>
      </w:r>
      <w:r w:rsidR="00E44934" w:rsidRPr="00706F2A">
        <w:t>legisla</w:t>
      </w:r>
      <w:r w:rsidR="00E44934">
        <w:t>tive instrument</w:t>
      </w:r>
      <w:r>
        <w:t>s</w:t>
      </w:r>
      <w:r w:rsidR="00E44934">
        <w:t xml:space="preserve"> for the purpose</w:t>
      </w:r>
      <w:r w:rsidR="00E44934" w:rsidRPr="00706F2A">
        <w:t xml:space="preserve"> of the</w:t>
      </w:r>
      <w:r w:rsidR="00E44934" w:rsidRPr="00706F2A">
        <w:rPr>
          <w:i/>
        </w:rPr>
        <w:t xml:space="preserve"> Legislative Instruments Act</w:t>
      </w:r>
      <w:r w:rsidR="00E44934">
        <w:rPr>
          <w:i/>
        </w:rPr>
        <w:t> </w:t>
      </w:r>
      <w:r w:rsidR="00E44934" w:rsidRPr="00706F2A">
        <w:rPr>
          <w:i/>
        </w:rPr>
        <w:t>2003.</w:t>
      </w:r>
    </w:p>
    <w:p w:rsidR="00E44934" w:rsidRPr="00B87FAD" w:rsidRDefault="00E44934" w:rsidP="00E44934"/>
    <w:p w:rsidR="00E44934" w:rsidRDefault="00E44934" w:rsidP="00E44934"/>
    <w:p w:rsidR="00E44934" w:rsidRPr="00F70A7B" w:rsidRDefault="00E44934" w:rsidP="00E44934">
      <w:pPr>
        <w:tabs>
          <w:tab w:val="left" w:pos="4536"/>
        </w:tabs>
        <w:spacing w:after="120" w:line="240" w:lineRule="atLeast"/>
        <w:rPr>
          <w:b/>
          <w:bCs/>
          <w:specVanish/>
        </w:rPr>
      </w:pPr>
      <w:r w:rsidRPr="00F70A7B">
        <w:rPr>
          <w:b/>
          <w:bCs/>
        </w:rPr>
        <w:t>Other Legislative Provisions</w:t>
      </w:r>
    </w:p>
    <w:p w:rsidR="00E44934" w:rsidRDefault="00E44934" w:rsidP="006B4D64">
      <w:pPr>
        <w:tabs>
          <w:tab w:val="left" w:pos="4536"/>
        </w:tabs>
        <w:spacing w:line="240" w:lineRule="atLeast"/>
      </w:pPr>
      <w:r>
        <w:t>The FRR sets out the requirements for preparation of financial statements under the following legislative provisions:</w:t>
      </w:r>
    </w:p>
    <w:p w:rsidR="00E44934" w:rsidRPr="009C5606" w:rsidRDefault="00E44934" w:rsidP="006B4D64">
      <w:pPr>
        <w:pStyle w:val="ListParagraph"/>
        <w:numPr>
          <w:ilvl w:val="0"/>
          <w:numId w:val="9"/>
        </w:numPr>
        <w:jc w:val="both"/>
      </w:pPr>
      <w:r w:rsidRPr="009C5606">
        <w:t xml:space="preserve">subsection 42(2) of the </w:t>
      </w:r>
      <w:r w:rsidRPr="0071547F">
        <w:rPr>
          <w:i/>
        </w:rPr>
        <w:t>Public Governance, Performance and Accountability Act 2013</w:t>
      </w:r>
      <w:r w:rsidRPr="009C5606">
        <w:t xml:space="preserve">; </w:t>
      </w:r>
    </w:p>
    <w:p w:rsidR="00E44934" w:rsidRPr="009C5606" w:rsidRDefault="00E44934" w:rsidP="006B4D64">
      <w:pPr>
        <w:pStyle w:val="ListParagraph"/>
        <w:numPr>
          <w:ilvl w:val="0"/>
          <w:numId w:val="9"/>
        </w:numPr>
        <w:jc w:val="both"/>
      </w:pPr>
      <w:r w:rsidRPr="009C5606">
        <w:t xml:space="preserve">subsection 47(1) of the </w:t>
      </w:r>
      <w:r w:rsidRPr="0071547F">
        <w:rPr>
          <w:i/>
        </w:rPr>
        <w:t>High Court of Australia Act 1979</w:t>
      </w:r>
      <w:r w:rsidRPr="009C5606">
        <w:t xml:space="preserve"> in relation to how financial statements must be prepared by the High Court of Australia; </w:t>
      </w:r>
    </w:p>
    <w:p w:rsidR="00E44934" w:rsidRPr="009C5606" w:rsidRDefault="00E44934" w:rsidP="006B4D64">
      <w:pPr>
        <w:pStyle w:val="ListParagraph"/>
        <w:numPr>
          <w:ilvl w:val="0"/>
          <w:numId w:val="9"/>
        </w:numPr>
        <w:jc w:val="both"/>
      </w:pPr>
      <w:r w:rsidRPr="009C5606">
        <w:t xml:space="preserve">section 193H of the </w:t>
      </w:r>
      <w:r w:rsidRPr="0071547F">
        <w:rPr>
          <w:i/>
        </w:rPr>
        <w:t>Aboriginal and Torres Strait Islander Act 2005</w:t>
      </w:r>
      <w:r w:rsidRPr="009C5606">
        <w:t xml:space="preserve"> in relation to how the accounts and financial statements must be prepared for the Land Account;</w:t>
      </w:r>
    </w:p>
    <w:p w:rsidR="00E44934" w:rsidRPr="009C5606" w:rsidRDefault="00E44934" w:rsidP="006B4D64">
      <w:pPr>
        <w:pStyle w:val="ListParagraph"/>
        <w:numPr>
          <w:ilvl w:val="0"/>
          <w:numId w:val="9"/>
        </w:numPr>
        <w:jc w:val="both"/>
      </w:pPr>
      <w:r w:rsidRPr="009C5606">
        <w:t xml:space="preserve">subsections 50B(2) and (4) of the </w:t>
      </w:r>
      <w:r w:rsidRPr="0071547F">
        <w:rPr>
          <w:i/>
        </w:rPr>
        <w:t>Defence Service Homes Act 1918</w:t>
      </w:r>
      <w:r w:rsidRPr="009C5606">
        <w:t xml:space="preserve"> in relation to how financial statements must be prepared by the Defence Service Homes Corporation; and </w:t>
      </w:r>
    </w:p>
    <w:p w:rsidR="00E44934" w:rsidRPr="009C5606" w:rsidRDefault="00E44934" w:rsidP="006B4D64">
      <w:pPr>
        <w:pStyle w:val="ListParagraph"/>
        <w:numPr>
          <w:ilvl w:val="0"/>
          <w:numId w:val="9"/>
        </w:numPr>
        <w:jc w:val="both"/>
      </w:pPr>
      <w:r w:rsidRPr="009C5606">
        <w:t xml:space="preserve">subsections 43(1) and (3) of the </w:t>
      </w:r>
      <w:r w:rsidRPr="0071547F">
        <w:rPr>
          <w:i/>
        </w:rPr>
        <w:t>Natural Heritage Trust of Australia Act 1997</w:t>
      </w:r>
      <w:r w:rsidRPr="009C5606">
        <w:t xml:space="preserve"> in relation to how financial statements must be prepared for the Natural Heritage Trust of Australia Account. </w:t>
      </w:r>
    </w:p>
    <w:p w:rsidR="00E44934" w:rsidRDefault="00E44934" w:rsidP="006B4D64"/>
    <w:p w:rsidR="00E44934" w:rsidRDefault="00E44934" w:rsidP="006B4D64">
      <w:r>
        <w:t>Some provisions of the FRR are also made under subsection 102(1)(b) of the PGPA Act.</w:t>
      </w:r>
    </w:p>
    <w:p w:rsidR="00E44934" w:rsidRDefault="00E44934" w:rsidP="00527733">
      <w:pPr>
        <w:pStyle w:val="BodyText3"/>
        <w:rPr>
          <w:sz w:val="24"/>
        </w:rPr>
      </w:pPr>
    </w:p>
    <w:p w:rsidR="00E44934" w:rsidRDefault="00E44934" w:rsidP="00527733">
      <w:pPr>
        <w:pStyle w:val="BodyText3"/>
        <w:rPr>
          <w:sz w:val="24"/>
        </w:rPr>
      </w:pPr>
    </w:p>
    <w:p w:rsidR="00E44934" w:rsidRDefault="00E44934" w:rsidP="00527733">
      <w:pPr>
        <w:pStyle w:val="BodyText3"/>
        <w:rPr>
          <w:sz w:val="24"/>
        </w:rPr>
      </w:pPr>
    </w:p>
    <w:p w:rsidR="00E44934" w:rsidRDefault="00E44934" w:rsidP="00527733">
      <w:pPr>
        <w:pStyle w:val="BodyText3"/>
        <w:rPr>
          <w:sz w:val="24"/>
        </w:rPr>
      </w:pPr>
    </w:p>
    <w:p w:rsidR="00E44934" w:rsidRDefault="00E44934" w:rsidP="00527733">
      <w:pPr>
        <w:pStyle w:val="BodyText3"/>
        <w:rPr>
          <w:sz w:val="24"/>
        </w:rPr>
      </w:pPr>
    </w:p>
    <w:p w:rsidR="00634A51" w:rsidRPr="00AF493A" w:rsidRDefault="00DD1D67" w:rsidP="00AF493A">
      <w:pPr>
        <w:pStyle w:val="BodyText3"/>
        <w:spacing w:before="0" w:after="0"/>
        <w:rPr>
          <w:sz w:val="24"/>
        </w:rPr>
      </w:pPr>
      <w:r w:rsidRPr="00AF493A">
        <w:rPr>
          <w:sz w:val="24"/>
        </w:rPr>
        <w:t xml:space="preserve">The </w:t>
      </w:r>
      <w:r w:rsidR="00AF493A" w:rsidRPr="00AF493A">
        <w:rPr>
          <w:sz w:val="24"/>
        </w:rPr>
        <w:t xml:space="preserve">amendments to the </w:t>
      </w:r>
      <w:r w:rsidR="00AF493A" w:rsidRPr="00AF493A">
        <w:rPr>
          <w:i/>
          <w:sz w:val="24"/>
        </w:rPr>
        <w:t>Public Governance, Performance and Accountability (Financial Reporting) Rule 2015</w:t>
      </w:r>
      <w:r w:rsidR="009766BD" w:rsidRPr="00AF493A">
        <w:rPr>
          <w:sz w:val="24"/>
        </w:rPr>
        <w:t xml:space="preserve"> </w:t>
      </w:r>
      <w:r w:rsidR="00AF493A" w:rsidRPr="00AF493A">
        <w:rPr>
          <w:sz w:val="24"/>
        </w:rPr>
        <w:t xml:space="preserve">apply for </w:t>
      </w:r>
      <w:r w:rsidR="00C07FE4" w:rsidRPr="00AF493A">
        <w:rPr>
          <w:sz w:val="24"/>
        </w:rPr>
        <w:t>reporting periods ending on o</w:t>
      </w:r>
      <w:r w:rsidR="009766BD" w:rsidRPr="00AF493A">
        <w:rPr>
          <w:sz w:val="24"/>
        </w:rPr>
        <w:t>r after</w:t>
      </w:r>
      <w:r w:rsidR="00165423" w:rsidRPr="00AF493A">
        <w:rPr>
          <w:sz w:val="24"/>
        </w:rPr>
        <w:t xml:space="preserve"> </w:t>
      </w:r>
      <w:r w:rsidR="00C07FE4" w:rsidRPr="00AF493A">
        <w:rPr>
          <w:sz w:val="24"/>
        </w:rPr>
        <w:t xml:space="preserve">1 July </w:t>
      </w:r>
      <w:r w:rsidR="00504407" w:rsidRPr="00AF493A">
        <w:rPr>
          <w:sz w:val="24"/>
        </w:rPr>
        <w:t>201</w:t>
      </w:r>
      <w:r w:rsidR="00AF493A" w:rsidRPr="00AF493A">
        <w:rPr>
          <w:sz w:val="24"/>
        </w:rPr>
        <w:t>5</w:t>
      </w:r>
      <w:r w:rsidR="00C07FE4" w:rsidRPr="00AF493A">
        <w:rPr>
          <w:sz w:val="24"/>
        </w:rPr>
        <w:t xml:space="preserve">. </w:t>
      </w:r>
      <w:r w:rsidR="00C5393C" w:rsidRPr="00AF493A">
        <w:rPr>
          <w:sz w:val="24"/>
        </w:rPr>
        <w:t xml:space="preserve"> </w:t>
      </w:r>
      <w:r w:rsidR="00AF493A" w:rsidRPr="00AF493A">
        <w:rPr>
          <w:sz w:val="24"/>
        </w:rPr>
        <w:t xml:space="preserve">Details of the amendments are at </w:t>
      </w:r>
      <w:r w:rsidR="00AF493A" w:rsidRPr="00AF493A">
        <w:rPr>
          <w:sz w:val="24"/>
          <w:u w:val="single"/>
        </w:rPr>
        <w:t>Attachment A</w:t>
      </w:r>
      <w:r w:rsidR="00AF493A" w:rsidRPr="00AF493A">
        <w:rPr>
          <w:sz w:val="24"/>
        </w:rPr>
        <w:t>.</w:t>
      </w:r>
    </w:p>
    <w:p w:rsidR="006B4D64" w:rsidRDefault="006B4D64" w:rsidP="006B4D64">
      <w:pPr>
        <w:rPr>
          <w:b/>
        </w:rPr>
      </w:pPr>
    </w:p>
    <w:p w:rsidR="00AF493A" w:rsidRDefault="00AF493A" w:rsidP="006B4D64">
      <w:pPr>
        <w:rPr>
          <w:b/>
        </w:rPr>
      </w:pPr>
    </w:p>
    <w:p w:rsidR="003C52D4" w:rsidRPr="00407B73" w:rsidRDefault="00504407" w:rsidP="006B4D64">
      <w:pPr>
        <w:spacing w:after="120"/>
        <w:rPr>
          <w:b/>
        </w:rPr>
      </w:pPr>
      <w:r w:rsidRPr="00407B73">
        <w:rPr>
          <w:b/>
        </w:rPr>
        <w:t>201</w:t>
      </w:r>
      <w:r w:rsidR="00AF493A">
        <w:rPr>
          <w:b/>
        </w:rPr>
        <w:t>5</w:t>
      </w:r>
      <w:r w:rsidRPr="00407B73">
        <w:rPr>
          <w:b/>
        </w:rPr>
        <w:t>-1</w:t>
      </w:r>
      <w:r w:rsidR="00AF493A">
        <w:rPr>
          <w:b/>
        </w:rPr>
        <w:t>6</w:t>
      </w:r>
      <w:r w:rsidRPr="00407B73">
        <w:rPr>
          <w:b/>
        </w:rPr>
        <w:t xml:space="preserve"> </w:t>
      </w:r>
      <w:r w:rsidR="00A365D1" w:rsidRPr="00407B73">
        <w:rPr>
          <w:b/>
        </w:rPr>
        <w:t>A</w:t>
      </w:r>
      <w:r w:rsidR="003C52D4" w:rsidRPr="00407B73">
        <w:rPr>
          <w:b/>
        </w:rPr>
        <w:t>mendments</w:t>
      </w:r>
    </w:p>
    <w:p w:rsidR="00AF493A" w:rsidRPr="00AF493A" w:rsidRDefault="00AF493A" w:rsidP="00AF493A">
      <w:pPr>
        <w:pStyle w:val="Paragraph"/>
        <w:spacing w:before="0"/>
        <w:rPr>
          <w:szCs w:val="24"/>
        </w:rPr>
      </w:pPr>
      <w:r>
        <w:rPr>
          <w:szCs w:val="24"/>
        </w:rPr>
        <w:t xml:space="preserve">The proposed amendments represent new changes to financial reporting policy and </w:t>
      </w:r>
      <w:r w:rsidRPr="00AF493A">
        <w:rPr>
          <w:szCs w:val="24"/>
        </w:rPr>
        <w:t>arise from th</w:t>
      </w:r>
      <w:r w:rsidR="004C2E3F">
        <w:rPr>
          <w:szCs w:val="24"/>
        </w:rPr>
        <w:t>e</w:t>
      </w:r>
      <w:r w:rsidRPr="00AF493A">
        <w:rPr>
          <w:szCs w:val="24"/>
        </w:rPr>
        <w:t xml:space="preserve"> </w:t>
      </w:r>
      <w:r w:rsidR="004C2E3F">
        <w:rPr>
          <w:szCs w:val="24"/>
        </w:rPr>
        <w:t xml:space="preserve">following </w:t>
      </w:r>
      <w:r w:rsidRPr="00AF493A">
        <w:rPr>
          <w:szCs w:val="24"/>
        </w:rPr>
        <w:t>main sources:</w:t>
      </w:r>
    </w:p>
    <w:p w:rsidR="00AF493A" w:rsidRPr="00AF493A" w:rsidRDefault="00AF493A" w:rsidP="00AF493A">
      <w:pPr>
        <w:pStyle w:val="ListParagraph"/>
        <w:numPr>
          <w:ilvl w:val="0"/>
          <w:numId w:val="9"/>
        </w:numPr>
        <w:jc w:val="both"/>
      </w:pPr>
      <w:r w:rsidRPr="00AF493A">
        <w:t xml:space="preserve">simplification and streamlining of financial statements; </w:t>
      </w:r>
    </w:p>
    <w:p w:rsidR="004C2E3F" w:rsidRDefault="00AF493A" w:rsidP="004C2E3F">
      <w:pPr>
        <w:pStyle w:val="ListParagraph"/>
        <w:numPr>
          <w:ilvl w:val="0"/>
          <w:numId w:val="9"/>
        </w:numPr>
        <w:jc w:val="both"/>
      </w:pPr>
      <w:r w:rsidRPr="00AF493A">
        <w:t>minor changes to improve t</w:t>
      </w:r>
      <w:r w:rsidR="004C2E3F">
        <w:t xml:space="preserve">he understanding of disclosures; and </w:t>
      </w:r>
    </w:p>
    <w:p w:rsidR="004C2E3F" w:rsidRPr="001A32A8" w:rsidRDefault="004C2E3F" w:rsidP="004C2E3F">
      <w:pPr>
        <w:pStyle w:val="ListParagraph"/>
        <w:numPr>
          <w:ilvl w:val="0"/>
          <w:numId w:val="9"/>
        </w:numPr>
        <w:jc w:val="both"/>
      </w:pPr>
      <w:r>
        <w:t>changes of an editorial nature, including the removal of provisions that are no longer applicable together with the updating of terminology</w:t>
      </w:r>
      <w:r w:rsidRPr="001A32A8">
        <w:t>.</w:t>
      </w:r>
    </w:p>
    <w:p w:rsidR="00A365D1" w:rsidRPr="00407B73" w:rsidRDefault="00A365D1" w:rsidP="006B4D64">
      <w:pPr>
        <w:rPr>
          <w:lang w:eastAsia="en-AU"/>
        </w:rPr>
      </w:pPr>
    </w:p>
    <w:p w:rsidR="006B4D64" w:rsidRDefault="006B4D64" w:rsidP="006B4D64">
      <w:pPr>
        <w:rPr>
          <w:b/>
        </w:rPr>
      </w:pPr>
    </w:p>
    <w:p w:rsidR="0072275C" w:rsidRPr="00407B73" w:rsidRDefault="00921AAE" w:rsidP="006B4D64">
      <w:pPr>
        <w:spacing w:after="120"/>
        <w:rPr>
          <w:b/>
        </w:rPr>
      </w:pPr>
      <w:r w:rsidRPr="00407B73">
        <w:rPr>
          <w:b/>
        </w:rPr>
        <w:t>Retrospectivity</w:t>
      </w:r>
      <w:r w:rsidR="002E02B6">
        <w:rPr>
          <w:b/>
        </w:rPr>
        <w:t xml:space="preserve"> and Timing</w:t>
      </w:r>
    </w:p>
    <w:p w:rsidR="00E6511D" w:rsidRPr="00407B73" w:rsidRDefault="00921AAE" w:rsidP="006B4D64">
      <w:pPr>
        <w:pStyle w:val="Paragraph"/>
        <w:spacing w:before="0"/>
        <w:rPr>
          <w:szCs w:val="24"/>
        </w:rPr>
      </w:pPr>
      <w:r w:rsidRPr="00407B73">
        <w:rPr>
          <w:szCs w:val="24"/>
        </w:rPr>
        <w:t>The retrospective commencement date of this legislative instrument does not adversely affect the rights of persons or otherwise impose liabilities, other than onto the Commonwealth</w:t>
      </w:r>
      <w:r w:rsidR="002E02B6">
        <w:rPr>
          <w:szCs w:val="24"/>
        </w:rPr>
        <w:t xml:space="preserve"> or Australian Government entities</w:t>
      </w:r>
      <w:r w:rsidRPr="00407B73">
        <w:rPr>
          <w:szCs w:val="24"/>
        </w:rPr>
        <w:t xml:space="preserve">, and as such, does not contravene subsection 12 (2) of the </w:t>
      </w:r>
      <w:r w:rsidRPr="00407B73">
        <w:rPr>
          <w:i/>
          <w:szCs w:val="24"/>
        </w:rPr>
        <w:t>Legislative Instruments Act 2003</w:t>
      </w:r>
      <w:r w:rsidRPr="00407B73">
        <w:rPr>
          <w:szCs w:val="24"/>
        </w:rPr>
        <w:t>.</w:t>
      </w:r>
      <w:r w:rsidR="0072275C" w:rsidRPr="00407B73">
        <w:rPr>
          <w:szCs w:val="24"/>
        </w:rPr>
        <w:br/>
      </w:r>
    </w:p>
    <w:p w:rsidR="003F1486" w:rsidRDefault="00FF2F93" w:rsidP="006B4D64">
      <w:pPr>
        <w:pStyle w:val="Paragraph"/>
        <w:spacing w:before="0"/>
        <w:rPr>
          <w:szCs w:val="24"/>
        </w:rPr>
      </w:pPr>
      <w:r w:rsidRPr="00407B73">
        <w:rPr>
          <w:szCs w:val="24"/>
        </w:rPr>
        <w:t>A</w:t>
      </w:r>
      <w:r w:rsidR="00EB68DA" w:rsidRPr="00407B73">
        <w:rPr>
          <w:szCs w:val="24"/>
        </w:rPr>
        <w:t xml:space="preserve"> retrospective commencement date </w:t>
      </w:r>
      <w:r w:rsidR="00BE10C4" w:rsidRPr="00407B73">
        <w:rPr>
          <w:szCs w:val="24"/>
        </w:rPr>
        <w:t>has always been</w:t>
      </w:r>
      <w:r w:rsidRPr="00407B73">
        <w:rPr>
          <w:szCs w:val="24"/>
        </w:rPr>
        <w:t xml:space="preserve"> used </w:t>
      </w:r>
      <w:r w:rsidR="00957770">
        <w:rPr>
          <w:szCs w:val="24"/>
        </w:rPr>
        <w:t xml:space="preserve">for financial reporting purposes </w:t>
      </w:r>
      <w:r w:rsidR="00EB68DA" w:rsidRPr="00407B73">
        <w:rPr>
          <w:szCs w:val="24"/>
        </w:rPr>
        <w:t xml:space="preserve">as this ensures </w:t>
      </w:r>
      <w:r w:rsidRPr="00407B73">
        <w:rPr>
          <w:szCs w:val="24"/>
        </w:rPr>
        <w:t xml:space="preserve">that </w:t>
      </w:r>
      <w:r w:rsidR="007E7DC5" w:rsidRPr="00407B73">
        <w:rPr>
          <w:szCs w:val="24"/>
        </w:rPr>
        <w:t xml:space="preserve">changes are applicable in the same </w:t>
      </w:r>
      <w:r w:rsidR="00957770">
        <w:rPr>
          <w:szCs w:val="24"/>
        </w:rPr>
        <w:t xml:space="preserve">reporting </w:t>
      </w:r>
      <w:r w:rsidR="007E7DC5" w:rsidRPr="00407B73">
        <w:rPr>
          <w:szCs w:val="24"/>
        </w:rPr>
        <w:t>period in which the</w:t>
      </w:r>
      <w:r w:rsidRPr="00407B73">
        <w:rPr>
          <w:szCs w:val="24"/>
        </w:rPr>
        <w:t xml:space="preserve"> </w:t>
      </w:r>
      <w:r w:rsidR="007E7DC5" w:rsidRPr="00407B73">
        <w:rPr>
          <w:szCs w:val="24"/>
        </w:rPr>
        <w:t>amendments are made</w:t>
      </w:r>
      <w:r w:rsidRPr="00407B73">
        <w:rPr>
          <w:szCs w:val="24"/>
        </w:rPr>
        <w:t>.</w:t>
      </w:r>
    </w:p>
    <w:p w:rsidR="002E02B6" w:rsidRDefault="002E02B6" w:rsidP="006B4D64">
      <w:pPr>
        <w:pStyle w:val="Paragraph"/>
        <w:spacing w:before="0"/>
        <w:rPr>
          <w:szCs w:val="24"/>
        </w:rPr>
      </w:pPr>
    </w:p>
    <w:p w:rsidR="002E02B6" w:rsidRPr="00407B73" w:rsidRDefault="002E02B6" w:rsidP="006B4D64">
      <w:pPr>
        <w:pStyle w:val="Paragraph"/>
        <w:spacing w:before="0"/>
        <w:rPr>
          <w:szCs w:val="24"/>
        </w:rPr>
      </w:pPr>
      <w:r>
        <w:rPr>
          <w:szCs w:val="24"/>
        </w:rPr>
        <w:t xml:space="preserve">For reporting periods ending </w:t>
      </w:r>
      <w:r w:rsidR="00957770">
        <w:rPr>
          <w:szCs w:val="24"/>
        </w:rPr>
        <w:t>befo</w:t>
      </w:r>
      <w:r>
        <w:rPr>
          <w:szCs w:val="24"/>
        </w:rPr>
        <w:t>re 1 July 201</w:t>
      </w:r>
      <w:r w:rsidR="006B4D64">
        <w:rPr>
          <w:szCs w:val="24"/>
        </w:rPr>
        <w:t>5</w:t>
      </w:r>
      <w:r>
        <w:rPr>
          <w:szCs w:val="24"/>
        </w:rPr>
        <w:t xml:space="preserve">, these amendments to </w:t>
      </w:r>
      <w:r w:rsidR="006B4D64">
        <w:rPr>
          <w:szCs w:val="24"/>
        </w:rPr>
        <w:t xml:space="preserve">the </w:t>
      </w:r>
      <w:r w:rsidR="006B4D64" w:rsidRPr="00AF493A">
        <w:rPr>
          <w:i/>
          <w:szCs w:val="24"/>
        </w:rPr>
        <w:t>Public Governance, Performance and Accountability (Financial Reporting) Rule 2015</w:t>
      </w:r>
      <w:r w:rsidR="006B4D64">
        <w:rPr>
          <w:szCs w:val="24"/>
        </w:rPr>
        <w:t xml:space="preserve"> </w:t>
      </w:r>
      <w:r>
        <w:rPr>
          <w:szCs w:val="24"/>
        </w:rPr>
        <w:t>are not applicable.</w:t>
      </w:r>
    </w:p>
    <w:p w:rsidR="003F1486" w:rsidRDefault="003F1486" w:rsidP="006B4D64">
      <w:pPr>
        <w:pStyle w:val="Paragraph"/>
        <w:spacing w:before="0"/>
        <w:rPr>
          <w:szCs w:val="24"/>
        </w:rPr>
      </w:pPr>
    </w:p>
    <w:p w:rsidR="006B4D64" w:rsidRPr="00407B73" w:rsidRDefault="006B4D64" w:rsidP="006B4D64">
      <w:pPr>
        <w:pStyle w:val="Paragraph"/>
        <w:spacing w:before="0"/>
        <w:rPr>
          <w:szCs w:val="24"/>
        </w:rPr>
      </w:pPr>
    </w:p>
    <w:p w:rsidR="00C07FE4" w:rsidRPr="00407B73" w:rsidRDefault="00C07FE4" w:rsidP="000B5C59">
      <w:pPr>
        <w:pStyle w:val="Heading7"/>
        <w:spacing w:after="120"/>
        <w:ind w:left="0"/>
        <w:rPr>
          <w:i w:val="0"/>
          <w:iCs/>
          <w:sz w:val="24"/>
          <w:szCs w:val="24"/>
        </w:rPr>
      </w:pPr>
      <w:r w:rsidRPr="00407B73">
        <w:rPr>
          <w:i w:val="0"/>
          <w:iCs/>
          <w:sz w:val="24"/>
          <w:szCs w:val="24"/>
        </w:rPr>
        <w:t>Consultation</w:t>
      </w:r>
    </w:p>
    <w:p w:rsidR="00E87790" w:rsidRPr="00407B73" w:rsidRDefault="00634A51" w:rsidP="006B4D64">
      <w:pPr>
        <w:rPr>
          <w:lang w:val="en-GB"/>
        </w:rPr>
      </w:pPr>
      <w:r w:rsidRPr="00407B73">
        <w:rPr>
          <w:lang w:val="en-GB"/>
        </w:rPr>
        <w:t xml:space="preserve">In accordance with </w:t>
      </w:r>
      <w:r w:rsidRPr="00407B73">
        <w:rPr>
          <w:iCs/>
        </w:rPr>
        <w:t xml:space="preserve">section 17 of the </w:t>
      </w:r>
      <w:r w:rsidRPr="00407B73">
        <w:rPr>
          <w:i/>
          <w:iCs/>
        </w:rPr>
        <w:t>Legislative Instruments Act 2003</w:t>
      </w:r>
      <w:r w:rsidRPr="00407B73">
        <w:rPr>
          <w:iCs/>
        </w:rPr>
        <w:t xml:space="preserve">, </w:t>
      </w:r>
      <w:r w:rsidR="00100D03" w:rsidRPr="00407B73">
        <w:t xml:space="preserve">all </w:t>
      </w:r>
      <w:r w:rsidR="003E7DE2">
        <w:t>Australian Government</w:t>
      </w:r>
      <w:r w:rsidR="00100D03" w:rsidRPr="00407B73">
        <w:t xml:space="preserve"> entities required to apply the</w:t>
      </w:r>
      <w:r w:rsidR="00AF493A">
        <w:t xml:space="preserve"> amendments to the </w:t>
      </w:r>
      <w:r w:rsidR="00AF493A" w:rsidRPr="00AF493A">
        <w:rPr>
          <w:i/>
        </w:rPr>
        <w:t>Public Governance, Performance and Accountability (Financial Reporting) Rule 2015</w:t>
      </w:r>
      <w:r w:rsidR="00100D03" w:rsidRPr="00407B73">
        <w:t xml:space="preserve">, including the Australian National Audit Office, have been consulted on the exposure draft and provided with the opportunity to submit comments. </w:t>
      </w:r>
    </w:p>
    <w:p w:rsidR="00E87790" w:rsidRPr="00407B73" w:rsidRDefault="00E87790" w:rsidP="006B4D64">
      <w:pPr>
        <w:rPr>
          <w:lang w:val="en-GB"/>
        </w:rPr>
      </w:pPr>
    </w:p>
    <w:p w:rsidR="00C07FE4" w:rsidRPr="00407B73" w:rsidRDefault="00C07FE4" w:rsidP="006B4D64"/>
    <w:p w:rsidR="007329EA" w:rsidRPr="00407B73" w:rsidRDefault="006B4D64" w:rsidP="006B4D64">
      <w:pPr>
        <w:pStyle w:val="BodyText3"/>
        <w:spacing w:before="0"/>
        <w:rPr>
          <w:b/>
          <w:sz w:val="24"/>
        </w:rPr>
      </w:pPr>
      <w:r>
        <w:rPr>
          <w:b/>
          <w:sz w:val="24"/>
        </w:rPr>
        <w:t>Attachments</w:t>
      </w:r>
    </w:p>
    <w:p w:rsidR="00D344F8" w:rsidRPr="00407B73" w:rsidRDefault="00037F9E" w:rsidP="006B4D64">
      <w:pPr>
        <w:rPr>
          <w:lang w:val="en-GB"/>
        </w:rPr>
      </w:pPr>
      <w:r>
        <w:rPr>
          <w:lang w:val="en-GB"/>
        </w:rPr>
        <w:t xml:space="preserve">Details of the </w:t>
      </w:r>
      <w:r w:rsidR="00157755" w:rsidRPr="00407B73">
        <w:rPr>
          <w:lang w:val="en-GB"/>
        </w:rPr>
        <w:t>amendments</w:t>
      </w:r>
      <w:r w:rsidR="007329EA" w:rsidRPr="00407B73">
        <w:rPr>
          <w:lang w:val="en-GB"/>
        </w:rPr>
        <w:t xml:space="preserve"> to reporting requirements for the reporting periods ending on or after 1 July </w:t>
      </w:r>
      <w:r w:rsidR="008D1087" w:rsidRPr="00407B73">
        <w:rPr>
          <w:lang w:val="en-GB"/>
        </w:rPr>
        <w:t>201</w:t>
      </w:r>
      <w:r w:rsidR="00AF493A">
        <w:rPr>
          <w:lang w:val="en-GB"/>
        </w:rPr>
        <w:t>5</w:t>
      </w:r>
      <w:r w:rsidR="007329EA" w:rsidRPr="00407B73">
        <w:rPr>
          <w:lang w:val="en-GB"/>
        </w:rPr>
        <w:t xml:space="preserve"> are provided in </w:t>
      </w:r>
      <w:r w:rsidR="007329EA" w:rsidRPr="00407B73">
        <w:rPr>
          <w:u w:val="single"/>
          <w:lang w:val="en-GB"/>
        </w:rPr>
        <w:t>Attachment A</w:t>
      </w:r>
      <w:r w:rsidR="00D515B1" w:rsidRPr="00407B73">
        <w:rPr>
          <w:lang w:val="en-GB"/>
        </w:rPr>
        <w:t>.</w:t>
      </w:r>
    </w:p>
    <w:p w:rsidR="00D344F8" w:rsidRPr="00407B73" w:rsidRDefault="00D344F8" w:rsidP="006B4D64">
      <w:pPr>
        <w:rPr>
          <w:lang w:val="en-GB"/>
        </w:rPr>
      </w:pPr>
    </w:p>
    <w:p w:rsidR="00802A29" w:rsidRPr="00407B73" w:rsidRDefault="00802A29" w:rsidP="006B4D64">
      <w:r w:rsidRPr="00407B73">
        <w:rPr>
          <w:lang w:val="en-GB"/>
        </w:rPr>
        <w:t xml:space="preserve">The Statement of Compatibility with Human Rights as required by the </w:t>
      </w:r>
      <w:r w:rsidRPr="00407B73">
        <w:rPr>
          <w:i/>
          <w:lang w:val="en-GB"/>
        </w:rPr>
        <w:t>Human Rights (Parliamentary Scrutiny) Act 2011</w:t>
      </w:r>
      <w:r w:rsidRPr="00407B73">
        <w:rPr>
          <w:lang w:val="en-GB"/>
        </w:rPr>
        <w:t xml:space="preserve"> is provided in </w:t>
      </w:r>
      <w:r w:rsidRPr="00407B73">
        <w:rPr>
          <w:u w:val="single"/>
          <w:lang w:val="en-GB"/>
        </w:rPr>
        <w:t xml:space="preserve">Attachment </w:t>
      </w:r>
      <w:r w:rsidR="00AA3B70" w:rsidRPr="00407B73">
        <w:rPr>
          <w:u w:val="single"/>
          <w:lang w:val="en-GB"/>
        </w:rPr>
        <w:t>B</w:t>
      </w:r>
      <w:r w:rsidRPr="00407B73">
        <w:rPr>
          <w:lang w:val="en-GB"/>
        </w:rPr>
        <w:t>.</w:t>
      </w:r>
    </w:p>
    <w:p w:rsidR="007329EA" w:rsidRPr="00407B73" w:rsidRDefault="007329EA" w:rsidP="007329EA">
      <w:pPr>
        <w:pStyle w:val="BodyText3"/>
        <w:rPr>
          <w:sz w:val="24"/>
        </w:rPr>
      </w:pPr>
    </w:p>
    <w:p w:rsidR="00AE0023" w:rsidRPr="00407B73" w:rsidRDefault="00AE0023" w:rsidP="00397D8B">
      <w:pPr>
        <w:pStyle w:val="Heading1"/>
        <w:rPr>
          <w:lang w:val="en-AU"/>
        </w:rPr>
      </w:pPr>
    </w:p>
    <w:p w:rsidR="007329EA" w:rsidRPr="00407B73" w:rsidRDefault="007329EA" w:rsidP="007329EA">
      <w:pPr>
        <w:sectPr w:rsidR="007329EA" w:rsidRPr="00407B73" w:rsidSect="00080F3C">
          <w:headerReference w:type="default" r:id="rId8"/>
          <w:footerReference w:type="default" r:id="rId9"/>
          <w:footerReference w:type="first" r:id="rId10"/>
          <w:pgSz w:w="11907" w:h="16840" w:code="9"/>
          <w:pgMar w:top="1440" w:right="1797" w:bottom="1440" w:left="1797" w:header="720" w:footer="209" w:gutter="0"/>
          <w:cols w:space="720"/>
          <w:docGrid w:linePitch="326"/>
        </w:sectPr>
      </w:pPr>
    </w:p>
    <w:p w:rsidR="00C07FE4" w:rsidRPr="00407B73" w:rsidRDefault="00C07FE4" w:rsidP="00397D8B">
      <w:pPr>
        <w:pStyle w:val="Heading1"/>
        <w:rPr>
          <w:u w:val="single"/>
          <w:lang w:val="en-AU"/>
        </w:rPr>
      </w:pPr>
      <w:r w:rsidRPr="00407B73">
        <w:rPr>
          <w:u w:val="single"/>
          <w:lang w:val="en-AU"/>
        </w:rPr>
        <w:lastRenderedPageBreak/>
        <w:t>Explanatory Statement</w:t>
      </w:r>
      <w:r w:rsidR="00421053" w:rsidRPr="00407B73">
        <w:rPr>
          <w:u w:val="single"/>
          <w:lang w:val="en-AU"/>
        </w:rPr>
        <w:t xml:space="preserve"> – Attachment A</w:t>
      </w:r>
    </w:p>
    <w:p w:rsidR="003E590E" w:rsidRPr="00407B73" w:rsidRDefault="003E590E"/>
    <w:p w:rsidR="00C07FE4" w:rsidRPr="00407B73" w:rsidRDefault="00C07FE4">
      <w:r w:rsidRPr="00407B73">
        <w:t>This attac</w:t>
      </w:r>
      <w:r w:rsidR="00CB165A" w:rsidRPr="00407B73">
        <w:t>hment summarises the</w:t>
      </w:r>
      <w:r w:rsidR="00037F9E">
        <w:t xml:space="preserve"> </w:t>
      </w:r>
      <w:r w:rsidR="00CB165A" w:rsidRPr="00407B73">
        <w:t xml:space="preserve">amendments </w:t>
      </w:r>
      <w:r w:rsidRPr="00407B73">
        <w:t xml:space="preserve">to </w:t>
      </w:r>
      <w:r w:rsidR="00E44934">
        <w:t xml:space="preserve">the </w:t>
      </w:r>
      <w:r w:rsidR="00E44934" w:rsidRPr="00E44934">
        <w:rPr>
          <w:i/>
        </w:rPr>
        <w:t>Public Governance, Performance and Accountability (Financial Reporting) Rule 2015</w:t>
      </w:r>
      <w:r w:rsidR="00E44934">
        <w:t xml:space="preserve"> </w:t>
      </w:r>
      <w:r w:rsidRPr="00407B73">
        <w:t>requir</w:t>
      </w:r>
      <w:r w:rsidR="00D5036C" w:rsidRPr="00407B73">
        <w:t>ed in</w:t>
      </w:r>
      <w:r w:rsidRPr="00407B73">
        <w:t xml:space="preserve"> the preparation of financial statements for reporting periods ending on or after 1</w:t>
      </w:r>
      <w:r w:rsidR="000B5C59" w:rsidRPr="00407B73">
        <w:t> </w:t>
      </w:r>
      <w:r w:rsidRPr="00407B73">
        <w:t>July</w:t>
      </w:r>
      <w:r w:rsidR="000B5C59" w:rsidRPr="00407B73">
        <w:t> </w:t>
      </w:r>
      <w:r w:rsidR="00504407" w:rsidRPr="00407B73">
        <w:t>201</w:t>
      </w:r>
      <w:r w:rsidR="00E44934">
        <w:t>5</w:t>
      </w:r>
      <w:r w:rsidR="00935A56" w:rsidRPr="00407B73">
        <w:t xml:space="preserve"> </w:t>
      </w:r>
      <w:r w:rsidRPr="00407B73">
        <w:t>for</w:t>
      </w:r>
      <w:r w:rsidR="00397D8B" w:rsidRPr="00407B73">
        <w:t xml:space="preserve"> </w:t>
      </w:r>
      <w:r w:rsidR="0043071F">
        <w:t>Commonwealth entities</w:t>
      </w:r>
      <w:r w:rsidR="00397D8B" w:rsidRPr="00407B73">
        <w:t>.</w:t>
      </w:r>
    </w:p>
    <w:p w:rsidR="0058371C" w:rsidRDefault="0058371C" w:rsidP="008C15F5">
      <w:pPr>
        <w:spacing w:after="100"/>
        <w:ind w:right="-341"/>
      </w:pPr>
    </w:p>
    <w:p w:rsidR="00CF60E2" w:rsidRPr="00637578" w:rsidRDefault="00EF773E" w:rsidP="00E44934">
      <w:pPr>
        <w:pStyle w:val="ListParagraph"/>
        <w:keepNext/>
        <w:numPr>
          <w:ilvl w:val="0"/>
          <w:numId w:val="7"/>
        </w:numPr>
        <w:spacing w:after="100"/>
        <w:ind w:left="357" w:right="-340"/>
      </w:pPr>
      <w:r w:rsidRPr="00637578">
        <w:rPr>
          <w:i/>
          <w:u w:val="single"/>
        </w:rPr>
        <w:t xml:space="preserve">Part 1, </w:t>
      </w:r>
      <w:r w:rsidR="00CF60E2" w:rsidRPr="00637578">
        <w:rPr>
          <w:i/>
          <w:u w:val="single"/>
        </w:rPr>
        <w:t xml:space="preserve">Division </w:t>
      </w:r>
      <w:r w:rsidR="00B403FC">
        <w:rPr>
          <w:i/>
          <w:u w:val="single"/>
        </w:rPr>
        <w:t>1 - Section</w:t>
      </w:r>
      <w:r w:rsidRPr="00637578">
        <w:rPr>
          <w:i/>
          <w:u w:val="single"/>
        </w:rPr>
        <w:t xml:space="preserve"> 3 Authority</w:t>
      </w:r>
      <w:r w:rsidR="00B403FC">
        <w:rPr>
          <w:i/>
          <w:u w:val="single"/>
        </w:rPr>
        <w:t xml:space="preserve"> and Section 4 Guide to this rule</w:t>
      </w:r>
      <w:r w:rsidR="00CF60E2" w:rsidRPr="00637578">
        <w:t xml:space="preserve"> </w:t>
      </w:r>
    </w:p>
    <w:p w:rsidR="00CF60E2" w:rsidRDefault="00B403FC" w:rsidP="00CF60E2">
      <w:pPr>
        <w:pStyle w:val="ListParagraph"/>
        <w:spacing w:after="100"/>
        <w:ind w:left="360" w:right="-341"/>
      </w:pPr>
      <w:r>
        <w:t xml:space="preserve">The applicable reporting period has been amended to reflect reporting requirements applying on or after 1 July 2015 as well as a minor editorial </w:t>
      </w:r>
      <w:r w:rsidR="004810EA">
        <w:t xml:space="preserve">amendment </w:t>
      </w:r>
      <w:r>
        <w:t>made to Section 4.</w:t>
      </w:r>
    </w:p>
    <w:p w:rsidR="000F39BE" w:rsidRDefault="000F39BE" w:rsidP="00770FCA">
      <w:pPr>
        <w:pStyle w:val="ListParagraph"/>
        <w:spacing w:after="100"/>
        <w:ind w:left="357" w:right="-340"/>
      </w:pPr>
    </w:p>
    <w:p w:rsidR="000F39BE" w:rsidRPr="00637578" w:rsidRDefault="000F39BE" w:rsidP="000F39BE">
      <w:pPr>
        <w:pStyle w:val="ListParagraph"/>
        <w:keepNext/>
        <w:numPr>
          <w:ilvl w:val="0"/>
          <w:numId w:val="7"/>
        </w:numPr>
        <w:spacing w:after="100"/>
        <w:ind w:left="357" w:right="-340"/>
      </w:pPr>
      <w:r w:rsidRPr="00637578">
        <w:rPr>
          <w:i/>
          <w:u w:val="single"/>
        </w:rPr>
        <w:t xml:space="preserve">Part 1, Division </w:t>
      </w:r>
      <w:r>
        <w:rPr>
          <w:i/>
          <w:u w:val="single"/>
        </w:rPr>
        <w:t>2 - Section</w:t>
      </w:r>
      <w:r w:rsidRPr="00637578">
        <w:rPr>
          <w:i/>
          <w:u w:val="single"/>
        </w:rPr>
        <w:t xml:space="preserve"> </w:t>
      </w:r>
      <w:r>
        <w:rPr>
          <w:i/>
          <w:u w:val="single"/>
        </w:rPr>
        <w:t>5</w:t>
      </w:r>
      <w:r w:rsidRPr="00637578">
        <w:rPr>
          <w:i/>
          <w:u w:val="single"/>
        </w:rPr>
        <w:t xml:space="preserve"> </w:t>
      </w:r>
      <w:r>
        <w:rPr>
          <w:i/>
          <w:u w:val="single"/>
        </w:rPr>
        <w:t>Definitions</w:t>
      </w:r>
      <w:r w:rsidRPr="00637578">
        <w:t xml:space="preserve"> </w:t>
      </w:r>
    </w:p>
    <w:p w:rsidR="000F39BE" w:rsidRDefault="008968B4" w:rsidP="000F39BE">
      <w:pPr>
        <w:pStyle w:val="ListParagraph"/>
        <w:spacing w:after="100"/>
        <w:ind w:left="360" w:right="-341"/>
      </w:pPr>
      <w:r>
        <w:t xml:space="preserve">The definition of ‘Commitments’ has been removed due to Section 28 of the FRR being repealed (see below for further information). </w:t>
      </w:r>
      <w:r w:rsidR="000F39BE">
        <w:t xml:space="preserve">Minor editorial </w:t>
      </w:r>
      <w:r w:rsidR="004810EA">
        <w:t xml:space="preserve">amendments </w:t>
      </w:r>
      <w:r w:rsidR="000F39BE">
        <w:t xml:space="preserve">have </w:t>
      </w:r>
      <w:r>
        <w:t xml:space="preserve">also </w:t>
      </w:r>
      <w:r w:rsidR="000F39BE">
        <w:t>been made.</w:t>
      </w:r>
    </w:p>
    <w:p w:rsidR="00CF60E2" w:rsidRPr="000F39BE" w:rsidRDefault="00CF60E2" w:rsidP="00770FCA">
      <w:pPr>
        <w:pStyle w:val="ListParagraph"/>
        <w:spacing w:after="100"/>
        <w:ind w:left="357" w:right="-340"/>
      </w:pPr>
    </w:p>
    <w:p w:rsidR="00DA74CD" w:rsidRPr="00DA74CD" w:rsidRDefault="00DA74CD" w:rsidP="00DA74CD">
      <w:pPr>
        <w:pStyle w:val="ListParagraph"/>
        <w:keepNext/>
        <w:numPr>
          <w:ilvl w:val="0"/>
          <w:numId w:val="7"/>
        </w:numPr>
        <w:spacing w:after="100"/>
        <w:ind w:left="357" w:right="-340"/>
        <w:rPr>
          <w:i/>
          <w:u w:val="single"/>
        </w:rPr>
      </w:pPr>
      <w:r w:rsidRPr="00DA74CD">
        <w:rPr>
          <w:i/>
          <w:u w:val="single"/>
        </w:rPr>
        <w:t xml:space="preserve">Part 1, Division 3 – </w:t>
      </w:r>
      <w:r>
        <w:rPr>
          <w:i/>
          <w:u w:val="single"/>
        </w:rPr>
        <w:t xml:space="preserve">Section 6 </w:t>
      </w:r>
      <w:r w:rsidRPr="00DA74CD">
        <w:rPr>
          <w:i/>
          <w:u w:val="single"/>
        </w:rPr>
        <w:t>Applicable entities</w:t>
      </w:r>
    </w:p>
    <w:p w:rsidR="00DA74CD" w:rsidRDefault="00DA74CD" w:rsidP="008968B4">
      <w:pPr>
        <w:pStyle w:val="ListParagraph"/>
        <w:spacing w:after="100"/>
        <w:ind w:left="360" w:right="-341"/>
      </w:pPr>
      <w:r>
        <w:t>Subsection 1(c) has been removed permitting</w:t>
      </w:r>
      <w:r w:rsidR="004810EA">
        <w:t xml:space="preserve"> the</w:t>
      </w:r>
      <w:r>
        <w:t xml:space="preserve"> Therapeutic Goods Administration to be reported under </w:t>
      </w:r>
      <w:r w:rsidR="004810EA">
        <w:t xml:space="preserve">the </w:t>
      </w:r>
      <w:r>
        <w:t>Department of Health but not separately.</w:t>
      </w:r>
      <w:r w:rsidR="008968B4">
        <w:t xml:space="preserve"> Minor editorial </w:t>
      </w:r>
      <w:r w:rsidR="004810EA">
        <w:t xml:space="preserve">amendments </w:t>
      </w:r>
      <w:r w:rsidR="008968B4">
        <w:t>have also been made.</w:t>
      </w:r>
    </w:p>
    <w:p w:rsidR="008968B4" w:rsidRDefault="008968B4" w:rsidP="00770FCA">
      <w:pPr>
        <w:pStyle w:val="ListParagraph"/>
        <w:spacing w:after="100"/>
        <w:ind w:left="357" w:right="-340"/>
      </w:pPr>
    </w:p>
    <w:p w:rsidR="008968B4" w:rsidRPr="00637578" w:rsidRDefault="008968B4" w:rsidP="008968B4">
      <w:pPr>
        <w:pStyle w:val="ListParagraph"/>
        <w:numPr>
          <w:ilvl w:val="0"/>
          <w:numId w:val="7"/>
        </w:numPr>
        <w:spacing w:after="100"/>
        <w:ind w:right="-341"/>
      </w:pPr>
      <w:r w:rsidRPr="00637578">
        <w:rPr>
          <w:i/>
          <w:u w:val="single"/>
        </w:rPr>
        <w:t xml:space="preserve">Part 2 – </w:t>
      </w:r>
      <w:r>
        <w:rPr>
          <w:i/>
          <w:u w:val="single"/>
        </w:rPr>
        <w:t>Guide to this Part</w:t>
      </w:r>
      <w:r w:rsidRPr="00637578">
        <w:t xml:space="preserve"> </w:t>
      </w:r>
    </w:p>
    <w:p w:rsidR="008968B4" w:rsidRDefault="008968B4" w:rsidP="008968B4">
      <w:pPr>
        <w:pStyle w:val="ListParagraph"/>
        <w:spacing w:after="100"/>
        <w:ind w:left="360" w:right="-341"/>
      </w:pPr>
      <w:r>
        <w:t xml:space="preserve">Minor editorial </w:t>
      </w:r>
      <w:r w:rsidR="00AF5175">
        <w:t xml:space="preserve">amendments </w:t>
      </w:r>
      <w:r>
        <w:t>have been made.</w:t>
      </w:r>
    </w:p>
    <w:p w:rsidR="008968B4" w:rsidRPr="00DA74CD" w:rsidRDefault="008968B4" w:rsidP="00770FCA">
      <w:pPr>
        <w:pStyle w:val="ListParagraph"/>
        <w:spacing w:after="100"/>
        <w:ind w:left="357" w:right="-340"/>
      </w:pPr>
    </w:p>
    <w:p w:rsidR="00CF60E2" w:rsidRPr="00637578" w:rsidRDefault="00EF773E" w:rsidP="00E44934">
      <w:pPr>
        <w:pStyle w:val="ListParagraph"/>
        <w:numPr>
          <w:ilvl w:val="0"/>
          <w:numId w:val="7"/>
        </w:numPr>
        <w:spacing w:after="100"/>
        <w:ind w:right="-341"/>
      </w:pPr>
      <w:r w:rsidRPr="00637578">
        <w:rPr>
          <w:i/>
          <w:u w:val="single"/>
        </w:rPr>
        <w:t>Part 2 – Section 10 Certificates and Assurance</w:t>
      </w:r>
      <w:r w:rsidR="00CF60E2" w:rsidRPr="00637578">
        <w:t xml:space="preserve"> </w:t>
      </w:r>
    </w:p>
    <w:p w:rsidR="001F4437" w:rsidRDefault="001F4437" w:rsidP="008968B4">
      <w:pPr>
        <w:pStyle w:val="ListParagraph"/>
        <w:spacing w:after="100"/>
        <w:ind w:left="360" w:right="-341"/>
      </w:pPr>
      <w:r>
        <w:t>Minor edit</w:t>
      </w:r>
      <w:r w:rsidR="000F39BE">
        <w:t xml:space="preserve">orial </w:t>
      </w:r>
      <w:r w:rsidR="00AF5175">
        <w:t xml:space="preserve">amendments </w:t>
      </w:r>
      <w:r>
        <w:t>have been made.</w:t>
      </w:r>
    </w:p>
    <w:p w:rsidR="008968B4" w:rsidRPr="00637578" w:rsidRDefault="008968B4" w:rsidP="00770FCA">
      <w:pPr>
        <w:pStyle w:val="ListParagraph"/>
        <w:spacing w:after="100"/>
        <w:ind w:left="357" w:right="-340"/>
      </w:pPr>
    </w:p>
    <w:p w:rsidR="005344EA" w:rsidRPr="009004C4" w:rsidRDefault="00EF773E" w:rsidP="00E44934">
      <w:pPr>
        <w:pStyle w:val="ListParagraph"/>
        <w:numPr>
          <w:ilvl w:val="0"/>
          <w:numId w:val="7"/>
        </w:numPr>
        <w:spacing w:after="100"/>
        <w:ind w:right="-341"/>
      </w:pPr>
      <w:r w:rsidRPr="009004C4">
        <w:rPr>
          <w:i/>
          <w:u w:val="single"/>
        </w:rPr>
        <w:t>Part 3 – Section</w:t>
      </w:r>
      <w:r w:rsidR="005344EA" w:rsidRPr="009004C4">
        <w:rPr>
          <w:i/>
          <w:u w:val="single"/>
        </w:rPr>
        <w:t xml:space="preserve"> 17 Valuation of non-financial assets (AASB 116 Property, Plant and Equipment, AASB 138 Intangible Assets or AASB 140 Investment Property)</w:t>
      </w:r>
    </w:p>
    <w:p w:rsidR="008C15F5" w:rsidRDefault="00AF5175" w:rsidP="00770FCA">
      <w:pPr>
        <w:pStyle w:val="ListParagraph"/>
        <w:spacing w:after="100"/>
        <w:ind w:left="360" w:right="-341"/>
      </w:pPr>
      <w:r>
        <w:t xml:space="preserve">The </w:t>
      </w:r>
      <w:r w:rsidR="00F12FAB">
        <w:t>provision of valuing defence weapons platforms at cost</w:t>
      </w:r>
      <w:r>
        <w:t xml:space="preserve"> has been repealed</w:t>
      </w:r>
      <w:r w:rsidR="00F12FAB">
        <w:t xml:space="preserve"> to ensure a consistent approach </w:t>
      </w:r>
      <w:r w:rsidR="008C15F5">
        <w:t>with reporting under Government Finance Statistics.</w:t>
      </w:r>
      <w:r>
        <w:t xml:space="preserve"> Minor editorial amendments have also been made.</w:t>
      </w:r>
    </w:p>
    <w:p w:rsidR="00770FCA" w:rsidRDefault="00770FCA" w:rsidP="00770FCA">
      <w:pPr>
        <w:pStyle w:val="ListParagraph"/>
        <w:spacing w:after="100"/>
        <w:ind w:left="357" w:right="-340"/>
      </w:pPr>
    </w:p>
    <w:p w:rsidR="009004C4" w:rsidRPr="008C15F5" w:rsidRDefault="009004C4" w:rsidP="008C15F5">
      <w:pPr>
        <w:pStyle w:val="ListParagraph"/>
        <w:numPr>
          <w:ilvl w:val="0"/>
          <w:numId w:val="7"/>
        </w:numPr>
        <w:spacing w:after="100"/>
        <w:ind w:right="-341"/>
        <w:rPr>
          <w:i/>
          <w:u w:val="single"/>
        </w:rPr>
      </w:pPr>
      <w:r w:rsidRPr="009004C4">
        <w:rPr>
          <w:i/>
          <w:u w:val="single"/>
        </w:rPr>
        <w:t>Part 3 – Section 1</w:t>
      </w:r>
      <w:r>
        <w:rPr>
          <w:i/>
          <w:u w:val="single"/>
        </w:rPr>
        <w:t>8</w:t>
      </w:r>
      <w:r w:rsidRPr="009004C4">
        <w:rPr>
          <w:i/>
          <w:u w:val="single"/>
        </w:rPr>
        <w:t xml:space="preserve"> </w:t>
      </w:r>
      <w:r>
        <w:rPr>
          <w:i/>
          <w:u w:val="single"/>
        </w:rPr>
        <w:t>AASB 1053 Application of Tiers of Australian Accounting Standards</w:t>
      </w:r>
    </w:p>
    <w:p w:rsidR="00770FCA" w:rsidRDefault="00087D74" w:rsidP="00770FCA">
      <w:pPr>
        <w:pStyle w:val="ListParagraph"/>
        <w:spacing w:after="100"/>
        <w:ind w:left="360" w:right="-341"/>
      </w:pPr>
      <w:r>
        <w:t xml:space="preserve">An amendment has been </w:t>
      </w:r>
      <w:r w:rsidR="008F631D">
        <w:t xml:space="preserve">made </w:t>
      </w:r>
      <w:r>
        <w:t xml:space="preserve">to </w:t>
      </w:r>
      <w:r w:rsidR="008F631D">
        <w:t xml:space="preserve">request </w:t>
      </w:r>
      <w:r>
        <w:t>additional information</w:t>
      </w:r>
      <w:r w:rsidR="008F631D">
        <w:t xml:space="preserve">, if required, from Commonwealth entities </w:t>
      </w:r>
      <w:r>
        <w:t>for the purpose of Consolidated Financial Statements.</w:t>
      </w:r>
    </w:p>
    <w:p w:rsidR="00770FCA" w:rsidRDefault="00770FCA" w:rsidP="00770FCA">
      <w:pPr>
        <w:pStyle w:val="ListParagraph"/>
        <w:spacing w:after="100"/>
        <w:ind w:left="357" w:right="-340"/>
      </w:pPr>
    </w:p>
    <w:p w:rsidR="00770FCA" w:rsidRPr="008C15F5" w:rsidRDefault="00770FCA" w:rsidP="00770FCA">
      <w:pPr>
        <w:pStyle w:val="ListParagraph"/>
        <w:numPr>
          <w:ilvl w:val="0"/>
          <w:numId w:val="7"/>
        </w:numPr>
        <w:spacing w:after="100"/>
        <w:ind w:right="-341"/>
        <w:rPr>
          <w:i/>
          <w:u w:val="single"/>
        </w:rPr>
      </w:pPr>
      <w:r w:rsidRPr="009004C4">
        <w:rPr>
          <w:i/>
          <w:u w:val="single"/>
        </w:rPr>
        <w:t xml:space="preserve">Part </w:t>
      </w:r>
      <w:r>
        <w:rPr>
          <w:i/>
          <w:u w:val="single"/>
        </w:rPr>
        <w:t>4</w:t>
      </w:r>
      <w:r w:rsidRPr="009004C4">
        <w:rPr>
          <w:i/>
          <w:u w:val="single"/>
        </w:rPr>
        <w:t xml:space="preserve"> – Section 1</w:t>
      </w:r>
      <w:r>
        <w:rPr>
          <w:i/>
          <w:u w:val="single"/>
        </w:rPr>
        <w:t>9</w:t>
      </w:r>
      <w:r w:rsidRPr="009004C4">
        <w:rPr>
          <w:i/>
          <w:u w:val="single"/>
        </w:rPr>
        <w:t xml:space="preserve"> </w:t>
      </w:r>
      <w:r>
        <w:rPr>
          <w:i/>
          <w:u w:val="single"/>
        </w:rPr>
        <w:t>Early adoption of accounting pronouncements</w:t>
      </w:r>
    </w:p>
    <w:p w:rsidR="00770FCA" w:rsidRDefault="00770FCA" w:rsidP="00770FCA">
      <w:pPr>
        <w:pStyle w:val="ListParagraph"/>
        <w:spacing w:after="100"/>
        <w:ind w:left="360" w:right="-341"/>
      </w:pPr>
      <w:r>
        <w:t>Minor editorial amendments have been made.</w:t>
      </w:r>
    </w:p>
    <w:p w:rsidR="008C15F5" w:rsidRPr="005344EA" w:rsidRDefault="008C15F5" w:rsidP="00770FCA">
      <w:pPr>
        <w:pStyle w:val="ListParagraph"/>
        <w:spacing w:after="100"/>
        <w:ind w:left="357" w:right="-340"/>
      </w:pPr>
    </w:p>
    <w:p w:rsidR="00E76533" w:rsidRPr="00637578" w:rsidRDefault="00EF773E" w:rsidP="00E44934">
      <w:pPr>
        <w:pStyle w:val="ListParagraph"/>
        <w:numPr>
          <w:ilvl w:val="0"/>
          <w:numId w:val="7"/>
        </w:numPr>
        <w:spacing w:after="100"/>
        <w:ind w:right="-341"/>
      </w:pPr>
      <w:r w:rsidRPr="00637578">
        <w:rPr>
          <w:i/>
          <w:u w:val="single"/>
        </w:rPr>
        <w:t xml:space="preserve">Part 4 – </w:t>
      </w:r>
      <w:r w:rsidR="00EC6984">
        <w:rPr>
          <w:i/>
          <w:u w:val="single"/>
        </w:rPr>
        <w:t xml:space="preserve">Section 24 Employee Benefits, </w:t>
      </w:r>
      <w:r w:rsidRPr="00637578">
        <w:rPr>
          <w:i/>
          <w:u w:val="single"/>
        </w:rPr>
        <w:t>Section 25 Measurement and disclosure of post employment plans</w:t>
      </w:r>
      <w:r w:rsidR="00AF1341">
        <w:rPr>
          <w:i/>
          <w:u w:val="single"/>
        </w:rPr>
        <w:t xml:space="preserve"> and Section 26 Restructures of administrative arrangements</w:t>
      </w:r>
    </w:p>
    <w:p w:rsidR="00E76533" w:rsidRDefault="00F95328" w:rsidP="009004C4">
      <w:pPr>
        <w:pStyle w:val="ListParagraph"/>
        <w:spacing w:after="100"/>
        <w:ind w:left="360" w:right="-341"/>
      </w:pPr>
      <w:r>
        <w:t xml:space="preserve">Subsection 25(2) relating to the discount rate for employee benefits has been repealed to ensure consistency with AASB 119 </w:t>
      </w:r>
      <w:r w:rsidRPr="000849FA">
        <w:rPr>
          <w:i/>
        </w:rPr>
        <w:t>Employee Benefits</w:t>
      </w:r>
      <w:r>
        <w:t>.</w:t>
      </w:r>
      <w:r w:rsidR="00AF1341">
        <w:t xml:space="preserve"> Minor editorial amendments have been made to </w:t>
      </w:r>
      <w:r w:rsidR="008B23D0">
        <w:t>s</w:t>
      </w:r>
      <w:r w:rsidR="00AF1341">
        <w:t>ection</w:t>
      </w:r>
      <w:r w:rsidR="00EC6984">
        <w:t>s</w:t>
      </w:r>
      <w:r w:rsidR="00AF1341">
        <w:t xml:space="preserve"> </w:t>
      </w:r>
      <w:r w:rsidR="00EC6984">
        <w:t xml:space="preserve">24 and </w:t>
      </w:r>
      <w:r w:rsidR="00AF1341">
        <w:t>26.</w:t>
      </w:r>
    </w:p>
    <w:p w:rsidR="00770FCA" w:rsidRDefault="00770FCA" w:rsidP="00770FCA">
      <w:pPr>
        <w:spacing w:after="100"/>
      </w:pPr>
      <w:r>
        <w:br w:type="page"/>
      </w:r>
    </w:p>
    <w:p w:rsidR="009004C4" w:rsidRPr="00637578" w:rsidRDefault="009004C4" w:rsidP="009004C4">
      <w:pPr>
        <w:pStyle w:val="ListParagraph"/>
        <w:spacing w:after="100"/>
        <w:ind w:left="360" w:right="-341"/>
      </w:pPr>
    </w:p>
    <w:p w:rsidR="00CF60E2" w:rsidRPr="00637578" w:rsidRDefault="00EF773E" w:rsidP="00E44934">
      <w:pPr>
        <w:pStyle w:val="ListParagraph"/>
        <w:numPr>
          <w:ilvl w:val="0"/>
          <w:numId w:val="7"/>
        </w:numPr>
        <w:spacing w:after="100"/>
        <w:ind w:right="-341"/>
      </w:pPr>
      <w:r w:rsidRPr="00637578">
        <w:rPr>
          <w:i/>
          <w:u w:val="single"/>
        </w:rPr>
        <w:t>Part 5 – Section</w:t>
      </w:r>
      <w:r w:rsidR="00FF544E">
        <w:rPr>
          <w:i/>
          <w:u w:val="single"/>
        </w:rPr>
        <w:t xml:space="preserve"> 28 </w:t>
      </w:r>
      <w:r w:rsidR="009004C4">
        <w:rPr>
          <w:i/>
          <w:u w:val="single"/>
        </w:rPr>
        <w:t>C</w:t>
      </w:r>
      <w:r w:rsidR="00FF544E">
        <w:rPr>
          <w:i/>
          <w:u w:val="single"/>
        </w:rPr>
        <w:t>ommitments and Section</w:t>
      </w:r>
      <w:r w:rsidRPr="00637578">
        <w:rPr>
          <w:i/>
          <w:u w:val="single"/>
        </w:rPr>
        <w:t xml:space="preserve"> 29 Contingencies</w:t>
      </w:r>
    </w:p>
    <w:p w:rsidR="00CF60E2" w:rsidRDefault="00FF544E" w:rsidP="00CF60E2">
      <w:pPr>
        <w:pStyle w:val="ListParagraph"/>
        <w:spacing w:after="100"/>
        <w:ind w:left="360" w:right="-341"/>
      </w:pPr>
      <w:r>
        <w:t xml:space="preserve">Section 28 </w:t>
      </w:r>
      <w:r w:rsidR="009004C4">
        <w:t>has been repealed</w:t>
      </w:r>
      <w:r w:rsidR="00087D74">
        <w:t xml:space="preserve"> </w:t>
      </w:r>
      <w:r w:rsidR="00C1317F">
        <w:t xml:space="preserve">as </w:t>
      </w:r>
      <w:r w:rsidR="00087D74">
        <w:t>this section duplicat</w:t>
      </w:r>
      <w:r w:rsidR="00C1317F">
        <w:t>es disclosure requirements un</w:t>
      </w:r>
      <w:r w:rsidR="00100533">
        <w:t>der AASB 117</w:t>
      </w:r>
      <w:r w:rsidR="00087D74">
        <w:t xml:space="preserve"> </w:t>
      </w:r>
      <w:r w:rsidR="00087D74" w:rsidRPr="00087D74">
        <w:rPr>
          <w:i/>
        </w:rPr>
        <w:t>Leases</w:t>
      </w:r>
      <w:r w:rsidR="00100533">
        <w:t>, AASB 116</w:t>
      </w:r>
      <w:r w:rsidR="00087D74">
        <w:t xml:space="preserve"> </w:t>
      </w:r>
      <w:r w:rsidR="00087D74" w:rsidRPr="00087D74">
        <w:rPr>
          <w:i/>
        </w:rPr>
        <w:t>Property, Plant and Equipment</w:t>
      </w:r>
      <w:r w:rsidR="00100533">
        <w:t xml:space="preserve"> and AASB 138</w:t>
      </w:r>
      <w:r w:rsidR="00087D74">
        <w:t xml:space="preserve"> </w:t>
      </w:r>
      <w:r w:rsidR="00087D74" w:rsidRPr="00087D74">
        <w:rPr>
          <w:i/>
        </w:rPr>
        <w:t>Intangible Assets</w:t>
      </w:r>
      <w:r w:rsidR="00100533">
        <w:t xml:space="preserve">. </w:t>
      </w:r>
      <w:r w:rsidR="009301EC">
        <w:t xml:space="preserve">A reference to significant remote contingent liabilities </w:t>
      </w:r>
      <w:r w:rsidR="00FB77AF">
        <w:t xml:space="preserve">in Section 29 </w:t>
      </w:r>
      <w:r w:rsidR="009301EC">
        <w:t xml:space="preserve">has been removed to ensure consistency with AASB 137 </w:t>
      </w:r>
      <w:r w:rsidR="009301EC" w:rsidRPr="009301EC">
        <w:rPr>
          <w:i/>
        </w:rPr>
        <w:t>Provisions, Contingent Liabilities and Contingent Assets</w:t>
      </w:r>
      <w:r w:rsidR="009301EC">
        <w:t xml:space="preserve">. </w:t>
      </w:r>
      <w:r w:rsidR="00AF1341">
        <w:t xml:space="preserve">Minor editorial amendments have </w:t>
      </w:r>
      <w:r w:rsidR="009301EC">
        <w:t xml:space="preserve">also </w:t>
      </w:r>
      <w:r w:rsidR="00AF1341">
        <w:t>been made</w:t>
      </w:r>
      <w:r w:rsidR="00FB77AF">
        <w:t xml:space="preserve"> to Section 29</w:t>
      </w:r>
      <w:r w:rsidR="009301EC">
        <w:t>.</w:t>
      </w:r>
    </w:p>
    <w:p w:rsidR="00FB77AF" w:rsidRDefault="00FB77AF" w:rsidP="00CF60E2">
      <w:pPr>
        <w:pStyle w:val="ListParagraph"/>
        <w:spacing w:after="100"/>
        <w:ind w:left="360" w:right="-341"/>
      </w:pPr>
    </w:p>
    <w:p w:rsidR="00FB77AF" w:rsidRPr="00637578" w:rsidRDefault="00FB77AF" w:rsidP="00FB77AF">
      <w:pPr>
        <w:pStyle w:val="ListParagraph"/>
        <w:numPr>
          <w:ilvl w:val="0"/>
          <w:numId w:val="7"/>
        </w:numPr>
        <w:spacing w:after="100"/>
        <w:ind w:right="-341"/>
      </w:pPr>
      <w:r w:rsidRPr="00637578">
        <w:rPr>
          <w:i/>
          <w:u w:val="single"/>
        </w:rPr>
        <w:t>Part 5 – Section</w:t>
      </w:r>
      <w:r>
        <w:rPr>
          <w:i/>
          <w:u w:val="single"/>
        </w:rPr>
        <w:t xml:space="preserve"> 32 Administered investments</w:t>
      </w:r>
    </w:p>
    <w:p w:rsidR="004D32CD" w:rsidRDefault="00150320" w:rsidP="009004C4">
      <w:pPr>
        <w:pStyle w:val="ListParagraph"/>
        <w:spacing w:after="100"/>
        <w:ind w:left="360" w:right="-341"/>
      </w:pPr>
      <w:r>
        <w:t>Amendments have b</w:t>
      </w:r>
      <w:r w:rsidR="00FB77AF">
        <w:t xml:space="preserve">een made to ensure consistency with AASB 10 </w:t>
      </w:r>
      <w:r w:rsidR="00FB77AF" w:rsidRPr="00FB77AF">
        <w:rPr>
          <w:i/>
        </w:rPr>
        <w:t>Consolidated Financial Statements</w:t>
      </w:r>
      <w:r w:rsidR="00FB77AF">
        <w:t>.</w:t>
      </w:r>
    </w:p>
    <w:p w:rsidR="009004C4" w:rsidRDefault="009004C4" w:rsidP="009004C4">
      <w:pPr>
        <w:pStyle w:val="ListParagraph"/>
        <w:spacing w:after="100"/>
        <w:ind w:left="360" w:right="-341"/>
      </w:pPr>
    </w:p>
    <w:p w:rsidR="004D32CD" w:rsidRPr="009004C4" w:rsidRDefault="004D32CD" w:rsidP="004D32CD">
      <w:pPr>
        <w:pStyle w:val="ListParagraph"/>
        <w:numPr>
          <w:ilvl w:val="0"/>
          <w:numId w:val="7"/>
        </w:numPr>
        <w:spacing w:after="100"/>
        <w:ind w:right="-341"/>
      </w:pPr>
      <w:r w:rsidRPr="009004C4">
        <w:rPr>
          <w:i/>
          <w:u w:val="single"/>
        </w:rPr>
        <w:t xml:space="preserve">Part 5 – </w:t>
      </w:r>
      <w:r w:rsidR="000F39BE" w:rsidRPr="009004C4">
        <w:rPr>
          <w:i/>
          <w:u w:val="single"/>
        </w:rPr>
        <w:t>Section 3</w:t>
      </w:r>
      <w:r w:rsidR="009004C4" w:rsidRPr="009004C4">
        <w:rPr>
          <w:i/>
          <w:u w:val="single"/>
        </w:rPr>
        <w:t>4A</w:t>
      </w:r>
      <w:r w:rsidR="000F39BE" w:rsidRPr="009004C4">
        <w:rPr>
          <w:i/>
          <w:u w:val="single"/>
        </w:rPr>
        <w:t xml:space="preserve"> Regulatory charging</w:t>
      </w:r>
    </w:p>
    <w:p w:rsidR="004437CA" w:rsidRDefault="004D32CD" w:rsidP="00150320">
      <w:pPr>
        <w:pStyle w:val="ListParagraph"/>
        <w:spacing w:after="100"/>
        <w:ind w:left="360" w:right="-341"/>
      </w:pPr>
      <w:r w:rsidRPr="009004C4">
        <w:t>A new section has been inserted to set out the reporting requirements for regulatory charging activities.</w:t>
      </w:r>
    </w:p>
    <w:p w:rsidR="00150320" w:rsidRPr="00637578" w:rsidRDefault="00150320" w:rsidP="00150320">
      <w:pPr>
        <w:pStyle w:val="ListParagraph"/>
        <w:spacing w:after="100"/>
        <w:ind w:left="360" w:right="-341"/>
      </w:pPr>
    </w:p>
    <w:p w:rsidR="006E2ABE" w:rsidRPr="00F52BB0" w:rsidRDefault="00EF773E" w:rsidP="006E2ABE">
      <w:pPr>
        <w:pStyle w:val="ListParagraph"/>
        <w:numPr>
          <w:ilvl w:val="0"/>
          <w:numId w:val="7"/>
        </w:numPr>
        <w:spacing w:after="100"/>
        <w:ind w:right="-341"/>
        <w:rPr>
          <w:i/>
          <w:u w:val="single"/>
        </w:rPr>
      </w:pPr>
      <w:r w:rsidRPr="00F52BB0">
        <w:rPr>
          <w:i/>
          <w:u w:val="single"/>
        </w:rPr>
        <w:t>Part 6 – Division 1 – Guide to this Part</w:t>
      </w:r>
    </w:p>
    <w:p w:rsidR="008D1087" w:rsidRDefault="00F52BB0" w:rsidP="00F52BB0">
      <w:pPr>
        <w:pStyle w:val="ListParagraph"/>
        <w:spacing w:after="100"/>
        <w:ind w:left="360" w:right="-341"/>
      </w:pPr>
      <w:r w:rsidRPr="000B0097">
        <w:t>Minor editorial amendments have been made.</w:t>
      </w:r>
    </w:p>
    <w:p w:rsidR="00F52BB0" w:rsidRPr="00F52BB0" w:rsidRDefault="00F52BB0" w:rsidP="00F52BB0">
      <w:pPr>
        <w:pStyle w:val="ListParagraph"/>
        <w:spacing w:after="100"/>
        <w:ind w:left="360" w:right="-341"/>
      </w:pPr>
    </w:p>
    <w:p w:rsidR="00E21BFF" w:rsidRPr="00F52BB0" w:rsidRDefault="00EF773E" w:rsidP="00E44934">
      <w:pPr>
        <w:pStyle w:val="ListParagraph"/>
        <w:keepNext/>
        <w:numPr>
          <w:ilvl w:val="0"/>
          <w:numId w:val="7"/>
        </w:numPr>
        <w:spacing w:after="100"/>
        <w:ind w:left="357" w:right="-340"/>
        <w:rPr>
          <w:vanish/>
          <w:specVanish/>
        </w:rPr>
      </w:pPr>
      <w:r w:rsidRPr="00F52BB0">
        <w:rPr>
          <w:i/>
          <w:u w:val="single"/>
        </w:rPr>
        <w:t>Part 6, Division 2 – Section 3</w:t>
      </w:r>
      <w:r w:rsidR="009004C4" w:rsidRPr="00F52BB0">
        <w:rPr>
          <w:i/>
          <w:u w:val="single"/>
        </w:rPr>
        <w:t>5</w:t>
      </w:r>
      <w:r w:rsidRPr="00F52BB0">
        <w:rPr>
          <w:i/>
          <w:u w:val="single"/>
        </w:rPr>
        <w:t xml:space="preserve"> General requirements, Section 3</w:t>
      </w:r>
      <w:r w:rsidR="009004C4" w:rsidRPr="00F52BB0">
        <w:rPr>
          <w:i/>
          <w:u w:val="single"/>
        </w:rPr>
        <w:t>6</w:t>
      </w:r>
      <w:r w:rsidRPr="00F52BB0">
        <w:rPr>
          <w:i/>
          <w:u w:val="single"/>
        </w:rPr>
        <w:t xml:space="preserve"> </w:t>
      </w:r>
      <w:r w:rsidR="000F39BE" w:rsidRPr="00F52BB0">
        <w:rPr>
          <w:i/>
          <w:u w:val="single"/>
        </w:rPr>
        <w:t xml:space="preserve">Withholding </w:t>
      </w:r>
      <w:r w:rsidR="000F611B">
        <w:rPr>
          <w:i/>
          <w:u w:val="single"/>
        </w:rPr>
        <w:t xml:space="preserve">and quarantining </w:t>
      </w:r>
      <w:r w:rsidR="000F39BE" w:rsidRPr="00F52BB0">
        <w:rPr>
          <w:i/>
          <w:u w:val="single"/>
        </w:rPr>
        <w:t xml:space="preserve">of </w:t>
      </w:r>
      <w:r w:rsidRPr="00F52BB0">
        <w:rPr>
          <w:i/>
          <w:u w:val="single"/>
        </w:rPr>
        <w:t>appropriations</w:t>
      </w:r>
      <w:r w:rsidR="005B171F" w:rsidRPr="00F52BB0">
        <w:rPr>
          <w:i/>
          <w:u w:val="single"/>
        </w:rPr>
        <w:t xml:space="preserve"> and </w:t>
      </w:r>
      <w:r w:rsidRPr="00F52BB0">
        <w:rPr>
          <w:i/>
          <w:u w:val="single"/>
        </w:rPr>
        <w:t>Section 3</w:t>
      </w:r>
      <w:r w:rsidR="009004C4" w:rsidRPr="00F52BB0">
        <w:rPr>
          <w:i/>
          <w:u w:val="single"/>
        </w:rPr>
        <w:t>7</w:t>
      </w:r>
      <w:r w:rsidRPr="00F52BB0">
        <w:rPr>
          <w:i/>
          <w:u w:val="single"/>
        </w:rPr>
        <w:t xml:space="preserve"> Adjustments to appropriations</w:t>
      </w:r>
      <w:r w:rsidR="00152F75" w:rsidRPr="00F52BB0">
        <w:rPr>
          <w:i/>
          <w:u w:val="single"/>
        </w:rPr>
        <w:t xml:space="preserve"> </w:t>
      </w:r>
    </w:p>
    <w:p w:rsidR="000F39BE" w:rsidRDefault="00152759" w:rsidP="00E21BFF">
      <w:pPr>
        <w:pStyle w:val="ListParagraph"/>
        <w:spacing w:after="100"/>
        <w:ind w:left="360" w:right="-341"/>
        <w:rPr>
          <w:highlight w:val="yellow"/>
        </w:rPr>
      </w:pPr>
      <w:r w:rsidRPr="00F52BB0">
        <w:t xml:space="preserve"> </w:t>
      </w:r>
    </w:p>
    <w:p w:rsidR="006C2972" w:rsidRPr="008B23D0" w:rsidRDefault="008B23D0" w:rsidP="008B23D0">
      <w:pPr>
        <w:pStyle w:val="ListParagraph"/>
        <w:spacing w:after="100"/>
        <w:ind w:left="360" w:right="-341"/>
      </w:pPr>
      <w:r>
        <w:t xml:space="preserve">Additional information has been provided to clarify the withholding and quarantining of appropriations in section 36. </w:t>
      </w:r>
      <w:r w:rsidRPr="000B0097">
        <w:t>Minor editorial amendments have been made</w:t>
      </w:r>
      <w:r>
        <w:t xml:space="preserve"> to sections 35 and 37.</w:t>
      </w:r>
    </w:p>
    <w:p w:rsidR="009004C4" w:rsidRDefault="009004C4" w:rsidP="00E21BFF">
      <w:pPr>
        <w:pStyle w:val="ListParagraph"/>
        <w:spacing w:after="100"/>
        <w:ind w:left="360" w:right="-341"/>
        <w:rPr>
          <w:highlight w:val="yellow"/>
        </w:rPr>
      </w:pPr>
    </w:p>
    <w:p w:rsidR="009004C4" w:rsidRPr="005E7724" w:rsidRDefault="009004C4" w:rsidP="009004C4">
      <w:pPr>
        <w:pStyle w:val="ListParagraph"/>
        <w:keepNext/>
        <w:numPr>
          <w:ilvl w:val="0"/>
          <w:numId w:val="7"/>
        </w:numPr>
        <w:spacing w:after="100"/>
        <w:ind w:left="357" w:right="-340"/>
        <w:rPr>
          <w:vanish/>
          <w:specVanish/>
        </w:rPr>
      </w:pPr>
      <w:r w:rsidRPr="005E7724">
        <w:rPr>
          <w:i/>
          <w:u w:val="single"/>
        </w:rPr>
        <w:t xml:space="preserve">Part 6, Division 3 – Section 38 Departmental appropriations </w:t>
      </w:r>
    </w:p>
    <w:p w:rsidR="009004C4" w:rsidRPr="005E7724" w:rsidRDefault="009004C4" w:rsidP="009004C4">
      <w:pPr>
        <w:pStyle w:val="ListParagraph"/>
        <w:spacing w:after="100"/>
        <w:ind w:left="360" w:right="-341"/>
      </w:pPr>
      <w:r w:rsidRPr="005E7724">
        <w:t xml:space="preserve"> </w:t>
      </w:r>
    </w:p>
    <w:p w:rsidR="00E22740" w:rsidRDefault="008325BE" w:rsidP="00E21BFF">
      <w:pPr>
        <w:pStyle w:val="ListParagraph"/>
        <w:spacing w:after="100"/>
        <w:ind w:left="360" w:right="-341"/>
        <w:rPr>
          <w:highlight w:val="yellow"/>
        </w:rPr>
      </w:pPr>
      <w:r w:rsidRPr="005E7724">
        <w:t xml:space="preserve">Amendments have been made to reflect </w:t>
      </w:r>
      <w:r>
        <w:t xml:space="preserve">revenue recognition principles for special accounts </w:t>
      </w:r>
      <w:r w:rsidR="005E7724">
        <w:t>together with minor edits.</w:t>
      </w:r>
      <w:r>
        <w:rPr>
          <w:highlight w:val="yellow"/>
        </w:rPr>
        <w:t xml:space="preserve"> </w:t>
      </w:r>
    </w:p>
    <w:p w:rsidR="009004C4" w:rsidRDefault="009004C4" w:rsidP="00E21BFF">
      <w:pPr>
        <w:pStyle w:val="ListParagraph"/>
        <w:spacing w:after="100"/>
        <w:ind w:left="360" w:right="-341"/>
        <w:rPr>
          <w:highlight w:val="yellow"/>
        </w:rPr>
      </w:pPr>
    </w:p>
    <w:p w:rsidR="009004C4" w:rsidRPr="000B0097" w:rsidRDefault="009004C4" w:rsidP="009004C4">
      <w:pPr>
        <w:pStyle w:val="ListParagraph"/>
        <w:keepNext/>
        <w:numPr>
          <w:ilvl w:val="0"/>
          <w:numId w:val="7"/>
        </w:numPr>
        <w:spacing w:after="100"/>
        <w:ind w:left="357" w:right="-340"/>
        <w:rPr>
          <w:vanish/>
          <w:specVanish/>
        </w:rPr>
      </w:pPr>
      <w:r w:rsidRPr="000B0097">
        <w:rPr>
          <w:i/>
          <w:u w:val="single"/>
        </w:rPr>
        <w:t xml:space="preserve">Part 6, Division 3 – Section 40 Formal additions and reductions </w:t>
      </w:r>
    </w:p>
    <w:p w:rsidR="009004C4" w:rsidRPr="000B0097" w:rsidRDefault="009004C4" w:rsidP="009004C4">
      <w:pPr>
        <w:pStyle w:val="ListParagraph"/>
        <w:spacing w:after="100"/>
        <w:ind w:left="360" w:right="-341"/>
      </w:pPr>
      <w:r w:rsidRPr="000B0097">
        <w:t xml:space="preserve"> </w:t>
      </w:r>
    </w:p>
    <w:p w:rsidR="009E4155" w:rsidRPr="000B0097" w:rsidRDefault="000B0097" w:rsidP="009004C4">
      <w:pPr>
        <w:pStyle w:val="ListParagraph"/>
        <w:spacing w:after="100"/>
        <w:ind w:left="360" w:right="-341"/>
      </w:pPr>
      <w:r w:rsidRPr="000B0097">
        <w:t>Amendments have been made to streamline and clarify the disclosure of formal additions and reductions to appropriation revenue.</w:t>
      </w:r>
    </w:p>
    <w:p w:rsidR="009004C4" w:rsidRPr="009004C4" w:rsidRDefault="009004C4" w:rsidP="009004C4">
      <w:pPr>
        <w:pStyle w:val="ListParagraph"/>
        <w:spacing w:after="100"/>
        <w:ind w:left="360" w:right="-341"/>
        <w:rPr>
          <w:highlight w:val="yellow"/>
        </w:rPr>
      </w:pPr>
    </w:p>
    <w:p w:rsidR="00E22740" w:rsidRPr="000B0097" w:rsidRDefault="00E22740" w:rsidP="00E22740">
      <w:pPr>
        <w:pStyle w:val="ListParagraph"/>
        <w:keepNext/>
        <w:numPr>
          <w:ilvl w:val="0"/>
          <w:numId w:val="7"/>
        </w:numPr>
        <w:spacing w:after="100"/>
        <w:ind w:left="357" w:right="-340"/>
      </w:pPr>
      <w:r w:rsidRPr="000B0097">
        <w:rPr>
          <w:i/>
          <w:u w:val="single"/>
        </w:rPr>
        <w:t>Part 6, Division 4 – Section 4</w:t>
      </w:r>
      <w:r w:rsidR="009004C4" w:rsidRPr="000B0097">
        <w:rPr>
          <w:i/>
          <w:u w:val="single"/>
        </w:rPr>
        <w:t>2</w:t>
      </w:r>
      <w:r w:rsidRPr="000B0097">
        <w:rPr>
          <w:i/>
          <w:u w:val="single"/>
        </w:rPr>
        <w:t xml:space="preserve"> Payments to corporate Commonwealth entities </w:t>
      </w:r>
    </w:p>
    <w:p w:rsidR="009004C4" w:rsidRPr="000B0097" w:rsidRDefault="000B0097" w:rsidP="009004C4">
      <w:pPr>
        <w:pStyle w:val="ListParagraph"/>
        <w:spacing w:after="100"/>
        <w:ind w:left="360" w:right="-341"/>
      </w:pPr>
      <w:r w:rsidRPr="000B0097">
        <w:t>Minor editorial amendments have been made</w:t>
      </w:r>
      <w:r w:rsidR="00E22740" w:rsidRPr="000B0097">
        <w:t>.</w:t>
      </w:r>
    </w:p>
    <w:p w:rsidR="00E22740" w:rsidRPr="00637578" w:rsidRDefault="00E22740" w:rsidP="009E4155">
      <w:pPr>
        <w:pStyle w:val="ListParagraph"/>
        <w:spacing w:after="100"/>
        <w:ind w:left="360" w:right="-341"/>
        <w:rPr>
          <w:sz w:val="22"/>
        </w:rPr>
      </w:pPr>
    </w:p>
    <w:p w:rsidR="005B171F" w:rsidRPr="00637578" w:rsidRDefault="005B171F" w:rsidP="005B171F">
      <w:pPr>
        <w:pStyle w:val="ListParagraph"/>
        <w:keepNext/>
        <w:numPr>
          <w:ilvl w:val="0"/>
          <w:numId w:val="7"/>
        </w:numPr>
        <w:spacing w:after="100"/>
        <w:ind w:left="357" w:right="-340"/>
      </w:pPr>
      <w:r w:rsidRPr="00637578">
        <w:rPr>
          <w:i/>
          <w:u w:val="single"/>
        </w:rPr>
        <w:t>Part 6, Division 5 – Section 4</w:t>
      </w:r>
      <w:r w:rsidR="009004C4">
        <w:rPr>
          <w:i/>
          <w:u w:val="single"/>
        </w:rPr>
        <w:t>3</w:t>
      </w:r>
      <w:r w:rsidR="00574A5F">
        <w:rPr>
          <w:i/>
          <w:u w:val="single"/>
        </w:rPr>
        <w:t xml:space="preserve"> </w:t>
      </w:r>
      <w:r w:rsidRPr="00637578">
        <w:rPr>
          <w:i/>
          <w:u w:val="single"/>
        </w:rPr>
        <w:t xml:space="preserve">Annual </w:t>
      </w:r>
      <w:r w:rsidR="000006AD">
        <w:rPr>
          <w:i/>
          <w:u w:val="single"/>
        </w:rPr>
        <w:t xml:space="preserve">Appropriations, </w:t>
      </w:r>
      <w:r w:rsidR="009004C4">
        <w:rPr>
          <w:i/>
          <w:u w:val="single"/>
        </w:rPr>
        <w:t xml:space="preserve">Section 44 Departmental and administered capital budgets, </w:t>
      </w:r>
      <w:r w:rsidRPr="00637578">
        <w:rPr>
          <w:i/>
          <w:u w:val="single"/>
        </w:rPr>
        <w:t>Section 4</w:t>
      </w:r>
      <w:r w:rsidR="009004C4">
        <w:rPr>
          <w:i/>
          <w:u w:val="single"/>
        </w:rPr>
        <w:t>5</w:t>
      </w:r>
      <w:r w:rsidRPr="00637578">
        <w:rPr>
          <w:i/>
          <w:u w:val="single"/>
        </w:rPr>
        <w:t xml:space="preserve"> Unspent appropriations, Section 4</w:t>
      </w:r>
      <w:r w:rsidR="000B0097">
        <w:rPr>
          <w:i/>
          <w:u w:val="single"/>
        </w:rPr>
        <w:t>6</w:t>
      </w:r>
      <w:r w:rsidRPr="00637578">
        <w:rPr>
          <w:i/>
          <w:u w:val="single"/>
        </w:rPr>
        <w:t xml:space="preserve"> Special appropriations and Section 4</w:t>
      </w:r>
      <w:r w:rsidR="000B0097">
        <w:rPr>
          <w:i/>
          <w:u w:val="single"/>
        </w:rPr>
        <w:t>7</w:t>
      </w:r>
      <w:r w:rsidRPr="00637578">
        <w:rPr>
          <w:i/>
          <w:u w:val="single"/>
        </w:rPr>
        <w:t xml:space="preserve"> Disclosures by agent in relation to annual and special appropriations </w:t>
      </w:r>
      <w:r w:rsidRPr="00637578">
        <w:t xml:space="preserve">  </w:t>
      </w:r>
    </w:p>
    <w:p w:rsidR="000B0097" w:rsidRDefault="000B0097" w:rsidP="005B171F">
      <w:pPr>
        <w:pStyle w:val="ListParagraph"/>
        <w:spacing w:after="100"/>
        <w:ind w:left="360" w:right="-341"/>
      </w:pPr>
      <w:r>
        <w:t>Section 44 has been repealed due to the disclosure of capital appropriations being combined with annual appropriations (Section 43) rather than as a separate disclosure.</w:t>
      </w:r>
    </w:p>
    <w:p w:rsidR="005B171F" w:rsidRDefault="001F4437" w:rsidP="005B171F">
      <w:pPr>
        <w:pStyle w:val="ListParagraph"/>
        <w:spacing w:after="100"/>
        <w:ind w:left="360" w:right="-341"/>
      </w:pPr>
      <w:r>
        <w:t xml:space="preserve">Appropriation disclosures </w:t>
      </w:r>
      <w:r w:rsidR="000B0097">
        <w:t xml:space="preserve">in </w:t>
      </w:r>
      <w:r w:rsidR="008B23D0">
        <w:t>s</w:t>
      </w:r>
      <w:r w:rsidR="000B0097">
        <w:t xml:space="preserve">ections 43, 45, 46 and 47 </w:t>
      </w:r>
      <w:r>
        <w:t>have been streamlined to remove specific formatting requirements.</w:t>
      </w:r>
    </w:p>
    <w:p w:rsidR="00592ED3" w:rsidRDefault="00592ED3" w:rsidP="005B171F">
      <w:pPr>
        <w:pStyle w:val="ListParagraph"/>
        <w:spacing w:after="100"/>
        <w:ind w:left="360" w:right="-341"/>
      </w:pPr>
    </w:p>
    <w:p w:rsidR="00592ED3" w:rsidRPr="00637578" w:rsidRDefault="00592ED3" w:rsidP="00592ED3">
      <w:pPr>
        <w:pStyle w:val="ListParagraph"/>
        <w:keepNext/>
        <w:numPr>
          <w:ilvl w:val="0"/>
          <w:numId w:val="7"/>
        </w:numPr>
        <w:spacing w:after="100"/>
        <w:ind w:left="357" w:right="-340"/>
      </w:pPr>
      <w:r w:rsidRPr="00637578">
        <w:rPr>
          <w:i/>
          <w:u w:val="single"/>
        </w:rPr>
        <w:t>Part 6, Division 6</w:t>
      </w:r>
      <w:r>
        <w:rPr>
          <w:i/>
          <w:u w:val="single"/>
        </w:rPr>
        <w:t xml:space="preserve"> – Guide to this Division</w:t>
      </w:r>
      <w:r w:rsidRPr="00637578">
        <w:t xml:space="preserve">  </w:t>
      </w:r>
    </w:p>
    <w:p w:rsidR="00592ED3" w:rsidRPr="00637578" w:rsidRDefault="00592ED3" w:rsidP="005B171F">
      <w:pPr>
        <w:pStyle w:val="ListParagraph"/>
        <w:spacing w:after="100"/>
        <w:ind w:left="360" w:right="-341"/>
      </w:pPr>
      <w:r>
        <w:t>Minor editorial amendments have been made.</w:t>
      </w:r>
    </w:p>
    <w:p w:rsidR="005B171F" w:rsidRPr="00637578" w:rsidRDefault="005B171F" w:rsidP="004F5A0F">
      <w:pPr>
        <w:pStyle w:val="ListParagraph"/>
        <w:spacing w:after="100"/>
        <w:ind w:left="360" w:right="-341"/>
        <w:rPr>
          <w:sz w:val="22"/>
        </w:rPr>
      </w:pPr>
    </w:p>
    <w:p w:rsidR="005B171F" w:rsidRPr="00637578" w:rsidRDefault="005B171F" w:rsidP="005B171F">
      <w:pPr>
        <w:pStyle w:val="ListParagraph"/>
        <w:keepNext/>
        <w:numPr>
          <w:ilvl w:val="0"/>
          <w:numId w:val="7"/>
        </w:numPr>
        <w:spacing w:after="100"/>
        <w:ind w:left="357" w:right="-340"/>
      </w:pPr>
      <w:r w:rsidRPr="00637578">
        <w:rPr>
          <w:i/>
          <w:u w:val="single"/>
        </w:rPr>
        <w:t>Part 6, Division 6 – Section 4</w:t>
      </w:r>
      <w:r w:rsidR="000B0097">
        <w:rPr>
          <w:i/>
          <w:u w:val="single"/>
        </w:rPr>
        <w:t>8</w:t>
      </w:r>
      <w:r w:rsidRPr="00637578">
        <w:rPr>
          <w:i/>
          <w:u w:val="single"/>
        </w:rPr>
        <w:t xml:space="preserve"> Special Accounts</w:t>
      </w:r>
      <w:r w:rsidRPr="00637578">
        <w:t xml:space="preserve">  </w:t>
      </w:r>
    </w:p>
    <w:p w:rsidR="005B171F" w:rsidRPr="00637578" w:rsidRDefault="00D8231E" w:rsidP="005B171F">
      <w:pPr>
        <w:pStyle w:val="ListParagraph"/>
        <w:spacing w:after="100"/>
        <w:ind w:left="360" w:right="-341"/>
      </w:pPr>
      <w:r>
        <w:t>An amendment has been made to detail the reporting requirements for special accounts</w:t>
      </w:r>
      <w:r w:rsidR="009E4155" w:rsidRPr="00637578">
        <w:t>.</w:t>
      </w:r>
      <w:r>
        <w:t xml:space="preserve"> A minor editorial amendment has also been made.</w:t>
      </w:r>
    </w:p>
    <w:p w:rsidR="00BA129C" w:rsidRPr="00A813A7" w:rsidRDefault="00BA129C" w:rsidP="00A813A7">
      <w:pPr>
        <w:spacing w:after="100"/>
        <w:ind w:right="-341"/>
        <w:rPr>
          <w:sz w:val="22"/>
        </w:rPr>
      </w:pPr>
      <w:r w:rsidRPr="00A813A7">
        <w:rPr>
          <w:sz w:val="22"/>
        </w:rPr>
        <w:br w:type="page"/>
      </w:r>
    </w:p>
    <w:p w:rsidR="00F53ADE" w:rsidRPr="00647838" w:rsidRDefault="00F53ADE" w:rsidP="00F53ADE">
      <w:pPr>
        <w:pStyle w:val="Heading1"/>
        <w:rPr>
          <w:u w:val="single"/>
          <w:lang w:val="en-AU"/>
        </w:rPr>
      </w:pPr>
      <w:r w:rsidRPr="00647838">
        <w:rPr>
          <w:u w:val="single"/>
          <w:lang w:val="en-AU"/>
        </w:rPr>
        <w:lastRenderedPageBreak/>
        <w:t>Explanatory Statement</w:t>
      </w:r>
      <w:r w:rsidR="00421053" w:rsidRPr="00647838">
        <w:rPr>
          <w:u w:val="single"/>
          <w:lang w:val="en-AU"/>
        </w:rPr>
        <w:t xml:space="preserve"> – Attachment B</w:t>
      </w:r>
    </w:p>
    <w:p w:rsidR="00F53ADE" w:rsidRDefault="00F53ADE" w:rsidP="00F53ADE">
      <w:pPr>
        <w:pStyle w:val="Heading1"/>
        <w:spacing w:after="120"/>
        <w:rPr>
          <w:rFonts w:ascii="Calibri" w:hAnsi="Calibri" w:cs="Arial"/>
          <w:i/>
          <w:iCs/>
          <w:sz w:val="22"/>
          <w:szCs w:val="22"/>
          <w:lang w:val="en-AU"/>
        </w:rPr>
      </w:pPr>
    </w:p>
    <w:p w:rsidR="00BA129C" w:rsidRPr="00FA4C97" w:rsidRDefault="00BA129C" w:rsidP="00BA129C">
      <w:pPr>
        <w:jc w:val="center"/>
        <w:rPr>
          <w:b/>
          <w:sz w:val="36"/>
        </w:rPr>
      </w:pPr>
      <w:r w:rsidRPr="00FA4C97">
        <w:rPr>
          <w:b/>
          <w:sz w:val="36"/>
        </w:rPr>
        <w:t>Statement of Compatibility with Human Rights</w:t>
      </w:r>
    </w:p>
    <w:p w:rsidR="00524B43" w:rsidRDefault="00BA129C" w:rsidP="00BA129C">
      <w:pPr>
        <w:jc w:val="center"/>
        <w:rPr>
          <w:i/>
        </w:rPr>
      </w:pPr>
      <w:r w:rsidRPr="00FA5D6D">
        <w:t>Prepared in accordance with</w:t>
      </w:r>
      <w:r>
        <w:rPr>
          <w:i/>
        </w:rPr>
        <w:t xml:space="preserve"> </w:t>
      </w:r>
      <w:r w:rsidRPr="00FA5D6D">
        <w:t>Part 3 of the</w:t>
      </w:r>
      <w:r>
        <w:rPr>
          <w:i/>
        </w:rPr>
        <w:t xml:space="preserve"> </w:t>
      </w:r>
    </w:p>
    <w:p w:rsidR="00BA129C" w:rsidRDefault="00BA129C" w:rsidP="00BA129C">
      <w:pPr>
        <w:jc w:val="center"/>
        <w:rPr>
          <w:i/>
        </w:rPr>
      </w:pPr>
      <w:r>
        <w:rPr>
          <w:i/>
        </w:rPr>
        <w:t>Human Rights (Parliamentary Scrutiny) Act 2011</w:t>
      </w:r>
      <w:r w:rsidR="00091CF8">
        <w:rPr>
          <w:i/>
        </w:rPr>
        <w:t>, section 9</w:t>
      </w:r>
    </w:p>
    <w:p w:rsidR="00BA129C" w:rsidRDefault="00BA129C" w:rsidP="00BA129C">
      <w:pPr>
        <w:jc w:val="center"/>
        <w:rPr>
          <w:i/>
        </w:rPr>
      </w:pPr>
    </w:p>
    <w:p w:rsidR="00BA129C" w:rsidRDefault="0043071F" w:rsidP="00BA129C">
      <w:pPr>
        <w:jc w:val="center"/>
        <w:rPr>
          <w:b/>
          <w:sz w:val="28"/>
        </w:rPr>
      </w:pPr>
      <w:r w:rsidRPr="003E7A7B">
        <w:rPr>
          <w:b/>
          <w:i/>
          <w:sz w:val="28"/>
        </w:rPr>
        <w:t xml:space="preserve">Public Governance, Performance and Accountability (Financial Reporting) </w:t>
      </w:r>
      <w:r w:rsidR="00150320">
        <w:rPr>
          <w:b/>
          <w:i/>
          <w:sz w:val="28"/>
        </w:rPr>
        <w:t xml:space="preserve">Amendment </w:t>
      </w:r>
      <w:r w:rsidRPr="003E7A7B">
        <w:rPr>
          <w:b/>
          <w:i/>
          <w:sz w:val="28"/>
        </w:rPr>
        <w:t xml:space="preserve">Rule </w:t>
      </w:r>
      <w:r w:rsidR="008F774A">
        <w:rPr>
          <w:b/>
          <w:i/>
          <w:sz w:val="28"/>
        </w:rPr>
        <w:t xml:space="preserve">(Miscellaneous) </w:t>
      </w:r>
      <w:r w:rsidRPr="003E7A7B">
        <w:rPr>
          <w:b/>
          <w:i/>
          <w:sz w:val="28"/>
        </w:rPr>
        <w:t>201</w:t>
      </w:r>
      <w:r w:rsidR="00150320">
        <w:rPr>
          <w:b/>
          <w:i/>
          <w:sz w:val="28"/>
        </w:rPr>
        <w:t>6</w:t>
      </w:r>
    </w:p>
    <w:p w:rsidR="0043071F" w:rsidRPr="00BA129C" w:rsidRDefault="0043071F" w:rsidP="0043071F">
      <w:pPr>
        <w:rPr>
          <w:b/>
          <w:sz w:val="28"/>
        </w:rPr>
      </w:pPr>
    </w:p>
    <w:p w:rsidR="00E835FF" w:rsidRPr="00662BFB" w:rsidRDefault="00F53ADE" w:rsidP="00E44934">
      <w:pPr>
        <w:pStyle w:val="ListParagraph"/>
        <w:numPr>
          <w:ilvl w:val="0"/>
          <w:numId w:val="6"/>
        </w:numPr>
        <w:spacing w:before="120" w:after="120"/>
        <w:rPr>
          <w:rFonts w:ascii="Calibri" w:eastAsiaTheme="minorHAnsi" w:hAnsi="Calibri"/>
        </w:rPr>
      </w:pPr>
      <w:r w:rsidRPr="00662BFB">
        <w:t xml:space="preserve">The proposed amendments do not engage any of the applicable rights or freedoms outlined in the </w:t>
      </w:r>
      <w:r w:rsidRPr="00662BFB">
        <w:rPr>
          <w:i/>
          <w:iCs/>
        </w:rPr>
        <w:t>Human Rights (Parliamentary Scrutiny) Act 2011</w:t>
      </w:r>
      <w:r w:rsidRPr="00662BFB">
        <w:t xml:space="preserve">, such as encompassed in the </w:t>
      </w:r>
      <w:r w:rsidRPr="00662BFB">
        <w:rPr>
          <w:i/>
          <w:iCs/>
        </w:rPr>
        <w:t>International Covenant on Civil and Political Rights</w:t>
      </w:r>
      <w:r w:rsidRPr="00662BFB">
        <w:t>.</w:t>
      </w:r>
    </w:p>
    <w:p w:rsidR="00E835FF" w:rsidRPr="00662BFB" w:rsidRDefault="00F53ADE" w:rsidP="00E44934">
      <w:pPr>
        <w:pStyle w:val="ListParagraph"/>
        <w:numPr>
          <w:ilvl w:val="0"/>
          <w:numId w:val="6"/>
        </w:numPr>
        <w:spacing w:before="120" w:after="120"/>
        <w:rPr>
          <w:rFonts w:ascii="Calibri" w:eastAsiaTheme="minorHAnsi" w:hAnsi="Calibri"/>
        </w:rPr>
      </w:pPr>
      <w:r w:rsidRPr="00662BFB">
        <w:t xml:space="preserve">The proposed amendments do not limit any human rights, nor propose any offences or penalties.  </w:t>
      </w:r>
    </w:p>
    <w:p w:rsidR="00F53ADE" w:rsidRPr="00662BFB" w:rsidRDefault="00F53ADE" w:rsidP="00E44934">
      <w:pPr>
        <w:pStyle w:val="ListParagraph"/>
        <w:numPr>
          <w:ilvl w:val="0"/>
          <w:numId w:val="6"/>
        </w:numPr>
        <w:spacing w:before="120" w:after="120"/>
        <w:rPr>
          <w:rFonts w:ascii="Calibri" w:eastAsiaTheme="minorHAnsi" w:hAnsi="Calibri"/>
        </w:rPr>
      </w:pPr>
      <w:r w:rsidRPr="00662BFB">
        <w:t xml:space="preserve">This legislative instrument is therefore compatible with the human rights and freedoms recognised or declared in the international instruments listed in subsection 3(1) of the </w:t>
      </w:r>
      <w:r w:rsidRPr="00662BFB">
        <w:rPr>
          <w:i/>
          <w:iCs/>
        </w:rPr>
        <w:t xml:space="preserve">Human Rights (Parliamentary Scrutiny) Act </w:t>
      </w:r>
      <w:r w:rsidRPr="00091CF8">
        <w:rPr>
          <w:i/>
          <w:iCs/>
        </w:rPr>
        <w:t>2011</w:t>
      </w:r>
      <w:r w:rsidRPr="00091CF8">
        <w:rPr>
          <w:bCs/>
        </w:rPr>
        <w:t>.</w:t>
      </w:r>
    </w:p>
    <w:p w:rsidR="00B3043B" w:rsidRDefault="00B3043B" w:rsidP="00B3043B">
      <w:pPr>
        <w:spacing w:after="100"/>
        <w:ind w:right="-341"/>
      </w:pPr>
    </w:p>
    <w:p w:rsidR="00BA129C" w:rsidRPr="00933F1E" w:rsidRDefault="00091CF8" w:rsidP="00BA129C">
      <w:pPr>
        <w:jc w:val="center"/>
        <w:rPr>
          <w:b/>
        </w:rPr>
      </w:pPr>
      <w:r>
        <w:rPr>
          <w:b/>
        </w:rPr>
        <w:t xml:space="preserve">Senator the Honourable </w:t>
      </w:r>
      <w:r w:rsidR="00504407">
        <w:rPr>
          <w:b/>
        </w:rPr>
        <w:t>Mathias Cormann</w:t>
      </w:r>
      <w:r w:rsidR="00BA129C" w:rsidRPr="00933F1E">
        <w:rPr>
          <w:b/>
        </w:rPr>
        <w:t xml:space="preserve">, Minister for Finance </w:t>
      </w:r>
    </w:p>
    <w:p w:rsidR="002A4F19" w:rsidRPr="00552752" w:rsidRDefault="002A4F19" w:rsidP="00AE0023">
      <w:pPr>
        <w:rPr>
          <w:sz w:val="22"/>
          <w:szCs w:val="22"/>
          <w:highlight w:val="yellow"/>
        </w:rPr>
      </w:pPr>
    </w:p>
    <w:sectPr w:rsidR="002A4F19" w:rsidRPr="00552752" w:rsidSect="00091CF8">
      <w:pgSz w:w="11907" w:h="16840" w:code="9"/>
      <w:pgMar w:top="993" w:right="1797" w:bottom="709" w:left="1797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77" w:rsidRDefault="00165A77">
      <w:r>
        <w:separator/>
      </w:r>
    </w:p>
  </w:endnote>
  <w:endnote w:type="continuationSeparator" w:id="0">
    <w:p w:rsidR="00165A77" w:rsidRDefault="00165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675"/>
      <w:gridCol w:w="5954"/>
      <w:gridCol w:w="673"/>
    </w:tblGrid>
    <w:tr w:rsidR="00F12FAB" w:rsidTr="008E1EF8">
      <w:tc>
        <w:tcPr>
          <w:tcW w:w="675" w:type="dxa"/>
          <w:tcBorders>
            <w:left w:val="nil"/>
            <w:bottom w:val="nil"/>
            <w:right w:val="nil"/>
          </w:tcBorders>
        </w:tcPr>
        <w:p w:rsidR="00F12FAB" w:rsidRPr="006B1927" w:rsidRDefault="00F12FAB" w:rsidP="00557BB0">
          <w:pPr>
            <w:pStyle w:val="Footer"/>
            <w:rPr>
              <w:rFonts w:ascii="Arial" w:hAnsi="Arial" w:cs="Arial"/>
              <w:sz w:val="18"/>
            </w:rPr>
          </w:pPr>
        </w:p>
      </w:tc>
      <w:tc>
        <w:tcPr>
          <w:tcW w:w="5954" w:type="dxa"/>
          <w:tcBorders>
            <w:left w:val="nil"/>
            <w:bottom w:val="nil"/>
            <w:right w:val="nil"/>
          </w:tcBorders>
        </w:tcPr>
        <w:p w:rsidR="008F774A" w:rsidRDefault="00F12FAB" w:rsidP="008F774A">
          <w:pPr>
            <w:pStyle w:val="Footer"/>
            <w:jc w:val="center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i/>
              <w:sz w:val="18"/>
            </w:rPr>
            <w:t>Explanatory Statement to the Public Governance, Performance and Accountability (Financial Reporting) Amendment</w:t>
          </w:r>
        </w:p>
        <w:p w:rsidR="00F12FAB" w:rsidRPr="00EF11AE" w:rsidRDefault="008F774A" w:rsidP="008F774A">
          <w:pPr>
            <w:pStyle w:val="Footer"/>
            <w:jc w:val="center"/>
          </w:pPr>
          <w:r>
            <w:rPr>
              <w:rFonts w:ascii="Arial" w:hAnsi="Arial"/>
              <w:i/>
              <w:sz w:val="18"/>
            </w:rPr>
            <w:t xml:space="preserve"> (Miscellaneous)</w:t>
          </w:r>
          <w:r w:rsidR="00F12FAB">
            <w:rPr>
              <w:rFonts w:ascii="Arial" w:hAnsi="Arial"/>
              <w:i/>
              <w:sz w:val="18"/>
            </w:rPr>
            <w:t xml:space="preserve"> Rule </w:t>
          </w:r>
          <w:r>
            <w:rPr>
              <w:rFonts w:ascii="Arial" w:hAnsi="Arial"/>
              <w:i/>
              <w:sz w:val="18"/>
            </w:rPr>
            <w:t>2</w:t>
          </w:r>
          <w:r w:rsidR="00F12FAB">
            <w:rPr>
              <w:rFonts w:ascii="Arial" w:hAnsi="Arial"/>
              <w:i/>
              <w:sz w:val="18"/>
            </w:rPr>
            <w:t>016</w:t>
          </w:r>
        </w:p>
        <w:p w:rsidR="00F12FAB" w:rsidRDefault="00F12FAB" w:rsidP="008E1EF8">
          <w:pPr>
            <w:pStyle w:val="Footer"/>
          </w:pPr>
        </w:p>
      </w:tc>
      <w:tc>
        <w:tcPr>
          <w:tcW w:w="673" w:type="dxa"/>
          <w:tcBorders>
            <w:left w:val="nil"/>
            <w:bottom w:val="nil"/>
            <w:right w:val="nil"/>
          </w:tcBorders>
        </w:tcPr>
        <w:p w:rsidR="00F12FAB" w:rsidRPr="006B1927" w:rsidRDefault="004202AA" w:rsidP="008E1EF8">
          <w:pPr>
            <w:pStyle w:val="Footer"/>
            <w:rPr>
              <w:rFonts w:ascii="Arial" w:hAnsi="Arial" w:cs="Arial"/>
            </w:rPr>
          </w:pPr>
          <w:r w:rsidRPr="006B1927">
            <w:rPr>
              <w:rStyle w:val="PageNumber"/>
              <w:rFonts w:ascii="Arial" w:hAnsi="Arial" w:cs="Arial"/>
            </w:rPr>
            <w:fldChar w:fldCharType="begin"/>
          </w:r>
          <w:r w:rsidR="00F12FAB" w:rsidRPr="006B1927">
            <w:rPr>
              <w:rStyle w:val="PageNumber"/>
              <w:rFonts w:ascii="Arial" w:hAnsi="Arial" w:cs="Arial"/>
            </w:rPr>
            <w:instrText xml:space="preserve"> PAGE </w:instrText>
          </w:r>
          <w:r w:rsidRPr="006B1927">
            <w:rPr>
              <w:rStyle w:val="PageNumber"/>
              <w:rFonts w:ascii="Arial" w:hAnsi="Arial" w:cs="Arial"/>
            </w:rPr>
            <w:fldChar w:fldCharType="separate"/>
          </w:r>
          <w:r w:rsidR="00A478F3">
            <w:rPr>
              <w:rStyle w:val="PageNumber"/>
              <w:rFonts w:ascii="Arial" w:hAnsi="Arial" w:cs="Arial"/>
              <w:noProof/>
            </w:rPr>
            <w:t>5</w:t>
          </w:r>
          <w:r w:rsidRPr="006B1927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F12FAB" w:rsidRDefault="00F12F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675"/>
      <w:gridCol w:w="5954"/>
      <w:gridCol w:w="673"/>
    </w:tblGrid>
    <w:tr w:rsidR="00F12FAB" w:rsidTr="008E1EF8">
      <w:tc>
        <w:tcPr>
          <w:tcW w:w="675" w:type="dxa"/>
          <w:tcBorders>
            <w:left w:val="nil"/>
            <w:bottom w:val="nil"/>
            <w:right w:val="nil"/>
          </w:tcBorders>
        </w:tcPr>
        <w:p w:rsidR="00F12FAB" w:rsidRPr="006B1927" w:rsidRDefault="00F12FAB" w:rsidP="008E1EF8">
          <w:pPr>
            <w:pStyle w:val="Footer"/>
            <w:rPr>
              <w:rFonts w:ascii="Arial" w:hAnsi="Arial" w:cs="Arial"/>
              <w:sz w:val="18"/>
            </w:rPr>
          </w:pPr>
        </w:p>
      </w:tc>
      <w:tc>
        <w:tcPr>
          <w:tcW w:w="5954" w:type="dxa"/>
          <w:tcBorders>
            <w:left w:val="nil"/>
            <w:bottom w:val="nil"/>
            <w:right w:val="nil"/>
          </w:tcBorders>
        </w:tcPr>
        <w:p w:rsidR="00192834" w:rsidRDefault="00192834" w:rsidP="00192834">
          <w:pPr>
            <w:pStyle w:val="Footer"/>
            <w:jc w:val="center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i/>
              <w:sz w:val="18"/>
            </w:rPr>
            <w:t>Explanatory Statement to the Public Governance, Performance and Accountability (Financial Reporting) Amendment</w:t>
          </w:r>
        </w:p>
        <w:p w:rsidR="00F12FAB" w:rsidRPr="00EF11AE" w:rsidRDefault="00192834" w:rsidP="00192834">
          <w:pPr>
            <w:pStyle w:val="Footer"/>
            <w:jc w:val="center"/>
          </w:pPr>
          <w:r>
            <w:rPr>
              <w:rFonts w:ascii="Arial" w:hAnsi="Arial"/>
              <w:i/>
              <w:sz w:val="18"/>
            </w:rPr>
            <w:t xml:space="preserve"> (Miscellaneous) Rule 2016</w:t>
          </w:r>
        </w:p>
        <w:p w:rsidR="00F12FAB" w:rsidRDefault="00F12FAB" w:rsidP="008E1EF8">
          <w:pPr>
            <w:pStyle w:val="Footer"/>
          </w:pPr>
        </w:p>
      </w:tc>
      <w:tc>
        <w:tcPr>
          <w:tcW w:w="673" w:type="dxa"/>
          <w:tcBorders>
            <w:left w:val="nil"/>
            <w:bottom w:val="nil"/>
            <w:right w:val="nil"/>
          </w:tcBorders>
        </w:tcPr>
        <w:p w:rsidR="00F12FAB" w:rsidRPr="006B1927" w:rsidRDefault="004202AA" w:rsidP="008E1EF8">
          <w:pPr>
            <w:pStyle w:val="Footer"/>
            <w:rPr>
              <w:rFonts w:ascii="Arial" w:hAnsi="Arial" w:cs="Arial"/>
            </w:rPr>
          </w:pPr>
          <w:r w:rsidRPr="006B1927">
            <w:rPr>
              <w:rStyle w:val="PageNumber"/>
              <w:rFonts w:ascii="Arial" w:hAnsi="Arial" w:cs="Arial"/>
            </w:rPr>
            <w:fldChar w:fldCharType="begin"/>
          </w:r>
          <w:r w:rsidR="00F12FAB" w:rsidRPr="006B1927">
            <w:rPr>
              <w:rStyle w:val="PageNumber"/>
              <w:rFonts w:ascii="Arial" w:hAnsi="Arial" w:cs="Arial"/>
            </w:rPr>
            <w:instrText xml:space="preserve"> PAGE </w:instrText>
          </w:r>
          <w:r w:rsidRPr="006B1927">
            <w:rPr>
              <w:rStyle w:val="PageNumber"/>
              <w:rFonts w:ascii="Arial" w:hAnsi="Arial" w:cs="Arial"/>
            </w:rPr>
            <w:fldChar w:fldCharType="separate"/>
          </w:r>
          <w:r w:rsidR="00D93657">
            <w:rPr>
              <w:rStyle w:val="PageNumber"/>
              <w:rFonts w:ascii="Arial" w:hAnsi="Arial" w:cs="Arial"/>
              <w:noProof/>
            </w:rPr>
            <w:t>3</w:t>
          </w:r>
          <w:r w:rsidRPr="006B1927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F12FAB" w:rsidRDefault="00F12F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77" w:rsidRDefault="00165A77">
      <w:r>
        <w:separator/>
      </w:r>
    </w:p>
  </w:footnote>
  <w:footnote w:type="continuationSeparator" w:id="0">
    <w:p w:rsidR="00165A77" w:rsidRDefault="00165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AB" w:rsidRDefault="00F12FAB">
    <w:pPr>
      <w:pStyle w:val="Header"/>
      <w:pBdr>
        <w:between w:val="single" w:sz="12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20AB"/>
    <w:multiLevelType w:val="hybridMultilevel"/>
    <w:tmpl w:val="D1228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49D7"/>
    <w:multiLevelType w:val="multilevel"/>
    <w:tmpl w:val="1DD006AA"/>
    <w:lvl w:ilvl="0">
      <w:start w:val="1"/>
      <w:numFmt w:val="bullet"/>
      <w:pStyle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8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</w:abstractNum>
  <w:abstractNum w:abstractNumId="2">
    <w:nsid w:val="22ED0DF7"/>
    <w:multiLevelType w:val="hybridMultilevel"/>
    <w:tmpl w:val="99524468"/>
    <w:lvl w:ilvl="0" w:tplc="D48451A8">
      <w:start w:val="1"/>
      <w:numFmt w:val="bullet"/>
      <w:pStyle w:val="StyleNew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</w:rPr>
    </w:lvl>
    <w:lvl w:ilvl="1" w:tplc="F294D27C">
      <w:start w:val="1"/>
      <w:numFmt w:val="bullet"/>
      <w:lvlText w:val="o"/>
      <w:lvlJc w:val="left"/>
      <w:pPr>
        <w:tabs>
          <w:tab w:val="num" w:pos="927"/>
        </w:tabs>
        <w:ind w:left="907" w:hanging="340"/>
      </w:pPr>
      <w:rPr>
        <w:rFonts w:ascii="Courier New" w:hAnsi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353FD"/>
    <w:multiLevelType w:val="hybridMultilevel"/>
    <w:tmpl w:val="F6E08226"/>
    <w:lvl w:ilvl="0" w:tplc="CAA24094">
      <w:start w:val="2"/>
      <w:numFmt w:val="decimal"/>
      <w:pStyle w:val="NumberedParagraph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51A0B"/>
    <w:multiLevelType w:val="hybridMultilevel"/>
    <w:tmpl w:val="F11AFA8E"/>
    <w:lvl w:ilvl="0" w:tplc="B442E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2453FF"/>
    <w:multiLevelType w:val="hybridMultilevel"/>
    <w:tmpl w:val="3D72ADDC"/>
    <w:lvl w:ilvl="0" w:tplc="518600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CA3C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AE8450">
      <w:start w:val="1"/>
      <w:numFmt w:val="lowerLetter"/>
      <w:pStyle w:val="AmendmentHeading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3CA284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7">
    <w:nsid w:val="5E815138"/>
    <w:multiLevelType w:val="multilevel"/>
    <w:tmpl w:val="15781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A38338E"/>
    <w:multiLevelType w:val="singleLevel"/>
    <w:tmpl w:val="2922866A"/>
    <w:lvl w:ilvl="0">
      <w:start w:val="1"/>
      <w:numFmt w:val="bullet"/>
      <w:pStyle w:val="Colon"/>
      <w:lvlText w:val="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6A7E2E8A"/>
    <w:multiLevelType w:val="hybridMultilevel"/>
    <w:tmpl w:val="4DCCDC9C"/>
    <w:lvl w:ilvl="0" w:tplc="728868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23CB3F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37"/>
  <w:drawingGridHorizontalSpacing w:val="120"/>
  <w:displayHorizontalDrawingGridEvery w:val="2"/>
  <w:noPunctuationKerning/>
  <w:characterSpacingControl w:val="doNotCompress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/>
  <w:rsids>
    <w:rsidRoot w:val="00EF3971"/>
    <w:rsid w:val="000006AD"/>
    <w:rsid w:val="00005B1F"/>
    <w:rsid w:val="0000674E"/>
    <w:rsid w:val="000225FF"/>
    <w:rsid w:val="00025A18"/>
    <w:rsid w:val="00026225"/>
    <w:rsid w:val="000359A8"/>
    <w:rsid w:val="00037F5D"/>
    <w:rsid w:val="00037F9E"/>
    <w:rsid w:val="000431C7"/>
    <w:rsid w:val="00046DF4"/>
    <w:rsid w:val="00047EC3"/>
    <w:rsid w:val="00051243"/>
    <w:rsid w:val="00061CFC"/>
    <w:rsid w:val="0007348C"/>
    <w:rsid w:val="00080BD7"/>
    <w:rsid w:val="00080F3C"/>
    <w:rsid w:val="000828E6"/>
    <w:rsid w:val="00082AF0"/>
    <w:rsid w:val="0008325B"/>
    <w:rsid w:val="000849FA"/>
    <w:rsid w:val="00086BCA"/>
    <w:rsid w:val="000877BA"/>
    <w:rsid w:val="00087D74"/>
    <w:rsid w:val="00091CF8"/>
    <w:rsid w:val="000922BC"/>
    <w:rsid w:val="000929A9"/>
    <w:rsid w:val="000A154D"/>
    <w:rsid w:val="000A2D37"/>
    <w:rsid w:val="000A5D30"/>
    <w:rsid w:val="000B0097"/>
    <w:rsid w:val="000B5C59"/>
    <w:rsid w:val="000D5BC6"/>
    <w:rsid w:val="000D6AA8"/>
    <w:rsid w:val="000F0D7E"/>
    <w:rsid w:val="000F357C"/>
    <w:rsid w:val="000F39BE"/>
    <w:rsid w:val="000F54DA"/>
    <w:rsid w:val="000F611B"/>
    <w:rsid w:val="00100533"/>
    <w:rsid w:val="00100D03"/>
    <w:rsid w:val="001025A9"/>
    <w:rsid w:val="00107D09"/>
    <w:rsid w:val="00120B88"/>
    <w:rsid w:val="00131A52"/>
    <w:rsid w:val="00136DC3"/>
    <w:rsid w:val="00147057"/>
    <w:rsid w:val="00150320"/>
    <w:rsid w:val="00152759"/>
    <w:rsid w:val="00152F75"/>
    <w:rsid w:val="00157755"/>
    <w:rsid w:val="00162D25"/>
    <w:rsid w:val="00165423"/>
    <w:rsid w:val="00165A77"/>
    <w:rsid w:val="00171AE6"/>
    <w:rsid w:val="00172AAE"/>
    <w:rsid w:val="00186884"/>
    <w:rsid w:val="00187921"/>
    <w:rsid w:val="00191A88"/>
    <w:rsid w:val="00192834"/>
    <w:rsid w:val="00192B28"/>
    <w:rsid w:val="00194265"/>
    <w:rsid w:val="001A1BDE"/>
    <w:rsid w:val="001A5CE0"/>
    <w:rsid w:val="001B3EE8"/>
    <w:rsid w:val="001D2D11"/>
    <w:rsid w:val="001D2E78"/>
    <w:rsid w:val="001D6154"/>
    <w:rsid w:val="001E0E7C"/>
    <w:rsid w:val="001E451E"/>
    <w:rsid w:val="001F3301"/>
    <w:rsid w:val="001F4437"/>
    <w:rsid w:val="001F63DC"/>
    <w:rsid w:val="00205DBF"/>
    <w:rsid w:val="002256D1"/>
    <w:rsid w:val="00246B5F"/>
    <w:rsid w:val="0025231B"/>
    <w:rsid w:val="002559F4"/>
    <w:rsid w:val="00260C0B"/>
    <w:rsid w:val="00264B34"/>
    <w:rsid w:val="00272419"/>
    <w:rsid w:val="00280BE8"/>
    <w:rsid w:val="0028188A"/>
    <w:rsid w:val="00283A8B"/>
    <w:rsid w:val="00283EB3"/>
    <w:rsid w:val="002914C7"/>
    <w:rsid w:val="00291940"/>
    <w:rsid w:val="00291AF2"/>
    <w:rsid w:val="0029530D"/>
    <w:rsid w:val="002A0BFE"/>
    <w:rsid w:val="002A1AC4"/>
    <w:rsid w:val="002A4F19"/>
    <w:rsid w:val="002B0ECE"/>
    <w:rsid w:val="002B2A8F"/>
    <w:rsid w:val="002B519F"/>
    <w:rsid w:val="002C2376"/>
    <w:rsid w:val="002C61CF"/>
    <w:rsid w:val="002D46B0"/>
    <w:rsid w:val="002E02B6"/>
    <w:rsid w:val="002E5296"/>
    <w:rsid w:val="002E56A4"/>
    <w:rsid w:val="002E6107"/>
    <w:rsid w:val="002E6FC0"/>
    <w:rsid w:val="002F07C0"/>
    <w:rsid w:val="002F413D"/>
    <w:rsid w:val="00313323"/>
    <w:rsid w:val="0031543F"/>
    <w:rsid w:val="00316808"/>
    <w:rsid w:val="00317818"/>
    <w:rsid w:val="00334843"/>
    <w:rsid w:val="0034240F"/>
    <w:rsid w:val="00342FE2"/>
    <w:rsid w:val="0035006A"/>
    <w:rsid w:val="00377E45"/>
    <w:rsid w:val="00380F37"/>
    <w:rsid w:val="003846EF"/>
    <w:rsid w:val="0039160A"/>
    <w:rsid w:val="00393A73"/>
    <w:rsid w:val="00397D8B"/>
    <w:rsid w:val="003A158A"/>
    <w:rsid w:val="003A7F2B"/>
    <w:rsid w:val="003B0BCD"/>
    <w:rsid w:val="003B6541"/>
    <w:rsid w:val="003B7D2E"/>
    <w:rsid w:val="003C3115"/>
    <w:rsid w:val="003C52C7"/>
    <w:rsid w:val="003C52D4"/>
    <w:rsid w:val="003D3B28"/>
    <w:rsid w:val="003D7C22"/>
    <w:rsid w:val="003E1B8D"/>
    <w:rsid w:val="003E4D0F"/>
    <w:rsid w:val="003E590E"/>
    <w:rsid w:val="003E6864"/>
    <w:rsid w:val="003E7A7B"/>
    <w:rsid w:val="003E7DE2"/>
    <w:rsid w:val="003F1486"/>
    <w:rsid w:val="003F4C4C"/>
    <w:rsid w:val="00401667"/>
    <w:rsid w:val="00402FEF"/>
    <w:rsid w:val="004079A5"/>
    <w:rsid w:val="00407B73"/>
    <w:rsid w:val="00415CC5"/>
    <w:rsid w:val="004202AA"/>
    <w:rsid w:val="00420E32"/>
    <w:rsid w:val="00421053"/>
    <w:rsid w:val="00421949"/>
    <w:rsid w:val="0043008C"/>
    <w:rsid w:val="0043071F"/>
    <w:rsid w:val="00433E04"/>
    <w:rsid w:val="004350D7"/>
    <w:rsid w:val="004373D6"/>
    <w:rsid w:val="004437CA"/>
    <w:rsid w:val="004450C3"/>
    <w:rsid w:val="00447B1D"/>
    <w:rsid w:val="00460056"/>
    <w:rsid w:val="004636B2"/>
    <w:rsid w:val="00463A94"/>
    <w:rsid w:val="00471C6A"/>
    <w:rsid w:val="0047360F"/>
    <w:rsid w:val="00474D61"/>
    <w:rsid w:val="004810EA"/>
    <w:rsid w:val="00483742"/>
    <w:rsid w:val="00485048"/>
    <w:rsid w:val="00490663"/>
    <w:rsid w:val="00492354"/>
    <w:rsid w:val="004A7FBD"/>
    <w:rsid w:val="004B3C3B"/>
    <w:rsid w:val="004B6DC8"/>
    <w:rsid w:val="004C2E3F"/>
    <w:rsid w:val="004D0284"/>
    <w:rsid w:val="004D0C5F"/>
    <w:rsid w:val="004D32CD"/>
    <w:rsid w:val="004D44EF"/>
    <w:rsid w:val="004D50FB"/>
    <w:rsid w:val="004D6E83"/>
    <w:rsid w:val="004D783B"/>
    <w:rsid w:val="004E2414"/>
    <w:rsid w:val="004E43F1"/>
    <w:rsid w:val="004E4B77"/>
    <w:rsid w:val="004E6863"/>
    <w:rsid w:val="004F37C4"/>
    <w:rsid w:val="004F5A0F"/>
    <w:rsid w:val="0050039A"/>
    <w:rsid w:val="00500498"/>
    <w:rsid w:val="00504407"/>
    <w:rsid w:val="00506090"/>
    <w:rsid w:val="005106EC"/>
    <w:rsid w:val="0051188E"/>
    <w:rsid w:val="005158CA"/>
    <w:rsid w:val="00517ECC"/>
    <w:rsid w:val="00524B43"/>
    <w:rsid w:val="00527733"/>
    <w:rsid w:val="00532337"/>
    <w:rsid w:val="005344EA"/>
    <w:rsid w:val="0053606E"/>
    <w:rsid w:val="0054303D"/>
    <w:rsid w:val="00544DC1"/>
    <w:rsid w:val="00552752"/>
    <w:rsid w:val="00557BB0"/>
    <w:rsid w:val="00560BB8"/>
    <w:rsid w:val="0056220C"/>
    <w:rsid w:val="0056441E"/>
    <w:rsid w:val="00565BEB"/>
    <w:rsid w:val="00574A5F"/>
    <w:rsid w:val="00576107"/>
    <w:rsid w:val="0057752C"/>
    <w:rsid w:val="005775C2"/>
    <w:rsid w:val="00580AA7"/>
    <w:rsid w:val="0058371C"/>
    <w:rsid w:val="00592ED3"/>
    <w:rsid w:val="005A24B2"/>
    <w:rsid w:val="005A32F6"/>
    <w:rsid w:val="005A65AF"/>
    <w:rsid w:val="005B171F"/>
    <w:rsid w:val="005D07D3"/>
    <w:rsid w:val="005D0E5E"/>
    <w:rsid w:val="005D1255"/>
    <w:rsid w:val="005D54B7"/>
    <w:rsid w:val="005E014D"/>
    <w:rsid w:val="005E34F3"/>
    <w:rsid w:val="005E55DD"/>
    <w:rsid w:val="005E597D"/>
    <w:rsid w:val="005E6DE6"/>
    <w:rsid w:val="005E6FAE"/>
    <w:rsid w:val="005E7724"/>
    <w:rsid w:val="005F0A83"/>
    <w:rsid w:val="005F421E"/>
    <w:rsid w:val="006023D2"/>
    <w:rsid w:val="0060489C"/>
    <w:rsid w:val="00612E1E"/>
    <w:rsid w:val="00622F4E"/>
    <w:rsid w:val="00634A51"/>
    <w:rsid w:val="0063500A"/>
    <w:rsid w:val="00637578"/>
    <w:rsid w:val="00637C60"/>
    <w:rsid w:val="00637DC3"/>
    <w:rsid w:val="00643CC6"/>
    <w:rsid w:val="00645069"/>
    <w:rsid w:val="00647838"/>
    <w:rsid w:val="00653198"/>
    <w:rsid w:val="00655AEE"/>
    <w:rsid w:val="00656569"/>
    <w:rsid w:val="0066197A"/>
    <w:rsid w:val="00662BFB"/>
    <w:rsid w:val="00663FC9"/>
    <w:rsid w:val="00664B4F"/>
    <w:rsid w:val="00666856"/>
    <w:rsid w:val="006726F2"/>
    <w:rsid w:val="00673FA9"/>
    <w:rsid w:val="006743F7"/>
    <w:rsid w:val="00676D14"/>
    <w:rsid w:val="00686983"/>
    <w:rsid w:val="00691088"/>
    <w:rsid w:val="00693D80"/>
    <w:rsid w:val="006A025B"/>
    <w:rsid w:val="006B075B"/>
    <w:rsid w:val="006B07DA"/>
    <w:rsid w:val="006B16ED"/>
    <w:rsid w:val="006B3BED"/>
    <w:rsid w:val="006B49EA"/>
    <w:rsid w:val="006B4D64"/>
    <w:rsid w:val="006C0D5B"/>
    <w:rsid w:val="006C1849"/>
    <w:rsid w:val="006C2972"/>
    <w:rsid w:val="006D0AE0"/>
    <w:rsid w:val="006D6AEE"/>
    <w:rsid w:val="006E2ABE"/>
    <w:rsid w:val="006E4996"/>
    <w:rsid w:val="00704BCD"/>
    <w:rsid w:val="007107BA"/>
    <w:rsid w:val="0071140C"/>
    <w:rsid w:val="007142DC"/>
    <w:rsid w:val="00714300"/>
    <w:rsid w:val="0072275C"/>
    <w:rsid w:val="00722F61"/>
    <w:rsid w:val="0072401B"/>
    <w:rsid w:val="00726491"/>
    <w:rsid w:val="007329EA"/>
    <w:rsid w:val="007334F8"/>
    <w:rsid w:val="007356CC"/>
    <w:rsid w:val="00737756"/>
    <w:rsid w:val="007415A3"/>
    <w:rsid w:val="0074667E"/>
    <w:rsid w:val="00753CD8"/>
    <w:rsid w:val="00770FCA"/>
    <w:rsid w:val="00781368"/>
    <w:rsid w:val="007816D7"/>
    <w:rsid w:val="00781CF3"/>
    <w:rsid w:val="00782EF0"/>
    <w:rsid w:val="00783638"/>
    <w:rsid w:val="00784361"/>
    <w:rsid w:val="0078564E"/>
    <w:rsid w:val="00792494"/>
    <w:rsid w:val="00792E4C"/>
    <w:rsid w:val="007A5E36"/>
    <w:rsid w:val="007B19C1"/>
    <w:rsid w:val="007B2238"/>
    <w:rsid w:val="007C186E"/>
    <w:rsid w:val="007C424A"/>
    <w:rsid w:val="007C43FC"/>
    <w:rsid w:val="007C559A"/>
    <w:rsid w:val="007D036E"/>
    <w:rsid w:val="007E6787"/>
    <w:rsid w:val="007E704C"/>
    <w:rsid w:val="007E7DC5"/>
    <w:rsid w:val="007F01FA"/>
    <w:rsid w:val="007F1E8F"/>
    <w:rsid w:val="007F4300"/>
    <w:rsid w:val="00800BFF"/>
    <w:rsid w:val="00801B54"/>
    <w:rsid w:val="00802A29"/>
    <w:rsid w:val="008063B7"/>
    <w:rsid w:val="008068CF"/>
    <w:rsid w:val="0081179F"/>
    <w:rsid w:val="00820235"/>
    <w:rsid w:val="00822284"/>
    <w:rsid w:val="008228F4"/>
    <w:rsid w:val="00826F2F"/>
    <w:rsid w:val="0083136D"/>
    <w:rsid w:val="0083205F"/>
    <w:rsid w:val="008325BE"/>
    <w:rsid w:val="00833243"/>
    <w:rsid w:val="008356AC"/>
    <w:rsid w:val="00846FCB"/>
    <w:rsid w:val="00850535"/>
    <w:rsid w:val="00851C50"/>
    <w:rsid w:val="00852AF7"/>
    <w:rsid w:val="008658C0"/>
    <w:rsid w:val="00867E15"/>
    <w:rsid w:val="00877539"/>
    <w:rsid w:val="00883EF9"/>
    <w:rsid w:val="00885099"/>
    <w:rsid w:val="008921CA"/>
    <w:rsid w:val="00894B98"/>
    <w:rsid w:val="008968B4"/>
    <w:rsid w:val="008A00E5"/>
    <w:rsid w:val="008A1BDA"/>
    <w:rsid w:val="008A6315"/>
    <w:rsid w:val="008A7621"/>
    <w:rsid w:val="008B23D0"/>
    <w:rsid w:val="008C0198"/>
    <w:rsid w:val="008C15F5"/>
    <w:rsid w:val="008D0219"/>
    <w:rsid w:val="008D1087"/>
    <w:rsid w:val="008D4E91"/>
    <w:rsid w:val="008E144D"/>
    <w:rsid w:val="008E1EF8"/>
    <w:rsid w:val="008E64A4"/>
    <w:rsid w:val="008F0FE1"/>
    <w:rsid w:val="008F48A3"/>
    <w:rsid w:val="008F631D"/>
    <w:rsid w:val="008F774A"/>
    <w:rsid w:val="009004C4"/>
    <w:rsid w:val="00903BC5"/>
    <w:rsid w:val="00920E7B"/>
    <w:rsid w:val="00921AAE"/>
    <w:rsid w:val="009301EC"/>
    <w:rsid w:val="00932D06"/>
    <w:rsid w:val="00933FDE"/>
    <w:rsid w:val="00935A56"/>
    <w:rsid w:val="0093607D"/>
    <w:rsid w:val="00947296"/>
    <w:rsid w:val="009565DD"/>
    <w:rsid w:val="00957770"/>
    <w:rsid w:val="009646B1"/>
    <w:rsid w:val="00966042"/>
    <w:rsid w:val="00966BE4"/>
    <w:rsid w:val="009766BD"/>
    <w:rsid w:val="009873C4"/>
    <w:rsid w:val="009900EE"/>
    <w:rsid w:val="009A03BF"/>
    <w:rsid w:val="009A158E"/>
    <w:rsid w:val="009A40AB"/>
    <w:rsid w:val="009A51A2"/>
    <w:rsid w:val="009A6ACB"/>
    <w:rsid w:val="009A7188"/>
    <w:rsid w:val="009B5ABE"/>
    <w:rsid w:val="009C6DA8"/>
    <w:rsid w:val="009D0F0F"/>
    <w:rsid w:val="009D2058"/>
    <w:rsid w:val="009D2CB0"/>
    <w:rsid w:val="009D3BA7"/>
    <w:rsid w:val="009D42C3"/>
    <w:rsid w:val="009D50F8"/>
    <w:rsid w:val="009E3AC5"/>
    <w:rsid w:val="009E4155"/>
    <w:rsid w:val="009F4285"/>
    <w:rsid w:val="00A02879"/>
    <w:rsid w:val="00A04C8D"/>
    <w:rsid w:val="00A13A6F"/>
    <w:rsid w:val="00A13C0C"/>
    <w:rsid w:val="00A14A22"/>
    <w:rsid w:val="00A15936"/>
    <w:rsid w:val="00A17E7E"/>
    <w:rsid w:val="00A22631"/>
    <w:rsid w:val="00A242F8"/>
    <w:rsid w:val="00A25B03"/>
    <w:rsid w:val="00A26C80"/>
    <w:rsid w:val="00A365D1"/>
    <w:rsid w:val="00A36BEF"/>
    <w:rsid w:val="00A36EDF"/>
    <w:rsid w:val="00A37F70"/>
    <w:rsid w:val="00A40D51"/>
    <w:rsid w:val="00A444FC"/>
    <w:rsid w:val="00A453BF"/>
    <w:rsid w:val="00A478F3"/>
    <w:rsid w:val="00A515D7"/>
    <w:rsid w:val="00A54AC3"/>
    <w:rsid w:val="00A66004"/>
    <w:rsid w:val="00A72962"/>
    <w:rsid w:val="00A74B02"/>
    <w:rsid w:val="00A75307"/>
    <w:rsid w:val="00A813A7"/>
    <w:rsid w:val="00A82581"/>
    <w:rsid w:val="00A87691"/>
    <w:rsid w:val="00A92C78"/>
    <w:rsid w:val="00A956FA"/>
    <w:rsid w:val="00AA3B70"/>
    <w:rsid w:val="00AC4724"/>
    <w:rsid w:val="00AC7E87"/>
    <w:rsid w:val="00AD23B9"/>
    <w:rsid w:val="00AD782F"/>
    <w:rsid w:val="00AE000F"/>
    <w:rsid w:val="00AE0023"/>
    <w:rsid w:val="00AE316C"/>
    <w:rsid w:val="00AF00A4"/>
    <w:rsid w:val="00AF1341"/>
    <w:rsid w:val="00AF493A"/>
    <w:rsid w:val="00AF4F1F"/>
    <w:rsid w:val="00AF5175"/>
    <w:rsid w:val="00AF6CC3"/>
    <w:rsid w:val="00B00F76"/>
    <w:rsid w:val="00B03931"/>
    <w:rsid w:val="00B04180"/>
    <w:rsid w:val="00B04D05"/>
    <w:rsid w:val="00B0703A"/>
    <w:rsid w:val="00B12D7B"/>
    <w:rsid w:val="00B1303F"/>
    <w:rsid w:val="00B14E83"/>
    <w:rsid w:val="00B163FC"/>
    <w:rsid w:val="00B2178C"/>
    <w:rsid w:val="00B23E29"/>
    <w:rsid w:val="00B3043B"/>
    <w:rsid w:val="00B33711"/>
    <w:rsid w:val="00B3474A"/>
    <w:rsid w:val="00B403FC"/>
    <w:rsid w:val="00B40BF9"/>
    <w:rsid w:val="00B57F74"/>
    <w:rsid w:val="00B60189"/>
    <w:rsid w:val="00B60A92"/>
    <w:rsid w:val="00B6108D"/>
    <w:rsid w:val="00B66C72"/>
    <w:rsid w:val="00B77B86"/>
    <w:rsid w:val="00B83BCD"/>
    <w:rsid w:val="00B8691D"/>
    <w:rsid w:val="00B92945"/>
    <w:rsid w:val="00BA0F45"/>
    <w:rsid w:val="00BA129C"/>
    <w:rsid w:val="00BA3775"/>
    <w:rsid w:val="00BA4BD5"/>
    <w:rsid w:val="00BC79C3"/>
    <w:rsid w:val="00BE10C4"/>
    <w:rsid w:val="00BE1461"/>
    <w:rsid w:val="00BE2929"/>
    <w:rsid w:val="00BF1257"/>
    <w:rsid w:val="00BF642F"/>
    <w:rsid w:val="00C04EDA"/>
    <w:rsid w:val="00C07FE4"/>
    <w:rsid w:val="00C1173D"/>
    <w:rsid w:val="00C1317F"/>
    <w:rsid w:val="00C1372C"/>
    <w:rsid w:val="00C16078"/>
    <w:rsid w:val="00C20B32"/>
    <w:rsid w:val="00C21AFD"/>
    <w:rsid w:val="00C23646"/>
    <w:rsid w:val="00C42242"/>
    <w:rsid w:val="00C45A5C"/>
    <w:rsid w:val="00C5251E"/>
    <w:rsid w:val="00C5393C"/>
    <w:rsid w:val="00C54B34"/>
    <w:rsid w:val="00C57046"/>
    <w:rsid w:val="00C61AB9"/>
    <w:rsid w:val="00C62D1C"/>
    <w:rsid w:val="00C65E72"/>
    <w:rsid w:val="00C748B2"/>
    <w:rsid w:val="00C74DEE"/>
    <w:rsid w:val="00C80021"/>
    <w:rsid w:val="00C8629C"/>
    <w:rsid w:val="00C94F6C"/>
    <w:rsid w:val="00C95FFD"/>
    <w:rsid w:val="00C97DDA"/>
    <w:rsid w:val="00CA1AB8"/>
    <w:rsid w:val="00CB165A"/>
    <w:rsid w:val="00CB2978"/>
    <w:rsid w:val="00CB2A31"/>
    <w:rsid w:val="00CC12B3"/>
    <w:rsid w:val="00CC1F2D"/>
    <w:rsid w:val="00CC6493"/>
    <w:rsid w:val="00CD5987"/>
    <w:rsid w:val="00CE37D8"/>
    <w:rsid w:val="00CE5717"/>
    <w:rsid w:val="00CE67B8"/>
    <w:rsid w:val="00CF1AE9"/>
    <w:rsid w:val="00CF2286"/>
    <w:rsid w:val="00CF60E2"/>
    <w:rsid w:val="00CF6BBF"/>
    <w:rsid w:val="00D0245E"/>
    <w:rsid w:val="00D07826"/>
    <w:rsid w:val="00D104A4"/>
    <w:rsid w:val="00D17F28"/>
    <w:rsid w:val="00D344F8"/>
    <w:rsid w:val="00D37ED2"/>
    <w:rsid w:val="00D46A63"/>
    <w:rsid w:val="00D5036C"/>
    <w:rsid w:val="00D515B1"/>
    <w:rsid w:val="00D56281"/>
    <w:rsid w:val="00D65880"/>
    <w:rsid w:val="00D72A20"/>
    <w:rsid w:val="00D75DC3"/>
    <w:rsid w:val="00D8231E"/>
    <w:rsid w:val="00D82A3C"/>
    <w:rsid w:val="00D84F5A"/>
    <w:rsid w:val="00D8500D"/>
    <w:rsid w:val="00D93657"/>
    <w:rsid w:val="00D95A58"/>
    <w:rsid w:val="00DA003F"/>
    <w:rsid w:val="00DA3305"/>
    <w:rsid w:val="00DA47EA"/>
    <w:rsid w:val="00DA74CD"/>
    <w:rsid w:val="00DB1F1C"/>
    <w:rsid w:val="00DB29DB"/>
    <w:rsid w:val="00DC52F8"/>
    <w:rsid w:val="00DC6B86"/>
    <w:rsid w:val="00DD1D67"/>
    <w:rsid w:val="00DE0F68"/>
    <w:rsid w:val="00DE288F"/>
    <w:rsid w:val="00DF632B"/>
    <w:rsid w:val="00E02A89"/>
    <w:rsid w:val="00E061F0"/>
    <w:rsid w:val="00E13AED"/>
    <w:rsid w:val="00E15E81"/>
    <w:rsid w:val="00E21A41"/>
    <w:rsid w:val="00E21BFF"/>
    <w:rsid w:val="00E22740"/>
    <w:rsid w:val="00E23480"/>
    <w:rsid w:val="00E259A1"/>
    <w:rsid w:val="00E33B33"/>
    <w:rsid w:val="00E44934"/>
    <w:rsid w:val="00E50935"/>
    <w:rsid w:val="00E5242E"/>
    <w:rsid w:val="00E53E2D"/>
    <w:rsid w:val="00E549CD"/>
    <w:rsid w:val="00E62438"/>
    <w:rsid w:val="00E6511D"/>
    <w:rsid w:val="00E65551"/>
    <w:rsid w:val="00E717FC"/>
    <w:rsid w:val="00E725EC"/>
    <w:rsid w:val="00E76533"/>
    <w:rsid w:val="00E835FF"/>
    <w:rsid w:val="00E8558E"/>
    <w:rsid w:val="00E87790"/>
    <w:rsid w:val="00E9733F"/>
    <w:rsid w:val="00EB68DA"/>
    <w:rsid w:val="00EC07FE"/>
    <w:rsid w:val="00EC1E9C"/>
    <w:rsid w:val="00EC6984"/>
    <w:rsid w:val="00EE2330"/>
    <w:rsid w:val="00EE4401"/>
    <w:rsid w:val="00EF3971"/>
    <w:rsid w:val="00EF773E"/>
    <w:rsid w:val="00F011CD"/>
    <w:rsid w:val="00F03DE8"/>
    <w:rsid w:val="00F04C95"/>
    <w:rsid w:val="00F04CC3"/>
    <w:rsid w:val="00F05198"/>
    <w:rsid w:val="00F056B8"/>
    <w:rsid w:val="00F12FAB"/>
    <w:rsid w:val="00F20000"/>
    <w:rsid w:val="00F20DD3"/>
    <w:rsid w:val="00F275C6"/>
    <w:rsid w:val="00F27848"/>
    <w:rsid w:val="00F33A42"/>
    <w:rsid w:val="00F3635A"/>
    <w:rsid w:val="00F42690"/>
    <w:rsid w:val="00F458E0"/>
    <w:rsid w:val="00F46D6E"/>
    <w:rsid w:val="00F473CA"/>
    <w:rsid w:val="00F478C5"/>
    <w:rsid w:val="00F52747"/>
    <w:rsid w:val="00F52BB0"/>
    <w:rsid w:val="00F53ADE"/>
    <w:rsid w:val="00F658F6"/>
    <w:rsid w:val="00F67AD6"/>
    <w:rsid w:val="00F7060C"/>
    <w:rsid w:val="00F74DBB"/>
    <w:rsid w:val="00F7561A"/>
    <w:rsid w:val="00F816BD"/>
    <w:rsid w:val="00F81B25"/>
    <w:rsid w:val="00F95328"/>
    <w:rsid w:val="00FA5D6D"/>
    <w:rsid w:val="00FB03C1"/>
    <w:rsid w:val="00FB1304"/>
    <w:rsid w:val="00FB34CC"/>
    <w:rsid w:val="00FB77AF"/>
    <w:rsid w:val="00FC13D9"/>
    <w:rsid w:val="00FC2768"/>
    <w:rsid w:val="00FD22CD"/>
    <w:rsid w:val="00FD286F"/>
    <w:rsid w:val="00FE1447"/>
    <w:rsid w:val="00FE3FB9"/>
    <w:rsid w:val="00FF063C"/>
    <w:rsid w:val="00FF2F93"/>
    <w:rsid w:val="00FF544E"/>
    <w:rsid w:val="00FF56D2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2"/>
    <w:rPr>
      <w:sz w:val="24"/>
      <w:szCs w:val="24"/>
      <w:lang w:eastAsia="en-US"/>
    </w:rPr>
  </w:style>
  <w:style w:type="paragraph" w:styleId="Heading1">
    <w:name w:val="heading 1"/>
    <w:aliases w:val="Attribute Heading 1,h1,Attribute Heading 11,Attribute Heading 12,Attribute Heading 13,Attribute Heading 14,Attribute Heading 15,Attribute Heading 16,Attribute Heading 17,Attribute Heading 18,Attribute Heading 111,Attribute Heading 121"/>
    <w:basedOn w:val="Normal"/>
    <w:next w:val="Normal"/>
    <w:qFormat/>
    <w:rsid w:val="00FF56D2"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F5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3,l3,Level 3 Head,HeadSmall,h31,31,l31,Level 3 Head1,H31,HeadSmall1,h32,32,l32,Level 3 Head2,H32,HeadSmall2,h33,33,l33,Level 3 Head3,H33,HeadSmall3,heading 31,Level 1 - 1,C Sub-Sub/Italic,h34,34,l34,Level 3 Head4,H34,heading 3,HeadSmall4"/>
    <w:basedOn w:val="Normal"/>
    <w:next w:val="Normal"/>
    <w:qFormat/>
    <w:rsid w:val="00FF56D2"/>
    <w:pPr>
      <w:keepNext/>
      <w:spacing w:before="240" w:after="60"/>
      <w:outlineLvl w:val="2"/>
    </w:pPr>
  </w:style>
  <w:style w:type="paragraph" w:styleId="Heading4">
    <w:name w:val="heading 4"/>
    <w:aliases w:val="Map Title"/>
    <w:basedOn w:val="Normal"/>
    <w:next w:val="Normal"/>
    <w:qFormat/>
    <w:rsid w:val="00FF56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F56D2"/>
    <w:pPr>
      <w:keepLines/>
      <w:spacing w:before="120"/>
      <w:ind w:left="1985"/>
      <w:outlineLvl w:val="4"/>
    </w:pPr>
    <w:rPr>
      <w:b/>
      <w:bCs/>
      <w:i/>
      <w:i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FF56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F56D2"/>
    <w:pPr>
      <w:keepNext/>
      <w:ind w:left="851"/>
      <w:outlineLvl w:val="6"/>
    </w:pPr>
    <w:rPr>
      <w:b/>
      <w:i/>
      <w:sz w:val="22"/>
      <w:szCs w:val="20"/>
      <w:lang w:val="en-GB"/>
    </w:rPr>
  </w:style>
  <w:style w:type="paragraph" w:styleId="Heading8">
    <w:name w:val="heading 8"/>
    <w:basedOn w:val="Normal"/>
    <w:next w:val="Normal"/>
    <w:qFormat/>
    <w:rsid w:val="00FF56D2"/>
    <w:pPr>
      <w:keepNext/>
      <w:outlineLvl w:val="7"/>
    </w:pPr>
    <w:rPr>
      <w:i/>
      <w:sz w:val="18"/>
    </w:rPr>
  </w:style>
  <w:style w:type="paragraph" w:styleId="Heading9">
    <w:name w:val="heading 9"/>
    <w:basedOn w:val="Normal"/>
    <w:next w:val="Normal"/>
    <w:qFormat/>
    <w:rsid w:val="00FF56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56D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jc w:val="center"/>
    </w:pPr>
    <w:rPr>
      <w:snapToGrid w:val="0"/>
      <w:color w:val="000000"/>
      <w:szCs w:val="20"/>
      <w:u w:val="single"/>
    </w:rPr>
  </w:style>
  <w:style w:type="paragraph" w:styleId="BodyText2">
    <w:name w:val="Body Text 2"/>
    <w:basedOn w:val="Normal"/>
    <w:rsid w:val="00FF56D2"/>
    <w:pPr>
      <w:spacing w:before="120" w:after="120"/>
      <w:jc w:val="center"/>
    </w:pPr>
    <w:rPr>
      <w:sz w:val="22"/>
      <w:lang w:val="en-US"/>
    </w:rPr>
  </w:style>
  <w:style w:type="paragraph" w:customStyle="1" w:styleId="ParaNumbering">
    <w:name w:val="Para Numbering"/>
    <w:basedOn w:val="Normal"/>
    <w:rsid w:val="00FF56D2"/>
    <w:pPr>
      <w:tabs>
        <w:tab w:val="left" w:pos="567"/>
      </w:tabs>
      <w:spacing w:after="200"/>
    </w:pPr>
    <w:rPr>
      <w:szCs w:val="20"/>
    </w:rPr>
  </w:style>
  <w:style w:type="paragraph" w:customStyle="1" w:styleId="ExplanatoryGuidance">
    <w:name w:val="Explanatory Guidance"/>
    <w:basedOn w:val="Normal"/>
    <w:rsid w:val="00FF56D2"/>
    <w:pPr>
      <w:keepNext/>
      <w:spacing w:before="200"/>
    </w:pPr>
    <w:rPr>
      <w:rFonts w:ascii="Arial" w:hAnsi="Arial"/>
      <w:szCs w:val="20"/>
      <w:lang w:val="en-GB"/>
    </w:rPr>
  </w:style>
  <w:style w:type="paragraph" w:customStyle="1" w:styleId="AmendmentHeading">
    <w:name w:val="Amendment Heading"/>
    <w:basedOn w:val="Normal"/>
    <w:rsid w:val="00FF56D2"/>
    <w:pPr>
      <w:numPr>
        <w:ilvl w:val="3"/>
        <w:numId w:val="1"/>
      </w:numPr>
      <w:tabs>
        <w:tab w:val="clear" w:pos="3240"/>
        <w:tab w:val="num" w:pos="800"/>
      </w:tabs>
      <w:spacing w:before="120"/>
      <w:ind w:left="499" w:hanging="357"/>
    </w:pPr>
    <w:rPr>
      <w:b/>
      <w:bCs/>
    </w:rPr>
  </w:style>
  <w:style w:type="paragraph" w:customStyle="1" w:styleId="Year">
    <w:name w:val="Year"/>
    <w:basedOn w:val="Normal"/>
    <w:rsid w:val="00FF56D2"/>
    <w:pPr>
      <w:keepNext/>
      <w:keepLines/>
      <w:pBdr>
        <w:bottom w:val="single" w:sz="6" w:space="3" w:color="auto"/>
      </w:pBdr>
      <w:tabs>
        <w:tab w:val="left" w:pos="454"/>
        <w:tab w:val="left" w:pos="907"/>
        <w:tab w:val="left" w:pos="1361"/>
        <w:tab w:val="left" w:pos="1814"/>
        <w:tab w:val="left" w:pos="2268"/>
        <w:tab w:val="right" w:leader="dot" w:pos="7938"/>
      </w:tabs>
      <w:spacing w:before="240"/>
    </w:pPr>
    <w:rPr>
      <w:i/>
      <w:iCs/>
      <w:sz w:val="22"/>
      <w:szCs w:val="22"/>
      <w:lang w:val="en-GB"/>
    </w:rPr>
  </w:style>
  <w:style w:type="paragraph" w:customStyle="1" w:styleId="BlackLetterText">
    <w:name w:val="Black Letter Text"/>
    <w:basedOn w:val="Heading2"/>
    <w:rsid w:val="00FF56D2"/>
    <w:pPr>
      <w:numPr>
        <w:ilvl w:val="1"/>
      </w:numPr>
      <w:spacing w:before="120" w:after="120"/>
      <w:ind w:left="720" w:hanging="720"/>
      <w:jc w:val="both"/>
    </w:pPr>
    <w:rPr>
      <w:rFonts w:ascii="Times New Roman" w:hAnsi="Times New Roman" w:cs="Times New Roman"/>
      <w:i w:val="0"/>
      <w:iCs w:val="0"/>
      <w:kern w:val="28"/>
      <w:sz w:val="22"/>
      <w:szCs w:val="22"/>
      <w:lang w:val="en-GB"/>
    </w:rPr>
  </w:style>
  <w:style w:type="paragraph" w:customStyle="1" w:styleId="Policy">
    <w:name w:val="Policy"/>
    <w:basedOn w:val="Heading9"/>
    <w:rsid w:val="00FF56D2"/>
    <w:pPr>
      <w:keepNext/>
      <w:spacing w:before="200" w:after="0"/>
    </w:pPr>
    <w:rPr>
      <w:b/>
      <w:bCs/>
      <w:sz w:val="24"/>
      <w:szCs w:val="24"/>
      <w:lang w:val="en-GB"/>
    </w:rPr>
  </w:style>
  <w:style w:type="paragraph" w:customStyle="1" w:styleId="BlackLetterBP">
    <w:name w:val="Black Letter BP"/>
    <w:basedOn w:val="Heading4"/>
    <w:rsid w:val="00FF56D2"/>
    <w:pPr>
      <w:keepNext w:val="0"/>
      <w:keepLines/>
      <w:tabs>
        <w:tab w:val="num" w:pos="1440"/>
      </w:tabs>
      <w:spacing w:before="120" w:after="0"/>
      <w:ind w:left="1440" w:hanging="720"/>
      <w:jc w:val="both"/>
    </w:pPr>
    <w:rPr>
      <w:sz w:val="22"/>
      <w:szCs w:val="22"/>
    </w:rPr>
  </w:style>
  <w:style w:type="paragraph" w:customStyle="1" w:styleId="41">
    <w:name w:val="4.1"/>
    <w:basedOn w:val="Normal"/>
    <w:rsid w:val="00FF56D2"/>
    <w:rPr>
      <w:b/>
      <w:bCs/>
    </w:rPr>
  </w:style>
  <w:style w:type="paragraph" w:customStyle="1" w:styleId="SC1">
    <w:name w:val="SC1"/>
    <w:basedOn w:val="Normal"/>
    <w:rsid w:val="00FF56D2"/>
    <w:pPr>
      <w:keepNext/>
      <w:tabs>
        <w:tab w:val="left" w:pos="454"/>
      </w:tabs>
      <w:spacing w:after="60"/>
      <w:outlineLvl w:val="5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FootnoteText">
    <w:name w:val="footnote text"/>
    <w:basedOn w:val="Normal"/>
    <w:semiHidden/>
    <w:rsid w:val="00FF56D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56D2"/>
    <w:rPr>
      <w:vertAlign w:val="superscript"/>
    </w:rPr>
  </w:style>
  <w:style w:type="paragraph" w:customStyle="1" w:styleId="Colon">
    <w:name w:val="Colon"/>
    <w:basedOn w:val="Normal"/>
    <w:rsid w:val="00FF56D2"/>
    <w:pPr>
      <w:numPr>
        <w:numId w:val="2"/>
      </w:numPr>
      <w:spacing w:line="240" w:lineRule="atLeast"/>
      <w:ind w:left="0" w:firstLine="0"/>
    </w:pPr>
  </w:style>
  <w:style w:type="paragraph" w:customStyle="1" w:styleId="Tabletext">
    <w:name w:val="Table text"/>
    <w:basedOn w:val="Normal"/>
    <w:rsid w:val="00FF56D2"/>
    <w:pPr>
      <w:spacing w:before="60" w:after="60"/>
    </w:pPr>
    <w:rPr>
      <w:sz w:val="18"/>
      <w:szCs w:val="18"/>
      <w:lang w:val="en-GB"/>
    </w:rPr>
  </w:style>
  <w:style w:type="paragraph" w:customStyle="1" w:styleId="H6">
    <w:name w:val="H6"/>
    <w:basedOn w:val="Heading6"/>
    <w:rsid w:val="00FF56D2"/>
    <w:pPr>
      <w:keepNext/>
      <w:tabs>
        <w:tab w:val="left" w:pos="454"/>
      </w:tabs>
      <w:spacing w:before="0"/>
    </w:pPr>
    <w:rPr>
      <w:i/>
      <w:iCs/>
      <w:sz w:val="20"/>
      <w:szCs w:val="20"/>
    </w:rPr>
  </w:style>
  <w:style w:type="paragraph" w:customStyle="1" w:styleId="BlackLetterSubBullet">
    <w:name w:val="Black Letter Sub Bullet"/>
    <w:basedOn w:val="Heading2"/>
    <w:rsid w:val="00FF56D2"/>
    <w:pPr>
      <w:numPr>
        <w:ilvl w:val="1"/>
      </w:numPr>
      <w:tabs>
        <w:tab w:val="left" w:pos="3570"/>
      </w:tabs>
      <w:spacing w:before="120" w:after="120"/>
      <w:ind w:left="2160" w:hanging="720"/>
      <w:jc w:val="both"/>
    </w:pPr>
    <w:rPr>
      <w:rFonts w:ascii="Times New Roman" w:hAnsi="Times New Roman" w:cs="Times New Roman"/>
      <w:i w:val="0"/>
      <w:iCs w:val="0"/>
      <w:kern w:val="28"/>
      <w:sz w:val="22"/>
      <w:szCs w:val="22"/>
      <w:lang w:val="en-GB"/>
    </w:rPr>
  </w:style>
  <w:style w:type="paragraph" w:styleId="Header">
    <w:name w:val="header"/>
    <w:basedOn w:val="Normal"/>
    <w:rsid w:val="00FF56D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F56D2"/>
    <w:pPr>
      <w:spacing w:before="120" w:after="120"/>
      <w:jc w:val="center"/>
    </w:pPr>
    <w:rPr>
      <w:i/>
      <w:iCs/>
      <w:sz w:val="22"/>
    </w:rPr>
  </w:style>
  <w:style w:type="paragraph" w:styleId="BodyText3">
    <w:name w:val="Body Text 3"/>
    <w:basedOn w:val="Normal"/>
    <w:rsid w:val="00FF56D2"/>
    <w:pPr>
      <w:spacing w:before="120" w:after="120"/>
    </w:pPr>
    <w:rPr>
      <w:sz w:val="22"/>
    </w:rPr>
  </w:style>
  <w:style w:type="paragraph" w:customStyle="1" w:styleId="H3">
    <w:name w:val="H3"/>
    <w:basedOn w:val="Normal"/>
    <w:next w:val="Normal"/>
    <w:rsid w:val="00FF56D2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BodyTextIndent2">
    <w:name w:val="Body Text Indent 2"/>
    <w:basedOn w:val="Normal"/>
    <w:rsid w:val="00FF56D2"/>
    <w:pPr>
      <w:ind w:left="720" w:hanging="720"/>
      <w:jc w:val="both"/>
    </w:pPr>
    <w:rPr>
      <w:b/>
      <w:bCs/>
    </w:rPr>
  </w:style>
  <w:style w:type="paragraph" w:customStyle="1" w:styleId="TextboxDot">
    <w:name w:val="Text box Dot"/>
    <w:basedOn w:val="Textbox"/>
    <w:rsid w:val="00FF56D2"/>
    <w:pPr>
      <w:tabs>
        <w:tab w:val="num" w:pos="814"/>
      </w:tabs>
      <w:ind w:left="737" w:hanging="283"/>
    </w:pPr>
  </w:style>
  <w:style w:type="paragraph" w:customStyle="1" w:styleId="Textbox">
    <w:name w:val="Text box"/>
    <w:basedOn w:val="Normal"/>
    <w:rsid w:val="00FF56D2"/>
    <w:pPr>
      <w:spacing w:before="60"/>
      <w:jc w:val="center"/>
    </w:pPr>
    <w:rPr>
      <w:sz w:val="20"/>
      <w:szCs w:val="20"/>
      <w:lang w:val="en-GB"/>
    </w:rPr>
  </w:style>
  <w:style w:type="paragraph" w:customStyle="1" w:styleId="Style2">
    <w:name w:val="Style2"/>
    <w:basedOn w:val="Normal"/>
    <w:rsid w:val="00FF56D2"/>
    <w:pPr>
      <w:tabs>
        <w:tab w:val="num" w:pos="1701"/>
      </w:tabs>
      <w:spacing w:before="240"/>
      <w:ind w:left="1701" w:hanging="283"/>
    </w:pPr>
    <w:rPr>
      <w:b/>
      <w:bCs/>
      <w:sz w:val="22"/>
      <w:szCs w:val="22"/>
      <w:lang w:val="en-GB"/>
    </w:rPr>
  </w:style>
  <w:style w:type="paragraph" w:customStyle="1" w:styleId="Group">
    <w:name w:val="Group"/>
    <w:basedOn w:val="Normal"/>
    <w:rsid w:val="00FF56D2"/>
    <w:pPr>
      <w:keepNext/>
      <w:tabs>
        <w:tab w:val="num" w:pos="720"/>
      </w:tabs>
      <w:ind w:left="567" w:hanging="567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BRM2">
    <w:name w:val="ABRM 2"/>
    <w:basedOn w:val="Normal"/>
    <w:rsid w:val="00FF56D2"/>
    <w:pPr>
      <w:tabs>
        <w:tab w:val="num" w:pos="720"/>
        <w:tab w:val="left" w:pos="851"/>
      </w:tabs>
      <w:spacing w:before="120" w:after="120"/>
      <w:ind w:left="851" w:hanging="851"/>
    </w:pPr>
    <w:rPr>
      <w:b/>
      <w:bCs/>
      <w:lang w:val="en-GB"/>
    </w:rPr>
  </w:style>
  <w:style w:type="paragraph" w:customStyle="1" w:styleId="Year1">
    <w:name w:val="Year1"/>
    <w:basedOn w:val="Year"/>
    <w:rsid w:val="00FF56D2"/>
    <w:pPr>
      <w:spacing w:before="60" w:after="60"/>
    </w:pPr>
    <w:rPr>
      <w:sz w:val="20"/>
      <w:szCs w:val="20"/>
    </w:rPr>
  </w:style>
  <w:style w:type="paragraph" w:customStyle="1" w:styleId="Tot">
    <w:name w:val="Tot"/>
    <w:basedOn w:val="Total"/>
    <w:rsid w:val="00FF56D2"/>
    <w:pPr>
      <w:tabs>
        <w:tab w:val="clear" w:pos="454"/>
        <w:tab w:val="clear" w:pos="907"/>
        <w:tab w:val="clear" w:pos="1361"/>
        <w:tab w:val="clear" w:pos="1814"/>
        <w:tab w:val="clear" w:pos="2268"/>
        <w:tab w:val="right" w:pos="6521"/>
        <w:tab w:val="right" w:pos="7938"/>
      </w:tabs>
    </w:pPr>
  </w:style>
  <w:style w:type="paragraph" w:customStyle="1" w:styleId="Total">
    <w:name w:val="Total"/>
    <w:basedOn w:val="Normal"/>
    <w:rsid w:val="00FF56D2"/>
    <w:pPr>
      <w:keepNext/>
      <w:keepLines/>
      <w:tabs>
        <w:tab w:val="left" w:pos="454"/>
        <w:tab w:val="left" w:pos="907"/>
        <w:tab w:val="left" w:pos="1361"/>
        <w:tab w:val="left" w:pos="1814"/>
        <w:tab w:val="left" w:pos="2268"/>
        <w:tab w:val="right" w:leader="dot" w:pos="7938"/>
      </w:tabs>
      <w:spacing w:before="60"/>
      <w:jc w:val="both"/>
    </w:pPr>
    <w:rPr>
      <w:b/>
      <w:bCs/>
      <w:sz w:val="18"/>
      <w:szCs w:val="18"/>
      <w:lang w:val="en-GB"/>
    </w:rPr>
  </w:style>
  <w:style w:type="paragraph" w:customStyle="1" w:styleId="GreyLetterText">
    <w:name w:val="Grey Letter Text"/>
    <w:basedOn w:val="Heading4"/>
    <w:rsid w:val="00FF56D2"/>
    <w:pPr>
      <w:keepNext w:val="0"/>
      <w:keepLines/>
      <w:numPr>
        <w:ilvl w:val="2"/>
      </w:numPr>
      <w:spacing w:before="120" w:after="0"/>
      <w:ind w:left="720" w:hanging="720"/>
      <w:jc w:val="both"/>
    </w:pPr>
    <w:rPr>
      <w:b w:val="0"/>
      <w:bCs w:val="0"/>
      <w:sz w:val="22"/>
      <w:szCs w:val="22"/>
    </w:rPr>
  </w:style>
  <w:style w:type="paragraph" w:customStyle="1" w:styleId="H5">
    <w:name w:val="H5"/>
    <w:basedOn w:val="Normal"/>
    <w:next w:val="Normal"/>
    <w:rsid w:val="00FF56D2"/>
    <w:pPr>
      <w:keepNext/>
      <w:spacing w:before="100" w:after="100"/>
      <w:outlineLvl w:val="5"/>
    </w:pPr>
    <w:rPr>
      <w:b/>
      <w:bCs/>
      <w:sz w:val="20"/>
      <w:szCs w:val="20"/>
    </w:rPr>
  </w:style>
  <w:style w:type="paragraph" w:customStyle="1" w:styleId="Classy">
    <w:name w:val="Classy"/>
    <w:basedOn w:val="Class"/>
    <w:rsid w:val="00FF56D2"/>
    <w:pPr>
      <w:spacing w:before="0"/>
      <w:jc w:val="left"/>
    </w:pPr>
  </w:style>
  <w:style w:type="paragraph" w:customStyle="1" w:styleId="Class">
    <w:name w:val="Class"/>
    <w:basedOn w:val="Normal"/>
    <w:rsid w:val="00FF56D2"/>
    <w:pPr>
      <w:keepLines/>
      <w:tabs>
        <w:tab w:val="left" w:pos="454"/>
        <w:tab w:val="left" w:pos="907"/>
        <w:tab w:val="left" w:pos="1361"/>
        <w:tab w:val="left" w:pos="1814"/>
        <w:tab w:val="left" w:pos="2268"/>
        <w:tab w:val="right" w:leader="dot" w:pos="7938"/>
      </w:tabs>
      <w:spacing w:before="240"/>
      <w:ind w:left="454"/>
      <w:jc w:val="both"/>
    </w:pPr>
    <w:rPr>
      <w:sz w:val="18"/>
      <w:szCs w:val="18"/>
      <w:lang w:val="en-GB"/>
    </w:rPr>
  </w:style>
  <w:style w:type="paragraph" w:customStyle="1" w:styleId="BlackLetterSubheadings">
    <w:name w:val="Black Letter Subheadings"/>
    <w:basedOn w:val="BlackLetterText"/>
    <w:rsid w:val="00FF56D2"/>
    <w:rPr>
      <w:i/>
      <w:iCs/>
    </w:rPr>
  </w:style>
  <w:style w:type="paragraph" w:customStyle="1" w:styleId="GreyLetterBP">
    <w:name w:val="Grey Letter BP"/>
    <w:basedOn w:val="Normal"/>
    <w:rsid w:val="00FF56D2"/>
    <w:pPr>
      <w:tabs>
        <w:tab w:val="left" w:pos="1442"/>
      </w:tabs>
      <w:spacing w:before="120"/>
      <w:ind w:left="1440" w:hanging="712"/>
      <w:jc w:val="both"/>
    </w:pPr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FF56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F56D2"/>
  </w:style>
  <w:style w:type="paragraph" w:styleId="BodyTextIndent">
    <w:name w:val="Body Text Indent"/>
    <w:basedOn w:val="Normal"/>
    <w:rsid w:val="00FF56D2"/>
    <w:pPr>
      <w:ind w:left="720" w:hanging="720"/>
    </w:pPr>
    <w:rPr>
      <w:sz w:val="22"/>
    </w:rPr>
  </w:style>
  <w:style w:type="paragraph" w:customStyle="1" w:styleId="Item">
    <w:name w:val="Item"/>
    <w:basedOn w:val="Class"/>
    <w:rsid w:val="00FF56D2"/>
    <w:pPr>
      <w:spacing w:before="60"/>
      <w:jc w:val="left"/>
    </w:pPr>
    <w:rPr>
      <w:b/>
      <w:bCs/>
    </w:rPr>
  </w:style>
  <w:style w:type="paragraph" w:customStyle="1" w:styleId="Class2">
    <w:name w:val="Class 2"/>
    <w:basedOn w:val="Class"/>
    <w:rsid w:val="00FF56D2"/>
    <w:pPr>
      <w:spacing w:before="0"/>
      <w:ind w:left="907"/>
      <w:jc w:val="left"/>
    </w:pPr>
  </w:style>
  <w:style w:type="paragraph" w:customStyle="1" w:styleId="ABRMHEAD1">
    <w:name w:val="ABRM HEAD1"/>
    <w:basedOn w:val="Heading1"/>
    <w:rsid w:val="00FF56D2"/>
    <w:pPr>
      <w:tabs>
        <w:tab w:val="num" w:pos="720"/>
      </w:tabs>
      <w:spacing w:after="240"/>
      <w:ind w:left="720" w:hanging="720"/>
    </w:pPr>
    <w:rPr>
      <w:b w:val="0"/>
      <w:bCs w:val="0"/>
      <w:sz w:val="28"/>
      <w:szCs w:val="28"/>
    </w:rPr>
  </w:style>
  <w:style w:type="paragraph" w:customStyle="1" w:styleId="ABRMHEAD2">
    <w:name w:val="ABRM HEAD2"/>
    <w:basedOn w:val="Normal"/>
    <w:rsid w:val="00FF56D2"/>
    <w:pPr>
      <w:tabs>
        <w:tab w:val="num" w:pos="360"/>
      </w:tabs>
      <w:spacing w:before="120" w:after="240"/>
    </w:pPr>
    <w:rPr>
      <w:b/>
      <w:bCs/>
    </w:rPr>
  </w:style>
  <w:style w:type="paragraph" w:customStyle="1" w:styleId="ABRMHEAD3">
    <w:name w:val="ABRM HEAD 3"/>
    <w:basedOn w:val="Normal"/>
    <w:rsid w:val="00FF56D2"/>
    <w:pPr>
      <w:tabs>
        <w:tab w:val="num" w:pos="720"/>
      </w:tabs>
      <w:spacing w:before="120" w:after="240"/>
      <w:ind w:left="720" w:hanging="720"/>
    </w:pPr>
  </w:style>
  <w:style w:type="paragraph" w:customStyle="1" w:styleId="Heading">
    <w:name w:val="Heading"/>
    <w:basedOn w:val="Normal"/>
    <w:autoRedefine/>
    <w:rsid w:val="00FF56D2"/>
    <w:pPr>
      <w:spacing w:before="120"/>
      <w:ind w:right="45"/>
    </w:pPr>
    <w:rPr>
      <w:b/>
      <w:bCs/>
      <w:caps/>
      <w:sz w:val="28"/>
      <w:szCs w:val="22"/>
    </w:rPr>
  </w:style>
  <w:style w:type="paragraph" w:customStyle="1" w:styleId="ChapterTitles">
    <w:name w:val="Chapter Titles"/>
    <w:basedOn w:val="Heading1"/>
    <w:rsid w:val="00FF56D2"/>
    <w:pPr>
      <w:spacing w:before="200" w:after="40"/>
      <w:ind w:left="2200" w:hanging="600"/>
    </w:pPr>
    <w:rPr>
      <w:kern w:val="28"/>
      <w:sz w:val="28"/>
      <w:szCs w:val="28"/>
      <w:lang w:val="en-GB"/>
    </w:rPr>
  </w:style>
  <w:style w:type="paragraph" w:customStyle="1" w:styleId="CHead1">
    <w:name w:val="C Head 1"/>
    <w:basedOn w:val="Normal"/>
    <w:rsid w:val="00FF56D2"/>
    <w:rPr>
      <w:b/>
      <w:bCs/>
      <w:sz w:val="22"/>
    </w:rPr>
  </w:style>
  <w:style w:type="paragraph" w:customStyle="1" w:styleId="H1">
    <w:name w:val="H1"/>
    <w:basedOn w:val="Normal"/>
    <w:next w:val="Normal"/>
    <w:rsid w:val="00FF56D2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rsid w:val="00FF56D2"/>
    <w:pPr>
      <w:keepNext/>
      <w:spacing w:before="100" w:after="100"/>
      <w:outlineLvl w:val="2"/>
    </w:pPr>
    <w:rPr>
      <w:b/>
      <w:bCs/>
      <w:sz w:val="36"/>
      <w:szCs w:val="36"/>
    </w:rPr>
  </w:style>
  <w:style w:type="paragraph" w:customStyle="1" w:styleId="Ross1">
    <w:name w:val="Ross1"/>
    <w:basedOn w:val="Heading3"/>
    <w:rsid w:val="00FF56D2"/>
    <w:pPr>
      <w:keepNext w:val="0"/>
      <w:keepLines/>
      <w:spacing w:before="200" w:after="0"/>
      <w:ind w:left="851"/>
    </w:pPr>
    <w:rPr>
      <w:b/>
      <w:bCs/>
      <w:sz w:val="22"/>
      <w:szCs w:val="22"/>
    </w:rPr>
  </w:style>
  <w:style w:type="paragraph" w:customStyle="1" w:styleId="Heading20">
    <w:name w:val="Heading2"/>
    <w:basedOn w:val="Normal"/>
    <w:rsid w:val="00FF56D2"/>
    <w:pPr>
      <w:spacing w:before="240"/>
    </w:pPr>
    <w:rPr>
      <w:b/>
      <w:bCs/>
      <w:sz w:val="22"/>
      <w:szCs w:val="22"/>
      <w:lang w:val="en-GB"/>
    </w:rPr>
  </w:style>
  <w:style w:type="paragraph" w:customStyle="1" w:styleId="Class3">
    <w:name w:val="Class 3"/>
    <w:basedOn w:val="Class2"/>
    <w:rsid w:val="00FF56D2"/>
    <w:pPr>
      <w:ind w:left="1361"/>
    </w:pPr>
  </w:style>
  <w:style w:type="paragraph" w:customStyle="1" w:styleId="Heading1A">
    <w:name w:val="Heading 1A"/>
    <w:basedOn w:val="Heading1"/>
    <w:rsid w:val="00FF56D2"/>
    <w:pPr>
      <w:spacing w:after="40"/>
      <w:ind w:left="567"/>
    </w:pPr>
    <w:rPr>
      <w:kern w:val="28"/>
      <w:sz w:val="26"/>
      <w:szCs w:val="26"/>
      <w:lang w:val="en-GB"/>
    </w:rPr>
  </w:style>
  <w:style w:type="paragraph" w:customStyle="1" w:styleId="H7">
    <w:name w:val="H7"/>
    <w:basedOn w:val="H6"/>
    <w:rsid w:val="00FF56D2"/>
    <w:pPr>
      <w:keepNext w:val="0"/>
      <w:keepLines/>
      <w:spacing w:before="300" w:after="40"/>
      <w:outlineLvl w:val="0"/>
    </w:pPr>
  </w:style>
  <w:style w:type="paragraph" w:customStyle="1" w:styleId="H4">
    <w:name w:val="H4"/>
    <w:basedOn w:val="H3"/>
    <w:rsid w:val="00FF56D2"/>
    <w:rPr>
      <w:sz w:val="20"/>
      <w:szCs w:val="20"/>
    </w:rPr>
  </w:style>
  <w:style w:type="paragraph" w:customStyle="1" w:styleId="ForwardBullet">
    <w:name w:val="ForwardBullet"/>
    <w:basedOn w:val="Normal"/>
    <w:rsid w:val="00FF56D2"/>
    <w:pPr>
      <w:tabs>
        <w:tab w:val="num" w:pos="720"/>
        <w:tab w:val="num" w:pos="1134"/>
      </w:tabs>
      <w:spacing w:before="120"/>
      <w:ind w:left="1134" w:hanging="567"/>
    </w:pPr>
    <w:rPr>
      <w:sz w:val="22"/>
      <w:szCs w:val="20"/>
      <w:lang w:val="en-GB"/>
    </w:rPr>
  </w:style>
  <w:style w:type="character" w:customStyle="1" w:styleId="EmailStyle71">
    <w:name w:val="EmailStyle711"/>
    <w:aliases w:val="EmailStyle711"/>
    <w:basedOn w:val="DefaultParagraphFont"/>
    <w:personal/>
    <w:personalCompose/>
    <w:rsid w:val="00FF56D2"/>
    <w:rPr>
      <w:rFonts w:ascii="Arial" w:hAnsi="Arial" w:cs="Arial"/>
      <w:color w:val="000000"/>
      <w:sz w:val="20"/>
      <w:szCs w:val="20"/>
    </w:rPr>
  </w:style>
  <w:style w:type="paragraph" w:customStyle="1" w:styleId="FMO">
    <w:name w:val="FMO"/>
    <w:basedOn w:val="Normal"/>
    <w:rsid w:val="00FF56D2"/>
    <w:pPr>
      <w:ind w:left="700" w:hanging="700"/>
    </w:pPr>
    <w:rPr>
      <w:sz w:val="22"/>
      <w:szCs w:val="22"/>
    </w:rPr>
  </w:style>
  <w:style w:type="paragraph" w:customStyle="1" w:styleId="DefnSubpoint1">
    <w:name w:val="Defn Subpoint1"/>
    <w:basedOn w:val="Normal"/>
    <w:rsid w:val="00FF56D2"/>
    <w:pPr>
      <w:spacing w:after="200" w:line="200" w:lineRule="exact"/>
      <w:ind w:left="1587" w:hanging="510"/>
    </w:pPr>
    <w:rPr>
      <w:b/>
      <w:sz w:val="20"/>
      <w:szCs w:val="20"/>
    </w:rPr>
  </w:style>
  <w:style w:type="paragraph" w:customStyle="1" w:styleId="DefnSubpoint2">
    <w:name w:val="Defn Subpoint2"/>
    <w:basedOn w:val="DefnSubpoint1"/>
    <w:rsid w:val="00FF56D2"/>
    <w:pPr>
      <w:ind w:left="2098"/>
    </w:pPr>
  </w:style>
  <w:style w:type="paragraph" w:styleId="BodyTextIndent3">
    <w:name w:val="Body Text Indent 3"/>
    <w:basedOn w:val="Normal"/>
    <w:rsid w:val="00FF56D2"/>
    <w:pPr>
      <w:ind w:left="360"/>
    </w:pPr>
    <w:rPr>
      <w:b/>
      <w:bCs/>
    </w:rPr>
  </w:style>
  <w:style w:type="paragraph" w:styleId="BalloonText">
    <w:name w:val="Balloon Text"/>
    <w:basedOn w:val="Normal"/>
    <w:semiHidden/>
    <w:rsid w:val="00C97D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1179F"/>
    <w:rPr>
      <w:color w:val="0000FF"/>
      <w:u w:val="single"/>
    </w:rPr>
  </w:style>
  <w:style w:type="paragraph" w:styleId="NormalWeb">
    <w:name w:val="Normal (Web)"/>
    <w:basedOn w:val="Normal"/>
    <w:rsid w:val="00C95FFD"/>
    <w:pPr>
      <w:spacing w:before="100" w:beforeAutospacing="1" w:after="100" w:afterAutospacing="1"/>
    </w:pPr>
    <w:rPr>
      <w:lang w:eastAsia="en-AU"/>
    </w:rPr>
  </w:style>
  <w:style w:type="paragraph" w:styleId="DocumentMap">
    <w:name w:val="Document Map"/>
    <w:basedOn w:val="Normal"/>
    <w:semiHidden/>
    <w:rsid w:val="005E59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">
    <w:name w:val="Char Char Char Char Char"/>
    <w:basedOn w:val="Normal"/>
    <w:rsid w:val="00E23480"/>
    <w:rPr>
      <w:rFonts w:ascii="Arial" w:hAnsi="Arial" w:cs="Arial"/>
      <w:sz w:val="22"/>
      <w:szCs w:val="22"/>
    </w:rPr>
  </w:style>
  <w:style w:type="character" w:customStyle="1" w:styleId="HelpText">
    <w:name w:val="Help Text"/>
    <w:basedOn w:val="DefaultParagraphFont"/>
    <w:rsid w:val="00885099"/>
    <w:rPr>
      <w:color w:val="808080"/>
    </w:rPr>
  </w:style>
  <w:style w:type="paragraph" w:customStyle="1" w:styleId="Bullet">
    <w:name w:val="Bullet"/>
    <w:basedOn w:val="Normal"/>
    <w:rsid w:val="00885099"/>
    <w:pPr>
      <w:numPr>
        <w:numId w:val="3"/>
      </w:numPr>
      <w:spacing w:after="240" w:line="240" w:lineRule="atLeast"/>
    </w:pPr>
  </w:style>
  <w:style w:type="paragraph" w:customStyle="1" w:styleId="Bulletsinglespaced">
    <w:name w:val="Bullet (single spaced)"/>
    <w:basedOn w:val="Bullet"/>
    <w:rsid w:val="00885099"/>
    <w:pPr>
      <w:spacing w:after="0"/>
    </w:pPr>
  </w:style>
  <w:style w:type="character" w:styleId="CommentReference">
    <w:name w:val="annotation reference"/>
    <w:basedOn w:val="DefaultParagraphFont"/>
    <w:rsid w:val="00F45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5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8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5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58E0"/>
    <w:rPr>
      <w:b/>
      <w:bCs/>
    </w:rPr>
  </w:style>
  <w:style w:type="paragraph" w:customStyle="1" w:styleId="Paragraph">
    <w:name w:val="Paragraph"/>
    <w:basedOn w:val="Normal"/>
    <w:rsid w:val="0072275C"/>
    <w:pPr>
      <w:numPr>
        <w:ilvl w:val="12"/>
      </w:numPr>
      <w:spacing w:before="240"/>
    </w:pPr>
    <w:rPr>
      <w:szCs w:val="20"/>
      <w:lang w:eastAsia="en-AU"/>
    </w:rPr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753CD8"/>
    <w:pPr>
      <w:ind w:left="720"/>
      <w:contextualSpacing/>
    </w:pPr>
  </w:style>
  <w:style w:type="paragraph" w:customStyle="1" w:styleId="StyleNew">
    <w:name w:val="Style_New"/>
    <w:basedOn w:val="Normal"/>
    <w:qFormat/>
    <w:rsid w:val="00377E45"/>
    <w:pPr>
      <w:numPr>
        <w:numId w:val="4"/>
      </w:numPr>
    </w:pPr>
    <w:rPr>
      <w:color w:val="76923C" w:themeColor="accent3" w:themeShade="BF"/>
      <w:sz w:val="22"/>
      <w:szCs w:val="22"/>
    </w:rPr>
  </w:style>
  <w:style w:type="paragraph" w:customStyle="1" w:styleId="NumberedParagraph">
    <w:name w:val="Numbered Paragraph"/>
    <w:basedOn w:val="Normal"/>
    <w:rsid w:val="00DA47EA"/>
    <w:pPr>
      <w:numPr>
        <w:numId w:val="5"/>
      </w:numPr>
      <w:spacing w:after="240" w:line="240" w:lineRule="atLeast"/>
    </w:pPr>
  </w:style>
  <w:style w:type="paragraph" w:customStyle="1" w:styleId="NumberList">
    <w:name w:val="Number List"/>
    <w:basedOn w:val="Normal"/>
    <w:rsid w:val="00407B73"/>
    <w:pPr>
      <w:numPr>
        <w:numId w:val="8"/>
      </w:numPr>
      <w:tabs>
        <w:tab w:val="left" w:pos="1985"/>
      </w:tabs>
      <w:spacing w:before="240" w:line="240" w:lineRule="atLeast"/>
    </w:pPr>
  </w:style>
  <w:style w:type="paragraph" w:customStyle="1" w:styleId="NumberListSub">
    <w:name w:val="Number List Sub"/>
    <w:basedOn w:val="NumberList"/>
    <w:rsid w:val="00407B73"/>
    <w:pPr>
      <w:numPr>
        <w:ilvl w:val="1"/>
      </w:numPr>
      <w:tabs>
        <w:tab w:val="left" w:pos="25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30D"/>
    <w:rPr>
      <w:sz w:val="24"/>
      <w:szCs w:val="24"/>
      <w:lang w:eastAsia="en-US"/>
    </w:r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rsid w:val="00E4493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DB3A-A3DD-4EEE-ABB6-6E380E3E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Manager>Leslie Macdonald</Manager>
  <Company>Finance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Tony Rose</dc:creator>
  <cp:lastModifiedBy>Louise Tzotzis</cp:lastModifiedBy>
  <cp:revision>2</cp:revision>
  <cp:lastPrinted>2013-02-24T22:49:00Z</cp:lastPrinted>
  <dcterms:created xsi:type="dcterms:W3CDTF">2016-04-22T01:35:00Z</dcterms:created>
  <dcterms:modified xsi:type="dcterms:W3CDTF">2016-04-22T01:35:00Z</dcterms:modified>
</cp:coreProperties>
</file>