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0E640" w14:textId="77777777" w:rsidR="004C3006" w:rsidRDefault="00501C53" w:rsidP="0077556E">
      <w:pPr>
        <w:tabs>
          <w:tab w:val="left" w:pos="900"/>
        </w:tabs>
      </w:pPr>
      <w:bookmarkStart w:id="0" w:name="_GoBack"/>
      <w:bookmarkEnd w:id="0"/>
    </w:p>
    <w:p w14:paraId="7E90E641" w14:textId="77777777" w:rsidR="00301539" w:rsidRDefault="00501C53" w:rsidP="0077556E">
      <w:pPr>
        <w:tabs>
          <w:tab w:val="left" w:pos="900"/>
        </w:tabs>
      </w:pPr>
    </w:p>
    <w:p w14:paraId="7E90E642" w14:textId="77777777" w:rsidR="00301539" w:rsidRPr="00301539" w:rsidRDefault="00501C53" w:rsidP="00F46E9F">
      <w:pPr>
        <w:tabs>
          <w:tab w:val="left" w:pos="900"/>
        </w:tabs>
        <w:jc w:val="center"/>
      </w:pPr>
      <w:r w:rsidRPr="00301539">
        <w:rPr>
          <w:b/>
          <w:sz w:val="40"/>
        </w:rPr>
        <w:t>Vehicle Standard (Australian Design Rule </w:t>
      </w:r>
      <w:r>
        <w:rPr>
          <w:b/>
          <w:sz w:val="40"/>
        </w:rPr>
        <w:t>43/04</w:t>
      </w:r>
      <w:r w:rsidRPr="00301539">
        <w:rPr>
          <w:b/>
          <w:sz w:val="40"/>
        </w:rPr>
        <w:t xml:space="preserve"> – </w:t>
      </w:r>
      <w:r w:rsidRPr="00F46E9F">
        <w:rPr>
          <w:b/>
          <w:sz w:val="40"/>
        </w:rPr>
        <w:t>Vehicle Configuration and Dimensions) 2006 Amendment 3</w:t>
      </w:r>
    </w:p>
    <w:p w14:paraId="7E90E643" w14:textId="77777777" w:rsidR="00301539" w:rsidRDefault="00501C53" w:rsidP="0077556E">
      <w:pPr>
        <w:tabs>
          <w:tab w:val="left" w:pos="900"/>
        </w:tabs>
      </w:pPr>
    </w:p>
    <w:p w14:paraId="7E90E644" w14:textId="77777777" w:rsidR="00301539" w:rsidRDefault="00501C53" w:rsidP="00301539">
      <w:pPr>
        <w:tabs>
          <w:tab w:val="left" w:pos="900"/>
        </w:tabs>
        <w:jc w:val="center"/>
      </w:pPr>
      <w:r>
        <w:t xml:space="preserve">Made under section 7 of the </w:t>
      </w:r>
      <w:r w:rsidRPr="00BC675B">
        <w:rPr>
          <w:i/>
        </w:rPr>
        <w:t>Motor Vehicle Standards Act 1989</w:t>
      </w:r>
    </w:p>
    <w:p w14:paraId="7E90E645" w14:textId="77777777" w:rsidR="00301539" w:rsidRDefault="00501C53" w:rsidP="0077556E">
      <w:pPr>
        <w:tabs>
          <w:tab w:val="left" w:pos="900"/>
        </w:tabs>
      </w:pPr>
    </w:p>
    <w:p w14:paraId="7E90E646" w14:textId="77777777" w:rsidR="00301539" w:rsidRDefault="00501C53" w:rsidP="0077556E">
      <w:pPr>
        <w:tabs>
          <w:tab w:val="left" w:pos="900"/>
        </w:tabs>
      </w:pPr>
    </w:p>
    <w:p w14:paraId="7E90E647" w14:textId="77777777" w:rsidR="00301539" w:rsidRDefault="00501C53" w:rsidP="0077556E">
      <w:pPr>
        <w:tabs>
          <w:tab w:val="left" w:pos="900"/>
        </w:tabs>
      </w:pPr>
    </w:p>
    <w:p w14:paraId="7E90E648" w14:textId="77777777" w:rsidR="00301539" w:rsidRDefault="00501C53" w:rsidP="0077556E">
      <w:pPr>
        <w:tabs>
          <w:tab w:val="left" w:pos="900"/>
        </w:tabs>
      </w:pPr>
    </w:p>
    <w:p w14:paraId="7E90E649" w14:textId="77777777" w:rsidR="00301539" w:rsidRDefault="00501C53" w:rsidP="0077556E">
      <w:pPr>
        <w:tabs>
          <w:tab w:val="left" w:pos="900"/>
        </w:tabs>
      </w:pPr>
    </w:p>
    <w:p w14:paraId="7E90E64A" w14:textId="77777777" w:rsidR="00301539" w:rsidRDefault="00501C53" w:rsidP="00301539">
      <w:pPr>
        <w:pStyle w:val="ADRTitle"/>
        <w:tabs>
          <w:tab w:val="left" w:pos="900"/>
        </w:tabs>
        <w:jc w:val="center"/>
      </w:pPr>
      <w:r>
        <w:t>Explanatory Statement</w:t>
      </w:r>
    </w:p>
    <w:p w14:paraId="7E90E64B" w14:textId="77777777" w:rsidR="00301539" w:rsidRDefault="00501C53" w:rsidP="0077556E">
      <w:pPr>
        <w:tabs>
          <w:tab w:val="left" w:pos="900"/>
        </w:tabs>
      </w:pPr>
    </w:p>
    <w:p w14:paraId="7E90E64C" w14:textId="77777777" w:rsidR="00301539" w:rsidRDefault="00501C53" w:rsidP="0077556E">
      <w:pPr>
        <w:tabs>
          <w:tab w:val="left" w:pos="900"/>
        </w:tabs>
      </w:pPr>
    </w:p>
    <w:p w14:paraId="7E90E64D" w14:textId="77777777" w:rsidR="00301539" w:rsidRDefault="00501C53" w:rsidP="0077556E">
      <w:pPr>
        <w:tabs>
          <w:tab w:val="left" w:pos="900"/>
        </w:tabs>
      </w:pPr>
    </w:p>
    <w:p w14:paraId="7E90E64E" w14:textId="77777777" w:rsidR="00301539" w:rsidRDefault="00501C53" w:rsidP="0077556E">
      <w:pPr>
        <w:tabs>
          <w:tab w:val="left" w:pos="900"/>
        </w:tabs>
      </w:pPr>
    </w:p>
    <w:p w14:paraId="7E90E64F" w14:textId="77777777" w:rsidR="00301539" w:rsidRDefault="00501C53" w:rsidP="0077556E">
      <w:pPr>
        <w:tabs>
          <w:tab w:val="left" w:pos="900"/>
        </w:tabs>
      </w:pPr>
    </w:p>
    <w:p w14:paraId="7E90E650" w14:textId="77777777" w:rsidR="00301539" w:rsidRDefault="00501C53" w:rsidP="0077556E">
      <w:pPr>
        <w:tabs>
          <w:tab w:val="left" w:pos="900"/>
        </w:tabs>
      </w:pPr>
    </w:p>
    <w:p w14:paraId="7E90E651" w14:textId="77777777" w:rsidR="00301539" w:rsidRDefault="00501C53" w:rsidP="0077556E">
      <w:pPr>
        <w:tabs>
          <w:tab w:val="left" w:pos="900"/>
        </w:tabs>
      </w:pPr>
    </w:p>
    <w:p w14:paraId="7E90E652" w14:textId="77777777" w:rsidR="00301539" w:rsidRDefault="00501C53" w:rsidP="00301539">
      <w:pPr>
        <w:tabs>
          <w:tab w:val="left" w:pos="900"/>
        </w:tabs>
        <w:jc w:val="center"/>
      </w:pPr>
      <w:r>
        <w:t xml:space="preserve">Issued by the authority of the Minister for </w:t>
      </w:r>
      <w:r>
        <w:t>Territories, Local Government and Major Projects</w:t>
      </w:r>
    </w:p>
    <w:p w14:paraId="7E90E653" w14:textId="77777777" w:rsidR="00301539" w:rsidRDefault="00501C53" w:rsidP="0077556E">
      <w:pPr>
        <w:tabs>
          <w:tab w:val="left" w:pos="900"/>
        </w:tabs>
      </w:pPr>
    </w:p>
    <w:p w14:paraId="7E90E654" w14:textId="77777777" w:rsidR="00301539" w:rsidRDefault="00501C53" w:rsidP="0077556E">
      <w:pPr>
        <w:tabs>
          <w:tab w:val="left" w:pos="900"/>
        </w:tabs>
      </w:pPr>
    </w:p>
    <w:p w14:paraId="7E90E655" w14:textId="77777777" w:rsidR="00301539" w:rsidRDefault="00501C53" w:rsidP="0077556E">
      <w:pPr>
        <w:tabs>
          <w:tab w:val="left" w:pos="900"/>
        </w:tabs>
      </w:pPr>
    </w:p>
    <w:p w14:paraId="7E90E656" w14:textId="77777777" w:rsidR="00301539" w:rsidRDefault="00501C53" w:rsidP="0077556E">
      <w:pPr>
        <w:tabs>
          <w:tab w:val="left" w:pos="900"/>
        </w:tabs>
      </w:pPr>
    </w:p>
    <w:p w14:paraId="7E90E657" w14:textId="77777777" w:rsidR="00301539" w:rsidRDefault="00501C53" w:rsidP="0077556E">
      <w:pPr>
        <w:tabs>
          <w:tab w:val="left" w:pos="900"/>
        </w:tabs>
      </w:pPr>
    </w:p>
    <w:p w14:paraId="7E90E658" w14:textId="77777777" w:rsidR="00301539" w:rsidRDefault="00501C53" w:rsidP="0077556E">
      <w:pPr>
        <w:tabs>
          <w:tab w:val="left" w:pos="900"/>
        </w:tabs>
      </w:pPr>
    </w:p>
    <w:p w14:paraId="7E90E659" w14:textId="77777777" w:rsidR="00301539" w:rsidRPr="00301539" w:rsidRDefault="00501C53" w:rsidP="00301539">
      <w:pPr>
        <w:pStyle w:val="ADRTitle"/>
        <w:tabs>
          <w:tab w:val="left" w:pos="900"/>
        </w:tabs>
        <w:jc w:val="center"/>
      </w:pPr>
      <w:r>
        <w:t>April 2016</w:t>
      </w:r>
    </w:p>
    <w:p w14:paraId="7E90E65A" w14:textId="77777777" w:rsidR="006B6EA7" w:rsidRDefault="00501C53" w:rsidP="0077556E">
      <w:pPr>
        <w:tabs>
          <w:tab w:val="left" w:pos="900"/>
        </w:tabs>
      </w:pPr>
    </w:p>
    <w:p w14:paraId="7E90E65B" w14:textId="77777777" w:rsidR="006B6EA7" w:rsidRDefault="00501C53" w:rsidP="0077556E">
      <w:pPr>
        <w:tabs>
          <w:tab w:val="left" w:pos="900"/>
        </w:tabs>
      </w:pPr>
    </w:p>
    <w:p w14:paraId="7E90E65C" w14:textId="77777777" w:rsidR="0014782B" w:rsidRDefault="00501C53" w:rsidP="0077556E">
      <w:pPr>
        <w:tabs>
          <w:tab w:val="left" w:pos="900"/>
        </w:tabs>
        <w:sectPr w:rsidR="0014782B" w:rsidSect="00FB7720">
          <w:headerReference w:type="default" r:id="rId11"/>
          <w:footerReference w:type="default" r:id="rId12"/>
          <w:pgSz w:w="11906" w:h="16838"/>
          <w:pgMar w:top="1440" w:right="1701" w:bottom="1440" w:left="1701" w:header="709" w:footer="709" w:gutter="0"/>
          <w:cols w:space="708"/>
          <w:titlePg/>
          <w:docGrid w:linePitch="360"/>
        </w:sectPr>
      </w:pPr>
    </w:p>
    <w:p w14:paraId="7E90E65D" w14:textId="77777777" w:rsidR="00271DB8" w:rsidRDefault="00501C53" w:rsidP="00EF5654">
      <w:pPr>
        <w:tabs>
          <w:tab w:val="left" w:pos="900"/>
        </w:tabs>
        <w:jc w:val="center"/>
        <w:rPr>
          <w:b/>
        </w:rPr>
      </w:pPr>
    </w:p>
    <w:p w14:paraId="7E90E65E" w14:textId="77777777" w:rsidR="001028EA" w:rsidRDefault="00501C53" w:rsidP="00EF5654">
      <w:pPr>
        <w:tabs>
          <w:tab w:val="left" w:pos="900"/>
        </w:tabs>
        <w:jc w:val="center"/>
        <w:rPr>
          <w:b/>
        </w:rPr>
      </w:pPr>
      <w:r w:rsidRPr="00550132">
        <w:rPr>
          <w:b/>
        </w:rPr>
        <w:t>CONTENTS</w:t>
      </w:r>
    </w:p>
    <w:p w14:paraId="7E90E65F" w14:textId="77777777" w:rsidR="002058AB" w:rsidRPr="00550132" w:rsidRDefault="00501C53" w:rsidP="0077556E">
      <w:pPr>
        <w:tabs>
          <w:tab w:val="left" w:pos="900"/>
        </w:tabs>
        <w:rPr>
          <w:b/>
        </w:rPr>
      </w:pPr>
    </w:p>
    <w:p w14:paraId="7E90E660" w14:textId="77777777" w:rsidR="00C149E2" w:rsidRDefault="00501C53">
      <w:pPr>
        <w:pStyle w:val="TOC1"/>
        <w:rPr>
          <w:rFonts w:asciiTheme="minorHAnsi" w:hAnsiTheme="minorHAnsi"/>
          <w:noProof/>
          <w:sz w:val="22"/>
        </w:rPr>
      </w:pPr>
      <w:r>
        <w:fldChar w:fldCharType="begin"/>
      </w:r>
      <w:r>
        <w:instrText xml:space="preserve"> TOC \o "1-2" \F \h \z </w:instrText>
      </w:r>
      <w:r>
        <w:fldChar w:fldCharType="separate"/>
      </w:r>
      <w:hyperlink w:anchor="_Toc256000065" w:history="1">
        <w:r>
          <w:rPr>
            <w:rStyle w:val="Hyperlink"/>
          </w:rPr>
          <w:t>1.</w:t>
        </w:r>
        <w:r>
          <w:rPr>
            <w:rStyle w:val="Hyperlink"/>
            <w:rFonts w:asciiTheme="minorHAnsi" w:hAnsiTheme="minorHAnsi"/>
            <w:noProof/>
            <w:sz w:val="22"/>
          </w:rPr>
          <w:tab/>
        </w:r>
        <w:r w:rsidRPr="000537E9">
          <w:rPr>
            <w:rStyle w:val="Hyperlink"/>
          </w:rPr>
          <w:t>legislative context</w:t>
        </w:r>
        <w:r>
          <w:rPr>
            <w:rStyle w:val="Hyperlink"/>
          </w:rPr>
          <w:tab/>
        </w:r>
        <w:r>
          <w:fldChar w:fldCharType="begin"/>
        </w:r>
        <w:r>
          <w:rPr>
            <w:rStyle w:val="Hyperlink"/>
          </w:rPr>
          <w:instrText xml:space="preserve"> PAGEREF _Toc256000065 \h </w:instrText>
        </w:r>
        <w:r>
          <w:fldChar w:fldCharType="separate"/>
        </w:r>
        <w:r>
          <w:rPr>
            <w:rStyle w:val="Hyperlink"/>
          </w:rPr>
          <w:t>3</w:t>
        </w:r>
        <w:r>
          <w:fldChar w:fldCharType="end"/>
        </w:r>
      </w:hyperlink>
    </w:p>
    <w:p w14:paraId="7E90E661" w14:textId="77777777" w:rsidR="00C149E2" w:rsidRDefault="00501C53">
      <w:pPr>
        <w:pStyle w:val="TOC1"/>
        <w:rPr>
          <w:rFonts w:asciiTheme="minorHAnsi" w:hAnsiTheme="minorHAnsi"/>
          <w:noProof/>
          <w:sz w:val="22"/>
        </w:rPr>
      </w:pPr>
      <w:hyperlink w:anchor="_Toc256000066" w:history="1">
        <w:r>
          <w:rPr>
            <w:rStyle w:val="Hyperlink"/>
          </w:rPr>
          <w:t>2.</w:t>
        </w:r>
        <w:r>
          <w:rPr>
            <w:rStyle w:val="Hyperlink"/>
            <w:rFonts w:asciiTheme="minorHAnsi" w:hAnsiTheme="minorHAnsi"/>
            <w:noProof/>
            <w:sz w:val="22"/>
          </w:rPr>
          <w:tab/>
        </w:r>
        <w:r w:rsidRPr="005451D4">
          <w:rPr>
            <w:rStyle w:val="Hyperlink"/>
          </w:rPr>
          <w:t xml:space="preserve">content and effect of ADR </w:t>
        </w:r>
        <w:r>
          <w:rPr>
            <w:rStyle w:val="Hyperlink"/>
          </w:rPr>
          <w:t>43/04</w:t>
        </w:r>
        <w:r w:rsidRPr="005451D4">
          <w:rPr>
            <w:rStyle w:val="Hyperlink"/>
          </w:rPr>
          <w:t xml:space="preserve"> And The Amendment</w:t>
        </w:r>
        <w:r>
          <w:rPr>
            <w:rStyle w:val="Hyperlink"/>
          </w:rPr>
          <w:tab/>
        </w:r>
        <w:r>
          <w:fldChar w:fldCharType="begin"/>
        </w:r>
        <w:r>
          <w:rPr>
            <w:rStyle w:val="Hyperlink"/>
          </w:rPr>
          <w:instrText xml:space="preserve"> PAGEREF _Toc256000066 \h </w:instrText>
        </w:r>
        <w:r>
          <w:fldChar w:fldCharType="separate"/>
        </w:r>
        <w:r>
          <w:rPr>
            <w:rStyle w:val="Hyperlink"/>
          </w:rPr>
          <w:t>3</w:t>
        </w:r>
        <w:r>
          <w:fldChar w:fldCharType="end"/>
        </w:r>
      </w:hyperlink>
    </w:p>
    <w:p w14:paraId="7E90E662" w14:textId="77777777" w:rsidR="00C149E2" w:rsidRDefault="00501C53">
      <w:pPr>
        <w:pStyle w:val="TOC2"/>
        <w:tabs>
          <w:tab w:val="left" w:pos="880"/>
          <w:tab w:val="right" w:leader="dot" w:pos="8494"/>
        </w:tabs>
        <w:rPr>
          <w:rFonts w:asciiTheme="minorHAnsi" w:hAnsiTheme="minorHAnsi"/>
          <w:noProof/>
          <w:sz w:val="22"/>
        </w:rPr>
      </w:pPr>
      <w:hyperlink w:anchor="_Toc256000067" w:history="1">
        <w:r>
          <w:rPr>
            <w:rStyle w:val="Hyperlink"/>
          </w:rPr>
          <w:t>2.1.</w:t>
        </w:r>
        <w:r>
          <w:rPr>
            <w:rStyle w:val="Hyperlink"/>
            <w:rFonts w:asciiTheme="minorHAnsi" w:hAnsiTheme="minorHAnsi"/>
            <w:noProof/>
            <w:sz w:val="22"/>
          </w:rPr>
          <w:tab/>
        </w:r>
        <w:r w:rsidRPr="005451D4">
          <w:rPr>
            <w:rStyle w:val="Hyperlink"/>
          </w:rPr>
          <w:t>Overview of the ADR</w:t>
        </w:r>
        <w:r>
          <w:rPr>
            <w:rStyle w:val="Hyperlink"/>
          </w:rPr>
          <w:tab/>
        </w:r>
        <w:r>
          <w:fldChar w:fldCharType="begin"/>
        </w:r>
        <w:r>
          <w:rPr>
            <w:rStyle w:val="Hyperlink"/>
          </w:rPr>
          <w:instrText xml:space="preserve"> PAGEREF _Toc256000067 \h </w:instrText>
        </w:r>
        <w:r>
          <w:fldChar w:fldCharType="separate"/>
        </w:r>
        <w:r>
          <w:rPr>
            <w:rStyle w:val="Hyperlink"/>
          </w:rPr>
          <w:t>3</w:t>
        </w:r>
        <w:r>
          <w:fldChar w:fldCharType="end"/>
        </w:r>
      </w:hyperlink>
    </w:p>
    <w:p w14:paraId="7E90E663" w14:textId="77777777" w:rsidR="00C149E2" w:rsidRDefault="00501C53">
      <w:pPr>
        <w:pStyle w:val="TOC2"/>
        <w:tabs>
          <w:tab w:val="left" w:pos="880"/>
          <w:tab w:val="right" w:leader="dot" w:pos="8494"/>
        </w:tabs>
        <w:rPr>
          <w:rFonts w:asciiTheme="minorHAnsi" w:hAnsiTheme="minorHAnsi"/>
          <w:noProof/>
          <w:sz w:val="22"/>
        </w:rPr>
      </w:pPr>
      <w:hyperlink w:anchor="_Toc256000068" w:history="1">
        <w:r>
          <w:rPr>
            <w:rStyle w:val="Hyperlink"/>
          </w:rPr>
          <w:t>2.2.</w:t>
        </w:r>
        <w:r>
          <w:rPr>
            <w:rStyle w:val="Hyperlink"/>
            <w:rFonts w:asciiTheme="minorHAnsi" w:hAnsiTheme="minorHAnsi"/>
            <w:noProof/>
            <w:sz w:val="22"/>
          </w:rPr>
          <w:tab/>
        </w:r>
        <w:r w:rsidRPr="005451D4">
          <w:rPr>
            <w:rStyle w:val="Hyperlink"/>
          </w:rPr>
          <w:t>Effect of the ADR Amendment</w:t>
        </w:r>
        <w:r>
          <w:rPr>
            <w:rStyle w:val="Hyperlink"/>
          </w:rPr>
          <w:tab/>
        </w:r>
        <w:r>
          <w:fldChar w:fldCharType="begin"/>
        </w:r>
        <w:r>
          <w:rPr>
            <w:rStyle w:val="Hyperlink"/>
          </w:rPr>
          <w:instrText xml:space="preserve"> PAGEREF _Toc256000068 \h </w:instrText>
        </w:r>
        <w:r>
          <w:fldChar w:fldCharType="separate"/>
        </w:r>
        <w:r>
          <w:rPr>
            <w:rStyle w:val="Hyperlink"/>
          </w:rPr>
          <w:t>3</w:t>
        </w:r>
        <w:r>
          <w:fldChar w:fldCharType="end"/>
        </w:r>
      </w:hyperlink>
    </w:p>
    <w:p w14:paraId="7E90E664" w14:textId="77777777" w:rsidR="00C149E2" w:rsidRDefault="00501C53">
      <w:pPr>
        <w:pStyle w:val="TOC1"/>
        <w:rPr>
          <w:rFonts w:asciiTheme="minorHAnsi" w:hAnsiTheme="minorHAnsi"/>
          <w:noProof/>
          <w:sz w:val="22"/>
        </w:rPr>
      </w:pPr>
      <w:hyperlink w:anchor="_Toc256000069" w:history="1">
        <w:r>
          <w:rPr>
            <w:rStyle w:val="Hyperlink"/>
          </w:rPr>
          <w:t>3.</w:t>
        </w:r>
        <w:r>
          <w:rPr>
            <w:rStyle w:val="Hyperlink"/>
            <w:rFonts w:asciiTheme="minorHAnsi" w:hAnsiTheme="minorHAnsi"/>
            <w:noProof/>
            <w:sz w:val="22"/>
          </w:rPr>
          <w:tab/>
        </w:r>
        <w:r>
          <w:rPr>
            <w:rStyle w:val="Hyperlink"/>
          </w:rPr>
          <w:t>BEST PRACTICE REGULATION</w:t>
        </w:r>
        <w:r>
          <w:rPr>
            <w:rStyle w:val="Hyperlink"/>
          </w:rPr>
          <w:tab/>
        </w:r>
        <w:r>
          <w:fldChar w:fldCharType="begin"/>
        </w:r>
        <w:r>
          <w:rPr>
            <w:rStyle w:val="Hyperlink"/>
          </w:rPr>
          <w:instrText xml:space="preserve"> PAGEREF _Toc256000069 \h </w:instrText>
        </w:r>
        <w:r>
          <w:fldChar w:fldCharType="separate"/>
        </w:r>
        <w:r>
          <w:rPr>
            <w:rStyle w:val="Hyperlink"/>
          </w:rPr>
          <w:t>3</w:t>
        </w:r>
        <w:r>
          <w:fldChar w:fldCharType="end"/>
        </w:r>
      </w:hyperlink>
    </w:p>
    <w:p w14:paraId="7E90E665" w14:textId="77777777" w:rsidR="00C149E2" w:rsidRDefault="00501C53">
      <w:pPr>
        <w:pStyle w:val="TOC2"/>
        <w:tabs>
          <w:tab w:val="left" w:pos="880"/>
          <w:tab w:val="right" w:leader="dot" w:pos="8494"/>
        </w:tabs>
        <w:rPr>
          <w:rFonts w:asciiTheme="minorHAnsi" w:hAnsiTheme="minorHAnsi"/>
          <w:noProof/>
          <w:sz w:val="22"/>
        </w:rPr>
      </w:pPr>
      <w:hyperlink w:anchor="_Toc256000070" w:history="1">
        <w:r>
          <w:rPr>
            <w:rStyle w:val="Hyperlink"/>
          </w:rPr>
          <w:t>3.1.</w:t>
        </w:r>
        <w:r>
          <w:rPr>
            <w:rStyle w:val="Hyperlink"/>
            <w:rFonts w:asciiTheme="minorHAnsi" w:hAnsiTheme="minorHAnsi"/>
            <w:noProof/>
            <w:sz w:val="22"/>
          </w:rPr>
          <w:tab/>
        </w:r>
        <w:r w:rsidRPr="008670A3">
          <w:rPr>
            <w:rStyle w:val="Hyperlink"/>
          </w:rPr>
          <w:t>Business Co</w:t>
        </w:r>
        <w:r w:rsidRPr="008670A3">
          <w:rPr>
            <w:rStyle w:val="Hyperlink"/>
          </w:rPr>
          <w:t>st Calculator</w:t>
        </w:r>
        <w:r>
          <w:rPr>
            <w:rStyle w:val="Hyperlink"/>
          </w:rPr>
          <w:tab/>
        </w:r>
        <w:r>
          <w:fldChar w:fldCharType="begin"/>
        </w:r>
        <w:r>
          <w:rPr>
            <w:rStyle w:val="Hyperlink"/>
          </w:rPr>
          <w:instrText xml:space="preserve"> PAGEREF _Toc256000070 \h </w:instrText>
        </w:r>
        <w:r>
          <w:fldChar w:fldCharType="separate"/>
        </w:r>
        <w:r>
          <w:rPr>
            <w:rStyle w:val="Hyperlink"/>
          </w:rPr>
          <w:t>3</w:t>
        </w:r>
        <w:r>
          <w:fldChar w:fldCharType="end"/>
        </w:r>
      </w:hyperlink>
    </w:p>
    <w:p w14:paraId="7E90E666" w14:textId="77777777" w:rsidR="00C149E2" w:rsidRDefault="00501C53">
      <w:pPr>
        <w:pStyle w:val="TOC2"/>
        <w:tabs>
          <w:tab w:val="left" w:pos="880"/>
          <w:tab w:val="right" w:leader="dot" w:pos="8494"/>
        </w:tabs>
        <w:rPr>
          <w:rFonts w:asciiTheme="minorHAnsi" w:hAnsiTheme="minorHAnsi"/>
          <w:noProof/>
          <w:sz w:val="22"/>
        </w:rPr>
      </w:pPr>
      <w:hyperlink w:anchor="_Toc256000071" w:history="1">
        <w:r>
          <w:rPr>
            <w:rStyle w:val="Hyperlink"/>
          </w:rPr>
          <w:t>3.2.</w:t>
        </w:r>
        <w:r>
          <w:rPr>
            <w:rStyle w:val="Hyperlink"/>
            <w:rFonts w:asciiTheme="minorHAnsi" w:hAnsiTheme="minorHAnsi"/>
            <w:noProof/>
            <w:sz w:val="22"/>
          </w:rPr>
          <w:tab/>
        </w:r>
        <w:r w:rsidRPr="00933AA9">
          <w:rPr>
            <w:rStyle w:val="Hyperlink"/>
          </w:rPr>
          <w:t>General Consultation Arrangements</w:t>
        </w:r>
        <w:r>
          <w:rPr>
            <w:rStyle w:val="Hyperlink"/>
          </w:rPr>
          <w:tab/>
        </w:r>
        <w:r>
          <w:fldChar w:fldCharType="begin"/>
        </w:r>
        <w:r>
          <w:rPr>
            <w:rStyle w:val="Hyperlink"/>
          </w:rPr>
          <w:instrText xml:space="preserve"> PAGEREF _Toc256000071 \h </w:instrText>
        </w:r>
        <w:r>
          <w:fldChar w:fldCharType="separate"/>
        </w:r>
        <w:r>
          <w:rPr>
            <w:rStyle w:val="Hyperlink"/>
          </w:rPr>
          <w:t>3</w:t>
        </w:r>
        <w:r>
          <w:fldChar w:fldCharType="end"/>
        </w:r>
      </w:hyperlink>
    </w:p>
    <w:p w14:paraId="7E90E667" w14:textId="77777777" w:rsidR="00C149E2" w:rsidRDefault="00501C53">
      <w:pPr>
        <w:pStyle w:val="TOC2"/>
        <w:tabs>
          <w:tab w:val="left" w:pos="880"/>
          <w:tab w:val="right" w:leader="dot" w:pos="8494"/>
        </w:tabs>
        <w:rPr>
          <w:rFonts w:asciiTheme="minorHAnsi" w:hAnsiTheme="minorHAnsi"/>
          <w:noProof/>
          <w:sz w:val="22"/>
        </w:rPr>
      </w:pPr>
      <w:hyperlink w:anchor="_Toc256000072" w:history="1">
        <w:r>
          <w:rPr>
            <w:rStyle w:val="Hyperlink"/>
          </w:rPr>
          <w:t>3.3.</w:t>
        </w:r>
        <w:r>
          <w:rPr>
            <w:rStyle w:val="Hyperlink"/>
            <w:rFonts w:asciiTheme="minorHAnsi" w:hAnsiTheme="minorHAnsi"/>
            <w:noProof/>
            <w:sz w:val="22"/>
          </w:rPr>
          <w:tab/>
        </w:r>
        <w:r>
          <w:rPr>
            <w:rStyle w:val="Hyperlink"/>
          </w:rPr>
          <w:t>Specific Consultation Arrangements for this Vehicle Standard</w:t>
        </w:r>
        <w:r>
          <w:rPr>
            <w:rStyle w:val="Hyperlink"/>
          </w:rPr>
          <w:tab/>
        </w:r>
        <w:r>
          <w:fldChar w:fldCharType="begin"/>
        </w:r>
        <w:r>
          <w:rPr>
            <w:rStyle w:val="Hyperlink"/>
          </w:rPr>
          <w:instrText xml:space="preserve"> PAGEREF _Toc256000072 \h </w:instrText>
        </w:r>
        <w:r>
          <w:fldChar w:fldCharType="separate"/>
        </w:r>
        <w:r>
          <w:rPr>
            <w:rStyle w:val="Hyperlink"/>
          </w:rPr>
          <w:t>4</w:t>
        </w:r>
        <w:r>
          <w:fldChar w:fldCharType="end"/>
        </w:r>
      </w:hyperlink>
    </w:p>
    <w:p w14:paraId="7E90E668" w14:textId="77777777" w:rsidR="00C149E2" w:rsidRDefault="00501C53">
      <w:pPr>
        <w:pStyle w:val="TOC2"/>
        <w:tabs>
          <w:tab w:val="left" w:pos="880"/>
          <w:tab w:val="right" w:leader="dot" w:pos="8494"/>
        </w:tabs>
        <w:rPr>
          <w:rFonts w:asciiTheme="minorHAnsi" w:hAnsiTheme="minorHAnsi"/>
          <w:noProof/>
          <w:sz w:val="22"/>
        </w:rPr>
      </w:pPr>
      <w:hyperlink w:anchor="_Toc256000073" w:history="1">
        <w:r>
          <w:rPr>
            <w:rStyle w:val="Hyperlink"/>
          </w:rPr>
          <w:t>3.4.</w:t>
        </w:r>
        <w:r>
          <w:rPr>
            <w:rStyle w:val="Hyperlink"/>
            <w:rFonts w:asciiTheme="minorHAnsi" w:hAnsiTheme="minorHAnsi"/>
            <w:noProof/>
            <w:sz w:val="22"/>
          </w:rPr>
          <w:tab/>
        </w:r>
        <w:r>
          <w:rPr>
            <w:rStyle w:val="Hyperlink"/>
          </w:rPr>
          <w:t>Regulation Impact Statement</w:t>
        </w:r>
        <w:r>
          <w:rPr>
            <w:rStyle w:val="Hyperlink"/>
          </w:rPr>
          <w:tab/>
        </w:r>
        <w:r>
          <w:fldChar w:fldCharType="begin"/>
        </w:r>
        <w:r>
          <w:rPr>
            <w:rStyle w:val="Hyperlink"/>
          </w:rPr>
          <w:instrText xml:space="preserve"> PAGEREF _Toc256000073 \h </w:instrText>
        </w:r>
        <w:r>
          <w:fldChar w:fldCharType="separate"/>
        </w:r>
        <w:r>
          <w:rPr>
            <w:rStyle w:val="Hyperlink"/>
          </w:rPr>
          <w:t>5</w:t>
        </w:r>
        <w:r>
          <w:fldChar w:fldCharType="end"/>
        </w:r>
      </w:hyperlink>
    </w:p>
    <w:p w14:paraId="7E90E669" w14:textId="77777777" w:rsidR="00C149E2" w:rsidRDefault="00501C53">
      <w:pPr>
        <w:pStyle w:val="TOC1"/>
        <w:rPr>
          <w:rFonts w:asciiTheme="minorHAnsi" w:hAnsiTheme="minorHAnsi"/>
          <w:noProof/>
          <w:sz w:val="22"/>
        </w:rPr>
      </w:pPr>
      <w:hyperlink w:anchor="_Toc256000074" w:history="1">
        <w:r>
          <w:rPr>
            <w:rStyle w:val="Hyperlink"/>
          </w:rPr>
          <w:t>4.</w:t>
        </w:r>
        <w:r>
          <w:rPr>
            <w:rStyle w:val="Hyperlink"/>
            <w:rFonts w:asciiTheme="minorHAnsi" w:hAnsiTheme="minorHAnsi"/>
            <w:noProof/>
            <w:sz w:val="22"/>
          </w:rPr>
          <w:tab/>
        </w:r>
        <w:r w:rsidRPr="00CA7971">
          <w:rPr>
            <w:rStyle w:val="Hyperlink"/>
          </w:rPr>
          <w:t>STATEMENT OF COMPATIBILITY WITH HUMAN RIGHTS</w:t>
        </w:r>
        <w:r>
          <w:rPr>
            <w:rStyle w:val="Hyperlink"/>
          </w:rPr>
          <w:tab/>
        </w:r>
        <w:r>
          <w:fldChar w:fldCharType="begin"/>
        </w:r>
        <w:r>
          <w:rPr>
            <w:rStyle w:val="Hyperlink"/>
          </w:rPr>
          <w:instrText xml:space="preserve"> PAGEREF _Toc256000074 \h </w:instrText>
        </w:r>
        <w:r>
          <w:fldChar w:fldCharType="separate"/>
        </w:r>
        <w:r>
          <w:rPr>
            <w:rStyle w:val="Hyperlink"/>
          </w:rPr>
          <w:t>5</w:t>
        </w:r>
        <w:r>
          <w:fldChar w:fldCharType="end"/>
        </w:r>
      </w:hyperlink>
    </w:p>
    <w:p w14:paraId="7E90E66A" w14:textId="77777777" w:rsidR="00C149E2" w:rsidRDefault="00501C53">
      <w:pPr>
        <w:pStyle w:val="TOC2"/>
        <w:tabs>
          <w:tab w:val="left" w:pos="880"/>
          <w:tab w:val="right" w:leader="dot" w:pos="8494"/>
        </w:tabs>
        <w:rPr>
          <w:rFonts w:asciiTheme="minorHAnsi" w:hAnsiTheme="minorHAnsi"/>
          <w:noProof/>
          <w:sz w:val="22"/>
        </w:rPr>
      </w:pPr>
      <w:hyperlink w:anchor="_Toc256000075" w:history="1">
        <w:r>
          <w:rPr>
            <w:rStyle w:val="Hyperlink"/>
          </w:rPr>
          <w:t>4.1.</w:t>
        </w:r>
        <w:r>
          <w:rPr>
            <w:rStyle w:val="Hyperlink"/>
            <w:rFonts w:asciiTheme="minorHAnsi" w:hAnsiTheme="minorHAnsi"/>
            <w:noProof/>
            <w:sz w:val="22"/>
          </w:rPr>
          <w:tab/>
        </w:r>
        <w:r w:rsidRPr="00CA7971">
          <w:rPr>
            <w:rStyle w:val="Hyperlink"/>
          </w:rPr>
          <w:t>Overview of the Legislative Instrument</w:t>
        </w:r>
        <w:r>
          <w:rPr>
            <w:rStyle w:val="Hyperlink"/>
          </w:rPr>
          <w:tab/>
        </w:r>
        <w:r>
          <w:fldChar w:fldCharType="begin"/>
        </w:r>
        <w:r>
          <w:rPr>
            <w:rStyle w:val="Hyperlink"/>
          </w:rPr>
          <w:instrText xml:space="preserve"> PAGEREF _Toc256000075 \h </w:instrText>
        </w:r>
        <w:r>
          <w:fldChar w:fldCharType="separate"/>
        </w:r>
        <w:r>
          <w:rPr>
            <w:rStyle w:val="Hyperlink"/>
          </w:rPr>
          <w:t>5</w:t>
        </w:r>
        <w:r>
          <w:fldChar w:fldCharType="end"/>
        </w:r>
      </w:hyperlink>
    </w:p>
    <w:p w14:paraId="7E90E66B" w14:textId="77777777" w:rsidR="00C149E2" w:rsidRDefault="00501C53">
      <w:pPr>
        <w:pStyle w:val="TOC2"/>
        <w:tabs>
          <w:tab w:val="left" w:pos="880"/>
          <w:tab w:val="right" w:leader="dot" w:pos="8494"/>
        </w:tabs>
        <w:rPr>
          <w:rFonts w:asciiTheme="minorHAnsi" w:hAnsiTheme="minorHAnsi"/>
          <w:noProof/>
          <w:sz w:val="22"/>
        </w:rPr>
      </w:pPr>
      <w:hyperlink w:anchor="_Toc256000076" w:history="1">
        <w:r>
          <w:rPr>
            <w:rStyle w:val="Hyperlink"/>
          </w:rPr>
          <w:t>4.2.</w:t>
        </w:r>
        <w:r>
          <w:rPr>
            <w:rStyle w:val="Hyperlink"/>
            <w:rFonts w:asciiTheme="minorHAnsi" w:hAnsiTheme="minorHAnsi"/>
            <w:noProof/>
            <w:sz w:val="22"/>
          </w:rPr>
          <w:tab/>
        </w:r>
        <w:r w:rsidRPr="00CA7971">
          <w:rPr>
            <w:rStyle w:val="Hyperlink"/>
          </w:rPr>
          <w:t>Human Rights Implications</w:t>
        </w:r>
        <w:r>
          <w:rPr>
            <w:rStyle w:val="Hyperlink"/>
          </w:rPr>
          <w:tab/>
        </w:r>
        <w:r>
          <w:fldChar w:fldCharType="begin"/>
        </w:r>
        <w:r>
          <w:rPr>
            <w:rStyle w:val="Hyperlink"/>
          </w:rPr>
          <w:instrText xml:space="preserve"> PAGEREF _Toc256000076 \h </w:instrText>
        </w:r>
        <w:r>
          <w:fldChar w:fldCharType="separate"/>
        </w:r>
        <w:r>
          <w:rPr>
            <w:rStyle w:val="Hyperlink"/>
          </w:rPr>
          <w:t>5</w:t>
        </w:r>
        <w:r>
          <w:fldChar w:fldCharType="end"/>
        </w:r>
      </w:hyperlink>
    </w:p>
    <w:p w14:paraId="7E90E66C" w14:textId="77777777" w:rsidR="00C149E2" w:rsidRDefault="00501C53">
      <w:pPr>
        <w:pStyle w:val="TOC2"/>
        <w:tabs>
          <w:tab w:val="left" w:pos="880"/>
          <w:tab w:val="right" w:leader="dot" w:pos="8494"/>
        </w:tabs>
        <w:rPr>
          <w:rFonts w:asciiTheme="minorHAnsi" w:hAnsiTheme="minorHAnsi"/>
          <w:noProof/>
          <w:sz w:val="22"/>
        </w:rPr>
      </w:pPr>
      <w:hyperlink w:anchor="_Toc256000077" w:history="1">
        <w:r>
          <w:rPr>
            <w:rStyle w:val="Hyperlink"/>
          </w:rPr>
          <w:t>4.3.</w:t>
        </w:r>
        <w:r>
          <w:rPr>
            <w:rStyle w:val="Hyperlink"/>
            <w:rFonts w:asciiTheme="minorHAnsi" w:hAnsiTheme="minorHAnsi"/>
            <w:noProof/>
            <w:sz w:val="22"/>
          </w:rPr>
          <w:tab/>
        </w:r>
        <w:r w:rsidRPr="00CA7971">
          <w:rPr>
            <w:rStyle w:val="Hyperlink"/>
          </w:rPr>
          <w:t>Conclusion</w:t>
        </w:r>
        <w:r>
          <w:rPr>
            <w:rStyle w:val="Hyperlink"/>
          </w:rPr>
          <w:tab/>
        </w:r>
        <w:r>
          <w:fldChar w:fldCharType="begin"/>
        </w:r>
        <w:r>
          <w:rPr>
            <w:rStyle w:val="Hyperlink"/>
          </w:rPr>
          <w:instrText xml:space="preserve"> PAGEREF _Toc256000077 \h </w:instrText>
        </w:r>
        <w:r>
          <w:fldChar w:fldCharType="separate"/>
        </w:r>
        <w:r>
          <w:rPr>
            <w:rStyle w:val="Hyperlink"/>
          </w:rPr>
          <w:t>5</w:t>
        </w:r>
        <w:r>
          <w:fldChar w:fldCharType="end"/>
        </w:r>
      </w:hyperlink>
    </w:p>
    <w:p w14:paraId="7E90E66D" w14:textId="77777777" w:rsidR="00C149E2" w:rsidRDefault="00501C53" w:rsidP="0077556E">
      <w:pPr>
        <w:tabs>
          <w:tab w:val="left" w:pos="900"/>
        </w:tabs>
      </w:pPr>
      <w:r>
        <w:fldChar w:fldCharType="end"/>
      </w:r>
    </w:p>
    <w:p w14:paraId="7E90E66E" w14:textId="77777777" w:rsidR="008F5656" w:rsidRPr="000537E9" w:rsidRDefault="00501C53" w:rsidP="002D2D87">
      <w:pPr>
        <w:pStyle w:val="Heading1"/>
      </w:pPr>
      <w:r>
        <w:br w:type="page"/>
      </w:r>
      <w:bookmarkStart w:id="1" w:name="_Toc256000065"/>
      <w:bookmarkStart w:id="2" w:name="_Toc256000052"/>
      <w:bookmarkStart w:id="3" w:name="_Toc256000039"/>
      <w:bookmarkStart w:id="4" w:name="_Toc256000026"/>
      <w:bookmarkStart w:id="5" w:name="_Toc256000004"/>
      <w:bookmarkStart w:id="6" w:name="_Toc256000000"/>
      <w:bookmarkStart w:id="7" w:name="_Toc427841513"/>
      <w:bookmarkStart w:id="8" w:name="_Toc438116622"/>
      <w:bookmarkStart w:id="9" w:name="_Toc447629190"/>
      <w:bookmarkStart w:id="10" w:name="_Toc447879133"/>
      <w:r w:rsidRPr="000537E9">
        <w:lastRenderedPageBreak/>
        <w:t>legislative context</w:t>
      </w:r>
      <w:bookmarkEnd w:id="1"/>
      <w:bookmarkEnd w:id="2"/>
      <w:bookmarkEnd w:id="3"/>
      <w:bookmarkEnd w:id="4"/>
      <w:bookmarkEnd w:id="5"/>
      <w:bookmarkEnd w:id="6"/>
      <w:bookmarkEnd w:id="7"/>
      <w:bookmarkEnd w:id="8"/>
      <w:bookmarkEnd w:id="9"/>
      <w:bookmarkEnd w:id="10"/>
    </w:p>
    <w:p w14:paraId="7E90E66F" w14:textId="77777777" w:rsidR="003C5E51" w:rsidRPr="00061FBE" w:rsidRDefault="00501C53" w:rsidP="00A01A9E">
      <w:pPr>
        <w:spacing w:after="240"/>
        <w:rPr>
          <w:rFonts w:cs="Arial"/>
          <w:i/>
        </w:rPr>
      </w:pPr>
      <w:r w:rsidRPr="00061FBE">
        <w:rPr>
          <w:rFonts w:cs="Arial"/>
        </w:rPr>
        <w:t xml:space="preserve">Vehicle Standard (Australian Design Rule </w:t>
      </w:r>
      <w:r w:rsidRPr="00F46E9F">
        <w:rPr>
          <w:rFonts w:cs="Arial"/>
        </w:rPr>
        <w:t>43/04 – Vehicle Configuration and Dimensions) 2006 Amendment 3</w:t>
      </w:r>
      <w:r>
        <w:rPr>
          <w:rFonts w:cs="Arial"/>
        </w:rPr>
        <w:t xml:space="preserve"> </w:t>
      </w:r>
      <w:r w:rsidRPr="00B40D68">
        <w:rPr>
          <w:rFonts w:cs="Arial"/>
        </w:rPr>
        <w:t>is</w:t>
      </w:r>
      <w:r w:rsidRPr="00061FBE">
        <w:rPr>
          <w:rFonts w:cs="Arial"/>
        </w:rPr>
        <w:t xml:space="preserve"> made under the </w:t>
      </w:r>
      <w:r w:rsidRPr="00061FBE">
        <w:rPr>
          <w:rFonts w:cs="Arial"/>
          <w:i/>
        </w:rPr>
        <w:t>Motor Vehicle Standards Act 1989</w:t>
      </w:r>
      <w:r w:rsidRPr="00061FBE">
        <w:rPr>
          <w:rFonts w:cs="Arial"/>
        </w:rPr>
        <w:t xml:space="preserve"> (the Act).  The Act enables the Australian Government to establish nationally uniform standards for road vehicles when they are first supplied to the market in </w:t>
      </w:r>
      <w:smartTag w:uri="urn:schemas-microsoft-com:office:smarttags" w:element="place">
        <w:smartTag w:uri="urn:schemas-microsoft-com:office:smarttags" w:element="country-region">
          <w:r w:rsidRPr="00061FBE">
            <w:rPr>
              <w:rFonts w:cs="Arial"/>
            </w:rPr>
            <w:t>Australia</w:t>
          </w:r>
        </w:smartTag>
      </w:smartTag>
      <w:r w:rsidRPr="00061FBE">
        <w:rPr>
          <w:rFonts w:cs="Arial"/>
        </w:rPr>
        <w:t>.  The Act applies to such vehicles wh</w:t>
      </w:r>
      <w:r w:rsidRPr="00061FBE">
        <w:rPr>
          <w:rFonts w:cs="Arial"/>
        </w:rPr>
        <w:t>ether they are manufactu</w:t>
      </w:r>
      <w:r>
        <w:rPr>
          <w:rFonts w:cs="Arial"/>
        </w:rPr>
        <w:t>red in Australia or are imported</w:t>
      </w:r>
      <w:r w:rsidRPr="00061FBE">
        <w:rPr>
          <w:rFonts w:cs="Arial"/>
        </w:rPr>
        <w:t>.</w:t>
      </w:r>
    </w:p>
    <w:p w14:paraId="7E90E670" w14:textId="77777777" w:rsidR="003C5E51" w:rsidRPr="00061FBE" w:rsidRDefault="00501C53" w:rsidP="00A01A9E">
      <w:pPr>
        <w:pStyle w:val="dot"/>
        <w:spacing w:after="240"/>
        <w:ind w:left="0" w:firstLine="0"/>
        <w:rPr>
          <w:rFonts w:ascii="Times New Roman" w:hAnsi="Times New Roman"/>
        </w:rPr>
      </w:pPr>
      <w:r w:rsidRPr="00061FBE">
        <w:rPr>
          <w:rFonts w:ascii="Times New Roman" w:hAnsi="Times New Roman"/>
        </w:rPr>
        <w:t xml:space="preserve">The making of the vehicle standards necessary for the Act's effective operation is provided for in section 7 which empowers the Minister to "determine vehicle standards for road vehicles or vehicle </w:t>
      </w:r>
      <w:r w:rsidRPr="00061FBE">
        <w:rPr>
          <w:rFonts w:ascii="Times New Roman" w:hAnsi="Times New Roman"/>
        </w:rPr>
        <w:t>components".</w:t>
      </w:r>
    </w:p>
    <w:p w14:paraId="7E90E671" w14:textId="77777777" w:rsidR="00B27A92" w:rsidRPr="005451D4" w:rsidRDefault="00501C53" w:rsidP="00B27A92">
      <w:pPr>
        <w:spacing w:after="240"/>
        <w:rPr>
          <w:rFonts w:cs="Arial"/>
        </w:rPr>
      </w:pPr>
      <w:r w:rsidRPr="005451D4">
        <w:rPr>
          <w:rFonts w:cs="Arial"/>
        </w:rPr>
        <w:t>Vehicle Standard (Australian Design Rule 43/04 – Vehicle Configuration and Dimensions) 2006 was originally determined in 2006 and was subsequently amended in two previous determinations in October 2007 and November 2015.</w:t>
      </w:r>
    </w:p>
    <w:p w14:paraId="7E90E672" w14:textId="77777777" w:rsidR="003C5E51" w:rsidRPr="005451D4" w:rsidRDefault="00501C53" w:rsidP="002D2D87">
      <w:pPr>
        <w:pStyle w:val="Heading1"/>
      </w:pPr>
      <w:bookmarkStart w:id="11" w:name="_Toc256000001"/>
      <w:bookmarkStart w:id="12" w:name="_Toc427841514"/>
      <w:bookmarkStart w:id="13" w:name="_Toc256000066"/>
      <w:bookmarkStart w:id="14" w:name="_Toc256000053"/>
      <w:bookmarkStart w:id="15" w:name="_Toc256000040"/>
      <w:bookmarkStart w:id="16" w:name="_Toc256000027"/>
      <w:bookmarkStart w:id="17" w:name="_Toc256000014"/>
      <w:bookmarkStart w:id="18" w:name="_Toc438116623"/>
      <w:bookmarkStart w:id="19" w:name="_Toc447629191"/>
      <w:bookmarkStart w:id="20" w:name="_Toc447879134"/>
      <w:r w:rsidRPr="005451D4">
        <w:t xml:space="preserve">content and effect of ADR </w:t>
      </w:r>
      <w:r>
        <w:t>43/04</w:t>
      </w:r>
      <w:r w:rsidRPr="005451D4">
        <w:t xml:space="preserve"> </w:t>
      </w:r>
      <w:bookmarkEnd w:id="11"/>
      <w:bookmarkEnd w:id="12"/>
      <w:r w:rsidRPr="005451D4">
        <w:t>And The Amendment</w:t>
      </w:r>
      <w:bookmarkEnd w:id="13"/>
      <w:bookmarkEnd w:id="14"/>
      <w:bookmarkEnd w:id="15"/>
      <w:bookmarkEnd w:id="16"/>
      <w:bookmarkEnd w:id="17"/>
      <w:bookmarkEnd w:id="18"/>
      <w:bookmarkEnd w:id="19"/>
      <w:bookmarkEnd w:id="20"/>
    </w:p>
    <w:p w14:paraId="7E90E673" w14:textId="77777777" w:rsidR="005D1AA0" w:rsidRPr="005451D4" w:rsidRDefault="00501C53" w:rsidP="002D2D87">
      <w:pPr>
        <w:pStyle w:val="Heading2"/>
      </w:pPr>
      <w:bookmarkStart w:id="21" w:name="_Toc256000067"/>
      <w:bookmarkStart w:id="22" w:name="_Toc256000054"/>
      <w:bookmarkStart w:id="23" w:name="_Toc256000041"/>
      <w:bookmarkStart w:id="24" w:name="_Toc256000028"/>
      <w:bookmarkStart w:id="25" w:name="_Toc256000015"/>
      <w:bookmarkStart w:id="26" w:name="_Toc256000002"/>
      <w:bookmarkStart w:id="27" w:name="_Toc427841515"/>
      <w:bookmarkStart w:id="28" w:name="_Toc438116624"/>
      <w:bookmarkStart w:id="29" w:name="_Toc447629192"/>
      <w:bookmarkStart w:id="30" w:name="_Toc447879135"/>
      <w:r w:rsidRPr="005451D4">
        <w:t>Overview of the ADR</w:t>
      </w:r>
      <w:bookmarkEnd w:id="21"/>
      <w:bookmarkEnd w:id="22"/>
      <w:bookmarkEnd w:id="23"/>
      <w:bookmarkEnd w:id="24"/>
      <w:bookmarkEnd w:id="25"/>
      <w:bookmarkEnd w:id="26"/>
      <w:bookmarkEnd w:id="27"/>
      <w:bookmarkEnd w:id="28"/>
      <w:bookmarkEnd w:id="29"/>
      <w:bookmarkEnd w:id="30"/>
    </w:p>
    <w:p w14:paraId="7E90E674" w14:textId="77777777" w:rsidR="009D62A5" w:rsidRPr="005451D4" w:rsidRDefault="00501C53" w:rsidP="009D62A5">
      <w:r w:rsidRPr="005451D4">
        <w:t>The function of this ADR is to specify requirements for vehicle dimensions including maximum permissible length, width, height</w:t>
      </w:r>
      <w:r>
        <w:t>,</w:t>
      </w:r>
      <w:r w:rsidRPr="005451D4">
        <w:t xml:space="preserve"> and ground clea</w:t>
      </w:r>
      <w:r>
        <w:t>rance</w:t>
      </w:r>
      <w:r w:rsidRPr="005451D4">
        <w:t>.</w:t>
      </w:r>
    </w:p>
    <w:p w14:paraId="7E90E675" w14:textId="77777777" w:rsidR="008607BD" w:rsidRPr="005451D4" w:rsidRDefault="00501C53" w:rsidP="000537E9">
      <w:pPr>
        <w:pStyle w:val="Heading2"/>
      </w:pPr>
      <w:bookmarkStart w:id="31" w:name="_Toc256000068"/>
      <w:bookmarkStart w:id="32" w:name="_Toc256000055"/>
      <w:bookmarkStart w:id="33" w:name="_Toc256000042"/>
      <w:bookmarkStart w:id="34" w:name="_Toc256000029"/>
      <w:bookmarkStart w:id="35" w:name="_Toc256000016"/>
      <w:bookmarkStart w:id="36" w:name="_Toc256000003"/>
      <w:bookmarkStart w:id="37" w:name="_Toc427841516"/>
      <w:bookmarkStart w:id="38" w:name="_Toc438116625"/>
      <w:bookmarkStart w:id="39" w:name="_Toc447629193"/>
      <w:bookmarkStart w:id="40" w:name="_Toc447879136"/>
      <w:r w:rsidRPr="005451D4">
        <w:t>Effect of the ADR Amendment</w:t>
      </w:r>
      <w:bookmarkEnd w:id="31"/>
      <w:bookmarkEnd w:id="32"/>
      <w:bookmarkEnd w:id="33"/>
      <w:bookmarkEnd w:id="34"/>
      <w:bookmarkEnd w:id="35"/>
      <w:bookmarkEnd w:id="36"/>
      <w:bookmarkEnd w:id="37"/>
      <w:bookmarkEnd w:id="38"/>
      <w:bookmarkEnd w:id="39"/>
      <w:bookmarkEnd w:id="40"/>
    </w:p>
    <w:p w14:paraId="7E90E676" w14:textId="77777777" w:rsidR="00B27A92" w:rsidRPr="00544A63" w:rsidRDefault="00501C53" w:rsidP="005152F7">
      <w:pPr>
        <w:spacing w:after="120"/>
      </w:pPr>
      <w:r w:rsidRPr="00544A63">
        <w:t>This</w:t>
      </w:r>
      <w:r w:rsidRPr="00544A63">
        <w:t xml:space="preserve"> ame</w:t>
      </w:r>
      <w:r w:rsidRPr="00544A63">
        <w:t>ndment will</w:t>
      </w:r>
      <w:r w:rsidRPr="00544A63">
        <w:t xml:space="preserve"> clarify the dimensional requirements on vehicles, and improve alignment with in-service requirements</w:t>
      </w:r>
      <w:r>
        <w:t>, including with regard to refrigerated trailers and drawbar length.</w:t>
      </w:r>
    </w:p>
    <w:p w14:paraId="7E90E677" w14:textId="77777777" w:rsidR="00FB7720" w:rsidRPr="00544A63" w:rsidRDefault="00501C53" w:rsidP="005152F7">
      <w:pPr>
        <w:spacing w:after="120"/>
      </w:pPr>
      <w:r w:rsidRPr="00544A63">
        <w:t>The amendment was requ</w:t>
      </w:r>
      <w:r w:rsidRPr="00544A63">
        <w:t>ested by industry to improve the clarity of the vehic</w:t>
      </w:r>
      <w:r w:rsidRPr="00544A63">
        <w:t>le standard, and improve its alignment with in-service requirements, especially regarding heavy trailer and refrigerated trailer dimensions.  The amendment is minor in nature, and does not work to increase the stringency of the vehicle standard.</w:t>
      </w:r>
    </w:p>
    <w:p w14:paraId="7E90E678" w14:textId="77777777" w:rsidR="00A42C1E" w:rsidRDefault="00501C53" w:rsidP="002D2D87">
      <w:pPr>
        <w:pStyle w:val="Heading1"/>
      </w:pPr>
      <w:bookmarkStart w:id="41" w:name="_Toc256000069"/>
      <w:bookmarkStart w:id="42" w:name="_Toc256000056"/>
      <w:bookmarkStart w:id="43" w:name="_Toc256000043"/>
      <w:bookmarkStart w:id="44" w:name="_Toc256000030"/>
      <w:bookmarkStart w:id="45" w:name="_Toc256000017"/>
      <w:bookmarkStart w:id="46" w:name="_Toc256000005"/>
      <w:bookmarkStart w:id="47" w:name="_Toc427841518"/>
      <w:bookmarkStart w:id="48" w:name="_Toc438116626"/>
      <w:bookmarkStart w:id="49" w:name="_Toc447629194"/>
      <w:bookmarkStart w:id="50" w:name="_Toc447879137"/>
      <w:r>
        <w:t>BEST PRACT</w:t>
      </w:r>
      <w:r>
        <w:t>ICE REGULATION</w:t>
      </w:r>
      <w:bookmarkEnd w:id="41"/>
      <w:bookmarkEnd w:id="42"/>
      <w:bookmarkEnd w:id="43"/>
      <w:bookmarkEnd w:id="44"/>
      <w:bookmarkEnd w:id="45"/>
      <w:bookmarkEnd w:id="46"/>
      <w:bookmarkEnd w:id="47"/>
      <w:bookmarkEnd w:id="48"/>
      <w:bookmarkEnd w:id="49"/>
      <w:bookmarkEnd w:id="50"/>
    </w:p>
    <w:p w14:paraId="7E90E679" w14:textId="77777777" w:rsidR="00933AA9" w:rsidRPr="008670A3" w:rsidRDefault="00501C53" w:rsidP="00F02054">
      <w:pPr>
        <w:pStyle w:val="Heading2"/>
      </w:pPr>
      <w:bookmarkStart w:id="51" w:name="_Toc256000070"/>
      <w:bookmarkStart w:id="52" w:name="_Toc256000057"/>
      <w:bookmarkStart w:id="53" w:name="_Toc256000044"/>
      <w:bookmarkStart w:id="54" w:name="_Toc256000031"/>
      <w:bookmarkStart w:id="55" w:name="_Toc256000018"/>
      <w:bookmarkStart w:id="56" w:name="_Toc256000006"/>
      <w:bookmarkStart w:id="57" w:name="_Toc427841519"/>
      <w:bookmarkStart w:id="58" w:name="_Toc438116627"/>
      <w:bookmarkStart w:id="59" w:name="_Toc447629195"/>
      <w:bookmarkStart w:id="60" w:name="_Toc447879138"/>
      <w:bookmarkStart w:id="61" w:name="_Toc167864617"/>
      <w:bookmarkStart w:id="62" w:name="_Toc317171388"/>
      <w:bookmarkStart w:id="63" w:name="_Toc317171514"/>
      <w:bookmarkStart w:id="64" w:name="_Toc377388631"/>
      <w:bookmarkStart w:id="65" w:name="_Toc393194585"/>
      <w:bookmarkStart w:id="66" w:name="_Toc409446969"/>
      <w:r w:rsidRPr="008670A3">
        <w:t>Business Cost Calculator</w:t>
      </w:r>
      <w:bookmarkEnd w:id="51"/>
      <w:bookmarkEnd w:id="52"/>
      <w:bookmarkEnd w:id="53"/>
      <w:bookmarkEnd w:id="54"/>
      <w:bookmarkEnd w:id="55"/>
      <w:bookmarkEnd w:id="56"/>
      <w:bookmarkEnd w:id="57"/>
      <w:bookmarkEnd w:id="58"/>
      <w:bookmarkEnd w:id="59"/>
      <w:bookmarkEnd w:id="60"/>
    </w:p>
    <w:p w14:paraId="7E90E67A" w14:textId="77777777" w:rsidR="00544A63" w:rsidRDefault="00501C53" w:rsidP="00544A63">
      <w:pPr>
        <w:spacing w:before="120" w:after="120"/>
      </w:pPr>
      <w:bookmarkStart w:id="67" w:name="_Toc256000045"/>
      <w:bookmarkStart w:id="68" w:name="_Toc256000032"/>
      <w:bookmarkStart w:id="69" w:name="_Toc256000019"/>
      <w:bookmarkStart w:id="70" w:name="_Toc256000007"/>
      <w:bookmarkStart w:id="71" w:name="_Toc427841520"/>
      <w:bookmarkStart w:id="72" w:name="_Toc438116628"/>
      <w:bookmarkStart w:id="73" w:name="_Toc447629196"/>
      <w:r>
        <w:t xml:space="preserve">There will be no significant regulatory saving associated with this </w:t>
      </w:r>
      <w:r>
        <w:t>amendment</w:t>
      </w:r>
      <w:r>
        <w:t xml:space="preserve">, </w:t>
      </w:r>
      <w:r w:rsidRPr="00BC675B">
        <w:t xml:space="preserve">as the </w:t>
      </w:r>
      <w:r>
        <w:t>change</w:t>
      </w:r>
      <w:r w:rsidRPr="00BC675B">
        <w:t xml:space="preserve"> aligns the vehicle standard with in-service requirements and improves clarity.</w:t>
      </w:r>
    </w:p>
    <w:p w14:paraId="7E90E67B" w14:textId="77777777" w:rsidR="00933AA9" w:rsidRPr="00933AA9" w:rsidRDefault="00501C53" w:rsidP="00226FE5">
      <w:pPr>
        <w:pStyle w:val="Heading2"/>
      </w:pPr>
      <w:bookmarkStart w:id="74" w:name="_Toc256000071"/>
      <w:bookmarkStart w:id="75" w:name="_Toc256000058"/>
      <w:bookmarkStart w:id="76" w:name="_Toc447879139"/>
      <w:r w:rsidRPr="00933AA9">
        <w:t>General Consultation Arrangements</w:t>
      </w:r>
      <w:bookmarkEnd w:id="74"/>
      <w:bookmarkEnd w:id="75"/>
      <w:bookmarkEnd w:id="61"/>
      <w:bookmarkEnd w:id="62"/>
      <w:bookmarkEnd w:id="63"/>
      <w:bookmarkEnd w:id="64"/>
      <w:bookmarkEnd w:id="65"/>
      <w:bookmarkEnd w:id="66"/>
      <w:bookmarkEnd w:id="67"/>
      <w:bookmarkEnd w:id="68"/>
      <w:bookmarkEnd w:id="69"/>
      <w:bookmarkEnd w:id="70"/>
      <w:bookmarkEnd w:id="71"/>
      <w:bookmarkEnd w:id="72"/>
      <w:bookmarkEnd w:id="73"/>
      <w:bookmarkEnd w:id="76"/>
    </w:p>
    <w:p w14:paraId="7E90E67C" w14:textId="77777777" w:rsidR="00933AA9" w:rsidRPr="00933AA9" w:rsidRDefault="00501C53" w:rsidP="00933AA9">
      <w:pPr>
        <w:spacing w:after="240"/>
        <w:rPr>
          <w:rFonts w:cs="Arial"/>
        </w:rPr>
      </w:pPr>
      <w:r w:rsidRPr="00933AA9">
        <w:rPr>
          <w:rFonts w:cs="Arial"/>
        </w:rPr>
        <w:t xml:space="preserve">It has </w:t>
      </w:r>
      <w:r w:rsidRPr="00933AA9">
        <w:rPr>
          <w:rFonts w:cs="Arial"/>
        </w:rPr>
        <w:t>been longstanding practice to consult widely on proposed new or amended vehicle standards.  For many years there has been active collaboration between the Federal Government and the state/territory governments, as well as consultation with industry and con</w:t>
      </w:r>
      <w:r w:rsidRPr="00933AA9">
        <w:rPr>
          <w:rFonts w:cs="Arial"/>
        </w:rPr>
        <w:t>sumer groups.  Much of the consultation takes place within institutional arrangements established for this purpose.  The analysis and documentation prepared in a particular case, and the bodies consulted, depend on the degree of impact the new or amended s</w:t>
      </w:r>
      <w:r w:rsidRPr="00933AA9">
        <w:rPr>
          <w:rFonts w:cs="Arial"/>
        </w:rPr>
        <w:t>tandard is expected to have on industry or road users.</w:t>
      </w:r>
    </w:p>
    <w:p w14:paraId="7E90E67D" w14:textId="77777777" w:rsidR="00933AA9" w:rsidRPr="00933AA9" w:rsidRDefault="00501C53" w:rsidP="00933AA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w:t>
      </w:r>
      <w:r w:rsidRPr="00933AA9">
        <w:rPr>
          <w:rFonts w:cs="Arial"/>
        </w:rPr>
        <w:t xml:space="preserve">iaison Group (TLG), Transport and </w:t>
      </w:r>
      <w:r w:rsidRPr="00933AA9">
        <w:rPr>
          <w:rFonts w:cs="Arial"/>
        </w:rPr>
        <w:lastRenderedPageBreak/>
        <w:t>Infrastructure Senior Officials’ Committee (TISOC) and the Transport and Infrastructure Council</w:t>
      </w:r>
      <w:r>
        <w:rPr>
          <w:rFonts w:cs="Arial"/>
        </w:rPr>
        <w:t xml:space="preserve"> (TIC)</w:t>
      </w:r>
      <w:r w:rsidRPr="00933AA9">
        <w:rPr>
          <w:rFonts w:cs="Arial"/>
        </w:rPr>
        <w:t>.</w:t>
      </w:r>
    </w:p>
    <w:p w14:paraId="7E90E67E" w14:textId="77777777" w:rsidR="00933AA9" w:rsidRPr="00933AA9" w:rsidRDefault="00501C53" w:rsidP="00933AA9">
      <w:pPr>
        <w:numPr>
          <w:ilvl w:val="0"/>
          <w:numId w:val="23"/>
        </w:numPr>
        <w:spacing w:after="160"/>
        <w:rPr>
          <w:rFonts w:cs="Arial"/>
        </w:rPr>
      </w:pPr>
      <w:r w:rsidRPr="00933AA9">
        <w:t>SVSEG</w:t>
      </w:r>
      <w:r w:rsidRPr="00933AA9">
        <w:rPr>
          <w:rFonts w:cs="Arial"/>
        </w:rPr>
        <w:t xml:space="preserve"> consists of senior representatives of government agencies (Australian and state/territory), the National Transpor</w:t>
      </w:r>
      <w:r w:rsidRPr="00933AA9">
        <w:rPr>
          <w:rFonts w:cs="Arial"/>
        </w:rPr>
        <w:t>t Commission and the National Heavy Vehicle Regulator, the manufacturing and operational arms of the industry (including organisations such as the Federal Chamber of Automotive Industries and the Australian Trucking Association) and of representative organ</w:t>
      </w:r>
      <w:r w:rsidRPr="00933AA9">
        <w:rPr>
          <w:rFonts w:cs="Arial"/>
        </w:rPr>
        <w:t>isations of consumers and road users (particularly through the Australian Automobile Association).</w:t>
      </w:r>
    </w:p>
    <w:p w14:paraId="7E90E67F" w14:textId="77777777" w:rsidR="00933AA9" w:rsidRPr="00933AA9" w:rsidRDefault="00501C53" w:rsidP="00933AA9">
      <w:pPr>
        <w:numPr>
          <w:ilvl w:val="0"/>
          <w:numId w:val="23"/>
        </w:numPr>
        <w:spacing w:after="160"/>
        <w:rPr>
          <w:rFonts w:cs="Arial"/>
        </w:rPr>
      </w:pPr>
      <w:r w:rsidRPr="00933AA9">
        <w:rPr>
          <w:rFonts w:cs="Arial"/>
        </w:rPr>
        <w:t>AMVCB consists of technical representatives of government regulatory authorities (Australian and state/territory) that deal with ADR and other general vehicl</w:t>
      </w:r>
      <w:r w:rsidRPr="00933AA9">
        <w:rPr>
          <w:rFonts w:cs="Arial"/>
        </w:rPr>
        <w:t>e issues, and the National Transport Commission and the National Heavy Vehicle Regulator.</w:t>
      </w:r>
    </w:p>
    <w:p w14:paraId="7E90E680" w14:textId="77777777" w:rsidR="00933AA9" w:rsidRPr="00933AA9" w:rsidRDefault="00501C53" w:rsidP="00933AA9">
      <w:pPr>
        <w:numPr>
          <w:ilvl w:val="0"/>
          <w:numId w:val="23"/>
        </w:numPr>
        <w:spacing w:after="160"/>
        <w:rPr>
          <w:rFonts w:cs="Arial"/>
        </w:rPr>
      </w:pPr>
      <w:r w:rsidRPr="00933AA9">
        <w:rPr>
          <w:rFonts w:cs="Arial"/>
        </w:rPr>
        <w:t>TLG consists of technical representatives of government agencies (Australian and state/territory), the National Transport Commission and the National Heavy Vehicle Re</w:t>
      </w:r>
      <w:r w:rsidRPr="00933AA9">
        <w:rPr>
          <w:rFonts w:cs="Arial"/>
        </w:rPr>
        <w:t>gulator, the manufacturing and operational arms of the industry and of representative organisations of consumers and road users (the same organisations as represented in SVSEG).</w:t>
      </w:r>
    </w:p>
    <w:p w14:paraId="7E90E681" w14:textId="77777777" w:rsidR="007A3C52" w:rsidRPr="00933AA9" w:rsidRDefault="00501C53" w:rsidP="007A3C52">
      <w:pPr>
        <w:numPr>
          <w:ilvl w:val="0"/>
          <w:numId w:val="23"/>
        </w:numPr>
        <w:spacing w:after="160"/>
        <w:rPr>
          <w:rFonts w:cs="Arial"/>
        </w:rPr>
      </w:pPr>
      <w:r w:rsidRPr="00933AA9">
        <w:rPr>
          <w:rFonts w:cs="Arial"/>
        </w:rPr>
        <w:t>TISOC consists of state and territory transport and/or infrastructure Chief Ex</w:t>
      </w:r>
      <w:r w:rsidRPr="00933AA9">
        <w:rPr>
          <w:rFonts w:cs="Arial"/>
        </w:rPr>
        <w:t xml:space="preserve">ecutive Officers (CEO) (or equivalents), the CEO of the National Transport Commission, </w:t>
      </w:r>
      <w:r>
        <w:rPr>
          <w:rFonts w:cs="Arial"/>
        </w:rPr>
        <w:t xml:space="preserve">Ministry of Transport in </w:t>
      </w:r>
      <w:r w:rsidRPr="00933AA9">
        <w:rPr>
          <w:rFonts w:cs="Arial"/>
        </w:rPr>
        <w:t>New Zealand and the Australian Local Government Association.</w:t>
      </w:r>
    </w:p>
    <w:p w14:paraId="7E90E682" w14:textId="77777777" w:rsidR="00933AA9" w:rsidRPr="00933AA9" w:rsidRDefault="00501C53" w:rsidP="00933AA9">
      <w:pPr>
        <w:numPr>
          <w:ilvl w:val="0"/>
          <w:numId w:val="23"/>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w:t>
      </w:r>
      <w:r w:rsidRPr="00933AA9">
        <w:rPr>
          <w:rFonts w:cs="Arial"/>
        </w:rPr>
        <w:t>responsibility for transport and infrastructure issues.</w:t>
      </w:r>
    </w:p>
    <w:p w14:paraId="7E90E683" w14:textId="77777777" w:rsidR="00933AA9" w:rsidRPr="00933AA9" w:rsidRDefault="00501C53" w:rsidP="00933AA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7E90E684" w14:textId="77777777" w:rsidR="00933AA9" w:rsidRPr="00933AA9" w:rsidRDefault="00501C53" w:rsidP="00933AA9">
      <w:pPr>
        <w:spacing w:after="240"/>
        <w:rPr>
          <w:rFonts w:cs="Arial"/>
          <w:i/>
        </w:rPr>
      </w:pPr>
      <w:r w:rsidRPr="00933AA9">
        <w:rPr>
          <w:rFonts w:cs="Arial"/>
        </w:rPr>
        <w:t>Proposals that are reg</w:t>
      </w:r>
      <w:r w:rsidRPr="00933AA9">
        <w:rPr>
          <w:rFonts w:cs="Arial"/>
        </w:rPr>
        <w:t xml:space="preserve">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w:t>
      </w:r>
      <w:r w:rsidRPr="00933AA9">
        <w:rPr>
          <w:rFonts w:cs="Arial"/>
          <w:i/>
          <w:iCs/>
        </w:rPr>
        <w:t>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7E90E685" w14:textId="77777777" w:rsidR="0012676A" w:rsidRDefault="00501C53" w:rsidP="000537E9">
      <w:pPr>
        <w:pStyle w:val="Heading2"/>
      </w:pPr>
      <w:bookmarkStart w:id="77" w:name="_Toc256000072"/>
      <w:bookmarkStart w:id="78" w:name="_Toc256000059"/>
      <w:bookmarkStart w:id="79" w:name="_Toc256000046"/>
      <w:bookmarkStart w:id="80" w:name="_Toc256000033"/>
      <w:bookmarkStart w:id="81" w:name="_Toc256000020"/>
      <w:bookmarkStart w:id="82" w:name="_Toc256000008"/>
      <w:bookmarkStart w:id="83" w:name="_Toc427841521"/>
      <w:bookmarkStart w:id="84" w:name="_Toc438116629"/>
      <w:bookmarkStart w:id="85" w:name="_Toc447629197"/>
      <w:bookmarkStart w:id="86" w:name="_Toc447879140"/>
      <w:r>
        <w:t>Specific Consultation Arrangements for this Vehicle Standard</w:t>
      </w:r>
      <w:bookmarkEnd w:id="77"/>
      <w:bookmarkEnd w:id="78"/>
      <w:bookmarkEnd w:id="79"/>
      <w:bookmarkEnd w:id="80"/>
      <w:bookmarkEnd w:id="81"/>
      <w:bookmarkEnd w:id="82"/>
      <w:bookmarkEnd w:id="83"/>
      <w:bookmarkEnd w:id="84"/>
      <w:bookmarkEnd w:id="85"/>
      <w:bookmarkEnd w:id="86"/>
    </w:p>
    <w:p w14:paraId="7E90E686" w14:textId="77777777" w:rsidR="00254354" w:rsidRPr="005451D4" w:rsidRDefault="00501C53" w:rsidP="00933AA9">
      <w:pPr>
        <w:spacing w:after="240"/>
        <w:rPr>
          <w:highlight w:val="yellow"/>
        </w:rPr>
      </w:pPr>
      <w:r w:rsidRPr="00C63C3C">
        <w:rPr>
          <w:rFonts w:cs="Arial"/>
        </w:rPr>
        <w:t xml:space="preserve">This amendment was agreed in-principle by the AMVCB at meeting 221 and the TLG at meeting 40 in October 2015.  </w:t>
      </w:r>
      <w:r w:rsidRPr="008670A3">
        <w:t>Following full consideration of technical issues and more detailed consultation, the proposal was finally agreed in March 2016.</w:t>
      </w:r>
    </w:p>
    <w:p w14:paraId="7E90E687" w14:textId="77777777" w:rsidR="00FB7720" w:rsidRPr="00FB7720" w:rsidRDefault="00501C53" w:rsidP="00933AA9">
      <w:pPr>
        <w:spacing w:after="240"/>
      </w:pPr>
      <w:r w:rsidRPr="008670A3">
        <w:t xml:space="preserve">As the amendment </w:t>
      </w:r>
      <w:r w:rsidRPr="008670A3">
        <w:t>is minor in nature, and does not increase the stringency of the ADR, there is no need for further consultation through TISOC, the Council, or the public comment process.</w:t>
      </w:r>
    </w:p>
    <w:p w14:paraId="7E90E688" w14:textId="77777777" w:rsidR="002A0409" w:rsidRDefault="00501C53">
      <w:bookmarkStart w:id="87" w:name="_Toc256000047"/>
      <w:bookmarkStart w:id="88" w:name="_Toc256000034"/>
      <w:bookmarkStart w:id="89" w:name="_Toc256000021"/>
      <w:bookmarkStart w:id="90" w:name="_Toc256000009"/>
      <w:bookmarkStart w:id="91" w:name="_Toc427841522"/>
      <w:bookmarkStart w:id="92" w:name="_Toc438116630"/>
      <w:bookmarkStart w:id="93" w:name="_Toc447629198"/>
      <w:r>
        <w:br w:type="page"/>
      </w:r>
    </w:p>
    <w:p w14:paraId="7E90E689" w14:textId="77777777" w:rsidR="00933AA9" w:rsidRDefault="00501C53" w:rsidP="00933AA9">
      <w:pPr>
        <w:pStyle w:val="Heading2"/>
      </w:pPr>
      <w:bookmarkStart w:id="94" w:name="_Toc256000073"/>
      <w:bookmarkStart w:id="95" w:name="_Toc256000060"/>
      <w:bookmarkStart w:id="96" w:name="_Toc447879141"/>
      <w:r>
        <w:lastRenderedPageBreak/>
        <w:t>Regulation Impact Statement</w:t>
      </w:r>
      <w:bookmarkEnd w:id="94"/>
      <w:bookmarkEnd w:id="95"/>
      <w:bookmarkEnd w:id="87"/>
      <w:bookmarkEnd w:id="88"/>
      <w:bookmarkEnd w:id="89"/>
      <w:bookmarkEnd w:id="90"/>
      <w:bookmarkEnd w:id="91"/>
      <w:bookmarkEnd w:id="92"/>
      <w:bookmarkEnd w:id="93"/>
      <w:bookmarkEnd w:id="96"/>
    </w:p>
    <w:p w14:paraId="7E90E68A" w14:textId="77777777" w:rsidR="005152F7" w:rsidRPr="008670A3" w:rsidRDefault="00501C53" w:rsidP="005152F7">
      <w:pPr>
        <w:spacing w:after="120"/>
        <w:rPr>
          <w:rFonts w:cs="Arial"/>
        </w:rPr>
      </w:pPr>
      <w:r w:rsidRPr="008670A3">
        <w:rPr>
          <w:rFonts w:cs="Arial"/>
        </w:rPr>
        <w:t xml:space="preserve">As the proposed amendment does not increase the </w:t>
      </w:r>
      <w:r w:rsidRPr="008670A3">
        <w:rPr>
          <w:rFonts w:cs="Arial"/>
        </w:rPr>
        <w:t>stringency of the ADR, a Regulation Impact Statement is not required.</w:t>
      </w:r>
    </w:p>
    <w:p w14:paraId="7E90E68B" w14:textId="77777777" w:rsidR="001613E5" w:rsidRPr="00933AA9" w:rsidRDefault="00501C53" w:rsidP="005152F7">
      <w:pPr>
        <w:spacing w:after="120"/>
        <w:rPr>
          <w:rFonts w:cs="Arial"/>
        </w:rPr>
      </w:pPr>
      <w:r w:rsidRPr="00BC675B">
        <w:rPr>
          <w:rFonts w:cs="Arial"/>
        </w:rPr>
        <w:t>Since the decision is made by the Minister for Territories, Local Government and Major Projects without reference to the Council and the proposal is not considered significant, the Offic</w:t>
      </w:r>
      <w:r w:rsidRPr="00BC675B">
        <w:rPr>
          <w:rFonts w:cs="Arial"/>
        </w:rPr>
        <w:t xml:space="preserve">e of Best Practice Regulation (OBPR) requirements have been met for this regulatory proposal (OBPR reference ID </w:t>
      </w:r>
      <w:r w:rsidRPr="00BC675B">
        <w:rPr>
          <w:rFonts w:cs="Arial"/>
        </w:rPr>
        <w:t>20663</w:t>
      </w:r>
      <w:r w:rsidRPr="00BC675B">
        <w:rPr>
          <w:rFonts w:cs="Arial"/>
        </w:rPr>
        <w:t>).</w:t>
      </w:r>
    </w:p>
    <w:p w14:paraId="7E90E68C" w14:textId="77777777" w:rsidR="000537E9" w:rsidRPr="00CA7971" w:rsidRDefault="00501C53" w:rsidP="002D2D87">
      <w:pPr>
        <w:pStyle w:val="Heading1"/>
      </w:pPr>
      <w:bookmarkStart w:id="97" w:name="_Toc256000074"/>
      <w:bookmarkStart w:id="98" w:name="_Toc256000061"/>
      <w:bookmarkStart w:id="99" w:name="_Toc256000048"/>
      <w:bookmarkStart w:id="100" w:name="_Toc256000035"/>
      <w:bookmarkStart w:id="101" w:name="_Toc256000022"/>
      <w:bookmarkStart w:id="102" w:name="_Toc256000010"/>
      <w:bookmarkStart w:id="103" w:name="_Toc409446972"/>
      <w:bookmarkStart w:id="104" w:name="_Toc427841523"/>
      <w:bookmarkStart w:id="105" w:name="_Toc438116631"/>
      <w:bookmarkStart w:id="106" w:name="_Toc447629199"/>
      <w:bookmarkStart w:id="107" w:name="_Toc447879142"/>
      <w:r w:rsidRPr="00CA7971">
        <w:t>STATEMENT OF COMPATIBILITY WITH HUMAN RIGHTS</w:t>
      </w:r>
      <w:bookmarkEnd w:id="97"/>
      <w:bookmarkEnd w:id="98"/>
      <w:bookmarkEnd w:id="99"/>
      <w:bookmarkEnd w:id="100"/>
      <w:bookmarkEnd w:id="101"/>
      <w:bookmarkEnd w:id="102"/>
      <w:bookmarkEnd w:id="103"/>
      <w:bookmarkEnd w:id="104"/>
      <w:bookmarkEnd w:id="105"/>
      <w:bookmarkEnd w:id="106"/>
      <w:bookmarkEnd w:id="107"/>
    </w:p>
    <w:p w14:paraId="7E90E68D" w14:textId="77777777" w:rsidR="000537E9" w:rsidRPr="00CA7971" w:rsidRDefault="00501C53" w:rsidP="000537E9">
      <w:r w:rsidRPr="00CA7971">
        <w:t xml:space="preserve">The following Statement is prepared in accordance with Part 3 of the </w:t>
      </w:r>
      <w:r w:rsidRPr="00CA7971">
        <w:rPr>
          <w:i/>
          <w:iCs/>
        </w:rPr>
        <w:t>Human Rights (Parliame</w:t>
      </w:r>
      <w:r w:rsidRPr="00CA7971">
        <w:rPr>
          <w:i/>
          <w:iCs/>
        </w:rPr>
        <w:t>ntary Scrutiny) Act 2011.</w:t>
      </w:r>
      <w:r w:rsidRPr="00CA7971">
        <w:t xml:space="preserve"> </w:t>
      </w:r>
    </w:p>
    <w:p w14:paraId="7E90E68E" w14:textId="77777777" w:rsidR="000537E9" w:rsidRPr="00CA7971" w:rsidRDefault="00501C53" w:rsidP="000537E9">
      <w:pPr>
        <w:pStyle w:val="Heading2"/>
      </w:pPr>
      <w:bookmarkStart w:id="108" w:name="_Toc256000075"/>
      <w:bookmarkStart w:id="109" w:name="_Toc256000062"/>
      <w:bookmarkStart w:id="110" w:name="_Toc256000049"/>
      <w:bookmarkStart w:id="111" w:name="_Toc256000036"/>
      <w:bookmarkStart w:id="112" w:name="_Toc256000023"/>
      <w:bookmarkStart w:id="113" w:name="_Toc256000011"/>
      <w:bookmarkStart w:id="114" w:name="_Toc318271646"/>
      <w:bookmarkStart w:id="115" w:name="_Toc317171518"/>
      <w:bookmarkStart w:id="116" w:name="_Toc317171392"/>
      <w:bookmarkStart w:id="117" w:name="_Toc318272905"/>
      <w:bookmarkStart w:id="118" w:name="_Toc319402530"/>
      <w:bookmarkStart w:id="119" w:name="_Toc390430620"/>
      <w:bookmarkStart w:id="120" w:name="_Toc409446973"/>
      <w:bookmarkStart w:id="121" w:name="_Toc427841524"/>
      <w:bookmarkStart w:id="122" w:name="_Toc438116632"/>
      <w:bookmarkStart w:id="123" w:name="_Toc447629200"/>
      <w:bookmarkStart w:id="124" w:name="_Toc447879143"/>
      <w:r w:rsidRPr="00CA7971">
        <w:t>Overview of the Legislative Instrument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E90E68F" w14:textId="77777777" w:rsidR="000537E9" w:rsidRPr="00CA7971" w:rsidRDefault="00501C53" w:rsidP="000537E9">
      <w:r w:rsidRPr="008670A3">
        <w:t xml:space="preserve">This amendment clarifies the requirements related to overall vehicle dimensions, and aligns </w:t>
      </w:r>
      <w:r>
        <w:t>some</w:t>
      </w:r>
      <w:r w:rsidRPr="008670A3">
        <w:t xml:space="preserve"> dimensions with in-service requirements.</w:t>
      </w:r>
      <w:r>
        <w:t xml:space="preserve">  </w:t>
      </w:r>
    </w:p>
    <w:p w14:paraId="7E90E690" w14:textId="77777777" w:rsidR="000537E9" w:rsidRPr="00CA7971" w:rsidRDefault="00501C53" w:rsidP="000537E9">
      <w:pPr>
        <w:pStyle w:val="Heading2"/>
      </w:pPr>
      <w:bookmarkStart w:id="125" w:name="_Toc256000076"/>
      <w:bookmarkStart w:id="126" w:name="_Toc256000063"/>
      <w:bookmarkStart w:id="127" w:name="_Toc256000050"/>
      <w:bookmarkStart w:id="128" w:name="_Toc256000037"/>
      <w:bookmarkStart w:id="129" w:name="_Toc256000024"/>
      <w:bookmarkStart w:id="130" w:name="_Toc256000012"/>
      <w:bookmarkStart w:id="131" w:name="_Toc318271647"/>
      <w:bookmarkStart w:id="132" w:name="_Toc317171519"/>
      <w:bookmarkStart w:id="133" w:name="_Toc317171393"/>
      <w:bookmarkStart w:id="134" w:name="_Toc318272906"/>
      <w:bookmarkStart w:id="135" w:name="_Toc319402531"/>
      <w:bookmarkStart w:id="136" w:name="_Toc390430621"/>
      <w:bookmarkStart w:id="137" w:name="_Toc409446974"/>
      <w:bookmarkStart w:id="138" w:name="_Toc427841525"/>
      <w:bookmarkStart w:id="139" w:name="_Toc438116633"/>
      <w:bookmarkStart w:id="140" w:name="_Toc447629201"/>
      <w:bookmarkStart w:id="141" w:name="_Toc447879144"/>
      <w:r w:rsidRPr="00CA7971">
        <w:t>Human Rights Implications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E90E691" w14:textId="77777777" w:rsidR="000537E9" w:rsidRDefault="00501C53" w:rsidP="000537E9">
      <w:bookmarkStart w:id="142" w:name="_Toc319402532"/>
      <w:r w:rsidRPr="000014C0">
        <w:t xml:space="preserve">This amendment to ADR </w:t>
      </w:r>
      <w:r>
        <w:t>43</w:t>
      </w:r>
      <w:r>
        <w:t>/04</w:t>
      </w:r>
      <w:r w:rsidRPr="000014C0">
        <w:t xml:space="preserve"> does not engage any of the human rights and freedoms recognised or declared in the international instruments listed in section 3 of the </w:t>
      </w:r>
      <w:r w:rsidRPr="000014C0">
        <w:rPr>
          <w:i/>
        </w:rPr>
        <w:t>Human Rights (Parliamentary Scrutiny) Act 2011</w:t>
      </w:r>
      <w:r w:rsidRPr="000014C0">
        <w:t>.</w:t>
      </w:r>
    </w:p>
    <w:p w14:paraId="7E90E692" w14:textId="77777777" w:rsidR="000537E9" w:rsidRPr="00CA7971" w:rsidRDefault="00501C53" w:rsidP="000537E9">
      <w:pPr>
        <w:pStyle w:val="Heading2"/>
      </w:pPr>
      <w:bookmarkStart w:id="143" w:name="_Toc256000077"/>
      <w:bookmarkStart w:id="144" w:name="_Toc256000064"/>
      <w:bookmarkStart w:id="145" w:name="_Toc256000051"/>
      <w:bookmarkStart w:id="146" w:name="_Toc256000038"/>
      <w:bookmarkStart w:id="147" w:name="_Toc256000025"/>
      <w:bookmarkStart w:id="148" w:name="_Toc256000013"/>
      <w:bookmarkStart w:id="149" w:name="_Toc409446975"/>
      <w:bookmarkStart w:id="150" w:name="_Toc427841526"/>
      <w:bookmarkStart w:id="151" w:name="_Toc438116634"/>
      <w:bookmarkStart w:id="152" w:name="_Toc447629202"/>
      <w:bookmarkStart w:id="153" w:name="_Toc447879145"/>
      <w:r w:rsidRPr="00CA7971">
        <w:t>Conclusion</w:t>
      </w:r>
      <w:bookmarkEnd w:id="143"/>
      <w:bookmarkEnd w:id="144"/>
      <w:bookmarkEnd w:id="142"/>
      <w:bookmarkEnd w:id="145"/>
      <w:bookmarkEnd w:id="146"/>
      <w:bookmarkEnd w:id="147"/>
      <w:bookmarkEnd w:id="148"/>
      <w:bookmarkEnd w:id="149"/>
      <w:bookmarkEnd w:id="150"/>
      <w:bookmarkEnd w:id="151"/>
      <w:bookmarkEnd w:id="152"/>
      <w:bookmarkEnd w:id="153"/>
    </w:p>
    <w:p w14:paraId="7E90E693" w14:textId="77777777" w:rsidR="008607BD" w:rsidRPr="008607BD" w:rsidRDefault="00501C53" w:rsidP="008607BD">
      <w:r w:rsidRPr="000014C0">
        <w:t xml:space="preserve">This amendment to ADR </w:t>
      </w:r>
      <w:r>
        <w:t>43/04</w:t>
      </w:r>
      <w:r w:rsidRPr="000014C0">
        <w:t xml:space="preserve"> is compatible with human righ</w:t>
      </w:r>
      <w:r w:rsidRPr="000014C0">
        <w:t>ts as it does not raise any human rights issues.</w:t>
      </w:r>
    </w:p>
    <w:sectPr w:rsidR="008607BD" w:rsidRPr="008607BD"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E6A2" w14:textId="77777777" w:rsidR="00000000" w:rsidRDefault="00501C53">
      <w:r>
        <w:separator/>
      </w:r>
    </w:p>
  </w:endnote>
  <w:endnote w:type="continuationSeparator" w:id="0">
    <w:p w14:paraId="7E90E6A4" w14:textId="77777777" w:rsidR="00000000" w:rsidRDefault="005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C149E2" w14:paraId="7E90E69C" w14:textId="77777777" w:rsidTr="00D36026">
      <w:tc>
        <w:tcPr>
          <w:tcW w:w="2906" w:type="dxa"/>
          <w:shd w:val="clear" w:color="auto" w:fill="auto"/>
        </w:tcPr>
        <w:p w14:paraId="7E90E699" w14:textId="77777777" w:rsidR="00B153DF" w:rsidRDefault="00501C53">
          <w:pPr>
            <w:pStyle w:val="Footer"/>
          </w:pPr>
        </w:p>
      </w:tc>
      <w:tc>
        <w:tcPr>
          <w:tcW w:w="2907" w:type="dxa"/>
          <w:shd w:val="clear" w:color="auto" w:fill="auto"/>
        </w:tcPr>
        <w:p w14:paraId="7E90E69A" w14:textId="77777777" w:rsidR="00B153DF" w:rsidRDefault="00501C53">
          <w:pPr>
            <w:pStyle w:val="Footer"/>
          </w:pPr>
        </w:p>
      </w:tc>
      <w:tc>
        <w:tcPr>
          <w:tcW w:w="2907" w:type="dxa"/>
          <w:shd w:val="clear" w:color="auto" w:fill="auto"/>
        </w:tcPr>
        <w:p w14:paraId="7E90E69B" w14:textId="77777777" w:rsidR="00B153DF" w:rsidRDefault="00501C53">
          <w:pPr>
            <w:pStyle w:val="Footer"/>
          </w:pPr>
        </w:p>
      </w:tc>
    </w:tr>
  </w:tbl>
  <w:p w14:paraId="7E90E69D" w14:textId="77777777" w:rsidR="00B153DF" w:rsidRDefault="0050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E69E" w14:textId="77777777" w:rsidR="00000000" w:rsidRDefault="00501C53">
      <w:r>
        <w:separator/>
      </w:r>
    </w:p>
  </w:footnote>
  <w:footnote w:type="continuationSeparator" w:id="0">
    <w:p w14:paraId="7E90E6A0" w14:textId="77777777" w:rsidR="00000000" w:rsidRDefault="0050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C149E2" w14:paraId="7E90E697" w14:textId="77777777" w:rsidTr="00D36026">
      <w:tc>
        <w:tcPr>
          <w:tcW w:w="7668" w:type="dxa"/>
          <w:shd w:val="clear" w:color="auto" w:fill="auto"/>
        </w:tcPr>
        <w:p w14:paraId="7E90E694" w14:textId="77777777" w:rsidR="00B153DF" w:rsidRPr="00D36026" w:rsidRDefault="00501C53" w:rsidP="008E7AAC">
          <w:pPr>
            <w:pStyle w:val="Header"/>
            <w:rPr>
              <w:szCs w:val="20"/>
            </w:rPr>
          </w:pPr>
          <w:r w:rsidRPr="00D36026">
            <w:rPr>
              <w:szCs w:val="20"/>
            </w:rPr>
            <w:t>Explanatory Statement</w:t>
          </w:r>
        </w:p>
        <w:p w14:paraId="7E90E695" w14:textId="77777777" w:rsidR="00B153DF" w:rsidRPr="00D36026" w:rsidRDefault="00501C53" w:rsidP="008F2E14">
          <w:pPr>
            <w:pStyle w:val="Header"/>
            <w:rPr>
              <w:szCs w:val="20"/>
            </w:rPr>
          </w:pPr>
          <w:r>
            <w:rPr>
              <w:szCs w:val="20"/>
            </w:rPr>
            <w:t>Vehicle Standard (</w:t>
          </w:r>
          <w:r w:rsidRPr="00D36026">
            <w:rPr>
              <w:szCs w:val="20"/>
            </w:rPr>
            <w:t xml:space="preserve">Australian Design Rule </w:t>
          </w:r>
          <w:r w:rsidRPr="00F46E9F">
            <w:rPr>
              <w:szCs w:val="20"/>
            </w:rPr>
            <w:t xml:space="preserve">43/04 – Vehicle Configuration and Dimensions) 2006 </w:t>
          </w:r>
          <w:r w:rsidRPr="00F46E9F">
            <w:rPr>
              <w:szCs w:val="20"/>
            </w:rPr>
            <w:t>Amendment 3</w:t>
          </w:r>
        </w:p>
      </w:tc>
      <w:tc>
        <w:tcPr>
          <w:tcW w:w="1052" w:type="dxa"/>
          <w:shd w:val="clear" w:color="auto" w:fill="auto"/>
        </w:tcPr>
        <w:p w14:paraId="7E90E696" w14:textId="77777777" w:rsidR="00B153DF" w:rsidRPr="00D36026" w:rsidRDefault="00501C53" w:rsidP="00D36026">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E90E698" w14:textId="77777777" w:rsidR="00B153DF" w:rsidRPr="00791D27" w:rsidRDefault="00501C53"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nsid w:val="12311F18"/>
    <w:multiLevelType w:val="hybridMultilevel"/>
    <w:tmpl w:val="1480BE92"/>
    <w:lvl w:ilvl="0" w:tplc="1D48D09A">
      <w:start w:val="1"/>
      <w:numFmt w:val="bullet"/>
      <w:lvlText w:val=""/>
      <w:lvlJc w:val="left"/>
      <w:pPr>
        <w:tabs>
          <w:tab w:val="num" w:pos="720"/>
        </w:tabs>
        <w:ind w:left="720" w:hanging="360"/>
      </w:pPr>
      <w:rPr>
        <w:rFonts w:ascii="Symbol" w:hAnsi="Symbol" w:hint="default"/>
      </w:rPr>
    </w:lvl>
    <w:lvl w:ilvl="1" w:tplc="1C7AD6DA" w:tentative="1">
      <w:start w:val="1"/>
      <w:numFmt w:val="bullet"/>
      <w:lvlText w:val="o"/>
      <w:lvlJc w:val="left"/>
      <w:pPr>
        <w:tabs>
          <w:tab w:val="num" w:pos="1440"/>
        </w:tabs>
        <w:ind w:left="1440" w:hanging="360"/>
      </w:pPr>
      <w:rPr>
        <w:rFonts w:ascii="Courier New" w:hAnsi="Courier New" w:cs="Courier New" w:hint="default"/>
      </w:rPr>
    </w:lvl>
    <w:lvl w:ilvl="2" w:tplc="06E01F78" w:tentative="1">
      <w:start w:val="1"/>
      <w:numFmt w:val="bullet"/>
      <w:lvlText w:val=""/>
      <w:lvlJc w:val="left"/>
      <w:pPr>
        <w:tabs>
          <w:tab w:val="num" w:pos="2160"/>
        </w:tabs>
        <w:ind w:left="2160" w:hanging="360"/>
      </w:pPr>
      <w:rPr>
        <w:rFonts w:ascii="Wingdings" w:hAnsi="Wingdings" w:hint="default"/>
      </w:rPr>
    </w:lvl>
    <w:lvl w:ilvl="3" w:tplc="C5086018" w:tentative="1">
      <w:start w:val="1"/>
      <w:numFmt w:val="bullet"/>
      <w:lvlText w:val=""/>
      <w:lvlJc w:val="left"/>
      <w:pPr>
        <w:tabs>
          <w:tab w:val="num" w:pos="2880"/>
        </w:tabs>
        <w:ind w:left="2880" w:hanging="360"/>
      </w:pPr>
      <w:rPr>
        <w:rFonts w:ascii="Symbol" w:hAnsi="Symbol" w:hint="default"/>
      </w:rPr>
    </w:lvl>
    <w:lvl w:ilvl="4" w:tplc="11229408" w:tentative="1">
      <w:start w:val="1"/>
      <w:numFmt w:val="bullet"/>
      <w:lvlText w:val="o"/>
      <w:lvlJc w:val="left"/>
      <w:pPr>
        <w:tabs>
          <w:tab w:val="num" w:pos="3600"/>
        </w:tabs>
        <w:ind w:left="3600" w:hanging="360"/>
      </w:pPr>
      <w:rPr>
        <w:rFonts w:ascii="Courier New" w:hAnsi="Courier New" w:cs="Courier New" w:hint="default"/>
      </w:rPr>
    </w:lvl>
    <w:lvl w:ilvl="5" w:tplc="8DA8D266" w:tentative="1">
      <w:start w:val="1"/>
      <w:numFmt w:val="bullet"/>
      <w:lvlText w:val=""/>
      <w:lvlJc w:val="left"/>
      <w:pPr>
        <w:tabs>
          <w:tab w:val="num" w:pos="4320"/>
        </w:tabs>
        <w:ind w:left="4320" w:hanging="360"/>
      </w:pPr>
      <w:rPr>
        <w:rFonts w:ascii="Wingdings" w:hAnsi="Wingdings" w:hint="default"/>
      </w:rPr>
    </w:lvl>
    <w:lvl w:ilvl="6" w:tplc="1444B70E" w:tentative="1">
      <w:start w:val="1"/>
      <w:numFmt w:val="bullet"/>
      <w:lvlText w:val=""/>
      <w:lvlJc w:val="left"/>
      <w:pPr>
        <w:tabs>
          <w:tab w:val="num" w:pos="5040"/>
        </w:tabs>
        <w:ind w:left="5040" w:hanging="360"/>
      </w:pPr>
      <w:rPr>
        <w:rFonts w:ascii="Symbol" w:hAnsi="Symbol" w:hint="default"/>
      </w:rPr>
    </w:lvl>
    <w:lvl w:ilvl="7" w:tplc="2990F120" w:tentative="1">
      <w:start w:val="1"/>
      <w:numFmt w:val="bullet"/>
      <w:lvlText w:val="o"/>
      <w:lvlJc w:val="left"/>
      <w:pPr>
        <w:tabs>
          <w:tab w:val="num" w:pos="5760"/>
        </w:tabs>
        <w:ind w:left="5760" w:hanging="360"/>
      </w:pPr>
      <w:rPr>
        <w:rFonts w:ascii="Courier New" w:hAnsi="Courier New" w:cs="Courier New" w:hint="default"/>
      </w:rPr>
    </w:lvl>
    <w:lvl w:ilvl="8" w:tplc="06506700" w:tentative="1">
      <w:start w:val="1"/>
      <w:numFmt w:val="bullet"/>
      <w:lvlText w:val=""/>
      <w:lvlJc w:val="left"/>
      <w:pPr>
        <w:tabs>
          <w:tab w:val="num" w:pos="6480"/>
        </w:tabs>
        <w:ind w:left="6480" w:hanging="360"/>
      </w:pPr>
      <w:rPr>
        <w:rFonts w:ascii="Wingdings" w:hAnsi="Wingdings" w:hint="default"/>
      </w:rPr>
    </w:lvl>
  </w:abstractNum>
  <w:abstractNum w:abstractNumId="2">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1F204C5C"/>
    <w:multiLevelType w:val="hybridMultilevel"/>
    <w:tmpl w:val="94947282"/>
    <w:lvl w:ilvl="0" w:tplc="CD946114">
      <w:start w:val="1"/>
      <w:numFmt w:val="bullet"/>
      <w:lvlText w:val=""/>
      <w:lvlJc w:val="left"/>
      <w:pPr>
        <w:tabs>
          <w:tab w:val="num" w:pos="720"/>
        </w:tabs>
        <w:ind w:left="720" w:hanging="360"/>
      </w:pPr>
      <w:rPr>
        <w:rFonts w:ascii="Symbol" w:hAnsi="Symbol" w:hint="default"/>
      </w:rPr>
    </w:lvl>
    <w:lvl w:ilvl="1" w:tplc="9EF6B062">
      <w:start w:val="1"/>
      <w:numFmt w:val="bullet"/>
      <w:lvlText w:val="o"/>
      <w:lvlJc w:val="left"/>
      <w:pPr>
        <w:tabs>
          <w:tab w:val="num" w:pos="1440"/>
        </w:tabs>
        <w:ind w:left="1440" w:hanging="360"/>
      </w:pPr>
      <w:rPr>
        <w:rFonts w:ascii="Courier New" w:hAnsi="Courier New" w:cs="Courier New" w:hint="default"/>
      </w:rPr>
    </w:lvl>
    <w:lvl w:ilvl="2" w:tplc="53FE9D62">
      <w:start w:val="1"/>
      <w:numFmt w:val="bullet"/>
      <w:lvlText w:val=""/>
      <w:lvlJc w:val="left"/>
      <w:pPr>
        <w:tabs>
          <w:tab w:val="num" w:pos="2160"/>
        </w:tabs>
        <w:ind w:left="2160" w:hanging="360"/>
      </w:pPr>
      <w:rPr>
        <w:rFonts w:ascii="Wingdings" w:hAnsi="Wingdings" w:hint="default"/>
      </w:rPr>
    </w:lvl>
    <w:lvl w:ilvl="3" w:tplc="2D80EA64">
      <w:start w:val="1"/>
      <w:numFmt w:val="bullet"/>
      <w:lvlText w:val=""/>
      <w:lvlJc w:val="left"/>
      <w:pPr>
        <w:tabs>
          <w:tab w:val="num" w:pos="2880"/>
        </w:tabs>
        <w:ind w:left="2880" w:hanging="360"/>
      </w:pPr>
      <w:rPr>
        <w:rFonts w:ascii="Symbol" w:hAnsi="Symbol" w:hint="default"/>
      </w:rPr>
    </w:lvl>
    <w:lvl w:ilvl="4" w:tplc="BEE29FD8" w:tentative="1">
      <w:start w:val="1"/>
      <w:numFmt w:val="bullet"/>
      <w:lvlText w:val="o"/>
      <w:lvlJc w:val="left"/>
      <w:pPr>
        <w:tabs>
          <w:tab w:val="num" w:pos="3600"/>
        </w:tabs>
        <w:ind w:left="3600" w:hanging="360"/>
      </w:pPr>
      <w:rPr>
        <w:rFonts w:ascii="Courier New" w:hAnsi="Courier New" w:cs="Courier New" w:hint="default"/>
      </w:rPr>
    </w:lvl>
    <w:lvl w:ilvl="5" w:tplc="A5A652A0" w:tentative="1">
      <w:start w:val="1"/>
      <w:numFmt w:val="bullet"/>
      <w:lvlText w:val=""/>
      <w:lvlJc w:val="left"/>
      <w:pPr>
        <w:tabs>
          <w:tab w:val="num" w:pos="4320"/>
        </w:tabs>
        <w:ind w:left="4320" w:hanging="360"/>
      </w:pPr>
      <w:rPr>
        <w:rFonts w:ascii="Wingdings" w:hAnsi="Wingdings" w:hint="default"/>
      </w:rPr>
    </w:lvl>
    <w:lvl w:ilvl="6" w:tplc="42FE810C" w:tentative="1">
      <w:start w:val="1"/>
      <w:numFmt w:val="bullet"/>
      <w:lvlText w:val=""/>
      <w:lvlJc w:val="left"/>
      <w:pPr>
        <w:tabs>
          <w:tab w:val="num" w:pos="5040"/>
        </w:tabs>
        <w:ind w:left="5040" w:hanging="360"/>
      </w:pPr>
      <w:rPr>
        <w:rFonts w:ascii="Symbol" w:hAnsi="Symbol" w:hint="default"/>
      </w:rPr>
    </w:lvl>
    <w:lvl w:ilvl="7" w:tplc="0E760F66" w:tentative="1">
      <w:start w:val="1"/>
      <w:numFmt w:val="bullet"/>
      <w:lvlText w:val="o"/>
      <w:lvlJc w:val="left"/>
      <w:pPr>
        <w:tabs>
          <w:tab w:val="num" w:pos="5760"/>
        </w:tabs>
        <w:ind w:left="5760" w:hanging="360"/>
      </w:pPr>
      <w:rPr>
        <w:rFonts w:ascii="Courier New" w:hAnsi="Courier New" w:cs="Courier New" w:hint="default"/>
      </w:rPr>
    </w:lvl>
    <w:lvl w:ilvl="8" w:tplc="27203B92" w:tentative="1">
      <w:start w:val="1"/>
      <w:numFmt w:val="bullet"/>
      <w:lvlText w:val=""/>
      <w:lvlJc w:val="left"/>
      <w:pPr>
        <w:tabs>
          <w:tab w:val="num" w:pos="6480"/>
        </w:tabs>
        <w:ind w:left="6480" w:hanging="360"/>
      </w:pPr>
      <w:rPr>
        <w:rFonts w:ascii="Wingdings" w:hAnsi="Wingdings" w:hint="default"/>
      </w:rPr>
    </w:lvl>
  </w:abstractNum>
  <w:abstractNum w:abstractNumId="4">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6">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4D16058E"/>
    <w:multiLevelType w:val="hybridMultilevel"/>
    <w:tmpl w:val="8B2A490A"/>
    <w:lvl w:ilvl="0" w:tplc="425087B6">
      <w:start w:val="1"/>
      <w:numFmt w:val="bullet"/>
      <w:lvlText w:val=""/>
      <w:lvlJc w:val="left"/>
      <w:pPr>
        <w:ind w:left="720" w:hanging="360"/>
      </w:pPr>
      <w:rPr>
        <w:rFonts w:ascii="Symbol" w:hAnsi="Symbol" w:hint="default"/>
      </w:rPr>
    </w:lvl>
    <w:lvl w:ilvl="1" w:tplc="C6B6B8C2" w:tentative="1">
      <w:start w:val="1"/>
      <w:numFmt w:val="bullet"/>
      <w:lvlText w:val="o"/>
      <w:lvlJc w:val="left"/>
      <w:pPr>
        <w:ind w:left="1440" w:hanging="360"/>
      </w:pPr>
      <w:rPr>
        <w:rFonts w:ascii="Courier New" w:hAnsi="Courier New" w:cs="Courier New" w:hint="default"/>
      </w:rPr>
    </w:lvl>
    <w:lvl w:ilvl="2" w:tplc="68166C7C" w:tentative="1">
      <w:start w:val="1"/>
      <w:numFmt w:val="bullet"/>
      <w:lvlText w:val=""/>
      <w:lvlJc w:val="left"/>
      <w:pPr>
        <w:ind w:left="2160" w:hanging="360"/>
      </w:pPr>
      <w:rPr>
        <w:rFonts w:ascii="Wingdings" w:hAnsi="Wingdings" w:hint="default"/>
      </w:rPr>
    </w:lvl>
    <w:lvl w:ilvl="3" w:tplc="44D4FD46" w:tentative="1">
      <w:start w:val="1"/>
      <w:numFmt w:val="bullet"/>
      <w:lvlText w:val=""/>
      <w:lvlJc w:val="left"/>
      <w:pPr>
        <w:ind w:left="2880" w:hanging="360"/>
      </w:pPr>
      <w:rPr>
        <w:rFonts w:ascii="Symbol" w:hAnsi="Symbol" w:hint="default"/>
      </w:rPr>
    </w:lvl>
    <w:lvl w:ilvl="4" w:tplc="2C1CA960" w:tentative="1">
      <w:start w:val="1"/>
      <w:numFmt w:val="bullet"/>
      <w:lvlText w:val="o"/>
      <w:lvlJc w:val="left"/>
      <w:pPr>
        <w:ind w:left="3600" w:hanging="360"/>
      </w:pPr>
      <w:rPr>
        <w:rFonts w:ascii="Courier New" w:hAnsi="Courier New" w:cs="Courier New" w:hint="default"/>
      </w:rPr>
    </w:lvl>
    <w:lvl w:ilvl="5" w:tplc="5B50955E" w:tentative="1">
      <w:start w:val="1"/>
      <w:numFmt w:val="bullet"/>
      <w:lvlText w:val=""/>
      <w:lvlJc w:val="left"/>
      <w:pPr>
        <w:ind w:left="4320" w:hanging="360"/>
      </w:pPr>
      <w:rPr>
        <w:rFonts w:ascii="Wingdings" w:hAnsi="Wingdings" w:hint="default"/>
      </w:rPr>
    </w:lvl>
    <w:lvl w:ilvl="6" w:tplc="B24C8D50" w:tentative="1">
      <w:start w:val="1"/>
      <w:numFmt w:val="bullet"/>
      <w:lvlText w:val=""/>
      <w:lvlJc w:val="left"/>
      <w:pPr>
        <w:ind w:left="5040" w:hanging="360"/>
      </w:pPr>
      <w:rPr>
        <w:rFonts w:ascii="Symbol" w:hAnsi="Symbol" w:hint="default"/>
      </w:rPr>
    </w:lvl>
    <w:lvl w:ilvl="7" w:tplc="B7C44E76" w:tentative="1">
      <w:start w:val="1"/>
      <w:numFmt w:val="bullet"/>
      <w:lvlText w:val="o"/>
      <w:lvlJc w:val="left"/>
      <w:pPr>
        <w:ind w:left="5760" w:hanging="360"/>
      </w:pPr>
      <w:rPr>
        <w:rFonts w:ascii="Courier New" w:hAnsi="Courier New" w:cs="Courier New" w:hint="default"/>
      </w:rPr>
    </w:lvl>
    <w:lvl w:ilvl="8" w:tplc="7EB20E12" w:tentative="1">
      <w:start w:val="1"/>
      <w:numFmt w:val="bullet"/>
      <w:lvlText w:val=""/>
      <w:lvlJc w:val="left"/>
      <w:pPr>
        <w:ind w:left="6480" w:hanging="360"/>
      </w:pPr>
      <w:rPr>
        <w:rFonts w:ascii="Wingdings" w:hAnsi="Wingdings" w:hint="default"/>
      </w:rPr>
    </w:lvl>
  </w:abstractNum>
  <w:abstractNum w:abstractNumId="8">
    <w:nsid w:val="58F7506F"/>
    <w:multiLevelType w:val="multilevel"/>
    <w:tmpl w:val="C1DC8DD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5F3D6657"/>
    <w:multiLevelType w:val="hybridMultilevel"/>
    <w:tmpl w:val="ECCA8118"/>
    <w:lvl w:ilvl="0" w:tplc="9AA07210">
      <w:start w:val="1"/>
      <w:numFmt w:val="bullet"/>
      <w:lvlText w:val=""/>
      <w:lvlJc w:val="left"/>
      <w:pPr>
        <w:tabs>
          <w:tab w:val="num" w:pos="720"/>
        </w:tabs>
        <w:ind w:left="720" w:hanging="360"/>
      </w:pPr>
      <w:rPr>
        <w:rFonts w:ascii="Symbol" w:hAnsi="Symbol" w:hint="default"/>
      </w:rPr>
    </w:lvl>
    <w:lvl w:ilvl="1" w:tplc="347AA51A">
      <w:start w:val="1"/>
      <w:numFmt w:val="bullet"/>
      <w:lvlText w:val="o"/>
      <w:lvlJc w:val="left"/>
      <w:pPr>
        <w:tabs>
          <w:tab w:val="num" w:pos="1440"/>
        </w:tabs>
        <w:ind w:left="1440" w:hanging="360"/>
      </w:pPr>
      <w:rPr>
        <w:rFonts w:ascii="Courier New" w:hAnsi="Courier New" w:cs="Courier New" w:hint="default"/>
      </w:rPr>
    </w:lvl>
    <w:lvl w:ilvl="2" w:tplc="5D8ACD84" w:tentative="1">
      <w:start w:val="1"/>
      <w:numFmt w:val="bullet"/>
      <w:lvlText w:val=""/>
      <w:lvlJc w:val="left"/>
      <w:pPr>
        <w:tabs>
          <w:tab w:val="num" w:pos="2160"/>
        </w:tabs>
        <w:ind w:left="2160" w:hanging="360"/>
      </w:pPr>
      <w:rPr>
        <w:rFonts w:ascii="Wingdings" w:hAnsi="Wingdings" w:hint="default"/>
      </w:rPr>
    </w:lvl>
    <w:lvl w:ilvl="3" w:tplc="CCD49370" w:tentative="1">
      <w:start w:val="1"/>
      <w:numFmt w:val="bullet"/>
      <w:lvlText w:val=""/>
      <w:lvlJc w:val="left"/>
      <w:pPr>
        <w:tabs>
          <w:tab w:val="num" w:pos="2880"/>
        </w:tabs>
        <w:ind w:left="2880" w:hanging="360"/>
      </w:pPr>
      <w:rPr>
        <w:rFonts w:ascii="Symbol" w:hAnsi="Symbol" w:hint="default"/>
      </w:rPr>
    </w:lvl>
    <w:lvl w:ilvl="4" w:tplc="D7FA5086" w:tentative="1">
      <w:start w:val="1"/>
      <w:numFmt w:val="bullet"/>
      <w:lvlText w:val="o"/>
      <w:lvlJc w:val="left"/>
      <w:pPr>
        <w:tabs>
          <w:tab w:val="num" w:pos="3600"/>
        </w:tabs>
        <w:ind w:left="3600" w:hanging="360"/>
      </w:pPr>
      <w:rPr>
        <w:rFonts w:ascii="Courier New" w:hAnsi="Courier New" w:cs="Courier New" w:hint="default"/>
      </w:rPr>
    </w:lvl>
    <w:lvl w:ilvl="5" w:tplc="8278B3F8" w:tentative="1">
      <w:start w:val="1"/>
      <w:numFmt w:val="bullet"/>
      <w:lvlText w:val=""/>
      <w:lvlJc w:val="left"/>
      <w:pPr>
        <w:tabs>
          <w:tab w:val="num" w:pos="4320"/>
        </w:tabs>
        <w:ind w:left="4320" w:hanging="360"/>
      </w:pPr>
      <w:rPr>
        <w:rFonts w:ascii="Wingdings" w:hAnsi="Wingdings" w:hint="default"/>
      </w:rPr>
    </w:lvl>
    <w:lvl w:ilvl="6" w:tplc="E820DBD8" w:tentative="1">
      <w:start w:val="1"/>
      <w:numFmt w:val="bullet"/>
      <w:lvlText w:val=""/>
      <w:lvlJc w:val="left"/>
      <w:pPr>
        <w:tabs>
          <w:tab w:val="num" w:pos="5040"/>
        </w:tabs>
        <w:ind w:left="5040" w:hanging="360"/>
      </w:pPr>
      <w:rPr>
        <w:rFonts w:ascii="Symbol" w:hAnsi="Symbol" w:hint="default"/>
      </w:rPr>
    </w:lvl>
    <w:lvl w:ilvl="7" w:tplc="A7E81630" w:tentative="1">
      <w:start w:val="1"/>
      <w:numFmt w:val="bullet"/>
      <w:lvlText w:val="o"/>
      <w:lvlJc w:val="left"/>
      <w:pPr>
        <w:tabs>
          <w:tab w:val="num" w:pos="5760"/>
        </w:tabs>
        <w:ind w:left="5760" w:hanging="360"/>
      </w:pPr>
      <w:rPr>
        <w:rFonts w:ascii="Courier New" w:hAnsi="Courier New" w:cs="Courier New" w:hint="default"/>
      </w:rPr>
    </w:lvl>
    <w:lvl w:ilvl="8" w:tplc="9A88FE70" w:tentative="1">
      <w:start w:val="1"/>
      <w:numFmt w:val="bullet"/>
      <w:lvlText w:val=""/>
      <w:lvlJc w:val="left"/>
      <w:pPr>
        <w:tabs>
          <w:tab w:val="num" w:pos="6480"/>
        </w:tabs>
        <w:ind w:left="6480" w:hanging="360"/>
      </w:pPr>
      <w:rPr>
        <w:rFonts w:ascii="Wingdings" w:hAnsi="Wingdings" w:hint="default"/>
      </w:rPr>
    </w:lvl>
  </w:abstractNum>
  <w:abstractNum w:abstractNumId="10">
    <w:nsid w:val="782503B6"/>
    <w:multiLevelType w:val="hybridMultilevel"/>
    <w:tmpl w:val="2B0A834C"/>
    <w:lvl w:ilvl="0" w:tplc="273E026C">
      <w:start w:val="1"/>
      <w:numFmt w:val="bullet"/>
      <w:lvlText w:val=""/>
      <w:lvlJc w:val="left"/>
      <w:pPr>
        <w:tabs>
          <w:tab w:val="num" w:pos="720"/>
        </w:tabs>
        <w:ind w:left="720" w:hanging="360"/>
      </w:pPr>
      <w:rPr>
        <w:rFonts w:ascii="Symbol" w:hAnsi="Symbol" w:hint="default"/>
      </w:rPr>
    </w:lvl>
    <w:lvl w:ilvl="1" w:tplc="507057B0" w:tentative="1">
      <w:start w:val="1"/>
      <w:numFmt w:val="bullet"/>
      <w:lvlText w:val="o"/>
      <w:lvlJc w:val="left"/>
      <w:pPr>
        <w:tabs>
          <w:tab w:val="num" w:pos="1440"/>
        </w:tabs>
        <w:ind w:left="1440" w:hanging="360"/>
      </w:pPr>
      <w:rPr>
        <w:rFonts w:ascii="Courier New" w:hAnsi="Courier New" w:cs="Courier New" w:hint="default"/>
      </w:rPr>
    </w:lvl>
    <w:lvl w:ilvl="2" w:tplc="7B40B40C" w:tentative="1">
      <w:start w:val="1"/>
      <w:numFmt w:val="bullet"/>
      <w:lvlText w:val=""/>
      <w:lvlJc w:val="left"/>
      <w:pPr>
        <w:tabs>
          <w:tab w:val="num" w:pos="2160"/>
        </w:tabs>
        <w:ind w:left="2160" w:hanging="360"/>
      </w:pPr>
      <w:rPr>
        <w:rFonts w:ascii="Wingdings" w:hAnsi="Wingdings" w:hint="default"/>
      </w:rPr>
    </w:lvl>
    <w:lvl w:ilvl="3" w:tplc="B8620780" w:tentative="1">
      <w:start w:val="1"/>
      <w:numFmt w:val="bullet"/>
      <w:lvlText w:val=""/>
      <w:lvlJc w:val="left"/>
      <w:pPr>
        <w:tabs>
          <w:tab w:val="num" w:pos="2880"/>
        </w:tabs>
        <w:ind w:left="2880" w:hanging="360"/>
      </w:pPr>
      <w:rPr>
        <w:rFonts w:ascii="Symbol" w:hAnsi="Symbol" w:hint="default"/>
      </w:rPr>
    </w:lvl>
    <w:lvl w:ilvl="4" w:tplc="2C46C26A" w:tentative="1">
      <w:start w:val="1"/>
      <w:numFmt w:val="bullet"/>
      <w:lvlText w:val="o"/>
      <w:lvlJc w:val="left"/>
      <w:pPr>
        <w:tabs>
          <w:tab w:val="num" w:pos="3600"/>
        </w:tabs>
        <w:ind w:left="3600" w:hanging="360"/>
      </w:pPr>
      <w:rPr>
        <w:rFonts w:ascii="Courier New" w:hAnsi="Courier New" w:cs="Courier New" w:hint="default"/>
      </w:rPr>
    </w:lvl>
    <w:lvl w:ilvl="5" w:tplc="04687EF4" w:tentative="1">
      <w:start w:val="1"/>
      <w:numFmt w:val="bullet"/>
      <w:lvlText w:val=""/>
      <w:lvlJc w:val="left"/>
      <w:pPr>
        <w:tabs>
          <w:tab w:val="num" w:pos="4320"/>
        </w:tabs>
        <w:ind w:left="4320" w:hanging="360"/>
      </w:pPr>
      <w:rPr>
        <w:rFonts w:ascii="Wingdings" w:hAnsi="Wingdings" w:hint="default"/>
      </w:rPr>
    </w:lvl>
    <w:lvl w:ilvl="6" w:tplc="FD9A9BAA" w:tentative="1">
      <w:start w:val="1"/>
      <w:numFmt w:val="bullet"/>
      <w:lvlText w:val=""/>
      <w:lvlJc w:val="left"/>
      <w:pPr>
        <w:tabs>
          <w:tab w:val="num" w:pos="5040"/>
        </w:tabs>
        <w:ind w:left="5040" w:hanging="360"/>
      </w:pPr>
      <w:rPr>
        <w:rFonts w:ascii="Symbol" w:hAnsi="Symbol" w:hint="default"/>
      </w:rPr>
    </w:lvl>
    <w:lvl w:ilvl="7" w:tplc="719E31F0" w:tentative="1">
      <w:start w:val="1"/>
      <w:numFmt w:val="bullet"/>
      <w:lvlText w:val="o"/>
      <w:lvlJc w:val="left"/>
      <w:pPr>
        <w:tabs>
          <w:tab w:val="num" w:pos="5760"/>
        </w:tabs>
        <w:ind w:left="5760" w:hanging="360"/>
      </w:pPr>
      <w:rPr>
        <w:rFonts w:ascii="Courier New" w:hAnsi="Courier New" w:cs="Courier New" w:hint="default"/>
      </w:rPr>
    </w:lvl>
    <w:lvl w:ilvl="8" w:tplc="337C8CCA" w:tentative="1">
      <w:start w:val="1"/>
      <w:numFmt w:val="bullet"/>
      <w:lvlText w:val=""/>
      <w:lvlJc w:val="left"/>
      <w:pPr>
        <w:tabs>
          <w:tab w:val="num" w:pos="6480"/>
        </w:tabs>
        <w:ind w:left="6480" w:hanging="360"/>
      </w:pPr>
      <w:rPr>
        <w:rFonts w:ascii="Wingdings" w:hAnsi="Wingdings" w:hint="default"/>
      </w:rPr>
    </w:lvl>
  </w:abstractNum>
  <w:abstractNum w:abstractNumId="11">
    <w:nsid w:val="7D161530"/>
    <w:multiLevelType w:val="hybridMultilevel"/>
    <w:tmpl w:val="F9CCAC8C"/>
    <w:lvl w:ilvl="0" w:tplc="3EE06FF0">
      <w:start w:val="1"/>
      <w:numFmt w:val="bullet"/>
      <w:lvlText w:val=""/>
      <w:lvlJc w:val="left"/>
      <w:pPr>
        <w:tabs>
          <w:tab w:val="num" w:pos="720"/>
        </w:tabs>
        <w:ind w:left="720" w:hanging="360"/>
      </w:pPr>
      <w:rPr>
        <w:rFonts w:ascii="Symbol" w:hAnsi="Symbol" w:hint="default"/>
      </w:rPr>
    </w:lvl>
    <w:lvl w:ilvl="1" w:tplc="C2B8A312" w:tentative="1">
      <w:start w:val="1"/>
      <w:numFmt w:val="bullet"/>
      <w:lvlText w:val="o"/>
      <w:lvlJc w:val="left"/>
      <w:pPr>
        <w:tabs>
          <w:tab w:val="num" w:pos="1440"/>
        </w:tabs>
        <w:ind w:left="1440" w:hanging="360"/>
      </w:pPr>
      <w:rPr>
        <w:rFonts w:ascii="Courier New" w:hAnsi="Courier New" w:cs="Courier New" w:hint="default"/>
      </w:rPr>
    </w:lvl>
    <w:lvl w:ilvl="2" w:tplc="8DE61F22" w:tentative="1">
      <w:start w:val="1"/>
      <w:numFmt w:val="bullet"/>
      <w:lvlText w:val=""/>
      <w:lvlJc w:val="left"/>
      <w:pPr>
        <w:tabs>
          <w:tab w:val="num" w:pos="2160"/>
        </w:tabs>
        <w:ind w:left="2160" w:hanging="360"/>
      </w:pPr>
      <w:rPr>
        <w:rFonts w:ascii="Wingdings" w:hAnsi="Wingdings" w:hint="default"/>
      </w:rPr>
    </w:lvl>
    <w:lvl w:ilvl="3" w:tplc="A448DE9A" w:tentative="1">
      <w:start w:val="1"/>
      <w:numFmt w:val="bullet"/>
      <w:lvlText w:val=""/>
      <w:lvlJc w:val="left"/>
      <w:pPr>
        <w:tabs>
          <w:tab w:val="num" w:pos="2880"/>
        </w:tabs>
        <w:ind w:left="2880" w:hanging="360"/>
      </w:pPr>
      <w:rPr>
        <w:rFonts w:ascii="Symbol" w:hAnsi="Symbol" w:hint="default"/>
      </w:rPr>
    </w:lvl>
    <w:lvl w:ilvl="4" w:tplc="365E4708" w:tentative="1">
      <w:start w:val="1"/>
      <w:numFmt w:val="bullet"/>
      <w:lvlText w:val="o"/>
      <w:lvlJc w:val="left"/>
      <w:pPr>
        <w:tabs>
          <w:tab w:val="num" w:pos="3600"/>
        </w:tabs>
        <w:ind w:left="3600" w:hanging="360"/>
      </w:pPr>
      <w:rPr>
        <w:rFonts w:ascii="Courier New" w:hAnsi="Courier New" w:cs="Courier New" w:hint="default"/>
      </w:rPr>
    </w:lvl>
    <w:lvl w:ilvl="5" w:tplc="915AB39C" w:tentative="1">
      <w:start w:val="1"/>
      <w:numFmt w:val="bullet"/>
      <w:lvlText w:val=""/>
      <w:lvlJc w:val="left"/>
      <w:pPr>
        <w:tabs>
          <w:tab w:val="num" w:pos="4320"/>
        </w:tabs>
        <w:ind w:left="4320" w:hanging="360"/>
      </w:pPr>
      <w:rPr>
        <w:rFonts w:ascii="Wingdings" w:hAnsi="Wingdings" w:hint="default"/>
      </w:rPr>
    </w:lvl>
    <w:lvl w:ilvl="6" w:tplc="1D2698C6" w:tentative="1">
      <w:start w:val="1"/>
      <w:numFmt w:val="bullet"/>
      <w:lvlText w:val=""/>
      <w:lvlJc w:val="left"/>
      <w:pPr>
        <w:tabs>
          <w:tab w:val="num" w:pos="5040"/>
        </w:tabs>
        <w:ind w:left="5040" w:hanging="360"/>
      </w:pPr>
      <w:rPr>
        <w:rFonts w:ascii="Symbol" w:hAnsi="Symbol" w:hint="default"/>
      </w:rPr>
    </w:lvl>
    <w:lvl w:ilvl="7" w:tplc="63EE3356" w:tentative="1">
      <w:start w:val="1"/>
      <w:numFmt w:val="bullet"/>
      <w:lvlText w:val="o"/>
      <w:lvlJc w:val="left"/>
      <w:pPr>
        <w:tabs>
          <w:tab w:val="num" w:pos="5760"/>
        </w:tabs>
        <w:ind w:left="5760" w:hanging="360"/>
      </w:pPr>
      <w:rPr>
        <w:rFonts w:ascii="Courier New" w:hAnsi="Courier New" w:cs="Courier New" w:hint="default"/>
      </w:rPr>
    </w:lvl>
    <w:lvl w:ilvl="8" w:tplc="EBCC927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E2"/>
    <w:rsid w:val="00501C53"/>
    <w:rsid w:val="00C149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90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47A7-B76D-48A3-8AD2-18D064E3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86ECF-1468-4453-934B-759EC90171CD}">
  <ds:schemaRefs>
    <ds:schemaRef ds:uri="http://schemas.microsoft.com/sharepoint/v3/contenttype/forms"/>
  </ds:schemaRefs>
</ds:datastoreItem>
</file>

<file path=customXml/itemProps3.xml><?xml version="1.0" encoding="utf-8"?>
<ds:datastoreItem xmlns:ds="http://schemas.openxmlformats.org/officeDocument/2006/customXml" ds:itemID="{60A71CC0-B1BE-488E-8280-2E304418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0</TotalTime>
  <Pages>5</Pages>
  <Words>1209</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BSR</dc:creator>
  <cp:lastModifiedBy>Bernard Smith-Roberts</cp:lastModifiedBy>
  <cp:revision>2</cp:revision>
  <cp:lastPrinted>2015-06-08T22:49:00Z</cp:lastPrinted>
  <dcterms:created xsi:type="dcterms:W3CDTF">2016-04-26T03:00:00Z</dcterms:created>
  <dcterms:modified xsi:type="dcterms:W3CDTF">2016-04-26T03:00:00Z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13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Sharon Nyakuengama</vt:lpwstr>
  </property>
  <property fmtid="{D5CDD505-2E9C-101B-9397-08002B2CF9AE}" pid="10" name="Ministers">
    <vt:lpwstr>Paul Fletcher</vt:lpwstr>
  </property>
  <property fmtid="{D5CDD505-2E9C-101B-9397-08002B2CF9AE}" pid="11" name="PdrId">
    <vt:lpwstr>MS16-000549</vt:lpwstr>
  </property>
  <property fmtid="{D5CDD505-2E9C-101B-9397-08002B2CF9AE}" pid="12" name="Principal">
    <vt:lpwstr>Minister Fletcher</vt:lpwstr>
  </property>
  <property fmtid="{D5CDD505-2E9C-101B-9397-08002B2CF9AE}" pid="13" name="ReasonForSensitivity">
    <vt:lpwstr/>
  </property>
  <property fmtid="{D5CDD505-2E9C-101B-9397-08002B2CF9AE}" pid="14" name="RegisteredDate">
    <vt:lpwstr>30 March 2016</vt:lpwstr>
  </property>
  <property fmtid="{D5CDD505-2E9C-101B-9397-08002B2CF9AE}" pid="15" name="RequestedAction">
    <vt:lpwstr>Agree/sign</vt:lpwstr>
  </property>
  <property fmtid="{D5CDD505-2E9C-101B-9397-08002B2CF9AE}" pid="16" name="ResponsibleMinister">
    <vt:lpwstr>Paul Fletcher</vt:lpwstr>
  </property>
  <property fmtid="{D5CDD505-2E9C-101B-9397-08002B2CF9AE}" pid="17" name="SecurityClassification">
    <vt:lpwstr>UNCLASSIFIED  </vt:lpwstr>
  </property>
  <property fmtid="{D5CDD505-2E9C-101B-9397-08002B2CF9AE}" pid="18" name="Subject">
    <vt:lpwstr>Determination of Vehicle Standard - Amendment to Australian Design Rule 43/04 to clarify drawbar length and vehicle dimensions</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