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AD0D2" w14:textId="77777777" w:rsidR="00AC02C2" w:rsidRDefault="00AC02C2">
      <w:pPr>
        <w:pStyle w:val="Title"/>
      </w:pPr>
    </w:p>
    <w:p w14:paraId="3899F622" w14:textId="77777777" w:rsidR="00AC02C2" w:rsidRDefault="00AC02C2">
      <w:pPr>
        <w:pStyle w:val="Title"/>
      </w:pPr>
    </w:p>
    <w:p w14:paraId="76483632" w14:textId="11A4A90D" w:rsidR="0009256D" w:rsidRPr="0009256D" w:rsidRDefault="005B0E3A" w:rsidP="0009256D">
      <w:pPr>
        <w:spacing w:before="63" w:line="479" w:lineRule="auto"/>
        <w:jc w:val="center"/>
        <w:rPr>
          <w:b/>
          <w:bCs/>
          <w:color w:val="000000"/>
          <w:spacing w:val="-1"/>
          <w:sz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09256D" w:rsidRPr="0009256D">
        <w:rPr>
          <w:b/>
          <w:bCs/>
          <w:color w:val="000000"/>
          <w:spacing w:val="-1"/>
          <w:sz w:val="28"/>
        </w:rPr>
        <w:t xml:space="preserve">ASIC CLASS RULE WAIVER [CW </w:t>
      </w:r>
      <w:r w:rsidR="0009256D">
        <w:rPr>
          <w:b/>
          <w:bCs/>
          <w:color w:val="000000"/>
          <w:spacing w:val="-1"/>
          <w:sz w:val="28"/>
        </w:rPr>
        <w:t>16/0352</w:t>
      </w:r>
      <w:r w:rsidR="0009256D" w:rsidRPr="0009256D">
        <w:rPr>
          <w:b/>
          <w:bCs/>
          <w:color w:val="000000"/>
          <w:spacing w:val="-1"/>
          <w:sz w:val="28"/>
        </w:rPr>
        <w:t>]</w:t>
      </w:r>
    </w:p>
    <w:p w14:paraId="41A8E697" w14:textId="1EAD37F3" w:rsidR="005B0E3A" w:rsidRDefault="005B0E3A" w:rsidP="0009256D">
      <w:pPr>
        <w:spacing w:before="63" w:line="479" w:lineRule="auto"/>
        <w:jc w:val="center"/>
      </w:pPr>
      <w:r>
        <w:t>Prepared by the Australian Securities and Investments Commission</w:t>
      </w:r>
    </w:p>
    <w:p w14:paraId="07A31463" w14:textId="77777777" w:rsidR="005B0E3A" w:rsidRDefault="005B0E3A" w:rsidP="005B0E3A">
      <w:pPr>
        <w:spacing w:before="4" w:line="220" w:lineRule="exact"/>
        <w:jc w:val="center"/>
      </w:pPr>
    </w:p>
    <w:p w14:paraId="1651D22A" w14:textId="77777777" w:rsidR="005B0E3A" w:rsidRDefault="005B0E3A" w:rsidP="005B0E3A">
      <w:pPr>
        <w:jc w:val="center"/>
        <w:rPr>
          <w:sz w:val="24"/>
          <w:szCs w:val="24"/>
        </w:rPr>
      </w:pPr>
      <w:r>
        <w:rPr>
          <w:i/>
          <w:sz w:val="24"/>
        </w:rPr>
        <w:t>Corporations Act 2001</w:t>
      </w:r>
    </w:p>
    <w:p w14:paraId="5BF85193" w14:textId="77777777" w:rsidR="005B0E3A" w:rsidRDefault="005B0E3A" w:rsidP="005B0E3A">
      <w:pPr>
        <w:spacing w:before="3" w:line="220" w:lineRule="exact"/>
      </w:pPr>
    </w:p>
    <w:p w14:paraId="6A19CFC2" w14:textId="55DE2C0C" w:rsidR="0009256D" w:rsidRDefault="0009256D" w:rsidP="0009256D">
      <w:pPr>
        <w:pStyle w:val="Default"/>
      </w:pPr>
      <w:r w:rsidRPr="0009256D">
        <w:t>The Australian Securities and Investments Commission (</w:t>
      </w:r>
      <w:r w:rsidRPr="0009256D">
        <w:rPr>
          <w:b/>
          <w:bCs/>
          <w:iCs/>
        </w:rPr>
        <w:t>ASIC</w:t>
      </w:r>
      <w:r w:rsidRPr="0009256D">
        <w:t xml:space="preserve">) makes </w:t>
      </w:r>
      <w:r w:rsidR="00202152">
        <w:t>ASIC Class Rule Waiver 16/0352</w:t>
      </w:r>
      <w:r w:rsidRPr="0009256D">
        <w:t xml:space="preserve"> </w:t>
      </w:r>
      <w:r w:rsidR="00BF0965">
        <w:t>(</w:t>
      </w:r>
      <w:r w:rsidR="00BF0965" w:rsidRPr="00BF0965">
        <w:rPr>
          <w:b/>
        </w:rPr>
        <w:t>this instrument</w:t>
      </w:r>
      <w:r w:rsidR="00BF0965">
        <w:t xml:space="preserve">) </w:t>
      </w:r>
      <w:r w:rsidRPr="0009256D">
        <w:t xml:space="preserve">under subrule 1.2.1(1) of the </w:t>
      </w:r>
      <w:r w:rsidRPr="0009256D">
        <w:rPr>
          <w:i/>
          <w:iCs/>
        </w:rPr>
        <w:t>ASIC Market Integrity Rules (Competition in Exchange Markets) 2011</w:t>
      </w:r>
      <w:r w:rsidRPr="0009256D">
        <w:rPr>
          <w:b/>
        </w:rPr>
        <w:t xml:space="preserve"> (</w:t>
      </w:r>
      <w:r w:rsidRPr="0009256D">
        <w:t>the</w:t>
      </w:r>
      <w:r w:rsidRPr="0009256D">
        <w:rPr>
          <w:b/>
        </w:rPr>
        <w:t xml:space="preserve"> </w:t>
      </w:r>
      <w:r w:rsidRPr="0009256D">
        <w:rPr>
          <w:b/>
          <w:bCs/>
          <w:iCs/>
        </w:rPr>
        <w:t>Competition Rules</w:t>
      </w:r>
      <w:r w:rsidRPr="0009256D">
        <w:t>).</w:t>
      </w:r>
      <w:r>
        <w:t xml:space="preserve"> </w:t>
      </w:r>
      <w:r w:rsidRPr="0009256D">
        <w:t>Under subrule 1.2.1(1), ASIC may relieve any person or class of persons from the obligation to comply with a provision of the Competition Rules</w:t>
      </w:r>
      <w:r w:rsidR="002E6A37">
        <w:t>.  Under Rule 1.2.3 ASIC may specifiy the period during which any relief from thand obligation to comply with a provision of the Rules may apply</w:t>
      </w:r>
      <w:r w:rsidRPr="0009256D">
        <w:t xml:space="preserve">. </w:t>
      </w:r>
    </w:p>
    <w:p w14:paraId="24BA3D06" w14:textId="29CE723B" w:rsidR="00BF0965" w:rsidRDefault="00BF0965" w:rsidP="0009256D">
      <w:pPr>
        <w:pStyle w:val="Default"/>
      </w:pPr>
    </w:p>
    <w:p w14:paraId="60F81F1C" w14:textId="7D9D7ED5" w:rsidR="00BF0965" w:rsidRPr="0009256D" w:rsidRDefault="00BF0965" w:rsidP="0009256D">
      <w:pPr>
        <w:pStyle w:val="Default"/>
      </w:pPr>
      <w:r>
        <w:t>This instrument amends ASIC Class Rule Waiver 13/680</w:t>
      </w:r>
      <w:r w:rsidR="000B3D45">
        <w:t xml:space="preserve"> and is a continuance of ASIC Class Rule Waiver 15/0384</w:t>
      </w:r>
      <w:r>
        <w:t>.</w:t>
      </w:r>
    </w:p>
    <w:p w14:paraId="73C1A883" w14:textId="4E216F3B" w:rsidR="0009256D" w:rsidRPr="0009256D" w:rsidRDefault="0009256D" w:rsidP="0009256D">
      <w:pPr>
        <w:autoSpaceDE w:val="0"/>
        <w:autoSpaceDN w:val="0"/>
        <w:adjustRightInd w:val="0"/>
        <w:spacing w:after="0"/>
        <w:rPr>
          <w:rFonts w:eastAsia="Calibri"/>
          <w:color w:val="000000"/>
          <w:sz w:val="24"/>
          <w:szCs w:val="24"/>
          <w:lang w:eastAsia="en-US"/>
        </w:rPr>
      </w:pPr>
      <w:r w:rsidRPr="0009256D">
        <w:rPr>
          <w:rFonts w:eastAsia="Calibri"/>
          <w:color w:val="000000"/>
          <w:sz w:val="24"/>
          <w:szCs w:val="24"/>
          <w:lang w:eastAsia="en-US"/>
        </w:rPr>
        <w:t xml:space="preserve"> </w:t>
      </w:r>
    </w:p>
    <w:p w14:paraId="628C3202" w14:textId="77777777"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0" w:name="1._Background"/>
      <w:bookmarkEnd w:id="0"/>
      <w:r>
        <w:rPr>
          <w:rFonts w:ascii="Arial"/>
          <w:b/>
          <w:spacing w:val="-1"/>
          <w:sz w:val="24"/>
        </w:rPr>
        <w:t>Background</w:t>
      </w:r>
    </w:p>
    <w:p w14:paraId="2D035DD6" w14:textId="1E5B93ED" w:rsidR="00202152" w:rsidRDefault="00202152" w:rsidP="00202152">
      <w:pPr>
        <w:spacing w:after="120"/>
        <w:rPr>
          <w:sz w:val="24"/>
          <w:szCs w:val="24"/>
          <w:lang w:eastAsia="en-US"/>
        </w:rPr>
      </w:pPr>
      <w:r>
        <w:rPr>
          <w:sz w:val="24"/>
          <w:szCs w:val="24"/>
          <w:lang w:eastAsia="en-US"/>
        </w:rPr>
        <w:br/>
        <w:t xml:space="preserve">On 4 May 2015, ASIC amended </w:t>
      </w:r>
      <w:r w:rsidRPr="00202152">
        <w:rPr>
          <w:sz w:val="24"/>
          <w:szCs w:val="24"/>
          <w:lang w:eastAsia="en-US"/>
        </w:rPr>
        <w:t>ASIC Class Rule Waiver [CW 13/680]</w:t>
      </w:r>
      <w:r>
        <w:rPr>
          <w:sz w:val="24"/>
          <w:szCs w:val="24"/>
          <w:lang w:eastAsia="en-US"/>
        </w:rPr>
        <w:t xml:space="preserve">, </w:t>
      </w:r>
      <w:r w:rsidRPr="00202152">
        <w:rPr>
          <w:sz w:val="24"/>
          <w:szCs w:val="24"/>
          <w:lang w:eastAsia="en-US"/>
        </w:rPr>
        <w:t>provid</w:t>
      </w:r>
      <w:r>
        <w:rPr>
          <w:sz w:val="24"/>
          <w:szCs w:val="24"/>
          <w:lang w:eastAsia="en-US"/>
        </w:rPr>
        <w:t>ing</w:t>
      </w:r>
      <w:r w:rsidRPr="00202152">
        <w:rPr>
          <w:sz w:val="24"/>
          <w:szCs w:val="24"/>
          <w:lang w:eastAsia="en-US"/>
        </w:rPr>
        <w:t xml:space="preserve"> </w:t>
      </w:r>
      <w:r w:rsidR="00BF0965">
        <w:rPr>
          <w:sz w:val="24"/>
          <w:szCs w:val="24"/>
          <w:lang w:eastAsia="en-US"/>
        </w:rPr>
        <w:t xml:space="preserve">12 months </w:t>
      </w:r>
      <w:r w:rsidRPr="00202152">
        <w:rPr>
          <w:sz w:val="24"/>
          <w:szCs w:val="24"/>
          <w:lang w:eastAsia="en-US"/>
        </w:rPr>
        <w:t>relief to Participants of the Market operated by ASX Limited (ACN 008 624 691) (</w:t>
      </w:r>
      <w:r w:rsidRPr="00202152">
        <w:rPr>
          <w:b/>
          <w:sz w:val="24"/>
          <w:szCs w:val="24"/>
          <w:lang w:eastAsia="en-US"/>
        </w:rPr>
        <w:t>ASX</w:t>
      </w:r>
      <w:r w:rsidRPr="00202152">
        <w:rPr>
          <w:sz w:val="24"/>
          <w:szCs w:val="24"/>
          <w:lang w:eastAsia="en-US"/>
        </w:rPr>
        <w:t>) from subrule 4.1.1(1) of the</w:t>
      </w:r>
      <w:r w:rsidRPr="00202152">
        <w:rPr>
          <w:b/>
          <w:sz w:val="24"/>
          <w:szCs w:val="24"/>
          <w:lang w:eastAsia="en-US"/>
        </w:rPr>
        <w:t xml:space="preserve"> </w:t>
      </w:r>
      <w:r w:rsidRPr="00202152">
        <w:rPr>
          <w:sz w:val="24"/>
          <w:szCs w:val="24"/>
          <w:lang w:eastAsia="en-US"/>
        </w:rPr>
        <w:t>Competition Rules</w:t>
      </w:r>
      <w:r w:rsidR="00BF0965">
        <w:rPr>
          <w:sz w:val="24"/>
          <w:szCs w:val="24"/>
          <w:lang w:eastAsia="en-US"/>
        </w:rPr>
        <w:t>. Relief was granted</w:t>
      </w:r>
      <w:r w:rsidRPr="00202152">
        <w:rPr>
          <w:sz w:val="24"/>
          <w:szCs w:val="24"/>
          <w:lang w:eastAsia="en-US"/>
        </w:rPr>
        <w:t xml:space="preserve"> where </w:t>
      </w:r>
      <w:r w:rsidR="00BF0965">
        <w:rPr>
          <w:sz w:val="24"/>
          <w:szCs w:val="24"/>
          <w:lang w:eastAsia="en-US"/>
        </w:rPr>
        <w:t xml:space="preserve">a </w:t>
      </w:r>
      <w:r w:rsidRPr="00202152">
        <w:rPr>
          <w:sz w:val="24"/>
          <w:szCs w:val="24"/>
          <w:lang w:eastAsia="en-US"/>
        </w:rPr>
        <w:t>Participant enters into a Transaction in an Equity Market Product that is part of a Contingent Equity Transaction (</w:t>
      </w:r>
      <w:r w:rsidRPr="00202152">
        <w:rPr>
          <w:b/>
          <w:sz w:val="24"/>
          <w:szCs w:val="24"/>
          <w:lang w:eastAsia="en-US"/>
        </w:rPr>
        <w:t>CET</w:t>
      </w:r>
      <w:r w:rsidRPr="00202152">
        <w:rPr>
          <w:sz w:val="24"/>
          <w:szCs w:val="24"/>
          <w:lang w:eastAsia="en-US"/>
        </w:rPr>
        <w:t xml:space="preserve">).  </w:t>
      </w:r>
    </w:p>
    <w:p w14:paraId="4BF92A58" w14:textId="420D6146" w:rsidR="00202152" w:rsidRPr="00202152" w:rsidRDefault="00202152" w:rsidP="00202152">
      <w:pPr>
        <w:spacing w:before="120" w:after="120"/>
        <w:rPr>
          <w:sz w:val="24"/>
          <w:szCs w:val="24"/>
          <w:lang w:eastAsia="en-US"/>
        </w:rPr>
      </w:pPr>
      <w:r w:rsidRPr="00202152">
        <w:rPr>
          <w:sz w:val="24"/>
          <w:szCs w:val="24"/>
          <w:lang w:eastAsia="en-US"/>
        </w:rPr>
        <w:t>A Participant that enters into a CET may therefore breach subrule 4.1.1(1) without th</w:t>
      </w:r>
      <w:r w:rsidR="008D4D27">
        <w:rPr>
          <w:sz w:val="24"/>
          <w:szCs w:val="24"/>
          <w:lang w:eastAsia="en-US"/>
        </w:rPr>
        <w:t>e relief granted by ASIC Class Rule Waiver [CW 15/0384]</w:t>
      </w:r>
      <w:r w:rsidRPr="00202152">
        <w:rPr>
          <w:sz w:val="24"/>
          <w:szCs w:val="24"/>
          <w:lang w:eastAsia="en-US"/>
        </w:rPr>
        <w:t>.</w:t>
      </w:r>
    </w:p>
    <w:p w14:paraId="30DA5E17" w14:textId="24FACF8A" w:rsidR="00202152" w:rsidRPr="00202152" w:rsidRDefault="00202152" w:rsidP="00202152">
      <w:pPr>
        <w:autoSpaceDE w:val="0"/>
        <w:autoSpaceDN w:val="0"/>
        <w:adjustRightInd w:val="0"/>
        <w:spacing w:before="240"/>
        <w:rPr>
          <w:rFonts w:eastAsia="Calibri"/>
          <w:i/>
          <w:color w:val="000000"/>
          <w:sz w:val="24"/>
          <w:szCs w:val="24"/>
          <w:lang w:eastAsia="en-US"/>
        </w:rPr>
      </w:pPr>
      <w:r w:rsidRPr="00202152">
        <w:rPr>
          <w:rFonts w:eastAsia="Calibri"/>
          <w:i/>
          <w:color w:val="000000"/>
          <w:sz w:val="24"/>
          <w:szCs w:val="24"/>
          <w:lang w:eastAsia="en-US"/>
        </w:rPr>
        <w:t xml:space="preserve">Reasons for granting the </w:t>
      </w:r>
      <w:r w:rsidR="00B06CF2">
        <w:rPr>
          <w:rFonts w:eastAsia="Calibri"/>
          <w:i/>
          <w:color w:val="000000"/>
          <w:sz w:val="24"/>
          <w:szCs w:val="24"/>
          <w:lang w:eastAsia="en-US"/>
        </w:rPr>
        <w:t xml:space="preserve">original </w:t>
      </w:r>
      <w:r w:rsidRPr="00202152">
        <w:rPr>
          <w:rFonts w:eastAsia="Calibri"/>
          <w:i/>
          <w:color w:val="000000"/>
          <w:sz w:val="24"/>
          <w:szCs w:val="24"/>
          <w:lang w:eastAsia="en-US"/>
        </w:rPr>
        <w:t xml:space="preserve">Class Rule waiver </w:t>
      </w:r>
    </w:p>
    <w:p w14:paraId="430B30E3" w14:textId="77777777" w:rsidR="007021D9" w:rsidRPr="007021D9" w:rsidRDefault="007021D9" w:rsidP="007021D9">
      <w:pPr>
        <w:autoSpaceDE w:val="0"/>
        <w:autoSpaceDN w:val="0"/>
        <w:adjustRightInd w:val="0"/>
        <w:spacing w:after="120"/>
        <w:rPr>
          <w:rFonts w:eastAsia="Calibri"/>
          <w:color w:val="000000"/>
          <w:sz w:val="24"/>
          <w:szCs w:val="24"/>
          <w:lang w:eastAsia="en-US"/>
        </w:rPr>
      </w:pPr>
      <w:r w:rsidRPr="007021D9">
        <w:rPr>
          <w:rFonts w:eastAsia="Calibri"/>
          <w:color w:val="000000"/>
          <w:sz w:val="24"/>
          <w:szCs w:val="24"/>
          <w:lang w:eastAsia="en-US"/>
        </w:rPr>
        <w:t>The Waiver was originally granted in order to:</w:t>
      </w:r>
    </w:p>
    <w:p w14:paraId="1F5F4324" w14:textId="77777777" w:rsidR="007021D9" w:rsidRPr="007021D9" w:rsidRDefault="007021D9" w:rsidP="007021D9">
      <w:pPr>
        <w:autoSpaceDE w:val="0"/>
        <w:autoSpaceDN w:val="0"/>
        <w:adjustRightInd w:val="0"/>
        <w:spacing w:after="120"/>
        <w:rPr>
          <w:rFonts w:eastAsia="Calibri"/>
          <w:color w:val="000000"/>
          <w:sz w:val="24"/>
          <w:szCs w:val="24"/>
          <w:lang w:eastAsia="en-US"/>
        </w:rPr>
      </w:pPr>
      <w:r w:rsidRPr="007021D9">
        <w:rPr>
          <w:rFonts w:eastAsia="Calibri"/>
          <w:color w:val="000000"/>
          <w:sz w:val="24"/>
          <w:szCs w:val="24"/>
          <w:lang w:eastAsia="en-US"/>
        </w:rPr>
        <w:t>a)</w:t>
      </w:r>
      <w:r w:rsidRPr="007021D9">
        <w:rPr>
          <w:rFonts w:eastAsia="Calibri"/>
          <w:color w:val="000000"/>
          <w:sz w:val="24"/>
          <w:szCs w:val="24"/>
          <w:lang w:eastAsia="en-US"/>
        </w:rPr>
        <w:tab/>
        <w:t>facilitate CETs at a net price, which contributes to the efficiency of the broader market as it enables participants to effectively hedge their options transactions; and</w:t>
      </w:r>
    </w:p>
    <w:p w14:paraId="249F8B48" w14:textId="77777777" w:rsidR="007021D9" w:rsidRPr="007021D9" w:rsidRDefault="007021D9" w:rsidP="007021D9">
      <w:pPr>
        <w:autoSpaceDE w:val="0"/>
        <w:autoSpaceDN w:val="0"/>
        <w:adjustRightInd w:val="0"/>
        <w:spacing w:after="120"/>
        <w:rPr>
          <w:rFonts w:eastAsia="Calibri"/>
          <w:color w:val="000000"/>
          <w:sz w:val="24"/>
          <w:szCs w:val="24"/>
          <w:lang w:eastAsia="en-US"/>
        </w:rPr>
      </w:pPr>
      <w:r w:rsidRPr="007021D9">
        <w:rPr>
          <w:rFonts w:eastAsia="Calibri"/>
          <w:color w:val="000000"/>
          <w:sz w:val="24"/>
          <w:szCs w:val="24"/>
          <w:lang w:eastAsia="en-US"/>
        </w:rPr>
        <w:t>b)</w:t>
      </w:r>
      <w:r w:rsidRPr="007021D9">
        <w:rPr>
          <w:rFonts w:eastAsia="Calibri"/>
          <w:color w:val="000000"/>
          <w:sz w:val="24"/>
          <w:szCs w:val="24"/>
          <w:lang w:eastAsia="en-US"/>
        </w:rPr>
        <w:tab/>
        <w:t>allow post-trade transparency of the OTC equity component of the CET, as that transaction will be reported automatically by ASX.</w:t>
      </w:r>
    </w:p>
    <w:p w14:paraId="2F1604EA" w14:textId="4FEC17E6" w:rsidR="007021D9" w:rsidRPr="007021D9" w:rsidRDefault="007021D9" w:rsidP="007021D9">
      <w:pPr>
        <w:autoSpaceDE w:val="0"/>
        <w:autoSpaceDN w:val="0"/>
        <w:adjustRightInd w:val="0"/>
        <w:spacing w:after="120"/>
        <w:rPr>
          <w:rFonts w:eastAsia="Calibri"/>
          <w:color w:val="000000"/>
          <w:sz w:val="24"/>
          <w:szCs w:val="24"/>
          <w:lang w:eastAsia="en-US"/>
        </w:rPr>
      </w:pPr>
      <w:r w:rsidRPr="007021D9">
        <w:rPr>
          <w:rFonts w:eastAsia="Calibri"/>
          <w:color w:val="000000"/>
          <w:sz w:val="24"/>
          <w:szCs w:val="24"/>
          <w:lang w:eastAsia="en-US"/>
        </w:rPr>
        <w:t xml:space="preserve">In granting the Waiver, ASIC concluded that because the number of CETs was expected to be relatively low (ASX did not, and still does not, expect CETs to exceed </w:t>
      </w:r>
      <w:r w:rsidRPr="007021D9">
        <w:rPr>
          <w:rFonts w:eastAsia="Calibri"/>
          <w:color w:val="000000"/>
          <w:sz w:val="24"/>
          <w:szCs w:val="24"/>
          <w:lang w:eastAsia="en-US"/>
        </w:rPr>
        <w:lastRenderedPageBreak/>
        <w:t>5% of total FlexClear transactions), their introduction would be unlikely to have an adverse impact on fairness, efficiency of the market, liquidity or price formation.</w:t>
      </w:r>
    </w:p>
    <w:p w14:paraId="3A841554" w14:textId="77777777" w:rsidR="007021D9" w:rsidRDefault="007021D9" w:rsidP="007021D9">
      <w:pPr>
        <w:autoSpaceDE w:val="0"/>
        <w:autoSpaceDN w:val="0"/>
        <w:adjustRightInd w:val="0"/>
        <w:spacing w:after="120"/>
        <w:rPr>
          <w:rFonts w:eastAsia="Calibri"/>
          <w:color w:val="000000"/>
          <w:sz w:val="24"/>
          <w:szCs w:val="24"/>
          <w:lang w:eastAsia="en-US"/>
        </w:rPr>
      </w:pPr>
      <w:r>
        <w:rPr>
          <w:rFonts w:eastAsia="Calibri"/>
          <w:color w:val="000000"/>
          <w:sz w:val="24"/>
          <w:szCs w:val="24"/>
          <w:lang w:eastAsia="en-US"/>
        </w:rPr>
        <w:t>Furthermore, it wa</w:t>
      </w:r>
      <w:r w:rsidRPr="00202152">
        <w:rPr>
          <w:rFonts w:eastAsia="Calibri"/>
          <w:color w:val="000000"/>
          <w:sz w:val="24"/>
          <w:szCs w:val="24"/>
          <w:lang w:eastAsia="en-US"/>
        </w:rPr>
        <w:t>s expected that the number of CETs w</w:t>
      </w:r>
      <w:r>
        <w:rPr>
          <w:rFonts w:eastAsia="Calibri"/>
          <w:color w:val="000000"/>
          <w:sz w:val="24"/>
          <w:szCs w:val="24"/>
          <w:lang w:eastAsia="en-US"/>
        </w:rPr>
        <w:t>ould</w:t>
      </w:r>
      <w:r w:rsidRPr="00202152">
        <w:rPr>
          <w:rFonts w:eastAsia="Calibri"/>
          <w:color w:val="000000"/>
          <w:sz w:val="24"/>
          <w:szCs w:val="24"/>
          <w:lang w:eastAsia="en-US"/>
        </w:rPr>
        <w:t xml:space="preserve"> be low, so the overall effect on pre-trade transparency w</w:t>
      </w:r>
      <w:r>
        <w:rPr>
          <w:rFonts w:eastAsia="Calibri"/>
          <w:color w:val="000000"/>
          <w:sz w:val="24"/>
          <w:szCs w:val="24"/>
          <w:lang w:eastAsia="en-US"/>
        </w:rPr>
        <w:t>ould</w:t>
      </w:r>
      <w:r w:rsidRPr="00202152">
        <w:rPr>
          <w:rFonts w:eastAsia="Calibri"/>
          <w:color w:val="000000"/>
          <w:sz w:val="24"/>
          <w:szCs w:val="24"/>
          <w:lang w:eastAsia="en-US"/>
        </w:rPr>
        <w:t xml:space="preserve"> be negligible.</w:t>
      </w:r>
    </w:p>
    <w:p w14:paraId="05639660" w14:textId="71E5BD2F" w:rsidR="007021D9" w:rsidRPr="002E6A37" w:rsidRDefault="007021D9" w:rsidP="002E6A37">
      <w:pPr>
        <w:autoSpaceDE w:val="0"/>
        <w:autoSpaceDN w:val="0"/>
        <w:adjustRightInd w:val="0"/>
        <w:spacing w:after="120"/>
        <w:rPr>
          <w:rFonts w:eastAsia="Calibri"/>
          <w:color w:val="000000"/>
          <w:sz w:val="24"/>
          <w:szCs w:val="24"/>
          <w:lang w:eastAsia="en-US"/>
        </w:rPr>
      </w:pPr>
      <w:r>
        <w:rPr>
          <w:rFonts w:eastAsia="Calibri"/>
          <w:color w:val="000000"/>
          <w:sz w:val="24"/>
          <w:szCs w:val="24"/>
          <w:lang w:eastAsia="en-US"/>
        </w:rPr>
        <w:t>F</w:t>
      </w:r>
      <w:r w:rsidRPr="007021D9">
        <w:rPr>
          <w:rFonts w:eastAsia="Calibri"/>
          <w:color w:val="000000"/>
          <w:sz w:val="24"/>
          <w:szCs w:val="24"/>
          <w:lang w:eastAsia="en-US"/>
        </w:rPr>
        <w:t xml:space="preserve">ollowing the granting of the Waiver, an uptake of CETs would have facilitated an assessment of their impact on the market. However, as there have been no CETs to date such an assessment remains unfeasible. </w:t>
      </w:r>
    </w:p>
    <w:p w14:paraId="6C939787" w14:textId="77777777" w:rsidR="004A602B" w:rsidRDefault="004A602B" w:rsidP="00202152">
      <w:pPr>
        <w:pStyle w:val="Default"/>
        <w:ind w:left="1134"/>
        <w:rPr>
          <w:lang w:val="en-US"/>
        </w:rPr>
      </w:pPr>
    </w:p>
    <w:p w14:paraId="7C1085F5" w14:textId="77777777" w:rsidR="005B0E3A" w:rsidRDefault="005B0E3A" w:rsidP="005B0E3A">
      <w:pPr>
        <w:pStyle w:val="Heading3"/>
        <w:keepNext w:val="0"/>
        <w:widowControl w:val="0"/>
        <w:numPr>
          <w:ilvl w:val="0"/>
          <w:numId w:val="7"/>
        </w:numPr>
        <w:tabs>
          <w:tab w:val="left" w:pos="1592"/>
        </w:tabs>
        <w:spacing w:after="0" w:line="240" w:lineRule="auto"/>
        <w:ind w:left="0" w:firstLine="0"/>
        <w:jc w:val="left"/>
        <w:rPr>
          <w:rFonts w:eastAsia="Arial"/>
          <w:b/>
          <w:bCs/>
        </w:rPr>
      </w:pPr>
      <w:bookmarkStart w:id="1" w:name="2._Purpose_of_the_class_order_"/>
      <w:bookmarkEnd w:id="1"/>
      <w:r>
        <w:rPr>
          <w:spacing w:val="-1"/>
        </w:rPr>
        <w:t>Purpose</w:t>
      </w:r>
      <w:r>
        <w:t xml:space="preserve"> of </w:t>
      </w:r>
      <w:r>
        <w:rPr>
          <w:spacing w:val="-1"/>
        </w:rPr>
        <w:t>the</w:t>
      </w:r>
      <w:r>
        <w:t xml:space="preserve"> </w:t>
      </w:r>
      <w:r>
        <w:rPr>
          <w:spacing w:val="-1"/>
        </w:rPr>
        <w:t>instrument</w:t>
      </w:r>
    </w:p>
    <w:p w14:paraId="49287A2D" w14:textId="3AC4B0A2" w:rsidR="00202152" w:rsidRDefault="00F43446" w:rsidP="00202152">
      <w:pPr>
        <w:autoSpaceDE w:val="0"/>
        <w:autoSpaceDN w:val="0"/>
        <w:adjustRightInd w:val="0"/>
        <w:spacing w:after="0"/>
        <w:rPr>
          <w:rFonts w:eastAsia="Calibri"/>
          <w:color w:val="000000"/>
          <w:sz w:val="24"/>
          <w:szCs w:val="24"/>
          <w:lang w:eastAsia="en-US"/>
        </w:rPr>
      </w:pPr>
      <w:bookmarkStart w:id="2" w:name="Insert_a_level_3_heading_"/>
      <w:bookmarkEnd w:id="2"/>
      <w:r>
        <w:rPr>
          <w:rFonts w:eastAsia="Calibri"/>
          <w:color w:val="000000"/>
          <w:sz w:val="24"/>
          <w:szCs w:val="24"/>
          <w:lang w:eastAsia="en-US"/>
        </w:rPr>
        <w:br/>
      </w:r>
      <w:r w:rsidRPr="00F43446">
        <w:rPr>
          <w:rFonts w:eastAsia="Calibri"/>
          <w:color w:val="000000"/>
          <w:sz w:val="24"/>
          <w:szCs w:val="24"/>
          <w:lang w:eastAsia="en-US"/>
        </w:rPr>
        <w:t xml:space="preserve">This Class Rule Waiver varies [CW 13-680] </w:t>
      </w:r>
      <w:r w:rsidR="00202152">
        <w:rPr>
          <w:rFonts w:eastAsia="Calibri"/>
          <w:color w:val="000000"/>
          <w:sz w:val="24"/>
          <w:szCs w:val="24"/>
          <w:lang w:eastAsia="en-US"/>
        </w:rPr>
        <w:t>by</w:t>
      </w:r>
      <w:r w:rsidRPr="00F43446">
        <w:rPr>
          <w:rFonts w:eastAsia="Calibri"/>
          <w:color w:val="000000"/>
          <w:sz w:val="24"/>
          <w:szCs w:val="24"/>
          <w:lang w:eastAsia="en-US"/>
        </w:rPr>
        <w:t xml:space="preserve"> </w:t>
      </w:r>
      <w:r w:rsidR="00202152">
        <w:rPr>
          <w:rFonts w:eastAsia="Calibri"/>
          <w:color w:val="000000"/>
          <w:sz w:val="24"/>
          <w:szCs w:val="24"/>
          <w:lang w:eastAsia="en-US"/>
        </w:rPr>
        <w:t xml:space="preserve">extending the </w:t>
      </w:r>
      <w:r w:rsidR="00FD52A6">
        <w:rPr>
          <w:rFonts w:eastAsia="Calibri"/>
          <w:color w:val="000000"/>
          <w:sz w:val="24"/>
          <w:szCs w:val="24"/>
          <w:lang w:eastAsia="en-US"/>
        </w:rPr>
        <w:t xml:space="preserve">relief for a Particpant from </w:t>
      </w:r>
      <w:r w:rsidR="00FD52A6" w:rsidRPr="00F43446">
        <w:rPr>
          <w:rFonts w:eastAsia="Calibri"/>
          <w:color w:val="000000"/>
          <w:sz w:val="24"/>
          <w:szCs w:val="24"/>
          <w:lang w:eastAsia="en-US"/>
        </w:rPr>
        <w:t>the obligation to comply with the pre-trade transparency obligation in subrule 4.1.1(1) of the Competition Rules</w:t>
      </w:r>
      <w:r w:rsidR="00FD52A6">
        <w:rPr>
          <w:rFonts w:eastAsia="Calibri"/>
          <w:color w:val="000000"/>
          <w:sz w:val="24"/>
          <w:szCs w:val="24"/>
          <w:lang w:eastAsia="en-US"/>
        </w:rPr>
        <w:t xml:space="preserve"> by a </w:t>
      </w:r>
      <w:r w:rsidR="00202152">
        <w:rPr>
          <w:rFonts w:eastAsia="Calibri"/>
          <w:color w:val="000000"/>
          <w:sz w:val="24"/>
          <w:szCs w:val="24"/>
          <w:lang w:eastAsia="en-US"/>
        </w:rPr>
        <w:t xml:space="preserve">further 12 months. </w:t>
      </w:r>
      <w:r w:rsidR="002E6A37">
        <w:rPr>
          <w:rFonts w:eastAsia="Calibri"/>
          <w:color w:val="000000"/>
          <w:sz w:val="24"/>
          <w:szCs w:val="24"/>
          <w:lang w:eastAsia="en-US"/>
        </w:rPr>
        <w:t xml:space="preserve">The current </w:t>
      </w:r>
      <w:r w:rsidR="00202152" w:rsidRPr="00202152">
        <w:rPr>
          <w:rFonts w:eastAsia="Calibri"/>
          <w:color w:val="000000"/>
          <w:sz w:val="24"/>
          <w:szCs w:val="24"/>
          <w:lang w:eastAsia="en-US"/>
        </w:rPr>
        <w:t>Waiver</w:t>
      </w:r>
      <w:r w:rsidR="00FD52A6">
        <w:rPr>
          <w:rFonts w:eastAsia="Calibri"/>
          <w:color w:val="000000"/>
          <w:sz w:val="24"/>
          <w:szCs w:val="24"/>
          <w:lang w:eastAsia="en-US"/>
        </w:rPr>
        <w:t xml:space="preserve"> expires on 4 May 2016 and</w:t>
      </w:r>
      <w:r w:rsidR="00202152" w:rsidRPr="00202152">
        <w:rPr>
          <w:rFonts w:eastAsia="Calibri"/>
          <w:color w:val="000000"/>
          <w:sz w:val="24"/>
          <w:szCs w:val="24"/>
          <w:lang w:eastAsia="en-US"/>
        </w:rPr>
        <w:t xml:space="preserve"> was originally </w:t>
      </w:r>
      <w:r w:rsidR="002E6A37">
        <w:rPr>
          <w:rFonts w:eastAsia="Calibri"/>
          <w:color w:val="000000"/>
          <w:sz w:val="24"/>
          <w:szCs w:val="24"/>
          <w:lang w:eastAsia="en-US"/>
        </w:rPr>
        <w:t xml:space="preserve">granted </w:t>
      </w:r>
      <w:r w:rsidR="00202152" w:rsidRPr="00202152">
        <w:rPr>
          <w:rFonts w:eastAsia="Calibri"/>
          <w:color w:val="000000"/>
          <w:sz w:val="24"/>
          <w:szCs w:val="24"/>
          <w:lang w:eastAsia="en-US"/>
        </w:rPr>
        <w:t xml:space="preserve">to monitor the impact of CETs on the lit market with regard to price formation and the fairness, efficiency and liquidity of the market. No </w:t>
      </w:r>
      <w:r w:rsidR="002E6A37">
        <w:rPr>
          <w:rFonts w:eastAsia="Calibri"/>
          <w:color w:val="000000"/>
          <w:sz w:val="24"/>
          <w:szCs w:val="24"/>
          <w:lang w:eastAsia="en-US"/>
        </w:rPr>
        <w:t xml:space="preserve">CETs have transacted in this 12 </w:t>
      </w:r>
      <w:r w:rsidR="00202152" w:rsidRPr="00202152">
        <w:rPr>
          <w:rFonts w:eastAsia="Calibri"/>
          <w:color w:val="000000"/>
          <w:sz w:val="24"/>
          <w:szCs w:val="24"/>
          <w:lang w:eastAsia="en-US"/>
        </w:rPr>
        <w:t xml:space="preserve">month period and no data is available to facilitate an assessment on market impact. </w:t>
      </w:r>
    </w:p>
    <w:p w14:paraId="053EDFC5" w14:textId="77777777" w:rsidR="00202152" w:rsidRDefault="00202152" w:rsidP="00202152">
      <w:pPr>
        <w:autoSpaceDE w:val="0"/>
        <w:autoSpaceDN w:val="0"/>
        <w:adjustRightInd w:val="0"/>
        <w:spacing w:after="0"/>
        <w:rPr>
          <w:rFonts w:eastAsia="Calibri"/>
          <w:color w:val="000000"/>
          <w:sz w:val="24"/>
          <w:szCs w:val="24"/>
          <w:lang w:eastAsia="en-US"/>
        </w:rPr>
      </w:pPr>
    </w:p>
    <w:p w14:paraId="09C77A40" w14:textId="74204540" w:rsidR="00202152" w:rsidRPr="00202152" w:rsidRDefault="00202152" w:rsidP="00202152">
      <w:pPr>
        <w:autoSpaceDE w:val="0"/>
        <w:autoSpaceDN w:val="0"/>
        <w:adjustRightInd w:val="0"/>
        <w:spacing w:after="0"/>
        <w:rPr>
          <w:rFonts w:eastAsia="Calibri"/>
          <w:color w:val="000000"/>
          <w:sz w:val="24"/>
          <w:szCs w:val="24"/>
          <w:lang w:eastAsia="en-US"/>
        </w:rPr>
      </w:pPr>
      <w:r>
        <w:rPr>
          <w:rFonts w:eastAsia="Calibri"/>
          <w:color w:val="000000"/>
          <w:sz w:val="24"/>
          <w:szCs w:val="24"/>
          <w:lang w:eastAsia="en-US"/>
        </w:rPr>
        <w:t xml:space="preserve">A </w:t>
      </w:r>
      <w:r w:rsidRPr="00202152">
        <w:rPr>
          <w:rFonts w:eastAsia="Calibri"/>
          <w:color w:val="000000"/>
          <w:sz w:val="24"/>
          <w:szCs w:val="24"/>
          <w:lang w:eastAsia="en-US"/>
        </w:rPr>
        <w:t>1</w:t>
      </w:r>
      <w:r w:rsidR="00AE61FC">
        <w:rPr>
          <w:rFonts w:eastAsia="Calibri"/>
          <w:color w:val="000000"/>
          <w:sz w:val="24"/>
          <w:szCs w:val="24"/>
          <w:lang w:eastAsia="en-US"/>
        </w:rPr>
        <w:t>2 month extension of the Waiver</w:t>
      </w:r>
      <w:r w:rsidRPr="00202152">
        <w:rPr>
          <w:rFonts w:eastAsia="Calibri"/>
          <w:color w:val="000000"/>
          <w:sz w:val="24"/>
          <w:szCs w:val="24"/>
          <w:lang w:eastAsia="en-US"/>
        </w:rPr>
        <w:t xml:space="preserve"> </w:t>
      </w:r>
      <w:r>
        <w:rPr>
          <w:rFonts w:eastAsia="Calibri"/>
          <w:color w:val="000000"/>
          <w:sz w:val="24"/>
          <w:szCs w:val="24"/>
          <w:lang w:eastAsia="en-US"/>
        </w:rPr>
        <w:t xml:space="preserve">will </w:t>
      </w:r>
      <w:r w:rsidRPr="00202152">
        <w:rPr>
          <w:rFonts w:eastAsia="Calibri"/>
          <w:color w:val="000000"/>
          <w:sz w:val="24"/>
          <w:szCs w:val="24"/>
          <w:lang w:eastAsia="en-US"/>
        </w:rPr>
        <w:t>result in a</w:t>
      </w:r>
      <w:r w:rsidR="002E6A37">
        <w:rPr>
          <w:rFonts w:eastAsia="Calibri"/>
          <w:color w:val="000000"/>
          <w:sz w:val="24"/>
          <w:szCs w:val="24"/>
          <w:lang w:eastAsia="en-US"/>
        </w:rPr>
        <w:t>n expiration date of 4 May 2017 by which time</w:t>
      </w:r>
      <w:r w:rsidRPr="00202152">
        <w:rPr>
          <w:rFonts w:eastAsia="Calibri"/>
          <w:color w:val="000000"/>
          <w:sz w:val="24"/>
          <w:szCs w:val="24"/>
          <w:lang w:eastAsia="en-US"/>
        </w:rPr>
        <w:t xml:space="preserve"> assessment </w:t>
      </w:r>
      <w:r w:rsidR="002E6A37">
        <w:rPr>
          <w:rFonts w:eastAsia="Calibri"/>
          <w:color w:val="000000"/>
          <w:sz w:val="24"/>
          <w:szCs w:val="24"/>
          <w:lang w:eastAsia="en-US"/>
        </w:rPr>
        <w:t xml:space="preserve">of </w:t>
      </w:r>
      <w:r w:rsidRPr="00202152">
        <w:rPr>
          <w:rFonts w:eastAsia="Calibri"/>
          <w:color w:val="000000"/>
          <w:sz w:val="24"/>
          <w:szCs w:val="24"/>
          <w:lang w:eastAsia="en-US"/>
        </w:rPr>
        <w:t xml:space="preserve">the market impact of this product can be undertaken. </w:t>
      </w:r>
    </w:p>
    <w:p w14:paraId="692FB6AC" w14:textId="667FC8F6" w:rsidR="00202152" w:rsidRPr="00202152" w:rsidRDefault="00202152" w:rsidP="00202152">
      <w:pPr>
        <w:autoSpaceDE w:val="0"/>
        <w:autoSpaceDN w:val="0"/>
        <w:adjustRightInd w:val="0"/>
        <w:spacing w:after="0"/>
        <w:rPr>
          <w:rFonts w:eastAsia="Calibri"/>
          <w:color w:val="000000"/>
          <w:sz w:val="24"/>
          <w:szCs w:val="24"/>
          <w:lang w:eastAsia="en-US"/>
        </w:rPr>
      </w:pPr>
    </w:p>
    <w:p w14:paraId="587508DA" w14:textId="04D8C1FA" w:rsidR="00F43446" w:rsidRPr="00F43446" w:rsidRDefault="00FD52A6" w:rsidP="00F43446">
      <w:pPr>
        <w:spacing w:after="120"/>
        <w:rPr>
          <w:sz w:val="24"/>
          <w:szCs w:val="24"/>
          <w:lang w:eastAsia="en-US"/>
        </w:rPr>
      </w:pPr>
      <w:r>
        <w:rPr>
          <w:sz w:val="24"/>
          <w:szCs w:val="24"/>
          <w:lang w:eastAsia="en-US"/>
        </w:rPr>
        <w:t xml:space="preserve">The extension will </w:t>
      </w:r>
      <w:r w:rsidR="00F43446" w:rsidRPr="00F43446">
        <w:rPr>
          <w:sz w:val="24"/>
          <w:szCs w:val="24"/>
          <w:lang w:eastAsia="en-US"/>
        </w:rPr>
        <w:t xml:space="preserve">enable a Participant to enter into a Transaction in an Equity Market Product that is part of a </w:t>
      </w:r>
      <w:r>
        <w:rPr>
          <w:sz w:val="24"/>
          <w:szCs w:val="24"/>
          <w:lang w:eastAsia="en-US"/>
        </w:rPr>
        <w:t>CET</w:t>
      </w:r>
      <w:r w:rsidR="00F43446" w:rsidRPr="00F43446">
        <w:rPr>
          <w:sz w:val="24"/>
          <w:szCs w:val="24"/>
          <w:lang w:eastAsia="en-US"/>
        </w:rPr>
        <w:t>, without being required to comply with subrule 4.4.1(1).</w:t>
      </w:r>
    </w:p>
    <w:p w14:paraId="50E59217" w14:textId="77777777" w:rsidR="005B0E3A" w:rsidRDefault="005B0E3A" w:rsidP="005B0E3A">
      <w:pPr>
        <w:spacing w:line="240" w:lineRule="exact"/>
        <w:rPr>
          <w:sz w:val="24"/>
          <w:szCs w:val="24"/>
        </w:rPr>
      </w:pPr>
    </w:p>
    <w:p w14:paraId="12225CCB" w14:textId="77777777" w:rsidR="005B0E3A" w:rsidRDefault="005B0E3A" w:rsidP="005B0E3A">
      <w:pPr>
        <w:pStyle w:val="Heading3"/>
        <w:keepNext w:val="0"/>
        <w:widowControl w:val="0"/>
        <w:numPr>
          <w:ilvl w:val="0"/>
          <w:numId w:val="7"/>
        </w:numPr>
        <w:tabs>
          <w:tab w:val="left" w:pos="1593"/>
        </w:tabs>
        <w:spacing w:after="0" w:line="240" w:lineRule="auto"/>
        <w:ind w:left="0" w:firstLine="0"/>
        <w:jc w:val="left"/>
        <w:rPr>
          <w:rFonts w:eastAsia="Arial"/>
          <w:b/>
          <w:bCs/>
        </w:rPr>
      </w:pPr>
      <w:bookmarkStart w:id="3" w:name="3._Operation_of_the_class_order_"/>
      <w:bookmarkEnd w:id="3"/>
      <w:r>
        <w:rPr>
          <w:spacing w:val="-1"/>
        </w:rPr>
        <w:t>Operation</w:t>
      </w:r>
      <w:r>
        <w:t xml:space="preserve"> </w:t>
      </w:r>
      <w:r>
        <w:rPr>
          <w:spacing w:val="-1"/>
        </w:rPr>
        <w:t>of</w:t>
      </w:r>
      <w:r>
        <w:t xml:space="preserve"> </w:t>
      </w:r>
      <w:r>
        <w:rPr>
          <w:spacing w:val="-1"/>
        </w:rPr>
        <w:t>the</w:t>
      </w:r>
      <w:r>
        <w:t xml:space="preserve"> instrument</w:t>
      </w:r>
    </w:p>
    <w:p w14:paraId="7AEB4C6F" w14:textId="77777777" w:rsidR="00F43446" w:rsidRDefault="00F43446" w:rsidP="00F43446">
      <w:pPr>
        <w:pStyle w:val="Default"/>
        <w:spacing w:after="120"/>
      </w:pPr>
    </w:p>
    <w:p w14:paraId="69FA7BB2" w14:textId="6457C712" w:rsidR="00F43446" w:rsidRDefault="00FD52A6" w:rsidP="00FD52A6">
      <w:pPr>
        <w:pStyle w:val="Default"/>
        <w:spacing w:after="120"/>
        <w:rPr>
          <w:lang w:val="en-US"/>
        </w:rPr>
      </w:pPr>
      <w:r>
        <w:t>The instrument substitues the expiration date stated in p</w:t>
      </w:r>
      <w:r w:rsidR="00F43446">
        <w:t xml:space="preserve">aragraph </w:t>
      </w:r>
      <w:r>
        <w:t xml:space="preserve">7C of [CW 13/680] of "4 May 2016", with "4 May 2017", thereby extending the waiver </w:t>
      </w:r>
      <w:r w:rsidR="007021D9">
        <w:t>by</w:t>
      </w:r>
      <w:r>
        <w:t xml:space="preserve"> 12 months. </w:t>
      </w:r>
    </w:p>
    <w:p w14:paraId="4C61D27F" w14:textId="77777777" w:rsidR="005B0E3A" w:rsidRDefault="005B0E3A" w:rsidP="005B0E3A">
      <w:pPr>
        <w:spacing w:line="240" w:lineRule="exact"/>
        <w:rPr>
          <w:sz w:val="24"/>
          <w:szCs w:val="24"/>
        </w:rPr>
      </w:pPr>
      <w:bookmarkStart w:id="4" w:name="4._Documents_incorporated_by_reference"/>
      <w:bookmarkEnd w:id="4"/>
    </w:p>
    <w:p w14:paraId="5FD53378" w14:textId="77777777" w:rsidR="005B0E3A" w:rsidRDefault="005B0E3A" w:rsidP="005B0E3A">
      <w:pPr>
        <w:pStyle w:val="Heading3"/>
        <w:keepNext w:val="0"/>
        <w:widowControl w:val="0"/>
        <w:numPr>
          <w:ilvl w:val="0"/>
          <w:numId w:val="7"/>
        </w:numPr>
        <w:tabs>
          <w:tab w:val="left" w:pos="1593"/>
        </w:tabs>
        <w:spacing w:after="0" w:line="240" w:lineRule="auto"/>
        <w:ind w:left="0" w:firstLine="0"/>
        <w:jc w:val="left"/>
        <w:rPr>
          <w:rFonts w:eastAsia="Arial"/>
          <w:b/>
          <w:bCs/>
        </w:rPr>
      </w:pPr>
      <w:bookmarkStart w:id="5" w:name="5._Consultation"/>
      <w:bookmarkEnd w:id="5"/>
      <w:r>
        <w:t>Consultation</w:t>
      </w:r>
    </w:p>
    <w:p w14:paraId="11245A90" w14:textId="77777777" w:rsidR="005B0E3A" w:rsidRDefault="005B0E3A" w:rsidP="005B0E3A">
      <w:pPr>
        <w:spacing w:before="4" w:line="220" w:lineRule="exact"/>
      </w:pPr>
    </w:p>
    <w:p w14:paraId="5D84E583" w14:textId="77777777" w:rsidR="00A919D4" w:rsidRDefault="00F43446" w:rsidP="00F43446">
      <w:pPr>
        <w:autoSpaceDE w:val="0"/>
        <w:autoSpaceDN w:val="0"/>
        <w:adjustRightInd w:val="0"/>
        <w:spacing w:after="0"/>
        <w:rPr>
          <w:rFonts w:eastAsia="Calibri"/>
          <w:color w:val="000000"/>
          <w:sz w:val="24"/>
          <w:szCs w:val="24"/>
          <w:lang w:eastAsia="en-US"/>
        </w:rPr>
      </w:pPr>
      <w:r w:rsidRPr="00F43446">
        <w:rPr>
          <w:rFonts w:eastAsia="Calibri"/>
          <w:color w:val="000000"/>
          <w:sz w:val="24"/>
          <w:szCs w:val="24"/>
          <w:lang w:eastAsia="en-US"/>
        </w:rPr>
        <w:t xml:space="preserve">ASIC did not formally consult on this Class Rule Waiver, </w:t>
      </w:r>
      <w:r>
        <w:rPr>
          <w:rFonts w:eastAsia="Calibri"/>
          <w:color w:val="000000"/>
          <w:sz w:val="24"/>
          <w:szCs w:val="24"/>
          <w:lang w:eastAsia="en-US"/>
        </w:rPr>
        <w:t xml:space="preserve">as </w:t>
      </w:r>
      <w:r w:rsidR="00A919D4">
        <w:rPr>
          <w:rFonts w:eastAsia="Calibri"/>
          <w:color w:val="000000"/>
          <w:sz w:val="24"/>
          <w:szCs w:val="24"/>
          <w:lang w:eastAsia="en-US"/>
        </w:rPr>
        <w:t xml:space="preserve">since the relief was granted, no CETs have been traded and </w:t>
      </w:r>
      <w:r w:rsidR="00703E79">
        <w:rPr>
          <w:rFonts w:eastAsia="Calibri"/>
          <w:color w:val="000000"/>
          <w:sz w:val="24"/>
          <w:szCs w:val="24"/>
          <w:lang w:eastAsia="en-US"/>
        </w:rPr>
        <w:t>the circumst</w:t>
      </w:r>
      <w:r w:rsidR="00A919D4">
        <w:rPr>
          <w:rFonts w:eastAsia="Calibri"/>
          <w:color w:val="000000"/>
          <w:sz w:val="24"/>
          <w:szCs w:val="24"/>
          <w:lang w:eastAsia="en-US"/>
        </w:rPr>
        <w:t>an</w:t>
      </w:r>
      <w:r w:rsidR="00703E79">
        <w:rPr>
          <w:rFonts w:eastAsia="Calibri"/>
          <w:color w:val="000000"/>
          <w:sz w:val="24"/>
          <w:szCs w:val="24"/>
          <w:lang w:eastAsia="en-US"/>
        </w:rPr>
        <w:t xml:space="preserve">ces have not changed since the granting of the original Class Rule Waiver 15/0384. </w:t>
      </w:r>
    </w:p>
    <w:p w14:paraId="30E1E39D" w14:textId="77777777" w:rsidR="00A919D4" w:rsidRDefault="00A919D4" w:rsidP="00F43446">
      <w:pPr>
        <w:autoSpaceDE w:val="0"/>
        <w:autoSpaceDN w:val="0"/>
        <w:adjustRightInd w:val="0"/>
        <w:spacing w:after="0"/>
        <w:rPr>
          <w:rFonts w:eastAsia="Calibri"/>
          <w:color w:val="000000"/>
          <w:sz w:val="24"/>
          <w:szCs w:val="24"/>
          <w:lang w:eastAsia="en-US"/>
        </w:rPr>
      </w:pPr>
    </w:p>
    <w:p w14:paraId="4B490749" w14:textId="4E65C275" w:rsidR="00F43446" w:rsidRPr="00F43446" w:rsidRDefault="00703E79" w:rsidP="00F43446">
      <w:pPr>
        <w:autoSpaceDE w:val="0"/>
        <w:autoSpaceDN w:val="0"/>
        <w:adjustRightInd w:val="0"/>
        <w:spacing w:after="0"/>
        <w:rPr>
          <w:rFonts w:eastAsia="Calibri"/>
          <w:color w:val="000000"/>
          <w:sz w:val="24"/>
          <w:szCs w:val="24"/>
          <w:lang w:eastAsia="en-US"/>
        </w:rPr>
      </w:pPr>
      <w:r>
        <w:rPr>
          <w:rFonts w:eastAsia="Calibri"/>
          <w:color w:val="000000"/>
          <w:sz w:val="24"/>
          <w:szCs w:val="24"/>
          <w:lang w:eastAsia="en-US"/>
        </w:rPr>
        <w:t>At the time of issuance of the original waiver</w:t>
      </w:r>
      <w:r w:rsidR="00A919D4">
        <w:rPr>
          <w:rFonts w:eastAsia="Calibri"/>
          <w:color w:val="000000"/>
          <w:sz w:val="24"/>
          <w:szCs w:val="24"/>
          <w:lang w:eastAsia="en-US"/>
        </w:rPr>
        <w:t>,</w:t>
      </w:r>
      <w:r>
        <w:rPr>
          <w:rFonts w:eastAsia="Calibri"/>
          <w:color w:val="000000"/>
          <w:sz w:val="24"/>
          <w:szCs w:val="24"/>
          <w:lang w:eastAsia="en-US"/>
        </w:rPr>
        <w:t xml:space="preserve"> discussions</w:t>
      </w:r>
      <w:r w:rsidR="00F43446" w:rsidRPr="00F43446">
        <w:rPr>
          <w:rFonts w:eastAsia="Calibri"/>
          <w:color w:val="000000"/>
          <w:sz w:val="24"/>
          <w:szCs w:val="24"/>
          <w:lang w:eastAsia="en-US"/>
        </w:rPr>
        <w:t xml:space="preserve"> were held with ASX acting on behalf of Participants who potentially would use CETs.  ASX advised that these Participants were supportive of a new ASX clearing service of which CETs are an important part.</w:t>
      </w:r>
    </w:p>
    <w:p w14:paraId="553990EB" w14:textId="25532D9C" w:rsidR="00A919D4" w:rsidRDefault="00A919D4" w:rsidP="00A919D4">
      <w:pPr>
        <w:pStyle w:val="Default"/>
      </w:pPr>
    </w:p>
    <w:p w14:paraId="31012EE9" w14:textId="321C769F" w:rsidR="002A5D83" w:rsidRDefault="002A5D83" w:rsidP="002A5D83">
      <w:pPr>
        <w:pStyle w:val="Default"/>
        <w:rPr>
          <w:rFonts w:eastAsia="Times New Roman"/>
          <w:color w:val="auto"/>
          <w:sz w:val="22"/>
          <w:szCs w:val="20"/>
          <w:lang w:eastAsia="en-AU"/>
        </w:rPr>
      </w:pPr>
      <w:bookmarkStart w:id="6" w:name="_Toc402519910"/>
    </w:p>
    <w:p w14:paraId="1D98348B" w14:textId="77777777" w:rsidR="002A5D83" w:rsidRDefault="002A5D83" w:rsidP="002A5D83">
      <w:pPr>
        <w:pStyle w:val="Default"/>
        <w:rPr>
          <w:rFonts w:eastAsia="Times New Roman"/>
          <w:color w:val="auto"/>
          <w:sz w:val="22"/>
          <w:szCs w:val="20"/>
          <w:lang w:eastAsia="en-AU"/>
        </w:rPr>
      </w:pPr>
    </w:p>
    <w:p w14:paraId="57ED1A04" w14:textId="77777777" w:rsidR="002A5D83" w:rsidRDefault="002A5D83" w:rsidP="002A5D83">
      <w:pPr>
        <w:pStyle w:val="Default"/>
        <w:rPr>
          <w:rFonts w:eastAsia="Times New Roman"/>
          <w:color w:val="auto"/>
          <w:sz w:val="22"/>
          <w:szCs w:val="20"/>
          <w:lang w:eastAsia="en-AU"/>
        </w:rPr>
      </w:pPr>
    </w:p>
    <w:p w14:paraId="59D7B769" w14:textId="7E501F5F" w:rsidR="005B0E3A" w:rsidRPr="002A5D83" w:rsidRDefault="002A5D83" w:rsidP="002A5D83">
      <w:pPr>
        <w:pStyle w:val="Heading1"/>
        <w:pageBreakBefore/>
        <w:tabs>
          <w:tab w:val="clear" w:pos="879"/>
        </w:tabs>
        <w:overflowPunct/>
        <w:autoSpaceDE/>
        <w:autoSpaceDN/>
        <w:adjustRightInd/>
        <w:spacing w:before="0" w:after="400" w:line="280" w:lineRule="atLeast"/>
        <w:ind w:right="-483"/>
        <w:textAlignment w:val="auto"/>
        <w:rPr>
          <w:rFonts w:ascii="Times New Roman" w:hAnsi="Times New Roman"/>
          <w:b w:val="0"/>
          <w:kern w:val="0"/>
          <w:sz w:val="22"/>
          <w:lang w:eastAsia="en-AU"/>
        </w:rPr>
      </w:pPr>
      <w:r w:rsidRPr="002A5D83">
        <w:rPr>
          <w:rFonts w:ascii="Times New Roman" w:hAnsi="Times New Roman"/>
          <w:b w:val="0"/>
          <w:kern w:val="0"/>
          <w:sz w:val="22"/>
          <w:lang w:eastAsia="en-AU"/>
        </w:rPr>
        <w:lastRenderedPageBreak/>
        <w:t>This legislative instrument is compatible with human rights as it does not raise any human rights issues</w:t>
      </w:r>
      <w:r w:rsidR="005B0E3A" w:rsidRPr="002A5D83">
        <w:rPr>
          <w:rFonts w:ascii="Times New Roman" w:hAnsi="Times New Roman"/>
          <w:b w:val="0"/>
          <w:kern w:val="0"/>
          <w:sz w:val="22"/>
          <w:lang w:eastAsia="en-AU"/>
        </w:rPr>
        <w:t>.</w:t>
      </w:r>
      <w:bookmarkEnd w:id="6"/>
      <w:r w:rsidR="005B0E3A" w:rsidRPr="002A5D83">
        <w:rPr>
          <w:rFonts w:ascii="Times New Roman" w:hAnsi="Times New Roman"/>
          <w:b w:val="0"/>
          <w:kern w:val="0"/>
          <w:sz w:val="22"/>
          <w:lang w:eastAsia="en-AU"/>
        </w:rPr>
        <w:t xml:space="preserve">  </w:t>
      </w:r>
    </w:p>
    <w:p w14:paraId="43A40E96" w14:textId="77777777" w:rsidR="000076D6" w:rsidRDefault="000076D6">
      <w:r>
        <w:rPr>
          <w:noProof/>
        </w:rPr>
        <mc:AlternateContent>
          <mc:Choice Requires="wps">
            <w:drawing>
              <wp:anchor distT="0" distB="0" distL="114300" distR="114300" simplePos="0" relativeHeight="251659264" behindDoc="0" locked="0" layoutInCell="1" allowOverlap="1" wp14:anchorId="07D0695C" wp14:editId="75B7A080">
                <wp:simplePos x="0" y="0"/>
                <wp:positionH relativeFrom="column">
                  <wp:posOffset>19050</wp:posOffset>
                </wp:positionH>
                <wp:positionV relativeFrom="paragraph">
                  <wp:posOffset>94615</wp:posOffset>
                </wp:positionV>
                <wp:extent cx="5553075" cy="8029575"/>
                <wp:effectExtent l="38100" t="38100" r="47625"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8029575"/>
                        </a:xfrm>
                        <a:prstGeom prst="rect">
                          <a:avLst/>
                        </a:prstGeom>
                        <a:solidFill>
                          <a:srgbClr val="FFFFFF"/>
                        </a:solidFill>
                        <a:ln w="76200" cmpd="tri">
                          <a:solidFill>
                            <a:srgbClr val="000000"/>
                          </a:solidFill>
                          <a:miter lim="800000"/>
                          <a:headEnd/>
                          <a:tailEnd/>
                        </a:ln>
                      </wps:spPr>
                      <wps:txbx>
                        <w:txbxContent>
                          <w:p w14:paraId="551D2921" w14:textId="77777777" w:rsidR="000076D6" w:rsidRPr="00834797" w:rsidRDefault="000076D6" w:rsidP="000076D6">
                            <w:pPr>
                              <w:spacing w:before="360" w:after="120"/>
                              <w:jc w:val="center"/>
                              <w:rPr>
                                <w:b/>
                              </w:rPr>
                            </w:pPr>
                            <w:r w:rsidRPr="00834797">
                              <w:rPr>
                                <w:b/>
                              </w:rPr>
                              <w:t>Statement of Compatibility with Human Rights</w:t>
                            </w:r>
                          </w:p>
                          <w:p w14:paraId="5ABFC02B" w14:textId="77777777" w:rsidR="000076D6" w:rsidRPr="00247F54" w:rsidRDefault="000076D6" w:rsidP="000076D6">
                            <w:pPr>
                              <w:spacing w:before="120" w:after="120"/>
                              <w:jc w:val="center"/>
                            </w:pPr>
                            <w:r w:rsidRPr="00247F54">
                              <w:rPr>
                                <w:i/>
                              </w:rPr>
                              <w:t>Prepared in accordance with Part 3 of the Human Rights (Parliamentary Scrutiny) Act 2011</w:t>
                            </w:r>
                          </w:p>
                          <w:p w14:paraId="093C143B" w14:textId="77777777" w:rsidR="000076D6" w:rsidRPr="00247F54" w:rsidRDefault="000076D6" w:rsidP="000076D6">
                            <w:pPr>
                              <w:spacing w:before="120" w:after="120"/>
                              <w:jc w:val="center"/>
                            </w:pPr>
                          </w:p>
                          <w:p w14:paraId="60E0D068" w14:textId="38405F16" w:rsidR="000076D6" w:rsidRPr="00247F54" w:rsidRDefault="00703E79" w:rsidP="000076D6">
                            <w:pPr>
                              <w:spacing w:before="120" w:after="120"/>
                              <w:jc w:val="center"/>
                              <w:rPr>
                                <w:b/>
                              </w:rPr>
                            </w:pPr>
                            <w:r>
                              <w:rPr>
                                <w:b/>
                                <w:bCs/>
                              </w:rPr>
                              <w:t>ASIC CLASS RULE WAIVER [CW 16</w:t>
                            </w:r>
                            <w:r w:rsidRPr="00703E79">
                              <w:rPr>
                                <w:b/>
                                <w:bCs/>
                              </w:rPr>
                              <w:t>/0</w:t>
                            </w:r>
                            <w:r>
                              <w:rPr>
                                <w:b/>
                                <w:bCs/>
                              </w:rPr>
                              <w:t>352</w:t>
                            </w:r>
                            <w:r w:rsidR="000076D6" w:rsidRPr="00247F54">
                              <w:rPr>
                                <w:b/>
                              </w:rPr>
                              <w:t xml:space="preserve">] </w:t>
                            </w:r>
                          </w:p>
                          <w:p w14:paraId="2BA80FBB" w14:textId="77777777" w:rsidR="000076D6" w:rsidRPr="00247F54" w:rsidRDefault="000076D6" w:rsidP="000076D6">
                            <w:pPr>
                              <w:spacing w:before="120" w:after="120"/>
                              <w:jc w:val="center"/>
                            </w:pPr>
                          </w:p>
                          <w:p w14:paraId="69704CA0" w14:textId="3CA76E5C" w:rsidR="000076D6" w:rsidRPr="00247F54" w:rsidRDefault="00703E79" w:rsidP="000076D6">
                            <w:pPr>
                              <w:spacing w:before="120" w:after="120"/>
                              <w:jc w:val="center"/>
                            </w:pPr>
                            <w:r>
                              <w:t>ASIC Class Rule Waiver CW 16/0352</w:t>
                            </w:r>
                            <w:r w:rsidR="000076D6">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14:paraId="18C9D8D8" w14:textId="77777777" w:rsidR="000076D6" w:rsidRPr="00247F54" w:rsidRDefault="000076D6" w:rsidP="000076D6">
                            <w:pPr>
                              <w:spacing w:before="120" w:after="120"/>
                              <w:jc w:val="both"/>
                              <w:rPr>
                                <w:b/>
                              </w:rPr>
                            </w:pPr>
                            <w:r w:rsidRPr="00247F54">
                              <w:rPr>
                                <w:b/>
                              </w:rPr>
                              <w:t>Overview</w:t>
                            </w:r>
                          </w:p>
                          <w:p w14:paraId="1D7D703C" w14:textId="120CDE44" w:rsidR="00703E79" w:rsidRPr="00703E79" w:rsidRDefault="00703E79" w:rsidP="00703E79">
                            <w:pPr>
                              <w:spacing w:before="120" w:after="120"/>
                            </w:pPr>
                            <w:r w:rsidRPr="00703E79">
                              <w:t>This Legislative Instrument amends ASIC Class Rule Waiver [CW 13/680]</w:t>
                            </w:r>
                            <w:r w:rsidR="005832AA">
                              <w:t xml:space="preserve"> by extending the relief from 4 May 2016 to 4 May 2017. </w:t>
                            </w:r>
                            <w:r w:rsidRPr="00703E79">
                              <w:t>It provides relief to Participants of the Market operated by ASX Limited (ACN 008 624 691) (</w:t>
                            </w:r>
                            <w:r w:rsidRPr="00703E79">
                              <w:rPr>
                                <w:b/>
                              </w:rPr>
                              <w:t>ASX</w:t>
                            </w:r>
                            <w:r w:rsidRPr="00703E79">
                              <w:t>) from subrule 4.1.1(1) of the</w:t>
                            </w:r>
                            <w:r w:rsidRPr="00703E79">
                              <w:rPr>
                                <w:b/>
                              </w:rPr>
                              <w:t xml:space="preserve"> </w:t>
                            </w:r>
                            <w:r w:rsidRPr="00703E79">
                              <w:t>Competition Rules</w:t>
                            </w:r>
                            <w:r w:rsidRPr="00703E79">
                              <w:rPr>
                                <w:b/>
                              </w:rPr>
                              <w:t xml:space="preserve"> </w:t>
                            </w:r>
                            <w:r w:rsidRPr="00703E79">
                              <w:t>in the case where the Participant enters into a Transaction in an Equity Market Product that is part of a Contingent Equity Transaction (</w:t>
                            </w:r>
                            <w:r w:rsidRPr="00703E79">
                              <w:rPr>
                                <w:b/>
                              </w:rPr>
                              <w:t>CET</w:t>
                            </w:r>
                            <w:r w:rsidRPr="00703E79">
                              <w:t>).  Subrule 4.1.1(1) of the Competition Rules provides that, subject to certain exceptions in  subrule 4.1.1(2), a Participant must not enter into a Transaction unless the Transaction is entered into by matching of a Pre-Trade Transparent Order (being an Order for which information such as price and volume is made available before execution) on an Order Book.</w:t>
                            </w:r>
                          </w:p>
                          <w:p w14:paraId="7047828A" w14:textId="77777777" w:rsidR="00703E79" w:rsidRPr="00703E79" w:rsidRDefault="00703E79" w:rsidP="00703E79">
                            <w:pPr>
                              <w:spacing w:before="120" w:after="120"/>
                            </w:pPr>
                            <w:r w:rsidRPr="00703E79">
                              <w:t>A CET is a single transaction consisting of two components or ‘legs’, namely:</w:t>
                            </w:r>
                          </w:p>
                          <w:p w14:paraId="0267D2AF" w14:textId="77777777" w:rsidR="00703E79" w:rsidRPr="00703E79" w:rsidRDefault="00703E79" w:rsidP="00703E79">
                            <w:pPr>
                              <w:numPr>
                                <w:ilvl w:val="0"/>
                                <w:numId w:val="22"/>
                              </w:numPr>
                              <w:spacing w:before="120" w:after="120"/>
                            </w:pPr>
                            <w:r w:rsidRPr="00703E79">
                              <w:t>an off-market transaction in an Equity Market Product (</w:t>
                            </w:r>
                            <w:r w:rsidRPr="00703E79">
                              <w:rPr>
                                <w:b/>
                              </w:rPr>
                              <w:t>the Equity Leg</w:t>
                            </w:r>
                            <w:r w:rsidRPr="00703E79">
                              <w:t>); and</w:t>
                            </w:r>
                          </w:p>
                          <w:p w14:paraId="640A4270" w14:textId="77777777" w:rsidR="00703E79" w:rsidRPr="00703E79" w:rsidRDefault="00703E79" w:rsidP="00703E79">
                            <w:pPr>
                              <w:numPr>
                                <w:ilvl w:val="0"/>
                                <w:numId w:val="22"/>
                              </w:numPr>
                              <w:spacing w:before="120" w:after="120"/>
                            </w:pPr>
                            <w:r w:rsidRPr="00703E79">
                              <w:t>one or more over-the-counter (</w:t>
                            </w:r>
                            <w:r w:rsidRPr="00703E79">
                              <w:rPr>
                                <w:b/>
                              </w:rPr>
                              <w:t>OTC</w:t>
                            </w:r>
                            <w:r w:rsidRPr="00703E79">
                              <w:t>) options transactions (</w:t>
                            </w:r>
                            <w:r w:rsidRPr="00703E79">
                              <w:rPr>
                                <w:b/>
                              </w:rPr>
                              <w:t>the Option Leg</w:t>
                            </w:r>
                            <w:r w:rsidRPr="00703E79">
                              <w:t>).</w:t>
                            </w:r>
                          </w:p>
                          <w:p w14:paraId="78A3ABBC" w14:textId="77777777" w:rsidR="00703E79" w:rsidRPr="00703E79" w:rsidRDefault="00703E79" w:rsidP="00703E79">
                            <w:pPr>
                              <w:spacing w:before="120" w:after="120"/>
                            </w:pPr>
                            <w:r w:rsidRPr="00703E79">
                              <w:t xml:space="preserve">As both the Equity Leg and the Option Leg are transacted simultaneously, the client agrees on a net price for the CET rather than pricing individual legs separately. </w:t>
                            </w:r>
                          </w:p>
                          <w:p w14:paraId="3A005577" w14:textId="77777777" w:rsidR="00703E79" w:rsidRPr="00703E79" w:rsidRDefault="00703E79" w:rsidP="00703E79">
                            <w:pPr>
                              <w:spacing w:before="120" w:after="120"/>
                            </w:pPr>
                            <w:r w:rsidRPr="00703E79">
                              <w:t>The Equity Leg of the CET is negotiated off-market and therefore will not meet the pre-trade transparency requirement of subrule 4.1.1(1). A Participant that enters into a CET may therefore breach subrule 4.1.1(1) without this Class Rule Waiver.</w:t>
                            </w:r>
                          </w:p>
                          <w:p w14:paraId="29509F24" w14:textId="77777777" w:rsidR="00703E79" w:rsidRDefault="00703E79" w:rsidP="000076D6">
                            <w:pPr>
                              <w:spacing w:before="120" w:after="120"/>
                            </w:pPr>
                            <w:r w:rsidRPr="00703E79">
                              <w:t xml:space="preserve"> </w:t>
                            </w:r>
                          </w:p>
                          <w:p w14:paraId="174470EB" w14:textId="14F5E945" w:rsidR="000076D6" w:rsidRPr="00247F54" w:rsidRDefault="000076D6" w:rsidP="000076D6">
                            <w:pPr>
                              <w:spacing w:before="120" w:after="120"/>
                              <w:rPr>
                                <w:b/>
                              </w:rPr>
                            </w:pPr>
                            <w:r w:rsidRPr="00247F54">
                              <w:rPr>
                                <w:b/>
                              </w:rPr>
                              <w:t>Human rights implications</w:t>
                            </w:r>
                          </w:p>
                          <w:p w14:paraId="1DB670CA" w14:textId="77777777" w:rsidR="00703E79" w:rsidRDefault="00703E79" w:rsidP="00703E79">
                            <w:pPr>
                              <w:pStyle w:val="Default"/>
                            </w:pPr>
                            <w:r>
                              <w:t xml:space="preserve">This Legislative Instrument does not engage any of the applicable rights or freedoms. </w:t>
                            </w:r>
                          </w:p>
                          <w:p w14:paraId="7B11A928" w14:textId="77777777" w:rsidR="00703E79" w:rsidRDefault="00703E79" w:rsidP="00703E79">
                            <w:pPr>
                              <w:pStyle w:val="Default"/>
                            </w:pPr>
                          </w:p>
                          <w:p w14:paraId="6F935113" w14:textId="77777777" w:rsidR="00703E79" w:rsidRDefault="00703E79" w:rsidP="00703E79">
                            <w:pPr>
                              <w:autoSpaceDE w:val="0"/>
                              <w:autoSpaceDN w:val="0"/>
                              <w:adjustRightInd w:val="0"/>
                              <w:spacing w:after="0"/>
                              <w:rPr>
                                <w:sz w:val="24"/>
                                <w:szCs w:val="24"/>
                              </w:rPr>
                            </w:pPr>
                            <w:r>
                              <w:rPr>
                                <w:sz w:val="24"/>
                                <w:szCs w:val="24"/>
                              </w:rPr>
                              <w:t>This Legislative Instrument is compatible with human rights as it does not raise any human rights issues.</w:t>
                            </w:r>
                          </w:p>
                          <w:p w14:paraId="2095530D" w14:textId="77777777" w:rsidR="00A919D4" w:rsidRDefault="00A919D4" w:rsidP="000076D6">
                            <w:pPr>
                              <w:spacing w:before="120" w:after="120"/>
                              <w:rPr>
                                <w:b/>
                              </w:rPr>
                            </w:pPr>
                          </w:p>
                          <w:p w14:paraId="5B64AD8B" w14:textId="77777777" w:rsidR="000076D6" w:rsidRPr="00247F54" w:rsidRDefault="000076D6" w:rsidP="000076D6">
                            <w:pPr>
                              <w:spacing w:before="120" w:after="120"/>
                              <w:rPr>
                                <w:b/>
                              </w:rPr>
                            </w:pPr>
                            <w:r w:rsidRPr="00247F54">
                              <w:rPr>
                                <w:b/>
                              </w:rPr>
                              <w:t>Conclusion</w:t>
                            </w:r>
                          </w:p>
                          <w:p w14:paraId="40628FF4"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2039510B" w14:textId="77777777" w:rsidR="000076D6" w:rsidRPr="00E4135E" w:rsidRDefault="000076D6" w:rsidP="000076D6">
                            <w:pPr>
                              <w:spacing w:before="120" w:after="120"/>
                              <w:jc w:val="center"/>
                            </w:pPr>
                          </w:p>
                          <w:p w14:paraId="51E6DED3" w14:textId="77777777" w:rsidR="000076D6" w:rsidRPr="00E4135E" w:rsidRDefault="000076D6" w:rsidP="000076D6">
                            <w:pPr>
                              <w:spacing w:before="120" w:after="120"/>
                              <w:jc w:val="center"/>
                            </w:pPr>
                            <w:r w:rsidRPr="00E4135E">
                              <w:rPr>
                                <w:b/>
                              </w:rPr>
                              <w:t>[</w:t>
                            </w:r>
                            <w:r w:rsidRPr="00703E79">
                              <w:rPr>
                                <w:b/>
                                <w:bCs/>
                                <w:color w:val="0070C0"/>
                              </w:rPr>
                              <w:t>Insert name and title of the promoter of the Bill or the rule-maker of the Legislative Instrument</w:t>
                            </w:r>
                            <w:r w:rsidRPr="00E4135E">
                              <w:rPr>
                                <w:b/>
                              </w:rPr>
                              <w:t>]</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7.45pt;width:437.25pt;height:6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" strokeweight="6pt">
                <v:stroke linestyle="thickBetweenThin"/>
                <v:textbox inset="5mm,,5mm">
                  <w:txbxContent>
                    <w:p w14:paraId="551D2921" w14:textId="77777777" w:rsidR="000076D6" w:rsidRPr="00834797" w:rsidRDefault="000076D6" w:rsidP="000076D6">
                      <w:pPr>
                        <w:spacing w:before="360" w:after="120"/>
                        <w:jc w:val="center"/>
                        <w:rPr>
                          <w:b/>
                        </w:rPr>
                      </w:pPr>
                      <w:r w:rsidRPr="00834797">
                        <w:rPr>
                          <w:b/>
                        </w:rPr>
                        <w:t>Statement of Compatibility with Human Rights</w:t>
                      </w:r>
                    </w:p>
                    <w:p w14:paraId="5ABFC02B" w14:textId="77777777" w:rsidR="000076D6" w:rsidRPr="00247F54" w:rsidRDefault="000076D6" w:rsidP="000076D6">
                      <w:pPr>
                        <w:spacing w:before="120" w:after="120"/>
                        <w:jc w:val="center"/>
                      </w:pPr>
                      <w:r w:rsidRPr="00247F54">
                        <w:rPr>
                          <w:i/>
                        </w:rPr>
                        <w:t>Prepared in accordance with Part 3 of the Human Rights (Parliamentary Scrutiny) Act 2011</w:t>
                      </w:r>
                    </w:p>
                    <w:p w14:paraId="093C143B" w14:textId="77777777" w:rsidR="000076D6" w:rsidRPr="00247F54" w:rsidRDefault="000076D6" w:rsidP="000076D6">
                      <w:pPr>
                        <w:spacing w:before="120" w:after="120"/>
                        <w:jc w:val="center"/>
                      </w:pPr>
                    </w:p>
                    <w:p w14:paraId="60E0D068" w14:textId="38405F16" w:rsidR="000076D6" w:rsidRPr="00247F54" w:rsidRDefault="00703E79" w:rsidP="000076D6">
                      <w:pPr>
                        <w:spacing w:before="120" w:after="120"/>
                        <w:jc w:val="center"/>
                        <w:rPr>
                          <w:b/>
                        </w:rPr>
                      </w:pPr>
                      <w:r>
                        <w:rPr>
                          <w:b/>
                          <w:bCs/>
                        </w:rPr>
                        <w:t>ASIC CLASS RULE WAIVER [CW 16</w:t>
                      </w:r>
                      <w:r w:rsidRPr="00703E79">
                        <w:rPr>
                          <w:b/>
                          <w:bCs/>
                        </w:rPr>
                        <w:t>/0</w:t>
                      </w:r>
                      <w:r>
                        <w:rPr>
                          <w:b/>
                          <w:bCs/>
                        </w:rPr>
                        <w:t>352</w:t>
                      </w:r>
                      <w:r w:rsidR="000076D6" w:rsidRPr="00247F54">
                        <w:rPr>
                          <w:b/>
                        </w:rPr>
                        <w:t xml:space="preserve">] </w:t>
                      </w:r>
                    </w:p>
                    <w:p w14:paraId="2BA80FBB" w14:textId="77777777" w:rsidR="000076D6" w:rsidRPr="00247F54" w:rsidRDefault="000076D6" w:rsidP="000076D6">
                      <w:pPr>
                        <w:spacing w:before="120" w:after="120"/>
                        <w:jc w:val="center"/>
                      </w:pPr>
                    </w:p>
                    <w:p w14:paraId="69704CA0" w14:textId="3CA76E5C" w:rsidR="000076D6" w:rsidRPr="00247F54" w:rsidRDefault="00703E79" w:rsidP="000076D6">
                      <w:pPr>
                        <w:spacing w:before="120" w:after="120"/>
                        <w:jc w:val="center"/>
                      </w:pPr>
                      <w:r>
                        <w:t>ASIC Class Rule Waiver CW 16/0352</w:t>
                      </w:r>
                      <w:r w:rsidR="000076D6">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14:paraId="18C9D8D8" w14:textId="77777777" w:rsidR="000076D6" w:rsidRPr="00247F54" w:rsidRDefault="000076D6" w:rsidP="000076D6">
                      <w:pPr>
                        <w:spacing w:before="120" w:after="120"/>
                        <w:jc w:val="both"/>
                        <w:rPr>
                          <w:b/>
                        </w:rPr>
                      </w:pPr>
                      <w:r w:rsidRPr="00247F54">
                        <w:rPr>
                          <w:b/>
                        </w:rPr>
                        <w:t>Overview</w:t>
                      </w:r>
                    </w:p>
                    <w:p w14:paraId="1D7D703C" w14:textId="120CDE44" w:rsidR="00703E79" w:rsidRPr="00703E79" w:rsidRDefault="00703E79" w:rsidP="00703E79">
                      <w:pPr>
                        <w:spacing w:before="120" w:after="120"/>
                      </w:pPr>
                      <w:r w:rsidRPr="00703E79">
                        <w:t>This Legislative Instrument amends ASIC Class Rule Waiver [CW 13/680]</w:t>
                      </w:r>
                      <w:r w:rsidR="005832AA">
                        <w:t xml:space="preserve"> by extending the relief from 4 May 2016 to 4 May 2017. </w:t>
                      </w:r>
                      <w:r w:rsidRPr="00703E79">
                        <w:t>It provides relief to Participants of the Market operated by ASX Limited (ACN 008 624 691) (</w:t>
                      </w:r>
                      <w:r w:rsidRPr="00703E79">
                        <w:rPr>
                          <w:b/>
                        </w:rPr>
                        <w:t>ASX</w:t>
                      </w:r>
                      <w:r w:rsidRPr="00703E79">
                        <w:t>) from subrule 4.1.1(1) of the</w:t>
                      </w:r>
                      <w:r w:rsidRPr="00703E79">
                        <w:rPr>
                          <w:b/>
                        </w:rPr>
                        <w:t xml:space="preserve"> </w:t>
                      </w:r>
                      <w:r w:rsidRPr="00703E79">
                        <w:t>Competition Rules</w:t>
                      </w:r>
                      <w:r w:rsidRPr="00703E79">
                        <w:rPr>
                          <w:b/>
                        </w:rPr>
                        <w:t xml:space="preserve"> </w:t>
                      </w:r>
                      <w:r w:rsidRPr="00703E79">
                        <w:t>in the case where the Participant enters into a Transaction in an Equity Market Product that is part of a Contingent Equity Transaction (</w:t>
                      </w:r>
                      <w:r w:rsidRPr="00703E79">
                        <w:rPr>
                          <w:b/>
                        </w:rPr>
                        <w:t>CET</w:t>
                      </w:r>
                      <w:r w:rsidRPr="00703E79">
                        <w:t>).  Subrule 4.1.1(1) of the Competition Rules provides that, subject to certain exceptions in  subrule 4.1.1(2), a Participant must not enter into a Transaction unless the Transaction is entered into by matching of a Pre-Trade Transparent Order (being an Order for which information such as price and volume is made available before execution) on an Order Book.</w:t>
                      </w:r>
                    </w:p>
                    <w:p w14:paraId="7047828A" w14:textId="77777777" w:rsidR="00703E79" w:rsidRPr="00703E79" w:rsidRDefault="00703E79" w:rsidP="00703E79">
                      <w:pPr>
                        <w:spacing w:before="120" w:after="120"/>
                      </w:pPr>
                      <w:r w:rsidRPr="00703E79">
                        <w:t>A CET is a single transaction consisting of two components or ‘legs’, namely:</w:t>
                      </w:r>
                    </w:p>
                    <w:p w14:paraId="0267D2AF" w14:textId="77777777" w:rsidR="00703E79" w:rsidRPr="00703E79" w:rsidRDefault="00703E79" w:rsidP="00703E79">
                      <w:pPr>
                        <w:numPr>
                          <w:ilvl w:val="0"/>
                          <w:numId w:val="22"/>
                        </w:numPr>
                        <w:spacing w:before="120" w:after="120"/>
                      </w:pPr>
                      <w:r w:rsidRPr="00703E79">
                        <w:t>an off-market transaction in an Equity Market Product (</w:t>
                      </w:r>
                      <w:r w:rsidRPr="00703E79">
                        <w:rPr>
                          <w:b/>
                        </w:rPr>
                        <w:t>the Equity Leg</w:t>
                      </w:r>
                      <w:r w:rsidRPr="00703E79">
                        <w:t>); and</w:t>
                      </w:r>
                    </w:p>
                    <w:p w14:paraId="640A4270" w14:textId="77777777" w:rsidR="00703E79" w:rsidRPr="00703E79" w:rsidRDefault="00703E79" w:rsidP="00703E79">
                      <w:pPr>
                        <w:numPr>
                          <w:ilvl w:val="0"/>
                          <w:numId w:val="22"/>
                        </w:numPr>
                        <w:spacing w:before="120" w:after="120"/>
                      </w:pPr>
                      <w:r w:rsidRPr="00703E79">
                        <w:t>one or more over-the-counter (</w:t>
                      </w:r>
                      <w:r w:rsidRPr="00703E79">
                        <w:rPr>
                          <w:b/>
                        </w:rPr>
                        <w:t>OTC</w:t>
                      </w:r>
                      <w:r w:rsidRPr="00703E79">
                        <w:t>) options transactions (</w:t>
                      </w:r>
                      <w:r w:rsidRPr="00703E79">
                        <w:rPr>
                          <w:b/>
                        </w:rPr>
                        <w:t>the Option Leg</w:t>
                      </w:r>
                      <w:r w:rsidRPr="00703E79">
                        <w:t>).</w:t>
                      </w:r>
                    </w:p>
                    <w:p w14:paraId="78A3ABBC" w14:textId="77777777" w:rsidR="00703E79" w:rsidRPr="00703E79" w:rsidRDefault="00703E79" w:rsidP="00703E79">
                      <w:pPr>
                        <w:spacing w:before="120" w:after="120"/>
                      </w:pPr>
                      <w:r w:rsidRPr="00703E79">
                        <w:t xml:space="preserve">As both the Equity Leg and the Option Leg are transacted simultaneously, the client agrees on a net price for the CET rather than pricing individual legs separately. </w:t>
                      </w:r>
                    </w:p>
                    <w:p w14:paraId="3A005577" w14:textId="77777777" w:rsidR="00703E79" w:rsidRPr="00703E79" w:rsidRDefault="00703E79" w:rsidP="00703E79">
                      <w:pPr>
                        <w:spacing w:before="120" w:after="120"/>
                      </w:pPr>
                      <w:r w:rsidRPr="00703E79">
                        <w:t>The Equity Leg of the CET is negotiated off-market and therefore will not meet the pre-trade transparency requirement of subrule 4.1.1(1). A Participant that enters into a CET may therefore breach subrule 4.1.1(1) without this Class Rule Waiver.</w:t>
                      </w:r>
                    </w:p>
                    <w:p w14:paraId="29509F24" w14:textId="77777777" w:rsidR="00703E79" w:rsidRDefault="00703E79" w:rsidP="000076D6">
                      <w:pPr>
                        <w:spacing w:before="120" w:after="120"/>
                      </w:pPr>
                      <w:r w:rsidRPr="00703E79">
                        <w:t xml:space="preserve"> </w:t>
                      </w:r>
                    </w:p>
                    <w:p w14:paraId="174470EB" w14:textId="14F5E945" w:rsidR="000076D6" w:rsidRPr="00247F54" w:rsidRDefault="000076D6" w:rsidP="000076D6">
                      <w:pPr>
                        <w:spacing w:before="120" w:after="120"/>
                        <w:rPr>
                          <w:b/>
                        </w:rPr>
                      </w:pPr>
                      <w:r w:rsidRPr="00247F54">
                        <w:rPr>
                          <w:b/>
                        </w:rPr>
                        <w:t>Human rights implications</w:t>
                      </w:r>
                    </w:p>
                    <w:p w14:paraId="1DB670CA" w14:textId="77777777" w:rsidR="00703E79" w:rsidRDefault="00703E79" w:rsidP="00703E79">
                      <w:pPr>
                        <w:pStyle w:val="Default"/>
                      </w:pPr>
                      <w:r>
                        <w:t xml:space="preserve">This Legislative Instrument does not engage any of the applicable rights or freedoms. </w:t>
                      </w:r>
                    </w:p>
                    <w:p w14:paraId="7B11A928" w14:textId="77777777" w:rsidR="00703E79" w:rsidRDefault="00703E79" w:rsidP="00703E79">
                      <w:pPr>
                        <w:pStyle w:val="Default"/>
                      </w:pPr>
                    </w:p>
                    <w:p w14:paraId="6F935113" w14:textId="77777777" w:rsidR="00703E79" w:rsidRDefault="00703E79" w:rsidP="00703E79">
                      <w:pPr>
                        <w:autoSpaceDE w:val="0"/>
                        <w:autoSpaceDN w:val="0"/>
                        <w:adjustRightInd w:val="0"/>
                        <w:spacing w:after="0"/>
                        <w:rPr>
                          <w:sz w:val="24"/>
                          <w:szCs w:val="24"/>
                        </w:rPr>
                      </w:pPr>
                      <w:r>
                        <w:rPr>
                          <w:sz w:val="24"/>
                          <w:szCs w:val="24"/>
                        </w:rPr>
                        <w:t>This Legislative Instrument is compatible with human rights as it does not raise any human rights issues.</w:t>
                      </w:r>
                    </w:p>
                    <w:p w14:paraId="2095530D" w14:textId="77777777" w:rsidR="00A919D4" w:rsidRDefault="00A919D4" w:rsidP="000076D6">
                      <w:pPr>
                        <w:spacing w:before="120" w:after="120"/>
                        <w:rPr>
                          <w:b/>
                        </w:rPr>
                      </w:pPr>
                    </w:p>
                    <w:p w14:paraId="5B64AD8B" w14:textId="77777777" w:rsidR="000076D6" w:rsidRPr="00247F54" w:rsidRDefault="000076D6" w:rsidP="000076D6">
                      <w:pPr>
                        <w:spacing w:before="120" w:after="120"/>
                        <w:rPr>
                          <w:b/>
                        </w:rPr>
                      </w:pPr>
                      <w:r w:rsidRPr="00247F54">
                        <w:rPr>
                          <w:b/>
                        </w:rPr>
                        <w:t>Conclusion</w:t>
                      </w:r>
                    </w:p>
                    <w:p w14:paraId="40628FF4"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2039510B" w14:textId="77777777" w:rsidR="000076D6" w:rsidRPr="00E4135E" w:rsidRDefault="000076D6" w:rsidP="000076D6">
                      <w:pPr>
                        <w:spacing w:before="120" w:after="120"/>
                        <w:jc w:val="center"/>
                      </w:pPr>
                    </w:p>
                    <w:p w14:paraId="51E6DED3" w14:textId="77777777" w:rsidR="000076D6" w:rsidRPr="00E4135E" w:rsidRDefault="000076D6" w:rsidP="000076D6">
                      <w:pPr>
                        <w:spacing w:before="120" w:after="120"/>
                        <w:jc w:val="center"/>
                      </w:pPr>
                      <w:r w:rsidRPr="00E4135E">
                        <w:rPr>
                          <w:b/>
                        </w:rPr>
                        <w:t>[</w:t>
                      </w:r>
                      <w:r w:rsidRPr="00703E79">
                        <w:rPr>
                          <w:b/>
                          <w:bCs/>
                          <w:color w:val="0070C0"/>
                        </w:rPr>
                        <w:t>Insert name and title of the promoter of the Bill or the rule-maker of the Legislative Instrument</w:t>
                      </w:r>
                      <w:r w:rsidRPr="00E4135E">
                        <w:rPr>
                          <w:b/>
                        </w:rPr>
                        <w:t>]</w:t>
                      </w:r>
                    </w:p>
                  </w:txbxContent>
                </v:textbox>
              </v:rect>
            </w:pict>
          </mc:Fallback>
        </mc:AlternateContent>
      </w:r>
    </w:p>
    <w:sectPr w:rsidR="000076D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ADB89C" w14:textId="77777777" w:rsidR="00223519" w:rsidRDefault="00223519">
      <w:pPr>
        <w:spacing w:after="0"/>
      </w:pPr>
      <w:r>
        <w:separator/>
      </w:r>
    </w:p>
  </w:endnote>
  <w:endnote w:type="continuationSeparator" w:id="0">
    <w:p w14:paraId="25F11A67" w14:textId="77777777" w:rsidR="00223519" w:rsidRDefault="002235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668B4" w14:textId="77777777"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636BB2FB" w14:textId="77777777" w:rsidR="00C27A4B" w:rsidRDefault="00EC3610">
    <w:pPr>
      <w:pStyle w:val="Footer"/>
      <w:ind w:right="360"/>
    </w:pPr>
  </w:p>
  <w:p w14:paraId="35BE2F1C" w14:textId="77777777" w:rsidR="00C27A4B" w:rsidRDefault="00EC3610"/>
  <w:p w14:paraId="5C221C89" w14:textId="77777777" w:rsidR="00C27A4B" w:rsidRDefault="00EC3610"/>
  <w:p w14:paraId="23ADAC08" w14:textId="77777777" w:rsidR="00C27A4B" w:rsidRDefault="00EC3610"/>
  <w:p w14:paraId="58AD76D6" w14:textId="77777777" w:rsidR="00C27A4B" w:rsidRDefault="00EC3610"/>
  <w:p w14:paraId="11B4D7F8" w14:textId="77777777" w:rsidR="00C27A4B" w:rsidRDefault="00EC361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43EDF" w14:textId="768B3FDD" w:rsidR="00C27A4B" w:rsidRDefault="005B0E3A">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0B3B62DE" wp14:editId="004C9C52">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A75DD" w14:textId="77777777"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EC3610">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2C5A75DD" w14:textId="77777777"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EC3610">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xml:space="preserve">© Australian Securities and Investments </w:t>
    </w:r>
    <w:r w:rsidRPr="005832AA">
      <w:rPr>
        <w:color w:val="117DC7"/>
      </w:rPr>
      <w:t>Commission</w:t>
    </w:r>
    <w:bookmarkStart w:id="7" w:name="_GoBack"/>
    <w:bookmarkEnd w:id="7"/>
    <w:r>
      <w:rPr>
        <w:color w:val="117DC7"/>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E929C" w14:textId="77777777" w:rsidR="00474544" w:rsidRDefault="004745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06A09" w14:textId="77777777" w:rsidR="00223519" w:rsidRDefault="00223519">
      <w:pPr>
        <w:spacing w:after="0"/>
      </w:pPr>
      <w:r>
        <w:separator/>
      </w:r>
    </w:p>
  </w:footnote>
  <w:footnote w:type="continuationSeparator" w:id="0">
    <w:p w14:paraId="7338614B" w14:textId="77777777" w:rsidR="00223519" w:rsidRDefault="0022351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AE8FD" w14:textId="77777777" w:rsidR="00C27A4B" w:rsidRDefault="00EC3610"/>
  <w:p w14:paraId="7019126A" w14:textId="77777777" w:rsidR="00C27A4B" w:rsidRDefault="00EC361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656F8" w14:textId="022D9C9C" w:rsidR="00C27A4B" w:rsidRDefault="001D0A2B">
    <w:pPr>
      <w:pStyle w:val="Footer"/>
      <w:pBdr>
        <w:bottom w:val="single" w:sz="4" w:space="1" w:color="117DC7"/>
      </w:pBdr>
      <w:jc w:val="right"/>
      <w:rPr>
        <w:color w:val="117DC7"/>
      </w:rPr>
    </w:pPr>
    <w:r w:rsidRPr="005832AA">
      <w:rPr>
        <w:b/>
        <w:bCs/>
      </w:rPr>
      <w:t>ASIC CLASS RULE WAIVER [CW 16/0352]</w:t>
    </w:r>
  </w:p>
  <w:p w14:paraId="6CA33844" w14:textId="77777777" w:rsidR="00C27A4B" w:rsidRDefault="00EC361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95B31" w14:textId="77777777"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1808A3"/>
    <w:multiLevelType w:val="hybridMultilevel"/>
    <w:tmpl w:val="856ADB6E"/>
    <w:lvl w:ilvl="0" w:tplc="AE14D83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1C116862"/>
    <w:multiLevelType w:val="hybridMultilevel"/>
    <w:tmpl w:val="9C0ABEE6"/>
    <w:lvl w:ilvl="0" w:tplc="B3206E2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nsid w:val="1E031F70"/>
    <w:multiLevelType w:val="hybridMultilevel"/>
    <w:tmpl w:val="58285CC6"/>
    <w:lvl w:ilvl="0" w:tplc="3D36C39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1EE14609"/>
    <w:multiLevelType w:val="hybridMultilevel"/>
    <w:tmpl w:val="58285CC6"/>
    <w:lvl w:ilvl="0" w:tplc="3D36C39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0">
    <w:nsid w:val="268915F0"/>
    <w:multiLevelType w:val="hybridMultilevel"/>
    <w:tmpl w:val="8D521F0A"/>
    <w:lvl w:ilvl="0" w:tplc="D1D464A2">
      <w:start w:val="1"/>
      <w:numFmt w:val="lowerRoman"/>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2">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4">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16C5A8B"/>
    <w:multiLevelType w:val="hybridMultilevel"/>
    <w:tmpl w:val="827690A0"/>
    <w:lvl w:ilvl="0" w:tplc="B4CEEB1E">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5EE247F4"/>
    <w:multiLevelType w:val="hybridMultilevel"/>
    <w:tmpl w:val="827690A0"/>
    <w:lvl w:ilvl="0" w:tplc="B4CEEB1E">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0">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D977085"/>
    <w:multiLevelType w:val="hybridMultilevel"/>
    <w:tmpl w:val="1CF664C6"/>
    <w:lvl w:ilvl="0" w:tplc="810643D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3"/>
  </w:num>
  <w:num w:numId="2">
    <w:abstractNumId w:val="20"/>
  </w:num>
  <w:num w:numId="3">
    <w:abstractNumId w:val="14"/>
  </w:num>
  <w:num w:numId="4">
    <w:abstractNumId w:val="19"/>
  </w:num>
  <w:num w:numId="5">
    <w:abstractNumId w:val="9"/>
  </w:num>
  <w:num w:numId="6">
    <w:abstractNumId w:val="7"/>
  </w:num>
  <w:num w:numId="7">
    <w:abstractNumId w:val="13"/>
  </w:num>
  <w:num w:numId="8">
    <w:abstractNumId w:val="2"/>
  </w:num>
  <w:num w:numId="9">
    <w:abstractNumId w:val="1"/>
  </w:num>
  <w:num w:numId="10">
    <w:abstractNumId w:val="0"/>
  </w:num>
  <w:num w:numId="11">
    <w:abstractNumId w:val="12"/>
  </w:num>
  <w:num w:numId="12">
    <w:abstractNumId w:val="18"/>
  </w:num>
  <w:num w:numId="13">
    <w:abstractNumId w:val="15"/>
  </w:num>
  <w:num w:numId="14">
    <w:abstractNumId w:val="1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lvlOverride w:ilvl="2"/>
    <w:lvlOverride w:ilvl="3"/>
    <w:lvlOverride w:ilvl="4"/>
    <w:lvlOverride w:ilvl="5"/>
    <w:lvlOverride w:ilvl="6"/>
    <w:lvlOverride w:ilvl="7"/>
    <w:lvlOverride w:ilvl="8"/>
  </w:num>
  <w:num w:numId="18">
    <w:abstractNumId w:val="16"/>
    <w:lvlOverride w:ilvl="0">
      <w:startOverride w:val="1"/>
    </w:lvlOverride>
    <w:lvlOverride w:ilvl="1"/>
    <w:lvlOverride w:ilvl="2"/>
    <w:lvlOverride w:ilvl="3"/>
    <w:lvlOverride w:ilvl="4"/>
    <w:lvlOverride w:ilvl="5"/>
    <w:lvlOverride w:ilvl="6"/>
    <w:lvlOverride w:ilvl="7"/>
    <w:lvlOverride w:ilvl="8"/>
  </w:num>
  <w:num w:numId="19">
    <w:abstractNumId w:val="10"/>
    <w:lvlOverride w:ilvl="0">
      <w:startOverride w:val="1"/>
    </w:lvlOverride>
    <w:lvlOverride w:ilvl="1"/>
    <w:lvlOverride w:ilvl="2"/>
    <w:lvlOverride w:ilvl="3"/>
    <w:lvlOverride w:ilvl="4"/>
    <w:lvlOverride w:ilvl="5"/>
    <w:lvlOverride w:ilvl="6"/>
    <w:lvlOverride w:ilvl="7"/>
    <w:lvlOverride w:ilvl="8"/>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hideSpellingErrors/>
  <w:hideGrammaticalErrors/>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519"/>
    <w:rsid w:val="000076D6"/>
    <w:rsid w:val="0009256D"/>
    <w:rsid w:val="000B3D45"/>
    <w:rsid w:val="001D0A2B"/>
    <w:rsid w:val="00202152"/>
    <w:rsid w:val="00223519"/>
    <w:rsid w:val="002A5D83"/>
    <w:rsid w:val="002E6A37"/>
    <w:rsid w:val="00474544"/>
    <w:rsid w:val="004A602B"/>
    <w:rsid w:val="005832AA"/>
    <w:rsid w:val="005B0E3A"/>
    <w:rsid w:val="005D46F3"/>
    <w:rsid w:val="00603B76"/>
    <w:rsid w:val="007021D9"/>
    <w:rsid w:val="00703E79"/>
    <w:rsid w:val="008D4D27"/>
    <w:rsid w:val="00A744A8"/>
    <w:rsid w:val="00A919D4"/>
    <w:rsid w:val="00AC02C2"/>
    <w:rsid w:val="00AE61FC"/>
    <w:rsid w:val="00B06CF2"/>
    <w:rsid w:val="00BF0965"/>
    <w:rsid w:val="00EC3610"/>
    <w:rsid w:val="00F43446"/>
    <w:rsid w:val="00FD52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4D0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09256D"/>
    <w:pPr>
      <w:autoSpaceDE w:val="0"/>
      <w:autoSpaceDN w:val="0"/>
      <w:adjustRightInd w:val="0"/>
    </w:pPr>
    <w:rPr>
      <w:rFonts w:eastAsia="Calibri"/>
      <w:color w:val="000000"/>
      <w:sz w:val="24"/>
      <w:szCs w:val="24"/>
      <w:lang w:eastAsia="en-US"/>
    </w:rPr>
  </w:style>
  <w:style w:type="paragraph" w:styleId="BalloonText">
    <w:name w:val="Balloon Text"/>
    <w:basedOn w:val="Normal"/>
    <w:link w:val="BalloonTextChar"/>
    <w:uiPriority w:val="99"/>
    <w:semiHidden/>
    <w:unhideWhenUsed/>
    <w:rsid w:val="0020215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152"/>
    <w:rPr>
      <w:rFonts w:ascii="Tahoma" w:hAnsi="Tahoma" w:cs="Tahoma"/>
      <w:sz w:val="16"/>
      <w:szCs w:val="16"/>
    </w:rPr>
  </w:style>
  <w:style w:type="character" w:styleId="CommentReference">
    <w:name w:val="annotation reference"/>
    <w:basedOn w:val="DefaultParagraphFont"/>
    <w:uiPriority w:val="99"/>
    <w:semiHidden/>
    <w:unhideWhenUsed/>
    <w:rsid w:val="004A602B"/>
    <w:rPr>
      <w:sz w:val="16"/>
      <w:szCs w:val="16"/>
    </w:rPr>
  </w:style>
  <w:style w:type="paragraph" w:styleId="CommentSubject">
    <w:name w:val="annotation subject"/>
    <w:basedOn w:val="CommentText"/>
    <w:next w:val="CommentText"/>
    <w:link w:val="CommentSubjectChar"/>
    <w:uiPriority w:val="99"/>
    <w:semiHidden/>
    <w:unhideWhenUsed/>
    <w:rsid w:val="004A602B"/>
    <w:rPr>
      <w:b/>
      <w:bCs/>
    </w:rPr>
  </w:style>
  <w:style w:type="character" w:customStyle="1" w:styleId="CommentTextChar">
    <w:name w:val="Comment Text Char"/>
    <w:basedOn w:val="DefaultParagraphFont"/>
    <w:link w:val="CommentText"/>
    <w:semiHidden/>
    <w:rsid w:val="004A602B"/>
  </w:style>
  <w:style w:type="character" w:customStyle="1" w:styleId="CommentSubjectChar">
    <w:name w:val="Comment Subject Char"/>
    <w:basedOn w:val="CommentTextChar"/>
    <w:link w:val="CommentSubject"/>
    <w:uiPriority w:val="99"/>
    <w:semiHidden/>
    <w:rsid w:val="004A60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09256D"/>
    <w:pPr>
      <w:autoSpaceDE w:val="0"/>
      <w:autoSpaceDN w:val="0"/>
      <w:adjustRightInd w:val="0"/>
    </w:pPr>
    <w:rPr>
      <w:rFonts w:eastAsia="Calibri"/>
      <w:color w:val="000000"/>
      <w:sz w:val="24"/>
      <w:szCs w:val="24"/>
      <w:lang w:eastAsia="en-US"/>
    </w:rPr>
  </w:style>
  <w:style w:type="paragraph" w:styleId="BalloonText">
    <w:name w:val="Balloon Text"/>
    <w:basedOn w:val="Normal"/>
    <w:link w:val="BalloonTextChar"/>
    <w:uiPriority w:val="99"/>
    <w:semiHidden/>
    <w:unhideWhenUsed/>
    <w:rsid w:val="0020215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152"/>
    <w:rPr>
      <w:rFonts w:ascii="Tahoma" w:hAnsi="Tahoma" w:cs="Tahoma"/>
      <w:sz w:val="16"/>
      <w:szCs w:val="16"/>
    </w:rPr>
  </w:style>
  <w:style w:type="character" w:styleId="CommentReference">
    <w:name w:val="annotation reference"/>
    <w:basedOn w:val="DefaultParagraphFont"/>
    <w:uiPriority w:val="99"/>
    <w:semiHidden/>
    <w:unhideWhenUsed/>
    <w:rsid w:val="004A602B"/>
    <w:rPr>
      <w:sz w:val="16"/>
      <w:szCs w:val="16"/>
    </w:rPr>
  </w:style>
  <w:style w:type="paragraph" w:styleId="CommentSubject">
    <w:name w:val="annotation subject"/>
    <w:basedOn w:val="CommentText"/>
    <w:next w:val="CommentText"/>
    <w:link w:val="CommentSubjectChar"/>
    <w:uiPriority w:val="99"/>
    <w:semiHidden/>
    <w:unhideWhenUsed/>
    <w:rsid w:val="004A602B"/>
    <w:rPr>
      <w:b/>
      <w:bCs/>
    </w:rPr>
  </w:style>
  <w:style w:type="character" w:customStyle="1" w:styleId="CommentTextChar">
    <w:name w:val="Comment Text Char"/>
    <w:basedOn w:val="DefaultParagraphFont"/>
    <w:link w:val="CommentText"/>
    <w:semiHidden/>
    <w:rsid w:val="004A602B"/>
  </w:style>
  <w:style w:type="character" w:customStyle="1" w:styleId="CommentSubjectChar">
    <w:name w:val="Comment Subject Char"/>
    <w:basedOn w:val="CommentTextChar"/>
    <w:link w:val="CommentSubject"/>
    <w:uiPriority w:val="99"/>
    <w:semiHidden/>
    <w:rsid w:val="004A60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53373">
      <w:bodyDiv w:val="1"/>
      <w:marLeft w:val="0"/>
      <w:marRight w:val="0"/>
      <w:marTop w:val="0"/>
      <w:marBottom w:val="0"/>
      <w:divBdr>
        <w:top w:val="none" w:sz="0" w:space="0" w:color="auto"/>
        <w:left w:val="none" w:sz="0" w:space="0" w:color="auto"/>
        <w:bottom w:val="none" w:sz="0" w:space="0" w:color="auto"/>
        <w:right w:val="none" w:sz="0" w:space="0" w:color="auto"/>
      </w:divBdr>
    </w:div>
    <w:div w:id="240800798">
      <w:bodyDiv w:val="1"/>
      <w:marLeft w:val="0"/>
      <w:marRight w:val="0"/>
      <w:marTop w:val="0"/>
      <w:marBottom w:val="0"/>
      <w:divBdr>
        <w:top w:val="none" w:sz="0" w:space="0" w:color="auto"/>
        <w:left w:val="none" w:sz="0" w:space="0" w:color="auto"/>
        <w:bottom w:val="none" w:sz="0" w:space="0" w:color="auto"/>
        <w:right w:val="none" w:sz="0" w:space="0" w:color="auto"/>
      </w:divBdr>
    </w:div>
    <w:div w:id="256596616">
      <w:bodyDiv w:val="1"/>
      <w:marLeft w:val="0"/>
      <w:marRight w:val="0"/>
      <w:marTop w:val="0"/>
      <w:marBottom w:val="0"/>
      <w:divBdr>
        <w:top w:val="none" w:sz="0" w:space="0" w:color="auto"/>
        <w:left w:val="none" w:sz="0" w:space="0" w:color="auto"/>
        <w:bottom w:val="none" w:sz="0" w:space="0" w:color="auto"/>
        <w:right w:val="none" w:sz="0" w:space="0" w:color="auto"/>
      </w:divBdr>
    </w:div>
    <w:div w:id="603196300">
      <w:bodyDiv w:val="1"/>
      <w:marLeft w:val="0"/>
      <w:marRight w:val="0"/>
      <w:marTop w:val="0"/>
      <w:marBottom w:val="0"/>
      <w:divBdr>
        <w:top w:val="none" w:sz="0" w:space="0" w:color="auto"/>
        <w:left w:val="none" w:sz="0" w:space="0" w:color="auto"/>
        <w:bottom w:val="none" w:sz="0" w:space="0" w:color="auto"/>
        <w:right w:val="none" w:sz="0" w:space="0" w:color="auto"/>
      </w:divBdr>
    </w:div>
    <w:div w:id="631985673">
      <w:bodyDiv w:val="1"/>
      <w:marLeft w:val="0"/>
      <w:marRight w:val="0"/>
      <w:marTop w:val="0"/>
      <w:marBottom w:val="0"/>
      <w:divBdr>
        <w:top w:val="none" w:sz="0" w:space="0" w:color="auto"/>
        <w:left w:val="none" w:sz="0" w:space="0" w:color="auto"/>
        <w:bottom w:val="none" w:sz="0" w:space="0" w:color="auto"/>
        <w:right w:val="none" w:sz="0" w:space="0" w:color="auto"/>
      </w:divBdr>
    </w:div>
    <w:div w:id="780689042">
      <w:bodyDiv w:val="1"/>
      <w:marLeft w:val="0"/>
      <w:marRight w:val="0"/>
      <w:marTop w:val="0"/>
      <w:marBottom w:val="0"/>
      <w:divBdr>
        <w:top w:val="none" w:sz="0" w:space="0" w:color="auto"/>
        <w:left w:val="none" w:sz="0" w:space="0" w:color="auto"/>
        <w:bottom w:val="none" w:sz="0" w:space="0" w:color="auto"/>
        <w:right w:val="none" w:sz="0" w:space="0" w:color="auto"/>
      </w:divBdr>
    </w:div>
    <w:div w:id="809708017">
      <w:bodyDiv w:val="1"/>
      <w:marLeft w:val="0"/>
      <w:marRight w:val="0"/>
      <w:marTop w:val="0"/>
      <w:marBottom w:val="0"/>
      <w:divBdr>
        <w:top w:val="none" w:sz="0" w:space="0" w:color="auto"/>
        <w:left w:val="none" w:sz="0" w:space="0" w:color="auto"/>
        <w:bottom w:val="none" w:sz="0" w:space="0" w:color="auto"/>
        <w:right w:val="none" w:sz="0" w:space="0" w:color="auto"/>
      </w:divBdr>
    </w:div>
    <w:div w:id="1121730194">
      <w:bodyDiv w:val="1"/>
      <w:marLeft w:val="0"/>
      <w:marRight w:val="0"/>
      <w:marTop w:val="0"/>
      <w:marBottom w:val="0"/>
      <w:divBdr>
        <w:top w:val="none" w:sz="0" w:space="0" w:color="auto"/>
        <w:left w:val="none" w:sz="0" w:space="0" w:color="auto"/>
        <w:bottom w:val="none" w:sz="0" w:space="0" w:color="auto"/>
        <w:right w:val="none" w:sz="0" w:space="0" w:color="auto"/>
      </w:divBdr>
    </w:div>
    <w:div w:id="1462991898">
      <w:bodyDiv w:val="1"/>
      <w:marLeft w:val="0"/>
      <w:marRight w:val="0"/>
      <w:marTop w:val="0"/>
      <w:marBottom w:val="0"/>
      <w:divBdr>
        <w:top w:val="none" w:sz="0" w:space="0" w:color="auto"/>
        <w:left w:val="none" w:sz="0" w:space="0" w:color="auto"/>
        <w:bottom w:val="none" w:sz="0" w:space="0" w:color="auto"/>
        <w:right w:val="none" w:sz="0" w:space="0" w:color="auto"/>
      </w:divBdr>
    </w:div>
    <w:div w:id="1546256874">
      <w:bodyDiv w:val="1"/>
      <w:marLeft w:val="0"/>
      <w:marRight w:val="0"/>
      <w:marTop w:val="0"/>
      <w:marBottom w:val="0"/>
      <w:divBdr>
        <w:top w:val="none" w:sz="0" w:space="0" w:color="auto"/>
        <w:left w:val="none" w:sz="0" w:space="0" w:color="auto"/>
        <w:bottom w:val="none" w:sz="0" w:space="0" w:color="auto"/>
        <w:right w:val="none" w:sz="0" w:space="0" w:color="auto"/>
      </w:divBdr>
    </w:div>
    <w:div w:id="1937860681">
      <w:bodyDiv w:val="1"/>
      <w:marLeft w:val="0"/>
      <w:marRight w:val="0"/>
      <w:marTop w:val="0"/>
      <w:marBottom w:val="0"/>
      <w:divBdr>
        <w:top w:val="none" w:sz="0" w:space="0" w:color="auto"/>
        <w:left w:val="none" w:sz="0" w:space="0" w:color="auto"/>
        <w:bottom w:val="none" w:sz="0" w:space="0" w:color="auto"/>
        <w:right w:val="none" w:sz="0" w:space="0" w:color="auto"/>
      </w:divBdr>
    </w:div>
    <w:div w:id="199695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ESHA~1.BUD\AppData\Local\Temp\notesFB8235\ASIC%20CLASS%20ORDER%20EXPLANATORY%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F35214DA5C07D343AE868DE2718EC0D2" ma:contentTypeVersion="19" ma:contentTypeDescription="" ma:contentTypeScope="" ma:versionID="646b4d11b3c2638f525e8234b4d3c04b">
  <xsd:schema xmlns:xsd="http://www.w3.org/2001/XMLSchema" xmlns:xs="http://www.w3.org/2001/XMLSchema" xmlns:p="http://schemas.microsoft.com/office/2006/metadata/properties" xmlns:ns2="da7a9ac0-bc47-4684-84e6-3a8e9ac80c12" xmlns:ns3="30411915-e193-452e-813d-f9a7957e1542" xmlns:ns5="http://schemas.microsoft.com/sharepoint/v4" xmlns:ns6="17f478ab-373e-4295-9ff0-9b833ad01319" targetNamespace="http://schemas.microsoft.com/office/2006/metadata/properties" ma:root="true" ma:fieldsID="2f2d9f33ba1244b7b8ea67681d240102" ns2:_="" ns3:_="" ns5:_="" ns6:_="">
    <xsd:import namespace="da7a9ac0-bc47-4684-84e6-3a8e9ac80c12"/>
    <xsd:import namespace="30411915-e193-452e-813d-f9a7957e1542"/>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a72fa5f85dff4967abb2b14777f17e73"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20"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11915-e193-452e-813d-f9a7957e1542"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01f35da3-2104-4f41-8c23-1911f646ffd2}" ma:internalName="TaxCatchAll" ma:showField="CatchAllData" ma:web="30411915-e193-452e-813d-f9a7957e1542">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01f35da3-2104-4f41-8c23-1911f646ffd2}" ma:internalName="TaxCatchAllLabel" ma:readOnly="true" ma:showField="CatchAllDataLabel" ma:web="30411915-e193-452e-813d-f9a7957e1542">
      <xsd:complexType>
        <xsd:complexContent>
          <xsd:extension base="dms:MultiChoiceLookup">
            <xsd:sequence>
              <xsd:element name="Value" type="dms:Lookup" maxOccurs="unbounded" minOccurs="0" nillable="true"/>
            </xsd:sequence>
          </xsd:extension>
        </xsd:complexContent>
      </xsd:complexType>
    </xsd:element>
    <xsd:element name="a72fa5f85dff4967abb2b14777f17e73" ma:index="17" ma:taxonomy="true" ma:internalName="a72fa5f85dff4967abb2b14777f17e73" ma:taxonomyFieldName="SecurityClassification" ma:displayName="Security Classification" ma:default="6;#Sensitive|19fd2cb8-3e97-4464-ae71-8c2c2095d028" ma:fieldId="{a72fa5f8-5dff-4967-abb2-b14777f17e73}"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1"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2"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jectiveID xmlns="da7a9ac0-bc47-4684-84e6-3a8e9ac80c12">A4331450/document/versions/latest</ObjectiveID>
    <TaxCatchAll xmlns="30411915-e193-452e-813d-f9a7957e1542">
      <Value>6</Value>
    </TaxCatchAll>
    <RecordNumber xmlns="da7a9ac0-bc47-4684-84e6-3a8e9ac80c12">R20160000255326</RecordNumber>
    <a72fa5f85dff4967abb2b14777f17e73 xmlns="30411915-e193-452e-813d-f9a7957e1542">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a72fa5f85dff4967abb2b14777f17e73>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49378-A9F6-4628-8342-D33D28130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30411915-e193-452e-813d-f9a7957e1542"/>
    <ds:schemaRef ds:uri="http://schemas.microsoft.com/sharepoint/v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EDE35B-F2A1-4282-9C79-D6BE788C4470}">
  <ds:schemaRefs>
    <ds:schemaRef ds:uri="http://schemas.microsoft.com/sharepoint/v3/contenttype/forms"/>
  </ds:schemaRefs>
</ds:datastoreItem>
</file>

<file path=customXml/itemProps3.xml><?xml version="1.0" encoding="utf-8"?>
<ds:datastoreItem xmlns:ds="http://schemas.openxmlformats.org/officeDocument/2006/customXml" ds:itemID="{433F2E1B-32A3-49D4-8AC3-F6DA59BC6203}">
  <ds:schemaRefs>
    <ds:schemaRef ds:uri="30411915-e193-452e-813d-f9a7957e1542"/>
    <ds:schemaRef ds:uri="http://schemas.microsoft.com/sharepoint/v4"/>
    <ds:schemaRef ds:uri="da7a9ac0-bc47-4684-84e6-3a8e9ac80c12"/>
    <ds:schemaRef ds:uri="http://purl.org/dc/elements/1.1/"/>
    <ds:schemaRef ds:uri="http://schemas.microsoft.com/office/2006/documentManagement/types"/>
    <ds:schemaRef ds:uri="http://purl.org/dc/dcmitype/"/>
    <ds:schemaRef ds:uri="http://schemas.microsoft.com/office/2006/metadata/properties"/>
    <ds:schemaRef ds:uri="17f478ab-373e-4295-9ff0-9b833ad01319"/>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5C5BA230-FADE-4B1F-9951-0C22DD7AB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CLASS ORDER EXPLANATORY STATEMENT TEMPLATE.dotx</Template>
  <TotalTime>1</TotalTime>
  <Pages>3</Pages>
  <Words>672</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Ayesha.Budd</dc:creator>
  <cp:lastModifiedBy>Ruki.Weerasinghe</cp:lastModifiedBy>
  <cp:revision>2</cp:revision>
  <cp:lastPrinted>2016-04-26T04:44:00Z</cp:lastPrinted>
  <dcterms:created xsi:type="dcterms:W3CDTF">2016-04-28T05:39:00Z</dcterms:created>
  <dcterms:modified xsi:type="dcterms:W3CDTF">2016-04-28T05:39:00Z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0x010100B5F685A1365F544391EF8C813B164F3A00F35214DA5C07D343AE868DE2718EC0D2</vt:lpwstr>
  </property>
  <property fmtid="{D5CDD505-2E9C-101B-9397-08002B2CF9AE}" pid="23" name="SecurityClassification">
    <vt:lpwstr>6;#Sensitive|19fd2cb8-3e97-4464-ae71-8c2c2095d028</vt:lpwstr>
  </property>
  <property fmtid="{D5CDD505-2E9C-101B-9397-08002B2CF9AE}" pid="24" name="RecordPoint_WorkflowType">
    <vt:lpwstr>ActiveSubmitStub</vt:lpwstr>
  </property>
  <property fmtid="{D5CDD505-2E9C-101B-9397-08002B2CF9AE}" pid="25" name="RecordPoint_ActiveItemUniqueId">
    <vt:lpwstr>{eb336314-d82d-4b96-849f-d9a8dff0b347}</vt:lpwstr>
  </property>
  <property fmtid="{D5CDD505-2E9C-101B-9397-08002B2CF9AE}" pid="26" name="RecordPoint_ActiveItemWebId">
    <vt:lpwstr>{30411915-e193-452e-813d-f9a7957e1542}</vt:lpwstr>
  </property>
  <property fmtid="{D5CDD505-2E9C-101B-9397-08002B2CF9AE}" pid="27" name="RecordPoint_ActiveItemSiteId">
    <vt:lpwstr>{4e2804ae-3fdc-4bd5-98f7-e88d420eda69}</vt:lpwstr>
  </property>
  <property fmtid="{D5CDD505-2E9C-101B-9397-08002B2CF9AE}" pid="28" name="RecordPoint_ActiveItemListId">
    <vt:lpwstr>{4d12d3c3-08cf-46cb-8e07-383a2b92c4ee}</vt:lpwstr>
  </property>
  <property fmtid="{D5CDD505-2E9C-101B-9397-08002B2CF9AE}" pid="29" name="RecordPoint_RecordNumberSubmitted">
    <vt:lpwstr>R20160000255326</vt:lpwstr>
  </property>
  <property fmtid="{D5CDD505-2E9C-101B-9397-08002B2CF9AE}" pid="30" name="RecordPoint_SubmissionCompleted">
    <vt:lpwstr>2016-04-28T15:19:59.4532716+10:00</vt:lpwstr>
  </property>
</Properties>
</file>