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FAC82" w14:textId="77777777" w:rsidR="0041648B" w:rsidRPr="00A1060F" w:rsidRDefault="0041648B" w:rsidP="0041648B">
      <w:pPr>
        <w:pStyle w:val="Title"/>
        <w:rPr>
          <w:i/>
          <w:u w:val="none"/>
          <w:lang w:val="en-AU"/>
        </w:rPr>
      </w:pPr>
      <w:r w:rsidRPr="00A1060F">
        <w:rPr>
          <w:i/>
          <w:u w:val="none"/>
          <w:lang w:val="en-AU"/>
        </w:rPr>
        <w:t>Legislation Act 2003</w:t>
      </w:r>
    </w:p>
    <w:p w14:paraId="3AB9D018" w14:textId="77777777" w:rsidR="0041648B" w:rsidRDefault="0041648B" w:rsidP="0041648B">
      <w:pPr>
        <w:pStyle w:val="Title"/>
        <w:rPr>
          <w:lang w:val="en-AU"/>
        </w:rPr>
      </w:pPr>
    </w:p>
    <w:p w14:paraId="0570EC88" w14:textId="77777777" w:rsidR="0041648B" w:rsidRPr="00A1060F" w:rsidRDefault="0041648B" w:rsidP="0041648B">
      <w:pPr>
        <w:pStyle w:val="Title"/>
        <w:rPr>
          <w:u w:val="none"/>
          <w:lang w:val="en-AU"/>
        </w:rPr>
      </w:pPr>
      <w:r w:rsidRPr="00A1060F">
        <w:rPr>
          <w:u w:val="none"/>
          <w:lang w:val="en-AU"/>
        </w:rPr>
        <w:t xml:space="preserve">Subsection </w:t>
      </w:r>
      <w:proofErr w:type="gramStart"/>
      <w:r w:rsidRPr="00A1060F">
        <w:rPr>
          <w:u w:val="none"/>
          <w:lang w:val="en-AU"/>
        </w:rPr>
        <w:t>15G(</w:t>
      </w:r>
      <w:proofErr w:type="gramEnd"/>
      <w:r w:rsidRPr="00A1060F">
        <w:rPr>
          <w:u w:val="none"/>
          <w:lang w:val="en-AU"/>
        </w:rPr>
        <w:t>4) - Explanatory Statement</w:t>
      </w:r>
    </w:p>
    <w:p w14:paraId="582EDFA4" w14:textId="77777777" w:rsidR="0041648B" w:rsidRPr="009F5032" w:rsidRDefault="0041648B" w:rsidP="0041648B">
      <w:pPr>
        <w:rPr>
          <w:sz w:val="24"/>
        </w:rPr>
      </w:pPr>
    </w:p>
    <w:p w14:paraId="1946864D" w14:textId="77777777" w:rsidR="0041648B" w:rsidRPr="00927C37" w:rsidRDefault="0041648B" w:rsidP="0041648B">
      <w:pPr>
        <w:pStyle w:val="Heading1"/>
      </w:pPr>
      <w:r w:rsidRPr="00927C37">
        <w:t>Telecommunications Act 1997</w:t>
      </w:r>
    </w:p>
    <w:p w14:paraId="419AE4C8" w14:textId="77777777" w:rsidR="0041648B" w:rsidRPr="00927C37" w:rsidRDefault="0041648B" w:rsidP="0041648B"/>
    <w:p w14:paraId="6E4797F5" w14:textId="77777777" w:rsidR="0041648B" w:rsidRPr="00E75DD7" w:rsidRDefault="0041648B" w:rsidP="0041648B">
      <w:pPr>
        <w:jc w:val="center"/>
        <w:rPr>
          <w:b/>
          <w:sz w:val="28"/>
          <w:szCs w:val="28"/>
        </w:rPr>
      </w:pPr>
      <w:r w:rsidRPr="00E75DD7">
        <w:rPr>
          <w:b/>
          <w:sz w:val="28"/>
          <w:szCs w:val="28"/>
        </w:rPr>
        <w:t>Telecommunications (International Mobile Roaming</w:t>
      </w:r>
      <w:r>
        <w:rPr>
          <w:b/>
          <w:sz w:val="28"/>
          <w:szCs w:val="28"/>
        </w:rPr>
        <w:t>) Industry Standard Varia</w:t>
      </w:r>
      <w:r w:rsidRPr="00E75DD7">
        <w:rPr>
          <w:b/>
          <w:sz w:val="28"/>
          <w:szCs w:val="28"/>
        </w:rPr>
        <w:t>tion 201</w:t>
      </w:r>
      <w:r>
        <w:rPr>
          <w:b/>
          <w:sz w:val="28"/>
          <w:szCs w:val="28"/>
        </w:rPr>
        <w:t>6 (No. 1)</w:t>
      </w:r>
    </w:p>
    <w:p w14:paraId="4B9D80E6" w14:textId="77777777" w:rsidR="0041648B" w:rsidRPr="00896ED4" w:rsidRDefault="0041648B" w:rsidP="0041648B">
      <w:pPr>
        <w:pStyle w:val="BodyText3"/>
        <w:rPr>
          <w:lang w:val="en-AU"/>
        </w:rPr>
      </w:pPr>
    </w:p>
    <w:p w14:paraId="7466CACC" w14:textId="77777777" w:rsidR="0041648B" w:rsidRPr="00896ED4" w:rsidRDefault="0041648B" w:rsidP="0041648B">
      <w:pPr>
        <w:pStyle w:val="BodyText3"/>
        <w:rPr>
          <w:lang w:val="en-AU"/>
        </w:rPr>
      </w:pPr>
    </w:p>
    <w:p w14:paraId="267EECBF" w14:textId="77777777" w:rsidR="0041648B" w:rsidRPr="009F5032" w:rsidRDefault="0041648B" w:rsidP="0041648B">
      <w:pPr>
        <w:jc w:val="center"/>
        <w:rPr>
          <w:sz w:val="24"/>
          <w:szCs w:val="24"/>
        </w:rPr>
      </w:pPr>
      <w:r w:rsidRPr="009F5032">
        <w:rPr>
          <w:sz w:val="24"/>
          <w:szCs w:val="24"/>
        </w:rPr>
        <w:t xml:space="preserve">Issued by the </w:t>
      </w:r>
      <w:r>
        <w:rPr>
          <w:sz w:val="24"/>
          <w:szCs w:val="24"/>
        </w:rPr>
        <w:t>Australian Communications and Media</w:t>
      </w:r>
      <w:r w:rsidRPr="00E52C71">
        <w:rPr>
          <w:sz w:val="24"/>
          <w:szCs w:val="24"/>
        </w:rPr>
        <w:t xml:space="preserve"> </w:t>
      </w:r>
      <w:r w:rsidRPr="009F5032">
        <w:rPr>
          <w:sz w:val="24"/>
          <w:szCs w:val="24"/>
        </w:rPr>
        <w:t>Authority</w:t>
      </w:r>
    </w:p>
    <w:p w14:paraId="6E4D1FF2" w14:textId="77777777" w:rsidR="0041648B" w:rsidRPr="00927C37" w:rsidRDefault="0041648B" w:rsidP="0041648B">
      <w:pPr>
        <w:rPr>
          <w:sz w:val="24"/>
        </w:rPr>
      </w:pPr>
    </w:p>
    <w:p w14:paraId="1FCF6879" w14:textId="77777777" w:rsidR="0041648B" w:rsidRPr="00E75DD7" w:rsidRDefault="0041648B" w:rsidP="0041648B">
      <w:pPr>
        <w:rPr>
          <w:sz w:val="24"/>
          <w:szCs w:val="24"/>
        </w:rPr>
      </w:pPr>
    </w:p>
    <w:p w14:paraId="72E7B09D" w14:textId="77777777" w:rsidR="0041648B" w:rsidRPr="00896ED4" w:rsidRDefault="0041648B" w:rsidP="0041648B">
      <w:pPr>
        <w:rPr>
          <w:sz w:val="24"/>
          <w:szCs w:val="24"/>
          <w:u w:val="single"/>
        </w:rPr>
      </w:pPr>
      <w:r>
        <w:rPr>
          <w:sz w:val="24"/>
          <w:szCs w:val="24"/>
          <w:u w:val="single"/>
        </w:rPr>
        <w:t>Purpose and legislative basis</w:t>
      </w:r>
    </w:p>
    <w:p w14:paraId="3D6F5BE4" w14:textId="77777777" w:rsidR="0041648B" w:rsidRPr="009F5032" w:rsidRDefault="0041648B" w:rsidP="0041648B">
      <w:pPr>
        <w:rPr>
          <w:sz w:val="24"/>
          <w:szCs w:val="24"/>
        </w:rPr>
      </w:pPr>
    </w:p>
    <w:p w14:paraId="7425002F" w14:textId="77777777" w:rsidR="0041648B" w:rsidRDefault="0041648B" w:rsidP="0041648B">
      <w:pPr>
        <w:rPr>
          <w:sz w:val="24"/>
          <w:szCs w:val="24"/>
        </w:rPr>
      </w:pPr>
      <w:r>
        <w:rPr>
          <w:sz w:val="24"/>
          <w:szCs w:val="24"/>
        </w:rPr>
        <w:t>Under s</w:t>
      </w:r>
      <w:r w:rsidRPr="00E75DD7">
        <w:rPr>
          <w:sz w:val="24"/>
          <w:szCs w:val="24"/>
        </w:rPr>
        <w:t>ubsection 125AA</w:t>
      </w:r>
      <w:r w:rsidRPr="003E3A88">
        <w:rPr>
          <w:sz w:val="24"/>
          <w:szCs w:val="24"/>
        </w:rPr>
        <w:t>(4)</w:t>
      </w:r>
      <w:r w:rsidRPr="00E75DD7">
        <w:rPr>
          <w:sz w:val="24"/>
          <w:szCs w:val="24"/>
        </w:rPr>
        <w:t xml:space="preserve"> of the </w:t>
      </w:r>
      <w:r w:rsidRPr="00E75DD7">
        <w:rPr>
          <w:i/>
          <w:sz w:val="24"/>
          <w:szCs w:val="24"/>
        </w:rPr>
        <w:t xml:space="preserve">Telecommunications Act 1997 </w:t>
      </w:r>
      <w:r>
        <w:rPr>
          <w:sz w:val="24"/>
          <w:szCs w:val="24"/>
        </w:rPr>
        <w:t xml:space="preserve">(the Act) the Minister may direct the ACMA in writing to determine an industry </w:t>
      </w:r>
      <w:r w:rsidRPr="00E75DD7">
        <w:rPr>
          <w:sz w:val="24"/>
          <w:szCs w:val="24"/>
        </w:rPr>
        <w:t xml:space="preserve">standard that applies to participants in a specified section of </w:t>
      </w:r>
      <w:r w:rsidRPr="00522A7D">
        <w:rPr>
          <w:sz w:val="24"/>
          <w:szCs w:val="24"/>
        </w:rPr>
        <w:t>the telecommunications industry</w:t>
      </w:r>
      <w:r>
        <w:rPr>
          <w:sz w:val="24"/>
          <w:szCs w:val="24"/>
        </w:rPr>
        <w:t>,</w:t>
      </w:r>
      <w:r w:rsidRPr="00522A7D">
        <w:rPr>
          <w:sz w:val="24"/>
          <w:szCs w:val="24"/>
        </w:rPr>
        <w:t xml:space="preserve"> </w:t>
      </w:r>
      <w:r>
        <w:rPr>
          <w:sz w:val="24"/>
          <w:szCs w:val="24"/>
        </w:rPr>
        <w:t xml:space="preserve">and </w:t>
      </w:r>
      <w:r w:rsidRPr="00522A7D">
        <w:rPr>
          <w:sz w:val="24"/>
          <w:szCs w:val="24"/>
        </w:rPr>
        <w:t xml:space="preserve">deals with one or more specified matters relating to the </w:t>
      </w:r>
      <w:r w:rsidRPr="00E749BA">
        <w:rPr>
          <w:sz w:val="24"/>
          <w:szCs w:val="24"/>
        </w:rPr>
        <w:t>telecommunications</w:t>
      </w:r>
      <w:r w:rsidRPr="009F5032">
        <w:rPr>
          <w:sz w:val="24"/>
          <w:szCs w:val="24"/>
        </w:rPr>
        <w:t xml:space="preserve"> activities of those participants.</w:t>
      </w:r>
    </w:p>
    <w:p w14:paraId="4A84FA6B" w14:textId="77777777" w:rsidR="0041648B" w:rsidRDefault="0041648B" w:rsidP="0041648B">
      <w:pPr>
        <w:rPr>
          <w:sz w:val="24"/>
          <w:szCs w:val="24"/>
        </w:rPr>
      </w:pPr>
    </w:p>
    <w:p w14:paraId="6A87B1B6" w14:textId="77777777" w:rsidR="0041648B" w:rsidRPr="009F5032" w:rsidRDefault="0041648B" w:rsidP="0041648B">
      <w:pPr>
        <w:rPr>
          <w:sz w:val="24"/>
          <w:szCs w:val="24"/>
        </w:rPr>
      </w:pPr>
      <w:r>
        <w:rPr>
          <w:sz w:val="24"/>
          <w:szCs w:val="24"/>
        </w:rPr>
        <w:t xml:space="preserve">On 1 February 2016 the Minister made the </w:t>
      </w:r>
      <w:r w:rsidRPr="009F5032">
        <w:rPr>
          <w:i/>
          <w:sz w:val="24"/>
          <w:szCs w:val="24"/>
        </w:rPr>
        <w:t>Telecommunications (Amendment of International Mobile Roaming Industry Standard) Direction 201</w:t>
      </w:r>
      <w:r>
        <w:rPr>
          <w:i/>
          <w:sz w:val="24"/>
          <w:szCs w:val="24"/>
        </w:rPr>
        <w:t xml:space="preserve">6 </w:t>
      </w:r>
      <w:r>
        <w:rPr>
          <w:sz w:val="24"/>
          <w:szCs w:val="24"/>
        </w:rPr>
        <w:t xml:space="preserve">(the Direction) under subsection </w:t>
      </w:r>
      <w:proofErr w:type="gramStart"/>
      <w:r>
        <w:rPr>
          <w:sz w:val="24"/>
          <w:szCs w:val="24"/>
        </w:rPr>
        <w:t>125AA(</w:t>
      </w:r>
      <w:proofErr w:type="gramEnd"/>
      <w:r>
        <w:rPr>
          <w:sz w:val="24"/>
          <w:szCs w:val="24"/>
        </w:rPr>
        <w:t>4) of the Act.</w:t>
      </w:r>
      <w:r w:rsidRPr="009F5032">
        <w:rPr>
          <w:sz w:val="24"/>
          <w:szCs w:val="24"/>
        </w:rPr>
        <w:t xml:space="preserve"> </w:t>
      </w:r>
      <w:r>
        <w:rPr>
          <w:sz w:val="24"/>
          <w:szCs w:val="24"/>
        </w:rPr>
        <w:t xml:space="preserve">The Direction requires the </w:t>
      </w:r>
      <w:r w:rsidRPr="009F5032">
        <w:rPr>
          <w:sz w:val="24"/>
          <w:szCs w:val="24"/>
        </w:rPr>
        <w:t xml:space="preserve">ACMA to </w:t>
      </w:r>
      <w:r>
        <w:rPr>
          <w:sz w:val="24"/>
          <w:szCs w:val="24"/>
        </w:rPr>
        <w:t>make particular amendments to</w:t>
      </w:r>
      <w:r w:rsidRPr="00927C37">
        <w:rPr>
          <w:sz w:val="24"/>
          <w:szCs w:val="24"/>
        </w:rPr>
        <w:t xml:space="preserve"> the </w:t>
      </w:r>
      <w:r w:rsidRPr="00927C37">
        <w:rPr>
          <w:i/>
          <w:sz w:val="24"/>
          <w:szCs w:val="24"/>
        </w:rPr>
        <w:t>Telecommunicati</w:t>
      </w:r>
      <w:bookmarkStart w:id="0" w:name="_GoBack"/>
      <w:bookmarkEnd w:id="0"/>
      <w:r w:rsidRPr="00927C37">
        <w:rPr>
          <w:i/>
          <w:sz w:val="24"/>
          <w:szCs w:val="24"/>
        </w:rPr>
        <w:t xml:space="preserve">ons (International Mobile Roaming) Industry Standard 2013 </w:t>
      </w:r>
      <w:r>
        <w:rPr>
          <w:sz w:val="24"/>
          <w:szCs w:val="24"/>
        </w:rPr>
        <w:t xml:space="preserve">(the IMR </w:t>
      </w:r>
      <w:r w:rsidRPr="00927C37">
        <w:rPr>
          <w:sz w:val="24"/>
          <w:szCs w:val="24"/>
        </w:rPr>
        <w:t>Standard)</w:t>
      </w:r>
      <w:r>
        <w:rPr>
          <w:sz w:val="24"/>
          <w:szCs w:val="24"/>
        </w:rPr>
        <w:t>, and provides that the ACMA may also make related amendments</w:t>
      </w:r>
      <w:r w:rsidRPr="00927C37">
        <w:rPr>
          <w:sz w:val="24"/>
          <w:szCs w:val="24"/>
        </w:rPr>
        <w:t>.</w:t>
      </w:r>
      <w:r>
        <w:rPr>
          <w:sz w:val="24"/>
          <w:szCs w:val="24"/>
        </w:rPr>
        <w:t xml:space="preserve"> </w:t>
      </w:r>
    </w:p>
    <w:p w14:paraId="72B980F6" w14:textId="77777777" w:rsidR="0041648B" w:rsidRDefault="0041648B" w:rsidP="0041648B">
      <w:pPr>
        <w:rPr>
          <w:sz w:val="24"/>
          <w:u w:val="single"/>
        </w:rPr>
      </w:pPr>
    </w:p>
    <w:p w14:paraId="51954225" w14:textId="67CB1D9B" w:rsidR="0041648B" w:rsidRDefault="0041648B" w:rsidP="0041648B">
      <w:pPr>
        <w:rPr>
          <w:sz w:val="24"/>
          <w:szCs w:val="24"/>
        </w:rPr>
      </w:pPr>
      <w:r>
        <w:rPr>
          <w:sz w:val="24"/>
        </w:rPr>
        <w:t xml:space="preserve">On </w:t>
      </w:r>
      <w:r w:rsidR="002556B4">
        <w:rPr>
          <w:sz w:val="24"/>
        </w:rPr>
        <w:t>2</w:t>
      </w:r>
      <w:r w:rsidR="002556B4">
        <w:rPr>
          <w:sz w:val="24"/>
        </w:rPr>
        <w:t xml:space="preserve"> May 2016</w:t>
      </w:r>
      <w:r>
        <w:rPr>
          <w:sz w:val="24"/>
        </w:rPr>
        <w:t xml:space="preserve"> the ACMA made the</w:t>
      </w:r>
      <w:r w:rsidRPr="009F5032">
        <w:rPr>
          <w:sz w:val="24"/>
          <w:szCs w:val="24"/>
        </w:rPr>
        <w:t xml:space="preserve"> </w:t>
      </w:r>
      <w:r w:rsidRPr="009F5032">
        <w:rPr>
          <w:i/>
          <w:sz w:val="24"/>
          <w:szCs w:val="24"/>
        </w:rPr>
        <w:t>Telecommunications (International Mobile Roaming</w:t>
      </w:r>
      <w:r>
        <w:rPr>
          <w:i/>
          <w:sz w:val="24"/>
          <w:szCs w:val="24"/>
        </w:rPr>
        <w:t>)</w:t>
      </w:r>
      <w:r w:rsidRPr="009F5032">
        <w:rPr>
          <w:i/>
          <w:sz w:val="24"/>
          <w:szCs w:val="24"/>
        </w:rPr>
        <w:t xml:space="preserve"> Industry Standard </w:t>
      </w:r>
      <w:r>
        <w:rPr>
          <w:i/>
          <w:sz w:val="24"/>
          <w:szCs w:val="24"/>
        </w:rPr>
        <w:t>Variation</w:t>
      </w:r>
      <w:r w:rsidRPr="009F5032">
        <w:rPr>
          <w:i/>
          <w:sz w:val="24"/>
          <w:szCs w:val="24"/>
        </w:rPr>
        <w:t xml:space="preserve"> 201</w:t>
      </w:r>
      <w:r>
        <w:rPr>
          <w:i/>
          <w:sz w:val="24"/>
          <w:szCs w:val="24"/>
        </w:rPr>
        <w:t>6</w:t>
      </w:r>
      <w:r w:rsidRPr="009F5032">
        <w:rPr>
          <w:sz w:val="24"/>
          <w:szCs w:val="24"/>
        </w:rPr>
        <w:t xml:space="preserve"> </w:t>
      </w:r>
      <w:r w:rsidRPr="00A1060F">
        <w:rPr>
          <w:i/>
          <w:sz w:val="24"/>
          <w:szCs w:val="24"/>
        </w:rPr>
        <w:t>(No. 1)</w:t>
      </w:r>
      <w:r>
        <w:rPr>
          <w:sz w:val="24"/>
          <w:szCs w:val="24"/>
        </w:rPr>
        <w:t xml:space="preserve"> </w:t>
      </w:r>
      <w:r w:rsidRPr="009F5032">
        <w:rPr>
          <w:sz w:val="24"/>
          <w:szCs w:val="24"/>
        </w:rPr>
        <w:t>(</w:t>
      </w:r>
      <w:r>
        <w:rPr>
          <w:sz w:val="24"/>
          <w:szCs w:val="24"/>
        </w:rPr>
        <w:t>the Variation</w:t>
      </w:r>
      <w:r w:rsidRPr="009F5032">
        <w:rPr>
          <w:sz w:val="24"/>
          <w:szCs w:val="24"/>
        </w:rPr>
        <w:t>)</w:t>
      </w:r>
      <w:r>
        <w:rPr>
          <w:sz w:val="24"/>
          <w:szCs w:val="24"/>
        </w:rPr>
        <w:t>.  The Variation</w:t>
      </w:r>
      <w:r w:rsidRPr="009F5032">
        <w:rPr>
          <w:i/>
          <w:sz w:val="24"/>
          <w:szCs w:val="24"/>
        </w:rPr>
        <w:t xml:space="preserve"> </w:t>
      </w:r>
      <w:r w:rsidRPr="00A1060F">
        <w:rPr>
          <w:sz w:val="24"/>
          <w:szCs w:val="24"/>
        </w:rPr>
        <w:t xml:space="preserve">amends </w:t>
      </w:r>
      <w:r>
        <w:rPr>
          <w:sz w:val="24"/>
          <w:szCs w:val="24"/>
        </w:rPr>
        <w:t>the IMR Standard, consistent with the Direction</w:t>
      </w:r>
      <w:r w:rsidRPr="00927C37">
        <w:rPr>
          <w:sz w:val="24"/>
          <w:szCs w:val="24"/>
        </w:rPr>
        <w:t>.</w:t>
      </w:r>
      <w:r>
        <w:rPr>
          <w:sz w:val="24"/>
          <w:szCs w:val="24"/>
        </w:rPr>
        <w:t xml:space="preserve">  The ACMA has made the Variation under subsection </w:t>
      </w:r>
      <w:proofErr w:type="gramStart"/>
      <w:r>
        <w:rPr>
          <w:sz w:val="24"/>
          <w:szCs w:val="24"/>
        </w:rPr>
        <w:t>125AA(</w:t>
      </w:r>
      <w:proofErr w:type="gramEnd"/>
      <w:r>
        <w:rPr>
          <w:sz w:val="24"/>
          <w:szCs w:val="24"/>
        </w:rPr>
        <w:t xml:space="preserve">1) of the Act and subsection 33(3) of the </w:t>
      </w:r>
      <w:r w:rsidRPr="00A1060F">
        <w:rPr>
          <w:i/>
          <w:sz w:val="24"/>
          <w:szCs w:val="24"/>
        </w:rPr>
        <w:t>Acts Interpretation Act 1901</w:t>
      </w:r>
      <w:r>
        <w:rPr>
          <w:sz w:val="24"/>
          <w:szCs w:val="24"/>
        </w:rPr>
        <w:t xml:space="preserve"> (AIA).  </w:t>
      </w:r>
    </w:p>
    <w:p w14:paraId="66176B1E" w14:textId="77777777" w:rsidR="0041648B" w:rsidRDefault="0041648B" w:rsidP="0041648B">
      <w:pPr>
        <w:rPr>
          <w:sz w:val="24"/>
          <w:szCs w:val="24"/>
        </w:rPr>
      </w:pPr>
    </w:p>
    <w:p w14:paraId="2B754A65" w14:textId="77777777" w:rsidR="0041648B" w:rsidRDefault="0041648B" w:rsidP="0041648B">
      <w:pPr>
        <w:rPr>
          <w:sz w:val="24"/>
          <w:szCs w:val="24"/>
        </w:rPr>
      </w:pPr>
      <w:r>
        <w:rPr>
          <w:sz w:val="24"/>
          <w:szCs w:val="24"/>
        </w:rPr>
        <w:t xml:space="preserve">Subsection 125AA(1) of the Act provides that the ACMA may determine an industry </w:t>
      </w:r>
      <w:r w:rsidRPr="00E75DD7">
        <w:rPr>
          <w:sz w:val="24"/>
          <w:szCs w:val="24"/>
        </w:rPr>
        <w:t xml:space="preserve">standard that applies to participants in a specified section of </w:t>
      </w:r>
      <w:r w:rsidRPr="00522A7D">
        <w:rPr>
          <w:sz w:val="24"/>
          <w:szCs w:val="24"/>
        </w:rPr>
        <w:t>the telecommunications industry</w:t>
      </w:r>
      <w:r>
        <w:rPr>
          <w:sz w:val="24"/>
          <w:szCs w:val="24"/>
        </w:rPr>
        <w:t>,</w:t>
      </w:r>
      <w:r w:rsidRPr="00522A7D">
        <w:rPr>
          <w:sz w:val="24"/>
          <w:szCs w:val="24"/>
        </w:rPr>
        <w:t xml:space="preserve"> </w:t>
      </w:r>
      <w:r>
        <w:rPr>
          <w:sz w:val="24"/>
          <w:szCs w:val="24"/>
        </w:rPr>
        <w:t xml:space="preserve">and </w:t>
      </w:r>
      <w:r w:rsidRPr="00522A7D">
        <w:rPr>
          <w:sz w:val="24"/>
          <w:szCs w:val="24"/>
        </w:rPr>
        <w:t xml:space="preserve">deals with one or more specified matters relating to the </w:t>
      </w:r>
      <w:r w:rsidRPr="00E749BA">
        <w:rPr>
          <w:sz w:val="24"/>
          <w:szCs w:val="24"/>
        </w:rPr>
        <w:t>telecommunications</w:t>
      </w:r>
      <w:r w:rsidRPr="009F5032">
        <w:rPr>
          <w:sz w:val="24"/>
          <w:szCs w:val="24"/>
        </w:rPr>
        <w:t xml:space="preserve"> activities of those participants</w:t>
      </w:r>
      <w:r>
        <w:rPr>
          <w:sz w:val="24"/>
          <w:szCs w:val="24"/>
        </w:rPr>
        <w:t xml:space="preserve">.  Subsection </w:t>
      </w:r>
      <w:proofErr w:type="gramStart"/>
      <w:r>
        <w:rPr>
          <w:sz w:val="24"/>
          <w:szCs w:val="24"/>
        </w:rPr>
        <w:t>125AA(</w:t>
      </w:r>
      <w:proofErr w:type="gramEnd"/>
      <w:r>
        <w:rPr>
          <w:sz w:val="24"/>
          <w:szCs w:val="24"/>
        </w:rPr>
        <w:t>5) of the Act provides that such a standard can only be made following a direction from the Minister under subsection 125AA(4).</w:t>
      </w:r>
    </w:p>
    <w:p w14:paraId="4DB3DF21" w14:textId="77777777" w:rsidR="0041648B" w:rsidRDefault="0041648B" w:rsidP="0041648B">
      <w:pPr>
        <w:rPr>
          <w:sz w:val="24"/>
          <w:szCs w:val="24"/>
        </w:rPr>
      </w:pPr>
    </w:p>
    <w:p w14:paraId="0883D80C" w14:textId="77777777" w:rsidR="0041648B" w:rsidRDefault="0041648B" w:rsidP="0041648B">
      <w:pPr>
        <w:rPr>
          <w:sz w:val="24"/>
          <w:szCs w:val="24"/>
        </w:rPr>
      </w:pPr>
      <w:r>
        <w:rPr>
          <w:sz w:val="24"/>
          <w:szCs w:val="24"/>
        </w:rPr>
        <w:t>Subsection 33(3) of the AIA relevantly provides that where an Act confers a power to make a legislative instrument, the power shall be construed as including a power exercisable in the like manner and subject to the like conditions (if any) to repeal, rescind, revoke, amend or vary any such instrument.</w:t>
      </w:r>
    </w:p>
    <w:p w14:paraId="4503FCC8" w14:textId="77777777" w:rsidR="0041648B" w:rsidRPr="00AE0301" w:rsidRDefault="0041648B" w:rsidP="0041648B">
      <w:pPr>
        <w:pStyle w:val="ListParagraph"/>
        <w:spacing w:before="0"/>
        <w:ind w:left="360"/>
        <w:contextualSpacing w:val="0"/>
      </w:pPr>
    </w:p>
    <w:p w14:paraId="450555E1" w14:textId="77777777" w:rsidR="0041648B" w:rsidRPr="00522A7D" w:rsidRDefault="0041648B" w:rsidP="0041648B">
      <w:pPr>
        <w:rPr>
          <w:sz w:val="24"/>
          <w:u w:val="single"/>
        </w:rPr>
      </w:pPr>
      <w:r w:rsidRPr="00522A7D">
        <w:rPr>
          <w:sz w:val="24"/>
          <w:u w:val="single"/>
        </w:rPr>
        <w:t>Background</w:t>
      </w:r>
    </w:p>
    <w:p w14:paraId="78BC6EAE" w14:textId="77777777" w:rsidR="0041648B" w:rsidRPr="00E75DD7" w:rsidRDefault="0041648B" w:rsidP="0041648B">
      <w:pPr>
        <w:rPr>
          <w:sz w:val="24"/>
          <w:szCs w:val="24"/>
        </w:rPr>
      </w:pPr>
    </w:p>
    <w:p w14:paraId="6FEEF029" w14:textId="77777777" w:rsidR="0041648B" w:rsidRDefault="0041648B" w:rsidP="0041648B">
      <w:pPr>
        <w:rPr>
          <w:rStyle w:val="Text-Normal"/>
        </w:rPr>
      </w:pPr>
      <w:r w:rsidRPr="00522A7D">
        <w:rPr>
          <w:sz w:val="24"/>
          <w:szCs w:val="24"/>
        </w:rPr>
        <w:t>In August 2012,</w:t>
      </w:r>
      <w:r w:rsidRPr="00E749BA">
        <w:rPr>
          <w:sz w:val="24"/>
          <w:szCs w:val="24"/>
        </w:rPr>
        <w:t xml:space="preserve"> </w:t>
      </w:r>
      <w:r w:rsidRPr="00B3149E">
        <w:rPr>
          <w:sz w:val="24"/>
          <w:szCs w:val="24"/>
        </w:rPr>
        <w:t>the</w:t>
      </w:r>
      <w:r w:rsidRPr="00CB715F">
        <w:rPr>
          <w:i/>
          <w:sz w:val="24"/>
          <w:szCs w:val="24"/>
        </w:rPr>
        <w:t xml:space="preserve"> </w:t>
      </w:r>
      <w:r w:rsidRPr="00524B97">
        <w:rPr>
          <w:i/>
          <w:sz w:val="24"/>
          <w:szCs w:val="24"/>
        </w:rPr>
        <w:t>Australian Communications and Media Authority (</w:t>
      </w:r>
      <w:r w:rsidRPr="00CB715F">
        <w:rPr>
          <w:rFonts w:eastAsia="Calibri"/>
          <w:i/>
          <w:sz w:val="24"/>
          <w:szCs w:val="24"/>
        </w:rPr>
        <w:t>International Mobile Roaming Industry Standard) Direction (No. 1) 2012</w:t>
      </w:r>
      <w:r w:rsidRPr="00CB715F">
        <w:rPr>
          <w:rFonts w:eastAsia="Calibri"/>
          <w:sz w:val="24"/>
          <w:szCs w:val="24"/>
        </w:rPr>
        <w:t xml:space="preserve"> (2012 Direction)</w:t>
      </w:r>
      <w:r>
        <w:rPr>
          <w:rFonts w:eastAsia="Calibri"/>
          <w:sz w:val="24"/>
          <w:szCs w:val="24"/>
        </w:rPr>
        <w:t xml:space="preserve"> </w:t>
      </w:r>
      <w:r>
        <w:rPr>
          <w:sz w:val="24"/>
          <w:szCs w:val="24"/>
        </w:rPr>
        <w:t xml:space="preserve">was </w:t>
      </w:r>
      <w:r>
        <w:rPr>
          <w:sz w:val="24"/>
          <w:szCs w:val="24"/>
        </w:rPr>
        <w:lastRenderedPageBreak/>
        <w:t xml:space="preserve">made </w:t>
      </w:r>
      <w:r w:rsidRPr="00E749BA">
        <w:rPr>
          <w:sz w:val="24"/>
          <w:szCs w:val="24"/>
        </w:rPr>
        <w:t>under s</w:t>
      </w:r>
      <w:r>
        <w:rPr>
          <w:sz w:val="24"/>
          <w:szCs w:val="24"/>
        </w:rPr>
        <w:t>ubs</w:t>
      </w:r>
      <w:r w:rsidRPr="00E749BA">
        <w:rPr>
          <w:sz w:val="24"/>
          <w:szCs w:val="24"/>
        </w:rPr>
        <w:t xml:space="preserve">ection </w:t>
      </w:r>
      <w:proofErr w:type="gramStart"/>
      <w:r w:rsidRPr="00E749BA">
        <w:rPr>
          <w:sz w:val="24"/>
          <w:szCs w:val="24"/>
        </w:rPr>
        <w:t>125AA</w:t>
      </w:r>
      <w:r>
        <w:rPr>
          <w:sz w:val="24"/>
          <w:szCs w:val="24"/>
        </w:rPr>
        <w:t>(</w:t>
      </w:r>
      <w:proofErr w:type="gramEnd"/>
      <w:r>
        <w:rPr>
          <w:sz w:val="24"/>
          <w:szCs w:val="24"/>
        </w:rPr>
        <w:t>4)</w:t>
      </w:r>
      <w:r w:rsidRPr="009F5032">
        <w:rPr>
          <w:sz w:val="24"/>
          <w:szCs w:val="24"/>
        </w:rPr>
        <w:t xml:space="preserve"> of the </w:t>
      </w:r>
      <w:r>
        <w:rPr>
          <w:sz w:val="24"/>
          <w:szCs w:val="24"/>
        </w:rPr>
        <w:t>Act</w:t>
      </w:r>
      <w:r w:rsidRPr="009F5032">
        <w:rPr>
          <w:sz w:val="24"/>
          <w:szCs w:val="24"/>
        </w:rPr>
        <w:t xml:space="preserve">, </w:t>
      </w:r>
      <w:r>
        <w:rPr>
          <w:rFonts w:eastAsia="Calibri"/>
          <w:sz w:val="24"/>
          <w:szCs w:val="24"/>
        </w:rPr>
        <w:t>requiring the ACMA to make the IMR Standard</w:t>
      </w:r>
      <w:r w:rsidRPr="00CB715F">
        <w:rPr>
          <w:rFonts w:eastAsia="Calibri"/>
          <w:sz w:val="24"/>
          <w:szCs w:val="24"/>
        </w:rPr>
        <w:t>.</w:t>
      </w:r>
      <w:r>
        <w:rPr>
          <w:rFonts w:eastAsia="Calibri"/>
          <w:sz w:val="24"/>
          <w:szCs w:val="24"/>
        </w:rPr>
        <w:t xml:space="preserve">  </w:t>
      </w:r>
      <w:r w:rsidRPr="00A67174">
        <w:rPr>
          <w:rStyle w:val="Text-Normal"/>
        </w:rPr>
        <w:t xml:space="preserve">The ACMA made the </w:t>
      </w:r>
      <w:r>
        <w:rPr>
          <w:rStyle w:val="Text-Normal"/>
        </w:rPr>
        <w:t xml:space="preserve">IMR </w:t>
      </w:r>
      <w:r w:rsidRPr="00CA42D4">
        <w:rPr>
          <w:rStyle w:val="Text-Normal"/>
        </w:rPr>
        <w:t xml:space="preserve">Standard </w:t>
      </w:r>
      <w:r w:rsidRPr="00A1060F">
        <w:rPr>
          <w:sz w:val="24"/>
          <w:szCs w:val="24"/>
        </w:rPr>
        <w:t>in accordance with the 2012 Direction</w:t>
      </w:r>
      <w:r w:rsidRPr="00CA42D4">
        <w:rPr>
          <w:rStyle w:val="Text-Normal"/>
        </w:rPr>
        <w:t xml:space="preserve"> in</w:t>
      </w:r>
      <w:r w:rsidRPr="00A67174">
        <w:rPr>
          <w:rStyle w:val="Text-Normal"/>
        </w:rPr>
        <w:t xml:space="preserve"> June 2013</w:t>
      </w:r>
      <w:r>
        <w:rPr>
          <w:rStyle w:val="Text-Normal"/>
        </w:rPr>
        <w:t xml:space="preserve">.  The IMR Standard </w:t>
      </w:r>
      <w:r w:rsidRPr="00A67174">
        <w:rPr>
          <w:rStyle w:val="Text-Normal"/>
        </w:rPr>
        <w:t>commenced</w:t>
      </w:r>
      <w:r>
        <w:rPr>
          <w:rStyle w:val="Text-Normal"/>
        </w:rPr>
        <w:t xml:space="preserve"> progressively, with certain obligations not due to become operative until 23 May 2016.</w:t>
      </w:r>
    </w:p>
    <w:p w14:paraId="3C8044EA" w14:textId="77777777" w:rsidR="0041648B" w:rsidRDefault="0041648B" w:rsidP="0041648B">
      <w:pPr>
        <w:pStyle w:val="MinSubbodytext"/>
        <w:ind w:left="0"/>
        <w:rPr>
          <w:rStyle w:val="Text-Normal"/>
        </w:rPr>
      </w:pPr>
    </w:p>
    <w:p w14:paraId="1FE08DC4" w14:textId="77777777" w:rsidR="0041648B" w:rsidRDefault="0041648B" w:rsidP="0041648B">
      <w:pPr>
        <w:pStyle w:val="MinSubbodytext"/>
        <w:ind w:left="0"/>
        <w:rPr>
          <w:color w:val="000000"/>
        </w:rPr>
      </w:pPr>
      <w:r>
        <w:rPr>
          <w:color w:val="000000"/>
        </w:rPr>
        <w:t xml:space="preserve">Industry stakeholders put forward proposals in 2014-15 to amend the Standard to address concerns about potential unintended consequences of the provisions due to become operative on 23 May 2016, and to streamline the operation of the IMR Standard where possible.  </w:t>
      </w:r>
    </w:p>
    <w:p w14:paraId="04AB59FE" w14:textId="77777777" w:rsidR="0041648B" w:rsidRPr="00CB715F" w:rsidRDefault="0041648B" w:rsidP="0041648B">
      <w:pPr>
        <w:pStyle w:val="MinSubbodytext"/>
        <w:ind w:left="0"/>
      </w:pPr>
    </w:p>
    <w:p w14:paraId="3CA82B2F" w14:textId="77777777" w:rsidR="0041648B" w:rsidRDefault="0041648B" w:rsidP="0041648B">
      <w:pPr>
        <w:pStyle w:val="MinSubbodytext"/>
        <w:ind w:left="0"/>
      </w:pPr>
      <w:r w:rsidRPr="00A03869">
        <w:t>The Department</w:t>
      </w:r>
      <w:r w:rsidRPr="00CB715F">
        <w:t xml:space="preserve"> </w:t>
      </w:r>
      <w:r>
        <w:t xml:space="preserve">of Communications and the Arts conducted targeted consultation in 2014 and 2015 about possible amendments to the IMR Standard.  </w:t>
      </w:r>
      <w:r w:rsidRPr="003F072C">
        <w:t xml:space="preserve">Following </w:t>
      </w:r>
      <w:r>
        <w:t xml:space="preserve">this process, there were four areas of the IMR Standard that were identified as being suitable for amendment: </w:t>
      </w:r>
    </w:p>
    <w:p w14:paraId="1A8D6F9C" w14:textId="77777777" w:rsidR="0041648B" w:rsidRDefault="0041648B" w:rsidP="0041648B">
      <w:pPr>
        <w:pStyle w:val="MinSubbodytext"/>
        <w:ind w:left="0"/>
      </w:pPr>
    </w:p>
    <w:p w14:paraId="3EFF7CBA" w14:textId="77777777" w:rsidR="0041648B" w:rsidRPr="00CB715F" w:rsidRDefault="0041648B" w:rsidP="0041648B">
      <w:pPr>
        <w:pStyle w:val="ListParagraph"/>
        <w:numPr>
          <w:ilvl w:val="0"/>
          <w:numId w:val="2"/>
        </w:numPr>
        <w:spacing w:before="0"/>
        <w:contextualSpacing w:val="0"/>
      </w:pPr>
      <w:r>
        <w:t>changes that would r</w:t>
      </w:r>
      <w:r w:rsidRPr="00CB715F">
        <w:t xml:space="preserve">educe the need for multiple </w:t>
      </w:r>
      <w:r>
        <w:t xml:space="preserve">upfront </w:t>
      </w:r>
      <w:r w:rsidRPr="00CB715F">
        <w:t xml:space="preserve">SMS </w:t>
      </w:r>
      <w:r>
        <w:t xml:space="preserve">warning and charging </w:t>
      </w:r>
      <w:r w:rsidRPr="00CB715F">
        <w:t>notifications</w:t>
      </w:r>
      <w:r>
        <w:t>;</w:t>
      </w:r>
    </w:p>
    <w:p w14:paraId="6A60C93A" w14:textId="77777777" w:rsidR="0041648B" w:rsidRDefault="0041648B" w:rsidP="0041648B">
      <w:pPr>
        <w:pStyle w:val="ListParagraph"/>
        <w:numPr>
          <w:ilvl w:val="0"/>
          <w:numId w:val="2"/>
        </w:numPr>
        <w:spacing w:before="0"/>
        <w:contextualSpacing w:val="0"/>
      </w:pPr>
      <w:r>
        <w:t>changes to a</w:t>
      </w:r>
      <w:r w:rsidRPr="00CB715F">
        <w:t>llow greater flexibility in the types of mechanisms that can be provided to allow cust</w:t>
      </w:r>
      <w:r w:rsidRPr="00580F95">
        <w:t>omers to decline IMR services</w:t>
      </w:r>
      <w:r>
        <w:t xml:space="preserve">; </w:t>
      </w:r>
    </w:p>
    <w:p w14:paraId="1E14B839" w14:textId="77777777" w:rsidR="0041648B" w:rsidRPr="00CB715F" w:rsidRDefault="0041648B" w:rsidP="0041648B">
      <w:pPr>
        <w:pStyle w:val="MinSubbodytext"/>
        <w:numPr>
          <w:ilvl w:val="0"/>
          <w:numId w:val="2"/>
        </w:numPr>
      </w:pPr>
      <w:r>
        <w:t>changes to include the ability for carriage service providers to voluntarily offer a mechanism for customers to opt out of spend management notifications; and</w:t>
      </w:r>
    </w:p>
    <w:p w14:paraId="1BEC29BE" w14:textId="77777777" w:rsidR="0041648B" w:rsidRPr="00173B75" w:rsidRDefault="0041648B" w:rsidP="0041648B">
      <w:pPr>
        <w:pStyle w:val="ListParagraph"/>
        <w:numPr>
          <w:ilvl w:val="0"/>
          <w:numId w:val="2"/>
        </w:numPr>
        <w:spacing w:before="0"/>
        <w:contextualSpacing w:val="0"/>
      </w:pPr>
      <w:proofErr w:type="gramStart"/>
      <w:r>
        <w:t>changes</w:t>
      </w:r>
      <w:proofErr w:type="gramEnd"/>
      <w:r>
        <w:t xml:space="preserve"> to d</w:t>
      </w:r>
      <w:r w:rsidRPr="00173B75">
        <w:t xml:space="preserve">elay </w:t>
      </w:r>
      <w:r>
        <w:t xml:space="preserve">introduction of </w:t>
      </w:r>
      <w:r w:rsidRPr="00CB715F">
        <w:t xml:space="preserve">the </w:t>
      </w:r>
      <w:r>
        <w:t>provisions previously due to commence on 23 May 2016</w:t>
      </w:r>
      <w:r w:rsidRPr="007F1216">
        <w:t xml:space="preserve"> </w:t>
      </w:r>
      <w:r w:rsidRPr="00173B75">
        <w:t xml:space="preserve">until </w:t>
      </w:r>
      <w:r>
        <w:t xml:space="preserve">1 January 2019, after the 2018 </w:t>
      </w:r>
      <w:r w:rsidRPr="00173B75">
        <w:t xml:space="preserve">review of the </w:t>
      </w:r>
      <w:r>
        <w:t xml:space="preserve">IMR </w:t>
      </w:r>
      <w:r w:rsidRPr="00173B75">
        <w:t>Standard</w:t>
      </w:r>
      <w:r>
        <w:t xml:space="preserve"> is completed</w:t>
      </w:r>
      <w:r w:rsidRPr="00CB715F">
        <w:t>.</w:t>
      </w:r>
    </w:p>
    <w:p w14:paraId="4E0A18FE" w14:textId="77777777" w:rsidR="0041648B" w:rsidRDefault="0041648B" w:rsidP="0041648B">
      <w:pPr>
        <w:tabs>
          <w:tab w:val="right" w:pos="9923"/>
        </w:tabs>
        <w:rPr>
          <w:rFonts w:eastAsia="Calibri"/>
          <w:sz w:val="24"/>
          <w:szCs w:val="24"/>
        </w:rPr>
      </w:pPr>
    </w:p>
    <w:p w14:paraId="746DA03D" w14:textId="77777777" w:rsidR="0041648B" w:rsidRDefault="0041648B" w:rsidP="0041648B">
      <w:pPr>
        <w:tabs>
          <w:tab w:val="right" w:pos="9923"/>
        </w:tabs>
        <w:rPr>
          <w:rFonts w:eastAsia="Calibri"/>
          <w:sz w:val="24"/>
          <w:szCs w:val="24"/>
        </w:rPr>
      </w:pPr>
      <w:r>
        <w:rPr>
          <w:rFonts w:eastAsia="Calibri"/>
          <w:sz w:val="24"/>
          <w:szCs w:val="24"/>
        </w:rPr>
        <w:t xml:space="preserve">These four areas of desired amendment form the basis of the Direction, which also provides that the ACMA may make related amendments to the IMR Standard. </w:t>
      </w:r>
    </w:p>
    <w:p w14:paraId="2CA92771" w14:textId="77777777" w:rsidR="0041648B" w:rsidRDefault="0041648B" w:rsidP="0041648B">
      <w:pPr>
        <w:tabs>
          <w:tab w:val="right" w:pos="9923"/>
        </w:tabs>
        <w:rPr>
          <w:rFonts w:eastAsia="Calibri"/>
          <w:sz w:val="24"/>
          <w:szCs w:val="24"/>
        </w:rPr>
      </w:pPr>
    </w:p>
    <w:p w14:paraId="705AE773" w14:textId="77777777" w:rsidR="0041648B" w:rsidRPr="00A1060F" w:rsidRDefault="0041648B" w:rsidP="0041648B">
      <w:pPr>
        <w:tabs>
          <w:tab w:val="right" w:pos="9923"/>
        </w:tabs>
        <w:rPr>
          <w:rFonts w:eastAsia="Calibri"/>
          <w:sz w:val="24"/>
          <w:szCs w:val="24"/>
          <w:u w:val="single"/>
        </w:rPr>
      </w:pPr>
      <w:r w:rsidRPr="00A1060F">
        <w:rPr>
          <w:rFonts w:eastAsia="Calibri"/>
          <w:sz w:val="24"/>
          <w:szCs w:val="24"/>
          <w:u w:val="single"/>
        </w:rPr>
        <w:t xml:space="preserve">The amendments </w:t>
      </w:r>
    </w:p>
    <w:p w14:paraId="6A6E18F7" w14:textId="77777777" w:rsidR="0041648B" w:rsidRDefault="0041648B" w:rsidP="0041648B">
      <w:pPr>
        <w:rPr>
          <w:rFonts w:eastAsia="Calibri"/>
          <w:sz w:val="24"/>
          <w:szCs w:val="24"/>
        </w:rPr>
      </w:pPr>
    </w:p>
    <w:p w14:paraId="1CC0B50B" w14:textId="77777777" w:rsidR="0041648B" w:rsidRPr="0074698F" w:rsidRDefault="0041648B" w:rsidP="0041648B">
      <w:r>
        <w:rPr>
          <w:sz w:val="24"/>
          <w:szCs w:val="24"/>
        </w:rPr>
        <w:t xml:space="preserve">The Variation </w:t>
      </w:r>
      <w:r w:rsidRPr="0074698F">
        <w:rPr>
          <w:sz w:val="24"/>
          <w:szCs w:val="24"/>
        </w:rPr>
        <w:t>amends the IMR Standard in the ma</w:t>
      </w:r>
      <w:r>
        <w:rPr>
          <w:sz w:val="24"/>
          <w:szCs w:val="24"/>
        </w:rPr>
        <w:t>nn</w:t>
      </w:r>
      <w:r w:rsidRPr="0074698F">
        <w:rPr>
          <w:sz w:val="24"/>
          <w:szCs w:val="24"/>
        </w:rPr>
        <w:t>er contemplated by the Direction.  Some additional related amendments (as allowed for in the Direction) are also included, relating to:</w:t>
      </w:r>
    </w:p>
    <w:p w14:paraId="27EE1D65" w14:textId="77777777" w:rsidR="0041648B" w:rsidRPr="00A1060F" w:rsidRDefault="0041648B" w:rsidP="0041648B">
      <w:pPr>
        <w:pStyle w:val="ListParagraph"/>
        <w:numPr>
          <w:ilvl w:val="0"/>
          <w:numId w:val="8"/>
        </w:numPr>
        <w:rPr>
          <w:szCs w:val="24"/>
          <w:lang w:val="en-AU"/>
        </w:rPr>
      </w:pPr>
      <w:r w:rsidRPr="00CA42D4">
        <w:rPr>
          <w:szCs w:val="24"/>
        </w:rPr>
        <w:t xml:space="preserve">the ability for customers to easily and quickly opt back into receiving roaming usage alerts at no cost; </w:t>
      </w:r>
    </w:p>
    <w:p w14:paraId="74EA8095" w14:textId="77777777" w:rsidR="0041648B" w:rsidRPr="00A1060F" w:rsidRDefault="0041648B" w:rsidP="0041648B">
      <w:pPr>
        <w:pStyle w:val="minsubbodytext0"/>
        <w:numPr>
          <w:ilvl w:val="0"/>
          <w:numId w:val="8"/>
        </w:numPr>
        <w:rPr>
          <w:lang w:val="en-US"/>
        </w:rPr>
      </w:pPr>
      <w:r w:rsidRPr="00A1060F">
        <w:t xml:space="preserve">the ability for customers to check whether they have opted out of roaming usage alerts; </w:t>
      </w:r>
      <w:r>
        <w:t>and</w:t>
      </w:r>
    </w:p>
    <w:p w14:paraId="6353CC9D" w14:textId="032C7E18" w:rsidR="0041648B" w:rsidRPr="00A1060F" w:rsidRDefault="0041648B" w:rsidP="0041648B">
      <w:pPr>
        <w:pStyle w:val="minsubbodytext0"/>
        <w:numPr>
          <w:ilvl w:val="0"/>
          <w:numId w:val="8"/>
        </w:numPr>
        <w:rPr>
          <w:lang w:val="en-US"/>
        </w:rPr>
      </w:pPr>
      <w:r>
        <w:t xml:space="preserve">the requirement for customers to </w:t>
      </w:r>
      <w:r w:rsidRPr="00A1060F">
        <w:t xml:space="preserve">opt out of usage alerts </w:t>
      </w:r>
      <w:r>
        <w:t xml:space="preserve">other than by acceptance of a term or condition of a standard form contract or a default term or condition associated with the purchase of a prepaid included value pack, both of </w:t>
      </w:r>
      <w:r w:rsidRPr="00A1060F">
        <w:t>which often occur well in advance of travel</w:t>
      </w:r>
      <w:r>
        <w:t>.</w:t>
      </w:r>
    </w:p>
    <w:p w14:paraId="20DD7FE0" w14:textId="77777777" w:rsidR="0041648B" w:rsidRPr="00CA42D4" w:rsidRDefault="0041648B" w:rsidP="0041648B">
      <w:pPr>
        <w:rPr>
          <w:sz w:val="24"/>
          <w:szCs w:val="24"/>
          <w:u w:val="single"/>
        </w:rPr>
      </w:pPr>
      <w:r w:rsidRPr="00CA42D4">
        <w:rPr>
          <w:sz w:val="24"/>
          <w:szCs w:val="24"/>
          <w:u w:val="single"/>
        </w:rPr>
        <w:t>Consultation</w:t>
      </w:r>
    </w:p>
    <w:p w14:paraId="6C7F69DF" w14:textId="77777777" w:rsidR="0041648B" w:rsidRPr="003F072C" w:rsidRDefault="0041648B" w:rsidP="0041648B">
      <w:pPr>
        <w:rPr>
          <w:rFonts w:eastAsia="Calibri"/>
          <w:sz w:val="24"/>
          <w:szCs w:val="24"/>
        </w:rPr>
      </w:pPr>
    </w:p>
    <w:p w14:paraId="6F0D845F" w14:textId="31AA9774" w:rsidR="0041648B" w:rsidRPr="00377F71" w:rsidRDefault="0041648B" w:rsidP="0041648B">
      <w:pPr>
        <w:rPr>
          <w:rFonts w:eastAsia="Calibri"/>
          <w:sz w:val="24"/>
          <w:szCs w:val="24"/>
        </w:rPr>
      </w:pPr>
      <w:r>
        <w:rPr>
          <w:rFonts w:eastAsia="Calibri"/>
          <w:sz w:val="24"/>
          <w:szCs w:val="24"/>
        </w:rPr>
        <w:t>In developing the Variation, the ACMA conducted a public consultation in accordance with section 132 of the</w:t>
      </w:r>
      <w:r w:rsidRPr="0043575F">
        <w:rPr>
          <w:rFonts w:eastAsia="Calibri"/>
          <w:sz w:val="24"/>
          <w:szCs w:val="24"/>
        </w:rPr>
        <w:t xml:space="preserve"> Act</w:t>
      </w:r>
      <w:r>
        <w:rPr>
          <w:rFonts w:eastAsia="Calibri"/>
          <w:sz w:val="24"/>
          <w:szCs w:val="24"/>
        </w:rPr>
        <w:t>. The consultation period ran from 25 February 2016 until 30 March 2016.  Four submissions were received, and these were generally supportive of the proposed amendments</w:t>
      </w:r>
      <w:r w:rsidR="003F3542">
        <w:rPr>
          <w:rFonts w:eastAsia="Calibri"/>
          <w:sz w:val="24"/>
          <w:szCs w:val="24"/>
        </w:rPr>
        <w:t>.  S</w:t>
      </w:r>
      <w:r>
        <w:rPr>
          <w:rFonts w:eastAsia="Calibri"/>
          <w:sz w:val="24"/>
          <w:szCs w:val="24"/>
        </w:rPr>
        <w:t>ome minor changes were</w:t>
      </w:r>
      <w:r w:rsidR="003F3542">
        <w:rPr>
          <w:rFonts w:eastAsia="Calibri"/>
          <w:sz w:val="24"/>
          <w:szCs w:val="24"/>
        </w:rPr>
        <w:t xml:space="preserve"> also</w:t>
      </w:r>
      <w:r>
        <w:rPr>
          <w:rFonts w:eastAsia="Calibri"/>
          <w:sz w:val="24"/>
          <w:szCs w:val="24"/>
        </w:rPr>
        <w:t xml:space="preserve"> incorporated in the Variation after considering </w:t>
      </w:r>
      <w:r w:rsidR="003F3542">
        <w:rPr>
          <w:rFonts w:eastAsia="Calibri"/>
          <w:sz w:val="24"/>
          <w:szCs w:val="24"/>
        </w:rPr>
        <w:t>suggestions</w:t>
      </w:r>
      <w:r>
        <w:rPr>
          <w:rFonts w:eastAsia="Calibri"/>
          <w:sz w:val="24"/>
          <w:szCs w:val="24"/>
        </w:rPr>
        <w:t xml:space="preserve"> to improve clarity.  </w:t>
      </w:r>
    </w:p>
    <w:p w14:paraId="749C3428" w14:textId="77777777" w:rsidR="0041648B" w:rsidRDefault="0041648B" w:rsidP="0041648B">
      <w:pPr>
        <w:rPr>
          <w:sz w:val="24"/>
          <w:szCs w:val="24"/>
          <w:u w:val="single"/>
        </w:rPr>
      </w:pPr>
    </w:p>
    <w:p w14:paraId="2789E848" w14:textId="77777777" w:rsidR="0041648B" w:rsidRPr="00927C37" w:rsidRDefault="0041648B" w:rsidP="0041648B">
      <w:pPr>
        <w:rPr>
          <w:sz w:val="24"/>
          <w:szCs w:val="24"/>
          <w:u w:val="single"/>
        </w:rPr>
      </w:pPr>
      <w:r w:rsidRPr="00927C37">
        <w:rPr>
          <w:sz w:val="24"/>
          <w:szCs w:val="24"/>
          <w:u w:val="single"/>
        </w:rPr>
        <w:t>Regulat</w:t>
      </w:r>
      <w:r>
        <w:rPr>
          <w:sz w:val="24"/>
          <w:szCs w:val="24"/>
          <w:u w:val="single"/>
        </w:rPr>
        <w:t>ory</w:t>
      </w:r>
      <w:r w:rsidRPr="00927C37">
        <w:rPr>
          <w:sz w:val="24"/>
          <w:szCs w:val="24"/>
          <w:u w:val="single"/>
        </w:rPr>
        <w:t xml:space="preserve"> Impact</w:t>
      </w:r>
    </w:p>
    <w:p w14:paraId="70A0CE79" w14:textId="77777777" w:rsidR="0041648B" w:rsidRPr="00CB715F" w:rsidRDefault="0041648B" w:rsidP="0041648B">
      <w:pPr>
        <w:rPr>
          <w:sz w:val="24"/>
          <w:szCs w:val="24"/>
        </w:rPr>
      </w:pPr>
    </w:p>
    <w:p w14:paraId="641DDA43" w14:textId="77777777" w:rsidR="0041648B" w:rsidRPr="00CB715F" w:rsidRDefault="0041648B" w:rsidP="0041648B">
      <w:pPr>
        <w:rPr>
          <w:sz w:val="24"/>
          <w:szCs w:val="24"/>
        </w:rPr>
      </w:pPr>
      <w:r w:rsidRPr="00CB715F">
        <w:rPr>
          <w:sz w:val="24"/>
          <w:szCs w:val="24"/>
        </w:rPr>
        <w:t>The Office of Best Practice Regulation has advised that a Regulation Impact Statement is not required for th</w:t>
      </w:r>
      <w:r>
        <w:rPr>
          <w:sz w:val="24"/>
          <w:szCs w:val="24"/>
        </w:rPr>
        <w:t>is</w:t>
      </w:r>
      <w:r w:rsidRPr="00CB715F">
        <w:rPr>
          <w:sz w:val="24"/>
          <w:szCs w:val="24"/>
        </w:rPr>
        <w:t xml:space="preserve"> Direction (OBPR reference number</w:t>
      </w:r>
      <w:r w:rsidRPr="00CB715F">
        <w:rPr>
          <w:color w:val="1F497D"/>
          <w:sz w:val="24"/>
          <w:szCs w:val="24"/>
        </w:rPr>
        <w:t xml:space="preserve"> </w:t>
      </w:r>
      <w:r w:rsidRPr="00CB715F">
        <w:rPr>
          <w:sz w:val="24"/>
          <w:szCs w:val="24"/>
        </w:rPr>
        <w:t>19650).</w:t>
      </w:r>
    </w:p>
    <w:p w14:paraId="684B222A" w14:textId="77777777" w:rsidR="0041648B" w:rsidRDefault="0041648B" w:rsidP="0041648B">
      <w:pPr>
        <w:rPr>
          <w:sz w:val="24"/>
          <w:szCs w:val="24"/>
          <w:u w:val="single"/>
        </w:rPr>
      </w:pPr>
    </w:p>
    <w:p w14:paraId="256A9FB1" w14:textId="77777777" w:rsidR="0041648B" w:rsidRDefault="0041648B" w:rsidP="0041648B">
      <w:pPr>
        <w:rPr>
          <w:sz w:val="24"/>
          <w:szCs w:val="24"/>
          <w:u w:val="single"/>
        </w:rPr>
      </w:pPr>
      <w:r>
        <w:rPr>
          <w:sz w:val="24"/>
          <w:szCs w:val="24"/>
          <w:u w:val="single"/>
        </w:rPr>
        <w:t>Other details</w:t>
      </w:r>
    </w:p>
    <w:p w14:paraId="067D1B80" w14:textId="77777777" w:rsidR="0041648B" w:rsidRDefault="0041648B" w:rsidP="0041648B">
      <w:pPr>
        <w:rPr>
          <w:sz w:val="24"/>
          <w:szCs w:val="24"/>
          <w:u w:val="single"/>
        </w:rPr>
      </w:pPr>
    </w:p>
    <w:p w14:paraId="0894BAF2" w14:textId="7C2B99B5" w:rsidR="0041648B" w:rsidRPr="00927C37" w:rsidRDefault="0041648B" w:rsidP="0041648B">
      <w:pPr>
        <w:rPr>
          <w:sz w:val="24"/>
          <w:szCs w:val="24"/>
          <w:u w:val="single"/>
        </w:rPr>
      </w:pPr>
      <w:r>
        <w:rPr>
          <w:sz w:val="24"/>
          <w:szCs w:val="24"/>
        </w:rPr>
        <w:t xml:space="preserve">Details of the Variation are set out at </w:t>
      </w:r>
      <w:r w:rsidRPr="00896ED4">
        <w:rPr>
          <w:sz w:val="24"/>
          <w:szCs w:val="24"/>
          <w:u w:val="single"/>
        </w:rPr>
        <w:t>Attachment A</w:t>
      </w:r>
      <w:r>
        <w:rPr>
          <w:sz w:val="24"/>
          <w:szCs w:val="24"/>
        </w:rPr>
        <w:t xml:space="preserve">. A Statement of </w:t>
      </w:r>
      <w:r w:rsidR="003F3542">
        <w:rPr>
          <w:sz w:val="24"/>
          <w:szCs w:val="24"/>
        </w:rPr>
        <w:t>C</w:t>
      </w:r>
      <w:r>
        <w:rPr>
          <w:sz w:val="24"/>
          <w:szCs w:val="24"/>
        </w:rPr>
        <w:t xml:space="preserve">ompatibility with </w:t>
      </w:r>
      <w:r w:rsidR="003F3542">
        <w:rPr>
          <w:sz w:val="24"/>
          <w:szCs w:val="24"/>
        </w:rPr>
        <w:t>H</w:t>
      </w:r>
      <w:r>
        <w:rPr>
          <w:sz w:val="24"/>
          <w:szCs w:val="24"/>
        </w:rPr>
        <w:t xml:space="preserve">uman </w:t>
      </w:r>
      <w:r w:rsidR="003F3542">
        <w:rPr>
          <w:sz w:val="24"/>
          <w:szCs w:val="24"/>
        </w:rPr>
        <w:t>R</w:t>
      </w:r>
      <w:r>
        <w:rPr>
          <w:sz w:val="24"/>
          <w:szCs w:val="24"/>
        </w:rPr>
        <w:t xml:space="preserve">ights with regard to the Variation </w:t>
      </w:r>
      <w:r w:rsidR="003F3542">
        <w:rPr>
          <w:sz w:val="24"/>
          <w:szCs w:val="24"/>
        </w:rPr>
        <w:t>is</w:t>
      </w:r>
      <w:r>
        <w:rPr>
          <w:sz w:val="24"/>
          <w:szCs w:val="24"/>
        </w:rPr>
        <w:t xml:space="preserve"> set out at </w:t>
      </w:r>
      <w:r>
        <w:rPr>
          <w:sz w:val="24"/>
          <w:szCs w:val="24"/>
          <w:u w:val="single"/>
        </w:rPr>
        <w:t>Attachment B</w:t>
      </w:r>
      <w:r>
        <w:rPr>
          <w:sz w:val="24"/>
          <w:szCs w:val="24"/>
        </w:rPr>
        <w:t xml:space="preserve">. The Variation is a legislative instrument for the purposes of the </w:t>
      </w:r>
      <w:r>
        <w:rPr>
          <w:i/>
          <w:sz w:val="24"/>
          <w:szCs w:val="24"/>
        </w:rPr>
        <w:t>Legislation Act 2003</w:t>
      </w:r>
      <w:r>
        <w:rPr>
          <w:sz w:val="24"/>
          <w:szCs w:val="24"/>
        </w:rPr>
        <w:t>.</w:t>
      </w:r>
      <w:r w:rsidRPr="00927C37">
        <w:rPr>
          <w:sz w:val="24"/>
          <w:szCs w:val="24"/>
          <w:u w:val="single"/>
        </w:rPr>
        <w:br w:type="page"/>
      </w:r>
    </w:p>
    <w:p w14:paraId="4CD4874B" w14:textId="77777777" w:rsidR="0041648B" w:rsidRPr="00896ED4" w:rsidRDefault="0041648B" w:rsidP="0041648B">
      <w:pPr>
        <w:ind w:right="91"/>
        <w:jc w:val="right"/>
        <w:rPr>
          <w:b/>
          <w:sz w:val="24"/>
          <w:szCs w:val="24"/>
          <w:u w:val="single"/>
        </w:rPr>
      </w:pPr>
      <w:r>
        <w:rPr>
          <w:b/>
          <w:sz w:val="24"/>
          <w:szCs w:val="24"/>
          <w:u w:val="single"/>
        </w:rPr>
        <w:lastRenderedPageBreak/>
        <w:t>ATTACHMENT A</w:t>
      </w:r>
    </w:p>
    <w:p w14:paraId="105716A0" w14:textId="77777777" w:rsidR="0041648B" w:rsidRDefault="0041648B" w:rsidP="0041648B">
      <w:pPr>
        <w:ind w:right="91"/>
        <w:rPr>
          <w:sz w:val="24"/>
          <w:szCs w:val="24"/>
          <w:u w:val="single"/>
        </w:rPr>
      </w:pPr>
    </w:p>
    <w:p w14:paraId="780BAB73" w14:textId="77777777" w:rsidR="0041648B" w:rsidRPr="00896ED4" w:rsidRDefault="0041648B" w:rsidP="0041648B">
      <w:pPr>
        <w:ind w:right="91"/>
        <w:jc w:val="center"/>
        <w:rPr>
          <w:b/>
          <w:sz w:val="24"/>
          <w:szCs w:val="24"/>
          <w:u w:val="single"/>
        </w:rPr>
      </w:pPr>
      <w:r>
        <w:rPr>
          <w:b/>
          <w:sz w:val="24"/>
          <w:szCs w:val="24"/>
          <w:u w:val="single"/>
        </w:rPr>
        <w:t>Details of the Telecommunications (International Mobile Roaming) Industry Standard Variation 2016 (No. 1)</w:t>
      </w:r>
    </w:p>
    <w:p w14:paraId="72BD44DF" w14:textId="77777777" w:rsidR="0041648B" w:rsidRPr="00927C37" w:rsidRDefault="0041648B" w:rsidP="0041648B">
      <w:pPr>
        <w:ind w:right="91"/>
        <w:rPr>
          <w:sz w:val="24"/>
          <w:szCs w:val="24"/>
        </w:rPr>
      </w:pPr>
    </w:p>
    <w:p w14:paraId="62082701" w14:textId="77777777" w:rsidR="0041648B" w:rsidRPr="00E75DD7" w:rsidRDefault="0041648B" w:rsidP="0041648B">
      <w:pPr>
        <w:ind w:right="91"/>
        <w:rPr>
          <w:sz w:val="24"/>
          <w:szCs w:val="24"/>
        </w:rPr>
      </w:pPr>
      <w:r w:rsidRPr="00927C37">
        <w:rPr>
          <w:sz w:val="24"/>
          <w:szCs w:val="24"/>
          <w:u w:val="single"/>
        </w:rPr>
        <w:t>Section 1</w:t>
      </w:r>
      <w:r w:rsidRPr="00927C37">
        <w:rPr>
          <w:sz w:val="24"/>
          <w:szCs w:val="24"/>
        </w:rPr>
        <w:t xml:space="preserve"> provides that the name of the </w:t>
      </w:r>
      <w:r>
        <w:rPr>
          <w:sz w:val="24"/>
          <w:szCs w:val="24"/>
        </w:rPr>
        <w:t>Variation</w:t>
      </w:r>
      <w:r w:rsidRPr="00927C37">
        <w:rPr>
          <w:sz w:val="24"/>
          <w:szCs w:val="24"/>
        </w:rPr>
        <w:t xml:space="preserve"> is the </w:t>
      </w:r>
      <w:r w:rsidRPr="00927C37">
        <w:rPr>
          <w:i/>
          <w:iCs/>
          <w:sz w:val="24"/>
          <w:szCs w:val="24"/>
        </w:rPr>
        <w:t xml:space="preserve">Telecommunications </w:t>
      </w:r>
      <w:r w:rsidRPr="00E75DD7">
        <w:rPr>
          <w:i/>
          <w:iCs/>
          <w:sz w:val="24"/>
          <w:szCs w:val="24"/>
        </w:rPr>
        <w:t>(International M</w:t>
      </w:r>
      <w:r>
        <w:rPr>
          <w:i/>
          <w:iCs/>
          <w:sz w:val="24"/>
          <w:szCs w:val="24"/>
        </w:rPr>
        <w:t>obile Roaming) Industry Standard Varia</w:t>
      </w:r>
      <w:r w:rsidRPr="00E75DD7">
        <w:rPr>
          <w:i/>
          <w:iCs/>
          <w:sz w:val="24"/>
          <w:szCs w:val="24"/>
        </w:rPr>
        <w:t>tion 201</w:t>
      </w:r>
      <w:r>
        <w:rPr>
          <w:i/>
          <w:iCs/>
          <w:sz w:val="24"/>
          <w:szCs w:val="24"/>
        </w:rPr>
        <w:t>6 (No. 1)</w:t>
      </w:r>
      <w:r w:rsidRPr="00E75DD7">
        <w:rPr>
          <w:iCs/>
          <w:sz w:val="24"/>
          <w:szCs w:val="24"/>
        </w:rPr>
        <w:t>.</w:t>
      </w:r>
    </w:p>
    <w:p w14:paraId="6DCD4546" w14:textId="77777777" w:rsidR="0041648B" w:rsidRPr="00E75DD7" w:rsidRDefault="0041648B" w:rsidP="0041648B">
      <w:pPr>
        <w:ind w:right="91"/>
        <w:rPr>
          <w:sz w:val="24"/>
          <w:szCs w:val="24"/>
        </w:rPr>
      </w:pPr>
    </w:p>
    <w:p w14:paraId="76E78E8E" w14:textId="77777777" w:rsidR="0041648B" w:rsidRPr="00522A7D" w:rsidRDefault="0041648B" w:rsidP="0041648B">
      <w:pPr>
        <w:rPr>
          <w:sz w:val="24"/>
          <w:szCs w:val="24"/>
        </w:rPr>
      </w:pPr>
      <w:r w:rsidRPr="00522A7D">
        <w:rPr>
          <w:sz w:val="24"/>
          <w:szCs w:val="24"/>
          <w:u w:val="single"/>
        </w:rPr>
        <w:t>Section 2</w:t>
      </w:r>
      <w:r w:rsidRPr="00522A7D">
        <w:rPr>
          <w:sz w:val="24"/>
          <w:szCs w:val="24"/>
        </w:rPr>
        <w:t xml:space="preserve"> provides that the </w:t>
      </w:r>
      <w:r>
        <w:rPr>
          <w:sz w:val="24"/>
          <w:szCs w:val="24"/>
        </w:rPr>
        <w:t>Variation</w:t>
      </w:r>
      <w:r w:rsidRPr="00522A7D">
        <w:rPr>
          <w:sz w:val="24"/>
          <w:szCs w:val="24"/>
        </w:rPr>
        <w:t xml:space="preserve"> will commence on the day after it is registered on the </w:t>
      </w:r>
      <w:r>
        <w:rPr>
          <w:sz w:val="24"/>
          <w:szCs w:val="24"/>
        </w:rPr>
        <w:t xml:space="preserve">Federal Register of </w:t>
      </w:r>
      <w:r w:rsidRPr="00522A7D">
        <w:rPr>
          <w:sz w:val="24"/>
          <w:szCs w:val="24"/>
        </w:rPr>
        <w:t>Legislati</w:t>
      </w:r>
      <w:r>
        <w:rPr>
          <w:sz w:val="24"/>
          <w:szCs w:val="24"/>
        </w:rPr>
        <w:t>on</w:t>
      </w:r>
      <w:r w:rsidRPr="00522A7D">
        <w:rPr>
          <w:sz w:val="24"/>
          <w:szCs w:val="24"/>
        </w:rPr>
        <w:t>.</w:t>
      </w:r>
    </w:p>
    <w:p w14:paraId="2C54CECE" w14:textId="77777777" w:rsidR="0041648B" w:rsidRPr="009F5032" w:rsidRDefault="0041648B" w:rsidP="0041648B">
      <w:pPr>
        <w:ind w:right="91"/>
        <w:rPr>
          <w:sz w:val="24"/>
          <w:szCs w:val="24"/>
        </w:rPr>
      </w:pPr>
    </w:p>
    <w:p w14:paraId="4C8E79FF" w14:textId="77777777" w:rsidR="0041648B" w:rsidRPr="009F5032" w:rsidRDefault="0041648B" w:rsidP="0041648B">
      <w:pPr>
        <w:ind w:right="91"/>
        <w:rPr>
          <w:sz w:val="24"/>
          <w:szCs w:val="24"/>
        </w:rPr>
      </w:pPr>
      <w:r w:rsidRPr="009F5032">
        <w:rPr>
          <w:sz w:val="24"/>
          <w:szCs w:val="24"/>
          <w:u w:val="single"/>
        </w:rPr>
        <w:t>Section 3</w:t>
      </w:r>
      <w:r w:rsidRPr="009F5032">
        <w:rPr>
          <w:sz w:val="24"/>
          <w:szCs w:val="24"/>
        </w:rPr>
        <w:t xml:space="preserve"> </w:t>
      </w:r>
      <w:r>
        <w:rPr>
          <w:sz w:val="24"/>
          <w:szCs w:val="24"/>
        </w:rPr>
        <w:t>provides that Schedule 1 of the Variation</w:t>
      </w:r>
      <w:r w:rsidRPr="009F5032">
        <w:rPr>
          <w:sz w:val="24"/>
          <w:szCs w:val="24"/>
        </w:rPr>
        <w:t xml:space="preserve"> </w:t>
      </w:r>
      <w:r>
        <w:rPr>
          <w:sz w:val="24"/>
          <w:szCs w:val="24"/>
        </w:rPr>
        <w:t xml:space="preserve">amends the </w:t>
      </w:r>
      <w:r>
        <w:rPr>
          <w:i/>
          <w:sz w:val="24"/>
          <w:szCs w:val="24"/>
        </w:rPr>
        <w:t xml:space="preserve">Telecommunications (International Mobile Roaming) Industry Standard </w:t>
      </w:r>
      <w:r w:rsidRPr="009E6ED5">
        <w:rPr>
          <w:i/>
          <w:sz w:val="24"/>
          <w:szCs w:val="24"/>
        </w:rPr>
        <w:t>2013</w:t>
      </w:r>
      <w:r w:rsidRPr="009E6ED5">
        <w:rPr>
          <w:sz w:val="24"/>
          <w:szCs w:val="24"/>
        </w:rPr>
        <w:t>.</w:t>
      </w:r>
    </w:p>
    <w:p w14:paraId="10EAF837" w14:textId="77777777" w:rsidR="0041648B" w:rsidRPr="009F5032" w:rsidRDefault="0041648B" w:rsidP="0041648B">
      <w:pPr>
        <w:ind w:right="91"/>
        <w:rPr>
          <w:sz w:val="24"/>
          <w:szCs w:val="24"/>
        </w:rPr>
      </w:pPr>
    </w:p>
    <w:p w14:paraId="214121E3" w14:textId="2FB4A5D2" w:rsidR="0041648B" w:rsidRPr="00962C44" w:rsidRDefault="0041648B" w:rsidP="0041648B">
      <w:pPr>
        <w:ind w:right="91"/>
        <w:rPr>
          <w:sz w:val="24"/>
          <w:szCs w:val="24"/>
        </w:rPr>
      </w:pPr>
      <w:r>
        <w:rPr>
          <w:sz w:val="24"/>
          <w:szCs w:val="24"/>
          <w:u w:val="single"/>
        </w:rPr>
        <w:t>Schedule 1</w:t>
      </w:r>
      <w:r w:rsidRPr="009F5032">
        <w:rPr>
          <w:sz w:val="24"/>
          <w:szCs w:val="24"/>
        </w:rPr>
        <w:t xml:space="preserve"> </w:t>
      </w:r>
      <w:r w:rsidR="003F3542">
        <w:rPr>
          <w:sz w:val="24"/>
          <w:szCs w:val="24"/>
        </w:rPr>
        <w:t>p</w:t>
      </w:r>
      <w:r>
        <w:rPr>
          <w:sz w:val="24"/>
          <w:szCs w:val="24"/>
        </w:rPr>
        <w:t xml:space="preserve">rovides a detailed description of the amendments varying the </w:t>
      </w:r>
      <w:r>
        <w:rPr>
          <w:i/>
          <w:sz w:val="24"/>
          <w:szCs w:val="24"/>
        </w:rPr>
        <w:t xml:space="preserve">Telecommunications (International Mobile Roaming) Industry Standard </w:t>
      </w:r>
      <w:r w:rsidRPr="009E6ED5">
        <w:rPr>
          <w:i/>
          <w:sz w:val="24"/>
          <w:szCs w:val="24"/>
        </w:rPr>
        <w:t>2013</w:t>
      </w:r>
      <w:r>
        <w:rPr>
          <w:sz w:val="24"/>
          <w:szCs w:val="24"/>
        </w:rPr>
        <w:t>.</w:t>
      </w:r>
    </w:p>
    <w:p w14:paraId="5ABDB504" w14:textId="77777777" w:rsidR="0041648B" w:rsidRDefault="0041648B" w:rsidP="0041648B">
      <w:pPr>
        <w:ind w:right="91"/>
        <w:rPr>
          <w:sz w:val="24"/>
          <w:szCs w:val="24"/>
        </w:rPr>
      </w:pPr>
    </w:p>
    <w:p w14:paraId="3AD63318" w14:textId="560453F5" w:rsidR="0041648B" w:rsidRPr="009F2928" w:rsidRDefault="0041648B" w:rsidP="0041648B">
      <w:pPr>
        <w:ind w:right="91"/>
        <w:rPr>
          <w:sz w:val="24"/>
          <w:szCs w:val="24"/>
        </w:rPr>
      </w:pPr>
      <w:r>
        <w:rPr>
          <w:sz w:val="24"/>
          <w:szCs w:val="24"/>
          <w:u w:val="single"/>
        </w:rPr>
        <w:t xml:space="preserve">Schedule 1, </w:t>
      </w:r>
      <w:r w:rsidR="003F3542">
        <w:rPr>
          <w:sz w:val="24"/>
          <w:szCs w:val="24"/>
          <w:u w:val="single"/>
        </w:rPr>
        <w:t>item</w:t>
      </w:r>
      <w:r w:rsidR="003F3542" w:rsidRPr="00962C44">
        <w:rPr>
          <w:sz w:val="24"/>
          <w:szCs w:val="24"/>
          <w:u w:val="single"/>
        </w:rPr>
        <w:t xml:space="preserve"> </w:t>
      </w:r>
      <w:r w:rsidRPr="00962C44">
        <w:rPr>
          <w:sz w:val="24"/>
          <w:szCs w:val="24"/>
          <w:u w:val="single"/>
        </w:rPr>
        <w:t>1</w:t>
      </w:r>
      <w:r>
        <w:rPr>
          <w:sz w:val="24"/>
          <w:szCs w:val="24"/>
        </w:rPr>
        <w:t xml:space="preserve"> </w:t>
      </w:r>
      <w:r w:rsidR="003F3542">
        <w:rPr>
          <w:sz w:val="24"/>
          <w:szCs w:val="24"/>
        </w:rPr>
        <w:t>inserts a</w:t>
      </w:r>
      <w:r>
        <w:rPr>
          <w:sz w:val="24"/>
          <w:szCs w:val="24"/>
        </w:rPr>
        <w:t xml:space="preserve"> definition of “standard form customer contract” </w:t>
      </w:r>
      <w:r w:rsidR="003F3542">
        <w:rPr>
          <w:sz w:val="24"/>
          <w:szCs w:val="24"/>
        </w:rPr>
        <w:t>in</w:t>
      </w:r>
      <w:r>
        <w:rPr>
          <w:sz w:val="24"/>
          <w:szCs w:val="24"/>
        </w:rPr>
        <w:t xml:space="preserve"> clause 3 of the IMR Standard.</w:t>
      </w:r>
    </w:p>
    <w:p w14:paraId="4672F4FD" w14:textId="77777777" w:rsidR="0041648B" w:rsidRPr="00522A7D" w:rsidRDefault="0041648B" w:rsidP="0041648B">
      <w:pPr>
        <w:ind w:right="91"/>
        <w:rPr>
          <w:sz w:val="24"/>
          <w:szCs w:val="24"/>
        </w:rPr>
      </w:pPr>
    </w:p>
    <w:p w14:paraId="432D5C83" w14:textId="13EF7BA4" w:rsidR="0041648B" w:rsidRPr="00E75DD7" w:rsidRDefault="0041648B" w:rsidP="0041648B">
      <w:pPr>
        <w:ind w:right="91"/>
        <w:rPr>
          <w:sz w:val="24"/>
          <w:szCs w:val="24"/>
        </w:rPr>
      </w:pPr>
      <w:r>
        <w:rPr>
          <w:sz w:val="24"/>
          <w:szCs w:val="24"/>
          <w:u w:val="single"/>
        </w:rPr>
        <w:t xml:space="preserve">Schedule 1, </w:t>
      </w:r>
      <w:r w:rsidR="003F3542">
        <w:rPr>
          <w:sz w:val="24"/>
          <w:szCs w:val="24"/>
          <w:u w:val="single"/>
        </w:rPr>
        <w:t>item</w:t>
      </w:r>
      <w:r>
        <w:rPr>
          <w:sz w:val="24"/>
          <w:szCs w:val="24"/>
          <w:u w:val="single"/>
        </w:rPr>
        <w:t xml:space="preserve"> 2</w:t>
      </w:r>
      <w:r>
        <w:rPr>
          <w:sz w:val="24"/>
          <w:szCs w:val="24"/>
        </w:rPr>
        <w:t xml:space="preserve"> removes text from paragraph 5(1</w:t>
      </w:r>
      <w:proofErr w:type="gramStart"/>
      <w:r>
        <w:rPr>
          <w:sz w:val="24"/>
          <w:szCs w:val="24"/>
        </w:rPr>
        <w:t>)(</w:t>
      </w:r>
      <w:proofErr w:type="gramEnd"/>
      <w:r>
        <w:rPr>
          <w:sz w:val="24"/>
          <w:szCs w:val="24"/>
        </w:rPr>
        <w:t>c) that is no longer necessary as a result of the new subclause 5(1A) (see below).</w:t>
      </w:r>
    </w:p>
    <w:p w14:paraId="3E42D5D2" w14:textId="77777777" w:rsidR="0041648B" w:rsidRPr="00E75DD7" w:rsidRDefault="0041648B" w:rsidP="0041648B">
      <w:pPr>
        <w:ind w:right="91"/>
        <w:rPr>
          <w:sz w:val="24"/>
          <w:szCs w:val="24"/>
        </w:rPr>
      </w:pPr>
    </w:p>
    <w:p w14:paraId="2511B707" w14:textId="3A6A7AB8" w:rsidR="0041648B" w:rsidRDefault="0041648B" w:rsidP="0041648B">
      <w:pPr>
        <w:ind w:right="91"/>
        <w:rPr>
          <w:sz w:val="24"/>
          <w:szCs w:val="24"/>
        </w:rPr>
      </w:pPr>
      <w:r>
        <w:rPr>
          <w:sz w:val="24"/>
          <w:szCs w:val="24"/>
          <w:u w:val="single"/>
        </w:rPr>
        <w:t xml:space="preserve">Schedule 1, </w:t>
      </w:r>
      <w:r w:rsidR="003F3542">
        <w:rPr>
          <w:sz w:val="24"/>
          <w:szCs w:val="24"/>
          <w:u w:val="single"/>
        </w:rPr>
        <w:t>item</w:t>
      </w:r>
      <w:r>
        <w:rPr>
          <w:sz w:val="24"/>
          <w:szCs w:val="24"/>
          <w:u w:val="single"/>
        </w:rPr>
        <w:t xml:space="preserve"> 3</w:t>
      </w:r>
      <w:r>
        <w:rPr>
          <w:sz w:val="24"/>
          <w:szCs w:val="24"/>
        </w:rPr>
        <w:t xml:space="preserve"> adds a new subclause </w:t>
      </w:r>
      <w:r w:rsidR="003F3542">
        <w:rPr>
          <w:sz w:val="24"/>
          <w:szCs w:val="24"/>
        </w:rPr>
        <w:t>5</w:t>
      </w:r>
      <w:r>
        <w:rPr>
          <w:sz w:val="24"/>
          <w:szCs w:val="24"/>
        </w:rPr>
        <w:t>(1A) after subclause 5(1), which has the effect of permitting the SMS messages required by paragraphs 5(1)(a), (b) and (c) to be combined in one or more messages.</w:t>
      </w:r>
      <w:r w:rsidRPr="00A637C4">
        <w:rPr>
          <w:sz w:val="24"/>
          <w:szCs w:val="24"/>
        </w:rPr>
        <w:t xml:space="preserve"> </w:t>
      </w:r>
      <w:r w:rsidRPr="00522A7D">
        <w:rPr>
          <w:sz w:val="24"/>
          <w:szCs w:val="24"/>
        </w:rPr>
        <w:t>This reduces the need for multiple SMS message notifications.</w:t>
      </w:r>
    </w:p>
    <w:p w14:paraId="33A743F0" w14:textId="77777777" w:rsidR="0041648B" w:rsidRDefault="0041648B" w:rsidP="0041648B">
      <w:pPr>
        <w:ind w:right="91"/>
        <w:rPr>
          <w:sz w:val="24"/>
          <w:szCs w:val="24"/>
        </w:rPr>
      </w:pPr>
    </w:p>
    <w:p w14:paraId="32E61119" w14:textId="6627CFC4" w:rsidR="0041648B" w:rsidRDefault="0041648B" w:rsidP="0041648B">
      <w:pPr>
        <w:ind w:right="91"/>
        <w:rPr>
          <w:sz w:val="24"/>
          <w:szCs w:val="24"/>
        </w:rPr>
      </w:pPr>
      <w:r>
        <w:rPr>
          <w:sz w:val="24"/>
          <w:szCs w:val="24"/>
          <w:u w:val="single"/>
        </w:rPr>
        <w:t xml:space="preserve">Schedule 1, </w:t>
      </w:r>
      <w:r w:rsidR="003F3542">
        <w:rPr>
          <w:sz w:val="24"/>
          <w:szCs w:val="24"/>
          <w:u w:val="single"/>
        </w:rPr>
        <w:t>item</w:t>
      </w:r>
      <w:r>
        <w:rPr>
          <w:sz w:val="24"/>
          <w:szCs w:val="24"/>
          <w:u w:val="single"/>
        </w:rPr>
        <w:t xml:space="preserve"> 4</w:t>
      </w:r>
      <w:r>
        <w:rPr>
          <w:sz w:val="24"/>
          <w:szCs w:val="24"/>
        </w:rPr>
        <w:t xml:space="preserve"> replaces all instances of the date 23 May 2016 in subclause 6(1) with the new date of 1 January 2019. This </w:t>
      </w:r>
      <w:r w:rsidRPr="00E749BA">
        <w:rPr>
          <w:sz w:val="24"/>
          <w:szCs w:val="24"/>
        </w:rPr>
        <w:t>delay</w:t>
      </w:r>
      <w:r>
        <w:rPr>
          <w:sz w:val="24"/>
          <w:szCs w:val="24"/>
        </w:rPr>
        <w:t>s</w:t>
      </w:r>
      <w:r w:rsidRPr="00E749BA">
        <w:rPr>
          <w:sz w:val="24"/>
          <w:szCs w:val="24"/>
        </w:rPr>
        <w:t xml:space="preserve"> the application of subclause 6(3) of the </w:t>
      </w:r>
      <w:r>
        <w:rPr>
          <w:sz w:val="24"/>
          <w:szCs w:val="24"/>
        </w:rPr>
        <w:t xml:space="preserve">IMR </w:t>
      </w:r>
      <w:r w:rsidRPr="00E749BA">
        <w:rPr>
          <w:sz w:val="24"/>
          <w:szCs w:val="24"/>
        </w:rPr>
        <w:t xml:space="preserve">Standard to mobile virtual network operators </w:t>
      </w:r>
      <w:r>
        <w:rPr>
          <w:sz w:val="24"/>
          <w:szCs w:val="24"/>
        </w:rPr>
        <w:t xml:space="preserve">(MVNOs) </w:t>
      </w:r>
      <w:r w:rsidRPr="00E749BA">
        <w:rPr>
          <w:sz w:val="24"/>
          <w:szCs w:val="24"/>
        </w:rPr>
        <w:t xml:space="preserve">until 1 January 2019. </w:t>
      </w:r>
      <w:r>
        <w:rPr>
          <w:sz w:val="24"/>
          <w:szCs w:val="24"/>
        </w:rPr>
        <w:t xml:space="preserve">MVNOs are those CSPs that provide a public mobile telecommunications service, but do not use their own telecommunications network to do so.  MVNOs will continue to have a choice between complying with either subclause 6(2) </w:t>
      </w:r>
      <w:r w:rsidRPr="00836706">
        <w:rPr>
          <w:sz w:val="24"/>
          <w:szCs w:val="24"/>
          <w:u w:val="single"/>
        </w:rPr>
        <w:t>or</w:t>
      </w:r>
      <w:r>
        <w:rPr>
          <w:sz w:val="24"/>
          <w:szCs w:val="24"/>
        </w:rPr>
        <w:t xml:space="preserve"> 6(3) of the Standard until 1 January 2019. From 1 January 2019, MVNOs will be required to comply with subclause 6(3).</w:t>
      </w:r>
    </w:p>
    <w:p w14:paraId="3F2ACDCA" w14:textId="77777777" w:rsidR="0041648B" w:rsidRDefault="0041648B" w:rsidP="0041648B">
      <w:pPr>
        <w:ind w:right="91"/>
        <w:rPr>
          <w:sz w:val="24"/>
          <w:szCs w:val="24"/>
        </w:rPr>
      </w:pPr>
    </w:p>
    <w:p w14:paraId="682592D3" w14:textId="2DDCDFDE" w:rsidR="0041648B" w:rsidRDefault="0041648B" w:rsidP="0041648B">
      <w:pPr>
        <w:ind w:right="91"/>
        <w:rPr>
          <w:sz w:val="24"/>
          <w:szCs w:val="24"/>
        </w:rPr>
      </w:pPr>
      <w:r>
        <w:rPr>
          <w:sz w:val="24"/>
          <w:szCs w:val="24"/>
          <w:u w:val="single"/>
        </w:rPr>
        <w:t xml:space="preserve">Schedule 1, </w:t>
      </w:r>
      <w:r w:rsidR="003F3542">
        <w:rPr>
          <w:sz w:val="24"/>
          <w:szCs w:val="24"/>
          <w:u w:val="single"/>
        </w:rPr>
        <w:t>item</w:t>
      </w:r>
      <w:r>
        <w:rPr>
          <w:sz w:val="24"/>
          <w:szCs w:val="24"/>
          <w:u w:val="single"/>
        </w:rPr>
        <w:t xml:space="preserve"> 5</w:t>
      </w:r>
      <w:r>
        <w:rPr>
          <w:sz w:val="24"/>
          <w:szCs w:val="24"/>
        </w:rPr>
        <w:t xml:space="preserve"> replaces subclause 8(1) with a less prescriptive requirement for the availability of methods to decline roaming services.  New subclause 8(1) requires that CSPs must provide at least one method for customers to decline roaming services at any time overseas. Previously the IMR Standard prescribed that customers must be able to decline roaming services by calling an Australian number or accessing their CSP’s website.</w:t>
      </w:r>
    </w:p>
    <w:p w14:paraId="047E9DB2" w14:textId="77777777" w:rsidR="0041648B" w:rsidRDefault="0041648B" w:rsidP="0041648B">
      <w:pPr>
        <w:ind w:right="91"/>
        <w:rPr>
          <w:sz w:val="24"/>
          <w:szCs w:val="24"/>
        </w:rPr>
      </w:pPr>
    </w:p>
    <w:p w14:paraId="08745E81" w14:textId="14D8205D" w:rsidR="0041648B" w:rsidRPr="0081781B" w:rsidRDefault="0041648B" w:rsidP="0041648B">
      <w:pPr>
        <w:ind w:right="91"/>
        <w:rPr>
          <w:sz w:val="24"/>
          <w:szCs w:val="24"/>
        </w:rPr>
      </w:pPr>
      <w:r>
        <w:rPr>
          <w:sz w:val="24"/>
          <w:szCs w:val="24"/>
        </w:rPr>
        <w:t xml:space="preserve">The amendment also has the effect of removing one of the notes under subclause 8(1), which is no longer relevant due to the changes to subclause </w:t>
      </w:r>
      <w:r w:rsidR="003F3542">
        <w:rPr>
          <w:sz w:val="24"/>
          <w:szCs w:val="24"/>
        </w:rPr>
        <w:t>8(</w:t>
      </w:r>
      <w:r>
        <w:rPr>
          <w:sz w:val="24"/>
          <w:szCs w:val="24"/>
        </w:rPr>
        <w:t>1</w:t>
      </w:r>
      <w:r w:rsidR="003F3542">
        <w:rPr>
          <w:sz w:val="24"/>
          <w:szCs w:val="24"/>
        </w:rPr>
        <w:t>)</w:t>
      </w:r>
      <w:r>
        <w:rPr>
          <w:sz w:val="24"/>
          <w:szCs w:val="24"/>
        </w:rPr>
        <w:t>.</w:t>
      </w:r>
    </w:p>
    <w:p w14:paraId="735A2E1D" w14:textId="77777777" w:rsidR="0041648B" w:rsidRPr="00522A7D" w:rsidRDefault="0041648B" w:rsidP="0041648B">
      <w:pPr>
        <w:ind w:right="91"/>
        <w:rPr>
          <w:sz w:val="24"/>
          <w:szCs w:val="24"/>
        </w:rPr>
      </w:pPr>
    </w:p>
    <w:p w14:paraId="65A7F1AA" w14:textId="0B8C88AE" w:rsidR="0041648B" w:rsidRDefault="0041648B" w:rsidP="0041648B">
      <w:pPr>
        <w:ind w:right="91"/>
        <w:rPr>
          <w:sz w:val="24"/>
          <w:szCs w:val="24"/>
        </w:rPr>
      </w:pPr>
      <w:r>
        <w:rPr>
          <w:sz w:val="24"/>
          <w:szCs w:val="24"/>
          <w:u w:val="single"/>
        </w:rPr>
        <w:t xml:space="preserve">Schedule 1, </w:t>
      </w:r>
      <w:r w:rsidR="003F3542">
        <w:rPr>
          <w:sz w:val="24"/>
          <w:szCs w:val="24"/>
          <w:u w:val="single"/>
        </w:rPr>
        <w:t>item</w:t>
      </w:r>
      <w:r>
        <w:rPr>
          <w:sz w:val="24"/>
          <w:szCs w:val="24"/>
          <w:u w:val="single"/>
        </w:rPr>
        <w:t xml:space="preserve"> 6</w:t>
      </w:r>
      <w:r>
        <w:rPr>
          <w:sz w:val="24"/>
          <w:szCs w:val="24"/>
        </w:rPr>
        <w:t xml:space="preserve"> adds two new subclauses after subclause 8(4). New subclause 8(5) relates to cases where a customer chooses to decline roaming services from overseas by a method other than those referred to in subclause 8(3) (calling a </w:t>
      </w:r>
      <w:r>
        <w:rPr>
          <w:sz w:val="24"/>
          <w:szCs w:val="24"/>
        </w:rPr>
        <w:lastRenderedPageBreak/>
        <w:t>particular Australian number) or subclause 8(4) (accessing the website of the CSP).  Subclause 8(5) provides that CSPs must not charge customers more than a nominal charge for declining roaming services from overseas. This is to ensure that customers can decline roaming services at low or no cost, regardless of the method used. Existing cost restrictions relating to methods referred to in subclauses 8(3) and 8(4) are maintained.</w:t>
      </w:r>
    </w:p>
    <w:p w14:paraId="76EEEC95" w14:textId="77777777" w:rsidR="0041648B" w:rsidRDefault="0041648B" w:rsidP="0041648B">
      <w:pPr>
        <w:ind w:right="91"/>
        <w:rPr>
          <w:sz w:val="24"/>
          <w:szCs w:val="24"/>
        </w:rPr>
      </w:pPr>
    </w:p>
    <w:p w14:paraId="46F70A90" w14:textId="77777777" w:rsidR="0041648B" w:rsidRPr="0081781B" w:rsidRDefault="0041648B" w:rsidP="0041648B">
      <w:pPr>
        <w:ind w:right="91"/>
        <w:rPr>
          <w:sz w:val="24"/>
          <w:szCs w:val="24"/>
        </w:rPr>
      </w:pPr>
      <w:r>
        <w:rPr>
          <w:sz w:val="24"/>
          <w:szCs w:val="24"/>
        </w:rPr>
        <w:t xml:space="preserve">New subclause 8(6) requires that the method made available to customers to decline roaming services from overseas to satisfy subclause 8(1) must be reasonably accessible. </w:t>
      </w:r>
    </w:p>
    <w:p w14:paraId="0E5D08A9" w14:textId="77777777" w:rsidR="0041648B" w:rsidRDefault="0041648B" w:rsidP="0041648B">
      <w:pPr>
        <w:ind w:right="91"/>
        <w:rPr>
          <w:sz w:val="24"/>
          <w:szCs w:val="24"/>
        </w:rPr>
      </w:pPr>
      <w:r>
        <w:rPr>
          <w:sz w:val="24"/>
          <w:szCs w:val="24"/>
        </w:rPr>
        <w:t xml:space="preserve"> </w:t>
      </w:r>
    </w:p>
    <w:p w14:paraId="222206C6" w14:textId="033D692A" w:rsidR="0041648B" w:rsidRPr="00D97859" w:rsidRDefault="0041648B" w:rsidP="0041648B">
      <w:pPr>
        <w:ind w:right="91"/>
        <w:rPr>
          <w:sz w:val="24"/>
          <w:szCs w:val="24"/>
        </w:rPr>
      </w:pPr>
      <w:r>
        <w:rPr>
          <w:sz w:val="24"/>
          <w:szCs w:val="24"/>
          <w:u w:val="single"/>
        </w:rPr>
        <w:t xml:space="preserve">Schedule 1, </w:t>
      </w:r>
      <w:r w:rsidR="003F3542">
        <w:rPr>
          <w:sz w:val="24"/>
          <w:szCs w:val="24"/>
          <w:u w:val="single"/>
        </w:rPr>
        <w:t>item</w:t>
      </w:r>
      <w:r>
        <w:rPr>
          <w:sz w:val="24"/>
          <w:szCs w:val="24"/>
          <w:u w:val="single"/>
        </w:rPr>
        <w:t xml:space="preserve"> 7</w:t>
      </w:r>
      <w:r>
        <w:rPr>
          <w:sz w:val="24"/>
          <w:szCs w:val="24"/>
        </w:rPr>
        <w:t xml:space="preserve"> inserts four new subclauses following subclause 9(3).  New subclause 9(3A) allows CSPs to offer a mechanism for customers to decline to receive the roaming usage notifications required by subclause 9(3) of the IMR Standard.  CSPs are not required to provide </w:t>
      </w:r>
      <w:r w:rsidRPr="00D97859">
        <w:rPr>
          <w:sz w:val="24"/>
          <w:szCs w:val="24"/>
        </w:rPr>
        <w:t>this option, but if it is provided, subclauses 9(3B) – (</w:t>
      </w:r>
      <w:r w:rsidRPr="001B3398">
        <w:rPr>
          <w:sz w:val="24"/>
          <w:szCs w:val="24"/>
        </w:rPr>
        <w:t>3D) must be complied with</w:t>
      </w:r>
      <w:r>
        <w:rPr>
          <w:sz w:val="24"/>
          <w:szCs w:val="24"/>
        </w:rPr>
        <w:t>.</w:t>
      </w:r>
    </w:p>
    <w:p w14:paraId="0E6AA96F" w14:textId="77777777" w:rsidR="0041648B" w:rsidRDefault="0041648B" w:rsidP="0041648B">
      <w:pPr>
        <w:ind w:right="91"/>
        <w:rPr>
          <w:sz w:val="24"/>
          <w:szCs w:val="24"/>
        </w:rPr>
      </w:pPr>
    </w:p>
    <w:p w14:paraId="2CF2B016" w14:textId="77777777" w:rsidR="0041648B" w:rsidRDefault="0041648B" w:rsidP="0041648B">
      <w:pPr>
        <w:ind w:right="91"/>
        <w:rPr>
          <w:sz w:val="24"/>
          <w:szCs w:val="24"/>
        </w:rPr>
      </w:pPr>
      <w:r>
        <w:rPr>
          <w:sz w:val="24"/>
          <w:szCs w:val="24"/>
        </w:rPr>
        <w:t xml:space="preserve">Subclause 9(3B) provides that a CSP cannot allow a customer to decline to receive roaming usage notifications </w:t>
      </w:r>
      <w:r w:rsidRPr="00F40AFB">
        <w:rPr>
          <w:sz w:val="24"/>
          <w:szCs w:val="24"/>
        </w:rPr>
        <w:t>by way of accepting a term or condition of a standard form customer contract</w:t>
      </w:r>
      <w:r>
        <w:rPr>
          <w:sz w:val="24"/>
          <w:szCs w:val="24"/>
        </w:rPr>
        <w:t xml:space="preserve"> or the default terms and conditions associated with the purchase of an included value pack.  This requirement is designed to ensure that declining notifications is a genuine election on the part of the customer.</w:t>
      </w:r>
    </w:p>
    <w:p w14:paraId="755A0EA3" w14:textId="77777777" w:rsidR="0041648B" w:rsidRDefault="0041648B" w:rsidP="0041648B">
      <w:pPr>
        <w:ind w:right="91"/>
        <w:rPr>
          <w:sz w:val="24"/>
          <w:szCs w:val="24"/>
        </w:rPr>
      </w:pPr>
    </w:p>
    <w:p w14:paraId="1AF06A78" w14:textId="7D17E29A" w:rsidR="0041648B" w:rsidRDefault="0041648B" w:rsidP="0041648B">
      <w:pPr>
        <w:ind w:right="91"/>
        <w:rPr>
          <w:sz w:val="24"/>
          <w:szCs w:val="24"/>
        </w:rPr>
      </w:pPr>
      <w:r>
        <w:rPr>
          <w:sz w:val="24"/>
          <w:szCs w:val="24"/>
        </w:rPr>
        <w:t xml:space="preserve">Under new subclause 9(3C), where a customer elects to decline to receive roaming usage notifications, the CSP must send an SMS to the customer acknowledging that a request to decline receipt of roaming usage alerts has been made. This SMS must also advise the customer that they may request to receive notifications again at any time.  </w:t>
      </w:r>
      <w:r w:rsidR="003F3542">
        <w:rPr>
          <w:sz w:val="24"/>
          <w:szCs w:val="24"/>
        </w:rPr>
        <w:t xml:space="preserve">Such a </w:t>
      </w:r>
      <w:r>
        <w:rPr>
          <w:sz w:val="24"/>
          <w:szCs w:val="24"/>
        </w:rPr>
        <w:t>request must also be implemented as soon as is reasonably practicable, and at no cost to the customer.</w:t>
      </w:r>
    </w:p>
    <w:p w14:paraId="14313CC3" w14:textId="77777777" w:rsidR="0041648B" w:rsidRDefault="0041648B" w:rsidP="0041648B">
      <w:pPr>
        <w:ind w:right="91"/>
        <w:rPr>
          <w:sz w:val="24"/>
          <w:szCs w:val="24"/>
        </w:rPr>
      </w:pPr>
    </w:p>
    <w:p w14:paraId="3FF4BD09" w14:textId="185D3AF7" w:rsidR="0041648B" w:rsidRDefault="0041648B" w:rsidP="0041648B">
      <w:pPr>
        <w:ind w:right="91"/>
        <w:rPr>
          <w:sz w:val="24"/>
          <w:szCs w:val="24"/>
        </w:rPr>
      </w:pPr>
      <w:r>
        <w:rPr>
          <w:sz w:val="24"/>
          <w:szCs w:val="24"/>
        </w:rPr>
        <w:t>Subclause 9(3D) provides that a CSP that chooses to offer a mechanism as contemplated by subclause 9(3A) must also make available methods for customers to quickly and easily establish whether they have elected to not receive the notifications.</w:t>
      </w:r>
    </w:p>
    <w:p w14:paraId="2B04E4F4" w14:textId="77777777" w:rsidR="0041648B" w:rsidRDefault="0041648B" w:rsidP="0041648B">
      <w:pPr>
        <w:pStyle w:val="MinSubbodytext"/>
        <w:ind w:left="0"/>
      </w:pPr>
      <w:r>
        <w:t xml:space="preserve"> </w:t>
      </w:r>
    </w:p>
    <w:p w14:paraId="75D02095" w14:textId="5DC0C239" w:rsidR="0041648B" w:rsidRPr="009B732F" w:rsidRDefault="0041648B" w:rsidP="0041648B">
      <w:pPr>
        <w:ind w:right="91"/>
        <w:rPr>
          <w:sz w:val="24"/>
          <w:szCs w:val="24"/>
        </w:rPr>
      </w:pPr>
      <w:r>
        <w:rPr>
          <w:sz w:val="24"/>
          <w:szCs w:val="24"/>
          <w:u w:val="single"/>
        </w:rPr>
        <w:t xml:space="preserve">Schedule 1, </w:t>
      </w:r>
      <w:r w:rsidR="003F3542">
        <w:rPr>
          <w:sz w:val="24"/>
          <w:szCs w:val="24"/>
          <w:u w:val="single"/>
        </w:rPr>
        <w:t>item</w:t>
      </w:r>
      <w:r>
        <w:rPr>
          <w:sz w:val="24"/>
          <w:szCs w:val="24"/>
          <w:u w:val="single"/>
        </w:rPr>
        <w:t xml:space="preserve"> 8</w:t>
      </w:r>
      <w:r>
        <w:rPr>
          <w:sz w:val="24"/>
          <w:szCs w:val="24"/>
        </w:rPr>
        <w:t xml:space="preserve"> replaces the occurrence of the date 23 May 2016 in subclause 9(9) with the new date of 1 January 2019. This amendment </w:t>
      </w:r>
      <w:r w:rsidRPr="00E749BA">
        <w:rPr>
          <w:sz w:val="24"/>
          <w:szCs w:val="24"/>
        </w:rPr>
        <w:t>delay</w:t>
      </w:r>
      <w:r>
        <w:rPr>
          <w:sz w:val="24"/>
          <w:szCs w:val="24"/>
        </w:rPr>
        <w:t>s</w:t>
      </w:r>
      <w:r w:rsidRPr="00E749BA">
        <w:rPr>
          <w:sz w:val="24"/>
          <w:szCs w:val="24"/>
        </w:rPr>
        <w:t xml:space="preserve"> the application of subclauses 9(2)</w:t>
      </w:r>
      <w:r w:rsidR="003F3542">
        <w:rPr>
          <w:sz w:val="24"/>
          <w:szCs w:val="24"/>
        </w:rPr>
        <w:t xml:space="preserve"> </w:t>
      </w:r>
      <w:r w:rsidRPr="00E749BA">
        <w:rPr>
          <w:sz w:val="24"/>
          <w:szCs w:val="24"/>
        </w:rPr>
        <w:t>-</w:t>
      </w:r>
      <w:r w:rsidR="003F3542">
        <w:rPr>
          <w:sz w:val="24"/>
          <w:szCs w:val="24"/>
        </w:rPr>
        <w:t xml:space="preserve"> </w:t>
      </w:r>
      <w:r w:rsidRPr="00E749BA">
        <w:rPr>
          <w:sz w:val="24"/>
          <w:szCs w:val="24"/>
        </w:rPr>
        <w:t xml:space="preserve">(8) of the </w:t>
      </w:r>
      <w:r>
        <w:rPr>
          <w:sz w:val="24"/>
          <w:szCs w:val="24"/>
        </w:rPr>
        <w:t xml:space="preserve">IMR </w:t>
      </w:r>
      <w:r w:rsidRPr="00E749BA">
        <w:rPr>
          <w:sz w:val="24"/>
          <w:szCs w:val="24"/>
        </w:rPr>
        <w:t xml:space="preserve">Standard to </w:t>
      </w:r>
      <w:r>
        <w:rPr>
          <w:sz w:val="24"/>
          <w:szCs w:val="24"/>
        </w:rPr>
        <w:t xml:space="preserve">MVNOs </w:t>
      </w:r>
      <w:r w:rsidRPr="00E749BA">
        <w:rPr>
          <w:sz w:val="24"/>
          <w:szCs w:val="24"/>
        </w:rPr>
        <w:t>until 1 January 2019.</w:t>
      </w:r>
      <w:r w:rsidRPr="00E75DD7">
        <w:rPr>
          <w:sz w:val="24"/>
          <w:szCs w:val="24"/>
        </w:rPr>
        <w:t xml:space="preserve"> </w:t>
      </w:r>
      <w:r>
        <w:br w:type="page"/>
      </w:r>
    </w:p>
    <w:p w14:paraId="4C7ED9F5" w14:textId="77777777" w:rsidR="0041648B" w:rsidRDefault="0041648B" w:rsidP="0041648B">
      <w:pPr>
        <w:ind w:right="91"/>
        <w:jc w:val="right"/>
        <w:rPr>
          <w:b/>
          <w:sz w:val="24"/>
          <w:szCs w:val="24"/>
          <w:u w:val="single"/>
        </w:rPr>
      </w:pPr>
      <w:r>
        <w:rPr>
          <w:b/>
          <w:sz w:val="24"/>
          <w:szCs w:val="24"/>
          <w:u w:val="single"/>
        </w:rPr>
        <w:lastRenderedPageBreak/>
        <w:t>ATTACHMENT B</w:t>
      </w:r>
    </w:p>
    <w:p w14:paraId="397C6026" w14:textId="77777777" w:rsidR="0041648B" w:rsidRDefault="0041648B" w:rsidP="0041648B">
      <w:pPr>
        <w:ind w:right="91"/>
        <w:jc w:val="right"/>
        <w:rPr>
          <w:b/>
          <w:sz w:val="24"/>
          <w:szCs w:val="24"/>
          <w:u w:val="single"/>
        </w:rPr>
      </w:pPr>
    </w:p>
    <w:p w14:paraId="73816AF7" w14:textId="77777777" w:rsidR="0041648B" w:rsidRDefault="0041648B" w:rsidP="0041648B">
      <w:pPr>
        <w:ind w:right="91"/>
        <w:jc w:val="center"/>
        <w:rPr>
          <w:b/>
          <w:sz w:val="24"/>
          <w:szCs w:val="24"/>
          <w:u w:val="single"/>
        </w:rPr>
      </w:pPr>
      <w:r>
        <w:rPr>
          <w:b/>
          <w:sz w:val="24"/>
          <w:szCs w:val="24"/>
          <w:u w:val="single"/>
        </w:rPr>
        <w:t>Statement of Compatibility with Human Rights</w:t>
      </w:r>
    </w:p>
    <w:p w14:paraId="46F18BC7" w14:textId="77777777" w:rsidR="0041648B" w:rsidRDefault="0041648B" w:rsidP="0041648B">
      <w:pPr>
        <w:ind w:right="91"/>
        <w:jc w:val="center"/>
        <w:rPr>
          <w:b/>
          <w:sz w:val="24"/>
          <w:szCs w:val="24"/>
          <w:u w:val="single"/>
        </w:rPr>
      </w:pPr>
    </w:p>
    <w:p w14:paraId="3B8C297C" w14:textId="77777777" w:rsidR="0041648B" w:rsidRDefault="0041648B" w:rsidP="0041648B">
      <w:pPr>
        <w:ind w:right="91"/>
        <w:jc w:val="center"/>
        <w:rPr>
          <w:i/>
          <w:sz w:val="24"/>
          <w:szCs w:val="24"/>
          <w:u w:val="single"/>
        </w:rPr>
      </w:pPr>
      <w:r>
        <w:rPr>
          <w:i/>
          <w:sz w:val="24"/>
          <w:szCs w:val="24"/>
          <w:u w:val="single"/>
        </w:rPr>
        <w:t>Prepared in accordance with Part 3 of the Human Rights (Parliamentary Scrutiny) Act 2011</w:t>
      </w:r>
    </w:p>
    <w:p w14:paraId="0B204BDF" w14:textId="77777777" w:rsidR="0041648B" w:rsidRDefault="0041648B" w:rsidP="0041648B">
      <w:pPr>
        <w:ind w:right="91"/>
        <w:jc w:val="center"/>
        <w:rPr>
          <w:i/>
          <w:sz w:val="24"/>
          <w:szCs w:val="24"/>
          <w:u w:val="single"/>
        </w:rPr>
      </w:pPr>
    </w:p>
    <w:p w14:paraId="710B6AF9" w14:textId="77777777" w:rsidR="0041648B" w:rsidRDefault="0041648B" w:rsidP="0041648B">
      <w:pPr>
        <w:ind w:right="91"/>
        <w:jc w:val="center"/>
        <w:rPr>
          <w:b/>
          <w:sz w:val="24"/>
          <w:szCs w:val="24"/>
        </w:rPr>
      </w:pPr>
      <w:r w:rsidRPr="00896ED4">
        <w:rPr>
          <w:b/>
          <w:sz w:val="24"/>
          <w:szCs w:val="24"/>
        </w:rPr>
        <w:t>Telecommunications (International Mobile Roaming</w:t>
      </w:r>
      <w:r>
        <w:rPr>
          <w:b/>
          <w:sz w:val="24"/>
          <w:szCs w:val="24"/>
        </w:rPr>
        <w:t>) Industry Standard</w:t>
      </w:r>
      <w:r w:rsidRPr="00896ED4">
        <w:rPr>
          <w:b/>
          <w:sz w:val="24"/>
          <w:szCs w:val="24"/>
        </w:rPr>
        <w:t xml:space="preserve"> </w:t>
      </w:r>
      <w:r>
        <w:rPr>
          <w:b/>
          <w:sz w:val="24"/>
          <w:szCs w:val="24"/>
        </w:rPr>
        <w:t>Variation</w:t>
      </w:r>
      <w:r w:rsidRPr="00896ED4">
        <w:rPr>
          <w:b/>
          <w:sz w:val="24"/>
          <w:szCs w:val="24"/>
        </w:rPr>
        <w:t xml:space="preserve"> 201</w:t>
      </w:r>
      <w:r>
        <w:rPr>
          <w:b/>
          <w:sz w:val="24"/>
          <w:szCs w:val="24"/>
        </w:rPr>
        <w:t>6 (No. 1)</w:t>
      </w:r>
    </w:p>
    <w:p w14:paraId="5E13BECD" w14:textId="77777777" w:rsidR="0041648B" w:rsidRDefault="0041648B" w:rsidP="0041648B">
      <w:pPr>
        <w:ind w:right="91"/>
        <w:rPr>
          <w:sz w:val="24"/>
          <w:szCs w:val="24"/>
        </w:rPr>
      </w:pPr>
    </w:p>
    <w:p w14:paraId="368BB17D" w14:textId="77777777" w:rsidR="0041648B" w:rsidRDefault="0041648B" w:rsidP="0041648B">
      <w:pPr>
        <w:ind w:right="91"/>
        <w:rPr>
          <w:sz w:val="24"/>
          <w:szCs w:val="24"/>
        </w:rPr>
      </w:pPr>
      <w:r>
        <w:rPr>
          <w:sz w:val="24"/>
          <w:szCs w:val="24"/>
        </w:rPr>
        <w:t xml:space="preserve">This Legislative Instrument is compatible with the human rights and freedoms recognised or declared in the international instruments listed in section 3 of the </w:t>
      </w:r>
      <w:r>
        <w:rPr>
          <w:i/>
          <w:sz w:val="24"/>
          <w:szCs w:val="24"/>
        </w:rPr>
        <w:t>Human Rights (Parliamentary Scrutiny) Act 2011</w:t>
      </w:r>
      <w:r>
        <w:rPr>
          <w:sz w:val="24"/>
          <w:szCs w:val="24"/>
        </w:rPr>
        <w:t>.</w:t>
      </w:r>
    </w:p>
    <w:p w14:paraId="2824DB48" w14:textId="77777777" w:rsidR="0041648B" w:rsidRDefault="0041648B" w:rsidP="0041648B">
      <w:pPr>
        <w:ind w:right="91"/>
        <w:rPr>
          <w:sz w:val="24"/>
          <w:szCs w:val="24"/>
        </w:rPr>
      </w:pPr>
    </w:p>
    <w:p w14:paraId="28FD2EF3" w14:textId="77777777" w:rsidR="0041648B" w:rsidRDefault="0041648B" w:rsidP="0041648B">
      <w:pPr>
        <w:ind w:right="91"/>
        <w:rPr>
          <w:sz w:val="24"/>
          <w:szCs w:val="24"/>
          <w:u w:val="single"/>
        </w:rPr>
      </w:pPr>
      <w:r w:rsidRPr="00896ED4">
        <w:rPr>
          <w:sz w:val="24"/>
          <w:szCs w:val="24"/>
          <w:u w:val="single"/>
        </w:rPr>
        <w:t xml:space="preserve">Overview of the </w:t>
      </w:r>
      <w:r>
        <w:rPr>
          <w:sz w:val="24"/>
          <w:szCs w:val="24"/>
          <w:u w:val="single"/>
        </w:rPr>
        <w:t>Variation</w:t>
      </w:r>
    </w:p>
    <w:p w14:paraId="13FEF94C" w14:textId="77777777" w:rsidR="0041648B" w:rsidRDefault="0041648B" w:rsidP="0041648B">
      <w:pPr>
        <w:ind w:right="91"/>
        <w:rPr>
          <w:sz w:val="24"/>
          <w:szCs w:val="24"/>
        </w:rPr>
      </w:pPr>
    </w:p>
    <w:p w14:paraId="37AE83FE" w14:textId="21D49437" w:rsidR="0041648B" w:rsidRPr="001D2DE4" w:rsidRDefault="0041648B" w:rsidP="0041648B">
      <w:pPr>
        <w:rPr>
          <w:sz w:val="24"/>
          <w:szCs w:val="24"/>
        </w:rPr>
      </w:pPr>
      <w:r w:rsidRPr="001D2DE4">
        <w:rPr>
          <w:sz w:val="24"/>
          <w:szCs w:val="24"/>
        </w:rPr>
        <w:t xml:space="preserve">The </w:t>
      </w:r>
      <w:r w:rsidRPr="00927C37">
        <w:rPr>
          <w:i/>
          <w:sz w:val="24"/>
          <w:szCs w:val="24"/>
        </w:rPr>
        <w:t xml:space="preserve">Telecommunications (International Mobile Roaming) Industry Standard 2013 </w:t>
      </w:r>
      <w:r>
        <w:rPr>
          <w:sz w:val="24"/>
          <w:szCs w:val="24"/>
        </w:rPr>
        <w:t xml:space="preserve">(IMR </w:t>
      </w:r>
      <w:r w:rsidRPr="001D2DE4">
        <w:rPr>
          <w:sz w:val="24"/>
          <w:szCs w:val="24"/>
        </w:rPr>
        <w:t>Standard</w:t>
      </w:r>
      <w:r>
        <w:rPr>
          <w:sz w:val="24"/>
          <w:szCs w:val="24"/>
        </w:rPr>
        <w:t>)</w:t>
      </w:r>
      <w:r w:rsidRPr="001D2DE4">
        <w:rPr>
          <w:sz w:val="24"/>
          <w:szCs w:val="24"/>
        </w:rPr>
        <w:t xml:space="preserve"> is administered by the A</w:t>
      </w:r>
      <w:r>
        <w:rPr>
          <w:sz w:val="24"/>
          <w:szCs w:val="24"/>
        </w:rPr>
        <w:t xml:space="preserve">ustralian </w:t>
      </w:r>
      <w:r w:rsidRPr="001D2DE4">
        <w:rPr>
          <w:sz w:val="24"/>
          <w:szCs w:val="24"/>
        </w:rPr>
        <w:t>C</w:t>
      </w:r>
      <w:r>
        <w:rPr>
          <w:sz w:val="24"/>
          <w:szCs w:val="24"/>
        </w:rPr>
        <w:t xml:space="preserve">ommunications and </w:t>
      </w:r>
      <w:r w:rsidRPr="001D2DE4">
        <w:rPr>
          <w:sz w:val="24"/>
          <w:szCs w:val="24"/>
        </w:rPr>
        <w:t>M</w:t>
      </w:r>
      <w:r>
        <w:rPr>
          <w:sz w:val="24"/>
          <w:szCs w:val="24"/>
        </w:rPr>
        <w:t>edia Authority (ACMA)</w:t>
      </w:r>
      <w:r w:rsidRPr="001D2DE4">
        <w:rPr>
          <w:sz w:val="24"/>
          <w:szCs w:val="24"/>
        </w:rPr>
        <w:t xml:space="preserve">. The </w:t>
      </w:r>
      <w:r w:rsidR="003F3542">
        <w:rPr>
          <w:sz w:val="24"/>
          <w:szCs w:val="24"/>
        </w:rPr>
        <w:t xml:space="preserve">IMR </w:t>
      </w:r>
      <w:r w:rsidRPr="001D2DE4">
        <w:rPr>
          <w:sz w:val="24"/>
          <w:szCs w:val="24"/>
        </w:rPr>
        <w:t xml:space="preserve">Standard requires suppliers of international mobile roaming (IMR) services to send alerts to customers on the pricing of those services. </w:t>
      </w:r>
    </w:p>
    <w:p w14:paraId="3D0A87A2" w14:textId="77777777" w:rsidR="0041648B" w:rsidRDefault="0041648B" w:rsidP="0041648B">
      <w:pPr>
        <w:ind w:right="91"/>
        <w:rPr>
          <w:sz w:val="24"/>
          <w:szCs w:val="24"/>
        </w:rPr>
      </w:pPr>
    </w:p>
    <w:p w14:paraId="58021BF4" w14:textId="4BD24A2E" w:rsidR="0041648B" w:rsidRPr="00927C37" w:rsidRDefault="0041648B" w:rsidP="0041648B">
      <w:pPr>
        <w:rPr>
          <w:sz w:val="24"/>
          <w:szCs w:val="24"/>
        </w:rPr>
      </w:pPr>
      <w:r w:rsidRPr="001D2DE4">
        <w:rPr>
          <w:sz w:val="24"/>
          <w:szCs w:val="24"/>
        </w:rPr>
        <w:t xml:space="preserve">The purpose of the </w:t>
      </w:r>
      <w:r w:rsidRPr="007E71C1">
        <w:rPr>
          <w:i/>
          <w:sz w:val="24"/>
          <w:szCs w:val="24"/>
        </w:rPr>
        <w:t>Telecommunications (International Mobile Roaming) Industry Standard Variation 2016 (No. 1)</w:t>
      </w:r>
      <w:r>
        <w:rPr>
          <w:b/>
          <w:sz w:val="24"/>
          <w:szCs w:val="24"/>
        </w:rPr>
        <w:t xml:space="preserve"> </w:t>
      </w:r>
      <w:r>
        <w:rPr>
          <w:sz w:val="24"/>
          <w:szCs w:val="24"/>
        </w:rPr>
        <w:t xml:space="preserve">(Variation) is </w:t>
      </w:r>
      <w:r w:rsidRPr="001D2DE4">
        <w:rPr>
          <w:sz w:val="24"/>
          <w:szCs w:val="24"/>
        </w:rPr>
        <w:t xml:space="preserve">to </w:t>
      </w:r>
      <w:r>
        <w:rPr>
          <w:sz w:val="24"/>
          <w:szCs w:val="24"/>
        </w:rPr>
        <w:t>amend</w:t>
      </w:r>
      <w:r w:rsidRPr="00927C37">
        <w:rPr>
          <w:sz w:val="24"/>
          <w:szCs w:val="24"/>
        </w:rPr>
        <w:t xml:space="preserve"> the </w:t>
      </w:r>
      <w:r w:rsidR="003F3542">
        <w:rPr>
          <w:sz w:val="24"/>
          <w:szCs w:val="24"/>
        </w:rPr>
        <w:t xml:space="preserve">IMR </w:t>
      </w:r>
      <w:r w:rsidRPr="00927C37">
        <w:rPr>
          <w:sz w:val="24"/>
          <w:szCs w:val="24"/>
        </w:rPr>
        <w:t>Standard</w:t>
      </w:r>
      <w:r>
        <w:rPr>
          <w:sz w:val="24"/>
          <w:szCs w:val="24"/>
        </w:rPr>
        <w:t xml:space="preserve"> in accordance with the </w:t>
      </w:r>
      <w:r w:rsidRPr="009F5032">
        <w:rPr>
          <w:i/>
          <w:sz w:val="24"/>
          <w:szCs w:val="24"/>
        </w:rPr>
        <w:t>Telecommunications (Amendment of International Mobile Roaming Industry Standard) Direction 201</w:t>
      </w:r>
      <w:r>
        <w:rPr>
          <w:i/>
          <w:sz w:val="24"/>
          <w:szCs w:val="24"/>
        </w:rPr>
        <w:t xml:space="preserve">6 </w:t>
      </w:r>
      <w:r>
        <w:rPr>
          <w:sz w:val="24"/>
          <w:szCs w:val="24"/>
        </w:rPr>
        <w:t xml:space="preserve">(the Direction), made by the Minister under subsection 125AA(4) of the </w:t>
      </w:r>
      <w:r w:rsidRPr="00E7523C">
        <w:rPr>
          <w:i/>
          <w:sz w:val="24"/>
          <w:szCs w:val="24"/>
        </w:rPr>
        <w:t>Telecommunications Act 1997</w:t>
      </w:r>
      <w:r w:rsidRPr="00927C37">
        <w:rPr>
          <w:sz w:val="24"/>
          <w:szCs w:val="24"/>
        </w:rPr>
        <w:t>.</w:t>
      </w:r>
    </w:p>
    <w:p w14:paraId="63F75221" w14:textId="77777777" w:rsidR="0041648B" w:rsidRPr="00E75DD7" w:rsidRDefault="0041648B" w:rsidP="0041648B">
      <w:pPr>
        <w:rPr>
          <w:sz w:val="24"/>
          <w:szCs w:val="24"/>
        </w:rPr>
      </w:pPr>
    </w:p>
    <w:p w14:paraId="2216AACF" w14:textId="5D74B2AE" w:rsidR="0041648B" w:rsidRDefault="0041648B" w:rsidP="0041648B">
      <w:pPr>
        <w:pStyle w:val="MinSubbodytext"/>
        <w:spacing w:after="120"/>
        <w:ind w:left="0"/>
      </w:pPr>
      <w:r>
        <w:t xml:space="preserve">The changes </w:t>
      </w:r>
      <w:r w:rsidR="003F3542">
        <w:t>made by</w:t>
      </w:r>
      <w:r>
        <w:t xml:space="preserve"> the Variation are intended to allow for greater streamlining and simplification of the IMR Standard, including:</w:t>
      </w:r>
    </w:p>
    <w:p w14:paraId="5AA3937A" w14:textId="60F7B399" w:rsidR="0041648B" w:rsidRDefault="0041648B" w:rsidP="0041648B">
      <w:pPr>
        <w:pStyle w:val="MinSubbodytext"/>
        <w:numPr>
          <w:ilvl w:val="0"/>
          <w:numId w:val="1"/>
        </w:numPr>
      </w:pPr>
      <w:r>
        <w:t xml:space="preserve">allowing </w:t>
      </w:r>
      <w:r w:rsidR="003F3542">
        <w:t xml:space="preserve">certain </w:t>
      </w:r>
      <w:r>
        <w:t>warning and charging SMS messages to be combined into one SMS message;</w:t>
      </w:r>
    </w:p>
    <w:p w14:paraId="505D85B6" w14:textId="77777777" w:rsidR="0041648B" w:rsidRDefault="0041648B" w:rsidP="0041648B">
      <w:pPr>
        <w:pStyle w:val="MinSubbodytext"/>
        <w:numPr>
          <w:ilvl w:val="0"/>
          <w:numId w:val="1"/>
        </w:numPr>
      </w:pPr>
      <w:r>
        <w:t>increasing flexibility in the types of mechanisms that can be used to decline IMR services;</w:t>
      </w:r>
    </w:p>
    <w:p w14:paraId="2EDF8184" w14:textId="77777777" w:rsidR="0041648B" w:rsidRDefault="0041648B" w:rsidP="0041648B">
      <w:pPr>
        <w:pStyle w:val="MinSubbodytext"/>
        <w:numPr>
          <w:ilvl w:val="0"/>
          <w:numId w:val="1"/>
        </w:numPr>
      </w:pPr>
      <w:r>
        <w:t>adding the ability for suppliers of IMR services to voluntarily offer a mechanism for customers to opt out of spend management notifications; and</w:t>
      </w:r>
    </w:p>
    <w:p w14:paraId="4F787C18" w14:textId="7DB43841" w:rsidR="0041648B" w:rsidRDefault="0041648B" w:rsidP="0041648B">
      <w:pPr>
        <w:pStyle w:val="MinSubbodytext"/>
        <w:numPr>
          <w:ilvl w:val="0"/>
          <w:numId w:val="1"/>
        </w:numPr>
      </w:pPr>
      <w:proofErr w:type="gramStart"/>
      <w:r>
        <w:t>delaying</w:t>
      </w:r>
      <w:proofErr w:type="gramEnd"/>
      <w:r>
        <w:t xml:space="preserve"> the application of parts of the </w:t>
      </w:r>
      <w:r w:rsidR="003F3542">
        <w:t xml:space="preserve">IMR </w:t>
      </w:r>
      <w:r>
        <w:t>Standard to mobile virtual network operators (MVNOs) until 2019.</w:t>
      </w:r>
    </w:p>
    <w:p w14:paraId="5C3D8813" w14:textId="77777777" w:rsidR="0041648B" w:rsidRDefault="0041648B" w:rsidP="0041648B">
      <w:pPr>
        <w:ind w:right="91"/>
        <w:rPr>
          <w:sz w:val="24"/>
          <w:szCs w:val="24"/>
        </w:rPr>
      </w:pPr>
    </w:p>
    <w:p w14:paraId="3F9A1532" w14:textId="77777777" w:rsidR="0041648B" w:rsidRDefault="0041648B" w:rsidP="0041648B">
      <w:pPr>
        <w:ind w:right="91"/>
        <w:rPr>
          <w:sz w:val="24"/>
          <w:szCs w:val="24"/>
        </w:rPr>
      </w:pPr>
      <w:r>
        <w:rPr>
          <w:sz w:val="24"/>
          <w:szCs w:val="24"/>
        </w:rPr>
        <w:t>No human rights issues were raised during the consultation undertaken in developing the proposal to direct the ACMA to amend the IMR Standard.</w:t>
      </w:r>
    </w:p>
    <w:p w14:paraId="152C0645" w14:textId="77777777" w:rsidR="0041648B" w:rsidRDefault="0041648B" w:rsidP="0041648B">
      <w:pPr>
        <w:ind w:right="91"/>
        <w:rPr>
          <w:sz w:val="24"/>
          <w:szCs w:val="24"/>
        </w:rPr>
      </w:pPr>
    </w:p>
    <w:p w14:paraId="54F93625" w14:textId="77777777" w:rsidR="0041648B" w:rsidRDefault="0041648B" w:rsidP="0041648B">
      <w:pPr>
        <w:ind w:right="91"/>
        <w:rPr>
          <w:sz w:val="24"/>
          <w:szCs w:val="24"/>
        </w:rPr>
      </w:pPr>
      <w:r>
        <w:rPr>
          <w:sz w:val="24"/>
          <w:szCs w:val="24"/>
          <w:u w:val="single"/>
        </w:rPr>
        <w:t>Human rights implications</w:t>
      </w:r>
    </w:p>
    <w:p w14:paraId="779F024E" w14:textId="77777777" w:rsidR="0041648B" w:rsidRDefault="0041648B" w:rsidP="0041648B">
      <w:pPr>
        <w:ind w:right="91"/>
        <w:rPr>
          <w:sz w:val="24"/>
          <w:szCs w:val="24"/>
        </w:rPr>
      </w:pPr>
    </w:p>
    <w:p w14:paraId="2A285483" w14:textId="77777777" w:rsidR="0041648B" w:rsidRDefault="0041648B" w:rsidP="0041648B">
      <w:pPr>
        <w:ind w:right="91"/>
        <w:rPr>
          <w:sz w:val="24"/>
          <w:szCs w:val="24"/>
        </w:rPr>
      </w:pPr>
      <w:r>
        <w:rPr>
          <w:sz w:val="24"/>
          <w:szCs w:val="24"/>
        </w:rPr>
        <w:t xml:space="preserve">The amendments to the IMR Standard required by the Variation do not engage any of the applicable rights or freedoms. The amendments </w:t>
      </w:r>
      <w:r w:rsidRPr="00CB715F">
        <w:rPr>
          <w:sz w:val="24"/>
          <w:szCs w:val="24"/>
        </w:rPr>
        <w:t>are intended to</w:t>
      </w:r>
      <w:r>
        <w:rPr>
          <w:sz w:val="24"/>
          <w:szCs w:val="24"/>
        </w:rPr>
        <w:t xml:space="preserve"> allow for greater streamlining and simplification of the IMR Standard.</w:t>
      </w:r>
    </w:p>
    <w:p w14:paraId="683EE7E6" w14:textId="77777777" w:rsidR="0041648B" w:rsidRDefault="0041648B" w:rsidP="0041648B">
      <w:pPr>
        <w:ind w:right="91"/>
        <w:rPr>
          <w:sz w:val="24"/>
          <w:szCs w:val="24"/>
        </w:rPr>
      </w:pPr>
    </w:p>
    <w:p w14:paraId="5053593E" w14:textId="77777777" w:rsidR="0041648B" w:rsidRDefault="0041648B" w:rsidP="0041648B">
      <w:pPr>
        <w:ind w:right="91"/>
        <w:rPr>
          <w:sz w:val="24"/>
          <w:szCs w:val="24"/>
          <w:u w:val="single"/>
        </w:rPr>
      </w:pPr>
    </w:p>
    <w:p w14:paraId="28936E93" w14:textId="77777777" w:rsidR="0041648B" w:rsidRDefault="0041648B" w:rsidP="0041648B">
      <w:pPr>
        <w:ind w:right="91"/>
        <w:rPr>
          <w:sz w:val="24"/>
          <w:szCs w:val="24"/>
          <w:u w:val="single"/>
        </w:rPr>
      </w:pPr>
    </w:p>
    <w:p w14:paraId="3B05C915" w14:textId="77777777" w:rsidR="0041648B" w:rsidRDefault="0041648B" w:rsidP="0041648B">
      <w:pPr>
        <w:ind w:right="91"/>
        <w:rPr>
          <w:sz w:val="24"/>
          <w:szCs w:val="24"/>
          <w:u w:val="single"/>
        </w:rPr>
      </w:pPr>
    </w:p>
    <w:p w14:paraId="67FFEFA3" w14:textId="77777777" w:rsidR="0041648B" w:rsidRDefault="0041648B" w:rsidP="0041648B">
      <w:pPr>
        <w:ind w:right="91"/>
        <w:rPr>
          <w:sz w:val="24"/>
          <w:szCs w:val="24"/>
        </w:rPr>
      </w:pPr>
      <w:r>
        <w:rPr>
          <w:sz w:val="24"/>
          <w:szCs w:val="24"/>
          <w:u w:val="single"/>
        </w:rPr>
        <w:t>Conclusion</w:t>
      </w:r>
    </w:p>
    <w:p w14:paraId="60992537" w14:textId="77777777" w:rsidR="0041648B" w:rsidRDefault="0041648B" w:rsidP="0041648B">
      <w:pPr>
        <w:ind w:right="91"/>
        <w:rPr>
          <w:sz w:val="24"/>
          <w:szCs w:val="24"/>
        </w:rPr>
      </w:pPr>
    </w:p>
    <w:p w14:paraId="6E35A97C" w14:textId="77777777" w:rsidR="0041648B" w:rsidRPr="00896ED4" w:rsidRDefault="0041648B" w:rsidP="0041648B">
      <w:pPr>
        <w:ind w:right="91"/>
        <w:rPr>
          <w:sz w:val="24"/>
          <w:szCs w:val="24"/>
        </w:rPr>
      </w:pPr>
      <w:r>
        <w:rPr>
          <w:sz w:val="24"/>
          <w:szCs w:val="24"/>
        </w:rPr>
        <w:t>The Variation is compatible with human rights as it does not raise any human rights issues.</w:t>
      </w:r>
    </w:p>
    <w:p w14:paraId="51D7C4B4" w14:textId="4DB3C17D" w:rsidR="00E75DD7" w:rsidRPr="00896ED4" w:rsidRDefault="00E75DD7" w:rsidP="00896ED4">
      <w:pPr>
        <w:ind w:right="91"/>
        <w:rPr>
          <w:sz w:val="24"/>
          <w:szCs w:val="24"/>
        </w:rPr>
      </w:pPr>
    </w:p>
    <w:sectPr w:rsidR="00E75DD7" w:rsidRPr="00896ED4" w:rsidSect="002C0CD5">
      <w:headerReference w:type="default" r:id="rId11"/>
      <w:footerReference w:type="first" r:id="rId12"/>
      <w:pgSz w:w="11906" w:h="16838" w:code="9"/>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C5E22E" w14:textId="77777777" w:rsidR="003D6D05" w:rsidRDefault="003D6D05" w:rsidP="009A5536">
      <w:r>
        <w:separator/>
      </w:r>
    </w:p>
  </w:endnote>
  <w:endnote w:type="continuationSeparator" w:id="0">
    <w:p w14:paraId="6128AB0A" w14:textId="77777777" w:rsidR="003D6D05" w:rsidRDefault="003D6D05" w:rsidP="009A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F122E" w14:textId="77777777" w:rsidR="000E2E76" w:rsidRDefault="000E2E76">
    <w:pPr>
      <w:pStyle w:val="Footer"/>
      <w:jc w:val="center"/>
    </w:pPr>
  </w:p>
  <w:p w14:paraId="19A935D2" w14:textId="77777777" w:rsidR="000E2E76" w:rsidRDefault="000E2E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99E69" w14:textId="77777777" w:rsidR="003D6D05" w:rsidRDefault="003D6D05" w:rsidP="009A5536">
      <w:r>
        <w:separator/>
      </w:r>
    </w:p>
  </w:footnote>
  <w:footnote w:type="continuationSeparator" w:id="0">
    <w:p w14:paraId="3B3EB073" w14:textId="77777777" w:rsidR="003D6D05" w:rsidRDefault="003D6D05" w:rsidP="009A5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76AFE" w14:textId="77777777" w:rsidR="000E2E76" w:rsidRDefault="000E2E76">
    <w:pPr>
      <w:pStyle w:val="Header"/>
    </w:pPr>
    <w:r>
      <w:tab/>
    </w:r>
    <w:r>
      <w:rPr>
        <w:rStyle w:val="PageNumber"/>
      </w:rPr>
      <w:fldChar w:fldCharType="begin"/>
    </w:r>
    <w:r>
      <w:rPr>
        <w:rStyle w:val="PageNumber"/>
      </w:rPr>
      <w:instrText xml:space="preserve"> PAGE </w:instrText>
    </w:r>
    <w:r>
      <w:rPr>
        <w:rStyle w:val="PageNumber"/>
      </w:rPr>
      <w:fldChar w:fldCharType="separate"/>
    </w:r>
    <w:r w:rsidR="002556B4">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0185C"/>
    <w:multiLevelType w:val="hybridMultilevel"/>
    <w:tmpl w:val="83B2B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DED4581"/>
    <w:multiLevelType w:val="hybridMultilevel"/>
    <w:tmpl w:val="4D6A4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2">
    <w:nsid w:val="22A36E43"/>
    <w:multiLevelType w:val="hybridMultilevel"/>
    <w:tmpl w:val="F834A8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55B2DEB"/>
    <w:multiLevelType w:val="hybridMultilevel"/>
    <w:tmpl w:val="C9B257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5BE05EDA"/>
    <w:multiLevelType w:val="hybridMultilevel"/>
    <w:tmpl w:val="27B81C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nsid w:val="632E392B"/>
    <w:multiLevelType w:val="hybridMultilevel"/>
    <w:tmpl w:val="D9065BEA"/>
    <w:lvl w:ilvl="0" w:tplc="0C09000F">
      <w:start w:val="1"/>
      <w:numFmt w:val="decimal"/>
      <w:lvlText w:val="%1."/>
      <w:lvlJc w:val="left"/>
      <w:pPr>
        <w:ind w:left="360" w:hanging="360"/>
      </w:pPr>
      <w:rPr>
        <w:rFonts w:hint="default"/>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nsid w:val="645563F4"/>
    <w:multiLevelType w:val="hybridMultilevel"/>
    <w:tmpl w:val="AF0020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DBB3242"/>
    <w:multiLevelType w:val="hybridMultilevel"/>
    <w:tmpl w:val="ABB25E8E"/>
    <w:lvl w:ilvl="0" w:tplc="0C090001">
      <w:start w:val="1"/>
      <w:numFmt w:val="bullet"/>
      <w:lvlText w:val=""/>
      <w:lvlJc w:val="left"/>
      <w:pPr>
        <w:ind w:left="578" w:hanging="360"/>
      </w:pPr>
      <w:rPr>
        <w:rFonts w:ascii="Symbol" w:hAnsi="Symbol" w:hint="default"/>
      </w:rPr>
    </w:lvl>
    <w:lvl w:ilvl="1" w:tplc="0C090001">
      <w:start w:val="1"/>
      <w:numFmt w:val="bullet"/>
      <w:lvlText w:val=""/>
      <w:lvlJc w:val="left"/>
      <w:pPr>
        <w:ind w:left="1298" w:hanging="360"/>
      </w:pPr>
      <w:rPr>
        <w:rFonts w:ascii="Symbol" w:hAnsi="Symbol"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7"/>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CD5"/>
    <w:rsid w:val="00005672"/>
    <w:rsid w:val="00014D0F"/>
    <w:rsid w:val="00017074"/>
    <w:rsid w:val="000462AC"/>
    <w:rsid w:val="00052478"/>
    <w:rsid w:val="00064637"/>
    <w:rsid w:val="00065CC7"/>
    <w:rsid w:val="0007003B"/>
    <w:rsid w:val="0007153B"/>
    <w:rsid w:val="000748D2"/>
    <w:rsid w:val="00081E46"/>
    <w:rsid w:val="0009720F"/>
    <w:rsid w:val="000A704C"/>
    <w:rsid w:val="000B716C"/>
    <w:rsid w:val="000D016A"/>
    <w:rsid w:val="000E2948"/>
    <w:rsid w:val="000E2E76"/>
    <w:rsid w:val="000E39D2"/>
    <w:rsid w:val="000F00D4"/>
    <w:rsid w:val="000F5696"/>
    <w:rsid w:val="001013DD"/>
    <w:rsid w:val="001025F0"/>
    <w:rsid w:val="001119ED"/>
    <w:rsid w:val="00113F27"/>
    <w:rsid w:val="0012015C"/>
    <w:rsid w:val="00121005"/>
    <w:rsid w:val="00122571"/>
    <w:rsid w:val="00123057"/>
    <w:rsid w:val="0012623C"/>
    <w:rsid w:val="00126491"/>
    <w:rsid w:val="00134131"/>
    <w:rsid w:val="00136308"/>
    <w:rsid w:val="00136D23"/>
    <w:rsid w:val="00154B96"/>
    <w:rsid w:val="00164AD1"/>
    <w:rsid w:val="00167F68"/>
    <w:rsid w:val="00173B75"/>
    <w:rsid w:val="001A4D94"/>
    <w:rsid w:val="001B341A"/>
    <w:rsid w:val="001C1979"/>
    <w:rsid w:val="001C6DC2"/>
    <w:rsid w:val="001C7E5A"/>
    <w:rsid w:val="001D3DC9"/>
    <w:rsid w:val="001E402D"/>
    <w:rsid w:val="001F37B2"/>
    <w:rsid w:val="00203EBE"/>
    <w:rsid w:val="00206782"/>
    <w:rsid w:val="002131AC"/>
    <w:rsid w:val="00221130"/>
    <w:rsid w:val="002309C5"/>
    <w:rsid w:val="002556B4"/>
    <w:rsid w:val="0026336A"/>
    <w:rsid w:val="002817A8"/>
    <w:rsid w:val="00285173"/>
    <w:rsid w:val="00293E23"/>
    <w:rsid w:val="00297734"/>
    <w:rsid w:val="002A2C10"/>
    <w:rsid w:val="002B28C8"/>
    <w:rsid w:val="002C0CD5"/>
    <w:rsid w:val="002C7BEF"/>
    <w:rsid w:val="002D1A77"/>
    <w:rsid w:val="002D4729"/>
    <w:rsid w:val="002E59BE"/>
    <w:rsid w:val="002F4E99"/>
    <w:rsid w:val="00300D7D"/>
    <w:rsid w:val="003071DC"/>
    <w:rsid w:val="00313018"/>
    <w:rsid w:val="00336F4C"/>
    <w:rsid w:val="00341087"/>
    <w:rsid w:val="0034299C"/>
    <w:rsid w:val="003431F5"/>
    <w:rsid w:val="00362FC5"/>
    <w:rsid w:val="00371639"/>
    <w:rsid w:val="00377F71"/>
    <w:rsid w:val="00384B3F"/>
    <w:rsid w:val="00384C56"/>
    <w:rsid w:val="00390DE4"/>
    <w:rsid w:val="003A1A35"/>
    <w:rsid w:val="003A39A2"/>
    <w:rsid w:val="003C5EA2"/>
    <w:rsid w:val="003D6754"/>
    <w:rsid w:val="003D6D05"/>
    <w:rsid w:val="003E2A07"/>
    <w:rsid w:val="003E3A88"/>
    <w:rsid w:val="003F072C"/>
    <w:rsid w:val="003F3542"/>
    <w:rsid w:val="004000A1"/>
    <w:rsid w:val="004047F5"/>
    <w:rsid w:val="00405662"/>
    <w:rsid w:val="0040752E"/>
    <w:rsid w:val="00407FA3"/>
    <w:rsid w:val="0041648B"/>
    <w:rsid w:val="004222FE"/>
    <w:rsid w:val="00424689"/>
    <w:rsid w:val="00435A03"/>
    <w:rsid w:val="00442A12"/>
    <w:rsid w:val="00444CC8"/>
    <w:rsid w:val="00455E69"/>
    <w:rsid w:val="00460C65"/>
    <w:rsid w:val="00461AB9"/>
    <w:rsid w:val="004733C0"/>
    <w:rsid w:val="0047601F"/>
    <w:rsid w:val="00485E9A"/>
    <w:rsid w:val="00493CD6"/>
    <w:rsid w:val="004967DE"/>
    <w:rsid w:val="00496CF4"/>
    <w:rsid w:val="00497F62"/>
    <w:rsid w:val="004A025E"/>
    <w:rsid w:val="004A19EE"/>
    <w:rsid w:val="004A2BDD"/>
    <w:rsid w:val="004B75EA"/>
    <w:rsid w:val="004D15C1"/>
    <w:rsid w:val="004D1C09"/>
    <w:rsid w:val="004D5004"/>
    <w:rsid w:val="004E4107"/>
    <w:rsid w:val="004E6D2A"/>
    <w:rsid w:val="00501EB5"/>
    <w:rsid w:val="00517442"/>
    <w:rsid w:val="00517B36"/>
    <w:rsid w:val="00517BA8"/>
    <w:rsid w:val="00522A7D"/>
    <w:rsid w:val="00524B97"/>
    <w:rsid w:val="00531F51"/>
    <w:rsid w:val="00555714"/>
    <w:rsid w:val="0055586C"/>
    <w:rsid w:val="00560370"/>
    <w:rsid w:val="0056157E"/>
    <w:rsid w:val="0056237D"/>
    <w:rsid w:val="005627A9"/>
    <w:rsid w:val="005653D3"/>
    <w:rsid w:val="00565C39"/>
    <w:rsid w:val="005704CF"/>
    <w:rsid w:val="00573EA4"/>
    <w:rsid w:val="00580F95"/>
    <w:rsid w:val="00581948"/>
    <w:rsid w:val="005A03F1"/>
    <w:rsid w:val="005A39C8"/>
    <w:rsid w:val="005A76A7"/>
    <w:rsid w:val="005B1E56"/>
    <w:rsid w:val="005D1AC2"/>
    <w:rsid w:val="005D23FE"/>
    <w:rsid w:val="005D6165"/>
    <w:rsid w:val="005D6D6F"/>
    <w:rsid w:val="005D7005"/>
    <w:rsid w:val="005E26DD"/>
    <w:rsid w:val="0062787F"/>
    <w:rsid w:val="00630259"/>
    <w:rsid w:val="00646844"/>
    <w:rsid w:val="00673E86"/>
    <w:rsid w:val="0069238D"/>
    <w:rsid w:val="006B0888"/>
    <w:rsid w:val="006C7C87"/>
    <w:rsid w:val="006E201C"/>
    <w:rsid w:val="006F79C9"/>
    <w:rsid w:val="007072F1"/>
    <w:rsid w:val="007206B3"/>
    <w:rsid w:val="007306D4"/>
    <w:rsid w:val="00734341"/>
    <w:rsid w:val="00741C02"/>
    <w:rsid w:val="00742A0C"/>
    <w:rsid w:val="007436AB"/>
    <w:rsid w:val="007509D9"/>
    <w:rsid w:val="007519E9"/>
    <w:rsid w:val="00766457"/>
    <w:rsid w:val="007723A5"/>
    <w:rsid w:val="007747B8"/>
    <w:rsid w:val="00775701"/>
    <w:rsid w:val="00777F39"/>
    <w:rsid w:val="00782451"/>
    <w:rsid w:val="0078534A"/>
    <w:rsid w:val="00786989"/>
    <w:rsid w:val="00795426"/>
    <w:rsid w:val="007A6680"/>
    <w:rsid w:val="007C2820"/>
    <w:rsid w:val="007C51C1"/>
    <w:rsid w:val="007C6273"/>
    <w:rsid w:val="007D0C63"/>
    <w:rsid w:val="007E0BA1"/>
    <w:rsid w:val="007E71C1"/>
    <w:rsid w:val="007F1216"/>
    <w:rsid w:val="007F6779"/>
    <w:rsid w:val="00801CEA"/>
    <w:rsid w:val="00806F4C"/>
    <w:rsid w:val="00807748"/>
    <w:rsid w:val="00811A9F"/>
    <w:rsid w:val="008148A4"/>
    <w:rsid w:val="00816E73"/>
    <w:rsid w:val="0081781B"/>
    <w:rsid w:val="008263E7"/>
    <w:rsid w:val="00826BC7"/>
    <w:rsid w:val="00835732"/>
    <w:rsid w:val="008453EF"/>
    <w:rsid w:val="00870B67"/>
    <w:rsid w:val="0087529B"/>
    <w:rsid w:val="00876F98"/>
    <w:rsid w:val="00884CA9"/>
    <w:rsid w:val="00890C86"/>
    <w:rsid w:val="00893980"/>
    <w:rsid w:val="00896ED4"/>
    <w:rsid w:val="008A242F"/>
    <w:rsid w:val="008A75EC"/>
    <w:rsid w:val="008B1988"/>
    <w:rsid w:val="008B608D"/>
    <w:rsid w:val="008C054F"/>
    <w:rsid w:val="008C1030"/>
    <w:rsid w:val="008C219A"/>
    <w:rsid w:val="008C2684"/>
    <w:rsid w:val="008C3E95"/>
    <w:rsid w:val="008C4988"/>
    <w:rsid w:val="008C61D7"/>
    <w:rsid w:val="008D5353"/>
    <w:rsid w:val="008D6495"/>
    <w:rsid w:val="00905707"/>
    <w:rsid w:val="00907575"/>
    <w:rsid w:val="00927C37"/>
    <w:rsid w:val="009302AC"/>
    <w:rsid w:val="00931AE8"/>
    <w:rsid w:val="00951AE3"/>
    <w:rsid w:val="00952E77"/>
    <w:rsid w:val="00962C44"/>
    <w:rsid w:val="00967637"/>
    <w:rsid w:val="00990F64"/>
    <w:rsid w:val="00992887"/>
    <w:rsid w:val="009A5536"/>
    <w:rsid w:val="009A6325"/>
    <w:rsid w:val="009B4C72"/>
    <w:rsid w:val="009B732F"/>
    <w:rsid w:val="009C1FA2"/>
    <w:rsid w:val="009C7453"/>
    <w:rsid w:val="009D17DF"/>
    <w:rsid w:val="009D53FD"/>
    <w:rsid w:val="009E476B"/>
    <w:rsid w:val="009E6ED5"/>
    <w:rsid w:val="009F2928"/>
    <w:rsid w:val="009F5032"/>
    <w:rsid w:val="009F630F"/>
    <w:rsid w:val="00A00556"/>
    <w:rsid w:val="00A03869"/>
    <w:rsid w:val="00A06A31"/>
    <w:rsid w:val="00A229C7"/>
    <w:rsid w:val="00A22D9D"/>
    <w:rsid w:val="00A2416B"/>
    <w:rsid w:val="00A5460C"/>
    <w:rsid w:val="00A56F54"/>
    <w:rsid w:val="00A61541"/>
    <w:rsid w:val="00A6158B"/>
    <w:rsid w:val="00A63310"/>
    <w:rsid w:val="00A637C4"/>
    <w:rsid w:val="00A661AA"/>
    <w:rsid w:val="00A72D46"/>
    <w:rsid w:val="00A96997"/>
    <w:rsid w:val="00AB1612"/>
    <w:rsid w:val="00AB243A"/>
    <w:rsid w:val="00AC6B31"/>
    <w:rsid w:val="00AC78A9"/>
    <w:rsid w:val="00AD1746"/>
    <w:rsid w:val="00AD1BB4"/>
    <w:rsid w:val="00AD7A36"/>
    <w:rsid w:val="00AE0301"/>
    <w:rsid w:val="00AF2EB5"/>
    <w:rsid w:val="00B0747A"/>
    <w:rsid w:val="00B1639B"/>
    <w:rsid w:val="00B23C48"/>
    <w:rsid w:val="00B3149E"/>
    <w:rsid w:val="00B33CFF"/>
    <w:rsid w:val="00B43AE6"/>
    <w:rsid w:val="00B47512"/>
    <w:rsid w:val="00B607A5"/>
    <w:rsid w:val="00B61477"/>
    <w:rsid w:val="00B77C39"/>
    <w:rsid w:val="00B818F3"/>
    <w:rsid w:val="00B94CF2"/>
    <w:rsid w:val="00B97958"/>
    <w:rsid w:val="00BA070E"/>
    <w:rsid w:val="00BB3ACB"/>
    <w:rsid w:val="00BB5279"/>
    <w:rsid w:val="00BC1F56"/>
    <w:rsid w:val="00BD17F2"/>
    <w:rsid w:val="00BD4974"/>
    <w:rsid w:val="00BD49B5"/>
    <w:rsid w:val="00BE3B5C"/>
    <w:rsid w:val="00BE7C8A"/>
    <w:rsid w:val="00BE7F86"/>
    <w:rsid w:val="00BF4247"/>
    <w:rsid w:val="00BF753E"/>
    <w:rsid w:val="00BF788E"/>
    <w:rsid w:val="00BF7B4C"/>
    <w:rsid w:val="00C105EC"/>
    <w:rsid w:val="00C1272C"/>
    <w:rsid w:val="00C14645"/>
    <w:rsid w:val="00C24F21"/>
    <w:rsid w:val="00C35E1D"/>
    <w:rsid w:val="00C43C9A"/>
    <w:rsid w:val="00C47035"/>
    <w:rsid w:val="00C47D42"/>
    <w:rsid w:val="00C53D90"/>
    <w:rsid w:val="00C55C56"/>
    <w:rsid w:val="00C7008B"/>
    <w:rsid w:val="00C70E91"/>
    <w:rsid w:val="00C8668F"/>
    <w:rsid w:val="00C9128D"/>
    <w:rsid w:val="00CB1BB2"/>
    <w:rsid w:val="00CB715F"/>
    <w:rsid w:val="00CC10FF"/>
    <w:rsid w:val="00CC27D8"/>
    <w:rsid w:val="00CE0503"/>
    <w:rsid w:val="00CE05BE"/>
    <w:rsid w:val="00CE1A19"/>
    <w:rsid w:val="00CE21C9"/>
    <w:rsid w:val="00CE7BBE"/>
    <w:rsid w:val="00CF585A"/>
    <w:rsid w:val="00D0239F"/>
    <w:rsid w:val="00D062F3"/>
    <w:rsid w:val="00D143D2"/>
    <w:rsid w:val="00D326BF"/>
    <w:rsid w:val="00D505EA"/>
    <w:rsid w:val="00D54AB9"/>
    <w:rsid w:val="00D658F6"/>
    <w:rsid w:val="00D75085"/>
    <w:rsid w:val="00D800BA"/>
    <w:rsid w:val="00D800FE"/>
    <w:rsid w:val="00D8622C"/>
    <w:rsid w:val="00D94DAB"/>
    <w:rsid w:val="00DA72D3"/>
    <w:rsid w:val="00DB0D92"/>
    <w:rsid w:val="00DB1D2E"/>
    <w:rsid w:val="00DC0F57"/>
    <w:rsid w:val="00DF679A"/>
    <w:rsid w:val="00E00750"/>
    <w:rsid w:val="00E017AA"/>
    <w:rsid w:val="00E02AEF"/>
    <w:rsid w:val="00E03706"/>
    <w:rsid w:val="00E06EC4"/>
    <w:rsid w:val="00E1008D"/>
    <w:rsid w:val="00E13B26"/>
    <w:rsid w:val="00E2167F"/>
    <w:rsid w:val="00E26C47"/>
    <w:rsid w:val="00E33794"/>
    <w:rsid w:val="00E34199"/>
    <w:rsid w:val="00E434B3"/>
    <w:rsid w:val="00E47933"/>
    <w:rsid w:val="00E52419"/>
    <w:rsid w:val="00E52C71"/>
    <w:rsid w:val="00E65C61"/>
    <w:rsid w:val="00E7200A"/>
    <w:rsid w:val="00E73609"/>
    <w:rsid w:val="00E749BA"/>
    <w:rsid w:val="00E75DD7"/>
    <w:rsid w:val="00E85A7F"/>
    <w:rsid w:val="00E92A46"/>
    <w:rsid w:val="00EA15B8"/>
    <w:rsid w:val="00EA2482"/>
    <w:rsid w:val="00EA58B4"/>
    <w:rsid w:val="00EA7478"/>
    <w:rsid w:val="00EB02B1"/>
    <w:rsid w:val="00EB258C"/>
    <w:rsid w:val="00EC09FE"/>
    <w:rsid w:val="00EC6610"/>
    <w:rsid w:val="00ED790C"/>
    <w:rsid w:val="00ED7FD5"/>
    <w:rsid w:val="00EE4315"/>
    <w:rsid w:val="00F00611"/>
    <w:rsid w:val="00F11773"/>
    <w:rsid w:val="00F2257C"/>
    <w:rsid w:val="00F22E24"/>
    <w:rsid w:val="00F33FBD"/>
    <w:rsid w:val="00F344EA"/>
    <w:rsid w:val="00F5065D"/>
    <w:rsid w:val="00F52593"/>
    <w:rsid w:val="00F600C5"/>
    <w:rsid w:val="00F670AB"/>
    <w:rsid w:val="00F85E49"/>
    <w:rsid w:val="00F95AFA"/>
    <w:rsid w:val="00FA31F3"/>
    <w:rsid w:val="00FA7522"/>
    <w:rsid w:val="00FA7E4F"/>
    <w:rsid w:val="00FB7C0F"/>
    <w:rsid w:val="00FC1B28"/>
    <w:rsid w:val="00FD033E"/>
    <w:rsid w:val="00FD6285"/>
    <w:rsid w:val="00FE6E75"/>
    <w:rsid w:val="00FF532E"/>
    <w:rsid w:val="00FF73C2"/>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A62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CD5"/>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2C0CD5"/>
    <w:pPr>
      <w:keepNext/>
      <w:jc w:val="center"/>
      <w:outlineLvl w:val="0"/>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0CD5"/>
    <w:rPr>
      <w:rFonts w:ascii="Times New Roman" w:eastAsia="Times New Roman" w:hAnsi="Times New Roman" w:cs="Times New Roman"/>
      <w:i/>
      <w:sz w:val="24"/>
      <w:szCs w:val="20"/>
      <w:lang w:eastAsia="en-AU"/>
    </w:rPr>
  </w:style>
  <w:style w:type="paragraph" w:styleId="Title">
    <w:name w:val="Title"/>
    <w:basedOn w:val="Normal"/>
    <w:link w:val="TitleChar"/>
    <w:qFormat/>
    <w:rsid w:val="002C0CD5"/>
    <w:pPr>
      <w:jc w:val="center"/>
    </w:pPr>
    <w:rPr>
      <w:b/>
      <w:sz w:val="24"/>
      <w:u w:val="single"/>
      <w:lang w:val="en-GB" w:eastAsia="en-US"/>
    </w:rPr>
  </w:style>
  <w:style w:type="character" w:customStyle="1" w:styleId="TitleChar">
    <w:name w:val="Title Char"/>
    <w:basedOn w:val="DefaultParagraphFont"/>
    <w:link w:val="Title"/>
    <w:rsid w:val="002C0CD5"/>
    <w:rPr>
      <w:rFonts w:ascii="Times New Roman" w:eastAsia="Times New Roman" w:hAnsi="Times New Roman" w:cs="Times New Roman"/>
      <w:b/>
      <w:sz w:val="24"/>
      <w:szCs w:val="20"/>
      <w:u w:val="single"/>
      <w:lang w:val="en-GB"/>
    </w:rPr>
  </w:style>
  <w:style w:type="paragraph" w:styleId="BodyText3">
    <w:name w:val="Body Text 3"/>
    <w:basedOn w:val="Normal"/>
    <w:link w:val="BodyText3Char"/>
    <w:rsid w:val="002C0CD5"/>
    <w:rPr>
      <w:sz w:val="24"/>
      <w:u w:val="single"/>
      <w:lang w:val="en-GB" w:eastAsia="en-US"/>
    </w:rPr>
  </w:style>
  <w:style w:type="character" w:customStyle="1" w:styleId="BodyText3Char">
    <w:name w:val="Body Text 3 Char"/>
    <w:basedOn w:val="DefaultParagraphFont"/>
    <w:link w:val="BodyText3"/>
    <w:rsid w:val="002C0CD5"/>
    <w:rPr>
      <w:rFonts w:ascii="Times New Roman" w:eastAsia="Times New Roman" w:hAnsi="Times New Roman" w:cs="Times New Roman"/>
      <w:sz w:val="24"/>
      <w:szCs w:val="20"/>
      <w:u w:val="single"/>
      <w:lang w:val="en-GB"/>
    </w:rPr>
  </w:style>
  <w:style w:type="paragraph" w:styleId="BodyText">
    <w:name w:val="Body Text"/>
    <w:basedOn w:val="Normal"/>
    <w:link w:val="BodyTextChar"/>
    <w:rsid w:val="002C0CD5"/>
    <w:pPr>
      <w:jc w:val="center"/>
    </w:pPr>
    <w:rPr>
      <w:sz w:val="24"/>
    </w:rPr>
  </w:style>
  <w:style w:type="character" w:customStyle="1" w:styleId="BodyTextChar">
    <w:name w:val="Body Text Char"/>
    <w:basedOn w:val="DefaultParagraphFont"/>
    <w:link w:val="BodyText"/>
    <w:rsid w:val="002C0CD5"/>
    <w:rPr>
      <w:rFonts w:ascii="Times New Roman" w:eastAsia="Times New Roman" w:hAnsi="Times New Roman" w:cs="Times New Roman"/>
      <w:sz w:val="24"/>
      <w:szCs w:val="20"/>
      <w:lang w:eastAsia="en-AU"/>
    </w:rPr>
  </w:style>
  <w:style w:type="paragraph" w:styleId="Header">
    <w:name w:val="header"/>
    <w:basedOn w:val="Normal"/>
    <w:link w:val="HeaderChar"/>
    <w:rsid w:val="002C0CD5"/>
    <w:pPr>
      <w:tabs>
        <w:tab w:val="center" w:pos="4320"/>
        <w:tab w:val="right" w:pos="8640"/>
      </w:tabs>
    </w:pPr>
    <w:rPr>
      <w:sz w:val="24"/>
    </w:rPr>
  </w:style>
  <w:style w:type="character" w:customStyle="1" w:styleId="HeaderChar">
    <w:name w:val="Header Char"/>
    <w:basedOn w:val="DefaultParagraphFont"/>
    <w:link w:val="Header"/>
    <w:rsid w:val="002C0CD5"/>
    <w:rPr>
      <w:rFonts w:ascii="Times New Roman" w:eastAsia="Times New Roman" w:hAnsi="Times New Roman" w:cs="Times New Roman"/>
      <w:sz w:val="24"/>
      <w:szCs w:val="20"/>
      <w:lang w:eastAsia="en-AU"/>
    </w:rPr>
  </w:style>
  <w:style w:type="character" w:styleId="PageNumber">
    <w:name w:val="page number"/>
    <w:basedOn w:val="DefaultParagraphFont"/>
    <w:rsid w:val="002C0CD5"/>
  </w:style>
  <w:style w:type="character" w:styleId="CommentReference">
    <w:name w:val="annotation reference"/>
    <w:basedOn w:val="DefaultParagraphFont"/>
    <w:semiHidden/>
    <w:rsid w:val="002C0CD5"/>
    <w:rPr>
      <w:sz w:val="16"/>
      <w:szCs w:val="16"/>
    </w:rPr>
  </w:style>
  <w:style w:type="paragraph" w:styleId="CommentText">
    <w:name w:val="annotation text"/>
    <w:basedOn w:val="Normal"/>
    <w:link w:val="CommentTextChar"/>
    <w:semiHidden/>
    <w:rsid w:val="002C0CD5"/>
  </w:style>
  <w:style w:type="character" w:customStyle="1" w:styleId="CommentTextChar">
    <w:name w:val="Comment Text Char"/>
    <w:basedOn w:val="DefaultParagraphFont"/>
    <w:link w:val="CommentText"/>
    <w:semiHidden/>
    <w:rsid w:val="002C0CD5"/>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2C0CD5"/>
    <w:rPr>
      <w:rFonts w:ascii="Tahoma" w:hAnsi="Tahoma" w:cs="Tahoma"/>
      <w:sz w:val="16"/>
      <w:szCs w:val="16"/>
    </w:rPr>
  </w:style>
  <w:style w:type="character" w:customStyle="1" w:styleId="BalloonTextChar">
    <w:name w:val="Balloon Text Char"/>
    <w:basedOn w:val="DefaultParagraphFont"/>
    <w:link w:val="BalloonText"/>
    <w:uiPriority w:val="99"/>
    <w:semiHidden/>
    <w:rsid w:val="002C0CD5"/>
    <w:rPr>
      <w:rFonts w:ascii="Tahoma" w:eastAsia="Times New Roman" w:hAnsi="Tahoma" w:cs="Tahoma"/>
      <w:sz w:val="16"/>
      <w:szCs w:val="16"/>
      <w:lang w:eastAsia="en-AU"/>
    </w:rPr>
  </w:style>
  <w:style w:type="paragraph" w:styleId="Footer">
    <w:name w:val="footer"/>
    <w:basedOn w:val="Normal"/>
    <w:link w:val="FooterChar"/>
    <w:uiPriority w:val="99"/>
    <w:unhideWhenUsed/>
    <w:rsid w:val="00203EBE"/>
    <w:pPr>
      <w:tabs>
        <w:tab w:val="center" w:pos="4513"/>
        <w:tab w:val="right" w:pos="9026"/>
      </w:tabs>
    </w:pPr>
  </w:style>
  <w:style w:type="character" w:customStyle="1" w:styleId="FooterChar">
    <w:name w:val="Footer Char"/>
    <w:basedOn w:val="DefaultParagraphFont"/>
    <w:link w:val="Footer"/>
    <w:uiPriority w:val="99"/>
    <w:rsid w:val="00203EB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51AE3"/>
    <w:rPr>
      <w:b/>
      <w:bCs/>
    </w:rPr>
  </w:style>
  <w:style w:type="character" w:customStyle="1" w:styleId="CommentSubjectChar">
    <w:name w:val="Comment Subject Char"/>
    <w:basedOn w:val="CommentTextChar"/>
    <w:link w:val="CommentSubject"/>
    <w:uiPriority w:val="99"/>
    <w:semiHidden/>
    <w:rsid w:val="00951AE3"/>
    <w:rPr>
      <w:rFonts w:ascii="Times New Roman" w:eastAsia="Times New Roman" w:hAnsi="Times New Roman" w:cs="Times New Roman"/>
      <w:b/>
      <w:bCs/>
      <w:sz w:val="20"/>
      <w:szCs w:val="20"/>
      <w:lang w:eastAsia="en-AU"/>
    </w:rPr>
  </w:style>
  <w:style w:type="paragraph" w:styleId="BodyText2">
    <w:name w:val="Body Text 2"/>
    <w:basedOn w:val="Normal"/>
    <w:link w:val="BodyText2Char"/>
    <w:uiPriority w:val="99"/>
    <w:unhideWhenUsed/>
    <w:rsid w:val="002131AC"/>
    <w:pPr>
      <w:spacing w:after="120" w:line="480" w:lineRule="auto"/>
    </w:pPr>
  </w:style>
  <w:style w:type="character" w:customStyle="1" w:styleId="BodyText2Char">
    <w:name w:val="Body Text 2 Char"/>
    <w:basedOn w:val="DefaultParagraphFont"/>
    <w:link w:val="BodyText2"/>
    <w:uiPriority w:val="99"/>
    <w:rsid w:val="002131AC"/>
    <w:rPr>
      <w:rFonts w:ascii="Times New Roman" w:eastAsia="Times New Roman" w:hAnsi="Times New Roman" w:cs="Times New Roman"/>
      <w:sz w:val="20"/>
      <w:szCs w:val="20"/>
      <w:lang w:eastAsia="en-AU"/>
    </w:rPr>
  </w:style>
  <w:style w:type="paragraph" w:styleId="ListParagraph">
    <w:name w:val="List Paragraph"/>
    <w:basedOn w:val="Normal"/>
    <w:link w:val="ListParagraphChar"/>
    <w:uiPriority w:val="34"/>
    <w:qFormat/>
    <w:rsid w:val="005D7005"/>
    <w:pPr>
      <w:spacing w:before="240"/>
      <w:ind w:left="720"/>
      <w:contextualSpacing/>
    </w:pPr>
    <w:rPr>
      <w:sz w:val="24"/>
      <w:lang w:val="en-GB"/>
    </w:rPr>
  </w:style>
  <w:style w:type="character" w:customStyle="1" w:styleId="ListParagraphChar">
    <w:name w:val="List Paragraph Char"/>
    <w:link w:val="ListParagraph"/>
    <w:uiPriority w:val="34"/>
    <w:rsid w:val="005D7005"/>
    <w:rPr>
      <w:rFonts w:ascii="Times New Roman" w:eastAsia="Times New Roman" w:hAnsi="Times New Roman" w:cs="Times New Roman"/>
      <w:sz w:val="24"/>
      <w:szCs w:val="20"/>
      <w:lang w:val="en-GB" w:eastAsia="en-AU"/>
    </w:rPr>
  </w:style>
  <w:style w:type="paragraph" w:customStyle="1" w:styleId="MinSubbodytext">
    <w:name w:val="Min Sub body text"/>
    <w:uiPriority w:val="3"/>
    <w:rsid w:val="005D7005"/>
    <w:pPr>
      <w:tabs>
        <w:tab w:val="right" w:pos="9923"/>
      </w:tabs>
      <w:spacing w:after="0" w:line="240" w:lineRule="auto"/>
      <w:ind w:left="-142"/>
    </w:pPr>
    <w:rPr>
      <w:rFonts w:ascii="Times New Roman" w:eastAsia="Calibri" w:hAnsi="Times New Roman" w:cs="Times New Roman"/>
      <w:sz w:val="24"/>
      <w:szCs w:val="24"/>
      <w:lang w:eastAsia="en-AU"/>
    </w:rPr>
  </w:style>
  <w:style w:type="character" w:customStyle="1" w:styleId="Text-Normal">
    <w:name w:val="Text - Normal"/>
    <w:uiPriority w:val="1"/>
    <w:unhideWhenUsed/>
    <w:qFormat/>
    <w:locked/>
    <w:rsid w:val="003F072C"/>
    <w:rPr>
      <w:color w:val="000000"/>
      <w:sz w:val="24"/>
      <w:szCs w:val="24"/>
    </w:rPr>
  </w:style>
  <w:style w:type="paragraph" w:styleId="Revision">
    <w:name w:val="Revision"/>
    <w:hidden/>
    <w:uiPriority w:val="99"/>
    <w:semiHidden/>
    <w:rsid w:val="00173B75"/>
    <w:pPr>
      <w:spacing w:after="0" w:line="240" w:lineRule="auto"/>
    </w:pPr>
    <w:rPr>
      <w:rFonts w:ascii="Times New Roman" w:eastAsia="Times New Roman" w:hAnsi="Times New Roman" w:cs="Times New Roman"/>
      <w:sz w:val="20"/>
      <w:szCs w:val="20"/>
      <w:lang w:eastAsia="en-AU"/>
    </w:rPr>
  </w:style>
  <w:style w:type="paragraph" w:customStyle="1" w:styleId="minsubbodytext0">
    <w:name w:val="minsubbodytext"/>
    <w:basedOn w:val="Normal"/>
    <w:rsid w:val="0041648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15927">
      <w:bodyDiv w:val="1"/>
      <w:marLeft w:val="0"/>
      <w:marRight w:val="0"/>
      <w:marTop w:val="0"/>
      <w:marBottom w:val="0"/>
      <w:divBdr>
        <w:top w:val="none" w:sz="0" w:space="0" w:color="auto"/>
        <w:left w:val="none" w:sz="0" w:space="0" w:color="auto"/>
        <w:bottom w:val="none" w:sz="0" w:space="0" w:color="auto"/>
        <w:right w:val="none" w:sz="0" w:space="0" w:color="auto"/>
      </w:divBdr>
    </w:div>
    <w:div w:id="981084461">
      <w:bodyDiv w:val="1"/>
      <w:marLeft w:val="0"/>
      <w:marRight w:val="0"/>
      <w:marTop w:val="0"/>
      <w:marBottom w:val="0"/>
      <w:divBdr>
        <w:top w:val="none" w:sz="0" w:space="0" w:color="auto"/>
        <w:left w:val="none" w:sz="0" w:space="0" w:color="auto"/>
        <w:bottom w:val="none" w:sz="0" w:space="0" w:color="auto"/>
        <w:right w:val="none" w:sz="0" w:space="0" w:color="auto"/>
      </w:divBdr>
    </w:div>
    <w:div w:id="154097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E155AE9E01E04F8A5064D457919DB5" ma:contentTypeVersion="0" ma:contentTypeDescription="Create a new document." ma:contentTypeScope="" ma:versionID="faed275332be113a7809a6e94cd9100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B65837-7E5C-4108-9A52-106661F040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AE57FA-D0F7-4FB0-887B-1548056DEAB4}">
  <ds:schemaRefs>
    <ds:schemaRef ds:uri="http://schemas.microsoft.com/sharepoint/v3/contenttype/forms"/>
  </ds:schemaRefs>
</ds:datastoreItem>
</file>

<file path=customXml/itemProps3.xml><?xml version="1.0" encoding="utf-8"?>
<ds:datastoreItem xmlns:ds="http://schemas.openxmlformats.org/officeDocument/2006/customXml" ds:itemID="{3633BAAA-606A-4BAA-A808-39D9FBF67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B50F1DF-C6E0-49A4-B807-E0B245FAE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1868</Words>
  <Characters>10651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Draft Explanatory Statement - IMR Standard Direction - January 2016.docx</vt:lpstr>
    </vt:vector>
  </TitlesOfParts>
  <Company/>
  <LinksUpToDate>false</LinksUpToDate>
  <CharactersWithSpaces>12495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Explanatory Statement - IMR Standard Direction - January 2016.docx</dc:title>
  <dc:creator/>
  <cp:lastModifiedBy/>
  <cp:revision>1</cp:revision>
  <dcterms:created xsi:type="dcterms:W3CDTF">2016-04-05T04:19:00Z</dcterms:created>
  <dcterms:modified xsi:type="dcterms:W3CDTF">2016-05-02T05:14:00Z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0x010100EDE155AE9E01E04F8A5064D457919DB5</vt:lpwstr>
  </property>
  <property fmtid="{D5CDD505-2E9C-101B-9397-08002B2CF9AE}" pid="3" name="TrimRevisionNumber">
    <vt:i4>3</vt:i4>
  </property>
</Properties>
</file>