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D633D" w14:textId="77777777" w:rsidR="00C82589" w:rsidRPr="008B6C52" w:rsidRDefault="00C003C3" w:rsidP="00C82589">
      <w:r>
        <w:rPr>
          <w:noProof/>
          <w:lang w:eastAsia="ko-KR"/>
        </w:rPr>
        <w:drawing>
          <wp:inline distT="0" distB="0" distL="0" distR="0" wp14:anchorId="20832DF8" wp14:editId="63873CC9">
            <wp:extent cx="1423670" cy="1104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599" w14:textId="04A16572" w:rsidR="00C82589" w:rsidRDefault="00DC0D5D" w:rsidP="00C82589">
      <w:pPr>
        <w:pStyle w:val="Title"/>
        <w:pBdr>
          <w:bottom w:val="single" w:sz="4" w:space="3" w:color="auto"/>
        </w:pBdr>
      </w:pPr>
      <w:bookmarkStart w:id="0" w:name="Citation"/>
      <w:r>
        <w:t>Telecommunications (International Mobile Roaming) Industry Standard</w:t>
      </w:r>
      <w:r w:rsidR="00C23981">
        <w:t xml:space="preserve"> </w:t>
      </w:r>
      <w:r w:rsidR="00DF51A2">
        <w:t xml:space="preserve">Variation </w:t>
      </w:r>
      <w:r w:rsidR="00C82589">
        <w:t>201</w:t>
      </w:r>
      <w:bookmarkEnd w:id="0"/>
      <w:r w:rsidR="00C23981">
        <w:t>6</w:t>
      </w:r>
      <w:r w:rsidR="00DF51A2">
        <w:t xml:space="preserve"> (No. 1)</w:t>
      </w:r>
    </w:p>
    <w:p w14:paraId="03BED1A4" w14:textId="77777777" w:rsidR="00C82589" w:rsidRDefault="00C23981" w:rsidP="00C82589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Telecommunications Act 1997</w:t>
      </w:r>
    </w:p>
    <w:p w14:paraId="4A7D3900" w14:textId="59C81F49" w:rsidR="00C82589" w:rsidRPr="009E13E8" w:rsidRDefault="00C82589" w:rsidP="00C82589">
      <w:pPr>
        <w:spacing w:before="360"/>
        <w:jc w:val="both"/>
        <w:rPr>
          <w:rFonts w:cs="Arial"/>
        </w:rPr>
      </w:pPr>
      <w:r w:rsidRPr="009E13E8">
        <w:rPr>
          <w:rFonts w:cs="Arial"/>
        </w:rPr>
        <w:t xml:space="preserve">The AUSTRALIAN COMMUNICATIONS AND MEDIA AUTHORITY </w:t>
      </w:r>
      <w:r w:rsidR="00DD6387">
        <w:rPr>
          <w:rFonts w:cs="Arial"/>
        </w:rPr>
        <w:t>mak</w:t>
      </w:r>
      <w:r w:rsidR="00DC0D5D">
        <w:rPr>
          <w:rFonts w:cs="Arial"/>
        </w:rPr>
        <w:t>es</w:t>
      </w:r>
      <w:r w:rsidRPr="009E13E8">
        <w:rPr>
          <w:rFonts w:cs="Arial"/>
        </w:rPr>
        <w:t xml:space="preserve"> this </w:t>
      </w:r>
      <w:r w:rsidR="00DD6387">
        <w:rPr>
          <w:rFonts w:cs="Arial"/>
        </w:rPr>
        <w:t>instrument</w:t>
      </w:r>
      <w:r w:rsidRPr="009E13E8">
        <w:rPr>
          <w:rFonts w:cs="Arial"/>
        </w:rPr>
        <w:t xml:space="preserve"> </w:t>
      </w:r>
      <w:r>
        <w:rPr>
          <w:rFonts w:cs="Arial"/>
        </w:rPr>
        <w:t>under</w:t>
      </w:r>
      <w:r w:rsidRPr="009E13E8">
        <w:rPr>
          <w:rFonts w:cs="Arial"/>
        </w:rPr>
        <w:t xml:space="preserve"> subsection </w:t>
      </w:r>
      <w:proofErr w:type="gramStart"/>
      <w:r w:rsidR="00DC0D5D">
        <w:rPr>
          <w:rFonts w:cs="Arial"/>
        </w:rPr>
        <w:t>125AA</w:t>
      </w:r>
      <w:r w:rsidR="00C23981">
        <w:rPr>
          <w:rFonts w:cs="Arial"/>
        </w:rPr>
        <w:t>(</w:t>
      </w:r>
      <w:proofErr w:type="gramEnd"/>
      <w:r w:rsidR="00C23981">
        <w:rPr>
          <w:rFonts w:cs="Arial"/>
        </w:rPr>
        <w:t>1)</w:t>
      </w:r>
      <w:r w:rsidRPr="009E13E8">
        <w:rPr>
          <w:rFonts w:cs="Arial"/>
        </w:rPr>
        <w:t xml:space="preserve"> of the </w:t>
      </w:r>
      <w:r w:rsidR="00C23981">
        <w:rPr>
          <w:rFonts w:cs="Arial"/>
          <w:i/>
        </w:rPr>
        <w:t>Telecommunications Act 1997</w:t>
      </w:r>
      <w:r w:rsidRPr="009E13E8">
        <w:rPr>
          <w:rFonts w:cs="Arial"/>
        </w:rPr>
        <w:t>.</w:t>
      </w:r>
    </w:p>
    <w:p w14:paraId="41008639" w14:textId="05715508" w:rsidR="00C82589" w:rsidRPr="009E13E8" w:rsidRDefault="00C82589" w:rsidP="00C82589">
      <w:pPr>
        <w:tabs>
          <w:tab w:val="left" w:pos="3119"/>
        </w:tabs>
        <w:spacing w:before="300" w:after="600" w:line="300" w:lineRule="atLeast"/>
        <w:rPr>
          <w:rFonts w:cs="Arial"/>
        </w:rPr>
      </w:pPr>
      <w:r w:rsidRPr="009E13E8">
        <w:rPr>
          <w:rFonts w:cs="Arial"/>
        </w:rPr>
        <w:t xml:space="preserve">Dated </w:t>
      </w:r>
      <w:bookmarkStart w:id="1" w:name="Year"/>
      <w:r w:rsidR="00D455DF">
        <w:rPr>
          <w:rFonts w:cs="Arial"/>
        </w:rPr>
        <w:t xml:space="preserve">                        </w:t>
      </w:r>
      <w:r w:rsidR="00965D23">
        <w:rPr>
          <w:rFonts w:cs="Arial"/>
        </w:rPr>
        <w:t>2 May</w:t>
      </w:r>
      <w:r w:rsidR="00D455DF">
        <w:rPr>
          <w:rFonts w:cs="Arial"/>
        </w:rPr>
        <w:t xml:space="preserve"> </w:t>
      </w:r>
      <w:r w:rsidRPr="009E13E8">
        <w:rPr>
          <w:rFonts w:cs="Arial"/>
        </w:rPr>
        <w:t>201</w:t>
      </w:r>
      <w:bookmarkEnd w:id="1"/>
      <w:r w:rsidR="00DC0D5D">
        <w:rPr>
          <w:rFonts w:cs="Arial"/>
        </w:rPr>
        <w:t>6</w:t>
      </w:r>
    </w:p>
    <w:p w14:paraId="3D43FD9B" w14:textId="74650097" w:rsidR="00347D10" w:rsidRDefault="00347D10" w:rsidP="00347D10">
      <w:pPr>
        <w:pStyle w:val="ACMABodyTex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Richard Bean</w:t>
      </w:r>
    </w:p>
    <w:p w14:paraId="15C0BE39" w14:textId="1E4E4F46" w:rsidR="00347D10" w:rsidRDefault="00347D10" w:rsidP="00347D10">
      <w:pPr>
        <w:pStyle w:val="ACMABodyTex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proofErr w:type="gramStart"/>
      <w:r>
        <w:rPr>
          <w:rFonts w:ascii="Arial" w:hAnsi="Arial" w:cs="Arial"/>
          <w:sz w:val="22"/>
        </w:rPr>
        <w:t>signed</w:t>
      </w:r>
      <w:proofErr w:type="gramEnd"/>
      <w:r>
        <w:rPr>
          <w:rFonts w:ascii="Arial" w:hAnsi="Arial" w:cs="Arial"/>
          <w:sz w:val="22"/>
        </w:rPr>
        <w:t>]</w:t>
      </w:r>
    </w:p>
    <w:p w14:paraId="4C2A0EA6" w14:textId="77777777" w:rsidR="00C82589" w:rsidRPr="009E13E8" w:rsidRDefault="00C82589" w:rsidP="00C82589">
      <w:pPr>
        <w:pStyle w:val="ACMABodyTex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</w:t>
      </w:r>
    </w:p>
    <w:p w14:paraId="0480DD43" w14:textId="77777777" w:rsidR="00C82589" w:rsidRPr="009E13E8" w:rsidRDefault="00C82589" w:rsidP="00C82589">
      <w:pPr>
        <w:pStyle w:val="ACMABodyText"/>
        <w:jc w:val="right"/>
        <w:rPr>
          <w:rFonts w:ascii="Arial" w:hAnsi="Arial" w:cs="Arial"/>
          <w:sz w:val="22"/>
        </w:rPr>
      </w:pPr>
    </w:p>
    <w:p w14:paraId="5EB4F67B" w14:textId="43560638" w:rsidR="00C82589" w:rsidRDefault="003F35D3" w:rsidP="00C82589">
      <w:pPr>
        <w:pStyle w:val="ACMABodyText"/>
        <w:jc w:val="right"/>
        <w:rPr>
          <w:rFonts w:ascii="Arial" w:hAnsi="Arial" w:cs="Arial"/>
          <w:sz w:val="22"/>
        </w:rPr>
      </w:pPr>
      <w:bookmarkStart w:id="2" w:name="_GoBack"/>
      <w:bookmarkEnd w:id="2"/>
      <w:r>
        <w:rPr>
          <w:rFonts w:ascii="Arial" w:hAnsi="Arial" w:cs="Arial"/>
          <w:sz w:val="22"/>
        </w:rPr>
        <w:t>James Cameron</w:t>
      </w:r>
    </w:p>
    <w:p w14:paraId="2C0E8020" w14:textId="09E74A60" w:rsidR="003F35D3" w:rsidRPr="009E13E8" w:rsidRDefault="003F35D3" w:rsidP="00C82589">
      <w:pPr>
        <w:pStyle w:val="ACMABodyTex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proofErr w:type="gramStart"/>
      <w:r>
        <w:rPr>
          <w:rFonts w:ascii="Arial" w:hAnsi="Arial" w:cs="Arial"/>
          <w:sz w:val="22"/>
        </w:rPr>
        <w:t>signed</w:t>
      </w:r>
      <w:proofErr w:type="gramEnd"/>
      <w:r>
        <w:rPr>
          <w:rFonts w:ascii="Arial" w:hAnsi="Arial" w:cs="Arial"/>
          <w:sz w:val="22"/>
        </w:rPr>
        <w:t>]</w:t>
      </w:r>
    </w:p>
    <w:p w14:paraId="5F60ADCA" w14:textId="77777777" w:rsidR="00C82589" w:rsidRDefault="00C82589" w:rsidP="00C8258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  <w:r w:rsidRPr="009E13E8">
        <w:rPr>
          <w:rFonts w:ascii="Arial" w:hAnsi="Arial" w:cs="Arial"/>
          <w:sz w:val="22"/>
        </w:rPr>
        <w:t>Member/</w:t>
      </w:r>
      <w:r w:rsidRPr="00347D10">
        <w:rPr>
          <w:rFonts w:ascii="Arial" w:hAnsi="Arial" w:cs="Arial"/>
          <w:strike/>
          <w:sz w:val="22"/>
        </w:rPr>
        <w:t>General Manager</w:t>
      </w:r>
    </w:p>
    <w:p w14:paraId="6442C8B8" w14:textId="77777777" w:rsidR="00DD6387" w:rsidRDefault="00DD6387" w:rsidP="00C8258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p w14:paraId="711B37BF" w14:textId="2CB9270B" w:rsidR="00DD6387" w:rsidRPr="009E13E8" w:rsidRDefault="00DD6387" w:rsidP="00A15133">
      <w:pPr>
        <w:pStyle w:val="ACMABodyText"/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Communications and Media Authority</w:t>
      </w:r>
    </w:p>
    <w:p w14:paraId="1AF807CF" w14:textId="2CB9270B" w:rsidR="00C82589" w:rsidRDefault="00C82589" w:rsidP="00FA7B07">
      <w:pPr>
        <w:tabs>
          <w:tab w:val="left" w:pos="3119"/>
        </w:tabs>
        <w:spacing w:after="240" w:line="300" w:lineRule="atLeast"/>
        <w:rPr>
          <w:b/>
        </w:rPr>
      </w:pPr>
      <w:r>
        <w:rPr>
          <w:b/>
        </w:rPr>
        <w:t xml:space="preserve"> </w:t>
      </w:r>
    </w:p>
    <w:p w14:paraId="3850597B" w14:textId="77777777" w:rsidR="00C82589" w:rsidRDefault="00C82589" w:rsidP="00FA7B07">
      <w:pPr>
        <w:tabs>
          <w:tab w:val="left" w:pos="3119"/>
        </w:tabs>
        <w:spacing w:after="240" w:line="300" w:lineRule="atLeast"/>
        <w:rPr>
          <w:b/>
        </w:rPr>
      </w:pPr>
    </w:p>
    <w:p w14:paraId="7D858FE2" w14:textId="77777777" w:rsidR="00C82589" w:rsidRDefault="00C82589" w:rsidP="00FA7B07">
      <w:pPr>
        <w:tabs>
          <w:tab w:val="left" w:pos="3119"/>
        </w:tabs>
        <w:spacing w:after="240" w:line="300" w:lineRule="atLeast"/>
        <w:rPr>
          <w:b/>
        </w:rPr>
      </w:pPr>
    </w:p>
    <w:p w14:paraId="501DA129" w14:textId="77777777" w:rsidR="00C23981" w:rsidRDefault="00C23981">
      <w:pPr>
        <w:rPr>
          <w:b/>
        </w:rPr>
      </w:pPr>
      <w:r>
        <w:rPr>
          <w:b/>
        </w:rPr>
        <w:br w:type="page"/>
      </w:r>
    </w:p>
    <w:p w14:paraId="1BBC8E18" w14:textId="77777777" w:rsidR="00C82589" w:rsidRDefault="00C82589" w:rsidP="00FA7B07">
      <w:pPr>
        <w:tabs>
          <w:tab w:val="left" w:pos="3119"/>
        </w:tabs>
        <w:spacing w:after="240" w:line="300" w:lineRule="atLeast"/>
        <w:rPr>
          <w:b/>
        </w:rPr>
      </w:pPr>
    </w:p>
    <w:p w14:paraId="2BA3ED49" w14:textId="77777777" w:rsidR="00C82589" w:rsidRPr="0096327A" w:rsidRDefault="00C82589" w:rsidP="00C82589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4AD2D6B2" w14:textId="77777777" w:rsidR="00C82589" w:rsidRPr="00FE262A" w:rsidRDefault="00C82589" w:rsidP="00C82589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158347F4" w14:textId="77777777" w:rsidR="00C82589" w:rsidRDefault="00BC4800" w:rsidP="00C82589">
      <w:pPr>
        <w:pStyle w:val="HR"/>
      </w:pPr>
      <w:r>
        <w:t>1</w:t>
      </w:r>
      <w:r>
        <w:tab/>
      </w:r>
      <w:r w:rsidR="00C82589">
        <w:t>Name of Instrument</w:t>
      </w:r>
    </w:p>
    <w:p w14:paraId="686C1496" w14:textId="0A2CEECE" w:rsidR="00C82589" w:rsidRDefault="00C82589" w:rsidP="00C82589">
      <w:pPr>
        <w:pStyle w:val="R1"/>
        <w:jc w:val="left"/>
      </w:pPr>
      <w:r>
        <w:tab/>
      </w:r>
      <w:r>
        <w:tab/>
        <w:t xml:space="preserve">This Instrument is the </w:t>
      </w:r>
      <w:r w:rsidR="00C23981" w:rsidRPr="00C23981">
        <w:rPr>
          <w:i/>
        </w:rPr>
        <w:t xml:space="preserve">Telecommunications </w:t>
      </w:r>
      <w:r w:rsidR="00DC0D5D">
        <w:rPr>
          <w:i/>
        </w:rPr>
        <w:t xml:space="preserve">(International Mobile Roaming) </w:t>
      </w:r>
      <w:r w:rsidR="005B4B34">
        <w:rPr>
          <w:i/>
        </w:rPr>
        <w:t xml:space="preserve">Industry </w:t>
      </w:r>
      <w:r w:rsidR="00DC0D5D">
        <w:rPr>
          <w:i/>
        </w:rPr>
        <w:t>Standard</w:t>
      </w:r>
      <w:r w:rsidR="00C23981" w:rsidRPr="00C23981">
        <w:rPr>
          <w:i/>
        </w:rPr>
        <w:t xml:space="preserve"> Variation 201</w:t>
      </w:r>
      <w:r w:rsidR="00C23981">
        <w:rPr>
          <w:i/>
        </w:rPr>
        <w:t>6</w:t>
      </w:r>
      <w:r w:rsidR="00DF51A2">
        <w:rPr>
          <w:i/>
        </w:rPr>
        <w:t xml:space="preserve"> (No. 1)</w:t>
      </w:r>
      <w:r w:rsidRPr="005A5EEC">
        <w:rPr>
          <w:i/>
        </w:rPr>
        <w:t>.</w:t>
      </w:r>
    </w:p>
    <w:p w14:paraId="155E9A22" w14:textId="77777777" w:rsidR="00C82589" w:rsidRDefault="00C82589" w:rsidP="00C82589">
      <w:pPr>
        <w:pStyle w:val="HR"/>
      </w:pPr>
      <w:r>
        <w:t>2</w:t>
      </w:r>
      <w:r>
        <w:tab/>
        <w:t>Commencement</w:t>
      </w:r>
    </w:p>
    <w:p w14:paraId="694BC372" w14:textId="7AFCB301" w:rsidR="00C82589" w:rsidRDefault="00C82589" w:rsidP="00C82589">
      <w:pPr>
        <w:spacing w:before="240" w:after="240"/>
        <w:ind w:left="992"/>
        <w:rPr>
          <w:rFonts w:ascii="Times New Roman" w:hAnsi="Times New Roman"/>
          <w:sz w:val="24"/>
        </w:rPr>
      </w:pPr>
      <w:r w:rsidRPr="004D6B7B">
        <w:rPr>
          <w:rFonts w:ascii="Times New Roman" w:hAnsi="Times New Roman"/>
          <w:sz w:val="24"/>
        </w:rPr>
        <w:t xml:space="preserve">This Instrument commences on </w:t>
      </w:r>
      <w:r w:rsidR="00DC0D5D">
        <w:rPr>
          <w:rFonts w:ascii="Times New Roman" w:hAnsi="Times New Roman"/>
          <w:sz w:val="24"/>
        </w:rPr>
        <w:t>the day after it is registered</w:t>
      </w:r>
      <w:r>
        <w:rPr>
          <w:rFonts w:ascii="Times New Roman" w:hAnsi="Times New Roman"/>
          <w:sz w:val="24"/>
        </w:rPr>
        <w:t>.</w:t>
      </w:r>
    </w:p>
    <w:p w14:paraId="1A95D5FE" w14:textId="0E1FE9B4" w:rsidR="00DF51A2" w:rsidRPr="00DF51A2" w:rsidRDefault="00DF51A2" w:rsidP="00C82589">
      <w:pPr>
        <w:spacing w:before="240" w:after="240"/>
        <w:ind w:left="992"/>
        <w:rPr>
          <w:rFonts w:ascii="Times New Roman" w:hAnsi="Times New Roman"/>
          <w:sz w:val="16"/>
          <w:szCs w:val="16"/>
        </w:rPr>
      </w:pPr>
      <w:r w:rsidRPr="00DF51A2">
        <w:rPr>
          <w:rFonts w:ascii="Times New Roman" w:hAnsi="Times New Roman"/>
          <w:i/>
          <w:iCs/>
          <w:color w:val="000000"/>
          <w:sz w:val="16"/>
          <w:szCs w:val="16"/>
          <w:shd w:val="clear" w:color="auto" w:fill="FFFFFF"/>
        </w:rPr>
        <w:t>Note:</w:t>
      </w:r>
      <w:r w:rsidRPr="00DF51A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 All legislative instruments are registered on the Federal Register of Legislati</w:t>
      </w:r>
      <w:r w:rsidR="00210CC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on</w:t>
      </w:r>
      <w:r w:rsidRPr="00DF51A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kept under the </w:t>
      </w:r>
      <w:r w:rsidRPr="00DF51A2">
        <w:rPr>
          <w:rFonts w:ascii="Times New Roman" w:hAnsi="Times New Roman"/>
          <w:i/>
          <w:iCs/>
          <w:color w:val="000000"/>
          <w:sz w:val="16"/>
          <w:szCs w:val="16"/>
          <w:shd w:val="clear" w:color="auto" w:fill="FFFFFF"/>
        </w:rPr>
        <w:t>Legislati</w:t>
      </w:r>
      <w:r w:rsidR="00DD6387">
        <w:rPr>
          <w:rFonts w:ascii="Times New Roman" w:hAnsi="Times New Roman"/>
          <w:i/>
          <w:iCs/>
          <w:color w:val="000000"/>
          <w:sz w:val="16"/>
          <w:szCs w:val="16"/>
          <w:shd w:val="clear" w:color="auto" w:fill="FFFFFF"/>
        </w:rPr>
        <w:t xml:space="preserve">on </w:t>
      </w:r>
      <w:r w:rsidRPr="00DF51A2">
        <w:rPr>
          <w:rFonts w:ascii="Times New Roman" w:hAnsi="Times New Roman"/>
          <w:i/>
          <w:iCs/>
          <w:color w:val="000000"/>
          <w:sz w:val="16"/>
          <w:szCs w:val="16"/>
          <w:shd w:val="clear" w:color="auto" w:fill="FFFFFF"/>
        </w:rPr>
        <w:t>Act 2003</w:t>
      </w:r>
      <w:r w:rsidRPr="00DF51A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 See </w:t>
      </w:r>
      <w:hyperlink r:id="rId9" w:history="1">
        <w:r w:rsidRPr="00DF51A2">
          <w:rPr>
            <w:rFonts w:ascii="Times New Roman" w:hAnsi="Times New Roman"/>
            <w:color w:val="10418E"/>
            <w:sz w:val="16"/>
            <w:szCs w:val="16"/>
            <w:u w:val="single"/>
            <w:shd w:val="clear" w:color="auto" w:fill="FFFFFF"/>
          </w:rPr>
          <w:t>http://www.</w:t>
        </w:r>
        <w:r w:rsidR="00DD6387">
          <w:rPr>
            <w:rFonts w:ascii="Times New Roman" w:hAnsi="Times New Roman"/>
            <w:color w:val="10418E"/>
            <w:sz w:val="16"/>
            <w:szCs w:val="16"/>
            <w:u w:val="single"/>
            <w:shd w:val="clear" w:color="auto" w:fill="FFFFFF"/>
          </w:rPr>
          <w:t>legislation</w:t>
        </w:r>
        <w:r w:rsidRPr="00DF51A2">
          <w:rPr>
            <w:rFonts w:ascii="Times New Roman" w:hAnsi="Times New Roman"/>
            <w:color w:val="10418E"/>
            <w:sz w:val="16"/>
            <w:szCs w:val="16"/>
            <w:u w:val="single"/>
            <w:shd w:val="clear" w:color="auto" w:fill="FFFFFF"/>
          </w:rPr>
          <w:t>.gov.au</w:t>
        </w:r>
      </w:hyperlink>
      <w:r w:rsidRPr="00DF51A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14:paraId="013F2221" w14:textId="78D20037" w:rsidR="00C82589" w:rsidRDefault="00C82589" w:rsidP="00C82589">
      <w:pPr>
        <w:pStyle w:val="HR"/>
      </w:pPr>
      <w:r>
        <w:t>3</w:t>
      </w:r>
      <w:r>
        <w:tab/>
      </w:r>
      <w:r w:rsidR="00DF51A2">
        <w:t xml:space="preserve">Amendment of the </w:t>
      </w:r>
      <w:r w:rsidR="00C23981">
        <w:rPr>
          <w:i/>
        </w:rPr>
        <w:t xml:space="preserve">Telecommunications </w:t>
      </w:r>
      <w:r w:rsidR="00DC0D5D">
        <w:rPr>
          <w:i/>
        </w:rPr>
        <w:t xml:space="preserve">(International Mobile Roaming) </w:t>
      </w:r>
      <w:r w:rsidR="005B4B34">
        <w:rPr>
          <w:i/>
        </w:rPr>
        <w:t xml:space="preserve">Industry </w:t>
      </w:r>
      <w:r w:rsidR="00DC0D5D">
        <w:rPr>
          <w:i/>
        </w:rPr>
        <w:t>Standard</w:t>
      </w:r>
      <w:r w:rsidR="00C23981">
        <w:rPr>
          <w:i/>
        </w:rPr>
        <w:t xml:space="preserve"> 201</w:t>
      </w:r>
      <w:r w:rsidR="00DC0D5D">
        <w:rPr>
          <w:i/>
        </w:rPr>
        <w:t>3</w:t>
      </w:r>
    </w:p>
    <w:p w14:paraId="6E0D0FF2" w14:textId="645ED671" w:rsidR="00C82589" w:rsidRPr="00C23981" w:rsidRDefault="00C82589" w:rsidP="00A15133">
      <w:pPr>
        <w:pStyle w:val="R1"/>
        <w:spacing w:before="240" w:after="120"/>
      </w:pPr>
      <w:r>
        <w:tab/>
      </w:r>
      <w:r>
        <w:tab/>
      </w:r>
      <w:r w:rsidR="00DF51A2">
        <w:t xml:space="preserve">Schedule 1 amends the </w:t>
      </w:r>
      <w:r w:rsidR="00DC0D5D">
        <w:rPr>
          <w:i/>
        </w:rPr>
        <w:t xml:space="preserve">Telecommunications (International Mobile Roaming) </w:t>
      </w:r>
      <w:r w:rsidR="005B4B34">
        <w:rPr>
          <w:i/>
        </w:rPr>
        <w:t xml:space="preserve">Industry </w:t>
      </w:r>
      <w:r w:rsidR="00DC0D5D">
        <w:rPr>
          <w:i/>
        </w:rPr>
        <w:t xml:space="preserve">Standard </w:t>
      </w:r>
      <w:r w:rsidR="00C23981">
        <w:rPr>
          <w:i/>
        </w:rPr>
        <w:t>201</w:t>
      </w:r>
      <w:r w:rsidR="00DC0D5D">
        <w:rPr>
          <w:i/>
        </w:rPr>
        <w:t xml:space="preserve">3 </w:t>
      </w:r>
      <w:r w:rsidR="00A15133">
        <w:t>[</w:t>
      </w:r>
      <w:r w:rsidR="00DC0D5D">
        <w:t>F2013L01301]</w:t>
      </w:r>
      <w:r w:rsidR="00C23981">
        <w:t>.</w:t>
      </w:r>
    </w:p>
    <w:p w14:paraId="0629AD75" w14:textId="77777777" w:rsidR="00C82589" w:rsidRDefault="00C82589" w:rsidP="00C82589">
      <w:pPr>
        <w:pStyle w:val="NoteEnd"/>
        <w:jc w:val="left"/>
        <w:rPr>
          <w:color w:val="000000"/>
        </w:rPr>
      </w:pPr>
    </w:p>
    <w:p w14:paraId="07F007CC" w14:textId="77777777" w:rsidR="00C82589" w:rsidRDefault="00C82589" w:rsidP="00C82589">
      <w:pPr>
        <w:pStyle w:val="R2"/>
        <w:ind w:firstLine="29"/>
      </w:pPr>
      <w:r>
        <w:br w:type="page"/>
      </w:r>
    </w:p>
    <w:p w14:paraId="1E67C99F" w14:textId="77777777" w:rsidR="00C82589" w:rsidRDefault="00C82589" w:rsidP="00C82589">
      <w:pPr>
        <w:pStyle w:val="R2"/>
        <w:ind w:firstLine="29"/>
      </w:pPr>
    </w:p>
    <w:p w14:paraId="0EAE8832" w14:textId="77777777" w:rsidR="00C82589" w:rsidRDefault="00C82589" w:rsidP="00DF51A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3"/>
        </w:rPr>
      </w:pPr>
      <w:r w:rsidRPr="00312044">
        <w:rPr>
          <w:rFonts w:ascii="Times New Roman" w:hAnsi="Times New Roman"/>
          <w:b/>
          <w:bCs/>
          <w:sz w:val="28"/>
          <w:szCs w:val="23"/>
        </w:rPr>
        <w:t>S</w:t>
      </w:r>
      <w:r w:rsidR="00DF51A2">
        <w:rPr>
          <w:rFonts w:ascii="Times New Roman" w:hAnsi="Times New Roman"/>
          <w:b/>
          <w:bCs/>
          <w:sz w:val="28"/>
          <w:szCs w:val="23"/>
        </w:rPr>
        <w:t>chedule 1</w:t>
      </w:r>
      <w:r w:rsidR="00DF51A2">
        <w:rPr>
          <w:rFonts w:ascii="Times New Roman" w:hAnsi="Times New Roman"/>
          <w:b/>
          <w:bCs/>
          <w:sz w:val="28"/>
          <w:szCs w:val="23"/>
        </w:rPr>
        <w:tab/>
      </w:r>
      <w:r w:rsidR="00DF51A2">
        <w:rPr>
          <w:rFonts w:ascii="Times New Roman" w:hAnsi="Times New Roman"/>
          <w:b/>
          <w:bCs/>
          <w:sz w:val="28"/>
          <w:szCs w:val="23"/>
        </w:rPr>
        <w:tab/>
        <w:t>Amendments</w:t>
      </w:r>
    </w:p>
    <w:p w14:paraId="23F022DF" w14:textId="77777777" w:rsidR="00A2123E" w:rsidRDefault="00A2123E" w:rsidP="0041641F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</w:p>
    <w:p w14:paraId="3ADF978B" w14:textId="77777777" w:rsidR="00A2123E" w:rsidRDefault="00A2123E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2C022405" w14:textId="6FBC4F90" w:rsidR="001F4CB5" w:rsidRDefault="001F4CB5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 xml:space="preserve">] </w:t>
      </w:r>
      <w:r w:rsidR="007F3996">
        <w:rPr>
          <w:rFonts w:cs="Arial"/>
          <w:b/>
          <w:sz w:val="24"/>
        </w:rPr>
        <w:t>Clause</w:t>
      </w:r>
      <w:r w:rsidR="00DC0D5D">
        <w:rPr>
          <w:rFonts w:cs="Arial"/>
          <w:b/>
          <w:sz w:val="24"/>
        </w:rPr>
        <w:t xml:space="preserve"> 3</w:t>
      </w:r>
    </w:p>
    <w:p w14:paraId="4E990390" w14:textId="77777777" w:rsidR="001F4CB5" w:rsidRDefault="001F4CB5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F2A7FC1" w14:textId="6CA9A100" w:rsidR="001F4CB5" w:rsidRDefault="00DC0D5D" w:rsidP="00DF51A2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After the definition of “spend management tool”, i</w:t>
      </w:r>
      <w:r w:rsidR="001F4CB5" w:rsidRPr="001F4CB5">
        <w:rPr>
          <w:rFonts w:ascii="Times New Roman" w:hAnsi="Times New Roman"/>
          <w:i/>
          <w:sz w:val="24"/>
        </w:rPr>
        <w:t xml:space="preserve">nsert a </w:t>
      </w:r>
      <w:r w:rsidR="001F4CB5">
        <w:rPr>
          <w:rFonts w:ascii="Times New Roman" w:hAnsi="Times New Roman"/>
          <w:i/>
          <w:sz w:val="24"/>
        </w:rPr>
        <w:t xml:space="preserve">new </w:t>
      </w:r>
      <w:r>
        <w:rPr>
          <w:rFonts w:ascii="Times New Roman" w:hAnsi="Times New Roman"/>
          <w:i/>
          <w:sz w:val="24"/>
        </w:rPr>
        <w:t>definition</w:t>
      </w:r>
      <w:r w:rsidR="007F3996">
        <w:rPr>
          <w:rFonts w:ascii="Times New Roman" w:hAnsi="Times New Roman"/>
          <w:i/>
          <w:sz w:val="24"/>
        </w:rPr>
        <w:t>:</w:t>
      </w:r>
    </w:p>
    <w:p w14:paraId="1ACB9400" w14:textId="77777777" w:rsidR="001F4CB5" w:rsidRDefault="001F4CB5" w:rsidP="00DF51A2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0B44A3AE" w14:textId="14A4513D" w:rsidR="00812BE1" w:rsidRPr="00DC0D5D" w:rsidRDefault="00DC0D5D" w:rsidP="0056592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DC0D5D">
        <w:rPr>
          <w:rFonts w:ascii="Times New Roman" w:hAnsi="Times New Roman"/>
          <w:b/>
          <w:i/>
          <w:sz w:val="24"/>
        </w:rPr>
        <w:t>standard</w:t>
      </w:r>
      <w:proofErr w:type="gramEnd"/>
      <w:r w:rsidRPr="00DC0D5D">
        <w:rPr>
          <w:rFonts w:ascii="Times New Roman" w:hAnsi="Times New Roman"/>
          <w:b/>
          <w:i/>
          <w:sz w:val="24"/>
        </w:rPr>
        <w:t xml:space="preserve"> form customer contract</w:t>
      </w:r>
      <w:r w:rsidRPr="00DC0D5D">
        <w:rPr>
          <w:rFonts w:ascii="Times New Roman" w:hAnsi="Times New Roman"/>
          <w:sz w:val="24"/>
        </w:rPr>
        <w:t xml:space="preserve"> means a standard form of agreement which is formulated by a CSP for the purposes of section 479 of the Act.</w:t>
      </w:r>
    </w:p>
    <w:p w14:paraId="5EA21AAA" w14:textId="77777777" w:rsidR="00812BE1" w:rsidRDefault="00812BE1" w:rsidP="001F4CB5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</w:rPr>
      </w:pPr>
    </w:p>
    <w:p w14:paraId="5A87FD0A" w14:textId="2645275F" w:rsidR="00812BE1" w:rsidRDefault="00812BE1" w:rsidP="00812BE1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] </w:t>
      </w:r>
      <w:r w:rsidR="00DC0D5D">
        <w:rPr>
          <w:rFonts w:cs="Arial"/>
          <w:b/>
          <w:sz w:val="24"/>
        </w:rPr>
        <w:t>Paragraph 5(1</w:t>
      </w:r>
      <w:proofErr w:type="gramStart"/>
      <w:r w:rsidR="00DC0D5D">
        <w:rPr>
          <w:rFonts w:cs="Arial"/>
          <w:b/>
          <w:sz w:val="24"/>
        </w:rPr>
        <w:t>)(</w:t>
      </w:r>
      <w:proofErr w:type="gramEnd"/>
      <w:r w:rsidR="00DC0D5D">
        <w:rPr>
          <w:rFonts w:cs="Arial"/>
          <w:b/>
          <w:sz w:val="24"/>
        </w:rPr>
        <w:t>c)</w:t>
      </w:r>
    </w:p>
    <w:p w14:paraId="2E03488B" w14:textId="77777777" w:rsidR="00812BE1" w:rsidRDefault="00812BE1" w:rsidP="00812BE1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671FE75" w14:textId="77777777" w:rsidR="007F3996" w:rsidRDefault="007F3996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Delete the following text:</w:t>
      </w:r>
    </w:p>
    <w:p w14:paraId="2BBCCE72" w14:textId="77777777" w:rsidR="007F3996" w:rsidRDefault="007F3996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4F02C327" w14:textId="0548A424" w:rsidR="00812BE1" w:rsidRDefault="007F3996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 w:rsidRPr="007F3996">
        <w:rPr>
          <w:rFonts w:ascii="Times New Roman" w:hAnsi="Times New Roman"/>
          <w:sz w:val="24"/>
        </w:rPr>
        <w:t>“,</w:t>
      </w:r>
      <w:r>
        <w:rPr>
          <w:rFonts w:ascii="Times New Roman" w:hAnsi="Times New Roman"/>
          <w:sz w:val="24"/>
        </w:rPr>
        <w:t xml:space="preserve"> </w:t>
      </w:r>
      <w:r w:rsidRPr="007F3996">
        <w:rPr>
          <w:rFonts w:ascii="Times New Roman" w:hAnsi="Times New Roman"/>
          <w:sz w:val="24"/>
        </w:rPr>
        <w:t>which may be the same message as the message given in compliance with paragraph (b),”</w:t>
      </w:r>
    </w:p>
    <w:p w14:paraId="38059406" w14:textId="77777777" w:rsidR="00812BE1" w:rsidRDefault="00812BE1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6B2C75E7" w14:textId="46043C41" w:rsidR="00812BE1" w:rsidRDefault="007F3996" w:rsidP="00812BE1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] After subclause</w:t>
      </w:r>
      <w:r w:rsidR="00812BE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5(1</w:t>
      </w:r>
      <w:r w:rsidR="00812BE1">
        <w:rPr>
          <w:rFonts w:cs="Arial"/>
          <w:b/>
          <w:sz w:val="24"/>
        </w:rPr>
        <w:t>)</w:t>
      </w:r>
    </w:p>
    <w:p w14:paraId="23B40605" w14:textId="77777777" w:rsidR="00812BE1" w:rsidRDefault="00812BE1" w:rsidP="00812BE1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4C57C542" w14:textId="53D0E6C7" w:rsidR="00812BE1" w:rsidRDefault="00812BE1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 w:rsidRPr="001F4CB5">
        <w:rPr>
          <w:rFonts w:ascii="Times New Roman" w:hAnsi="Times New Roman"/>
          <w:i/>
          <w:sz w:val="24"/>
        </w:rPr>
        <w:t xml:space="preserve">Insert a </w:t>
      </w:r>
      <w:r>
        <w:rPr>
          <w:rFonts w:ascii="Times New Roman" w:hAnsi="Times New Roman"/>
          <w:i/>
          <w:sz w:val="24"/>
        </w:rPr>
        <w:t>new sub</w:t>
      </w:r>
      <w:r w:rsidR="007F3996">
        <w:rPr>
          <w:rFonts w:ascii="Times New Roman" w:hAnsi="Times New Roman"/>
          <w:i/>
          <w:sz w:val="24"/>
        </w:rPr>
        <w:t>clause</w:t>
      </w:r>
    </w:p>
    <w:p w14:paraId="5E374DD7" w14:textId="77777777" w:rsidR="00812BE1" w:rsidRDefault="00812BE1" w:rsidP="00812BE1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0AB21B48" w14:textId="2F61469B" w:rsidR="00812BE1" w:rsidRPr="007F3996" w:rsidRDefault="007F3996" w:rsidP="00812BE1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(1A</w:t>
      </w:r>
      <w:r w:rsidR="00812BE1">
        <w:rPr>
          <w:rFonts w:ascii="Times New Roman" w:hAnsi="Times New Roman"/>
          <w:sz w:val="24"/>
        </w:rPr>
        <w:t xml:space="preserve">) </w:t>
      </w:r>
      <w:r w:rsidR="00812BE1">
        <w:rPr>
          <w:rFonts w:ascii="Times New Roman" w:hAnsi="Times New Roman"/>
          <w:sz w:val="24"/>
        </w:rPr>
        <w:tab/>
      </w:r>
      <w:r w:rsidRPr="007F3996">
        <w:rPr>
          <w:rFonts w:ascii="Times New Roman" w:hAnsi="Times New Roman"/>
          <w:sz w:val="24"/>
        </w:rPr>
        <w:t>The SMS messages referred to in paragraphs (1</w:t>
      </w:r>
      <w:proofErr w:type="gramStart"/>
      <w:r w:rsidRPr="007F3996">
        <w:rPr>
          <w:rFonts w:ascii="Times New Roman" w:hAnsi="Times New Roman"/>
          <w:sz w:val="24"/>
        </w:rPr>
        <w:t>)(</w:t>
      </w:r>
      <w:proofErr w:type="gramEnd"/>
      <w:r w:rsidRPr="007F3996">
        <w:rPr>
          <w:rFonts w:ascii="Times New Roman" w:hAnsi="Times New Roman"/>
          <w:sz w:val="24"/>
        </w:rPr>
        <w:t>a), (b) and (c) may be combined into one or more SMS messages.</w:t>
      </w:r>
    </w:p>
    <w:p w14:paraId="13D96FF4" w14:textId="63481031" w:rsidR="001F4CB5" w:rsidRDefault="001F4CB5" w:rsidP="00812BE1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</w:rPr>
      </w:pPr>
    </w:p>
    <w:p w14:paraId="27E80FC1" w14:textId="2B88742A" w:rsidR="004C0AF3" w:rsidRDefault="004C0AF3" w:rsidP="004C0AF3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 xml:space="preserve">] </w:t>
      </w:r>
      <w:r w:rsidR="007F3996">
        <w:rPr>
          <w:rFonts w:cs="Arial"/>
          <w:b/>
          <w:sz w:val="24"/>
        </w:rPr>
        <w:t>Subclause 6(1)</w:t>
      </w:r>
    </w:p>
    <w:p w14:paraId="0CB138A8" w14:textId="77777777" w:rsidR="004C0AF3" w:rsidRDefault="004C0AF3" w:rsidP="004C0AF3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5D73AD5" w14:textId="2CDD2DF9" w:rsidR="004C0AF3" w:rsidRDefault="007F3996" w:rsidP="004C0AF3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Omit </w:t>
      </w:r>
      <w:r w:rsidRPr="00FA7B07">
        <w:rPr>
          <w:rFonts w:ascii="Times New Roman" w:hAnsi="Times New Roman"/>
          <w:sz w:val="24"/>
        </w:rPr>
        <w:t>“23 May 2016”</w:t>
      </w:r>
      <w:r>
        <w:rPr>
          <w:rFonts w:ascii="Times New Roman" w:hAnsi="Times New Roman"/>
          <w:i/>
          <w:sz w:val="24"/>
        </w:rPr>
        <w:t xml:space="preserve"> (wherever occurring), substitute </w:t>
      </w:r>
      <w:r w:rsidRPr="00FA7B07">
        <w:rPr>
          <w:rFonts w:ascii="Times New Roman" w:hAnsi="Times New Roman"/>
          <w:sz w:val="24"/>
        </w:rPr>
        <w:t>“1 January 2019”</w:t>
      </w:r>
    </w:p>
    <w:p w14:paraId="2CF8C0E4" w14:textId="77777777" w:rsidR="004C0AF3" w:rsidRDefault="004C0AF3" w:rsidP="004C0AF3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75F376E1" w14:textId="3C398492" w:rsidR="004C0AF3" w:rsidRDefault="004C0AF3" w:rsidP="004C0AF3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5</w:t>
      </w:r>
      <w:r>
        <w:rPr>
          <w:rFonts w:cs="Arial"/>
          <w:b/>
          <w:sz w:val="24"/>
        </w:rPr>
        <w:t xml:space="preserve">] </w:t>
      </w:r>
      <w:r w:rsidR="007F3996">
        <w:rPr>
          <w:rFonts w:cs="Arial"/>
          <w:b/>
          <w:sz w:val="24"/>
        </w:rPr>
        <w:t>Subclause 8(1)</w:t>
      </w:r>
    </w:p>
    <w:p w14:paraId="182490F7" w14:textId="77777777" w:rsidR="004C0AF3" w:rsidRDefault="004C0AF3" w:rsidP="004C0AF3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4DD9FFDD" w14:textId="49159CB6" w:rsidR="004C0AF3" w:rsidRDefault="007F3996" w:rsidP="004C0AF3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Omit</w:t>
      </w:r>
      <w:r w:rsidR="001D7C00">
        <w:rPr>
          <w:rFonts w:ascii="Times New Roman" w:hAnsi="Times New Roman"/>
          <w:i/>
          <w:sz w:val="24"/>
        </w:rPr>
        <w:t xml:space="preserve"> the subclause</w:t>
      </w:r>
      <w:r w:rsidR="006A7CBF">
        <w:rPr>
          <w:rFonts w:ascii="Times New Roman" w:hAnsi="Times New Roman"/>
          <w:i/>
          <w:sz w:val="24"/>
        </w:rPr>
        <w:t xml:space="preserve"> and the notes that follow</w:t>
      </w:r>
      <w:r>
        <w:rPr>
          <w:rFonts w:ascii="Times New Roman" w:hAnsi="Times New Roman"/>
          <w:i/>
          <w:sz w:val="24"/>
        </w:rPr>
        <w:t>, substitute</w:t>
      </w:r>
      <w:r w:rsidR="00FA7B07">
        <w:rPr>
          <w:rFonts w:ascii="Times New Roman" w:hAnsi="Times New Roman"/>
          <w:i/>
          <w:sz w:val="24"/>
        </w:rPr>
        <w:t>:</w:t>
      </w:r>
    </w:p>
    <w:p w14:paraId="3F399A9A" w14:textId="77777777" w:rsidR="004C0AF3" w:rsidRDefault="004C0AF3" w:rsidP="004C0AF3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0D7FFEC4" w14:textId="20134EF8" w:rsidR="00790B65" w:rsidRDefault="007F3996" w:rsidP="00242A00">
      <w:pPr>
        <w:pStyle w:val="ListParagraph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</w:rPr>
      </w:pPr>
      <w:r w:rsidRPr="007F3996">
        <w:rPr>
          <w:rFonts w:ascii="Times New Roman" w:hAnsi="Times New Roman"/>
          <w:sz w:val="24"/>
        </w:rPr>
        <w:t>A CSP must make available at least one method by which a customer of that CSP may decline the continued supply of IMR services at any time while travelling overseas.</w:t>
      </w:r>
    </w:p>
    <w:p w14:paraId="5E84D2B5" w14:textId="77777777" w:rsidR="006A7CBF" w:rsidRDefault="006A7CBF" w:rsidP="00522A43">
      <w:pPr>
        <w:pStyle w:val="ListParagraph"/>
        <w:tabs>
          <w:tab w:val="left" w:pos="851"/>
        </w:tabs>
        <w:autoSpaceDE w:val="0"/>
        <w:autoSpaceDN w:val="0"/>
        <w:adjustRightInd w:val="0"/>
        <w:ind w:left="567"/>
        <w:rPr>
          <w:rFonts w:ascii="Times New Roman" w:hAnsi="Times New Roman"/>
          <w:sz w:val="18"/>
          <w:szCs w:val="18"/>
        </w:rPr>
      </w:pPr>
    </w:p>
    <w:p w14:paraId="7EC9D935" w14:textId="78EA8994" w:rsidR="006A7CBF" w:rsidRPr="007F3996" w:rsidRDefault="006A7CBF" w:rsidP="00522A43">
      <w:pPr>
        <w:pStyle w:val="ListParagraph"/>
        <w:tabs>
          <w:tab w:val="left" w:pos="851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</w:rPr>
      </w:pPr>
      <w:r w:rsidRPr="00522A43">
        <w:rPr>
          <w:rFonts w:ascii="Times New Roman" w:hAnsi="Times New Roman"/>
          <w:sz w:val="18"/>
          <w:szCs w:val="18"/>
        </w:rPr>
        <w:t xml:space="preserve">Note:  </w:t>
      </w:r>
      <w:r w:rsidRPr="006A7CBF">
        <w:rPr>
          <w:rFonts w:ascii="Times New Roman" w:hAnsi="Times New Roman"/>
          <w:sz w:val="18"/>
          <w:szCs w:val="18"/>
        </w:rPr>
        <w:t>Customers</w:t>
      </w:r>
      <w:r>
        <w:rPr>
          <w:rFonts w:ascii="Times New Roman" w:hAnsi="Times New Roman"/>
          <w:sz w:val="18"/>
          <w:szCs w:val="18"/>
        </w:rPr>
        <w:t xml:space="preserve"> must be provided with information about the method or methods available – see paragraph 5(1</w:t>
      </w:r>
      <w:proofErr w:type="gramStart"/>
      <w:r>
        <w:rPr>
          <w:rFonts w:ascii="Times New Roman" w:hAnsi="Times New Roman"/>
          <w:sz w:val="18"/>
          <w:szCs w:val="18"/>
        </w:rPr>
        <w:t>)(</w:t>
      </w:r>
      <w:proofErr w:type="gramEnd"/>
      <w:r>
        <w:rPr>
          <w:rFonts w:ascii="Times New Roman" w:hAnsi="Times New Roman"/>
          <w:sz w:val="18"/>
          <w:szCs w:val="18"/>
        </w:rPr>
        <w:t>c), subparagraph 6(2)(b)(v), and paragraph 6(3)(b).</w:t>
      </w:r>
    </w:p>
    <w:p w14:paraId="5A8913C3" w14:textId="77777777" w:rsidR="004C0AF3" w:rsidRPr="001F4CB5" w:rsidRDefault="004C0AF3" w:rsidP="004C0AF3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/>
          <w:sz w:val="24"/>
        </w:rPr>
      </w:pPr>
    </w:p>
    <w:p w14:paraId="230BE045" w14:textId="3378C3C6" w:rsidR="009970D9" w:rsidRDefault="009970D9" w:rsidP="009970D9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6A7CBF">
        <w:rPr>
          <w:rFonts w:cs="Arial"/>
          <w:b/>
          <w:sz w:val="24"/>
        </w:rPr>
        <w:t>6</w:t>
      </w:r>
      <w:r>
        <w:rPr>
          <w:rFonts w:cs="Arial"/>
          <w:b/>
          <w:sz w:val="24"/>
        </w:rPr>
        <w:t xml:space="preserve">] </w:t>
      </w:r>
      <w:r w:rsidR="007F3996">
        <w:rPr>
          <w:rFonts w:cs="Arial"/>
          <w:b/>
          <w:sz w:val="24"/>
        </w:rPr>
        <w:t>After subclause 8(4)</w:t>
      </w:r>
    </w:p>
    <w:p w14:paraId="19A7891E" w14:textId="77777777" w:rsidR="009970D9" w:rsidRDefault="009970D9" w:rsidP="009970D9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2E969378" w14:textId="741E282B" w:rsidR="009970D9" w:rsidRPr="00B55F33" w:rsidRDefault="007F3996" w:rsidP="009970D9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Insert</w:t>
      </w:r>
      <w:r w:rsidR="006A7CBF">
        <w:rPr>
          <w:rFonts w:ascii="Times New Roman" w:hAnsi="Times New Roman"/>
          <w:i/>
          <w:sz w:val="24"/>
        </w:rPr>
        <w:t xml:space="preserve"> two </w:t>
      </w:r>
      <w:r>
        <w:rPr>
          <w:rFonts w:ascii="Times New Roman" w:hAnsi="Times New Roman"/>
          <w:i/>
          <w:sz w:val="24"/>
        </w:rPr>
        <w:t>new sub</w:t>
      </w:r>
      <w:r w:rsidR="001D7C00">
        <w:rPr>
          <w:rFonts w:ascii="Times New Roman" w:hAnsi="Times New Roman"/>
          <w:i/>
          <w:sz w:val="24"/>
        </w:rPr>
        <w:t>clause</w:t>
      </w:r>
      <w:r w:rsidR="001B7DEE">
        <w:rPr>
          <w:rFonts w:ascii="Times New Roman" w:hAnsi="Times New Roman"/>
          <w:i/>
          <w:sz w:val="24"/>
        </w:rPr>
        <w:t>s</w:t>
      </w:r>
      <w:r w:rsidR="009970D9" w:rsidRPr="00B55F33">
        <w:rPr>
          <w:rFonts w:ascii="Times New Roman" w:hAnsi="Times New Roman"/>
          <w:i/>
          <w:sz w:val="24"/>
        </w:rPr>
        <w:t>:</w:t>
      </w:r>
    </w:p>
    <w:p w14:paraId="100093C1" w14:textId="2435D18C" w:rsidR="009970D9" w:rsidRPr="00574A41" w:rsidRDefault="007F3996" w:rsidP="00242A00">
      <w:pPr>
        <w:pStyle w:val="ListParagraph"/>
        <w:widowControl w:val="0"/>
        <w:numPr>
          <w:ilvl w:val="0"/>
          <w:numId w:val="25"/>
        </w:numPr>
        <w:spacing w:before="240" w:after="240"/>
        <w:ind w:left="567" w:hanging="567"/>
        <w:rPr>
          <w:rFonts w:ascii="Times New Roman" w:hAnsi="Times New Roman"/>
          <w:sz w:val="24"/>
        </w:rPr>
      </w:pPr>
      <w:r w:rsidRPr="00001183">
        <w:rPr>
          <w:rFonts w:ascii="Times New Roman" w:hAnsi="Times New Roman"/>
          <w:sz w:val="24"/>
        </w:rPr>
        <w:t>If a customer chooses to decline the continued supply of IMR services by a method other than the methods referred to in sub</w:t>
      </w:r>
      <w:r w:rsidR="00FA7B07">
        <w:rPr>
          <w:rFonts w:ascii="Times New Roman" w:hAnsi="Times New Roman"/>
          <w:sz w:val="24"/>
        </w:rPr>
        <w:t>clause</w:t>
      </w:r>
      <w:r w:rsidRPr="00001183">
        <w:rPr>
          <w:rFonts w:ascii="Times New Roman" w:hAnsi="Times New Roman"/>
          <w:sz w:val="24"/>
        </w:rPr>
        <w:t>s (3) and (4), the CSP may not charge more than a nominal fee to do so.</w:t>
      </w:r>
      <w:r w:rsidR="00775727">
        <w:t xml:space="preserve"> </w:t>
      </w:r>
    </w:p>
    <w:p w14:paraId="374EB003" w14:textId="18333C29" w:rsidR="00574A41" w:rsidRPr="00574A41" w:rsidRDefault="00574A41" w:rsidP="00574A41">
      <w:pPr>
        <w:pStyle w:val="ListParagraph"/>
        <w:widowControl w:val="0"/>
        <w:spacing w:before="240" w:after="240"/>
        <w:ind w:left="567"/>
        <w:rPr>
          <w:rFonts w:ascii="Times New Roman" w:hAnsi="Times New Roman"/>
          <w:sz w:val="24"/>
        </w:rPr>
      </w:pPr>
    </w:p>
    <w:p w14:paraId="60C34279" w14:textId="518894E4" w:rsidR="00574A41" w:rsidRPr="00001183" w:rsidRDefault="00574A41" w:rsidP="00242A00">
      <w:pPr>
        <w:pStyle w:val="ListParagraph"/>
        <w:widowControl w:val="0"/>
        <w:numPr>
          <w:ilvl w:val="0"/>
          <w:numId w:val="25"/>
        </w:numPr>
        <w:spacing w:before="240" w:after="240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Any method provided by a CSP under subclause (1) must be reasonably a</w:t>
      </w:r>
      <w:r w:rsidR="00596874">
        <w:rPr>
          <w:rFonts w:ascii="Times New Roman" w:hAnsi="Times New Roman"/>
          <w:sz w:val="24"/>
        </w:rPr>
        <w:t>cc</w:t>
      </w:r>
      <w:r>
        <w:rPr>
          <w:rFonts w:ascii="Times New Roman" w:hAnsi="Times New Roman"/>
          <w:sz w:val="24"/>
        </w:rPr>
        <w:t>ess</w:t>
      </w:r>
      <w:r w:rsidR="006A7CB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ble to its customers.</w:t>
      </w:r>
    </w:p>
    <w:p w14:paraId="50333F7C" w14:textId="4C95B9C9" w:rsidR="00775727" w:rsidRDefault="00775727" w:rsidP="00775727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506C64">
        <w:rPr>
          <w:rFonts w:cs="Arial"/>
          <w:b/>
          <w:sz w:val="24"/>
        </w:rPr>
        <w:t>7</w:t>
      </w:r>
      <w:r>
        <w:rPr>
          <w:rFonts w:cs="Arial"/>
          <w:b/>
          <w:sz w:val="24"/>
        </w:rPr>
        <w:t>] After sub</w:t>
      </w:r>
      <w:r w:rsidR="00001183">
        <w:rPr>
          <w:rFonts w:cs="Arial"/>
          <w:b/>
          <w:sz w:val="24"/>
        </w:rPr>
        <w:t>clause 9(3</w:t>
      </w:r>
      <w:r>
        <w:rPr>
          <w:rFonts w:cs="Arial"/>
          <w:b/>
          <w:sz w:val="24"/>
        </w:rPr>
        <w:t>)</w:t>
      </w:r>
    </w:p>
    <w:p w14:paraId="7D664D8C" w14:textId="77777777" w:rsidR="00775727" w:rsidRDefault="00775727" w:rsidP="00775727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8B9F901" w14:textId="270524DE" w:rsidR="00775727" w:rsidRPr="00775727" w:rsidRDefault="00001183" w:rsidP="00775727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Following the note to subclause 9(3), insert </w:t>
      </w:r>
      <w:r w:rsidR="00506C64">
        <w:rPr>
          <w:rFonts w:ascii="Times New Roman" w:hAnsi="Times New Roman"/>
          <w:i/>
          <w:sz w:val="24"/>
        </w:rPr>
        <w:t xml:space="preserve">four </w:t>
      </w:r>
      <w:r w:rsidR="00775727" w:rsidRPr="00775727">
        <w:rPr>
          <w:rFonts w:ascii="Times New Roman" w:hAnsi="Times New Roman"/>
          <w:i/>
          <w:sz w:val="24"/>
        </w:rPr>
        <w:t>new sub</w:t>
      </w:r>
      <w:r>
        <w:rPr>
          <w:rFonts w:ascii="Times New Roman" w:hAnsi="Times New Roman"/>
          <w:i/>
          <w:sz w:val="24"/>
        </w:rPr>
        <w:t>clauses</w:t>
      </w:r>
      <w:r w:rsidR="00FA7B07">
        <w:rPr>
          <w:rFonts w:ascii="Times New Roman" w:hAnsi="Times New Roman"/>
          <w:i/>
          <w:sz w:val="24"/>
        </w:rPr>
        <w:t>:</w:t>
      </w:r>
    </w:p>
    <w:p w14:paraId="58E691B2" w14:textId="21A0F7B2" w:rsidR="00001183" w:rsidRPr="00F40AFB" w:rsidRDefault="00001183" w:rsidP="00001183">
      <w:pPr>
        <w:pStyle w:val="UnnumberedClause"/>
        <w:widowControl w:val="0"/>
        <w:spacing w:before="240" w:after="240"/>
        <w:ind w:left="720" w:hanging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(3A)</w:t>
      </w:r>
      <w:r>
        <w:rPr>
          <w:rFonts w:ascii="Times New Roman" w:hAnsi="Times New Roman"/>
          <w:sz w:val="24"/>
          <w:szCs w:val="24"/>
          <w:lang w:val="en-AU"/>
        </w:rPr>
        <w:tab/>
      </w:r>
      <w:r w:rsidRPr="00001183">
        <w:rPr>
          <w:rFonts w:ascii="Times New Roman" w:hAnsi="Times New Roman"/>
          <w:sz w:val="24"/>
          <w:szCs w:val="24"/>
          <w:lang w:val="en-AU"/>
        </w:rPr>
        <w:t xml:space="preserve">A CSP which supplies IMR services to a customer may make available methods for customers to </w:t>
      </w:r>
      <w:r w:rsidR="00506C64">
        <w:rPr>
          <w:rFonts w:ascii="Times New Roman" w:hAnsi="Times New Roman"/>
          <w:sz w:val="24"/>
          <w:szCs w:val="24"/>
          <w:lang w:val="en-AU"/>
        </w:rPr>
        <w:t xml:space="preserve">elect to </w:t>
      </w:r>
      <w:r w:rsidRPr="00001183">
        <w:rPr>
          <w:rFonts w:ascii="Times New Roman" w:hAnsi="Times New Roman"/>
          <w:sz w:val="24"/>
          <w:szCs w:val="24"/>
          <w:lang w:val="en-AU"/>
        </w:rPr>
        <w:t xml:space="preserve">decline to receive the notifications described in </w:t>
      </w:r>
      <w:r w:rsidRPr="00F40AFB">
        <w:rPr>
          <w:rFonts w:ascii="Times New Roman" w:hAnsi="Times New Roman"/>
          <w:sz w:val="24"/>
          <w:szCs w:val="24"/>
          <w:lang w:val="en-AU"/>
        </w:rPr>
        <w:t xml:space="preserve">paragraphs </w:t>
      </w:r>
      <w:r w:rsidR="00FA7B07" w:rsidRPr="00F40AFB">
        <w:rPr>
          <w:rFonts w:ascii="Times New Roman" w:hAnsi="Times New Roman"/>
          <w:sz w:val="24"/>
          <w:szCs w:val="24"/>
          <w:lang w:val="en-AU"/>
        </w:rPr>
        <w:t>(</w:t>
      </w:r>
      <w:r w:rsidRPr="00F40AFB">
        <w:rPr>
          <w:rFonts w:ascii="Times New Roman" w:hAnsi="Times New Roman"/>
          <w:sz w:val="24"/>
          <w:szCs w:val="24"/>
          <w:lang w:val="en-AU"/>
        </w:rPr>
        <w:t>3</w:t>
      </w:r>
      <w:r w:rsidR="00FA7B07" w:rsidRPr="00F40AFB">
        <w:rPr>
          <w:rFonts w:ascii="Times New Roman" w:hAnsi="Times New Roman"/>
          <w:sz w:val="24"/>
          <w:szCs w:val="24"/>
          <w:lang w:val="en-AU"/>
        </w:rPr>
        <w:t>)</w:t>
      </w:r>
      <w:r w:rsidRPr="00F40AFB">
        <w:rPr>
          <w:rFonts w:ascii="Times New Roman" w:hAnsi="Times New Roman"/>
          <w:sz w:val="24"/>
          <w:szCs w:val="24"/>
          <w:lang w:val="en-AU"/>
        </w:rPr>
        <w:t>(a), (b) and (c</w:t>
      </w:r>
      <w:r w:rsidR="00F40AFB">
        <w:rPr>
          <w:rFonts w:ascii="Times New Roman" w:hAnsi="Times New Roman"/>
          <w:sz w:val="24"/>
          <w:szCs w:val="24"/>
          <w:lang w:val="en-AU"/>
        </w:rPr>
        <w:t>)</w:t>
      </w:r>
      <w:r w:rsidRPr="00F40AFB">
        <w:rPr>
          <w:rFonts w:ascii="Times New Roman" w:hAnsi="Times New Roman"/>
          <w:sz w:val="24"/>
          <w:szCs w:val="24"/>
          <w:lang w:val="en-AU"/>
        </w:rPr>
        <w:t>.</w:t>
      </w:r>
    </w:p>
    <w:p w14:paraId="483B414F" w14:textId="3443BDDE" w:rsidR="00F40AFB" w:rsidRPr="00F40AFB" w:rsidRDefault="00001183" w:rsidP="00001183">
      <w:pPr>
        <w:pStyle w:val="UnnumberedClause"/>
        <w:widowControl w:val="0"/>
        <w:spacing w:before="240" w:after="240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F40AFB">
        <w:rPr>
          <w:rFonts w:ascii="Times New Roman" w:hAnsi="Times New Roman"/>
          <w:sz w:val="24"/>
          <w:szCs w:val="24"/>
          <w:lang w:val="en-AU"/>
        </w:rPr>
        <w:t>(3B)</w:t>
      </w:r>
      <w:r w:rsidRPr="00F40AFB">
        <w:rPr>
          <w:rFonts w:ascii="Times New Roman" w:hAnsi="Times New Roman"/>
          <w:sz w:val="24"/>
          <w:szCs w:val="24"/>
          <w:lang w:val="en-AU"/>
        </w:rPr>
        <w:tab/>
      </w:r>
      <w:r w:rsidR="00F40AFB" w:rsidRPr="00F40AFB">
        <w:rPr>
          <w:rFonts w:ascii="Times New Roman" w:hAnsi="Times New Roman"/>
          <w:sz w:val="24"/>
          <w:szCs w:val="24"/>
          <w:lang w:val="en-AU"/>
        </w:rPr>
        <w:t xml:space="preserve">A CSP </w:t>
      </w:r>
      <w:r w:rsidR="00522A43">
        <w:rPr>
          <w:rFonts w:ascii="Times New Roman" w:hAnsi="Times New Roman"/>
          <w:sz w:val="24"/>
          <w:szCs w:val="24"/>
          <w:lang w:val="en-AU"/>
        </w:rPr>
        <w:t>must</w:t>
      </w:r>
      <w:r w:rsidR="00522A43" w:rsidRPr="00F40AFB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F40AFB" w:rsidRPr="00F40AFB">
        <w:rPr>
          <w:rFonts w:ascii="Times New Roman" w:hAnsi="Times New Roman"/>
          <w:sz w:val="24"/>
          <w:szCs w:val="24"/>
          <w:lang w:val="en-AU"/>
        </w:rPr>
        <w:t>not allow customers to elect to use a method referred to in subclause (3A) by way of accepting a term or condition of a standard form customer contract</w:t>
      </w:r>
      <w:r w:rsidR="00574A41">
        <w:rPr>
          <w:rFonts w:ascii="Times New Roman" w:hAnsi="Times New Roman"/>
          <w:sz w:val="24"/>
          <w:szCs w:val="24"/>
          <w:lang w:val="en-AU"/>
        </w:rPr>
        <w:t xml:space="preserve"> or the default terms and conditions associated with the purchase of an included value pack</w:t>
      </w:r>
      <w:r w:rsidR="00F40AFB" w:rsidRPr="00F40AFB">
        <w:rPr>
          <w:rFonts w:ascii="Times New Roman" w:hAnsi="Times New Roman"/>
          <w:sz w:val="24"/>
          <w:szCs w:val="24"/>
          <w:lang w:val="en-AU"/>
        </w:rPr>
        <w:t>.</w:t>
      </w:r>
    </w:p>
    <w:p w14:paraId="20704A22" w14:textId="0B64321E" w:rsidR="00001183" w:rsidRPr="00001183" w:rsidRDefault="00F40AFB" w:rsidP="00001183">
      <w:pPr>
        <w:pStyle w:val="UnnumberedClause"/>
        <w:widowControl w:val="0"/>
        <w:spacing w:before="240" w:after="240"/>
        <w:ind w:left="720" w:hanging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(3C)</w:t>
      </w:r>
      <w:r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="00001183" w:rsidRPr="00001183">
        <w:rPr>
          <w:rFonts w:ascii="Times New Roman" w:hAnsi="Times New Roman"/>
          <w:sz w:val="24"/>
          <w:szCs w:val="24"/>
          <w:lang w:val="en-AU"/>
        </w:rPr>
        <w:t>If</w:t>
      </w:r>
      <w:proofErr w:type="gramEnd"/>
      <w:r w:rsidR="00001183" w:rsidRPr="00001183">
        <w:rPr>
          <w:rFonts w:ascii="Times New Roman" w:hAnsi="Times New Roman"/>
          <w:sz w:val="24"/>
          <w:szCs w:val="24"/>
          <w:lang w:val="en-AU"/>
        </w:rPr>
        <w:t xml:space="preserve"> a customer </w:t>
      </w:r>
      <w:r w:rsidR="00506C64">
        <w:rPr>
          <w:rFonts w:ascii="Times New Roman" w:hAnsi="Times New Roman"/>
          <w:sz w:val="24"/>
          <w:szCs w:val="24"/>
          <w:lang w:val="en-AU"/>
        </w:rPr>
        <w:t>elects not</w:t>
      </w:r>
      <w:r w:rsidR="00506C64" w:rsidRPr="0000118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01183" w:rsidRPr="00001183">
        <w:rPr>
          <w:rFonts w:ascii="Times New Roman" w:hAnsi="Times New Roman"/>
          <w:sz w:val="24"/>
          <w:szCs w:val="24"/>
          <w:lang w:val="en-AU"/>
        </w:rPr>
        <w:t>to receive the notifications described in paragraphs 3(a), (b) and (c), the CSP must:</w:t>
      </w:r>
    </w:p>
    <w:p w14:paraId="0ED8C67B" w14:textId="6043CCA5" w:rsidR="00001183" w:rsidRPr="00001183" w:rsidRDefault="00522A43" w:rsidP="00001183">
      <w:pPr>
        <w:pStyle w:val="UnnumberedClause"/>
        <w:widowControl w:val="0"/>
        <w:numPr>
          <w:ilvl w:val="2"/>
          <w:numId w:val="26"/>
        </w:numPr>
        <w:spacing w:before="120" w:after="0"/>
        <w:ind w:left="1225" w:hanging="505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send an acknowledgement to the customer via SMS, </w:t>
      </w:r>
      <w:r w:rsidR="00001183" w:rsidRPr="00001183">
        <w:rPr>
          <w:rFonts w:ascii="Times New Roman" w:hAnsi="Times New Roman"/>
          <w:sz w:val="24"/>
          <w:szCs w:val="24"/>
          <w:lang w:val="en-AU"/>
        </w:rPr>
        <w:t>advis</w:t>
      </w:r>
      <w:r>
        <w:rPr>
          <w:rFonts w:ascii="Times New Roman" w:hAnsi="Times New Roman"/>
          <w:sz w:val="24"/>
          <w:szCs w:val="24"/>
          <w:lang w:val="en-AU"/>
        </w:rPr>
        <w:t>ing</w:t>
      </w:r>
      <w:r w:rsidR="00001183" w:rsidRPr="00001183">
        <w:rPr>
          <w:rFonts w:ascii="Times New Roman" w:hAnsi="Times New Roman"/>
          <w:sz w:val="24"/>
          <w:szCs w:val="24"/>
          <w:lang w:val="en-AU"/>
        </w:rPr>
        <w:t xml:space="preserve"> the customer that the customer may request to receive the notifications again at any time; and</w:t>
      </w:r>
    </w:p>
    <w:p w14:paraId="2D432524" w14:textId="1DE357BB" w:rsidR="00001183" w:rsidRPr="00001183" w:rsidRDefault="00506C64" w:rsidP="00001183">
      <w:pPr>
        <w:pStyle w:val="UnnumberedClause"/>
        <w:widowControl w:val="0"/>
        <w:numPr>
          <w:ilvl w:val="2"/>
          <w:numId w:val="26"/>
        </w:numPr>
        <w:spacing w:before="120" w:after="240"/>
        <w:ind w:left="1225" w:hanging="505"/>
        <w:rPr>
          <w:rFonts w:ascii="Times New Roman" w:hAnsi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/>
          <w:sz w:val="24"/>
          <w:szCs w:val="24"/>
          <w:lang w:val="en-AU"/>
        </w:rPr>
        <w:t>implement</w:t>
      </w:r>
      <w:proofErr w:type="gramEnd"/>
      <w:r w:rsidRPr="0000118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01183" w:rsidRPr="00001183">
        <w:rPr>
          <w:rFonts w:ascii="Times New Roman" w:hAnsi="Times New Roman"/>
          <w:sz w:val="24"/>
          <w:szCs w:val="24"/>
          <w:lang w:val="en-AU"/>
        </w:rPr>
        <w:t>any such request as soon as is reasonably practicable, at no cost to the customer.</w:t>
      </w:r>
    </w:p>
    <w:p w14:paraId="31E5D343" w14:textId="35A96891" w:rsidR="00001183" w:rsidRPr="00001183" w:rsidRDefault="00F40AFB" w:rsidP="00001183">
      <w:pPr>
        <w:tabs>
          <w:tab w:val="left" w:pos="567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(3D</w:t>
      </w:r>
      <w:r w:rsidR="00001183" w:rsidRPr="00001183">
        <w:rPr>
          <w:rFonts w:ascii="Times New Roman" w:hAnsi="Times New Roman"/>
          <w:sz w:val="24"/>
        </w:rPr>
        <w:t>)</w:t>
      </w:r>
      <w:r w:rsidR="00001183" w:rsidRPr="00001183">
        <w:rPr>
          <w:rFonts w:ascii="Times New Roman" w:hAnsi="Times New Roman"/>
          <w:sz w:val="24"/>
        </w:rPr>
        <w:tab/>
      </w:r>
      <w:r w:rsidR="00001183">
        <w:rPr>
          <w:rFonts w:ascii="Times New Roman" w:hAnsi="Times New Roman"/>
          <w:sz w:val="24"/>
        </w:rPr>
        <w:tab/>
      </w:r>
      <w:r w:rsidR="00001183" w:rsidRPr="00001183">
        <w:rPr>
          <w:rFonts w:ascii="Times New Roman" w:hAnsi="Times New Roman"/>
          <w:sz w:val="24"/>
        </w:rPr>
        <w:t>A CSP that make</w:t>
      </w:r>
      <w:r w:rsidR="00506C64">
        <w:rPr>
          <w:rFonts w:ascii="Times New Roman" w:hAnsi="Times New Roman"/>
          <w:sz w:val="24"/>
        </w:rPr>
        <w:t>s</w:t>
      </w:r>
      <w:r w:rsidR="00001183" w:rsidRPr="00001183">
        <w:rPr>
          <w:rFonts w:ascii="Times New Roman" w:hAnsi="Times New Roman"/>
          <w:sz w:val="24"/>
        </w:rPr>
        <w:t xml:space="preserve"> available methods for customers to </w:t>
      </w:r>
      <w:r w:rsidR="00506C64">
        <w:rPr>
          <w:rFonts w:ascii="Times New Roman" w:hAnsi="Times New Roman"/>
          <w:sz w:val="24"/>
        </w:rPr>
        <w:t xml:space="preserve">elect to </w:t>
      </w:r>
      <w:r w:rsidR="00001183" w:rsidRPr="00001183">
        <w:rPr>
          <w:rFonts w:ascii="Times New Roman" w:hAnsi="Times New Roman"/>
          <w:sz w:val="24"/>
        </w:rPr>
        <w:t xml:space="preserve">decline to receive the notifications described in paragraphs </w:t>
      </w:r>
      <w:r w:rsidR="00FA7B07">
        <w:rPr>
          <w:rFonts w:ascii="Times New Roman" w:hAnsi="Times New Roman"/>
          <w:sz w:val="24"/>
        </w:rPr>
        <w:t>(</w:t>
      </w:r>
      <w:r w:rsidR="00001183" w:rsidRPr="00001183">
        <w:rPr>
          <w:rFonts w:ascii="Times New Roman" w:hAnsi="Times New Roman"/>
          <w:sz w:val="24"/>
        </w:rPr>
        <w:t>3</w:t>
      </w:r>
      <w:r w:rsidR="00FA7B07">
        <w:rPr>
          <w:rFonts w:ascii="Times New Roman" w:hAnsi="Times New Roman"/>
          <w:sz w:val="24"/>
        </w:rPr>
        <w:t>)</w:t>
      </w:r>
      <w:r w:rsidR="00001183" w:rsidRPr="00001183">
        <w:rPr>
          <w:rFonts w:ascii="Times New Roman" w:hAnsi="Times New Roman"/>
          <w:sz w:val="24"/>
        </w:rPr>
        <w:t xml:space="preserve">(a), (b) and (c) must </w:t>
      </w:r>
      <w:r w:rsidR="00506C64">
        <w:rPr>
          <w:rFonts w:ascii="Times New Roman" w:hAnsi="Times New Roman"/>
          <w:sz w:val="24"/>
        </w:rPr>
        <w:t xml:space="preserve">also </w:t>
      </w:r>
      <w:r w:rsidR="00001183" w:rsidRPr="00001183">
        <w:rPr>
          <w:rFonts w:ascii="Times New Roman" w:hAnsi="Times New Roman"/>
          <w:sz w:val="24"/>
        </w:rPr>
        <w:t xml:space="preserve">make available methods for customers to quickly and easily establish whether they have </w:t>
      </w:r>
      <w:r w:rsidR="00574A41">
        <w:rPr>
          <w:rFonts w:ascii="Times New Roman" w:hAnsi="Times New Roman"/>
          <w:sz w:val="24"/>
        </w:rPr>
        <w:t xml:space="preserve">currently elected to </w:t>
      </w:r>
      <w:r w:rsidR="00001183" w:rsidRPr="00001183">
        <w:rPr>
          <w:rFonts w:ascii="Times New Roman" w:hAnsi="Times New Roman"/>
          <w:sz w:val="24"/>
        </w:rPr>
        <w:t>decline to receive those notifications.</w:t>
      </w:r>
    </w:p>
    <w:p w14:paraId="4A759E1E" w14:textId="77777777" w:rsidR="00775727" w:rsidRPr="009970D9" w:rsidRDefault="00775727" w:rsidP="009970D9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E0BC2B1" w14:textId="3F1D4F07" w:rsidR="004E2572" w:rsidRDefault="004E2572" w:rsidP="004E2572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506C64">
        <w:rPr>
          <w:rFonts w:cs="Arial"/>
          <w:b/>
          <w:sz w:val="24"/>
        </w:rPr>
        <w:t>8</w:t>
      </w:r>
      <w:r>
        <w:rPr>
          <w:rFonts w:cs="Arial"/>
          <w:b/>
          <w:sz w:val="24"/>
        </w:rPr>
        <w:t>] Sub</w:t>
      </w:r>
      <w:r w:rsidR="00001183">
        <w:rPr>
          <w:rFonts w:cs="Arial"/>
          <w:b/>
          <w:sz w:val="24"/>
        </w:rPr>
        <w:t>clause 9(9)</w:t>
      </w:r>
    </w:p>
    <w:p w14:paraId="4438CD1A" w14:textId="77777777" w:rsidR="004E2572" w:rsidRDefault="004E2572" w:rsidP="004E257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2213F40" w14:textId="7DDFD575" w:rsidR="004E2572" w:rsidRDefault="004E2572" w:rsidP="004E2572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Omit</w:t>
      </w:r>
      <w:r w:rsidR="00001183">
        <w:rPr>
          <w:rFonts w:ascii="Times New Roman" w:hAnsi="Times New Roman"/>
          <w:i/>
          <w:sz w:val="24"/>
        </w:rPr>
        <w:t xml:space="preserve"> </w:t>
      </w:r>
      <w:r w:rsidR="00001183" w:rsidRPr="00FA7B07">
        <w:rPr>
          <w:rFonts w:ascii="Times New Roman" w:hAnsi="Times New Roman"/>
          <w:sz w:val="24"/>
        </w:rPr>
        <w:t>“23 May 2016”</w:t>
      </w:r>
      <w:r>
        <w:rPr>
          <w:rFonts w:ascii="Times New Roman" w:hAnsi="Times New Roman"/>
          <w:i/>
          <w:sz w:val="24"/>
        </w:rPr>
        <w:t>, substitute</w:t>
      </w:r>
      <w:r w:rsidR="00001183">
        <w:rPr>
          <w:rFonts w:ascii="Times New Roman" w:hAnsi="Times New Roman"/>
          <w:i/>
          <w:sz w:val="24"/>
        </w:rPr>
        <w:t xml:space="preserve"> </w:t>
      </w:r>
      <w:r w:rsidR="00001183" w:rsidRPr="00FA7B07">
        <w:rPr>
          <w:rFonts w:ascii="Times New Roman" w:hAnsi="Times New Roman"/>
          <w:sz w:val="24"/>
        </w:rPr>
        <w:t>“1 January 2019”</w:t>
      </w:r>
      <w:r w:rsidR="00FA7B07">
        <w:rPr>
          <w:rFonts w:ascii="Times New Roman" w:hAnsi="Times New Roman"/>
          <w:sz w:val="24"/>
        </w:rPr>
        <w:t>.</w:t>
      </w:r>
    </w:p>
    <w:sectPr w:rsidR="004E2572" w:rsidSect="00A816C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8C62" w14:textId="77777777" w:rsidR="00814927" w:rsidRDefault="00814927">
      <w:r>
        <w:separator/>
      </w:r>
    </w:p>
  </w:endnote>
  <w:endnote w:type="continuationSeparator" w:id="0">
    <w:p w14:paraId="0347EE4B" w14:textId="77777777" w:rsidR="00814927" w:rsidRDefault="0081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E86A" w14:textId="77777777" w:rsidR="00B9239A" w:rsidRDefault="00B9239A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9239A" w14:paraId="059824B7" w14:textId="77777777">
      <w:tc>
        <w:tcPr>
          <w:tcW w:w="1134" w:type="dxa"/>
        </w:tcPr>
        <w:p w14:paraId="0F7C0E77" w14:textId="77777777" w:rsidR="00B9239A" w:rsidRPr="003D7214" w:rsidRDefault="00B9239A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543AA8C" w14:textId="77777777" w:rsidR="00B9239A" w:rsidRPr="004F5D6D" w:rsidRDefault="00965D23" w:rsidP="00A816C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1B7DEE">
            <w:rPr>
              <w:noProof/>
            </w:rPr>
            <w:t>Telecommunications (International Mobile Roaming) Industry Standard Variation 2016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2FF282FE" w14:textId="77777777" w:rsidR="00B9239A" w:rsidRPr="00451BF5" w:rsidRDefault="00B9239A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C53D2C" w14:textId="77777777" w:rsidR="00B9239A" w:rsidRDefault="00B9239A" w:rsidP="00A816CE">
    <w:pPr>
      <w:pStyle w:val="FooterDraft"/>
      <w:ind w:right="360" w:firstLine="360"/>
    </w:pPr>
    <w:r>
      <w:t>DRAFT ONLY</w:t>
    </w:r>
  </w:p>
  <w:p w14:paraId="01C89FC6" w14:textId="6B1C02A1" w:rsidR="00B9239A" w:rsidRDefault="00965D23" w:rsidP="00A816C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1B7DEE">
      <w:rPr>
        <w:noProof/>
      </w:rPr>
      <w:t>Variation - IMR Standard - 120416 - version for authority package.docx</w:t>
    </w:r>
    <w:r>
      <w:rPr>
        <w:noProof/>
      </w:rPr>
      <w:fldChar w:fldCharType="end"/>
    </w:r>
    <w:r w:rsidR="00B9239A" w:rsidRPr="00974D8C">
      <w:t xml:space="preserve"> </w:t>
    </w:r>
    <w:r w:rsidR="00B9239A">
      <w:fldChar w:fldCharType="begin"/>
    </w:r>
    <w:r w:rsidR="00B9239A">
      <w:instrText xml:space="preserve"> DATE  \@ "D/MM/YYYY"  \* MERGEFORMAT </w:instrText>
    </w:r>
    <w:r w:rsidR="00B9239A">
      <w:fldChar w:fldCharType="separate"/>
    </w:r>
    <w:r>
      <w:rPr>
        <w:noProof/>
      </w:rPr>
      <w:t>2/05/2016</w:t>
    </w:r>
    <w:r w:rsidR="00B9239A">
      <w:rPr>
        <w:noProof/>
      </w:rPr>
      <w:fldChar w:fldCharType="end"/>
    </w:r>
    <w:r w:rsidR="00B9239A">
      <w:t xml:space="preserve"> </w:t>
    </w:r>
    <w:r w:rsidR="00B9239A">
      <w:fldChar w:fldCharType="begin"/>
    </w:r>
    <w:r w:rsidR="00B9239A">
      <w:instrText xml:space="preserve"> TIME  \@ "h:mm am/pm"  \* MERGEFORMAT </w:instrText>
    </w:r>
    <w:r w:rsidR="00B9239A">
      <w:fldChar w:fldCharType="separate"/>
    </w:r>
    <w:r>
      <w:rPr>
        <w:noProof/>
      </w:rPr>
      <w:t>2:24 PM</w:t>
    </w:r>
    <w:r w:rsidR="00B9239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3053" w14:textId="77777777" w:rsidR="00B9239A" w:rsidRDefault="00B9239A" w:rsidP="00A816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9239A" w14:paraId="1FEE5D90" w14:textId="77777777">
      <w:tc>
        <w:tcPr>
          <w:tcW w:w="1134" w:type="dxa"/>
        </w:tcPr>
        <w:p w14:paraId="71A2DE18" w14:textId="77777777" w:rsidR="00B9239A" w:rsidRDefault="00B9239A" w:rsidP="00A816CE">
          <w:pPr>
            <w:spacing w:line="240" w:lineRule="exact"/>
          </w:pPr>
        </w:p>
      </w:tc>
      <w:tc>
        <w:tcPr>
          <w:tcW w:w="6095" w:type="dxa"/>
        </w:tcPr>
        <w:p w14:paraId="102F3C9A" w14:textId="77777777" w:rsidR="00B9239A" w:rsidRPr="004F5D6D" w:rsidRDefault="00965D23" w:rsidP="00A816CE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Telecommunications (International Mobile Roaming) Industry Standard Variation 2016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7F349969" w14:textId="77777777" w:rsidR="00B9239A" w:rsidRPr="003D7214" w:rsidRDefault="00B9239A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65D23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6882014" w14:textId="77777777" w:rsidR="00B9239A" w:rsidRDefault="00B9239A" w:rsidP="00E93F1A">
    <w:pPr>
      <w:pStyle w:val="FooterDraf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421C" w14:textId="77777777" w:rsidR="00814927" w:rsidRDefault="00814927">
      <w:r>
        <w:separator/>
      </w:r>
    </w:p>
  </w:footnote>
  <w:footnote w:type="continuationSeparator" w:id="0">
    <w:p w14:paraId="2B6DB620" w14:textId="77777777" w:rsidR="00814927" w:rsidRDefault="0081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9239A" w14:paraId="63B31DCF" w14:textId="77777777">
      <w:tc>
        <w:tcPr>
          <w:tcW w:w="1494" w:type="dxa"/>
        </w:tcPr>
        <w:p w14:paraId="5413114F" w14:textId="77777777" w:rsidR="00B9239A" w:rsidRDefault="00B9239A" w:rsidP="00A816CE">
          <w:pPr>
            <w:pStyle w:val="HeaderLiteEven"/>
          </w:pPr>
        </w:p>
      </w:tc>
      <w:tc>
        <w:tcPr>
          <w:tcW w:w="6891" w:type="dxa"/>
        </w:tcPr>
        <w:p w14:paraId="7A8BE3E7" w14:textId="77777777" w:rsidR="00B9239A" w:rsidRDefault="00B9239A" w:rsidP="00A816CE">
          <w:pPr>
            <w:pStyle w:val="HeaderLiteEven"/>
          </w:pPr>
        </w:p>
      </w:tc>
    </w:tr>
    <w:tr w:rsidR="00B9239A" w14:paraId="7A949E9D" w14:textId="77777777">
      <w:tc>
        <w:tcPr>
          <w:tcW w:w="1494" w:type="dxa"/>
        </w:tcPr>
        <w:p w14:paraId="698B8901" w14:textId="77777777" w:rsidR="00B9239A" w:rsidRDefault="00B9239A" w:rsidP="00A816CE">
          <w:pPr>
            <w:pStyle w:val="HeaderLiteEven"/>
          </w:pPr>
        </w:p>
      </w:tc>
      <w:tc>
        <w:tcPr>
          <w:tcW w:w="6891" w:type="dxa"/>
        </w:tcPr>
        <w:p w14:paraId="2913E067" w14:textId="77777777" w:rsidR="00B9239A" w:rsidRDefault="00B9239A" w:rsidP="00A816CE">
          <w:pPr>
            <w:pStyle w:val="HeaderLiteEven"/>
          </w:pPr>
        </w:p>
      </w:tc>
    </w:tr>
    <w:tr w:rsidR="00B9239A" w14:paraId="3CB26F3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295ED04" w14:textId="77777777" w:rsidR="00B9239A" w:rsidRDefault="00B9239A" w:rsidP="00A816CE">
          <w:pPr>
            <w:pStyle w:val="HeaderBoldEven"/>
          </w:pPr>
        </w:p>
      </w:tc>
    </w:tr>
  </w:tbl>
  <w:p w14:paraId="24619D19" w14:textId="77777777" w:rsidR="00B9239A" w:rsidRDefault="00B9239A" w:rsidP="00A816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65"/>
      <w:gridCol w:w="1448"/>
    </w:tblGrid>
    <w:tr w:rsidR="00B9239A" w14:paraId="58AB82BD" w14:textId="77777777">
      <w:tc>
        <w:tcPr>
          <w:tcW w:w="6914" w:type="dxa"/>
        </w:tcPr>
        <w:p w14:paraId="296C0265" w14:textId="77777777" w:rsidR="00B9239A" w:rsidRDefault="00B9239A" w:rsidP="00A816CE">
          <w:pPr>
            <w:pStyle w:val="HeaderLiteOdd"/>
          </w:pPr>
        </w:p>
      </w:tc>
      <w:tc>
        <w:tcPr>
          <w:tcW w:w="1471" w:type="dxa"/>
        </w:tcPr>
        <w:p w14:paraId="2FA499C2" w14:textId="77777777" w:rsidR="00B9239A" w:rsidRDefault="00B9239A" w:rsidP="00A816CE">
          <w:pPr>
            <w:pStyle w:val="HeaderLiteOdd"/>
          </w:pPr>
        </w:p>
      </w:tc>
    </w:tr>
    <w:tr w:rsidR="00B9239A" w14:paraId="2EFAFE09" w14:textId="77777777">
      <w:tc>
        <w:tcPr>
          <w:tcW w:w="6914" w:type="dxa"/>
        </w:tcPr>
        <w:p w14:paraId="46C36FA4" w14:textId="77777777" w:rsidR="00B9239A" w:rsidRDefault="00B9239A" w:rsidP="009E13E8">
          <w:pPr>
            <w:pStyle w:val="HeaderLiteOdd"/>
            <w:tabs>
              <w:tab w:val="left" w:pos="4908"/>
            </w:tabs>
            <w:jc w:val="left"/>
          </w:pPr>
          <w:r>
            <w:tab/>
          </w:r>
          <w:r>
            <w:tab/>
          </w:r>
        </w:p>
      </w:tc>
      <w:tc>
        <w:tcPr>
          <w:tcW w:w="1471" w:type="dxa"/>
        </w:tcPr>
        <w:p w14:paraId="529EBE65" w14:textId="77777777" w:rsidR="00B9239A" w:rsidRDefault="00B9239A" w:rsidP="00A816CE">
          <w:pPr>
            <w:pStyle w:val="HeaderLiteOdd"/>
          </w:pPr>
        </w:p>
      </w:tc>
    </w:tr>
    <w:tr w:rsidR="00B9239A" w14:paraId="3CBF203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DF074D6" w14:textId="77777777" w:rsidR="00B9239A" w:rsidRDefault="00B9239A" w:rsidP="00A816CE">
          <w:pPr>
            <w:pStyle w:val="HeaderBoldOdd"/>
          </w:pPr>
        </w:p>
      </w:tc>
    </w:tr>
  </w:tbl>
  <w:p w14:paraId="0B43BC2B" w14:textId="77777777" w:rsidR="00B9239A" w:rsidRDefault="00B9239A" w:rsidP="00A816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769"/>
    <w:multiLevelType w:val="hybridMultilevel"/>
    <w:tmpl w:val="ADE48120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7B96B24"/>
    <w:multiLevelType w:val="multilevel"/>
    <w:tmpl w:val="376A62FA"/>
    <w:lvl w:ilvl="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16"/>
        </w:tabs>
        <w:ind w:left="2116" w:hanging="432"/>
      </w:pPr>
    </w:lvl>
    <w:lvl w:ilvl="2">
      <w:start w:val="1"/>
      <w:numFmt w:val="decimal"/>
      <w:lvlText w:val="%1.%2.%3."/>
      <w:lvlJc w:val="left"/>
      <w:pPr>
        <w:tabs>
          <w:tab w:val="num" w:pos="2764"/>
        </w:tabs>
        <w:ind w:left="2548" w:hanging="504"/>
      </w:pPr>
    </w:lvl>
    <w:lvl w:ilvl="3">
      <w:start w:val="1"/>
      <w:numFmt w:val="decimal"/>
      <w:lvlText w:val="%1.%2.%3.%4."/>
      <w:lvlJc w:val="left"/>
      <w:pPr>
        <w:tabs>
          <w:tab w:val="num" w:pos="3484"/>
        </w:tabs>
        <w:ind w:left="3052" w:hanging="648"/>
      </w:pPr>
    </w:lvl>
    <w:lvl w:ilvl="4">
      <w:start w:val="1"/>
      <w:numFmt w:val="decimal"/>
      <w:lvlText w:val="%1.%2.%3.%4.%5."/>
      <w:lvlJc w:val="left"/>
      <w:pPr>
        <w:tabs>
          <w:tab w:val="num" w:pos="3844"/>
        </w:tabs>
        <w:ind w:left="3556" w:hanging="792"/>
      </w:pPr>
    </w:lvl>
    <w:lvl w:ilvl="5">
      <w:start w:val="1"/>
      <w:numFmt w:val="decimal"/>
      <w:lvlText w:val="%1.%2.%3.%4.%5.%6."/>
      <w:lvlJc w:val="left"/>
      <w:pPr>
        <w:tabs>
          <w:tab w:val="num" w:pos="4564"/>
        </w:tabs>
        <w:ind w:left="40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24"/>
        </w:tabs>
        <w:ind w:left="45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44"/>
        </w:tabs>
        <w:ind w:left="50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644" w:hanging="1440"/>
      </w:pPr>
    </w:lvl>
  </w:abstractNum>
  <w:abstractNum w:abstractNumId="2">
    <w:nsid w:val="087531E4"/>
    <w:multiLevelType w:val="hybridMultilevel"/>
    <w:tmpl w:val="8FDC7E94"/>
    <w:lvl w:ilvl="0" w:tplc="52DC3A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9F4EBC"/>
    <w:multiLevelType w:val="hybridMultilevel"/>
    <w:tmpl w:val="B0A8982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505BB"/>
    <w:multiLevelType w:val="hybridMultilevel"/>
    <w:tmpl w:val="5934A6DE"/>
    <w:lvl w:ilvl="0" w:tplc="282ECC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3162"/>
    <w:multiLevelType w:val="hybridMultilevel"/>
    <w:tmpl w:val="724C6F50"/>
    <w:lvl w:ilvl="0" w:tplc="D5F80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80525"/>
    <w:multiLevelType w:val="hybridMultilevel"/>
    <w:tmpl w:val="55BC80A8"/>
    <w:lvl w:ilvl="0" w:tplc="0ECADC64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286CCE"/>
    <w:multiLevelType w:val="hybridMultilevel"/>
    <w:tmpl w:val="D4A422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1FDA"/>
    <w:multiLevelType w:val="hybridMultilevel"/>
    <w:tmpl w:val="0FC67ECC"/>
    <w:lvl w:ilvl="0" w:tplc="7C6A67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45AE9"/>
    <w:multiLevelType w:val="hybridMultilevel"/>
    <w:tmpl w:val="E9F272DE"/>
    <w:lvl w:ilvl="0" w:tplc="12826C4A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>
    <w:nsid w:val="2D2E6F63"/>
    <w:multiLevelType w:val="hybridMultilevel"/>
    <w:tmpl w:val="2484328E"/>
    <w:lvl w:ilvl="0" w:tplc="F9B4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5255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37AC0"/>
    <w:multiLevelType w:val="hybridMultilevel"/>
    <w:tmpl w:val="47420D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A32"/>
    <w:multiLevelType w:val="hybridMultilevel"/>
    <w:tmpl w:val="98A46E2E"/>
    <w:lvl w:ilvl="0" w:tplc="2366411E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A251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D01088A"/>
    <w:multiLevelType w:val="hybridMultilevel"/>
    <w:tmpl w:val="6FA6BAF6"/>
    <w:lvl w:ilvl="0" w:tplc="05AE3F5E">
      <w:start w:val="1"/>
      <w:numFmt w:val="decimal"/>
      <w:lvlText w:val="(%1)"/>
      <w:lvlJc w:val="righ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7" w:hanging="360"/>
      </w:pPr>
    </w:lvl>
    <w:lvl w:ilvl="2" w:tplc="0C09001B" w:tentative="1">
      <w:start w:val="1"/>
      <w:numFmt w:val="lowerRoman"/>
      <w:lvlText w:val="%3."/>
      <w:lvlJc w:val="right"/>
      <w:pPr>
        <w:ind w:left="1157" w:hanging="180"/>
      </w:pPr>
    </w:lvl>
    <w:lvl w:ilvl="3" w:tplc="0C09000F" w:tentative="1">
      <w:start w:val="1"/>
      <w:numFmt w:val="decimal"/>
      <w:lvlText w:val="%4."/>
      <w:lvlJc w:val="left"/>
      <w:pPr>
        <w:ind w:left="1877" w:hanging="360"/>
      </w:pPr>
    </w:lvl>
    <w:lvl w:ilvl="4" w:tplc="0C090019" w:tentative="1">
      <w:start w:val="1"/>
      <w:numFmt w:val="lowerLetter"/>
      <w:lvlText w:val="%5."/>
      <w:lvlJc w:val="left"/>
      <w:pPr>
        <w:ind w:left="2597" w:hanging="360"/>
      </w:pPr>
    </w:lvl>
    <w:lvl w:ilvl="5" w:tplc="0C09001B" w:tentative="1">
      <w:start w:val="1"/>
      <w:numFmt w:val="lowerRoman"/>
      <w:lvlText w:val="%6."/>
      <w:lvlJc w:val="right"/>
      <w:pPr>
        <w:ind w:left="3317" w:hanging="180"/>
      </w:pPr>
    </w:lvl>
    <w:lvl w:ilvl="6" w:tplc="0C09000F" w:tentative="1">
      <w:start w:val="1"/>
      <w:numFmt w:val="decimal"/>
      <w:lvlText w:val="%7."/>
      <w:lvlJc w:val="left"/>
      <w:pPr>
        <w:ind w:left="4037" w:hanging="360"/>
      </w:pPr>
    </w:lvl>
    <w:lvl w:ilvl="7" w:tplc="0C090019" w:tentative="1">
      <w:start w:val="1"/>
      <w:numFmt w:val="lowerLetter"/>
      <w:lvlText w:val="%8."/>
      <w:lvlJc w:val="left"/>
      <w:pPr>
        <w:ind w:left="4757" w:hanging="360"/>
      </w:pPr>
    </w:lvl>
    <w:lvl w:ilvl="8" w:tplc="0C0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5">
    <w:nsid w:val="3F5F502A"/>
    <w:multiLevelType w:val="hybridMultilevel"/>
    <w:tmpl w:val="5AC22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74F3"/>
    <w:multiLevelType w:val="hybridMultilevel"/>
    <w:tmpl w:val="36BE7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91697"/>
    <w:multiLevelType w:val="multilevel"/>
    <w:tmpl w:val="5FCA1F68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 w:val="0"/>
        <w:color w:val="auto"/>
        <w:sz w:val="24"/>
        <w:szCs w:val="24"/>
      </w:rPr>
    </w:lvl>
    <w:lvl w:ilvl="2">
      <w:start w:val="1"/>
      <w:numFmt w:val="decimal"/>
      <w:lvlText w:val="(%3)"/>
      <w:lvlJc w:val="left"/>
      <w:pPr>
        <w:ind w:left="546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color w:val="000000" w:themeColor="text1"/>
        <w:sz w:val="20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2147B5"/>
    <w:multiLevelType w:val="multilevel"/>
    <w:tmpl w:val="E5D236D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>
      <w:start w:val="3"/>
      <w:numFmt w:val="decimal"/>
      <w:lvlText w:val="(%2)"/>
      <w:lvlJc w:val="left"/>
      <w:pPr>
        <w:ind w:left="1425" w:hanging="432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ind w:left="1944" w:hanging="504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lowerRoman"/>
      <w:lvlText w:val="(%4)"/>
      <w:lvlJc w:val="left"/>
      <w:pPr>
        <w:ind w:left="2448" w:hanging="648"/>
      </w:pPr>
      <w:rPr>
        <w:rFonts w:hint="default"/>
        <w:b w:val="0"/>
        <w:color w:val="000000" w:themeColor="text1"/>
        <w:sz w:val="20"/>
        <w:szCs w:val="22"/>
      </w:rPr>
    </w:lvl>
    <w:lvl w:ilvl="4">
      <w:start w:val="1"/>
      <w:numFmt w:val="lowerLetter"/>
      <w:lvlText w:val="(%5)"/>
      <w:lvlJc w:val="left"/>
      <w:pPr>
        <w:ind w:left="2952" w:hanging="79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56" w:hanging="93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9">
    <w:nsid w:val="548E22CD"/>
    <w:multiLevelType w:val="hybridMultilevel"/>
    <w:tmpl w:val="DAA8E03E"/>
    <w:lvl w:ilvl="0" w:tplc="C552556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96120C2"/>
    <w:multiLevelType w:val="hybridMultilevel"/>
    <w:tmpl w:val="294C9DF2"/>
    <w:lvl w:ilvl="0" w:tplc="99EA3DB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F1C52"/>
    <w:multiLevelType w:val="hybridMultilevel"/>
    <w:tmpl w:val="1D140752"/>
    <w:lvl w:ilvl="0" w:tplc="230CFBD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16778"/>
    <w:multiLevelType w:val="hybridMultilevel"/>
    <w:tmpl w:val="BC662BD4"/>
    <w:lvl w:ilvl="0" w:tplc="B05C5F6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22AF7"/>
    <w:multiLevelType w:val="hybridMultilevel"/>
    <w:tmpl w:val="A02421D8"/>
    <w:lvl w:ilvl="0" w:tplc="D27A1F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92FDB"/>
    <w:multiLevelType w:val="hybridMultilevel"/>
    <w:tmpl w:val="613EF3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C0423A66">
      <w:start w:val="1"/>
      <w:numFmt w:val="lowerLetter"/>
      <w:lvlText w:val="(%3)"/>
      <w:lvlJc w:val="left"/>
      <w:pPr>
        <w:ind w:left="2160" w:hanging="180"/>
      </w:pPr>
      <w:rPr>
        <w:rFonts w:ascii="Arial" w:hAnsi="Arial" w:hint="default"/>
        <w:sz w:val="22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9"/>
  </w:num>
  <w:num w:numId="5">
    <w:abstractNumId w:val="21"/>
  </w:num>
  <w:num w:numId="6">
    <w:abstractNumId w:val="25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12"/>
  </w:num>
  <w:num w:numId="16">
    <w:abstractNumId w:val="22"/>
  </w:num>
  <w:num w:numId="17">
    <w:abstractNumId w:val="3"/>
  </w:num>
  <w:num w:numId="18">
    <w:abstractNumId w:val="24"/>
  </w:num>
  <w:num w:numId="19">
    <w:abstractNumId w:val="16"/>
  </w:num>
  <w:num w:numId="20">
    <w:abstractNumId w:val="8"/>
  </w:num>
  <w:num w:numId="21">
    <w:abstractNumId w:val="4"/>
  </w:num>
  <w:num w:numId="22">
    <w:abstractNumId w:val="20"/>
  </w:num>
  <w:num w:numId="23">
    <w:abstractNumId w:val="6"/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E"/>
    <w:rsid w:val="00001183"/>
    <w:rsid w:val="000339FA"/>
    <w:rsid w:val="00040B27"/>
    <w:rsid w:val="00061CA1"/>
    <w:rsid w:val="00080828"/>
    <w:rsid w:val="0008708D"/>
    <w:rsid w:val="000A2F60"/>
    <w:rsid w:val="000A3798"/>
    <w:rsid w:val="000B5561"/>
    <w:rsid w:val="000B6676"/>
    <w:rsid w:val="000C7629"/>
    <w:rsid w:val="000D139D"/>
    <w:rsid w:val="000E3888"/>
    <w:rsid w:val="000E5267"/>
    <w:rsid w:val="000E5425"/>
    <w:rsid w:val="000F366D"/>
    <w:rsid w:val="000F6F9B"/>
    <w:rsid w:val="001110A2"/>
    <w:rsid w:val="0011631E"/>
    <w:rsid w:val="00125BCE"/>
    <w:rsid w:val="001266DF"/>
    <w:rsid w:val="001303E4"/>
    <w:rsid w:val="00142FA9"/>
    <w:rsid w:val="0015040D"/>
    <w:rsid w:val="00180C44"/>
    <w:rsid w:val="00190BFE"/>
    <w:rsid w:val="001941D8"/>
    <w:rsid w:val="001976FD"/>
    <w:rsid w:val="001A356B"/>
    <w:rsid w:val="001B3BC5"/>
    <w:rsid w:val="001B612E"/>
    <w:rsid w:val="001B7DEE"/>
    <w:rsid w:val="001D1EF0"/>
    <w:rsid w:val="001D58AB"/>
    <w:rsid w:val="001D7C00"/>
    <w:rsid w:val="001F4CB5"/>
    <w:rsid w:val="00202034"/>
    <w:rsid w:val="00207BD4"/>
    <w:rsid w:val="00210CCA"/>
    <w:rsid w:val="002141D2"/>
    <w:rsid w:val="00224FDF"/>
    <w:rsid w:val="002354F7"/>
    <w:rsid w:val="00235AFB"/>
    <w:rsid w:val="00242A00"/>
    <w:rsid w:val="0025346B"/>
    <w:rsid w:val="00260BB8"/>
    <w:rsid w:val="0026674F"/>
    <w:rsid w:val="0027201C"/>
    <w:rsid w:val="00297368"/>
    <w:rsid w:val="002A4306"/>
    <w:rsid w:val="002A58A0"/>
    <w:rsid w:val="002B0875"/>
    <w:rsid w:val="002B2195"/>
    <w:rsid w:val="002B69A8"/>
    <w:rsid w:val="002D4846"/>
    <w:rsid w:val="002D7D12"/>
    <w:rsid w:val="002F09BC"/>
    <w:rsid w:val="00312044"/>
    <w:rsid w:val="00323199"/>
    <w:rsid w:val="00324FB8"/>
    <w:rsid w:val="00326680"/>
    <w:rsid w:val="00327E64"/>
    <w:rsid w:val="00345700"/>
    <w:rsid w:val="00345AD3"/>
    <w:rsid w:val="00347C89"/>
    <w:rsid w:val="00347D10"/>
    <w:rsid w:val="003544FF"/>
    <w:rsid w:val="0036263D"/>
    <w:rsid w:val="00373587"/>
    <w:rsid w:val="00376354"/>
    <w:rsid w:val="003869FA"/>
    <w:rsid w:val="003A346C"/>
    <w:rsid w:val="003A6DF0"/>
    <w:rsid w:val="003B5DBA"/>
    <w:rsid w:val="003B6A65"/>
    <w:rsid w:val="003D29AB"/>
    <w:rsid w:val="003D4D54"/>
    <w:rsid w:val="003F2688"/>
    <w:rsid w:val="003F35D3"/>
    <w:rsid w:val="00407D37"/>
    <w:rsid w:val="0041641F"/>
    <w:rsid w:val="004347D0"/>
    <w:rsid w:val="00443D90"/>
    <w:rsid w:val="004443F6"/>
    <w:rsid w:val="00445561"/>
    <w:rsid w:val="00450449"/>
    <w:rsid w:val="00461797"/>
    <w:rsid w:val="0049289F"/>
    <w:rsid w:val="004A5092"/>
    <w:rsid w:val="004A70D4"/>
    <w:rsid w:val="004B5F09"/>
    <w:rsid w:val="004C0AF3"/>
    <w:rsid w:val="004C1CA5"/>
    <w:rsid w:val="004C257F"/>
    <w:rsid w:val="004D0EBE"/>
    <w:rsid w:val="004D64E9"/>
    <w:rsid w:val="004D6B7B"/>
    <w:rsid w:val="004E2572"/>
    <w:rsid w:val="004E293B"/>
    <w:rsid w:val="00505C84"/>
    <w:rsid w:val="00506C64"/>
    <w:rsid w:val="00507A3F"/>
    <w:rsid w:val="00522A43"/>
    <w:rsid w:val="00533012"/>
    <w:rsid w:val="0054597A"/>
    <w:rsid w:val="00554167"/>
    <w:rsid w:val="00554578"/>
    <w:rsid w:val="00565925"/>
    <w:rsid w:val="005664FE"/>
    <w:rsid w:val="00572C88"/>
    <w:rsid w:val="00574A41"/>
    <w:rsid w:val="00584EEA"/>
    <w:rsid w:val="00593AA3"/>
    <w:rsid w:val="00596874"/>
    <w:rsid w:val="005A4382"/>
    <w:rsid w:val="005A5EEC"/>
    <w:rsid w:val="005A6481"/>
    <w:rsid w:val="005A7020"/>
    <w:rsid w:val="005B4B34"/>
    <w:rsid w:val="005B505A"/>
    <w:rsid w:val="005C5730"/>
    <w:rsid w:val="005D3B6B"/>
    <w:rsid w:val="005D571E"/>
    <w:rsid w:val="005E0A33"/>
    <w:rsid w:val="005F4FF4"/>
    <w:rsid w:val="00600BE1"/>
    <w:rsid w:val="00605C98"/>
    <w:rsid w:val="006237A0"/>
    <w:rsid w:val="00637677"/>
    <w:rsid w:val="00644BC0"/>
    <w:rsid w:val="0065382F"/>
    <w:rsid w:val="00661D8E"/>
    <w:rsid w:val="00666077"/>
    <w:rsid w:val="00680718"/>
    <w:rsid w:val="006A7CBF"/>
    <w:rsid w:val="006B11B8"/>
    <w:rsid w:val="006B1295"/>
    <w:rsid w:val="006B2890"/>
    <w:rsid w:val="006B7A57"/>
    <w:rsid w:val="006C3FC9"/>
    <w:rsid w:val="006D3FB2"/>
    <w:rsid w:val="006E1B30"/>
    <w:rsid w:val="00707754"/>
    <w:rsid w:val="00712705"/>
    <w:rsid w:val="00720EE4"/>
    <w:rsid w:val="007250C8"/>
    <w:rsid w:val="00747125"/>
    <w:rsid w:val="00756755"/>
    <w:rsid w:val="0077153B"/>
    <w:rsid w:val="00774B1B"/>
    <w:rsid w:val="00775727"/>
    <w:rsid w:val="00786C9A"/>
    <w:rsid w:val="00790B65"/>
    <w:rsid w:val="007B0262"/>
    <w:rsid w:val="007B5FB4"/>
    <w:rsid w:val="007E388B"/>
    <w:rsid w:val="007E7691"/>
    <w:rsid w:val="007F2930"/>
    <w:rsid w:val="007F3996"/>
    <w:rsid w:val="00812BE1"/>
    <w:rsid w:val="00814927"/>
    <w:rsid w:val="008200E9"/>
    <w:rsid w:val="0082321D"/>
    <w:rsid w:val="008312AB"/>
    <w:rsid w:val="008543F2"/>
    <w:rsid w:val="008606D4"/>
    <w:rsid w:val="00860F6F"/>
    <w:rsid w:val="008610B4"/>
    <w:rsid w:val="0086521E"/>
    <w:rsid w:val="0087632C"/>
    <w:rsid w:val="00876935"/>
    <w:rsid w:val="008828D6"/>
    <w:rsid w:val="008A418A"/>
    <w:rsid w:val="008A6BE9"/>
    <w:rsid w:val="008C4EDA"/>
    <w:rsid w:val="008E5886"/>
    <w:rsid w:val="008F12D0"/>
    <w:rsid w:val="008F44A1"/>
    <w:rsid w:val="00923D82"/>
    <w:rsid w:val="00927716"/>
    <w:rsid w:val="009308C2"/>
    <w:rsid w:val="009315E3"/>
    <w:rsid w:val="009408F8"/>
    <w:rsid w:val="00952DF9"/>
    <w:rsid w:val="00954A4C"/>
    <w:rsid w:val="00957126"/>
    <w:rsid w:val="009651D1"/>
    <w:rsid w:val="00965D23"/>
    <w:rsid w:val="00980C3C"/>
    <w:rsid w:val="00986AFF"/>
    <w:rsid w:val="00991A22"/>
    <w:rsid w:val="009957AA"/>
    <w:rsid w:val="009970D9"/>
    <w:rsid w:val="009A1BED"/>
    <w:rsid w:val="009E13E8"/>
    <w:rsid w:val="009E368C"/>
    <w:rsid w:val="009E5C54"/>
    <w:rsid w:val="009E6CCB"/>
    <w:rsid w:val="009F4122"/>
    <w:rsid w:val="00A01563"/>
    <w:rsid w:val="00A15133"/>
    <w:rsid w:val="00A2123E"/>
    <w:rsid w:val="00A33494"/>
    <w:rsid w:val="00A42974"/>
    <w:rsid w:val="00A47C76"/>
    <w:rsid w:val="00A55968"/>
    <w:rsid w:val="00A816CE"/>
    <w:rsid w:val="00A9680E"/>
    <w:rsid w:val="00AA667A"/>
    <w:rsid w:val="00AB17A5"/>
    <w:rsid w:val="00AB5928"/>
    <w:rsid w:val="00AC57A5"/>
    <w:rsid w:val="00AD3AF3"/>
    <w:rsid w:val="00AD7AD2"/>
    <w:rsid w:val="00B0379E"/>
    <w:rsid w:val="00B21C79"/>
    <w:rsid w:val="00B233EE"/>
    <w:rsid w:val="00B55F33"/>
    <w:rsid w:val="00B5709C"/>
    <w:rsid w:val="00B57138"/>
    <w:rsid w:val="00B8129D"/>
    <w:rsid w:val="00B877FF"/>
    <w:rsid w:val="00B9239A"/>
    <w:rsid w:val="00BA69C4"/>
    <w:rsid w:val="00BA7393"/>
    <w:rsid w:val="00BB059F"/>
    <w:rsid w:val="00BB18DF"/>
    <w:rsid w:val="00BB1A8C"/>
    <w:rsid w:val="00BB3E47"/>
    <w:rsid w:val="00BB5EBF"/>
    <w:rsid w:val="00BC4800"/>
    <w:rsid w:val="00BE6770"/>
    <w:rsid w:val="00BF009C"/>
    <w:rsid w:val="00C003C3"/>
    <w:rsid w:val="00C03133"/>
    <w:rsid w:val="00C154E7"/>
    <w:rsid w:val="00C20794"/>
    <w:rsid w:val="00C23555"/>
    <w:rsid w:val="00C23981"/>
    <w:rsid w:val="00C26580"/>
    <w:rsid w:val="00C408A9"/>
    <w:rsid w:val="00C51ED9"/>
    <w:rsid w:val="00C63E31"/>
    <w:rsid w:val="00C706A3"/>
    <w:rsid w:val="00C812ED"/>
    <w:rsid w:val="00C82589"/>
    <w:rsid w:val="00CA4273"/>
    <w:rsid w:val="00CA5025"/>
    <w:rsid w:val="00CA711C"/>
    <w:rsid w:val="00CC5FF7"/>
    <w:rsid w:val="00CD6003"/>
    <w:rsid w:val="00CD6BD7"/>
    <w:rsid w:val="00CE2E8C"/>
    <w:rsid w:val="00CF5766"/>
    <w:rsid w:val="00D40D30"/>
    <w:rsid w:val="00D44353"/>
    <w:rsid w:val="00D4555E"/>
    <w:rsid w:val="00D455DF"/>
    <w:rsid w:val="00D45835"/>
    <w:rsid w:val="00D5235C"/>
    <w:rsid w:val="00D54323"/>
    <w:rsid w:val="00D722FB"/>
    <w:rsid w:val="00DA3386"/>
    <w:rsid w:val="00DB3048"/>
    <w:rsid w:val="00DC0D5D"/>
    <w:rsid w:val="00DD23FD"/>
    <w:rsid w:val="00DD6387"/>
    <w:rsid w:val="00DF4BAC"/>
    <w:rsid w:val="00DF51A2"/>
    <w:rsid w:val="00E0384A"/>
    <w:rsid w:val="00E06ADA"/>
    <w:rsid w:val="00E22874"/>
    <w:rsid w:val="00E27025"/>
    <w:rsid w:val="00E32BB4"/>
    <w:rsid w:val="00E33B97"/>
    <w:rsid w:val="00E347AD"/>
    <w:rsid w:val="00E35BD6"/>
    <w:rsid w:val="00E36C79"/>
    <w:rsid w:val="00E44FDF"/>
    <w:rsid w:val="00E52136"/>
    <w:rsid w:val="00E65AA7"/>
    <w:rsid w:val="00E808C6"/>
    <w:rsid w:val="00E875D8"/>
    <w:rsid w:val="00E93F1A"/>
    <w:rsid w:val="00EB6254"/>
    <w:rsid w:val="00ED116C"/>
    <w:rsid w:val="00F14DC4"/>
    <w:rsid w:val="00F32DA1"/>
    <w:rsid w:val="00F341E3"/>
    <w:rsid w:val="00F40AFB"/>
    <w:rsid w:val="00F41CF8"/>
    <w:rsid w:val="00F50FD1"/>
    <w:rsid w:val="00F703D0"/>
    <w:rsid w:val="00F87B2C"/>
    <w:rsid w:val="00FA7B07"/>
    <w:rsid w:val="00FB5212"/>
    <w:rsid w:val="00FC3F42"/>
    <w:rsid w:val="00FE2036"/>
    <w:rsid w:val="00FE305F"/>
    <w:rsid w:val="00FE49F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E3016F"/>
  <w15:docId w15:val="{3AA7F25B-6C0F-40A2-93F9-BBCD6AB6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23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2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3199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D6B7B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E36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368C"/>
    <w:rPr>
      <w:rFonts w:ascii="Arial" w:hAnsi="Arial"/>
    </w:rPr>
  </w:style>
  <w:style w:type="character" w:styleId="EndnoteReference">
    <w:name w:val="endnote reference"/>
    <w:basedOn w:val="DefaultParagraphFont"/>
    <w:rsid w:val="009E368C"/>
    <w:rPr>
      <w:vertAlign w:val="superscript"/>
    </w:rPr>
  </w:style>
  <w:style w:type="character" w:styleId="Hyperlink">
    <w:name w:val="Hyperlink"/>
    <w:basedOn w:val="DefaultParagraphFont"/>
    <w:rsid w:val="009E368C"/>
    <w:rPr>
      <w:color w:val="0000FF" w:themeColor="hyperlink"/>
      <w:u w:val="single"/>
    </w:rPr>
  </w:style>
  <w:style w:type="paragraph" w:customStyle="1" w:styleId="NoteEnd">
    <w:name w:val="Note End"/>
    <w:basedOn w:val="Normal"/>
    <w:rsid w:val="0065382F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  <w:style w:type="paragraph" w:customStyle="1" w:styleId="subsection">
    <w:name w:val="subsection"/>
    <w:basedOn w:val="Normal"/>
    <w:rsid w:val="00A212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A2123E"/>
  </w:style>
  <w:style w:type="paragraph" w:customStyle="1" w:styleId="paragraph">
    <w:name w:val="paragraph"/>
    <w:basedOn w:val="Normal"/>
    <w:rsid w:val="00A2123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tetext">
    <w:name w:val="notetext"/>
    <w:basedOn w:val="Normal"/>
    <w:rsid w:val="009970D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D5D"/>
    <w:rPr>
      <w:rFonts w:ascii="Arial" w:hAnsi="Arial"/>
    </w:rPr>
  </w:style>
  <w:style w:type="paragraph" w:customStyle="1" w:styleId="UnnumberedClause">
    <w:name w:val="Unnumbered Clause"/>
    <w:basedOn w:val="Normal"/>
    <w:link w:val="UnnumberedClauseChar"/>
    <w:uiPriority w:val="99"/>
    <w:rsid w:val="00001183"/>
    <w:pPr>
      <w:spacing w:after="200"/>
      <w:ind w:left="1418"/>
    </w:pPr>
    <w:rPr>
      <w:rFonts w:ascii="Century Gothic" w:hAnsi="Century Gothic"/>
      <w:sz w:val="20"/>
      <w:szCs w:val="20"/>
      <w:lang w:val="en-US" w:eastAsia="en-US"/>
    </w:rPr>
  </w:style>
  <w:style w:type="character" w:customStyle="1" w:styleId="UnnumberedClauseChar">
    <w:name w:val="Unnumbered Clause Char"/>
    <w:link w:val="UnnumberedClause"/>
    <w:uiPriority w:val="99"/>
    <w:locked/>
    <w:rsid w:val="00001183"/>
    <w:rPr>
      <w:rFonts w:ascii="Century Gothic" w:hAnsi="Century Gothic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law.gov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A021-3DE5-4EEC-BA11-A1FAD961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Media Authority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ahenson</dc:creator>
  <cp:lastModifiedBy>Morgan Vaudrey</cp:lastModifiedBy>
  <cp:revision>4</cp:revision>
  <cp:lastPrinted>2016-04-13T00:19:00Z</cp:lastPrinted>
  <dcterms:created xsi:type="dcterms:W3CDTF">2016-04-13T00:21:00Z</dcterms:created>
  <dcterms:modified xsi:type="dcterms:W3CDTF">2016-05-02T04:25:00Z</dcterms:modified>
</cp:coreProperties>
</file>