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103BE" w14:textId="77777777" w:rsidR="000363DA" w:rsidRPr="00172BEB" w:rsidRDefault="005F2875" w:rsidP="000363DA">
      <w:pPr>
        <w:pStyle w:val="Heading1"/>
      </w:pPr>
      <w:bookmarkStart w:id="0" w:name="_GoBack"/>
      <w:bookmarkEnd w:id="0"/>
      <w:r>
        <w:t>Legal Services Amendment (Solicitor-General Opinions) Direction 2016</w:t>
      </w:r>
    </w:p>
    <w:p w14:paraId="23D103BF" w14:textId="77777777" w:rsidR="00F47EC9" w:rsidRPr="00F47EC9" w:rsidRDefault="005F2875" w:rsidP="00F47EC9">
      <w:pPr>
        <w:pStyle w:val="Heading1"/>
      </w:pPr>
      <w:r w:rsidRPr="00172BEB">
        <w:t>EXPLANATORY STATEMENT</w:t>
      </w:r>
    </w:p>
    <w:p w14:paraId="23D103C0" w14:textId="77777777" w:rsidR="000363DA" w:rsidRPr="00172BEB" w:rsidRDefault="005F2875" w:rsidP="000363DA">
      <w:pPr>
        <w:spacing w:before="180" w:line="240" w:lineRule="auto"/>
        <w:jc w:val="center"/>
        <w:rPr>
          <w:i/>
        </w:rPr>
      </w:pPr>
      <w:r w:rsidRPr="00172BEB">
        <w:t xml:space="preserve">Issued </w:t>
      </w:r>
      <w:r>
        <w:t>by</w:t>
      </w:r>
      <w:r w:rsidRPr="00172BEB">
        <w:t xml:space="preserve"> the Attorney</w:t>
      </w:r>
      <w:r>
        <w:noBreakHyphen/>
      </w:r>
      <w:r w:rsidRPr="00172BEB">
        <w:t>Ge</w:t>
      </w:r>
      <w:r>
        <w:t>neral</w:t>
      </w:r>
      <w:r>
        <w:br/>
        <w:t xml:space="preserve">in compliance with section 15G of the </w:t>
      </w:r>
      <w:r>
        <w:rPr>
          <w:i/>
        </w:rPr>
        <w:t>Legislation Act 2003</w:t>
      </w:r>
    </w:p>
    <w:p w14:paraId="23D103C1" w14:textId="77777777" w:rsidR="000363DA" w:rsidRPr="00172BEB" w:rsidRDefault="005F2875" w:rsidP="000363DA">
      <w:pPr>
        <w:pBdr>
          <w:bottom w:val="single" w:sz="4" w:space="1" w:color="auto"/>
        </w:pBdr>
        <w:spacing w:after="240"/>
        <w:jc w:val="center"/>
      </w:pPr>
    </w:p>
    <w:p w14:paraId="23D103C2" w14:textId="77777777" w:rsidR="000363DA" w:rsidRPr="00172BEB" w:rsidRDefault="005F2875" w:rsidP="000363DA">
      <w:pPr>
        <w:pStyle w:val="Heading2"/>
      </w:pPr>
      <w:r w:rsidRPr="00172BEB">
        <w:t>INTRODUCTION</w:t>
      </w:r>
    </w:p>
    <w:p w14:paraId="23D103C3" w14:textId="77777777" w:rsidR="00AF70D0" w:rsidRDefault="005F2875" w:rsidP="008D096F">
      <w:pPr>
        <w:spacing w:before="240"/>
        <w:rPr>
          <w:szCs w:val="22"/>
        </w:rPr>
      </w:pPr>
      <w:r w:rsidRPr="008D096F">
        <w:rPr>
          <w:szCs w:val="22"/>
        </w:rPr>
        <w:t xml:space="preserve">Under </w:t>
      </w:r>
      <w:r>
        <w:rPr>
          <w:szCs w:val="22"/>
        </w:rPr>
        <w:t>subsection</w:t>
      </w:r>
      <w:r w:rsidRPr="008D096F">
        <w:rPr>
          <w:szCs w:val="22"/>
        </w:rPr>
        <w:t xml:space="preserve"> 55ZF(1)(a) of the </w:t>
      </w:r>
      <w:r w:rsidRPr="008D096F">
        <w:rPr>
          <w:i/>
          <w:iCs/>
          <w:szCs w:val="22"/>
        </w:rPr>
        <w:t>Judiciary Act 1903</w:t>
      </w:r>
      <w:r w:rsidRPr="008D096F">
        <w:rPr>
          <w:iCs/>
          <w:szCs w:val="22"/>
        </w:rPr>
        <w:t xml:space="preserve">, </w:t>
      </w:r>
      <w:r w:rsidRPr="008D096F">
        <w:rPr>
          <w:szCs w:val="22"/>
        </w:rPr>
        <w:t xml:space="preserve">the </w:t>
      </w:r>
      <w:r w:rsidRPr="008D096F">
        <w:rPr>
          <w:szCs w:val="22"/>
        </w:rPr>
        <w:t>Attorney-General may issue Legal Services Directions (</w:t>
      </w:r>
      <w:r>
        <w:rPr>
          <w:szCs w:val="22"/>
        </w:rPr>
        <w:t xml:space="preserve">the </w:t>
      </w:r>
      <w:r w:rsidRPr="008D096F">
        <w:rPr>
          <w:szCs w:val="22"/>
        </w:rPr>
        <w:t xml:space="preserve">Directions) applying generally to Commonwealth legal work (as defined in that section). </w:t>
      </w:r>
    </w:p>
    <w:p w14:paraId="23D103C4" w14:textId="77777777" w:rsidR="008D096F" w:rsidRPr="008D096F" w:rsidRDefault="005F2875" w:rsidP="008D096F">
      <w:pPr>
        <w:spacing w:before="240"/>
        <w:rPr>
          <w:szCs w:val="22"/>
        </w:rPr>
      </w:pPr>
      <w:r w:rsidRPr="008D096F">
        <w:rPr>
          <w:szCs w:val="22"/>
        </w:rPr>
        <w:t xml:space="preserve">The power to issue </w:t>
      </w:r>
      <w:r>
        <w:rPr>
          <w:szCs w:val="22"/>
        </w:rPr>
        <w:t xml:space="preserve">the </w:t>
      </w:r>
      <w:r w:rsidRPr="008D096F">
        <w:rPr>
          <w:szCs w:val="22"/>
        </w:rPr>
        <w:t>Directions was conferred having regard to the Attorney-General’s responsibility, as Fi</w:t>
      </w:r>
      <w:r w:rsidRPr="008D096F">
        <w:rPr>
          <w:szCs w:val="22"/>
        </w:rPr>
        <w:t>rst Law Officer, for matters relating to the performance of Commonwealth legal work by, and on behalf of, the Commonwealth and its agencies.</w:t>
      </w:r>
    </w:p>
    <w:p w14:paraId="23D103C5" w14:textId="77777777" w:rsidR="000363DA" w:rsidRPr="00172BEB" w:rsidRDefault="005F2875" w:rsidP="000363DA">
      <w:pPr>
        <w:pStyle w:val="Heading2"/>
      </w:pPr>
      <w:r w:rsidRPr="00172BEB">
        <w:t>OUTLINE</w:t>
      </w:r>
    </w:p>
    <w:p w14:paraId="23D103C6" w14:textId="77777777" w:rsidR="006A1AC6" w:rsidRPr="006A1AC6" w:rsidRDefault="005F2875" w:rsidP="006A1AC6">
      <w:pPr>
        <w:spacing w:before="180" w:line="240" w:lineRule="auto"/>
      </w:pPr>
      <w:r>
        <w:t xml:space="preserve">Section 55ZF of the </w:t>
      </w:r>
      <w:r>
        <w:rPr>
          <w:i/>
        </w:rPr>
        <w:t>Judiciary Act 1903</w:t>
      </w:r>
      <w:r>
        <w:t xml:space="preserve"> empowers the Attorney-General to issue the Directions, which are to </w:t>
      </w:r>
      <w:r>
        <w:t>apply generally to Commonwealth legal work, or that are to apply to Commonwealth legal work being performed, or to be performed, in relation to a particular matter.</w:t>
      </w:r>
    </w:p>
    <w:p w14:paraId="23D103C7" w14:textId="77777777" w:rsidR="006A1AC6" w:rsidRDefault="005F2875" w:rsidP="00F87D23">
      <w:pPr>
        <w:spacing w:before="180" w:line="240" w:lineRule="auto"/>
      </w:pPr>
      <w:r>
        <w:t xml:space="preserve">Paragraph 12(b) of the </w:t>
      </w:r>
      <w:r>
        <w:rPr>
          <w:i/>
        </w:rPr>
        <w:t>Law Officers Act 1964</w:t>
      </w:r>
      <w:r>
        <w:t xml:space="preserve"> provides that the functions of the Solicitor</w:t>
      </w:r>
      <w:r>
        <w:noBreakHyphen/>
        <w:t>G</w:t>
      </w:r>
      <w:r>
        <w:t xml:space="preserve">eneral, in addition </w:t>
      </w:r>
      <w:r>
        <w:t>to</w:t>
      </w:r>
      <w:r>
        <w:t xml:space="preserve"> acting as counsel, include furnishing opinions to the Attorney-General on questions of law referred by the Attorney-General.</w:t>
      </w:r>
    </w:p>
    <w:p w14:paraId="23D103C8" w14:textId="77777777" w:rsidR="00EA696F" w:rsidRPr="00EA696F" w:rsidRDefault="005F2875" w:rsidP="00F87D23">
      <w:pPr>
        <w:spacing w:before="180" w:line="240" w:lineRule="auto"/>
      </w:pPr>
      <w:r>
        <w:t>The purpose of this instrument is to amend the Directions to insert new provisions about seeking</w:t>
      </w:r>
      <w:r w:rsidRPr="000B67DD">
        <w:t xml:space="preserve"> opinions</w:t>
      </w:r>
      <w:r>
        <w:t xml:space="preserve"> on</w:t>
      </w:r>
      <w:r>
        <w:t xml:space="preserve"> questions of law by the Solicitor-General. The new provisions clarify the circumstances in which an opinion on a question of law may be sought from the Solicitor-General pursuant to paragraph 12(b) of the </w:t>
      </w:r>
      <w:r>
        <w:rPr>
          <w:i/>
        </w:rPr>
        <w:t>Law Officers Act 1964</w:t>
      </w:r>
      <w:r>
        <w:t xml:space="preserve"> and regularise the process b</w:t>
      </w:r>
      <w:r>
        <w:t>y which referrals to the Solicitor-General for opinions are made.</w:t>
      </w:r>
    </w:p>
    <w:p w14:paraId="23D103C9" w14:textId="77777777" w:rsidR="000363DA" w:rsidRPr="00172BEB" w:rsidRDefault="005F2875" w:rsidP="00A878AD">
      <w:pPr>
        <w:pStyle w:val="Heading2"/>
        <w:ind w:left="0" w:firstLine="0"/>
      </w:pPr>
      <w:r w:rsidRPr="00172BEB">
        <w:t xml:space="preserve">PROCESS BEFORE </w:t>
      </w:r>
      <w:r>
        <w:t>THE INSTRUMENT WAS MADE</w:t>
      </w:r>
    </w:p>
    <w:p w14:paraId="23D103CA" w14:textId="77777777" w:rsidR="000363DA" w:rsidRDefault="005F2875" w:rsidP="000363DA">
      <w:pPr>
        <w:pStyle w:val="Heading3"/>
        <w:rPr>
          <w:sz w:val="22"/>
          <w:szCs w:val="22"/>
        </w:rPr>
      </w:pPr>
      <w:r w:rsidRPr="008D096F">
        <w:rPr>
          <w:sz w:val="22"/>
          <w:szCs w:val="22"/>
        </w:rPr>
        <w:t>Regulatory impact analysis</w:t>
      </w:r>
    </w:p>
    <w:p w14:paraId="23D103CB" w14:textId="77777777" w:rsidR="00EB5540" w:rsidRPr="00EB5540" w:rsidRDefault="005F2875" w:rsidP="00EB5540"/>
    <w:p w14:paraId="23D103CC" w14:textId="77777777" w:rsidR="008D096F" w:rsidRPr="008D096F" w:rsidRDefault="005F2875" w:rsidP="008D096F">
      <w:pPr>
        <w:rPr>
          <w:szCs w:val="22"/>
        </w:rPr>
      </w:pPr>
      <w:r w:rsidRPr="008D096F">
        <w:rPr>
          <w:szCs w:val="22"/>
        </w:rPr>
        <w:t>The Office of Best Practice Regulation (OBPR) has advised that a Regulation Impact Statement is not required as the Directi</w:t>
      </w:r>
      <w:r w:rsidRPr="008D096F">
        <w:rPr>
          <w:szCs w:val="22"/>
        </w:rPr>
        <w:t xml:space="preserve">ons are machinery in nature and do not change the regulatory burden placed on businesses or the non-profit sector (OBPR </w:t>
      </w:r>
      <w:r w:rsidRPr="00EB5540">
        <w:rPr>
          <w:szCs w:val="22"/>
        </w:rPr>
        <w:t xml:space="preserve">ID </w:t>
      </w:r>
      <w:r w:rsidRPr="00EB5540">
        <w:rPr>
          <w:bCs/>
        </w:rPr>
        <w:t>20861</w:t>
      </w:r>
      <w:r w:rsidRPr="008D096F">
        <w:rPr>
          <w:szCs w:val="22"/>
        </w:rPr>
        <w:t xml:space="preserve">).  </w:t>
      </w:r>
    </w:p>
    <w:p w14:paraId="23D103CD" w14:textId="77777777" w:rsidR="000363DA" w:rsidRPr="00172BEB" w:rsidRDefault="005F2875" w:rsidP="008D096F">
      <w:pPr>
        <w:pStyle w:val="Heading3"/>
        <w:ind w:left="0" w:firstLine="0"/>
      </w:pPr>
      <w:r w:rsidRPr="00172BEB">
        <w:t>Statement of compatibility with human rights obligations</w:t>
      </w:r>
    </w:p>
    <w:p w14:paraId="23D103CE" w14:textId="77777777" w:rsidR="00CC253E" w:rsidRDefault="005F2875" w:rsidP="00CC253E">
      <w:pPr>
        <w:spacing w:before="180" w:line="240" w:lineRule="auto"/>
      </w:pPr>
      <w:r w:rsidRPr="00172BEB">
        <w:t xml:space="preserve">Before this </w:t>
      </w:r>
      <w:r>
        <w:t>instrument</w:t>
      </w:r>
      <w:r w:rsidRPr="00172BEB">
        <w:t xml:space="preserve"> was made, its impact on human rights was assessed using tools and guidance published by the Attorney</w:t>
      </w:r>
      <w:r>
        <w:noBreakHyphen/>
      </w:r>
      <w:r w:rsidRPr="00172BEB">
        <w:t>General’s Department. It is fully compatible with human rights as defined i</w:t>
      </w:r>
      <w:r w:rsidRPr="00172BEB">
        <w:rPr>
          <w:color w:val="000000"/>
        </w:rPr>
        <w:t xml:space="preserve">n section 3 of the </w:t>
      </w:r>
      <w:hyperlink r:id="rId11" w:history="1">
        <w:r w:rsidRPr="00FF1C50">
          <w:rPr>
            <w:rStyle w:val="Hyperlink"/>
            <w:i/>
            <w:color w:val="000000"/>
            <w:u w:val="none"/>
          </w:rPr>
          <w:t>Hu</w:t>
        </w:r>
        <w:r w:rsidRPr="00FF1C50">
          <w:rPr>
            <w:rStyle w:val="Hyperlink"/>
            <w:i/>
            <w:color w:val="000000"/>
            <w:u w:val="none"/>
          </w:rPr>
          <w:t>man Rights (Parliamentary Scrutiny) Act 2011</w:t>
        </w:r>
      </w:hyperlink>
      <w:r w:rsidRPr="00FF1C50">
        <w:rPr>
          <w:color w:val="000000"/>
        </w:rPr>
        <w:t>.</w:t>
      </w:r>
    </w:p>
    <w:p w14:paraId="23D103CF" w14:textId="77777777" w:rsidR="000363DA" w:rsidRPr="00172BEB" w:rsidRDefault="005F2875" w:rsidP="00CC253E">
      <w:pPr>
        <w:pStyle w:val="Heading3"/>
      </w:pPr>
      <w:r w:rsidRPr="00172BEB">
        <w:t xml:space="preserve">Consultation </w:t>
      </w:r>
      <w:r>
        <w:t>before making</w:t>
      </w:r>
    </w:p>
    <w:p w14:paraId="23D103D0" w14:textId="77777777" w:rsidR="00FB1750" w:rsidRDefault="005F2875" w:rsidP="000363DA">
      <w:pPr>
        <w:spacing w:before="180" w:line="240" w:lineRule="auto"/>
      </w:pPr>
      <w:r w:rsidRPr="003120B9">
        <w:t xml:space="preserve">Before this </w:t>
      </w:r>
      <w:r>
        <w:t>instrument</w:t>
      </w:r>
      <w:r w:rsidRPr="003120B9">
        <w:t xml:space="preserve"> was made, the Attorney</w:t>
      </w:r>
      <w:r w:rsidRPr="003120B9">
        <w:noBreakHyphen/>
        <w:t>General considered the general obligation to consult</w:t>
      </w:r>
      <w:r>
        <w:t xml:space="preserve"> imposed by section 17 of the </w:t>
      </w:r>
      <w:r w:rsidRPr="006A1AC6">
        <w:rPr>
          <w:i/>
        </w:rPr>
        <w:t>Legislative Instruments Act 2003</w:t>
      </w:r>
      <w:r>
        <w:t xml:space="preserve">. </w:t>
      </w:r>
    </w:p>
    <w:p w14:paraId="23D103D1" w14:textId="77777777" w:rsidR="000363DA" w:rsidRDefault="005F2875" w:rsidP="000363DA">
      <w:pPr>
        <w:spacing w:before="180" w:line="240" w:lineRule="auto"/>
      </w:pPr>
      <w:r>
        <w:lastRenderedPageBreak/>
        <w:t>Section 55ZF of t</w:t>
      </w:r>
      <w:r>
        <w:t xml:space="preserve">he </w:t>
      </w:r>
      <w:r>
        <w:rPr>
          <w:i/>
        </w:rPr>
        <w:t>Judiciary Act 1903</w:t>
      </w:r>
      <w:r>
        <w:t xml:space="preserve"> empowers the Attorney-General to issue Directions, which are to apply generally to Commonwealth legal work, or that are to apply to Commonwealth legal work being performed, or to be performed, in relation to a particular matter. As th</w:t>
      </w:r>
      <w:r>
        <w:t>e Direction relates to the process for referring a question of law to the Solicitor</w:t>
      </w:r>
      <w:r>
        <w:noBreakHyphen/>
        <w:t>General, t</w:t>
      </w:r>
      <w:r w:rsidRPr="000B67DD">
        <w:t>he Attorney</w:t>
      </w:r>
      <w:r w:rsidRPr="000B67DD">
        <w:noBreakHyphen/>
        <w:t>General has consulted the Solicitor-General.</w:t>
      </w:r>
    </w:p>
    <w:p w14:paraId="23D103D2" w14:textId="77777777" w:rsidR="000363DA" w:rsidRPr="00172BEB" w:rsidRDefault="005F2875" w:rsidP="00275D48">
      <w:pPr>
        <w:pStyle w:val="Heading3"/>
        <w:ind w:left="12" w:hanging="12"/>
      </w:pPr>
      <w:r w:rsidRPr="00172BEB">
        <w:t xml:space="preserve">Statutory preconditions and Parliamentary undertakings relevant to this </w:t>
      </w:r>
      <w:r>
        <w:t>instrument</w:t>
      </w:r>
    </w:p>
    <w:p w14:paraId="23D103D3" w14:textId="77777777" w:rsidR="00E46CF6" w:rsidRDefault="005F2875" w:rsidP="00EB5540">
      <w:pPr>
        <w:spacing w:before="180" w:line="240" w:lineRule="auto"/>
      </w:pPr>
      <w:r w:rsidRPr="000B67DD">
        <w:t>There are no other sta</w:t>
      </w:r>
      <w:r w:rsidRPr="000B67DD">
        <w:t>tutory preconditions or Parliamentary undertakings relevant to the making of this instrument.</w:t>
      </w:r>
    </w:p>
    <w:p w14:paraId="23D103D4" w14:textId="77777777" w:rsidR="000363DA" w:rsidRPr="00172BEB" w:rsidRDefault="005F2875" w:rsidP="00EB5540">
      <w:pPr>
        <w:spacing w:before="180" w:line="240" w:lineRule="auto"/>
      </w:pPr>
      <w:r>
        <w:t>Further detail is provided in Attachment A.</w:t>
      </w:r>
      <w:r w:rsidRPr="00172BEB">
        <w:rPr>
          <w:rStyle w:val="Heading1Char"/>
        </w:rPr>
        <w:br w:type="page"/>
      </w:r>
      <w:r w:rsidRPr="00172BEB">
        <w:lastRenderedPageBreak/>
        <w:t>NOTES ON SECTIONS</w:t>
      </w:r>
      <w:r w:rsidRPr="00172BEB">
        <w:tab/>
      </w:r>
      <w:r w:rsidRPr="00172BEB">
        <w:tab/>
      </w:r>
      <w:r w:rsidRPr="00172BEB">
        <w:tab/>
      </w:r>
      <w:r w:rsidRPr="00172BEB">
        <w:tab/>
      </w:r>
      <w:r w:rsidRPr="00172BEB">
        <w:tab/>
      </w:r>
      <w:r w:rsidRPr="00172BEB">
        <w:tab/>
        <w:t xml:space="preserve">       </w:t>
      </w:r>
      <w:r w:rsidRPr="00172BEB">
        <w:rPr>
          <w:u w:val="single"/>
        </w:rPr>
        <w:t>ATTACHMENT A</w:t>
      </w:r>
    </w:p>
    <w:p w14:paraId="23D103D5" w14:textId="77777777" w:rsidR="000363DA" w:rsidRPr="00172BEB" w:rsidRDefault="005F2875" w:rsidP="000363DA">
      <w:pPr>
        <w:pStyle w:val="Heading3"/>
      </w:pPr>
      <w:r w:rsidRPr="00172BEB">
        <w:t>Section 1</w:t>
      </w:r>
      <w:r w:rsidRPr="00172BEB">
        <w:tab/>
        <w:t xml:space="preserve">Name of </w:t>
      </w:r>
      <w:r>
        <w:t>legislative instrument</w:t>
      </w:r>
    </w:p>
    <w:p w14:paraId="23D103D6" w14:textId="77777777" w:rsidR="000363DA" w:rsidRPr="00172BEB" w:rsidRDefault="005F2875" w:rsidP="000363DA">
      <w:pPr>
        <w:spacing w:before="180" w:line="240" w:lineRule="auto"/>
      </w:pPr>
      <w:r w:rsidRPr="00A17B30">
        <w:t xml:space="preserve">This section provides for the </w:t>
      </w:r>
      <w:r>
        <w:t>legi</w:t>
      </w:r>
      <w:r>
        <w:t>slative instrument</w:t>
      </w:r>
      <w:r w:rsidRPr="00A17B30">
        <w:t xml:space="preserve"> to </w:t>
      </w:r>
      <w:r w:rsidRPr="00010BEF">
        <w:t>be named as the</w:t>
      </w:r>
      <w:r>
        <w:t xml:space="preserve"> Legal Services Amendment (Solicitor-General Opinions) Direction 2016</w:t>
      </w:r>
      <w:r w:rsidRPr="00010BEF">
        <w:t xml:space="preserve">. The </w:t>
      </w:r>
      <w:r>
        <w:t>legislative instrument</w:t>
      </w:r>
      <w:r w:rsidRPr="00010BEF">
        <w:t xml:space="preserve"> may</w:t>
      </w:r>
      <w:r w:rsidRPr="00A17B30">
        <w:t xml:space="preserve"> be cited by that name.</w:t>
      </w:r>
    </w:p>
    <w:p w14:paraId="23D103D7" w14:textId="77777777" w:rsidR="000363DA" w:rsidRPr="00172BEB" w:rsidRDefault="005F2875" w:rsidP="000363DA">
      <w:pPr>
        <w:pStyle w:val="Heading3"/>
      </w:pPr>
      <w:r w:rsidRPr="00172BEB">
        <w:t xml:space="preserve">Section 2 </w:t>
      </w:r>
      <w:r w:rsidRPr="00172BEB">
        <w:tab/>
        <w:t>Commencement</w:t>
      </w:r>
    </w:p>
    <w:p w14:paraId="23D103D8" w14:textId="77777777" w:rsidR="000363DA" w:rsidRPr="00172BEB" w:rsidRDefault="005F2875" w:rsidP="000363DA">
      <w:pPr>
        <w:spacing w:before="180" w:line="240" w:lineRule="auto"/>
      </w:pPr>
      <w:r w:rsidRPr="00172BEB">
        <w:t xml:space="preserve">This section provides for the </w:t>
      </w:r>
      <w:r>
        <w:t>legislative instrument</w:t>
      </w:r>
      <w:r w:rsidRPr="00172BEB">
        <w:t xml:space="preserve"> to commence on the day after it is registered on the</w:t>
      </w:r>
      <w:r>
        <w:t xml:space="preserve"> Federal Register of Legislation.</w:t>
      </w:r>
    </w:p>
    <w:p w14:paraId="23D103D9" w14:textId="77777777" w:rsidR="000363DA" w:rsidRPr="00172BEB" w:rsidRDefault="005F2875" w:rsidP="000363DA">
      <w:pPr>
        <w:pStyle w:val="Heading3"/>
      </w:pPr>
      <w:r w:rsidRPr="00172BEB">
        <w:t>Section 3</w:t>
      </w:r>
      <w:r w:rsidRPr="00172BEB">
        <w:tab/>
        <w:t>Authority</w:t>
      </w:r>
    </w:p>
    <w:p w14:paraId="23D103DA" w14:textId="77777777" w:rsidR="000363DA" w:rsidRPr="00F24A2A" w:rsidRDefault="005F2875" w:rsidP="000363DA">
      <w:pPr>
        <w:spacing w:before="180" w:line="240" w:lineRule="auto"/>
      </w:pPr>
      <w:r w:rsidRPr="00172BEB">
        <w:t xml:space="preserve">This section identifies the Act that authorises the making of the </w:t>
      </w:r>
      <w:r>
        <w:t xml:space="preserve">legislative instrument as the </w:t>
      </w:r>
      <w:r>
        <w:rPr>
          <w:i/>
        </w:rPr>
        <w:t>Judiciary Act 1903</w:t>
      </w:r>
      <w:r>
        <w:t>.</w:t>
      </w:r>
    </w:p>
    <w:p w14:paraId="23D103DB" w14:textId="77777777" w:rsidR="000363DA" w:rsidRPr="00172BEB" w:rsidRDefault="005F2875" w:rsidP="000363DA">
      <w:pPr>
        <w:pStyle w:val="Heading3"/>
      </w:pPr>
      <w:r>
        <w:t>Section 4</w:t>
      </w:r>
      <w:r>
        <w:tab/>
        <w:t>Schedule</w:t>
      </w:r>
    </w:p>
    <w:p w14:paraId="23D103DC" w14:textId="77777777" w:rsidR="007F1908" w:rsidRDefault="005F2875" w:rsidP="000363DA">
      <w:pPr>
        <w:spacing w:before="180" w:line="240" w:lineRule="auto"/>
      </w:pPr>
      <w:r>
        <w:t>The schedule o</w:t>
      </w:r>
      <w:r>
        <w:t>utlines the process that will apply to how questions of law are referred to the Solicitor</w:t>
      </w:r>
      <w:r>
        <w:noBreakHyphen/>
        <w:t xml:space="preserve">General for an opinion. </w:t>
      </w:r>
    </w:p>
    <w:p w14:paraId="23D103DD" w14:textId="77777777" w:rsidR="000363DA" w:rsidRPr="00F24A2A" w:rsidRDefault="005F2875" w:rsidP="000363DA">
      <w:pPr>
        <w:spacing w:before="180" w:line="240" w:lineRule="auto"/>
      </w:pPr>
      <w:r>
        <w:t xml:space="preserve">The process will apply to people or bodies referred to in paragraph 12(a) of the </w:t>
      </w:r>
      <w:r>
        <w:rPr>
          <w:i/>
        </w:rPr>
        <w:t>Law Officers Act 1964</w:t>
      </w:r>
      <w:r>
        <w:t xml:space="preserve"> which is slig</w:t>
      </w:r>
      <w:r>
        <w:t>htly broader in applicati</w:t>
      </w:r>
      <w:r>
        <w:t>on than</w:t>
      </w:r>
      <w:r>
        <w:t xml:space="preserve"> the </w:t>
      </w:r>
      <w:r>
        <w:t>Directions</w:t>
      </w:r>
      <w:r>
        <w:t>. This difference is not expected to have any practical impact on the approach to referring questions of law to the Solicitor</w:t>
      </w:r>
      <w:r>
        <w:noBreakHyphen/>
        <w:t>General.</w:t>
      </w:r>
    </w:p>
    <w:p w14:paraId="23D103DE" w14:textId="77777777" w:rsidR="000363DA" w:rsidRPr="00275D48" w:rsidRDefault="005F2875" w:rsidP="00275D48">
      <w:pPr>
        <w:spacing w:before="180"/>
        <w:ind w:right="91"/>
      </w:pPr>
      <w:r w:rsidRPr="009C09F6">
        <w:rPr>
          <w:szCs w:val="22"/>
        </w:rPr>
        <w:t xml:space="preserve"> </w:t>
      </w:r>
    </w:p>
    <w:sectPr w:rsidR="000363DA" w:rsidRPr="00275D48" w:rsidSect="00D4781D">
      <w:headerReference w:type="default" r:id="rId12"/>
      <w:footerReference w:type="even" r:id="rId13"/>
      <w:footerReference w:type="default" r:id="rId14"/>
      <w:footerReference w:type="first" r:id="rId15"/>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103EB" w14:textId="77777777" w:rsidR="00000000" w:rsidRDefault="005F2875">
      <w:pPr>
        <w:spacing w:line="240" w:lineRule="auto"/>
      </w:pPr>
      <w:r>
        <w:separator/>
      </w:r>
    </w:p>
  </w:endnote>
  <w:endnote w:type="continuationSeparator" w:id="0">
    <w:p w14:paraId="23D103ED" w14:textId="77777777" w:rsidR="00000000" w:rsidRDefault="005F2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03E0" w14:textId="77777777" w:rsidR="009E1F01" w:rsidRDefault="005F2875" w:rsidP="00D478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3D103E1" w14:textId="77777777" w:rsidR="009E1F01" w:rsidRDefault="005F2875" w:rsidP="00D4781D">
    <w:pPr>
      <w:pStyle w:val="Footer"/>
      <w:ind w:right="360"/>
    </w:pPr>
  </w:p>
  <w:p w14:paraId="23D103E2" w14:textId="77777777" w:rsidR="009E1F01" w:rsidRPr="00172BEB" w:rsidRDefault="005F2875" w:rsidP="00D4781D">
    <w:pPr>
      <w:pStyle w:val="Footer"/>
      <w:ind w:right="360"/>
      <w:jc w:val="right"/>
      <w:rPr>
        <w:i/>
        <w:sz w:val="18"/>
      </w:rPr>
    </w:pPr>
    <w:r>
      <w:rPr>
        <w:i/>
        <w:sz w:val="18"/>
      </w:rPr>
      <w:fldChar w:fldCharType="begin"/>
    </w:r>
    <w:r>
      <w:rPr>
        <w:i/>
        <w:sz w:val="18"/>
      </w:rPr>
      <w:instrText xml:space="preserve"> FILENAME \p \* MERGEFORMAT </w:instrTex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Pr>
        <w:i/>
        <w:noProof/>
        <w:sz w:val="18"/>
      </w:rPr>
      <w:t>29/4/2016 1:00 pm</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03E3" w14:textId="77777777" w:rsidR="009E1F01" w:rsidRDefault="005F2875" w:rsidP="00D4781D">
    <w:pPr>
      <w:pStyle w:val="Footer"/>
      <w:tabs>
        <w:tab w:val="clear" w:pos="4153"/>
        <w:tab w:val="clear" w:pos="8306"/>
        <w:tab w:val="left" w:pos="7680"/>
      </w:tabs>
      <w:ind w:right="27"/>
      <w:jc w:val="right"/>
      <w:rPr>
        <w:noProof/>
      </w:rPr>
    </w:pPr>
    <w:r>
      <w:t xml:space="preserve">Explanatory Statement page </w:t>
    </w:r>
    <w:r>
      <w:fldChar w:fldCharType="begin"/>
    </w:r>
    <w:r>
      <w:instrText xml:space="preserve"> PAGE  \* MERGEFORMAT </w:instrText>
    </w:r>
    <w:r>
      <w:fldChar w:fldCharType="separate"/>
    </w:r>
    <w:r>
      <w:rPr>
        <w:noProof/>
      </w:rPr>
      <w:t>2</w:t>
    </w:r>
    <w:r>
      <w:rPr>
        <w:noProof/>
      </w:rPr>
      <w:fldChar w:fldCharType="end"/>
    </w:r>
    <w:r>
      <w:rPr>
        <w:noProof/>
      </w:rPr>
      <w:t xml:space="preserve"> of </w:t>
    </w:r>
    <w:r>
      <w:fldChar w:fldCharType="begin"/>
    </w:r>
    <w:r>
      <w:instrText xml:space="preserve"> NUMPAGES </w:instrText>
    </w:r>
    <w:r>
      <w:fldChar w:fldCharType="separate"/>
    </w:r>
    <w:r>
      <w:rPr>
        <w:noProof/>
      </w:rPr>
      <w:t>3</w:t>
    </w:r>
    <w:r>
      <w:rPr>
        <w:noProof/>
      </w:rPr>
      <w:fldChar w:fldCharType="end"/>
    </w:r>
  </w:p>
  <w:p w14:paraId="23D103E4" w14:textId="77777777" w:rsidR="009E1F01" w:rsidRPr="000B0D5F" w:rsidRDefault="005F2875" w:rsidP="00D4781D">
    <w:pPr>
      <w:pStyle w:val="Footer"/>
      <w:tabs>
        <w:tab w:val="clear" w:pos="4153"/>
        <w:tab w:val="clear" w:pos="8306"/>
        <w:tab w:val="left" w:pos="7680"/>
      </w:tabs>
      <w:ind w:right="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03E5" w14:textId="77777777" w:rsidR="009E1F01" w:rsidRDefault="005F2875">
    <w:pPr>
      <w:pStyle w:val="Footer"/>
    </w:pPr>
  </w:p>
  <w:p w14:paraId="23D103E6" w14:textId="77777777" w:rsidR="009E1F01" w:rsidRPr="00172BEB" w:rsidRDefault="005F2875" w:rsidP="00D4781D">
    <w:pPr>
      <w:pStyle w:val="Footer"/>
      <w:rPr>
        <w:i/>
        <w:sz w:val="18"/>
      </w:rPr>
    </w:pPr>
    <w:r>
      <w:rPr>
        <w:i/>
        <w:sz w:val="18"/>
      </w:rPr>
      <w:fldChar w:fldCharType="begin"/>
    </w:r>
    <w:r>
      <w:rPr>
        <w:i/>
        <w:sz w:val="18"/>
      </w:rPr>
      <w:instrText xml:space="preserve"> FILENAME \p \* MERGEFORMAT </w:instrTex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Pr>
        <w:i/>
        <w:noProof/>
        <w:sz w:val="18"/>
      </w:rPr>
      <w:t>29/4/2016 1:00 pm</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103E7" w14:textId="77777777" w:rsidR="00000000" w:rsidRDefault="005F2875">
      <w:pPr>
        <w:spacing w:line="240" w:lineRule="auto"/>
      </w:pPr>
      <w:r>
        <w:separator/>
      </w:r>
    </w:p>
  </w:footnote>
  <w:footnote w:type="continuationSeparator" w:id="0">
    <w:p w14:paraId="23D103E9" w14:textId="77777777" w:rsidR="00000000" w:rsidRDefault="005F28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03DF" w14:textId="77777777" w:rsidR="00BA0456" w:rsidRDefault="005F28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24A9E"/>
    <w:multiLevelType w:val="hybridMultilevel"/>
    <w:tmpl w:val="A000C328"/>
    <w:lvl w:ilvl="0" w:tplc="79B8065A">
      <w:start w:val="1"/>
      <w:numFmt w:val="decimal"/>
      <w:lvlText w:val="%1."/>
      <w:lvlJc w:val="left"/>
      <w:pPr>
        <w:ind w:left="720" w:hanging="360"/>
      </w:pPr>
      <w:rPr>
        <w:rFonts w:hint="default"/>
      </w:rPr>
    </w:lvl>
    <w:lvl w:ilvl="1" w:tplc="19E4B398" w:tentative="1">
      <w:start w:val="1"/>
      <w:numFmt w:val="bullet"/>
      <w:lvlText w:val="o"/>
      <w:lvlJc w:val="left"/>
      <w:pPr>
        <w:ind w:left="1440" w:hanging="360"/>
      </w:pPr>
      <w:rPr>
        <w:rFonts w:ascii="Courier New" w:hAnsi="Courier New" w:cs="Courier New" w:hint="default"/>
      </w:rPr>
    </w:lvl>
    <w:lvl w:ilvl="2" w:tplc="66460BCE" w:tentative="1">
      <w:start w:val="1"/>
      <w:numFmt w:val="bullet"/>
      <w:lvlText w:val=""/>
      <w:lvlJc w:val="left"/>
      <w:pPr>
        <w:ind w:left="2160" w:hanging="360"/>
      </w:pPr>
      <w:rPr>
        <w:rFonts w:ascii="Wingdings" w:hAnsi="Wingdings" w:hint="default"/>
      </w:rPr>
    </w:lvl>
    <w:lvl w:ilvl="3" w:tplc="180602F6" w:tentative="1">
      <w:start w:val="1"/>
      <w:numFmt w:val="bullet"/>
      <w:lvlText w:val=""/>
      <w:lvlJc w:val="left"/>
      <w:pPr>
        <w:ind w:left="2880" w:hanging="360"/>
      </w:pPr>
      <w:rPr>
        <w:rFonts w:ascii="Symbol" w:hAnsi="Symbol" w:hint="default"/>
      </w:rPr>
    </w:lvl>
    <w:lvl w:ilvl="4" w:tplc="D674C686" w:tentative="1">
      <w:start w:val="1"/>
      <w:numFmt w:val="bullet"/>
      <w:lvlText w:val="o"/>
      <w:lvlJc w:val="left"/>
      <w:pPr>
        <w:ind w:left="3600" w:hanging="360"/>
      </w:pPr>
      <w:rPr>
        <w:rFonts w:ascii="Courier New" w:hAnsi="Courier New" w:cs="Courier New" w:hint="default"/>
      </w:rPr>
    </w:lvl>
    <w:lvl w:ilvl="5" w:tplc="9440EEFC" w:tentative="1">
      <w:start w:val="1"/>
      <w:numFmt w:val="bullet"/>
      <w:lvlText w:val=""/>
      <w:lvlJc w:val="left"/>
      <w:pPr>
        <w:ind w:left="4320" w:hanging="360"/>
      </w:pPr>
      <w:rPr>
        <w:rFonts w:ascii="Wingdings" w:hAnsi="Wingdings" w:hint="default"/>
      </w:rPr>
    </w:lvl>
    <w:lvl w:ilvl="6" w:tplc="C0749AB0" w:tentative="1">
      <w:start w:val="1"/>
      <w:numFmt w:val="bullet"/>
      <w:lvlText w:val=""/>
      <w:lvlJc w:val="left"/>
      <w:pPr>
        <w:ind w:left="5040" w:hanging="360"/>
      </w:pPr>
      <w:rPr>
        <w:rFonts w:ascii="Symbol" w:hAnsi="Symbol" w:hint="default"/>
      </w:rPr>
    </w:lvl>
    <w:lvl w:ilvl="7" w:tplc="F3581550" w:tentative="1">
      <w:start w:val="1"/>
      <w:numFmt w:val="bullet"/>
      <w:lvlText w:val="o"/>
      <w:lvlJc w:val="left"/>
      <w:pPr>
        <w:ind w:left="5760" w:hanging="360"/>
      </w:pPr>
      <w:rPr>
        <w:rFonts w:ascii="Courier New" w:hAnsi="Courier New" w:cs="Courier New" w:hint="default"/>
      </w:rPr>
    </w:lvl>
    <w:lvl w:ilvl="8" w:tplc="DB9EBE70" w:tentative="1">
      <w:start w:val="1"/>
      <w:numFmt w:val="bullet"/>
      <w:lvlText w:val=""/>
      <w:lvlJc w:val="left"/>
      <w:pPr>
        <w:ind w:left="6480" w:hanging="360"/>
      </w:pPr>
      <w:rPr>
        <w:rFonts w:ascii="Wingdings" w:hAnsi="Wingdings" w:hint="default"/>
      </w:rPr>
    </w:lvl>
  </w:abstractNum>
  <w:abstractNum w:abstractNumId="1">
    <w:nsid w:val="4C2B60FB"/>
    <w:multiLevelType w:val="hybridMultilevel"/>
    <w:tmpl w:val="8E084E74"/>
    <w:lvl w:ilvl="0" w:tplc="1432385E">
      <w:start w:val="1"/>
      <w:numFmt w:val="bullet"/>
      <w:lvlText w:val=""/>
      <w:lvlJc w:val="left"/>
      <w:pPr>
        <w:ind w:left="720" w:hanging="360"/>
      </w:pPr>
      <w:rPr>
        <w:rFonts w:ascii="Symbol" w:hAnsi="Symbol" w:hint="default"/>
      </w:rPr>
    </w:lvl>
    <w:lvl w:ilvl="1" w:tplc="D514075A" w:tentative="1">
      <w:start w:val="1"/>
      <w:numFmt w:val="bullet"/>
      <w:lvlText w:val="o"/>
      <w:lvlJc w:val="left"/>
      <w:pPr>
        <w:ind w:left="1440" w:hanging="360"/>
      </w:pPr>
      <w:rPr>
        <w:rFonts w:ascii="Courier New" w:hAnsi="Courier New" w:cs="Courier New" w:hint="default"/>
      </w:rPr>
    </w:lvl>
    <w:lvl w:ilvl="2" w:tplc="88A0EB7A" w:tentative="1">
      <w:start w:val="1"/>
      <w:numFmt w:val="bullet"/>
      <w:lvlText w:val=""/>
      <w:lvlJc w:val="left"/>
      <w:pPr>
        <w:ind w:left="2160" w:hanging="360"/>
      </w:pPr>
      <w:rPr>
        <w:rFonts w:ascii="Wingdings" w:hAnsi="Wingdings" w:hint="default"/>
      </w:rPr>
    </w:lvl>
    <w:lvl w:ilvl="3" w:tplc="3FC49A66" w:tentative="1">
      <w:start w:val="1"/>
      <w:numFmt w:val="bullet"/>
      <w:lvlText w:val=""/>
      <w:lvlJc w:val="left"/>
      <w:pPr>
        <w:ind w:left="2880" w:hanging="360"/>
      </w:pPr>
      <w:rPr>
        <w:rFonts w:ascii="Symbol" w:hAnsi="Symbol" w:hint="default"/>
      </w:rPr>
    </w:lvl>
    <w:lvl w:ilvl="4" w:tplc="B59217D6" w:tentative="1">
      <w:start w:val="1"/>
      <w:numFmt w:val="bullet"/>
      <w:lvlText w:val="o"/>
      <w:lvlJc w:val="left"/>
      <w:pPr>
        <w:ind w:left="3600" w:hanging="360"/>
      </w:pPr>
      <w:rPr>
        <w:rFonts w:ascii="Courier New" w:hAnsi="Courier New" w:cs="Courier New" w:hint="default"/>
      </w:rPr>
    </w:lvl>
    <w:lvl w:ilvl="5" w:tplc="B7188C5E" w:tentative="1">
      <w:start w:val="1"/>
      <w:numFmt w:val="bullet"/>
      <w:lvlText w:val=""/>
      <w:lvlJc w:val="left"/>
      <w:pPr>
        <w:ind w:left="4320" w:hanging="360"/>
      </w:pPr>
      <w:rPr>
        <w:rFonts w:ascii="Wingdings" w:hAnsi="Wingdings" w:hint="default"/>
      </w:rPr>
    </w:lvl>
    <w:lvl w:ilvl="6" w:tplc="5ECAE34A" w:tentative="1">
      <w:start w:val="1"/>
      <w:numFmt w:val="bullet"/>
      <w:lvlText w:val=""/>
      <w:lvlJc w:val="left"/>
      <w:pPr>
        <w:ind w:left="5040" w:hanging="360"/>
      </w:pPr>
      <w:rPr>
        <w:rFonts w:ascii="Symbol" w:hAnsi="Symbol" w:hint="default"/>
      </w:rPr>
    </w:lvl>
    <w:lvl w:ilvl="7" w:tplc="1728D73A" w:tentative="1">
      <w:start w:val="1"/>
      <w:numFmt w:val="bullet"/>
      <w:lvlText w:val="o"/>
      <w:lvlJc w:val="left"/>
      <w:pPr>
        <w:ind w:left="5760" w:hanging="360"/>
      </w:pPr>
      <w:rPr>
        <w:rFonts w:ascii="Courier New" w:hAnsi="Courier New" w:cs="Courier New" w:hint="default"/>
      </w:rPr>
    </w:lvl>
    <w:lvl w:ilvl="8" w:tplc="499A1A9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75"/>
    <w:rsid w:val="005F28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3DA"/>
    <w:pPr>
      <w:spacing w:after="0" w:line="260" w:lineRule="atLeast"/>
    </w:pPr>
    <w:rPr>
      <w:rFonts w:ascii="Times New Roman" w:eastAsia="Calibri" w:hAnsi="Times New Roman" w:cs="Times New Roman"/>
      <w:szCs w:val="20"/>
    </w:rPr>
  </w:style>
  <w:style w:type="paragraph" w:styleId="Heading1">
    <w:name w:val="heading 1"/>
    <w:basedOn w:val="Heading2"/>
    <w:next w:val="Normal"/>
    <w:link w:val="Heading1Char"/>
    <w:qFormat/>
    <w:rsid w:val="000363DA"/>
    <w:pPr>
      <w:ind w:left="0" w:firstLine="0"/>
      <w:jc w:val="center"/>
      <w:outlineLvl w:val="0"/>
    </w:pPr>
    <w:rPr>
      <w:rFonts w:ascii="Times New Roman" w:hAnsi="Times New Roman"/>
      <w:sz w:val="28"/>
    </w:rPr>
  </w:style>
  <w:style w:type="paragraph" w:styleId="Heading2">
    <w:name w:val="heading 2"/>
    <w:basedOn w:val="Normal"/>
    <w:next w:val="Normal"/>
    <w:link w:val="Heading2Char"/>
    <w:qFormat/>
    <w:rsid w:val="000363DA"/>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0363DA"/>
    <w:pPr>
      <w:keepNext/>
      <w:spacing w:before="280"/>
      <w:outlineLvl w:val="2"/>
    </w:pPr>
  </w:style>
  <w:style w:type="paragraph" w:styleId="Heading6">
    <w:name w:val="heading 6"/>
    <w:basedOn w:val="Normal"/>
    <w:next w:val="Normal"/>
    <w:link w:val="Heading6Char"/>
    <w:uiPriority w:val="9"/>
    <w:semiHidden/>
    <w:unhideWhenUsed/>
    <w:qFormat/>
    <w:rsid w:val="00F47EC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3DA"/>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0363DA"/>
    <w:rPr>
      <w:rFonts w:ascii="Times" w:eastAsia="Calibri" w:hAnsi="Times" w:cs="Times New Roman"/>
      <w:b/>
      <w:sz w:val="24"/>
      <w:szCs w:val="20"/>
    </w:rPr>
  </w:style>
  <w:style w:type="character" w:customStyle="1" w:styleId="Heading3Char">
    <w:name w:val="Heading 3 Char"/>
    <w:basedOn w:val="DefaultParagraphFont"/>
    <w:link w:val="Heading3"/>
    <w:rsid w:val="000363DA"/>
    <w:rPr>
      <w:rFonts w:ascii="Times" w:eastAsia="Calibri" w:hAnsi="Times" w:cs="Times New Roman"/>
      <w:b/>
      <w:sz w:val="24"/>
      <w:szCs w:val="20"/>
    </w:rPr>
  </w:style>
  <w:style w:type="character" w:styleId="Hyperlink">
    <w:name w:val="Hyperlink"/>
    <w:uiPriority w:val="99"/>
    <w:rsid w:val="000363DA"/>
    <w:rPr>
      <w:color w:val="0000FF"/>
      <w:u w:val="single"/>
    </w:rPr>
  </w:style>
  <w:style w:type="paragraph" w:styleId="Footer">
    <w:name w:val="footer"/>
    <w:link w:val="FooterChar"/>
    <w:rsid w:val="000363D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0363DA"/>
    <w:rPr>
      <w:rFonts w:ascii="Times New Roman" w:eastAsia="Times New Roman" w:hAnsi="Times New Roman" w:cs="Times New Roman"/>
      <w:szCs w:val="24"/>
      <w:lang w:eastAsia="en-AU"/>
    </w:rPr>
  </w:style>
  <w:style w:type="paragraph" w:customStyle="1" w:styleId="Notes">
    <w:name w:val="Notes"/>
    <w:basedOn w:val="Normal"/>
    <w:link w:val="NotesChar"/>
    <w:qFormat/>
    <w:rsid w:val="000363DA"/>
    <w:rPr>
      <w:i/>
    </w:rPr>
  </w:style>
  <w:style w:type="character" w:customStyle="1" w:styleId="NotesChar">
    <w:name w:val="Notes Char"/>
    <w:link w:val="Notes"/>
    <w:rsid w:val="000363DA"/>
    <w:rPr>
      <w:rFonts w:ascii="Times New Roman" w:eastAsia="Calibri" w:hAnsi="Times New Roman" w:cs="Times New Roman"/>
      <w:i/>
      <w:szCs w:val="20"/>
    </w:rPr>
  </w:style>
  <w:style w:type="character" w:styleId="PageNumber">
    <w:name w:val="page number"/>
    <w:rsid w:val="000363DA"/>
  </w:style>
  <w:style w:type="character" w:customStyle="1" w:styleId="CharAmPartText">
    <w:name w:val="CharAmPartText"/>
    <w:uiPriority w:val="1"/>
    <w:qFormat/>
    <w:rsid w:val="000363DA"/>
  </w:style>
  <w:style w:type="paragraph" w:customStyle="1" w:styleId="notedraft">
    <w:name w:val="note(draft)"/>
    <w:aliases w:val="nd"/>
    <w:basedOn w:val="Normal"/>
    <w:rsid w:val="000363DA"/>
    <w:pPr>
      <w:spacing w:before="240" w:line="240" w:lineRule="auto"/>
      <w:ind w:left="284" w:hanging="284"/>
    </w:pPr>
    <w:rPr>
      <w:rFonts w:eastAsia="Times New Roman"/>
      <w:i/>
      <w:sz w:val="24"/>
      <w:lang w:eastAsia="en-AU"/>
    </w:rPr>
  </w:style>
  <w:style w:type="character" w:styleId="CommentReference">
    <w:name w:val="annotation reference"/>
    <w:basedOn w:val="DefaultParagraphFont"/>
    <w:uiPriority w:val="99"/>
    <w:semiHidden/>
    <w:unhideWhenUsed/>
    <w:rsid w:val="000363DA"/>
    <w:rPr>
      <w:sz w:val="16"/>
      <w:szCs w:val="16"/>
    </w:rPr>
  </w:style>
  <w:style w:type="paragraph" w:styleId="CommentText">
    <w:name w:val="annotation text"/>
    <w:basedOn w:val="Normal"/>
    <w:link w:val="CommentTextChar"/>
    <w:uiPriority w:val="99"/>
    <w:semiHidden/>
    <w:unhideWhenUsed/>
    <w:rsid w:val="000363DA"/>
    <w:pPr>
      <w:spacing w:line="240" w:lineRule="auto"/>
    </w:pPr>
    <w:rPr>
      <w:sz w:val="20"/>
    </w:rPr>
  </w:style>
  <w:style w:type="character" w:customStyle="1" w:styleId="CommentTextChar">
    <w:name w:val="Comment Text Char"/>
    <w:basedOn w:val="DefaultParagraphFont"/>
    <w:link w:val="CommentText"/>
    <w:uiPriority w:val="99"/>
    <w:semiHidden/>
    <w:rsid w:val="000363DA"/>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363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3DA"/>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010BEF"/>
    <w:rPr>
      <w:b/>
      <w:bCs/>
    </w:rPr>
  </w:style>
  <w:style w:type="character" w:customStyle="1" w:styleId="CommentSubjectChar">
    <w:name w:val="Comment Subject Char"/>
    <w:basedOn w:val="CommentTextChar"/>
    <w:link w:val="CommentSubject"/>
    <w:uiPriority w:val="99"/>
    <w:semiHidden/>
    <w:rsid w:val="00010BEF"/>
    <w:rPr>
      <w:rFonts w:ascii="Times New Roman" w:eastAsia="Calibri" w:hAnsi="Times New Roman" w:cs="Times New Roman"/>
      <w:b/>
      <w:bCs/>
      <w:sz w:val="20"/>
      <w:szCs w:val="20"/>
    </w:rPr>
  </w:style>
  <w:style w:type="paragraph" w:customStyle="1" w:styleId="Default">
    <w:name w:val="Default"/>
    <w:rsid w:val="009D461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0177"/>
    <w:pPr>
      <w:spacing w:after="0" w:line="240" w:lineRule="auto"/>
    </w:pPr>
    <w:rPr>
      <w:rFonts w:ascii="Times New Roman" w:eastAsia="Calibri" w:hAnsi="Times New Roman" w:cs="Times New Roman"/>
      <w:szCs w:val="20"/>
    </w:rPr>
  </w:style>
  <w:style w:type="character" w:customStyle="1" w:styleId="Heading6Char">
    <w:name w:val="Heading 6 Char"/>
    <w:basedOn w:val="DefaultParagraphFont"/>
    <w:link w:val="Heading6"/>
    <w:uiPriority w:val="9"/>
    <w:semiHidden/>
    <w:rsid w:val="00F47EC9"/>
    <w:rPr>
      <w:rFonts w:asciiTheme="majorHAnsi" w:eastAsiaTheme="majorEastAsia" w:hAnsiTheme="majorHAnsi" w:cstheme="majorBidi"/>
      <w:i/>
      <w:iCs/>
      <w:color w:val="243F60" w:themeColor="accent1" w:themeShade="7F"/>
      <w:szCs w:val="20"/>
    </w:rPr>
  </w:style>
  <w:style w:type="paragraph" w:styleId="Header">
    <w:name w:val="header"/>
    <w:basedOn w:val="Normal"/>
    <w:link w:val="HeaderChar"/>
    <w:uiPriority w:val="99"/>
    <w:unhideWhenUsed/>
    <w:rsid w:val="00BA0456"/>
    <w:pPr>
      <w:tabs>
        <w:tab w:val="center" w:pos="4513"/>
        <w:tab w:val="right" w:pos="9026"/>
      </w:tabs>
      <w:spacing w:line="240" w:lineRule="auto"/>
    </w:pPr>
  </w:style>
  <w:style w:type="character" w:customStyle="1" w:styleId="HeaderChar">
    <w:name w:val="Header Char"/>
    <w:basedOn w:val="DefaultParagraphFont"/>
    <w:link w:val="Header"/>
    <w:uiPriority w:val="99"/>
    <w:rsid w:val="00BA0456"/>
    <w:rPr>
      <w:rFonts w:ascii="Times New Roman" w:eastAsia="Calibri"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3DA"/>
    <w:pPr>
      <w:spacing w:after="0" w:line="260" w:lineRule="atLeast"/>
    </w:pPr>
    <w:rPr>
      <w:rFonts w:ascii="Times New Roman" w:eastAsia="Calibri" w:hAnsi="Times New Roman" w:cs="Times New Roman"/>
      <w:szCs w:val="20"/>
    </w:rPr>
  </w:style>
  <w:style w:type="paragraph" w:styleId="Heading1">
    <w:name w:val="heading 1"/>
    <w:basedOn w:val="Heading2"/>
    <w:next w:val="Normal"/>
    <w:link w:val="Heading1Char"/>
    <w:qFormat/>
    <w:rsid w:val="000363DA"/>
    <w:pPr>
      <w:ind w:left="0" w:firstLine="0"/>
      <w:jc w:val="center"/>
      <w:outlineLvl w:val="0"/>
    </w:pPr>
    <w:rPr>
      <w:rFonts w:ascii="Times New Roman" w:hAnsi="Times New Roman"/>
      <w:sz w:val="28"/>
    </w:rPr>
  </w:style>
  <w:style w:type="paragraph" w:styleId="Heading2">
    <w:name w:val="heading 2"/>
    <w:basedOn w:val="Normal"/>
    <w:next w:val="Normal"/>
    <w:link w:val="Heading2Char"/>
    <w:qFormat/>
    <w:rsid w:val="000363DA"/>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0363DA"/>
    <w:pPr>
      <w:keepNext/>
      <w:spacing w:before="280"/>
      <w:outlineLvl w:val="2"/>
    </w:pPr>
  </w:style>
  <w:style w:type="paragraph" w:styleId="Heading6">
    <w:name w:val="heading 6"/>
    <w:basedOn w:val="Normal"/>
    <w:next w:val="Normal"/>
    <w:link w:val="Heading6Char"/>
    <w:uiPriority w:val="9"/>
    <w:semiHidden/>
    <w:unhideWhenUsed/>
    <w:qFormat/>
    <w:rsid w:val="00F47EC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3DA"/>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0363DA"/>
    <w:rPr>
      <w:rFonts w:ascii="Times" w:eastAsia="Calibri" w:hAnsi="Times" w:cs="Times New Roman"/>
      <w:b/>
      <w:sz w:val="24"/>
      <w:szCs w:val="20"/>
    </w:rPr>
  </w:style>
  <w:style w:type="character" w:customStyle="1" w:styleId="Heading3Char">
    <w:name w:val="Heading 3 Char"/>
    <w:basedOn w:val="DefaultParagraphFont"/>
    <w:link w:val="Heading3"/>
    <w:rsid w:val="000363DA"/>
    <w:rPr>
      <w:rFonts w:ascii="Times" w:eastAsia="Calibri" w:hAnsi="Times" w:cs="Times New Roman"/>
      <w:b/>
      <w:sz w:val="24"/>
      <w:szCs w:val="20"/>
    </w:rPr>
  </w:style>
  <w:style w:type="character" w:styleId="Hyperlink">
    <w:name w:val="Hyperlink"/>
    <w:uiPriority w:val="99"/>
    <w:rsid w:val="000363DA"/>
    <w:rPr>
      <w:color w:val="0000FF"/>
      <w:u w:val="single"/>
    </w:rPr>
  </w:style>
  <w:style w:type="paragraph" w:styleId="Footer">
    <w:name w:val="footer"/>
    <w:link w:val="FooterChar"/>
    <w:rsid w:val="000363D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0363DA"/>
    <w:rPr>
      <w:rFonts w:ascii="Times New Roman" w:eastAsia="Times New Roman" w:hAnsi="Times New Roman" w:cs="Times New Roman"/>
      <w:szCs w:val="24"/>
      <w:lang w:eastAsia="en-AU"/>
    </w:rPr>
  </w:style>
  <w:style w:type="paragraph" w:customStyle="1" w:styleId="Notes">
    <w:name w:val="Notes"/>
    <w:basedOn w:val="Normal"/>
    <w:link w:val="NotesChar"/>
    <w:qFormat/>
    <w:rsid w:val="000363DA"/>
    <w:rPr>
      <w:i/>
    </w:rPr>
  </w:style>
  <w:style w:type="character" w:customStyle="1" w:styleId="NotesChar">
    <w:name w:val="Notes Char"/>
    <w:link w:val="Notes"/>
    <w:rsid w:val="000363DA"/>
    <w:rPr>
      <w:rFonts w:ascii="Times New Roman" w:eastAsia="Calibri" w:hAnsi="Times New Roman" w:cs="Times New Roman"/>
      <w:i/>
      <w:szCs w:val="20"/>
    </w:rPr>
  </w:style>
  <w:style w:type="character" w:styleId="PageNumber">
    <w:name w:val="page number"/>
    <w:rsid w:val="000363DA"/>
  </w:style>
  <w:style w:type="character" w:customStyle="1" w:styleId="CharAmPartText">
    <w:name w:val="CharAmPartText"/>
    <w:uiPriority w:val="1"/>
    <w:qFormat/>
    <w:rsid w:val="000363DA"/>
  </w:style>
  <w:style w:type="paragraph" w:customStyle="1" w:styleId="notedraft">
    <w:name w:val="note(draft)"/>
    <w:aliases w:val="nd"/>
    <w:basedOn w:val="Normal"/>
    <w:rsid w:val="000363DA"/>
    <w:pPr>
      <w:spacing w:before="240" w:line="240" w:lineRule="auto"/>
      <w:ind w:left="284" w:hanging="284"/>
    </w:pPr>
    <w:rPr>
      <w:rFonts w:eastAsia="Times New Roman"/>
      <w:i/>
      <w:sz w:val="24"/>
      <w:lang w:eastAsia="en-AU"/>
    </w:rPr>
  </w:style>
  <w:style w:type="character" w:styleId="CommentReference">
    <w:name w:val="annotation reference"/>
    <w:basedOn w:val="DefaultParagraphFont"/>
    <w:uiPriority w:val="99"/>
    <w:semiHidden/>
    <w:unhideWhenUsed/>
    <w:rsid w:val="000363DA"/>
    <w:rPr>
      <w:sz w:val="16"/>
      <w:szCs w:val="16"/>
    </w:rPr>
  </w:style>
  <w:style w:type="paragraph" w:styleId="CommentText">
    <w:name w:val="annotation text"/>
    <w:basedOn w:val="Normal"/>
    <w:link w:val="CommentTextChar"/>
    <w:uiPriority w:val="99"/>
    <w:semiHidden/>
    <w:unhideWhenUsed/>
    <w:rsid w:val="000363DA"/>
    <w:pPr>
      <w:spacing w:line="240" w:lineRule="auto"/>
    </w:pPr>
    <w:rPr>
      <w:sz w:val="20"/>
    </w:rPr>
  </w:style>
  <w:style w:type="character" w:customStyle="1" w:styleId="CommentTextChar">
    <w:name w:val="Comment Text Char"/>
    <w:basedOn w:val="DefaultParagraphFont"/>
    <w:link w:val="CommentText"/>
    <w:uiPriority w:val="99"/>
    <w:semiHidden/>
    <w:rsid w:val="000363DA"/>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363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3DA"/>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010BEF"/>
    <w:rPr>
      <w:b/>
      <w:bCs/>
    </w:rPr>
  </w:style>
  <w:style w:type="character" w:customStyle="1" w:styleId="CommentSubjectChar">
    <w:name w:val="Comment Subject Char"/>
    <w:basedOn w:val="CommentTextChar"/>
    <w:link w:val="CommentSubject"/>
    <w:uiPriority w:val="99"/>
    <w:semiHidden/>
    <w:rsid w:val="00010BEF"/>
    <w:rPr>
      <w:rFonts w:ascii="Times New Roman" w:eastAsia="Calibri" w:hAnsi="Times New Roman" w:cs="Times New Roman"/>
      <w:b/>
      <w:bCs/>
      <w:sz w:val="20"/>
      <w:szCs w:val="20"/>
    </w:rPr>
  </w:style>
  <w:style w:type="paragraph" w:customStyle="1" w:styleId="Default">
    <w:name w:val="Default"/>
    <w:rsid w:val="009D461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0177"/>
    <w:pPr>
      <w:spacing w:after="0" w:line="240" w:lineRule="auto"/>
    </w:pPr>
    <w:rPr>
      <w:rFonts w:ascii="Times New Roman" w:eastAsia="Calibri" w:hAnsi="Times New Roman" w:cs="Times New Roman"/>
      <w:szCs w:val="20"/>
    </w:rPr>
  </w:style>
  <w:style w:type="character" w:customStyle="1" w:styleId="Heading6Char">
    <w:name w:val="Heading 6 Char"/>
    <w:basedOn w:val="DefaultParagraphFont"/>
    <w:link w:val="Heading6"/>
    <w:uiPriority w:val="9"/>
    <w:semiHidden/>
    <w:rsid w:val="00F47EC9"/>
    <w:rPr>
      <w:rFonts w:asciiTheme="majorHAnsi" w:eastAsiaTheme="majorEastAsia" w:hAnsiTheme="majorHAnsi" w:cstheme="majorBidi"/>
      <w:i/>
      <w:iCs/>
      <w:color w:val="243F60" w:themeColor="accent1" w:themeShade="7F"/>
      <w:szCs w:val="20"/>
    </w:rPr>
  </w:style>
  <w:style w:type="paragraph" w:styleId="Header">
    <w:name w:val="header"/>
    <w:basedOn w:val="Normal"/>
    <w:link w:val="HeaderChar"/>
    <w:uiPriority w:val="99"/>
    <w:unhideWhenUsed/>
    <w:rsid w:val="00BA0456"/>
    <w:pPr>
      <w:tabs>
        <w:tab w:val="center" w:pos="4513"/>
        <w:tab w:val="right" w:pos="9026"/>
      </w:tabs>
      <w:spacing w:line="240" w:lineRule="auto"/>
    </w:pPr>
  </w:style>
  <w:style w:type="character" w:customStyle="1" w:styleId="HeaderChar">
    <w:name w:val="Header Char"/>
    <w:basedOn w:val="DefaultParagraphFont"/>
    <w:link w:val="Header"/>
    <w:uiPriority w:val="99"/>
    <w:rsid w:val="00BA0456"/>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omlaw.gov.au/Current/C2011A00186"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C13598D256588458385565AB34E528F" ma:contentTypeVersion="" ma:contentTypeDescription="PDMS Document Site Content Type" ma:contentTypeScope="" ma:versionID="da1a484e09284ea227ddbad45975763d">
  <xsd:schema xmlns:xsd="http://www.w3.org/2001/XMLSchema" xmlns:xs="http://www.w3.org/2001/XMLSchema" xmlns:p="http://schemas.microsoft.com/office/2006/metadata/properties" xmlns:ns2="0FC3E14E-E7F6-4490-B6B5-5744062D4FCE" targetNamespace="http://schemas.microsoft.com/office/2006/metadata/properties" ma:root="true" ma:fieldsID="c249d708498cf8886050823d8c9145d1" ns2:_="">
    <xsd:import namespace="0FC3E14E-E7F6-4490-B6B5-5744062D4FC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3E14E-E7F6-4490-B6B5-5744062D4FC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20624-EC93-43F3-A132-3EDDCBD29C09}">
  <ds:schemaRefs>
    <ds:schemaRef ds:uri="http://schemas.microsoft.com/sharepoint/v3/contenttype/forms"/>
  </ds:schemaRefs>
</ds:datastoreItem>
</file>

<file path=customXml/itemProps2.xml><?xml version="1.0" encoding="utf-8"?>
<ds:datastoreItem xmlns:ds="http://schemas.openxmlformats.org/officeDocument/2006/customXml" ds:itemID="{0AD8FFD0-32E9-48FD-B71B-907ABF410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3E14E-E7F6-4490-B6B5-5744062D4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28FF6-6F58-4E56-8723-056369088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618</Words>
  <Characters>3490</Characters>
  <Application>Microsoft Office Word</Application>
  <DocSecurity>4</DocSecurity>
  <Lines>64</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tehang</dc:creator>
  <cp:lastModifiedBy>fairbk</cp:lastModifiedBy>
  <cp:revision>2</cp:revision>
  <cp:lastPrinted>2016-04-29T02:42:00Z</cp:lastPrinted>
  <dcterms:created xsi:type="dcterms:W3CDTF">2016-04-29T03:01:00Z</dcterms:created>
  <dcterms:modified xsi:type="dcterms:W3CDTF">2016-04-29T03:01:00Z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29 April 2016</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BRCH-CJCG-CJPPD-Office of Legal Services Coordination</vt:lpwstr>
  </property>
  <property fmtid="{D5CDD505-2E9C-101B-9397-08002B2CF9AE}" pid="7" name="HandlingProtocol">
    <vt:lpwstr>LimitedDistribution</vt:lpwstr>
  </property>
  <property fmtid="{D5CDD505-2E9C-101B-9397-08002B2CF9AE}" pid="8" name="InformationMinister">
    <vt:lpwstr> </vt:lpwstr>
  </property>
  <property fmtid="{D5CDD505-2E9C-101B-9397-08002B2CF9AE}" pid="9" name="LastClearingOfficer">
    <vt:lpwstr>Petra Gartmann</vt:lpwstr>
  </property>
  <property fmtid="{D5CDD505-2E9C-101B-9397-08002B2CF9AE}" pid="10" name="Ministers">
    <vt:lpwstr>AG - George Brandis</vt:lpwstr>
  </property>
  <property fmtid="{D5CDD505-2E9C-101B-9397-08002B2CF9AE}" pid="11" name="PdrId">
    <vt:lpwstr>MS16-000698</vt:lpwstr>
  </property>
  <property fmtid="{D5CDD505-2E9C-101B-9397-08002B2CF9AE}" pid="12" name="Principal">
    <vt:lpwstr>Submission</vt:lpwstr>
  </property>
  <property fmtid="{D5CDD505-2E9C-101B-9397-08002B2CF9AE}" pid="13" name="ReasonForSensitivity">
    <vt:lpwstr/>
  </property>
  <property fmtid="{D5CDD505-2E9C-101B-9397-08002B2CF9AE}" pid="14" name="RegisteredDate">
    <vt:lpwstr>28 April 2016</vt:lpwstr>
  </property>
  <property fmtid="{D5CDD505-2E9C-101B-9397-08002B2CF9AE}" pid="15" name="RequestedAction">
    <vt:lpwstr>Action - Approve</vt:lpwstr>
  </property>
  <property fmtid="{D5CDD505-2E9C-101B-9397-08002B2CF9AE}" pid="16" name="ResponsibleMinister">
    <vt:lpwstr>AG - George Brandis</vt:lpwstr>
  </property>
  <property fmtid="{D5CDD505-2E9C-101B-9397-08002B2CF9AE}" pid="17" name="SecurityClassification">
    <vt:lpwstr>Sensitive: Legal  </vt:lpwstr>
  </property>
  <property fmtid="{D5CDD505-2E9C-101B-9397-08002B2CF9AE}" pid="18" name="Subject">
    <vt:lpwstr>Legal Services Direction Amendment (Solicitor-General Opinions) Direction 2016</vt:lpwstr>
  </property>
  <property fmtid="{D5CDD505-2E9C-101B-9397-08002B2CF9AE}" pid="19" name="TaskSeqNo">
    <vt:lpwstr>0</vt:lpwstr>
  </property>
  <property fmtid="{D5CDD505-2E9C-101B-9397-08002B2CF9AE}" pid="20" name="TemplateSubType">
    <vt:lpwstr>AG - George Brandis</vt:lpwstr>
  </property>
  <property fmtid="{D5CDD505-2E9C-101B-9397-08002B2CF9AE}" pid="21" name="TemplateType">
    <vt:lpwstr>Attorney-General</vt:lpwstr>
  </property>
  <property fmtid="{D5CDD505-2E9C-101B-9397-08002B2CF9AE}" pid="22" name="TrustedGroups">
    <vt:lpwstr>Parliamentary Coordinator MS, DLO, Ministerial Staff - Coalition 2013, Business Administrator, Limited Distribution MS</vt:lpwstr>
  </property>
</Properties>
</file>