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8B" w:rsidRPr="00BA306B" w:rsidRDefault="009F0802" w:rsidP="003856A4">
      <w:pPr>
        <w:pStyle w:val="Title"/>
        <w:rPr>
          <w:szCs w:val="24"/>
        </w:rPr>
      </w:pPr>
      <w:r>
        <w:rPr>
          <w:szCs w:val="24"/>
        </w:rPr>
        <w:t>EXPLANATORY STATEMENT</w:t>
      </w:r>
    </w:p>
    <w:p w:rsidR="002E568B" w:rsidRPr="00BA306B" w:rsidRDefault="002E568B" w:rsidP="003856A4">
      <w:pPr>
        <w:rPr>
          <w:b/>
          <w:szCs w:val="24"/>
        </w:rPr>
      </w:pPr>
    </w:p>
    <w:p w:rsidR="003E33C4" w:rsidRDefault="007B086B" w:rsidP="009F0802">
      <w:pPr>
        <w:jc w:val="center"/>
        <w:rPr>
          <w:i/>
          <w:szCs w:val="24"/>
        </w:rPr>
      </w:pPr>
      <w:r w:rsidRPr="00BA306B">
        <w:rPr>
          <w:i/>
          <w:szCs w:val="24"/>
        </w:rPr>
        <w:t>Therapeutic Goods (Charges) Act 1989</w:t>
      </w:r>
    </w:p>
    <w:p w:rsidR="009F0802" w:rsidRDefault="009F0802" w:rsidP="009F0802">
      <w:pPr>
        <w:jc w:val="center"/>
        <w:rPr>
          <w:i/>
          <w:szCs w:val="24"/>
        </w:rPr>
      </w:pPr>
    </w:p>
    <w:p w:rsidR="002E568B" w:rsidRPr="00BA306B" w:rsidRDefault="002E568B" w:rsidP="009F0802">
      <w:pPr>
        <w:ind w:left="1440"/>
        <w:jc w:val="center"/>
        <w:rPr>
          <w:i/>
          <w:szCs w:val="24"/>
        </w:rPr>
      </w:pPr>
      <w:r w:rsidRPr="00BA306B">
        <w:rPr>
          <w:i/>
          <w:szCs w:val="24"/>
        </w:rPr>
        <w:t>Therapeutic Goods (Charges</w:t>
      </w:r>
      <w:r w:rsidR="00802B83">
        <w:rPr>
          <w:i/>
          <w:szCs w:val="24"/>
        </w:rPr>
        <w:t>)</w:t>
      </w:r>
      <w:r w:rsidRPr="00BA306B">
        <w:rPr>
          <w:i/>
          <w:szCs w:val="24"/>
        </w:rPr>
        <w:t xml:space="preserve"> Amendment </w:t>
      </w:r>
      <w:r w:rsidR="00B24498">
        <w:rPr>
          <w:i/>
          <w:szCs w:val="24"/>
        </w:rPr>
        <w:t>(2016</w:t>
      </w:r>
      <w:r w:rsidR="00802B83">
        <w:rPr>
          <w:i/>
          <w:szCs w:val="24"/>
        </w:rPr>
        <w:t xml:space="preserve"> Measures No. 1) </w:t>
      </w:r>
      <w:r w:rsidRPr="00BA306B">
        <w:rPr>
          <w:i/>
          <w:szCs w:val="24"/>
        </w:rPr>
        <w:t xml:space="preserve">Regulation </w:t>
      </w:r>
      <w:r>
        <w:rPr>
          <w:i/>
          <w:szCs w:val="24"/>
        </w:rPr>
        <w:t>201</w:t>
      </w:r>
      <w:r w:rsidR="00B24498">
        <w:rPr>
          <w:i/>
          <w:szCs w:val="24"/>
        </w:rPr>
        <w:t>6</w:t>
      </w:r>
    </w:p>
    <w:p w:rsidR="002E568B" w:rsidRPr="00704057" w:rsidRDefault="002E568B" w:rsidP="003856A4">
      <w:pPr>
        <w:rPr>
          <w:szCs w:val="24"/>
          <w:highlight w:val="yellow"/>
        </w:rPr>
      </w:pPr>
    </w:p>
    <w:p w:rsidR="00CD7CD9" w:rsidRPr="003856A4" w:rsidRDefault="00ED3AE4" w:rsidP="00CD7CD9">
      <w:pPr>
        <w:rPr>
          <w:szCs w:val="24"/>
        </w:rPr>
      </w:pPr>
      <w:r>
        <w:rPr>
          <w:szCs w:val="24"/>
        </w:rPr>
        <w:t>T</w:t>
      </w:r>
      <w:r w:rsidR="00CD7CD9" w:rsidRPr="003856A4">
        <w:rPr>
          <w:szCs w:val="24"/>
        </w:rPr>
        <w:t xml:space="preserve">he </w:t>
      </w:r>
      <w:r w:rsidR="00CD7CD9" w:rsidRPr="003856A4">
        <w:rPr>
          <w:i/>
          <w:szCs w:val="24"/>
        </w:rPr>
        <w:t>Therapeutic Goods (Charges) Act 1989</w:t>
      </w:r>
      <w:r w:rsidR="00CD7CD9" w:rsidRPr="003856A4">
        <w:rPr>
          <w:szCs w:val="24"/>
        </w:rPr>
        <w:t xml:space="preserve"> (the </w:t>
      </w:r>
      <w:r w:rsidR="00CD7CD9">
        <w:rPr>
          <w:szCs w:val="24"/>
        </w:rPr>
        <w:t xml:space="preserve">Charges </w:t>
      </w:r>
      <w:r w:rsidR="00CD7CD9" w:rsidRPr="003856A4">
        <w:rPr>
          <w:szCs w:val="24"/>
        </w:rPr>
        <w:t>Act) impos</w:t>
      </w:r>
      <w:r w:rsidR="00CD7CD9">
        <w:rPr>
          <w:szCs w:val="24"/>
        </w:rPr>
        <w:t xml:space="preserve">es </w:t>
      </w:r>
      <w:r w:rsidR="00CD7CD9" w:rsidRPr="003856A4">
        <w:rPr>
          <w:szCs w:val="24"/>
        </w:rPr>
        <w:t>annual charge</w:t>
      </w:r>
      <w:r w:rsidR="00CD7CD9">
        <w:rPr>
          <w:szCs w:val="24"/>
        </w:rPr>
        <w:t>s</w:t>
      </w:r>
      <w:r w:rsidR="00CD7CD9" w:rsidRPr="003856A4">
        <w:rPr>
          <w:szCs w:val="24"/>
        </w:rPr>
        <w:t xml:space="preserve"> on the registration, listing and inclusion of therapeutic goods in the Australian Register of Therapeutic Goods (the Register), and on the licensing of manufacturers of therapeutic goods. The </w:t>
      </w:r>
      <w:r>
        <w:rPr>
          <w:szCs w:val="24"/>
        </w:rPr>
        <w:t>T</w:t>
      </w:r>
      <w:r w:rsidR="00980228">
        <w:rPr>
          <w:szCs w:val="24"/>
        </w:rPr>
        <w:t xml:space="preserve">herapeutic Goods Administration (TGA), which is part of the Department of Health, </w:t>
      </w:r>
      <w:r w:rsidR="00CD7CD9" w:rsidRPr="003856A4">
        <w:rPr>
          <w:szCs w:val="24"/>
        </w:rPr>
        <w:t xml:space="preserve">is responsible for administering the </w:t>
      </w:r>
      <w:r w:rsidR="00CD7CD9">
        <w:rPr>
          <w:szCs w:val="24"/>
        </w:rPr>
        <w:t xml:space="preserve">Charges </w:t>
      </w:r>
      <w:r w:rsidR="00CD7CD9" w:rsidRPr="003856A4">
        <w:rPr>
          <w:szCs w:val="24"/>
        </w:rPr>
        <w:t>Act.</w:t>
      </w:r>
    </w:p>
    <w:p w:rsidR="00CD7CD9" w:rsidRPr="003856A4" w:rsidRDefault="00CD7CD9" w:rsidP="00CD7CD9">
      <w:pPr>
        <w:rPr>
          <w:szCs w:val="24"/>
        </w:rPr>
      </w:pPr>
    </w:p>
    <w:p w:rsidR="00CD7CD9" w:rsidRPr="003856A4" w:rsidRDefault="00CD7CD9" w:rsidP="00CD7CD9">
      <w:pPr>
        <w:rPr>
          <w:szCs w:val="24"/>
        </w:rPr>
      </w:pPr>
      <w:r w:rsidRPr="003856A4">
        <w:rPr>
          <w:szCs w:val="24"/>
        </w:rPr>
        <w:t xml:space="preserve">Section 4 of the </w:t>
      </w:r>
      <w:r>
        <w:rPr>
          <w:szCs w:val="24"/>
        </w:rPr>
        <w:t xml:space="preserve">Charges </w:t>
      </w:r>
      <w:r w:rsidRPr="003856A4">
        <w:rPr>
          <w:szCs w:val="24"/>
        </w:rPr>
        <w:t>Act provides that annual charges of such amounts as are prescribed are payable in respect of therapeutic go</w:t>
      </w:r>
      <w:r w:rsidR="00376B26">
        <w:rPr>
          <w:szCs w:val="24"/>
        </w:rPr>
        <w:t>ods o</w:t>
      </w:r>
      <w:r w:rsidRPr="003856A4">
        <w:rPr>
          <w:szCs w:val="24"/>
        </w:rPr>
        <w:t xml:space="preserve">n the Register, as well as in respect of </w:t>
      </w:r>
      <w:r w:rsidR="00575D61">
        <w:rPr>
          <w:szCs w:val="24"/>
        </w:rPr>
        <w:t xml:space="preserve">manufacturing </w:t>
      </w:r>
      <w:r w:rsidRPr="003856A4">
        <w:rPr>
          <w:szCs w:val="24"/>
        </w:rPr>
        <w:t>licences</w:t>
      </w:r>
      <w:r w:rsidR="009B3848">
        <w:rPr>
          <w:szCs w:val="24"/>
        </w:rPr>
        <w:t>,</w:t>
      </w:r>
      <w:r w:rsidRPr="003856A4">
        <w:rPr>
          <w:szCs w:val="24"/>
        </w:rPr>
        <w:t xml:space="preserve"> that are in force at any</w:t>
      </w:r>
      <w:r w:rsidR="00ED3AE4">
        <w:rPr>
          <w:szCs w:val="24"/>
        </w:rPr>
        <w:t xml:space="preserve"> time within a financial year. In addition, u</w:t>
      </w:r>
      <w:r w:rsidRPr="003856A4">
        <w:rPr>
          <w:szCs w:val="24"/>
        </w:rPr>
        <w:t xml:space="preserve">nder subsection 4(1A) of the </w:t>
      </w:r>
      <w:r>
        <w:rPr>
          <w:szCs w:val="24"/>
        </w:rPr>
        <w:t xml:space="preserve">Charges </w:t>
      </w:r>
      <w:r w:rsidRPr="003856A4">
        <w:rPr>
          <w:szCs w:val="24"/>
        </w:rPr>
        <w:t>Act, where one or more therapeutic goods are “grouped” and each of the “grouped” therapeutic goods is covered by a single regis</w:t>
      </w:r>
      <w:r w:rsidR="00EF6410">
        <w:rPr>
          <w:szCs w:val="24"/>
        </w:rPr>
        <w:t xml:space="preserve">tration number, </w:t>
      </w:r>
      <w:r w:rsidRPr="003856A4">
        <w:rPr>
          <w:szCs w:val="24"/>
        </w:rPr>
        <w:t xml:space="preserve">a single annual charge as </w:t>
      </w:r>
      <w:r w:rsidR="00EF6410">
        <w:rPr>
          <w:szCs w:val="24"/>
        </w:rPr>
        <w:t xml:space="preserve">is </w:t>
      </w:r>
      <w:r w:rsidRPr="003856A4">
        <w:rPr>
          <w:szCs w:val="24"/>
        </w:rPr>
        <w:t>prescribed will apply for maintaining all the registered goods covered under the same group.</w:t>
      </w:r>
    </w:p>
    <w:p w:rsidR="00CD7CD9" w:rsidRPr="003856A4" w:rsidRDefault="00CD7CD9" w:rsidP="00CD7CD9">
      <w:pPr>
        <w:rPr>
          <w:szCs w:val="24"/>
        </w:rPr>
      </w:pPr>
    </w:p>
    <w:p w:rsidR="00CD7CD9" w:rsidRDefault="00CD7CD9" w:rsidP="00575D61">
      <w:pPr>
        <w:rPr>
          <w:szCs w:val="24"/>
        </w:rPr>
      </w:pPr>
      <w:r w:rsidRPr="003856A4">
        <w:rPr>
          <w:szCs w:val="24"/>
        </w:rPr>
        <w:t xml:space="preserve">Subsection 5(1) of the </w:t>
      </w:r>
      <w:r>
        <w:rPr>
          <w:szCs w:val="24"/>
        </w:rPr>
        <w:t xml:space="preserve">Charges </w:t>
      </w:r>
      <w:r w:rsidRPr="003856A4">
        <w:rPr>
          <w:szCs w:val="24"/>
        </w:rPr>
        <w:t xml:space="preserve">Act provides that the Governor-General may make regulations, not inconsistent with the </w:t>
      </w:r>
      <w:r>
        <w:rPr>
          <w:szCs w:val="24"/>
        </w:rPr>
        <w:t xml:space="preserve">Charges </w:t>
      </w:r>
      <w:r w:rsidRPr="003856A4">
        <w:rPr>
          <w:szCs w:val="24"/>
        </w:rPr>
        <w:t xml:space="preserve">Act, prescribing the amounts of charges. </w:t>
      </w:r>
      <w:r w:rsidR="00D2672A">
        <w:rPr>
          <w:szCs w:val="24"/>
        </w:rPr>
        <w:t xml:space="preserve">Under </w:t>
      </w:r>
      <w:r w:rsidR="009B3848">
        <w:rPr>
          <w:szCs w:val="24"/>
        </w:rPr>
        <w:t>s</w:t>
      </w:r>
      <w:r w:rsidRPr="003856A4">
        <w:rPr>
          <w:szCs w:val="24"/>
        </w:rPr>
        <w:t xml:space="preserve">ubsection 5(2) of the </w:t>
      </w:r>
      <w:r>
        <w:rPr>
          <w:szCs w:val="24"/>
        </w:rPr>
        <w:t xml:space="preserve">Charges </w:t>
      </w:r>
      <w:r w:rsidR="00FB7657">
        <w:rPr>
          <w:szCs w:val="24"/>
        </w:rPr>
        <w:t xml:space="preserve">Act, </w:t>
      </w:r>
      <w:r w:rsidRPr="003856A4">
        <w:rPr>
          <w:szCs w:val="24"/>
        </w:rPr>
        <w:t>the Governo</w:t>
      </w:r>
      <w:r w:rsidR="00FB7657">
        <w:rPr>
          <w:szCs w:val="24"/>
        </w:rPr>
        <w:t>r-General may</w:t>
      </w:r>
      <w:r w:rsidRPr="003856A4">
        <w:rPr>
          <w:szCs w:val="24"/>
        </w:rPr>
        <w:t xml:space="preserve"> prescribe different levels of charges for different classes of goods or, in the case of annual licensing charges, for different steps in the manufacture of therapeutic goods.</w:t>
      </w:r>
    </w:p>
    <w:p w:rsidR="00C863BC" w:rsidRDefault="00C863BC" w:rsidP="00575D61">
      <w:pPr>
        <w:rPr>
          <w:szCs w:val="24"/>
        </w:rPr>
      </w:pPr>
    </w:p>
    <w:p w:rsidR="00643564" w:rsidRPr="000854E9" w:rsidRDefault="00073162" w:rsidP="000854E9">
      <w:pPr>
        <w:rPr>
          <w:szCs w:val="24"/>
        </w:rPr>
      </w:pPr>
      <w:r>
        <w:rPr>
          <w:szCs w:val="24"/>
        </w:rPr>
        <w:t xml:space="preserve">The purpose of the </w:t>
      </w:r>
      <w:r w:rsidR="00E805BF" w:rsidRPr="00BA306B">
        <w:rPr>
          <w:i/>
          <w:szCs w:val="24"/>
        </w:rPr>
        <w:t>Therapeutic Goods (Charges</w:t>
      </w:r>
      <w:r w:rsidR="00E805BF">
        <w:rPr>
          <w:i/>
          <w:szCs w:val="24"/>
        </w:rPr>
        <w:t>)</w:t>
      </w:r>
      <w:r w:rsidR="00E805BF" w:rsidRPr="00BA306B">
        <w:rPr>
          <w:i/>
          <w:szCs w:val="24"/>
        </w:rPr>
        <w:t xml:space="preserve"> Amendment </w:t>
      </w:r>
      <w:r w:rsidR="00E805BF">
        <w:rPr>
          <w:i/>
          <w:szCs w:val="24"/>
        </w:rPr>
        <w:t xml:space="preserve">(2016 Measures No. 1) </w:t>
      </w:r>
      <w:r w:rsidR="00E805BF" w:rsidRPr="00BA306B">
        <w:rPr>
          <w:i/>
          <w:szCs w:val="24"/>
        </w:rPr>
        <w:t xml:space="preserve">Regulation </w:t>
      </w:r>
      <w:r w:rsidR="00E805BF" w:rsidRPr="00EE7CFE">
        <w:rPr>
          <w:szCs w:val="24"/>
        </w:rPr>
        <w:t>2016</w:t>
      </w:r>
      <w:r w:rsidR="00E805BF">
        <w:rPr>
          <w:szCs w:val="24"/>
        </w:rPr>
        <w:t xml:space="preserve"> (the </w:t>
      </w:r>
      <w:r w:rsidR="004A2ED7">
        <w:rPr>
          <w:szCs w:val="24"/>
        </w:rPr>
        <w:t>Regulation</w:t>
      </w:r>
      <w:r w:rsidR="00E805BF">
        <w:rPr>
          <w:szCs w:val="24"/>
        </w:rPr>
        <w:t>)</w:t>
      </w:r>
      <w:r w:rsidR="004A2ED7">
        <w:rPr>
          <w:szCs w:val="24"/>
        </w:rPr>
        <w:t xml:space="preserve"> is to amend the Therapeutic Goods (Charges) Regulations 1990 (the Charges Regulations) to</w:t>
      </w:r>
      <w:r w:rsidR="000854E9">
        <w:rPr>
          <w:szCs w:val="24"/>
        </w:rPr>
        <w:t xml:space="preserve"> </w:t>
      </w:r>
      <w:r w:rsidR="004A2ED7" w:rsidRPr="000854E9">
        <w:rPr>
          <w:szCs w:val="24"/>
        </w:rPr>
        <w:t>inc</w:t>
      </w:r>
      <w:r w:rsidR="000854E9">
        <w:rPr>
          <w:szCs w:val="24"/>
        </w:rPr>
        <w:t>rease annual charges by 2.</w:t>
      </w:r>
      <w:r w:rsidR="004A2ED7" w:rsidRPr="000854E9">
        <w:rPr>
          <w:szCs w:val="24"/>
        </w:rPr>
        <w:t>2</w:t>
      </w:r>
      <w:r w:rsidR="000854E9">
        <w:rPr>
          <w:szCs w:val="24"/>
        </w:rPr>
        <w:t>5</w:t>
      </w:r>
      <w:r w:rsidR="004A2ED7" w:rsidRPr="000854E9">
        <w:rPr>
          <w:szCs w:val="24"/>
        </w:rPr>
        <w:t xml:space="preserve"> per </w:t>
      </w:r>
      <w:r w:rsidR="000854E9">
        <w:rPr>
          <w:szCs w:val="24"/>
        </w:rPr>
        <w:t>cent for the financial year 2016-17.</w:t>
      </w:r>
    </w:p>
    <w:p w:rsidR="004A2ED7" w:rsidRDefault="004A2ED7" w:rsidP="00575D61">
      <w:pPr>
        <w:rPr>
          <w:szCs w:val="24"/>
        </w:rPr>
      </w:pPr>
    </w:p>
    <w:p w:rsidR="00061854" w:rsidRDefault="00073162" w:rsidP="00D27D4C">
      <w:pPr>
        <w:rPr>
          <w:szCs w:val="24"/>
        </w:rPr>
      </w:pPr>
      <w:r>
        <w:rPr>
          <w:szCs w:val="24"/>
        </w:rPr>
        <w:t>The increase applies</w:t>
      </w:r>
      <w:r w:rsidR="00D27D4C">
        <w:rPr>
          <w:szCs w:val="24"/>
        </w:rPr>
        <w:t xml:space="preserve"> to annual charges relating to the registration, listing or inclusion of the</w:t>
      </w:r>
      <w:r w:rsidR="00A81397">
        <w:rPr>
          <w:szCs w:val="24"/>
        </w:rPr>
        <w:t xml:space="preserve">rapeutic goods in the Register - </w:t>
      </w:r>
      <w:r w:rsidR="00D27D4C">
        <w:rPr>
          <w:szCs w:val="24"/>
        </w:rPr>
        <w:t>this encompasses registered goods, listed goods, biologicals and medical devices</w:t>
      </w:r>
      <w:r w:rsidR="000854E9">
        <w:rPr>
          <w:szCs w:val="24"/>
        </w:rPr>
        <w:t xml:space="preserve"> – and</w:t>
      </w:r>
      <w:r w:rsidR="0059381E">
        <w:rPr>
          <w:szCs w:val="24"/>
        </w:rPr>
        <w:t xml:space="preserve"> to annual charges for</w:t>
      </w:r>
      <w:r w:rsidR="000854E9">
        <w:rPr>
          <w:szCs w:val="24"/>
        </w:rPr>
        <w:t xml:space="preserve"> manufacturing licences.</w:t>
      </w:r>
    </w:p>
    <w:p w:rsidR="00EA3BFF" w:rsidRDefault="00EA3BFF" w:rsidP="00EA3BFF">
      <w:pPr>
        <w:rPr>
          <w:szCs w:val="24"/>
        </w:rPr>
      </w:pPr>
    </w:p>
    <w:p w:rsidR="0072588E" w:rsidRDefault="0072588E" w:rsidP="00EA3BFF">
      <w:pPr>
        <w:rPr>
          <w:szCs w:val="24"/>
        </w:rPr>
      </w:pPr>
      <w:r>
        <w:rPr>
          <w:szCs w:val="24"/>
        </w:rPr>
        <w:t xml:space="preserve">The </w:t>
      </w:r>
      <w:r w:rsidR="00EA3BFF">
        <w:rPr>
          <w:szCs w:val="24"/>
        </w:rPr>
        <w:t xml:space="preserve">2.25 per cent </w:t>
      </w:r>
      <w:r w:rsidR="00073162">
        <w:rPr>
          <w:szCs w:val="24"/>
        </w:rPr>
        <w:t xml:space="preserve">figure for the </w:t>
      </w:r>
      <w:r w:rsidR="00EA3BFF">
        <w:rPr>
          <w:szCs w:val="24"/>
        </w:rPr>
        <w:t xml:space="preserve">increase is based on </w:t>
      </w:r>
      <w:r>
        <w:rPr>
          <w:szCs w:val="24"/>
        </w:rPr>
        <w:t xml:space="preserve">an </w:t>
      </w:r>
      <w:r w:rsidR="00EA3BFF">
        <w:rPr>
          <w:szCs w:val="24"/>
        </w:rPr>
        <w:t xml:space="preserve">indexation </w:t>
      </w:r>
      <w:r>
        <w:rPr>
          <w:szCs w:val="24"/>
        </w:rPr>
        <w:t xml:space="preserve">formula </w:t>
      </w:r>
      <w:r w:rsidR="00EA3BFF">
        <w:rPr>
          <w:szCs w:val="24"/>
        </w:rPr>
        <w:t xml:space="preserve">used to calculate adjustments to TGA fees and charges in </w:t>
      </w:r>
      <w:r>
        <w:rPr>
          <w:szCs w:val="24"/>
        </w:rPr>
        <w:t xml:space="preserve">most previous years, and is </w:t>
      </w:r>
      <w:r w:rsidR="00EA3BFF">
        <w:rPr>
          <w:szCs w:val="24"/>
        </w:rPr>
        <w:t xml:space="preserve">based on the </w:t>
      </w:r>
      <w:r>
        <w:rPr>
          <w:szCs w:val="24"/>
        </w:rPr>
        <w:t xml:space="preserve">Australian Bureau of Statistics’ </w:t>
      </w:r>
      <w:r w:rsidR="00EA3BFF">
        <w:rPr>
          <w:szCs w:val="24"/>
        </w:rPr>
        <w:t xml:space="preserve">Wage Price Index (50 per cent) </w:t>
      </w:r>
      <w:r w:rsidR="005E7B97">
        <w:rPr>
          <w:szCs w:val="24"/>
        </w:rPr>
        <w:t xml:space="preserve">(in this case, for the year to September 2015) </w:t>
      </w:r>
      <w:r w:rsidR="00EA3BFF">
        <w:rPr>
          <w:szCs w:val="24"/>
        </w:rPr>
        <w:t>and</w:t>
      </w:r>
      <w:r w:rsidR="005E7B97">
        <w:rPr>
          <w:szCs w:val="24"/>
        </w:rPr>
        <w:t xml:space="preserve"> </w:t>
      </w:r>
      <w:r w:rsidR="00EA3BFF">
        <w:rPr>
          <w:szCs w:val="24"/>
        </w:rPr>
        <w:t>Cons</w:t>
      </w:r>
      <w:r>
        <w:rPr>
          <w:szCs w:val="24"/>
        </w:rPr>
        <w:t>umer Price Index (50 per cent))</w:t>
      </w:r>
      <w:r w:rsidR="005E7B97">
        <w:rPr>
          <w:szCs w:val="24"/>
        </w:rPr>
        <w:t xml:space="preserve"> (also for the year to September 2015)</w:t>
      </w:r>
      <w:r w:rsidR="00EA3BFF">
        <w:rPr>
          <w:szCs w:val="24"/>
        </w:rPr>
        <w:t>.</w:t>
      </w:r>
      <w:r>
        <w:rPr>
          <w:szCs w:val="24"/>
        </w:rPr>
        <w:t xml:space="preserve">  </w:t>
      </w:r>
    </w:p>
    <w:p w:rsidR="0072588E" w:rsidRDefault="0072588E" w:rsidP="00EA3BFF">
      <w:pPr>
        <w:rPr>
          <w:szCs w:val="24"/>
        </w:rPr>
      </w:pPr>
    </w:p>
    <w:p w:rsidR="00EA3BFF" w:rsidRDefault="0072588E" w:rsidP="00EA3BFF">
      <w:pPr>
        <w:rPr>
          <w:szCs w:val="24"/>
        </w:rPr>
      </w:pPr>
      <w:r>
        <w:rPr>
          <w:szCs w:val="24"/>
        </w:rPr>
        <w:t>This</w:t>
      </w:r>
      <w:r w:rsidR="00073162">
        <w:rPr>
          <w:szCs w:val="24"/>
        </w:rPr>
        <w:t xml:space="preserve"> increase </w:t>
      </w:r>
      <w:r w:rsidR="00EA3BFF">
        <w:rPr>
          <w:szCs w:val="24"/>
        </w:rPr>
        <w:t>ensure</w:t>
      </w:r>
      <w:r w:rsidR="00073162">
        <w:rPr>
          <w:szCs w:val="24"/>
        </w:rPr>
        <w:t>s</w:t>
      </w:r>
      <w:r w:rsidR="00EA3BFF">
        <w:rPr>
          <w:szCs w:val="24"/>
        </w:rPr>
        <w:t xml:space="preserve"> </w:t>
      </w:r>
      <w:r>
        <w:rPr>
          <w:szCs w:val="24"/>
        </w:rPr>
        <w:t xml:space="preserve">that </w:t>
      </w:r>
      <w:r w:rsidR="00EA3BFF">
        <w:rPr>
          <w:szCs w:val="24"/>
        </w:rPr>
        <w:t xml:space="preserve">the TGA is able to continue to recover its costs of administering the </w:t>
      </w:r>
      <w:r w:rsidR="00EA3BFF" w:rsidRPr="00D74719">
        <w:rPr>
          <w:i/>
          <w:szCs w:val="24"/>
        </w:rPr>
        <w:t>Therapeutic Goods Act 1989</w:t>
      </w:r>
      <w:r w:rsidR="00EA3BFF">
        <w:rPr>
          <w:szCs w:val="24"/>
        </w:rPr>
        <w:t>.</w:t>
      </w:r>
    </w:p>
    <w:p w:rsidR="00061854" w:rsidRDefault="00061854" w:rsidP="00D27D4C">
      <w:pPr>
        <w:rPr>
          <w:szCs w:val="24"/>
        </w:rPr>
      </w:pPr>
    </w:p>
    <w:p w:rsidR="00451E1F" w:rsidRDefault="00451E1F" w:rsidP="002E199E">
      <w:pPr>
        <w:rPr>
          <w:szCs w:val="24"/>
        </w:rPr>
      </w:pPr>
      <w:r w:rsidRPr="00C6778C">
        <w:rPr>
          <w:szCs w:val="24"/>
        </w:rPr>
        <w:t>In applying the</w:t>
      </w:r>
      <w:r>
        <w:rPr>
          <w:szCs w:val="24"/>
        </w:rPr>
        <w:t>se</w:t>
      </w:r>
      <w:r w:rsidRPr="00C6778C">
        <w:rPr>
          <w:szCs w:val="24"/>
        </w:rPr>
        <w:t xml:space="preserve"> increases, the </w:t>
      </w:r>
      <w:r>
        <w:rPr>
          <w:szCs w:val="24"/>
        </w:rPr>
        <w:t>following rounding policy has been applied</w:t>
      </w:r>
      <w:r w:rsidRPr="00C6778C">
        <w:rPr>
          <w:szCs w:val="24"/>
        </w:rPr>
        <w:t>:</w:t>
      </w:r>
    </w:p>
    <w:p w:rsidR="00EA3BFF" w:rsidRPr="00C6778C" w:rsidRDefault="00EA3BFF" w:rsidP="002E199E">
      <w:pPr>
        <w:rPr>
          <w:szCs w:val="24"/>
        </w:rPr>
      </w:pPr>
    </w:p>
    <w:p w:rsidR="00451E1F" w:rsidRDefault="00451E1F" w:rsidP="002E199E">
      <w:pPr>
        <w:pStyle w:val="ListParagraph"/>
        <w:widowControl w:val="0"/>
        <w:numPr>
          <w:ilvl w:val="0"/>
          <w:numId w:val="5"/>
        </w:numPr>
        <w:adjustRightInd w:val="0"/>
        <w:ind w:left="567" w:hanging="567"/>
        <w:contextualSpacing w:val="0"/>
        <w:textAlignment w:val="baseline"/>
      </w:pPr>
      <w:r>
        <w:t>for charge items that are less than $10,000 - to the nearest $5; and</w:t>
      </w:r>
    </w:p>
    <w:p w:rsidR="00451E1F" w:rsidRPr="003F7635" w:rsidRDefault="00451E1F" w:rsidP="00451E1F">
      <w:pPr>
        <w:pStyle w:val="ListParagraph"/>
        <w:widowControl w:val="0"/>
        <w:numPr>
          <w:ilvl w:val="0"/>
          <w:numId w:val="5"/>
        </w:numPr>
        <w:adjustRightInd w:val="0"/>
        <w:ind w:left="567" w:hanging="567"/>
        <w:textAlignment w:val="baseline"/>
      </w:pPr>
      <w:r>
        <w:t xml:space="preserve">for charge items that are greater than or equal to $10,000 - to the nearest $100. </w:t>
      </w:r>
    </w:p>
    <w:p w:rsidR="00451E1F" w:rsidRDefault="00451E1F" w:rsidP="00D27D4C">
      <w:pPr>
        <w:rPr>
          <w:szCs w:val="24"/>
        </w:rPr>
      </w:pPr>
    </w:p>
    <w:p w:rsidR="002E568B" w:rsidRPr="003856A4" w:rsidRDefault="00B56BA6" w:rsidP="003856A4">
      <w:pPr>
        <w:rPr>
          <w:szCs w:val="24"/>
        </w:rPr>
      </w:pPr>
      <w:r>
        <w:rPr>
          <w:szCs w:val="24"/>
        </w:rPr>
        <w:t>D</w:t>
      </w:r>
      <w:r w:rsidR="002D4478">
        <w:rPr>
          <w:szCs w:val="24"/>
        </w:rPr>
        <w:t xml:space="preserve">etails of the </w:t>
      </w:r>
      <w:r w:rsidR="0048522A">
        <w:rPr>
          <w:szCs w:val="24"/>
        </w:rPr>
        <w:t>R</w:t>
      </w:r>
      <w:r w:rsidR="002E568B" w:rsidRPr="003856A4">
        <w:rPr>
          <w:szCs w:val="24"/>
        </w:rPr>
        <w:t xml:space="preserve">egulation are set out in the </w:t>
      </w:r>
      <w:r w:rsidR="002E568B" w:rsidRPr="003856A4">
        <w:rPr>
          <w:szCs w:val="24"/>
          <w:u w:val="single"/>
        </w:rPr>
        <w:t>Attachment</w:t>
      </w:r>
      <w:r w:rsidR="002E568B" w:rsidRPr="003856A4">
        <w:rPr>
          <w:szCs w:val="24"/>
        </w:rPr>
        <w:t>.</w:t>
      </w:r>
    </w:p>
    <w:p w:rsidR="002E568B" w:rsidRPr="003856A4" w:rsidRDefault="00646264" w:rsidP="003856A4">
      <w:pPr>
        <w:rPr>
          <w:szCs w:val="24"/>
        </w:rPr>
      </w:pPr>
      <w:r>
        <w:rPr>
          <w:szCs w:val="24"/>
        </w:rPr>
        <w:lastRenderedPageBreak/>
        <w:t xml:space="preserve">The </w:t>
      </w:r>
      <w:r w:rsidR="00EF1F76">
        <w:rPr>
          <w:szCs w:val="24"/>
        </w:rPr>
        <w:t xml:space="preserve">Charges Act </w:t>
      </w:r>
      <w:r>
        <w:rPr>
          <w:szCs w:val="24"/>
        </w:rPr>
        <w:t xml:space="preserve">does not </w:t>
      </w:r>
      <w:r w:rsidR="00EF1F76">
        <w:rPr>
          <w:szCs w:val="24"/>
        </w:rPr>
        <w:t xml:space="preserve">specify </w:t>
      </w:r>
      <w:r w:rsidR="00073162">
        <w:rPr>
          <w:szCs w:val="24"/>
        </w:rPr>
        <w:t xml:space="preserve">conditions that </w:t>
      </w:r>
      <w:r w:rsidR="002E568B" w:rsidRPr="003856A4">
        <w:rPr>
          <w:szCs w:val="24"/>
        </w:rPr>
        <w:t xml:space="preserve">need to be met before the power </w:t>
      </w:r>
      <w:r w:rsidR="00BA167E">
        <w:rPr>
          <w:szCs w:val="24"/>
        </w:rPr>
        <w:t xml:space="preserve">under </w:t>
      </w:r>
      <w:r w:rsidR="00A217AB">
        <w:rPr>
          <w:szCs w:val="24"/>
        </w:rPr>
        <w:t>that</w:t>
      </w:r>
      <w:r>
        <w:rPr>
          <w:szCs w:val="24"/>
        </w:rPr>
        <w:t xml:space="preserve"> </w:t>
      </w:r>
      <w:r w:rsidR="00BA167E">
        <w:rPr>
          <w:szCs w:val="24"/>
        </w:rPr>
        <w:t xml:space="preserve">Act </w:t>
      </w:r>
      <w:r w:rsidR="002E568B" w:rsidRPr="003856A4">
        <w:rPr>
          <w:szCs w:val="24"/>
        </w:rPr>
        <w:t xml:space="preserve">to make </w:t>
      </w:r>
      <w:r w:rsidR="00BA167E">
        <w:rPr>
          <w:szCs w:val="24"/>
        </w:rPr>
        <w:t xml:space="preserve">the </w:t>
      </w:r>
      <w:r w:rsidR="0048522A">
        <w:rPr>
          <w:szCs w:val="24"/>
        </w:rPr>
        <w:t>R</w:t>
      </w:r>
      <w:r w:rsidR="002E568B" w:rsidRPr="003856A4">
        <w:rPr>
          <w:szCs w:val="24"/>
        </w:rPr>
        <w:t>egulation may be exercised.</w:t>
      </w:r>
    </w:p>
    <w:p w:rsidR="002E568B" w:rsidRPr="003856A4" w:rsidRDefault="002E568B" w:rsidP="003856A4">
      <w:pPr>
        <w:rPr>
          <w:szCs w:val="24"/>
        </w:rPr>
      </w:pPr>
    </w:p>
    <w:p w:rsidR="002E568B" w:rsidRPr="003856A4" w:rsidRDefault="002D4478" w:rsidP="003856A4">
      <w:pPr>
        <w:rPr>
          <w:szCs w:val="24"/>
        </w:rPr>
      </w:pPr>
      <w:r>
        <w:rPr>
          <w:szCs w:val="24"/>
        </w:rPr>
        <w:t xml:space="preserve">The </w:t>
      </w:r>
      <w:r w:rsidR="0048522A">
        <w:rPr>
          <w:szCs w:val="24"/>
        </w:rPr>
        <w:t>R</w:t>
      </w:r>
      <w:r>
        <w:rPr>
          <w:szCs w:val="24"/>
        </w:rPr>
        <w:t>egulation is</w:t>
      </w:r>
      <w:r w:rsidR="002E568B" w:rsidRPr="003856A4">
        <w:rPr>
          <w:szCs w:val="24"/>
        </w:rPr>
        <w:t xml:space="preserve"> a legislative instrument for the purposes of the </w:t>
      </w:r>
      <w:r w:rsidR="00047E42">
        <w:rPr>
          <w:i/>
          <w:szCs w:val="24"/>
        </w:rPr>
        <w:t xml:space="preserve">Legislation </w:t>
      </w:r>
      <w:r w:rsidR="002E568B" w:rsidRPr="003856A4">
        <w:rPr>
          <w:i/>
          <w:szCs w:val="24"/>
        </w:rPr>
        <w:t>Act 2003</w:t>
      </w:r>
      <w:r w:rsidR="002E568B" w:rsidRPr="003856A4">
        <w:rPr>
          <w:szCs w:val="24"/>
        </w:rPr>
        <w:t>.</w:t>
      </w:r>
    </w:p>
    <w:p w:rsidR="002E568B" w:rsidRPr="003856A4" w:rsidRDefault="002E568B" w:rsidP="003856A4">
      <w:pPr>
        <w:rPr>
          <w:szCs w:val="24"/>
        </w:rPr>
      </w:pPr>
    </w:p>
    <w:p w:rsidR="002E568B" w:rsidRPr="003856A4" w:rsidRDefault="002D4478" w:rsidP="003856A4">
      <w:pPr>
        <w:rPr>
          <w:szCs w:val="24"/>
        </w:rPr>
      </w:pPr>
      <w:r>
        <w:rPr>
          <w:szCs w:val="24"/>
        </w:rPr>
        <w:t xml:space="preserve">The </w:t>
      </w:r>
      <w:r w:rsidR="0048522A">
        <w:rPr>
          <w:szCs w:val="24"/>
        </w:rPr>
        <w:t>R</w:t>
      </w:r>
      <w:r>
        <w:rPr>
          <w:szCs w:val="24"/>
        </w:rPr>
        <w:t xml:space="preserve">egulation </w:t>
      </w:r>
      <w:r w:rsidR="002E568B" w:rsidRPr="003856A4">
        <w:rPr>
          <w:szCs w:val="24"/>
        </w:rPr>
        <w:t>commence</w:t>
      </w:r>
      <w:r>
        <w:rPr>
          <w:szCs w:val="24"/>
        </w:rPr>
        <w:t>s</w:t>
      </w:r>
      <w:r w:rsidR="002E568B" w:rsidRPr="003856A4">
        <w:rPr>
          <w:szCs w:val="24"/>
        </w:rPr>
        <w:t xml:space="preserve"> on 1 July 201</w:t>
      </w:r>
      <w:r w:rsidR="0072588E">
        <w:rPr>
          <w:szCs w:val="24"/>
        </w:rPr>
        <w:t>6</w:t>
      </w:r>
      <w:r w:rsidR="002E568B" w:rsidRPr="003856A4">
        <w:rPr>
          <w:szCs w:val="24"/>
        </w:rPr>
        <w:t>.</w:t>
      </w:r>
    </w:p>
    <w:p w:rsidR="002E568B" w:rsidRDefault="002E568B" w:rsidP="003856A4">
      <w:pPr>
        <w:rPr>
          <w:szCs w:val="24"/>
        </w:rPr>
      </w:pPr>
    </w:p>
    <w:p w:rsidR="007E164C" w:rsidRDefault="007E164C" w:rsidP="003856A4">
      <w:pPr>
        <w:rPr>
          <w:b/>
          <w:szCs w:val="24"/>
        </w:rPr>
      </w:pPr>
      <w:r w:rsidRPr="007E164C">
        <w:rPr>
          <w:b/>
          <w:szCs w:val="24"/>
        </w:rPr>
        <w:t>Consultation</w:t>
      </w:r>
    </w:p>
    <w:p w:rsidR="007E164C" w:rsidRDefault="007E164C" w:rsidP="003856A4">
      <w:pPr>
        <w:rPr>
          <w:b/>
          <w:szCs w:val="24"/>
        </w:rPr>
      </w:pPr>
    </w:p>
    <w:p w:rsidR="007E164C" w:rsidRDefault="007E164C" w:rsidP="007E164C">
      <w:pPr>
        <w:rPr>
          <w:szCs w:val="24"/>
        </w:rPr>
      </w:pPr>
      <w:r>
        <w:rPr>
          <w:szCs w:val="24"/>
        </w:rPr>
        <w:t>Consultation on the proposal to increase TGA fees and charges by 2.25 per cent was undertaken at bilateral meetings with industry representative groups in February and March 2016.  The representative groups – who included Medicines Australia, the Generic and Biosimilar Medicines Association (GBMA), AusBiotech, the Medical Technology Association of Australia (MTAA), IVD Australia, the Australian Dental Industry Association (ADIA), the Australian Self-Medical Industry (ASMI), Complementary Medicines Australia and Accord Australasia – did not object to the proposal.</w:t>
      </w:r>
    </w:p>
    <w:p w:rsidR="007E164C" w:rsidRPr="007E164C" w:rsidRDefault="007E164C" w:rsidP="003856A4">
      <w:pPr>
        <w:rPr>
          <w:b/>
          <w:szCs w:val="24"/>
        </w:rPr>
      </w:pPr>
    </w:p>
    <w:p w:rsidR="002E568B" w:rsidRPr="003856A4" w:rsidRDefault="002E568B" w:rsidP="00646264">
      <w:pPr>
        <w:ind w:left="5670" w:hanging="1134"/>
        <w:rPr>
          <w:szCs w:val="24"/>
        </w:rPr>
      </w:pPr>
      <w:r w:rsidRPr="003856A4">
        <w:rPr>
          <w:szCs w:val="24"/>
          <w:u w:val="single"/>
        </w:rPr>
        <w:t>Authority:</w:t>
      </w:r>
      <w:r w:rsidRPr="003856A4">
        <w:rPr>
          <w:szCs w:val="24"/>
        </w:rPr>
        <w:t xml:space="preserve"> </w:t>
      </w:r>
      <w:r w:rsidRPr="003856A4">
        <w:rPr>
          <w:szCs w:val="24"/>
        </w:rPr>
        <w:tab/>
        <w:t xml:space="preserve">Subsection 5(1) of the </w:t>
      </w:r>
    </w:p>
    <w:p w:rsidR="002E568B" w:rsidRPr="00BA167E" w:rsidRDefault="002E568B" w:rsidP="003856A4">
      <w:pPr>
        <w:ind w:left="5670"/>
        <w:rPr>
          <w:szCs w:val="24"/>
        </w:rPr>
      </w:pPr>
      <w:r w:rsidRPr="003856A4">
        <w:rPr>
          <w:i/>
          <w:szCs w:val="24"/>
        </w:rPr>
        <w:t>Therapeutic Goods (Charges) Act 1989</w:t>
      </w:r>
      <w:r w:rsidR="00BA167E">
        <w:rPr>
          <w:szCs w:val="24"/>
        </w:rPr>
        <w:t>.</w:t>
      </w:r>
    </w:p>
    <w:p w:rsidR="002E568B" w:rsidRPr="00AC42A1" w:rsidRDefault="002E568B" w:rsidP="00E93A0F">
      <w:pPr>
        <w:ind w:left="6237" w:firstLine="3"/>
        <w:jc w:val="right"/>
        <w:rPr>
          <w:b/>
          <w:szCs w:val="24"/>
          <w:u w:val="single"/>
        </w:rPr>
      </w:pPr>
      <w:r w:rsidRPr="003856A4">
        <w:rPr>
          <w:color w:val="FF0000"/>
          <w:szCs w:val="24"/>
          <w:u w:val="single"/>
        </w:rPr>
        <w:br w:type="page"/>
      </w:r>
      <w:r w:rsidRPr="00AC42A1">
        <w:rPr>
          <w:b/>
          <w:szCs w:val="24"/>
          <w:u w:val="single"/>
        </w:rPr>
        <w:lastRenderedPageBreak/>
        <w:t>ATTACHMENT</w:t>
      </w:r>
    </w:p>
    <w:p w:rsidR="002E568B" w:rsidRPr="00684780" w:rsidRDefault="002E568B" w:rsidP="003856A4">
      <w:pPr>
        <w:ind w:firstLine="3"/>
        <w:rPr>
          <w:b/>
          <w:szCs w:val="24"/>
        </w:rPr>
      </w:pPr>
    </w:p>
    <w:p w:rsidR="002E568B" w:rsidRPr="00B34411" w:rsidRDefault="00A87142" w:rsidP="003856A4">
      <w:pPr>
        <w:ind w:firstLine="3"/>
        <w:rPr>
          <w:b/>
          <w:caps/>
          <w:szCs w:val="24"/>
          <w:u w:val="single"/>
        </w:rPr>
      </w:pPr>
      <w:r>
        <w:rPr>
          <w:b/>
          <w:szCs w:val="24"/>
          <w:u w:val="single"/>
        </w:rPr>
        <w:t xml:space="preserve">Details of the </w:t>
      </w:r>
      <w:r w:rsidR="002E568B" w:rsidRPr="00B34411">
        <w:rPr>
          <w:b/>
          <w:i/>
          <w:szCs w:val="24"/>
          <w:u w:val="single"/>
        </w:rPr>
        <w:t>Therapeutic Goods (Ch</w:t>
      </w:r>
      <w:r w:rsidR="00BA167E" w:rsidRPr="00B34411">
        <w:rPr>
          <w:b/>
          <w:i/>
          <w:szCs w:val="24"/>
          <w:u w:val="single"/>
        </w:rPr>
        <w:t xml:space="preserve">arges) Amendment </w:t>
      </w:r>
      <w:r w:rsidR="0072588E">
        <w:rPr>
          <w:b/>
          <w:i/>
          <w:szCs w:val="24"/>
          <w:u w:val="single"/>
        </w:rPr>
        <w:t>(2016</w:t>
      </w:r>
      <w:r w:rsidR="00802B83" w:rsidRPr="00B34411">
        <w:rPr>
          <w:b/>
          <w:i/>
          <w:szCs w:val="24"/>
          <w:u w:val="single"/>
        </w:rPr>
        <w:t xml:space="preserve"> Measures No. 1) </w:t>
      </w:r>
      <w:r w:rsidR="00BA167E" w:rsidRPr="00B34411">
        <w:rPr>
          <w:b/>
          <w:i/>
          <w:szCs w:val="24"/>
          <w:u w:val="single"/>
        </w:rPr>
        <w:t>Regulation 201</w:t>
      </w:r>
      <w:r w:rsidR="0072588E">
        <w:rPr>
          <w:b/>
          <w:i/>
          <w:szCs w:val="24"/>
          <w:u w:val="single"/>
        </w:rPr>
        <w:t>6</w:t>
      </w:r>
      <w:r w:rsidR="00BA167E" w:rsidRPr="00B34411">
        <w:rPr>
          <w:szCs w:val="24"/>
          <w:u w:val="single"/>
        </w:rPr>
        <w:t xml:space="preserve"> </w:t>
      </w:r>
    </w:p>
    <w:p w:rsidR="002E568B" w:rsidRPr="00684780" w:rsidRDefault="002E568B" w:rsidP="003856A4">
      <w:pPr>
        <w:ind w:firstLine="3"/>
        <w:rPr>
          <w:b/>
          <w:szCs w:val="24"/>
          <w:highlight w:val="yellow"/>
        </w:rPr>
      </w:pPr>
    </w:p>
    <w:p w:rsidR="002E568B" w:rsidRPr="00684780" w:rsidRDefault="002E568B" w:rsidP="003856A4">
      <w:pPr>
        <w:ind w:firstLine="3"/>
        <w:rPr>
          <w:szCs w:val="24"/>
        </w:rPr>
      </w:pPr>
      <w:r>
        <w:rPr>
          <w:szCs w:val="24"/>
          <w:u w:val="single"/>
        </w:rPr>
        <w:t>Sec</w:t>
      </w:r>
      <w:r w:rsidRPr="00684780">
        <w:rPr>
          <w:szCs w:val="24"/>
          <w:u w:val="single"/>
        </w:rPr>
        <w:t xml:space="preserve">tion 1 – Name of </w:t>
      </w:r>
      <w:r w:rsidR="00B34411">
        <w:rPr>
          <w:szCs w:val="24"/>
          <w:u w:val="single"/>
        </w:rPr>
        <w:t>R</w:t>
      </w:r>
      <w:r w:rsidRPr="00684780">
        <w:rPr>
          <w:szCs w:val="24"/>
          <w:u w:val="single"/>
        </w:rPr>
        <w:t>egulation</w:t>
      </w:r>
    </w:p>
    <w:p w:rsidR="002E568B" w:rsidRPr="00684780" w:rsidRDefault="002E568B" w:rsidP="003856A4">
      <w:pPr>
        <w:ind w:firstLine="3"/>
        <w:rPr>
          <w:szCs w:val="24"/>
        </w:rPr>
      </w:pPr>
      <w:r w:rsidRPr="00684780">
        <w:rPr>
          <w:szCs w:val="24"/>
        </w:rPr>
        <w:t xml:space="preserve">This </w:t>
      </w:r>
      <w:r w:rsidR="00BA167E">
        <w:rPr>
          <w:szCs w:val="24"/>
        </w:rPr>
        <w:t>section</w:t>
      </w:r>
      <w:r w:rsidR="00A87142">
        <w:rPr>
          <w:szCs w:val="24"/>
        </w:rPr>
        <w:t xml:space="preserve"> </w:t>
      </w:r>
      <w:r w:rsidR="00B34411">
        <w:rPr>
          <w:szCs w:val="24"/>
        </w:rPr>
        <w:t>provide</w:t>
      </w:r>
      <w:r w:rsidR="00A87142">
        <w:rPr>
          <w:szCs w:val="24"/>
        </w:rPr>
        <w:t>s</w:t>
      </w:r>
      <w:r w:rsidR="00B34411">
        <w:rPr>
          <w:szCs w:val="24"/>
        </w:rPr>
        <w:t xml:space="preserve"> that the title of the</w:t>
      </w:r>
      <w:r w:rsidRPr="00684780">
        <w:rPr>
          <w:szCs w:val="24"/>
        </w:rPr>
        <w:t xml:space="preserve"> </w:t>
      </w:r>
      <w:r w:rsidR="00B34411">
        <w:rPr>
          <w:szCs w:val="24"/>
        </w:rPr>
        <w:t>Regulation is</w:t>
      </w:r>
      <w:r w:rsidRPr="00684780">
        <w:rPr>
          <w:szCs w:val="24"/>
        </w:rPr>
        <w:t xml:space="preserve"> the </w:t>
      </w:r>
      <w:r w:rsidRPr="00684780">
        <w:rPr>
          <w:i/>
          <w:szCs w:val="24"/>
        </w:rPr>
        <w:t>Therapeutic Goods</w:t>
      </w:r>
      <w:r w:rsidR="00B34411">
        <w:rPr>
          <w:i/>
          <w:szCs w:val="24"/>
        </w:rPr>
        <w:t xml:space="preserve"> </w:t>
      </w:r>
      <w:r w:rsidRPr="00684780">
        <w:rPr>
          <w:i/>
          <w:szCs w:val="24"/>
        </w:rPr>
        <w:t xml:space="preserve">(Charges) Amendment </w:t>
      </w:r>
      <w:r w:rsidR="0072588E">
        <w:rPr>
          <w:i/>
          <w:szCs w:val="24"/>
        </w:rPr>
        <w:t>(2016</w:t>
      </w:r>
      <w:r w:rsidR="00802B83">
        <w:rPr>
          <w:i/>
          <w:szCs w:val="24"/>
        </w:rPr>
        <w:t xml:space="preserve"> Measures No. 1) </w:t>
      </w:r>
      <w:r w:rsidR="0072588E">
        <w:rPr>
          <w:i/>
          <w:szCs w:val="24"/>
        </w:rPr>
        <w:t>Regulation 2016</w:t>
      </w:r>
      <w:r w:rsidR="00802B83">
        <w:rPr>
          <w:i/>
          <w:szCs w:val="24"/>
        </w:rPr>
        <w:t xml:space="preserve">. </w:t>
      </w:r>
    </w:p>
    <w:p w:rsidR="002E568B" w:rsidRPr="00154185" w:rsidRDefault="002E568B" w:rsidP="003856A4">
      <w:pPr>
        <w:ind w:firstLine="3"/>
        <w:rPr>
          <w:szCs w:val="24"/>
        </w:rPr>
      </w:pPr>
    </w:p>
    <w:p w:rsidR="002E568B" w:rsidRPr="00684780" w:rsidRDefault="002E568B" w:rsidP="003856A4">
      <w:pPr>
        <w:ind w:firstLine="3"/>
        <w:rPr>
          <w:b/>
          <w:szCs w:val="24"/>
        </w:rPr>
      </w:pPr>
      <w:r>
        <w:rPr>
          <w:szCs w:val="24"/>
          <w:u w:val="single"/>
        </w:rPr>
        <w:t>Sec</w:t>
      </w:r>
      <w:r w:rsidRPr="00684780">
        <w:rPr>
          <w:szCs w:val="24"/>
          <w:u w:val="single"/>
        </w:rPr>
        <w:t>tion 2</w:t>
      </w:r>
      <w:r>
        <w:rPr>
          <w:szCs w:val="24"/>
          <w:u w:val="single"/>
        </w:rPr>
        <w:t xml:space="preserve"> – Co</w:t>
      </w:r>
      <w:r w:rsidRPr="00684780">
        <w:rPr>
          <w:szCs w:val="24"/>
          <w:u w:val="single"/>
        </w:rPr>
        <w:t>mmencement</w:t>
      </w:r>
    </w:p>
    <w:p w:rsidR="002E568B" w:rsidRPr="00684780" w:rsidRDefault="002E568B" w:rsidP="003856A4">
      <w:pPr>
        <w:ind w:firstLine="3"/>
        <w:rPr>
          <w:szCs w:val="24"/>
        </w:rPr>
      </w:pPr>
      <w:r w:rsidRPr="00684780">
        <w:rPr>
          <w:szCs w:val="24"/>
        </w:rPr>
        <w:t xml:space="preserve">This </w:t>
      </w:r>
      <w:r>
        <w:rPr>
          <w:szCs w:val="24"/>
        </w:rPr>
        <w:t>sec</w:t>
      </w:r>
      <w:r w:rsidR="00A87142">
        <w:rPr>
          <w:szCs w:val="24"/>
        </w:rPr>
        <w:t xml:space="preserve">tion </w:t>
      </w:r>
      <w:r w:rsidRPr="00684780">
        <w:rPr>
          <w:szCs w:val="24"/>
        </w:rPr>
        <w:t>provide</w:t>
      </w:r>
      <w:r w:rsidR="00A87142">
        <w:rPr>
          <w:szCs w:val="24"/>
        </w:rPr>
        <w:t>s</w:t>
      </w:r>
      <w:r w:rsidRPr="00684780">
        <w:rPr>
          <w:szCs w:val="24"/>
        </w:rPr>
        <w:t xml:space="preserve"> for the </w:t>
      </w:r>
      <w:r w:rsidR="00B34411">
        <w:rPr>
          <w:szCs w:val="24"/>
        </w:rPr>
        <w:t>R</w:t>
      </w:r>
      <w:r w:rsidRPr="00684780">
        <w:rPr>
          <w:szCs w:val="24"/>
        </w:rPr>
        <w:t>egulation to commence on 1 July 201</w:t>
      </w:r>
      <w:r w:rsidR="0072588E">
        <w:rPr>
          <w:szCs w:val="24"/>
        </w:rPr>
        <w:t>6</w:t>
      </w:r>
      <w:r w:rsidRPr="00684780">
        <w:rPr>
          <w:szCs w:val="24"/>
        </w:rPr>
        <w:t>.</w:t>
      </w:r>
    </w:p>
    <w:p w:rsidR="002E568B" w:rsidRPr="00154185" w:rsidRDefault="002E568B" w:rsidP="003856A4">
      <w:pPr>
        <w:ind w:firstLine="3"/>
        <w:rPr>
          <w:szCs w:val="24"/>
        </w:rPr>
      </w:pPr>
    </w:p>
    <w:p w:rsidR="00922B98" w:rsidRDefault="002E568B" w:rsidP="003856A4">
      <w:pPr>
        <w:ind w:firstLine="3"/>
        <w:rPr>
          <w:szCs w:val="24"/>
          <w:u w:val="single"/>
        </w:rPr>
      </w:pPr>
      <w:r>
        <w:rPr>
          <w:szCs w:val="24"/>
          <w:u w:val="single"/>
        </w:rPr>
        <w:t>Sec</w:t>
      </w:r>
      <w:r w:rsidRPr="00684780">
        <w:rPr>
          <w:szCs w:val="24"/>
          <w:u w:val="single"/>
        </w:rPr>
        <w:t xml:space="preserve">tion 3 – </w:t>
      </w:r>
      <w:r w:rsidR="00922B98">
        <w:rPr>
          <w:szCs w:val="24"/>
          <w:u w:val="single"/>
        </w:rPr>
        <w:t xml:space="preserve">Authority </w:t>
      </w:r>
    </w:p>
    <w:p w:rsidR="00900C44" w:rsidRPr="00900C44" w:rsidRDefault="00C326E4" w:rsidP="003856A4">
      <w:pPr>
        <w:ind w:firstLine="3"/>
        <w:rPr>
          <w:szCs w:val="24"/>
        </w:rPr>
      </w:pPr>
      <w:r>
        <w:rPr>
          <w:szCs w:val="24"/>
        </w:rPr>
        <w:t xml:space="preserve">This </w:t>
      </w:r>
      <w:r w:rsidR="00A87142">
        <w:rPr>
          <w:szCs w:val="24"/>
        </w:rPr>
        <w:t xml:space="preserve">section </w:t>
      </w:r>
      <w:r w:rsidR="00B34411">
        <w:rPr>
          <w:szCs w:val="24"/>
        </w:rPr>
        <w:t>provide</w:t>
      </w:r>
      <w:r w:rsidR="00A87142">
        <w:rPr>
          <w:szCs w:val="24"/>
        </w:rPr>
        <w:t>s</w:t>
      </w:r>
      <w:r w:rsidR="00B34411">
        <w:rPr>
          <w:szCs w:val="24"/>
        </w:rPr>
        <w:t xml:space="preserve"> that the R</w:t>
      </w:r>
      <w:r>
        <w:rPr>
          <w:szCs w:val="24"/>
        </w:rPr>
        <w:t>egulation is made</w:t>
      </w:r>
      <w:r w:rsidR="00574D01">
        <w:rPr>
          <w:szCs w:val="24"/>
        </w:rPr>
        <w:t xml:space="preserve"> under the </w:t>
      </w:r>
      <w:r w:rsidRPr="00C326E4">
        <w:rPr>
          <w:i/>
          <w:szCs w:val="24"/>
        </w:rPr>
        <w:t>Therapeutic Goods (Charges) Act 1989</w:t>
      </w:r>
      <w:r>
        <w:rPr>
          <w:szCs w:val="24"/>
        </w:rPr>
        <w:t>.</w:t>
      </w:r>
    </w:p>
    <w:p w:rsidR="00900C44" w:rsidRDefault="00900C44" w:rsidP="003856A4">
      <w:pPr>
        <w:ind w:firstLine="3"/>
        <w:rPr>
          <w:szCs w:val="24"/>
          <w:u w:val="single"/>
        </w:rPr>
      </w:pPr>
    </w:p>
    <w:p w:rsidR="00922B98" w:rsidRDefault="00922B98" w:rsidP="003856A4">
      <w:pPr>
        <w:pStyle w:val="Heading1"/>
        <w:rPr>
          <w:b w:val="0"/>
          <w:szCs w:val="24"/>
          <w:u w:val="single"/>
        </w:rPr>
      </w:pPr>
      <w:r>
        <w:rPr>
          <w:b w:val="0"/>
          <w:szCs w:val="24"/>
          <w:u w:val="single"/>
        </w:rPr>
        <w:t>Section 4 – Schedule</w:t>
      </w:r>
    </w:p>
    <w:p w:rsidR="00941170" w:rsidRDefault="00C326E4" w:rsidP="003856A4">
      <w:pPr>
        <w:pStyle w:val="Heading1"/>
        <w:rPr>
          <w:b w:val="0"/>
          <w:szCs w:val="24"/>
        </w:rPr>
      </w:pPr>
      <w:r>
        <w:rPr>
          <w:b w:val="0"/>
          <w:szCs w:val="24"/>
        </w:rPr>
        <w:t xml:space="preserve">This section </w:t>
      </w:r>
      <w:r w:rsidR="000B380F">
        <w:rPr>
          <w:b w:val="0"/>
          <w:szCs w:val="24"/>
        </w:rPr>
        <w:t>provide</w:t>
      </w:r>
      <w:r w:rsidR="00A87142">
        <w:rPr>
          <w:b w:val="0"/>
          <w:szCs w:val="24"/>
        </w:rPr>
        <w:t>s</w:t>
      </w:r>
      <w:r w:rsidR="000B380F">
        <w:rPr>
          <w:b w:val="0"/>
          <w:szCs w:val="24"/>
        </w:rPr>
        <w:t xml:space="preserve"> that</w:t>
      </w:r>
      <w:r w:rsidR="00D30DEE">
        <w:rPr>
          <w:b w:val="0"/>
          <w:szCs w:val="24"/>
        </w:rPr>
        <w:t xml:space="preserve"> each instrument </w:t>
      </w:r>
      <w:r w:rsidR="00B34411">
        <w:rPr>
          <w:b w:val="0"/>
          <w:szCs w:val="24"/>
        </w:rPr>
        <w:t xml:space="preserve">that is </w:t>
      </w:r>
      <w:r w:rsidR="00D30DEE">
        <w:rPr>
          <w:b w:val="0"/>
          <w:szCs w:val="24"/>
        </w:rPr>
        <w:t xml:space="preserve">specified in </w:t>
      </w:r>
      <w:r w:rsidR="00802B83">
        <w:rPr>
          <w:b w:val="0"/>
          <w:szCs w:val="24"/>
        </w:rPr>
        <w:t xml:space="preserve">a </w:t>
      </w:r>
      <w:r w:rsidR="00B34411">
        <w:rPr>
          <w:b w:val="0"/>
          <w:szCs w:val="24"/>
        </w:rPr>
        <w:t>Schedule to the R</w:t>
      </w:r>
      <w:r w:rsidR="000B380F">
        <w:rPr>
          <w:b w:val="0"/>
          <w:szCs w:val="24"/>
        </w:rPr>
        <w:t xml:space="preserve">egulation is amended </w:t>
      </w:r>
      <w:r w:rsidR="00B34411">
        <w:rPr>
          <w:b w:val="0"/>
          <w:szCs w:val="24"/>
        </w:rPr>
        <w:t>or repealed as set out in the applicable items in the Schedule concerned, and any other item in a Schedu</w:t>
      </w:r>
      <w:r w:rsidR="00714D86">
        <w:rPr>
          <w:b w:val="0"/>
          <w:szCs w:val="24"/>
        </w:rPr>
        <w:t>le to the Regulation has effect according to its terms</w:t>
      </w:r>
      <w:r w:rsidR="00B34411">
        <w:rPr>
          <w:b w:val="0"/>
          <w:szCs w:val="24"/>
        </w:rPr>
        <w:t>.</w:t>
      </w:r>
    </w:p>
    <w:p w:rsidR="000B380F" w:rsidRDefault="000B380F" w:rsidP="000B380F"/>
    <w:p w:rsidR="000B380F" w:rsidRPr="00D30DEE" w:rsidRDefault="00D30DEE" w:rsidP="000B380F">
      <w:pPr>
        <w:rPr>
          <w:u w:val="single"/>
        </w:rPr>
      </w:pPr>
      <w:r w:rsidRPr="00D30DEE">
        <w:rPr>
          <w:u w:val="single"/>
        </w:rPr>
        <w:t>Schedule 1 –</w:t>
      </w:r>
      <w:r>
        <w:rPr>
          <w:u w:val="single"/>
        </w:rPr>
        <w:t xml:space="preserve"> </w:t>
      </w:r>
      <w:r w:rsidR="0072588E">
        <w:rPr>
          <w:u w:val="single"/>
        </w:rPr>
        <w:t>Annual charges for 2016</w:t>
      </w:r>
      <w:r w:rsidR="00B34411">
        <w:rPr>
          <w:u w:val="single"/>
        </w:rPr>
        <w:t>-</w:t>
      </w:r>
      <w:r w:rsidR="0072588E">
        <w:rPr>
          <w:u w:val="single"/>
        </w:rPr>
        <w:t>17</w:t>
      </w:r>
    </w:p>
    <w:p w:rsidR="000B380F" w:rsidRDefault="000B380F" w:rsidP="000B380F"/>
    <w:p w:rsidR="0077263E" w:rsidRPr="00084325" w:rsidRDefault="00B34411" w:rsidP="00084325">
      <w:pPr>
        <w:rPr>
          <w:b/>
        </w:rPr>
      </w:pPr>
      <w:r>
        <w:rPr>
          <w:b/>
        </w:rPr>
        <w:t>I</w:t>
      </w:r>
      <w:r w:rsidR="00D30DEE" w:rsidRPr="00084325">
        <w:rPr>
          <w:b/>
        </w:rPr>
        <w:t xml:space="preserve">tem 1 </w:t>
      </w:r>
      <w:r w:rsidR="00BB7B51">
        <w:rPr>
          <w:b/>
        </w:rPr>
        <w:t xml:space="preserve">- </w:t>
      </w:r>
      <w:r w:rsidR="00D30DEE" w:rsidRPr="00084325">
        <w:rPr>
          <w:b/>
        </w:rPr>
        <w:t>Table of amendments to the Therapeutic Goods (Charges) Regulations 1990</w:t>
      </w:r>
    </w:p>
    <w:p w:rsidR="002C1A9B" w:rsidRDefault="00DD5EB3" w:rsidP="00084325">
      <w:r w:rsidRPr="00084325">
        <w:t xml:space="preserve">Item </w:t>
      </w:r>
      <w:r w:rsidR="00FE13A9" w:rsidRPr="00084325">
        <w:t xml:space="preserve">1 </w:t>
      </w:r>
      <w:r w:rsidR="0077263E" w:rsidRPr="00084325">
        <w:t xml:space="preserve">sets out a table of amendments to provisions of the </w:t>
      </w:r>
      <w:r w:rsidR="0077263E" w:rsidRPr="00B34411">
        <w:rPr>
          <w:i/>
        </w:rPr>
        <w:t>Therapeutic Goods (Charges) Regulations 1990</w:t>
      </w:r>
      <w:r w:rsidR="0077263E" w:rsidRPr="00084325">
        <w:t xml:space="preserve"> (the Charges Regulations)</w:t>
      </w:r>
      <w:r w:rsidR="002C1A9B">
        <w:t>.</w:t>
      </w:r>
    </w:p>
    <w:p w:rsidR="00802B83" w:rsidRDefault="00802B83" w:rsidP="00084325"/>
    <w:p w:rsidR="00802B83" w:rsidRDefault="00204B3E" w:rsidP="00084325">
      <w:r>
        <w:t xml:space="preserve">The effect of these amendments </w:t>
      </w:r>
      <w:r w:rsidR="00A87142">
        <w:t>is</w:t>
      </w:r>
      <w:r w:rsidR="00B34411">
        <w:t xml:space="preserve"> to increase all annual charges for therapeutic g</w:t>
      </w:r>
      <w:r>
        <w:t>oods and manufacturing licences</w:t>
      </w:r>
      <w:r w:rsidR="0072588E">
        <w:t xml:space="preserve"> by 2.25</w:t>
      </w:r>
      <w:r w:rsidR="00451E1F">
        <w:t xml:space="preserve"> per cent, subject to the TGA’s rounding policy</w:t>
      </w:r>
      <w:r w:rsidR="0072588E">
        <w:t>, from 1 July 2016</w:t>
      </w:r>
      <w:r>
        <w:t>.</w:t>
      </w:r>
    </w:p>
    <w:p w:rsidR="00802B83" w:rsidRDefault="00802B83" w:rsidP="00084325"/>
    <w:p w:rsidR="00381280" w:rsidRDefault="0072588E" w:rsidP="00381280">
      <w:r>
        <w:t xml:space="preserve">Item </w:t>
      </w:r>
      <w:r w:rsidR="00F67D92" w:rsidRPr="00F67D92">
        <w:t>2</w:t>
      </w:r>
      <w:r w:rsidR="00F67D92">
        <w:t>6</w:t>
      </w:r>
      <w:r w:rsidR="006460BE">
        <w:t xml:space="preserve"> of the table </w:t>
      </w:r>
      <w:r w:rsidR="00381280">
        <w:t>make</w:t>
      </w:r>
      <w:r w:rsidR="006460BE">
        <w:t>s</w:t>
      </w:r>
      <w:r w:rsidR="00381280">
        <w:t xml:space="preserve"> an amendment to the note to subregulation 3(3) of the Charges Regulations.</w:t>
      </w:r>
    </w:p>
    <w:p w:rsidR="007761E4" w:rsidRDefault="007761E4" w:rsidP="00381280"/>
    <w:p w:rsidR="00381280" w:rsidRDefault="00381280" w:rsidP="00381280">
      <w:r>
        <w:t xml:space="preserve">This note refers to the fact that under regulation 43AAJ of the </w:t>
      </w:r>
      <w:r w:rsidRPr="00E805BF">
        <w:rPr>
          <w:i/>
        </w:rPr>
        <w:t>T</w:t>
      </w:r>
      <w:r w:rsidR="00F67D92" w:rsidRPr="00E805BF">
        <w:rPr>
          <w:i/>
        </w:rPr>
        <w:t xml:space="preserve">herapeutic </w:t>
      </w:r>
      <w:r w:rsidRPr="00E805BF">
        <w:rPr>
          <w:i/>
        </w:rPr>
        <w:t>G</w:t>
      </w:r>
      <w:r w:rsidR="00F67D92" w:rsidRPr="00E805BF">
        <w:rPr>
          <w:i/>
        </w:rPr>
        <w:t>oods</w:t>
      </w:r>
      <w:r w:rsidRPr="00E805BF">
        <w:rPr>
          <w:i/>
        </w:rPr>
        <w:t xml:space="preserve"> Regulations</w:t>
      </w:r>
      <w:r w:rsidR="00F67D92" w:rsidRPr="00E805BF">
        <w:rPr>
          <w:i/>
        </w:rPr>
        <w:t xml:space="preserve"> 1990</w:t>
      </w:r>
      <w:r w:rsidR="00F67D92">
        <w:t xml:space="preserve"> (the TG Regulations)</w:t>
      </w:r>
      <w:r>
        <w:t xml:space="preserve">, the annual charge for a manufacturing licence under Part 3-3 of the </w:t>
      </w:r>
      <w:r w:rsidRPr="00381280">
        <w:rPr>
          <w:i/>
        </w:rPr>
        <w:t>Therapeutic Goods Act 1989</w:t>
      </w:r>
      <w:r>
        <w:t xml:space="preserve"> </w:t>
      </w:r>
      <w:r w:rsidRPr="00A251B0">
        <w:t>(</w:t>
      </w:r>
      <w:r w:rsidR="00FD263F">
        <w:t xml:space="preserve">other than a licence to manufacture </w:t>
      </w:r>
      <w:r>
        <w:t xml:space="preserve">human blood and blood components) </w:t>
      </w:r>
      <w:r w:rsidR="00F67D92">
        <w:t xml:space="preserve">that is </w:t>
      </w:r>
      <w:r>
        <w:t>payable by a person whose wholesale turnover of goods in a financial year is not more th</w:t>
      </w:r>
      <w:r w:rsidR="0072588E">
        <w:t>an $92 4</w:t>
      </w:r>
      <w:r>
        <w:t xml:space="preserve">00, is half the amount mentioned in subregulation 3(2) </w:t>
      </w:r>
      <w:r w:rsidR="00FD263F">
        <w:t>of the Charges Regulations</w:t>
      </w:r>
      <w:r>
        <w:t>. Subregulation 3(2) of the Charges Regulations lists annual charges for manufacturing licences.</w:t>
      </w:r>
      <w:bookmarkStart w:id="0" w:name="_GoBack"/>
      <w:bookmarkEnd w:id="0"/>
    </w:p>
    <w:p w:rsidR="00381280" w:rsidRDefault="00381280" w:rsidP="00381280"/>
    <w:p w:rsidR="00381280" w:rsidRDefault="00381280" w:rsidP="00381280">
      <w:r w:rsidRPr="00084325">
        <w:t xml:space="preserve">Item </w:t>
      </w:r>
      <w:r w:rsidR="00F67D92">
        <w:t>26</w:t>
      </w:r>
      <w:r w:rsidR="006460BE">
        <w:t xml:space="preserve"> of the table </w:t>
      </w:r>
      <w:r>
        <w:t>replace</w:t>
      </w:r>
      <w:r w:rsidR="006460BE">
        <w:t>s</w:t>
      </w:r>
      <w:r>
        <w:t xml:space="preserve"> the current reference in this note</w:t>
      </w:r>
      <w:r w:rsidR="0072588E">
        <w:t xml:space="preserve"> to the amount of $92 4</w:t>
      </w:r>
      <w:r>
        <w:t>00 with a reference to th</w:t>
      </w:r>
      <w:r w:rsidR="006460BE">
        <w:t xml:space="preserve">e </w:t>
      </w:r>
      <w:r w:rsidR="0072588E">
        <w:t>updated amount of $94 5</w:t>
      </w:r>
      <w:r>
        <w:t>00</w:t>
      </w:r>
      <w:r w:rsidR="00FD263F">
        <w:t>,</w:t>
      </w:r>
      <w:r w:rsidR="0072588E">
        <w:t xml:space="preserve"> for 2016-17</w:t>
      </w:r>
      <w:r w:rsidR="006460BE">
        <w:t xml:space="preserve">.  This </w:t>
      </w:r>
      <w:r>
        <w:t>ensure</w:t>
      </w:r>
      <w:r w:rsidR="006460BE">
        <w:t xml:space="preserve">s consistency with </w:t>
      </w:r>
      <w:r>
        <w:t>changes to the TG Regulations</w:t>
      </w:r>
      <w:r w:rsidR="006460BE">
        <w:t xml:space="preserve"> that </w:t>
      </w:r>
      <w:r w:rsidR="00F67D92">
        <w:t>also commence on 1 July 2016</w:t>
      </w:r>
      <w:r>
        <w:t>, which include an amendment to regulation 43AAJ of the TG Regulations to increase the wholesale turnover thr</w:t>
      </w:r>
      <w:r w:rsidR="0072588E">
        <w:t>eshold mentioned above, from $92 400 to $94 5</w:t>
      </w:r>
      <w:r>
        <w:t>00.</w:t>
      </w:r>
    </w:p>
    <w:p w:rsidR="00F26962" w:rsidRDefault="00F26962">
      <w:r>
        <w:br w:type="page"/>
      </w:r>
    </w:p>
    <w:p w:rsidR="00F26962" w:rsidRDefault="00F26962" w:rsidP="00F26962">
      <w:pPr>
        <w:jc w:val="center"/>
        <w:rPr>
          <w:b/>
          <w:sz w:val="28"/>
          <w:szCs w:val="28"/>
        </w:rPr>
      </w:pPr>
      <w:r>
        <w:rPr>
          <w:b/>
          <w:sz w:val="28"/>
          <w:szCs w:val="28"/>
        </w:rPr>
        <w:lastRenderedPageBreak/>
        <w:t>Statement of Compatibility with Human Rights</w:t>
      </w:r>
    </w:p>
    <w:p w:rsidR="00F26962" w:rsidRDefault="00F26962" w:rsidP="00F26962">
      <w:pPr>
        <w:rPr>
          <w:szCs w:val="24"/>
        </w:rPr>
      </w:pPr>
    </w:p>
    <w:p w:rsidR="00F26962" w:rsidRDefault="00F26962" w:rsidP="00F26962">
      <w:pPr>
        <w:rPr>
          <w:szCs w:val="24"/>
        </w:rPr>
      </w:pPr>
      <w:r>
        <w:rPr>
          <w:szCs w:val="24"/>
        </w:rPr>
        <w:t xml:space="preserve">Prepared in accordance with Part 3 of the </w:t>
      </w:r>
      <w:r>
        <w:rPr>
          <w:i/>
          <w:szCs w:val="24"/>
        </w:rPr>
        <w:t>Human Rights (Parliamentary Scrutiny) Act 2011</w:t>
      </w:r>
    </w:p>
    <w:p w:rsidR="00F26962" w:rsidRDefault="00F26962" w:rsidP="00F26962">
      <w:pPr>
        <w:rPr>
          <w:b/>
          <w:szCs w:val="24"/>
        </w:rPr>
      </w:pPr>
    </w:p>
    <w:p w:rsidR="00F26962" w:rsidRDefault="00F26962" w:rsidP="00F26962">
      <w:pPr>
        <w:jc w:val="center"/>
        <w:rPr>
          <w:b/>
          <w:szCs w:val="24"/>
        </w:rPr>
      </w:pPr>
      <w:r>
        <w:rPr>
          <w:b/>
          <w:szCs w:val="24"/>
        </w:rPr>
        <w:t>Therape</w:t>
      </w:r>
      <w:r w:rsidR="00A4766D">
        <w:rPr>
          <w:b/>
          <w:szCs w:val="24"/>
        </w:rPr>
        <w:t>utic Goods (Charges)</w:t>
      </w:r>
      <w:r>
        <w:rPr>
          <w:b/>
          <w:szCs w:val="24"/>
        </w:rPr>
        <w:t xml:space="preserve"> </w:t>
      </w:r>
      <w:r w:rsidR="00A4766D">
        <w:rPr>
          <w:b/>
          <w:szCs w:val="24"/>
        </w:rPr>
        <w:t xml:space="preserve">Amendment (2016 Measures No.1) </w:t>
      </w:r>
      <w:r>
        <w:rPr>
          <w:b/>
          <w:szCs w:val="24"/>
        </w:rPr>
        <w:t>Regulation 2016</w:t>
      </w:r>
    </w:p>
    <w:p w:rsidR="00F26962" w:rsidRDefault="00F26962" w:rsidP="00F26962">
      <w:pPr>
        <w:rPr>
          <w:szCs w:val="24"/>
        </w:rPr>
      </w:pPr>
    </w:p>
    <w:p w:rsidR="00F26962" w:rsidRDefault="00F26962" w:rsidP="00F26962">
      <w:pPr>
        <w:rPr>
          <w:b/>
          <w:szCs w:val="24"/>
        </w:rPr>
      </w:pPr>
      <w:r>
        <w:rPr>
          <w:szCs w:val="24"/>
        </w:rPr>
        <w:t xml:space="preserve">The </w:t>
      </w:r>
      <w:r>
        <w:rPr>
          <w:i/>
          <w:szCs w:val="24"/>
        </w:rPr>
        <w:t>Therapeu</w:t>
      </w:r>
      <w:r w:rsidR="00A4766D">
        <w:rPr>
          <w:i/>
          <w:szCs w:val="24"/>
        </w:rPr>
        <w:t>tic Goods (Charges)</w:t>
      </w:r>
      <w:r w:rsidR="004B0A4D">
        <w:rPr>
          <w:i/>
          <w:szCs w:val="24"/>
        </w:rPr>
        <w:t xml:space="preserve"> </w:t>
      </w:r>
      <w:r w:rsidR="00A4766D">
        <w:rPr>
          <w:i/>
          <w:szCs w:val="24"/>
        </w:rPr>
        <w:t>Amendment (2016 Measures No.1)</w:t>
      </w:r>
      <w:r>
        <w:rPr>
          <w:i/>
          <w:szCs w:val="24"/>
        </w:rPr>
        <w:t xml:space="preserve"> Regulation 2016</w:t>
      </w:r>
      <w:r>
        <w:rPr>
          <w:szCs w:val="24"/>
        </w:rPr>
        <w:t xml:space="preserve"> (the Amendment Regulation) is compatible with the human rights and freedoms recognised or declared in the international instruments listed in section 3 of the </w:t>
      </w:r>
      <w:r>
        <w:rPr>
          <w:i/>
          <w:szCs w:val="24"/>
        </w:rPr>
        <w:t>Human Rights (Parliamentary Scrutiny) Act 2011</w:t>
      </w:r>
      <w:r>
        <w:rPr>
          <w:szCs w:val="24"/>
        </w:rPr>
        <w:t>.</w:t>
      </w:r>
    </w:p>
    <w:p w:rsidR="00F26962" w:rsidRDefault="00F26962" w:rsidP="00F26962">
      <w:pPr>
        <w:rPr>
          <w:szCs w:val="24"/>
        </w:rPr>
      </w:pPr>
    </w:p>
    <w:p w:rsidR="00F26962" w:rsidRDefault="00D705DE" w:rsidP="00F26962">
      <w:pPr>
        <w:rPr>
          <w:b/>
          <w:szCs w:val="24"/>
        </w:rPr>
      </w:pPr>
      <w:r>
        <w:rPr>
          <w:b/>
          <w:szCs w:val="24"/>
        </w:rPr>
        <w:t xml:space="preserve">Overview of the </w:t>
      </w:r>
      <w:r w:rsidR="00F26962">
        <w:rPr>
          <w:b/>
          <w:szCs w:val="24"/>
        </w:rPr>
        <w:t>Legislative Instrument</w:t>
      </w:r>
    </w:p>
    <w:p w:rsidR="006B5D06" w:rsidRDefault="00F26962" w:rsidP="007D16AC">
      <w:pPr>
        <w:spacing w:after="120"/>
        <w:ind w:right="-45"/>
        <w:rPr>
          <w:szCs w:val="24"/>
        </w:rPr>
      </w:pPr>
      <w:r>
        <w:rPr>
          <w:szCs w:val="24"/>
        </w:rPr>
        <w:t>The Amendment Regulation i</w:t>
      </w:r>
      <w:r w:rsidR="004B0A4D">
        <w:rPr>
          <w:szCs w:val="24"/>
        </w:rPr>
        <w:t>s made under subsection 5</w:t>
      </w:r>
      <w:r>
        <w:rPr>
          <w:szCs w:val="24"/>
        </w:rPr>
        <w:t xml:space="preserve">(1) of the </w:t>
      </w:r>
      <w:r>
        <w:rPr>
          <w:i/>
          <w:szCs w:val="24"/>
        </w:rPr>
        <w:t xml:space="preserve">Therapeutic Goods </w:t>
      </w:r>
      <w:r w:rsidR="004B0A4D">
        <w:rPr>
          <w:i/>
          <w:szCs w:val="24"/>
        </w:rPr>
        <w:t xml:space="preserve">(Charges) </w:t>
      </w:r>
      <w:r>
        <w:rPr>
          <w:i/>
          <w:szCs w:val="24"/>
        </w:rPr>
        <w:t>Act 1989</w:t>
      </w:r>
      <w:r w:rsidR="003A04F0">
        <w:rPr>
          <w:szCs w:val="24"/>
        </w:rPr>
        <w:t xml:space="preserve"> (the </w:t>
      </w:r>
      <w:r w:rsidR="004B0A4D">
        <w:rPr>
          <w:szCs w:val="24"/>
        </w:rPr>
        <w:t xml:space="preserve">Charges </w:t>
      </w:r>
      <w:r w:rsidR="003A04F0">
        <w:rPr>
          <w:szCs w:val="24"/>
        </w:rPr>
        <w:t>Act).  It</w:t>
      </w:r>
      <w:r>
        <w:rPr>
          <w:szCs w:val="24"/>
        </w:rPr>
        <w:t xml:space="preserve"> amends the </w:t>
      </w:r>
      <w:r>
        <w:rPr>
          <w:i/>
          <w:szCs w:val="24"/>
        </w:rPr>
        <w:t xml:space="preserve">Therapeutic Goods </w:t>
      </w:r>
      <w:r w:rsidR="004B0A4D">
        <w:rPr>
          <w:i/>
          <w:szCs w:val="24"/>
        </w:rPr>
        <w:t xml:space="preserve">(Charges) </w:t>
      </w:r>
      <w:r>
        <w:rPr>
          <w:i/>
          <w:szCs w:val="24"/>
        </w:rPr>
        <w:t>Regulations 1990</w:t>
      </w:r>
      <w:r w:rsidR="004B0A4D">
        <w:rPr>
          <w:szCs w:val="24"/>
        </w:rPr>
        <w:t xml:space="preserve"> (the Charges</w:t>
      </w:r>
      <w:r>
        <w:rPr>
          <w:szCs w:val="24"/>
        </w:rPr>
        <w:t xml:space="preserve"> Regulations)</w:t>
      </w:r>
      <w:r w:rsidR="00D32F8F">
        <w:rPr>
          <w:szCs w:val="24"/>
        </w:rPr>
        <w:t xml:space="preserve"> </w:t>
      </w:r>
      <w:r w:rsidR="004B0A4D">
        <w:rPr>
          <w:szCs w:val="24"/>
        </w:rPr>
        <w:t>to increase annual charges for therapeutic goods and manufacturing licences by 2.25 per cent for the 2016-17 financial year</w:t>
      </w:r>
      <w:r w:rsidR="006460BE">
        <w:rPr>
          <w:szCs w:val="24"/>
        </w:rPr>
        <w:t xml:space="preserve"> (i.e. from 1 July 2016)</w:t>
      </w:r>
      <w:r w:rsidR="006B5D06">
        <w:rPr>
          <w:szCs w:val="24"/>
        </w:rPr>
        <w:t xml:space="preserve">.  This increase ensures that the TGA is able to continue to recover its costs of administering the </w:t>
      </w:r>
      <w:r w:rsidR="006B5D06" w:rsidRPr="00D74719">
        <w:rPr>
          <w:i/>
          <w:szCs w:val="24"/>
        </w:rPr>
        <w:t>Therapeutic Goods Act 1989</w:t>
      </w:r>
      <w:r w:rsidR="006B5D06">
        <w:rPr>
          <w:szCs w:val="24"/>
        </w:rPr>
        <w:t>.</w:t>
      </w:r>
    </w:p>
    <w:p w:rsidR="00151C20" w:rsidRDefault="00D705DE" w:rsidP="00151C20">
      <w:pPr>
        <w:rPr>
          <w:szCs w:val="24"/>
        </w:rPr>
      </w:pPr>
      <w:r>
        <w:rPr>
          <w:szCs w:val="24"/>
        </w:rPr>
        <w:t xml:space="preserve">The </w:t>
      </w:r>
      <w:r w:rsidR="00151C20">
        <w:rPr>
          <w:szCs w:val="24"/>
        </w:rPr>
        <w:t xml:space="preserve">increase </w:t>
      </w:r>
      <w:r>
        <w:rPr>
          <w:szCs w:val="24"/>
        </w:rPr>
        <w:t>applies</w:t>
      </w:r>
      <w:r w:rsidR="00151C20">
        <w:rPr>
          <w:szCs w:val="24"/>
        </w:rPr>
        <w:t xml:space="preserve"> to annual charges relating to the registration, listing or inclusion of therapeutic goods in the </w:t>
      </w:r>
      <w:r>
        <w:rPr>
          <w:szCs w:val="24"/>
        </w:rPr>
        <w:t xml:space="preserve">Australian </w:t>
      </w:r>
      <w:r w:rsidR="00151C20">
        <w:rPr>
          <w:szCs w:val="24"/>
        </w:rPr>
        <w:t>Register</w:t>
      </w:r>
      <w:r>
        <w:rPr>
          <w:szCs w:val="24"/>
        </w:rPr>
        <w:t xml:space="preserve"> of Therapeutic Goods</w:t>
      </w:r>
      <w:r w:rsidR="00151C20">
        <w:rPr>
          <w:szCs w:val="24"/>
        </w:rPr>
        <w:t xml:space="preserve"> - this encompasses registered goods, listed goods, biologicals and medical devices – and to annual charges for manufacturing licences.</w:t>
      </w:r>
    </w:p>
    <w:p w:rsidR="00151C20" w:rsidRDefault="00151C20" w:rsidP="00151C20">
      <w:pPr>
        <w:rPr>
          <w:szCs w:val="24"/>
        </w:rPr>
      </w:pPr>
    </w:p>
    <w:p w:rsidR="00151C20" w:rsidRDefault="00151C20" w:rsidP="00151C20">
      <w:pPr>
        <w:rPr>
          <w:szCs w:val="24"/>
        </w:rPr>
      </w:pPr>
      <w:r>
        <w:rPr>
          <w:szCs w:val="24"/>
        </w:rPr>
        <w:t xml:space="preserve">The 2.25 per cent </w:t>
      </w:r>
      <w:r w:rsidR="00D705DE">
        <w:rPr>
          <w:szCs w:val="24"/>
        </w:rPr>
        <w:t xml:space="preserve">figure </w:t>
      </w:r>
      <w:r>
        <w:rPr>
          <w:szCs w:val="24"/>
        </w:rPr>
        <w:t>is based on an indexation formu</w:t>
      </w:r>
      <w:r w:rsidR="006460BE">
        <w:rPr>
          <w:szCs w:val="24"/>
        </w:rPr>
        <w:t xml:space="preserve">la used to calculate </w:t>
      </w:r>
      <w:r>
        <w:rPr>
          <w:szCs w:val="24"/>
        </w:rPr>
        <w:t xml:space="preserve">TGA fees and charges </w:t>
      </w:r>
      <w:r w:rsidR="006460BE">
        <w:rPr>
          <w:szCs w:val="24"/>
        </w:rPr>
        <w:t xml:space="preserve">increases </w:t>
      </w:r>
      <w:r>
        <w:rPr>
          <w:szCs w:val="24"/>
        </w:rPr>
        <w:t>in most previous years, and is based on the Australian Bureau of Statistics’ Wage Price Ind</w:t>
      </w:r>
      <w:r w:rsidR="006460BE">
        <w:rPr>
          <w:szCs w:val="24"/>
        </w:rPr>
        <w:t xml:space="preserve">ex (50 per cent) </w:t>
      </w:r>
      <w:r>
        <w:rPr>
          <w:szCs w:val="24"/>
        </w:rPr>
        <w:t xml:space="preserve">and Consumer Price Index </w:t>
      </w:r>
      <w:r w:rsidR="006460BE">
        <w:rPr>
          <w:szCs w:val="24"/>
        </w:rPr>
        <w:t>(50 per cent)) – in both cases, for the year to September 2015</w:t>
      </w:r>
      <w:r>
        <w:rPr>
          <w:szCs w:val="24"/>
        </w:rPr>
        <w:t xml:space="preserve">.  </w:t>
      </w:r>
    </w:p>
    <w:p w:rsidR="00151C20" w:rsidRDefault="00151C20" w:rsidP="00151C20">
      <w:pPr>
        <w:rPr>
          <w:szCs w:val="24"/>
        </w:rPr>
      </w:pPr>
    </w:p>
    <w:p w:rsidR="00F26962" w:rsidRDefault="00F26962" w:rsidP="00F26962">
      <w:pPr>
        <w:rPr>
          <w:b/>
          <w:szCs w:val="24"/>
        </w:rPr>
      </w:pPr>
      <w:r>
        <w:rPr>
          <w:b/>
          <w:szCs w:val="24"/>
        </w:rPr>
        <w:t>Human rights implications</w:t>
      </w:r>
    </w:p>
    <w:p w:rsidR="00F26962" w:rsidRDefault="00D705DE" w:rsidP="00F26962">
      <w:pPr>
        <w:rPr>
          <w:szCs w:val="24"/>
        </w:rPr>
      </w:pPr>
      <w:r>
        <w:rPr>
          <w:szCs w:val="24"/>
        </w:rPr>
        <w:t>As the Amendment Regulation does not introduce any changes to the Charges Regulations other than to implement the changes mentioned above, it does not engage any of the applicable rights or freedoms.</w:t>
      </w:r>
    </w:p>
    <w:p w:rsidR="00D705DE" w:rsidRDefault="00D705DE" w:rsidP="00F26962">
      <w:pPr>
        <w:rPr>
          <w:b/>
          <w:szCs w:val="24"/>
        </w:rPr>
      </w:pPr>
    </w:p>
    <w:p w:rsidR="00F26962" w:rsidRDefault="00F26962" w:rsidP="00F26962">
      <w:pPr>
        <w:rPr>
          <w:b/>
          <w:szCs w:val="24"/>
        </w:rPr>
      </w:pPr>
      <w:r>
        <w:rPr>
          <w:b/>
          <w:szCs w:val="24"/>
        </w:rPr>
        <w:t>Conclusion</w:t>
      </w:r>
    </w:p>
    <w:p w:rsidR="00F26962" w:rsidRDefault="00D705DE" w:rsidP="00F26962">
      <w:pPr>
        <w:rPr>
          <w:szCs w:val="24"/>
        </w:rPr>
      </w:pPr>
      <w:r>
        <w:rPr>
          <w:szCs w:val="24"/>
        </w:rPr>
        <w:t>This legislative instrument is</w:t>
      </w:r>
      <w:r w:rsidR="00F26962">
        <w:rPr>
          <w:szCs w:val="24"/>
        </w:rPr>
        <w:t xml:space="preserve"> compatible with human rights as it does not raise any human rights issues.</w:t>
      </w:r>
    </w:p>
    <w:p w:rsidR="00F26962" w:rsidRDefault="00F26962" w:rsidP="00F26962">
      <w:pPr>
        <w:rPr>
          <w:szCs w:val="24"/>
        </w:rPr>
      </w:pPr>
    </w:p>
    <w:p w:rsidR="00802B83" w:rsidRPr="007D16AC" w:rsidRDefault="00F26962" w:rsidP="007D16AC">
      <w:pPr>
        <w:jc w:val="center"/>
        <w:rPr>
          <w:szCs w:val="24"/>
        </w:rPr>
      </w:pPr>
      <w:r>
        <w:rPr>
          <w:b/>
          <w:szCs w:val="24"/>
        </w:rPr>
        <w:t>Sussan Ley, Minister for Health</w:t>
      </w:r>
    </w:p>
    <w:sectPr w:rsidR="00802B83" w:rsidRPr="007D16AC" w:rsidSect="004906E3">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9CE" w:rsidRDefault="00F209CE" w:rsidP="00A2299B">
      <w:r>
        <w:separator/>
      </w:r>
    </w:p>
  </w:endnote>
  <w:endnote w:type="continuationSeparator" w:id="0">
    <w:p w:rsidR="00F209CE" w:rsidRDefault="00F209CE" w:rsidP="00A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9CE" w:rsidRDefault="00F209CE" w:rsidP="00A2299B">
      <w:r>
        <w:separator/>
      </w:r>
    </w:p>
  </w:footnote>
  <w:footnote w:type="continuationSeparator" w:id="0">
    <w:p w:rsidR="00F209CE" w:rsidRDefault="00F209CE" w:rsidP="00A2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1C" w:rsidRDefault="006740D4">
    <w:pPr>
      <w:pStyle w:val="Header"/>
      <w:jc w:val="center"/>
    </w:pPr>
    <w:r>
      <w:fldChar w:fldCharType="begin"/>
    </w:r>
    <w:r w:rsidR="00A96C1C">
      <w:instrText xml:space="preserve"> PAGE   \* MERGEFORMAT </w:instrText>
    </w:r>
    <w:r>
      <w:fldChar w:fldCharType="separate"/>
    </w:r>
    <w:r w:rsidR="00E805BF">
      <w:rPr>
        <w:noProof/>
      </w:rPr>
      <w:t>4</w:t>
    </w:r>
    <w:r>
      <w:rPr>
        <w:noProof/>
      </w:rPr>
      <w:fldChar w:fldCharType="end"/>
    </w:r>
  </w:p>
  <w:p w:rsidR="00A96C1C" w:rsidRDefault="00A96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47989"/>
    <w:multiLevelType w:val="hybridMultilevel"/>
    <w:tmpl w:val="7EB8F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F6B4530"/>
    <w:multiLevelType w:val="hybridMultilevel"/>
    <w:tmpl w:val="AD2A9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1B2C08"/>
    <w:multiLevelType w:val="hybridMultilevel"/>
    <w:tmpl w:val="F97827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85E1D24"/>
    <w:multiLevelType w:val="multilevel"/>
    <w:tmpl w:val="42D8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B3B8E"/>
    <w:multiLevelType w:val="hybridMultilevel"/>
    <w:tmpl w:val="CB76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06C0C6E"/>
    <w:multiLevelType w:val="hybridMultilevel"/>
    <w:tmpl w:val="35B83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6280D4A"/>
    <w:multiLevelType w:val="hybridMultilevel"/>
    <w:tmpl w:val="E16A1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9">
    <w:nsid w:val="70734AF8"/>
    <w:multiLevelType w:val="hybridMultilevel"/>
    <w:tmpl w:val="BA08687C"/>
    <w:lvl w:ilvl="0" w:tplc="0C090001">
      <w:start w:val="1"/>
      <w:numFmt w:val="bullet"/>
      <w:lvlText w:val=""/>
      <w:lvlJc w:val="left"/>
      <w:pPr>
        <w:ind w:left="765" w:hanging="360"/>
      </w:pPr>
      <w:rPr>
        <w:rFonts w:ascii="Symbol" w:hAnsi="Symbol" w:hint="default"/>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10">
    <w:nsid w:val="712C6ED5"/>
    <w:multiLevelType w:val="hybridMultilevel"/>
    <w:tmpl w:val="6994B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6"/>
  </w:num>
  <w:num w:numId="5">
    <w:abstractNumId w:val="9"/>
  </w:num>
  <w:num w:numId="6">
    <w:abstractNumId w:val="0"/>
  </w:num>
  <w:num w:numId="7">
    <w:abstractNumId w:val="1"/>
  </w:num>
  <w:num w:numId="8">
    <w:abstractNumId w:val="2"/>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4"/>
    <w:rsid w:val="00001091"/>
    <w:rsid w:val="00006EED"/>
    <w:rsid w:val="0001421B"/>
    <w:rsid w:val="00016AB0"/>
    <w:rsid w:val="00027757"/>
    <w:rsid w:val="00030D81"/>
    <w:rsid w:val="00034254"/>
    <w:rsid w:val="00035E27"/>
    <w:rsid w:val="0004282E"/>
    <w:rsid w:val="00047E42"/>
    <w:rsid w:val="00051CE8"/>
    <w:rsid w:val="00061854"/>
    <w:rsid w:val="00072DA1"/>
    <w:rsid w:val="00073162"/>
    <w:rsid w:val="000734F6"/>
    <w:rsid w:val="0007636B"/>
    <w:rsid w:val="00083309"/>
    <w:rsid w:val="00084325"/>
    <w:rsid w:val="0008436F"/>
    <w:rsid w:val="000854E9"/>
    <w:rsid w:val="00095AC7"/>
    <w:rsid w:val="00096F11"/>
    <w:rsid w:val="000A7148"/>
    <w:rsid w:val="000B1535"/>
    <w:rsid w:val="000B380F"/>
    <w:rsid w:val="000B3C18"/>
    <w:rsid w:val="000B5C93"/>
    <w:rsid w:val="000B75D3"/>
    <w:rsid w:val="000C4010"/>
    <w:rsid w:val="000C6B8D"/>
    <w:rsid w:val="000D046B"/>
    <w:rsid w:val="000D5BFD"/>
    <w:rsid w:val="000E4581"/>
    <w:rsid w:val="001163EC"/>
    <w:rsid w:val="00117C9D"/>
    <w:rsid w:val="0012141E"/>
    <w:rsid w:val="00127D76"/>
    <w:rsid w:val="00151C20"/>
    <w:rsid w:val="00153A0A"/>
    <w:rsid w:val="00154185"/>
    <w:rsid w:val="00156491"/>
    <w:rsid w:val="0016321A"/>
    <w:rsid w:val="00163597"/>
    <w:rsid w:val="001766E6"/>
    <w:rsid w:val="00184D0B"/>
    <w:rsid w:val="00194102"/>
    <w:rsid w:val="00196CD4"/>
    <w:rsid w:val="00197CC0"/>
    <w:rsid w:val="001B38E8"/>
    <w:rsid w:val="001C5822"/>
    <w:rsid w:val="001D2E82"/>
    <w:rsid w:val="001E5D95"/>
    <w:rsid w:val="001F39A3"/>
    <w:rsid w:val="00202085"/>
    <w:rsid w:val="00204B3E"/>
    <w:rsid w:val="00221737"/>
    <w:rsid w:val="00227FD8"/>
    <w:rsid w:val="00235126"/>
    <w:rsid w:val="00241672"/>
    <w:rsid w:val="0024495C"/>
    <w:rsid w:val="00247FA8"/>
    <w:rsid w:val="00260FD5"/>
    <w:rsid w:val="00270C51"/>
    <w:rsid w:val="002747DD"/>
    <w:rsid w:val="00283A2F"/>
    <w:rsid w:val="00295A1D"/>
    <w:rsid w:val="002A0D6C"/>
    <w:rsid w:val="002A351A"/>
    <w:rsid w:val="002C1A9B"/>
    <w:rsid w:val="002C4298"/>
    <w:rsid w:val="002C5C61"/>
    <w:rsid w:val="002D24BB"/>
    <w:rsid w:val="002D4478"/>
    <w:rsid w:val="002D5938"/>
    <w:rsid w:val="002E0B8C"/>
    <w:rsid w:val="002E199E"/>
    <w:rsid w:val="002E568B"/>
    <w:rsid w:val="002F2512"/>
    <w:rsid w:val="002F3E9E"/>
    <w:rsid w:val="002F413F"/>
    <w:rsid w:val="00305F61"/>
    <w:rsid w:val="0031303D"/>
    <w:rsid w:val="00314ED3"/>
    <w:rsid w:val="0032168C"/>
    <w:rsid w:val="00322D3A"/>
    <w:rsid w:val="00323171"/>
    <w:rsid w:val="003261E6"/>
    <w:rsid w:val="0033433B"/>
    <w:rsid w:val="0033580D"/>
    <w:rsid w:val="00337CDA"/>
    <w:rsid w:val="003411ED"/>
    <w:rsid w:val="003662B3"/>
    <w:rsid w:val="00376B26"/>
    <w:rsid w:val="00380326"/>
    <w:rsid w:val="00381280"/>
    <w:rsid w:val="003856A4"/>
    <w:rsid w:val="0039169F"/>
    <w:rsid w:val="00392C09"/>
    <w:rsid w:val="003936E1"/>
    <w:rsid w:val="003A04F0"/>
    <w:rsid w:val="003A26DD"/>
    <w:rsid w:val="003A4BB8"/>
    <w:rsid w:val="003A5C6B"/>
    <w:rsid w:val="003D3F2F"/>
    <w:rsid w:val="003E33C4"/>
    <w:rsid w:val="003F61B9"/>
    <w:rsid w:val="003F7635"/>
    <w:rsid w:val="0041758D"/>
    <w:rsid w:val="004214FB"/>
    <w:rsid w:val="0042269B"/>
    <w:rsid w:val="0042497B"/>
    <w:rsid w:val="00434D72"/>
    <w:rsid w:val="0044252B"/>
    <w:rsid w:val="00451E1F"/>
    <w:rsid w:val="004545DC"/>
    <w:rsid w:val="00462276"/>
    <w:rsid w:val="00470A7B"/>
    <w:rsid w:val="004728EB"/>
    <w:rsid w:val="0048522A"/>
    <w:rsid w:val="004906E3"/>
    <w:rsid w:val="00491B8A"/>
    <w:rsid w:val="004947F7"/>
    <w:rsid w:val="004A2ED7"/>
    <w:rsid w:val="004B0A4D"/>
    <w:rsid w:val="004B1A78"/>
    <w:rsid w:val="004C03A4"/>
    <w:rsid w:val="004D2AEF"/>
    <w:rsid w:val="004E0A87"/>
    <w:rsid w:val="004E2513"/>
    <w:rsid w:val="004E7D96"/>
    <w:rsid w:val="004F11D2"/>
    <w:rsid w:val="004F49DB"/>
    <w:rsid w:val="004F7A6C"/>
    <w:rsid w:val="00500F1D"/>
    <w:rsid w:val="00506C06"/>
    <w:rsid w:val="00507967"/>
    <w:rsid w:val="00515857"/>
    <w:rsid w:val="00517846"/>
    <w:rsid w:val="005309EA"/>
    <w:rsid w:val="005329D6"/>
    <w:rsid w:val="00542F8E"/>
    <w:rsid w:val="00565A39"/>
    <w:rsid w:val="00574D01"/>
    <w:rsid w:val="00575D61"/>
    <w:rsid w:val="0059381E"/>
    <w:rsid w:val="005A0AF9"/>
    <w:rsid w:val="005A4FA2"/>
    <w:rsid w:val="005B72FD"/>
    <w:rsid w:val="005C1FA3"/>
    <w:rsid w:val="005C3A1D"/>
    <w:rsid w:val="005D14E1"/>
    <w:rsid w:val="005E7B97"/>
    <w:rsid w:val="005F305B"/>
    <w:rsid w:val="005F3B1E"/>
    <w:rsid w:val="00600CB8"/>
    <w:rsid w:val="00623AC5"/>
    <w:rsid w:val="00623B27"/>
    <w:rsid w:val="0062448D"/>
    <w:rsid w:val="00624716"/>
    <w:rsid w:val="006311D3"/>
    <w:rsid w:val="00634DF1"/>
    <w:rsid w:val="00641252"/>
    <w:rsid w:val="00642FD4"/>
    <w:rsid w:val="00643564"/>
    <w:rsid w:val="00645B7F"/>
    <w:rsid w:val="006460BE"/>
    <w:rsid w:val="00646264"/>
    <w:rsid w:val="00655A97"/>
    <w:rsid w:val="00664FF5"/>
    <w:rsid w:val="006668C3"/>
    <w:rsid w:val="00671C55"/>
    <w:rsid w:val="0067242A"/>
    <w:rsid w:val="006740D4"/>
    <w:rsid w:val="00675505"/>
    <w:rsid w:val="00680A6E"/>
    <w:rsid w:val="00682316"/>
    <w:rsid w:val="00684780"/>
    <w:rsid w:val="00686072"/>
    <w:rsid w:val="006A397D"/>
    <w:rsid w:val="006A57AE"/>
    <w:rsid w:val="006A7534"/>
    <w:rsid w:val="006B07BF"/>
    <w:rsid w:val="006B5D06"/>
    <w:rsid w:val="006C13C1"/>
    <w:rsid w:val="006D22C0"/>
    <w:rsid w:val="006D2BD7"/>
    <w:rsid w:val="006D75A9"/>
    <w:rsid w:val="006E0AA8"/>
    <w:rsid w:val="006E2878"/>
    <w:rsid w:val="006E4C3D"/>
    <w:rsid w:val="006F575B"/>
    <w:rsid w:val="00704057"/>
    <w:rsid w:val="00713DD8"/>
    <w:rsid w:val="007140A6"/>
    <w:rsid w:val="007146E9"/>
    <w:rsid w:val="00714D86"/>
    <w:rsid w:val="0072242C"/>
    <w:rsid w:val="0072588E"/>
    <w:rsid w:val="00730734"/>
    <w:rsid w:val="00733108"/>
    <w:rsid w:val="00737DF8"/>
    <w:rsid w:val="00743A70"/>
    <w:rsid w:val="00747579"/>
    <w:rsid w:val="00752098"/>
    <w:rsid w:val="00763436"/>
    <w:rsid w:val="0077263E"/>
    <w:rsid w:val="007761E4"/>
    <w:rsid w:val="007837EB"/>
    <w:rsid w:val="007940A5"/>
    <w:rsid w:val="00795062"/>
    <w:rsid w:val="00796DB0"/>
    <w:rsid w:val="007A2D51"/>
    <w:rsid w:val="007A7623"/>
    <w:rsid w:val="007B086B"/>
    <w:rsid w:val="007B6541"/>
    <w:rsid w:val="007B6FE8"/>
    <w:rsid w:val="007C08F3"/>
    <w:rsid w:val="007C0E54"/>
    <w:rsid w:val="007C210C"/>
    <w:rsid w:val="007C3174"/>
    <w:rsid w:val="007D16AC"/>
    <w:rsid w:val="007E164C"/>
    <w:rsid w:val="007F51A0"/>
    <w:rsid w:val="00800C44"/>
    <w:rsid w:val="00802B83"/>
    <w:rsid w:val="00810717"/>
    <w:rsid w:val="008134B6"/>
    <w:rsid w:val="00831EF9"/>
    <w:rsid w:val="0084641C"/>
    <w:rsid w:val="00850F73"/>
    <w:rsid w:val="00852AF3"/>
    <w:rsid w:val="008531F9"/>
    <w:rsid w:val="008842F1"/>
    <w:rsid w:val="0088720A"/>
    <w:rsid w:val="0089192E"/>
    <w:rsid w:val="008A0AD6"/>
    <w:rsid w:val="008A0FDA"/>
    <w:rsid w:val="008A4B48"/>
    <w:rsid w:val="008B1642"/>
    <w:rsid w:val="008C7363"/>
    <w:rsid w:val="008D2BE1"/>
    <w:rsid w:val="008E30B6"/>
    <w:rsid w:val="008E7167"/>
    <w:rsid w:val="00900C44"/>
    <w:rsid w:val="00901A68"/>
    <w:rsid w:val="0090593D"/>
    <w:rsid w:val="009067A7"/>
    <w:rsid w:val="009161C8"/>
    <w:rsid w:val="00920D23"/>
    <w:rsid w:val="00922B98"/>
    <w:rsid w:val="00924968"/>
    <w:rsid w:val="0093638A"/>
    <w:rsid w:val="00941170"/>
    <w:rsid w:val="00945A69"/>
    <w:rsid w:val="00951650"/>
    <w:rsid w:val="00954163"/>
    <w:rsid w:val="00955B3E"/>
    <w:rsid w:val="00956B5A"/>
    <w:rsid w:val="00961C3E"/>
    <w:rsid w:val="00961F07"/>
    <w:rsid w:val="00963BE5"/>
    <w:rsid w:val="00965C19"/>
    <w:rsid w:val="00980228"/>
    <w:rsid w:val="00996541"/>
    <w:rsid w:val="009B3848"/>
    <w:rsid w:val="009B70C0"/>
    <w:rsid w:val="009C010D"/>
    <w:rsid w:val="009C3E35"/>
    <w:rsid w:val="009F0802"/>
    <w:rsid w:val="009F0F57"/>
    <w:rsid w:val="009F26C4"/>
    <w:rsid w:val="00A148E9"/>
    <w:rsid w:val="00A2096C"/>
    <w:rsid w:val="00A217AB"/>
    <w:rsid w:val="00A2299B"/>
    <w:rsid w:val="00A22CDC"/>
    <w:rsid w:val="00A251B0"/>
    <w:rsid w:val="00A34D1C"/>
    <w:rsid w:val="00A354CA"/>
    <w:rsid w:val="00A4766D"/>
    <w:rsid w:val="00A7143D"/>
    <w:rsid w:val="00A75822"/>
    <w:rsid w:val="00A81397"/>
    <w:rsid w:val="00A85600"/>
    <w:rsid w:val="00A8610F"/>
    <w:rsid w:val="00A8653F"/>
    <w:rsid w:val="00A87142"/>
    <w:rsid w:val="00A90FF1"/>
    <w:rsid w:val="00A91AE5"/>
    <w:rsid w:val="00A93C4E"/>
    <w:rsid w:val="00A96C1C"/>
    <w:rsid w:val="00AA3401"/>
    <w:rsid w:val="00AA4029"/>
    <w:rsid w:val="00AB195A"/>
    <w:rsid w:val="00AB56AD"/>
    <w:rsid w:val="00AC11C8"/>
    <w:rsid w:val="00AC42A1"/>
    <w:rsid w:val="00AD14E2"/>
    <w:rsid w:val="00AD390C"/>
    <w:rsid w:val="00AD4F3B"/>
    <w:rsid w:val="00AD7222"/>
    <w:rsid w:val="00AE5795"/>
    <w:rsid w:val="00AF14FF"/>
    <w:rsid w:val="00B0417C"/>
    <w:rsid w:val="00B12B73"/>
    <w:rsid w:val="00B13045"/>
    <w:rsid w:val="00B13E8E"/>
    <w:rsid w:val="00B15BAC"/>
    <w:rsid w:val="00B163A7"/>
    <w:rsid w:val="00B24498"/>
    <w:rsid w:val="00B25BA1"/>
    <w:rsid w:val="00B34411"/>
    <w:rsid w:val="00B42634"/>
    <w:rsid w:val="00B43D28"/>
    <w:rsid w:val="00B446E4"/>
    <w:rsid w:val="00B4622C"/>
    <w:rsid w:val="00B46646"/>
    <w:rsid w:val="00B50B81"/>
    <w:rsid w:val="00B50EB2"/>
    <w:rsid w:val="00B56BA6"/>
    <w:rsid w:val="00B70663"/>
    <w:rsid w:val="00B77AB9"/>
    <w:rsid w:val="00B82E41"/>
    <w:rsid w:val="00B93A28"/>
    <w:rsid w:val="00B97F7D"/>
    <w:rsid w:val="00BA08DD"/>
    <w:rsid w:val="00BA167E"/>
    <w:rsid w:val="00BA306B"/>
    <w:rsid w:val="00BA6970"/>
    <w:rsid w:val="00BB7B51"/>
    <w:rsid w:val="00BC3C90"/>
    <w:rsid w:val="00BC499A"/>
    <w:rsid w:val="00BC68D2"/>
    <w:rsid w:val="00BE4ABA"/>
    <w:rsid w:val="00BF2BFE"/>
    <w:rsid w:val="00BF41B6"/>
    <w:rsid w:val="00BF6DCC"/>
    <w:rsid w:val="00C001FC"/>
    <w:rsid w:val="00C168DB"/>
    <w:rsid w:val="00C20D4C"/>
    <w:rsid w:val="00C3139C"/>
    <w:rsid w:val="00C326E4"/>
    <w:rsid w:val="00C44B5B"/>
    <w:rsid w:val="00C47D97"/>
    <w:rsid w:val="00C513B4"/>
    <w:rsid w:val="00C57FA9"/>
    <w:rsid w:val="00C61C10"/>
    <w:rsid w:val="00C67319"/>
    <w:rsid w:val="00C6778C"/>
    <w:rsid w:val="00C73432"/>
    <w:rsid w:val="00C75178"/>
    <w:rsid w:val="00C81E54"/>
    <w:rsid w:val="00C82782"/>
    <w:rsid w:val="00C83867"/>
    <w:rsid w:val="00C863BC"/>
    <w:rsid w:val="00C873FA"/>
    <w:rsid w:val="00C90901"/>
    <w:rsid w:val="00C93586"/>
    <w:rsid w:val="00C96E92"/>
    <w:rsid w:val="00C97781"/>
    <w:rsid w:val="00CA1B88"/>
    <w:rsid w:val="00CA2337"/>
    <w:rsid w:val="00CA63E5"/>
    <w:rsid w:val="00CA7D07"/>
    <w:rsid w:val="00CC7B5B"/>
    <w:rsid w:val="00CD6FDC"/>
    <w:rsid w:val="00CD7CD9"/>
    <w:rsid w:val="00CF71DD"/>
    <w:rsid w:val="00D15347"/>
    <w:rsid w:val="00D17848"/>
    <w:rsid w:val="00D2672A"/>
    <w:rsid w:val="00D27D4C"/>
    <w:rsid w:val="00D30DEE"/>
    <w:rsid w:val="00D32EA9"/>
    <w:rsid w:val="00D32F8F"/>
    <w:rsid w:val="00D36BB2"/>
    <w:rsid w:val="00D4024D"/>
    <w:rsid w:val="00D408E3"/>
    <w:rsid w:val="00D443FC"/>
    <w:rsid w:val="00D4730B"/>
    <w:rsid w:val="00D6356B"/>
    <w:rsid w:val="00D66A30"/>
    <w:rsid w:val="00D705DE"/>
    <w:rsid w:val="00D74719"/>
    <w:rsid w:val="00D84927"/>
    <w:rsid w:val="00D86EC1"/>
    <w:rsid w:val="00D9238E"/>
    <w:rsid w:val="00DA2792"/>
    <w:rsid w:val="00DA7E05"/>
    <w:rsid w:val="00DB4931"/>
    <w:rsid w:val="00DB6F99"/>
    <w:rsid w:val="00DC53E7"/>
    <w:rsid w:val="00DC7474"/>
    <w:rsid w:val="00DD0F6E"/>
    <w:rsid w:val="00DD5EB3"/>
    <w:rsid w:val="00DE1949"/>
    <w:rsid w:val="00DE2D23"/>
    <w:rsid w:val="00E2429C"/>
    <w:rsid w:val="00E2509F"/>
    <w:rsid w:val="00E35A94"/>
    <w:rsid w:val="00E36BFE"/>
    <w:rsid w:val="00E3700D"/>
    <w:rsid w:val="00E409DC"/>
    <w:rsid w:val="00E415A9"/>
    <w:rsid w:val="00E41F02"/>
    <w:rsid w:val="00E6022A"/>
    <w:rsid w:val="00E60488"/>
    <w:rsid w:val="00E6405D"/>
    <w:rsid w:val="00E805BF"/>
    <w:rsid w:val="00E82F11"/>
    <w:rsid w:val="00E85D3B"/>
    <w:rsid w:val="00E90EC6"/>
    <w:rsid w:val="00E93A0F"/>
    <w:rsid w:val="00EA3BFF"/>
    <w:rsid w:val="00EB2323"/>
    <w:rsid w:val="00EB25DE"/>
    <w:rsid w:val="00EB441B"/>
    <w:rsid w:val="00EB45AA"/>
    <w:rsid w:val="00EB66C8"/>
    <w:rsid w:val="00EB6F85"/>
    <w:rsid w:val="00EC0460"/>
    <w:rsid w:val="00EC5E3C"/>
    <w:rsid w:val="00EC6980"/>
    <w:rsid w:val="00ED19AA"/>
    <w:rsid w:val="00ED3AE4"/>
    <w:rsid w:val="00EF1F76"/>
    <w:rsid w:val="00EF6410"/>
    <w:rsid w:val="00F02405"/>
    <w:rsid w:val="00F14E91"/>
    <w:rsid w:val="00F209CE"/>
    <w:rsid w:val="00F235B3"/>
    <w:rsid w:val="00F25B4C"/>
    <w:rsid w:val="00F26962"/>
    <w:rsid w:val="00F35DC6"/>
    <w:rsid w:val="00F42A9C"/>
    <w:rsid w:val="00F52483"/>
    <w:rsid w:val="00F52CBD"/>
    <w:rsid w:val="00F53C1D"/>
    <w:rsid w:val="00F57A4A"/>
    <w:rsid w:val="00F61134"/>
    <w:rsid w:val="00F61524"/>
    <w:rsid w:val="00F650A3"/>
    <w:rsid w:val="00F66E67"/>
    <w:rsid w:val="00F67D92"/>
    <w:rsid w:val="00F903DD"/>
    <w:rsid w:val="00F920FB"/>
    <w:rsid w:val="00F93BB8"/>
    <w:rsid w:val="00FA422A"/>
    <w:rsid w:val="00FA6381"/>
    <w:rsid w:val="00FA7030"/>
    <w:rsid w:val="00FB1315"/>
    <w:rsid w:val="00FB7657"/>
    <w:rsid w:val="00FD263F"/>
    <w:rsid w:val="00FD466C"/>
    <w:rsid w:val="00FD7B79"/>
    <w:rsid w:val="00FE13A9"/>
    <w:rsid w:val="00FF1F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styleId="NormalWeb">
    <w:name w:val="Normal (Web)"/>
    <w:basedOn w:val="Normal"/>
    <w:uiPriority w:val="99"/>
    <w:semiHidden/>
    <w:unhideWhenUsed/>
    <w:rsid w:val="0042497B"/>
    <w:pPr>
      <w:spacing w:before="240" w:after="240"/>
    </w:pPr>
    <w:rPr>
      <w:szCs w:val="24"/>
    </w:rPr>
  </w:style>
  <w:style w:type="character" w:styleId="FollowedHyperlink">
    <w:name w:val="FollowedHyperlink"/>
    <w:basedOn w:val="DefaultParagraphFont"/>
    <w:uiPriority w:val="99"/>
    <w:semiHidden/>
    <w:unhideWhenUsed/>
    <w:rsid w:val="00680A6E"/>
    <w:rPr>
      <w:color w:val="800080" w:themeColor="followedHyperlink"/>
      <w:u w:val="single"/>
    </w:rPr>
  </w:style>
  <w:style w:type="paragraph" w:customStyle="1" w:styleId="paragraph">
    <w:name w:val="paragraph"/>
    <w:aliases w:val="a"/>
    <w:basedOn w:val="Normal"/>
    <w:rsid w:val="00B56BA6"/>
    <w:pPr>
      <w:tabs>
        <w:tab w:val="right" w:pos="1531"/>
      </w:tabs>
      <w:spacing w:before="40"/>
      <w:ind w:left="1644" w:hanging="1644"/>
    </w:pPr>
    <w:rPr>
      <w:sz w:val="22"/>
    </w:rPr>
  </w:style>
  <w:style w:type="paragraph" w:styleId="Revision">
    <w:name w:val="Revision"/>
    <w:hidden/>
    <w:uiPriority w:val="99"/>
    <w:semiHidden/>
    <w:rsid w:val="00DA2792"/>
    <w:rPr>
      <w:rFonts w:ascii="Times New Roman" w:eastAsia="Times New Roman" w:hAnsi="Times New Roman"/>
      <w:sz w:val="24"/>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styleId="NormalWeb">
    <w:name w:val="Normal (Web)"/>
    <w:basedOn w:val="Normal"/>
    <w:uiPriority w:val="99"/>
    <w:semiHidden/>
    <w:unhideWhenUsed/>
    <w:rsid w:val="0042497B"/>
    <w:pPr>
      <w:spacing w:before="240" w:after="240"/>
    </w:pPr>
    <w:rPr>
      <w:szCs w:val="24"/>
    </w:rPr>
  </w:style>
  <w:style w:type="character" w:styleId="FollowedHyperlink">
    <w:name w:val="FollowedHyperlink"/>
    <w:basedOn w:val="DefaultParagraphFont"/>
    <w:uiPriority w:val="99"/>
    <w:semiHidden/>
    <w:unhideWhenUsed/>
    <w:rsid w:val="00680A6E"/>
    <w:rPr>
      <w:color w:val="800080" w:themeColor="followedHyperlink"/>
      <w:u w:val="single"/>
    </w:rPr>
  </w:style>
  <w:style w:type="paragraph" w:customStyle="1" w:styleId="paragraph">
    <w:name w:val="paragraph"/>
    <w:aliases w:val="a"/>
    <w:basedOn w:val="Normal"/>
    <w:rsid w:val="00B56BA6"/>
    <w:pPr>
      <w:tabs>
        <w:tab w:val="right" w:pos="1531"/>
      </w:tabs>
      <w:spacing w:before="40"/>
      <w:ind w:left="1644" w:hanging="1644"/>
    </w:pPr>
    <w:rPr>
      <w:sz w:val="22"/>
    </w:rPr>
  </w:style>
  <w:style w:type="paragraph" w:styleId="Revision">
    <w:name w:val="Revision"/>
    <w:hidden/>
    <w:uiPriority w:val="99"/>
    <w:semiHidden/>
    <w:rsid w:val="00DA2792"/>
    <w:rPr>
      <w:rFonts w:ascii="Times New Roman" w:eastAsia="Times New Roman" w:hAnsi="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06639">
      <w:bodyDiv w:val="1"/>
      <w:marLeft w:val="0"/>
      <w:marRight w:val="0"/>
      <w:marTop w:val="0"/>
      <w:marBottom w:val="0"/>
      <w:divBdr>
        <w:top w:val="none" w:sz="0" w:space="0" w:color="auto"/>
        <w:left w:val="none" w:sz="0" w:space="0" w:color="auto"/>
        <w:bottom w:val="none" w:sz="0" w:space="0" w:color="auto"/>
        <w:right w:val="none" w:sz="0" w:space="0" w:color="auto"/>
      </w:divBdr>
      <w:divsChild>
        <w:div w:id="1949923287">
          <w:marLeft w:val="0"/>
          <w:marRight w:val="0"/>
          <w:marTop w:val="0"/>
          <w:marBottom w:val="0"/>
          <w:divBdr>
            <w:top w:val="none" w:sz="0" w:space="0" w:color="auto"/>
            <w:left w:val="none" w:sz="0" w:space="0" w:color="auto"/>
            <w:bottom w:val="none" w:sz="0" w:space="0" w:color="auto"/>
            <w:right w:val="none" w:sz="0" w:space="0" w:color="auto"/>
          </w:divBdr>
          <w:divsChild>
            <w:div w:id="1443301570">
              <w:marLeft w:val="0"/>
              <w:marRight w:val="0"/>
              <w:marTop w:val="0"/>
              <w:marBottom w:val="0"/>
              <w:divBdr>
                <w:top w:val="none" w:sz="0" w:space="0" w:color="auto"/>
                <w:left w:val="none" w:sz="0" w:space="0" w:color="auto"/>
                <w:bottom w:val="none" w:sz="0" w:space="0" w:color="auto"/>
                <w:right w:val="none" w:sz="0" w:space="0" w:color="auto"/>
              </w:divBdr>
              <w:divsChild>
                <w:div w:id="1302491883">
                  <w:marLeft w:val="0"/>
                  <w:marRight w:val="0"/>
                  <w:marTop w:val="0"/>
                  <w:marBottom w:val="0"/>
                  <w:divBdr>
                    <w:top w:val="none" w:sz="0" w:space="0" w:color="auto"/>
                    <w:left w:val="none" w:sz="0" w:space="0" w:color="auto"/>
                    <w:bottom w:val="none" w:sz="0" w:space="0" w:color="auto"/>
                    <w:right w:val="none" w:sz="0" w:space="0" w:color="auto"/>
                  </w:divBdr>
                  <w:divsChild>
                    <w:div w:id="1155217137">
                      <w:marLeft w:val="0"/>
                      <w:marRight w:val="0"/>
                      <w:marTop w:val="0"/>
                      <w:marBottom w:val="0"/>
                      <w:divBdr>
                        <w:top w:val="none" w:sz="0" w:space="0" w:color="auto"/>
                        <w:left w:val="none" w:sz="0" w:space="0" w:color="auto"/>
                        <w:bottom w:val="none" w:sz="0" w:space="0" w:color="auto"/>
                        <w:right w:val="none" w:sz="0" w:space="0" w:color="auto"/>
                      </w:divBdr>
                      <w:divsChild>
                        <w:div w:id="1782534792">
                          <w:marLeft w:val="0"/>
                          <w:marRight w:val="0"/>
                          <w:marTop w:val="0"/>
                          <w:marBottom w:val="0"/>
                          <w:divBdr>
                            <w:top w:val="none" w:sz="0" w:space="0" w:color="auto"/>
                            <w:left w:val="none" w:sz="0" w:space="0" w:color="auto"/>
                            <w:bottom w:val="none" w:sz="0" w:space="0" w:color="auto"/>
                            <w:right w:val="none" w:sz="0" w:space="0" w:color="auto"/>
                          </w:divBdr>
                          <w:divsChild>
                            <w:div w:id="750271041">
                              <w:marLeft w:val="0"/>
                              <w:marRight w:val="0"/>
                              <w:marTop w:val="0"/>
                              <w:marBottom w:val="0"/>
                              <w:divBdr>
                                <w:top w:val="none" w:sz="0" w:space="0" w:color="auto"/>
                                <w:left w:val="none" w:sz="0" w:space="0" w:color="auto"/>
                                <w:bottom w:val="none" w:sz="0" w:space="0" w:color="auto"/>
                                <w:right w:val="none" w:sz="0" w:space="0" w:color="auto"/>
                              </w:divBdr>
                              <w:divsChild>
                                <w:div w:id="102117454">
                                  <w:marLeft w:val="0"/>
                                  <w:marRight w:val="0"/>
                                  <w:marTop w:val="0"/>
                                  <w:marBottom w:val="0"/>
                                  <w:divBdr>
                                    <w:top w:val="none" w:sz="0" w:space="0" w:color="auto"/>
                                    <w:left w:val="none" w:sz="0" w:space="0" w:color="auto"/>
                                    <w:bottom w:val="none" w:sz="0" w:space="0" w:color="auto"/>
                                    <w:right w:val="none" w:sz="0" w:space="0" w:color="auto"/>
                                  </w:divBdr>
                                  <w:divsChild>
                                    <w:div w:id="1880121087">
                                      <w:marLeft w:val="0"/>
                                      <w:marRight w:val="0"/>
                                      <w:marTop w:val="0"/>
                                      <w:marBottom w:val="0"/>
                                      <w:divBdr>
                                        <w:top w:val="none" w:sz="0" w:space="0" w:color="auto"/>
                                        <w:left w:val="none" w:sz="0" w:space="0" w:color="auto"/>
                                        <w:bottom w:val="none" w:sz="0" w:space="0" w:color="auto"/>
                                        <w:right w:val="none" w:sz="0" w:space="0" w:color="auto"/>
                                      </w:divBdr>
                                      <w:divsChild>
                                        <w:div w:id="11506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0922598">
      <w:bodyDiv w:val="1"/>
      <w:marLeft w:val="0"/>
      <w:marRight w:val="0"/>
      <w:marTop w:val="0"/>
      <w:marBottom w:val="0"/>
      <w:divBdr>
        <w:top w:val="none" w:sz="0" w:space="0" w:color="auto"/>
        <w:left w:val="none" w:sz="0" w:space="0" w:color="auto"/>
        <w:bottom w:val="none" w:sz="0" w:space="0" w:color="auto"/>
        <w:right w:val="none" w:sz="0" w:space="0" w:color="auto"/>
      </w:divBdr>
    </w:div>
    <w:div w:id="19107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37FC7-A698-44C5-83B9-CCA111F6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1253</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Freebairn, Will</cp:lastModifiedBy>
  <cp:revision>19</cp:revision>
  <cp:lastPrinted>2016-04-11T23:03:00Z</cp:lastPrinted>
  <dcterms:created xsi:type="dcterms:W3CDTF">2016-04-13T05:59:00Z</dcterms:created>
  <dcterms:modified xsi:type="dcterms:W3CDTF">2016-04-14T05:58:00Z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