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E9" w:rsidRPr="00C62758" w:rsidRDefault="007413E9" w:rsidP="002569FB">
      <w:pPr>
        <w:spacing w:before="0" w:after="0"/>
        <w:ind w:right="372"/>
        <w:jc w:val="center"/>
        <w:rPr>
          <w:rFonts w:ascii="Times New Roman" w:hAnsi="Times New Roman"/>
          <w:b/>
          <w:bCs/>
        </w:rPr>
      </w:pPr>
      <w:bookmarkStart w:id="0" w:name="_GoBack"/>
      <w:bookmarkEnd w:id="0"/>
      <w:r w:rsidRPr="00C62758">
        <w:rPr>
          <w:rFonts w:ascii="Times New Roman" w:hAnsi="Times New Roman"/>
          <w:b/>
          <w:bCs/>
          <w:u w:val="single"/>
        </w:rPr>
        <w:t>EXPLANATORY STATEMENT</w:t>
      </w:r>
    </w:p>
    <w:p w:rsidR="007413E9" w:rsidRPr="00C62758" w:rsidRDefault="007413E9" w:rsidP="002569FB">
      <w:pPr>
        <w:spacing w:before="0" w:after="0"/>
        <w:ind w:right="372"/>
        <w:rPr>
          <w:rFonts w:ascii="Times New Roman" w:hAnsi="Times New Roman"/>
        </w:rPr>
      </w:pPr>
    </w:p>
    <w:p w:rsidR="007413E9" w:rsidRPr="00C62758" w:rsidRDefault="007413E9" w:rsidP="002569FB">
      <w:pPr>
        <w:spacing w:before="0" w:after="0"/>
        <w:ind w:right="372"/>
        <w:jc w:val="center"/>
        <w:rPr>
          <w:rFonts w:ascii="Times New Roman" w:hAnsi="Times New Roman"/>
        </w:rPr>
      </w:pPr>
      <w:r w:rsidRPr="00C62758">
        <w:rPr>
          <w:rFonts w:ascii="Times New Roman" w:hAnsi="Times New Roman"/>
        </w:rPr>
        <w:t xml:space="preserve">Issued by the Authority of the Minister for </w:t>
      </w:r>
      <w:r w:rsidR="00876008">
        <w:rPr>
          <w:rFonts w:ascii="Times New Roman" w:hAnsi="Times New Roman"/>
        </w:rPr>
        <w:t>Social Services</w:t>
      </w:r>
    </w:p>
    <w:p w:rsidR="007413E9" w:rsidRPr="00C62758" w:rsidRDefault="007413E9" w:rsidP="002569FB">
      <w:pPr>
        <w:spacing w:before="0" w:after="0"/>
        <w:ind w:right="372"/>
        <w:jc w:val="both"/>
        <w:rPr>
          <w:rFonts w:ascii="Times New Roman" w:hAnsi="Times New Roman"/>
        </w:rPr>
      </w:pPr>
    </w:p>
    <w:p w:rsidR="007413E9" w:rsidRDefault="005F4C31" w:rsidP="002569FB">
      <w:pPr>
        <w:pStyle w:val="Heading2"/>
        <w:keepNext w:val="0"/>
        <w:ind w:left="0"/>
      </w:pPr>
      <w:r>
        <w:t>Child Support (Assessment) Act 1989</w:t>
      </w:r>
    </w:p>
    <w:p w:rsidR="00BA7C0D" w:rsidRPr="00C62758" w:rsidRDefault="00BA7C0D" w:rsidP="002537F9">
      <w:pPr>
        <w:spacing w:before="0" w:after="0"/>
        <w:ind w:right="372"/>
        <w:jc w:val="both"/>
        <w:rPr>
          <w:rFonts w:ascii="Times New Roman" w:hAnsi="Times New Roman"/>
        </w:rPr>
      </w:pPr>
    </w:p>
    <w:p w:rsidR="007413E9" w:rsidRPr="00C62758" w:rsidRDefault="005F4C31" w:rsidP="002569FB">
      <w:pPr>
        <w:pStyle w:val="Heading2"/>
        <w:keepNext w:val="0"/>
        <w:ind w:left="0"/>
      </w:pPr>
      <w:r>
        <w:t>Child Support (Assessment) Amendment (Territories) Regulation 2016</w:t>
      </w:r>
    </w:p>
    <w:p w:rsidR="007413E9" w:rsidRDefault="007413E9" w:rsidP="002569FB">
      <w:pPr>
        <w:spacing w:before="0" w:after="0"/>
        <w:ind w:right="372"/>
        <w:jc w:val="both"/>
        <w:rPr>
          <w:rFonts w:ascii="Times New Roman" w:hAnsi="Times New Roman"/>
        </w:rPr>
      </w:pPr>
    </w:p>
    <w:p w:rsidR="000365D9" w:rsidRDefault="000365D9" w:rsidP="000365D9">
      <w:pPr>
        <w:spacing w:before="0" w:after="0"/>
        <w:ind w:right="374"/>
        <w:rPr>
          <w:rFonts w:ascii="Times New Roman" w:hAnsi="Times New Roman"/>
        </w:rPr>
      </w:pPr>
      <w:r w:rsidRPr="000365D9">
        <w:rPr>
          <w:rFonts w:ascii="Times New Roman" w:hAnsi="Times New Roman"/>
        </w:rPr>
        <w:t xml:space="preserve">The </w:t>
      </w:r>
      <w:r w:rsidRPr="000365D9">
        <w:rPr>
          <w:rFonts w:ascii="Times New Roman" w:hAnsi="Times New Roman"/>
          <w:i/>
        </w:rPr>
        <w:t>Child Support (Assessment) Act 1989</w:t>
      </w:r>
      <w:r w:rsidRPr="000365D9">
        <w:rPr>
          <w:rFonts w:ascii="Times New Roman" w:hAnsi="Times New Roman"/>
        </w:rPr>
        <w:t xml:space="preserve"> (the Act) provides for the assessment of child support to ensure that children receive a proper level of financial support from their parents.  </w:t>
      </w:r>
    </w:p>
    <w:p w:rsidR="000365D9" w:rsidRPr="000365D9" w:rsidRDefault="000365D9" w:rsidP="000365D9">
      <w:pPr>
        <w:spacing w:before="0" w:after="0"/>
        <w:ind w:right="374"/>
        <w:rPr>
          <w:rFonts w:ascii="Times New Roman" w:hAnsi="Times New Roman"/>
        </w:rPr>
      </w:pPr>
    </w:p>
    <w:p w:rsidR="000365D9" w:rsidRPr="000365D9" w:rsidRDefault="000365D9" w:rsidP="000365D9">
      <w:pPr>
        <w:spacing w:before="0" w:after="0"/>
        <w:ind w:right="374"/>
        <w:rPr>
          <w:rFonts w:ascii="Times New Roman" w:hAnsi="Times New Roman"/>
        </w:rPr>
      </w:pPr>
      <w:r w:rsidRPr="000365D9">
        <w:rPr>
          <w:rFonts w:ascii="Times New Roman" w:hAnsi="Times New Roman"/>
        </w:rPr>
        <w:t xml:space="preserve">The </w:t>
      </w:r>
      <w:r w:rsidRPr="000365D9">
        <w:rPr>
          <w:rFonts w:ascii="Times New Roman" w:hAnsi="Times New Roman"/>
          <w:i/>
        </w:rPr>
        <w:t>Child Support (Assessment) Regulations 1989</w:t>
      </w:r>
      <w:r w:rsidRPr="000365D9">
        <w:rPr>
          <w:rFonts w:ascii="Times New Roman" w:hAnsi="Times New Roman"/>
        </w:rPr>
        <w:t xml:space="preserve"> (the Principal Regulations) prescribe matters relevant to the assessment of the level of parents’ child support liabilities for their children. </w:t>
      </w:r>
    </w:p>
    <w:p w:rsidR="000365D9" w:rsidRPr="000365D9" w:rsidRDefault="000365D9" w:rsidP="000365D9">
      <w:pPr>
        <w:spacing w:before="0" w:after="0"/>
        <w:ind w:right="374"/>
        <w:rPr>
          <w:rFonts w:ascii="Times New Roman" w:hAnsi="Times New Roman"/>
        </w:rPr>
      </w:pPr>
    </w:p>
    <w:p w:rsidR="000365D9" w:rsidRDefault="000365D9" w:rsidP="000365D9">
      <w:pPr>
        <w:spacing w:before="0" w:after="0"/>
        <w:ind w:right="374"/>
        <w:rPr>
          <w:rFonts w:ascii="Times New Roman" w:hAnsi="Times New Roman"/>
        </w:rPr>
      </w:pPr>
      <w:r w:rsidRPr="000365D9">
        <w:rPr>
          <w:rFonts w:ascii="Times New Roman" w:hAnsi="Times New Roman"/>
        </w:rPr>
        <w:t xml:space="preserve">Section 164 of the Act provides that the Governor-General may make regulations, not inconsistent with the Act, prescribing all matters required or permitted by the Act, or necessary or convenient to be prescribed for carrying out or giving effect to the Act, and in particular may make regulations prescribing penalties not exceeding a fine of $1000 for offences against the regulations. </w:t>
      </w:r>
    </w:p>
    <w:p w:rsidR="000365D9" w:rsidRDefault="000365D9" w:rsidP="000365D9">
      <w:pPr>
        <w:spacing w:before="0" w:after="0"/>
        <w:ind w:right="374"/>
        <w:rPr>
          <w:rFonts w:ascii="Times New Roman" w:hAnsi="Times New Roman"/>
        </w:rPr>
      </w:pPr>
    </w:p>
    <w:p w:rsidR="0066393F" w:rsidRDefault="0066393F" w:rsidP="0066393F">
      <w:pPr>
        <w:spacing w:before="0"/>
        <w:ind w:right="371"/>
        <w:rPr>
          <w:rFonts w:ascii="Times New Roman" w:hAnsi="Times New Roman"/>
        </w:rPr>
      </w:pPr>
      <w:r w:rsidRPr="0066393F">
        <w:rPr>
          <w:rFonts w:ascii="Times New Roman" w:hAnsi="Times New Roman"/>
        </w:rPr>
        <w:t xml:space="preserve">Section 24 of the Act sets out the children in relation to whom an application may be made under Part 4. Relevantly subsection 24(1) provides that an application may only be made if the child is an </w:t>
      </w:r>
      <w:r w:rsidRPr="0066393F">
        <w:rPr>
          <w:rFonts w:ascii="Times New Roman" w:hAnsi="Times New Roman"/>
          <w:i/>
        </w:rPr>
        <w:t xml:space="preserve">eligible </w:t>
      </w:r>
      <w:r w:rsidRPr="00C65213">
        <w:rPr>
          <w:rFonts w:ascii="Times New Roman" w:hAnsi="Times New Roman"/>
          <w:i/>
        </w:rPr>
        <w:t>child</w:t>
      </w:r>
      <w:r w:rsidRPr="0066393F">
        <w:rPr>
          <w:rFonts w:ascii="Times New Roman" w:hAnsi="Times New Roman"/>
        </w:rPr>
        <w:t xml:space="preserve">, is under 18 years of age, not a member of a couple and the child is present in Australia on the day on which the application is made or the child is an Australian citizen, or ordinarily resident in Australia on that day. </w:t>
      </w:r>
      <w:r w:rsidR="003358C8">
        <w:rPr>
          <w:rFonts w:ascii="Times New Roman" w:hAnsi="Times New Roman"/>
        </w:rPr>
        <w:br/>
      </w:r>
      <w:r w:rsidR="003358C8">
        <w:rPr>
          <w:rFonts w:ascii="Times New Roman" w:hAnsi="Times New Roman"/>
        </w:rPr>
        <w:br/>
      </w:r>
      <w:r w:rsidRPr="0066393F">
        <w:rPr>
          <w:rFonts w:ascii="Times New Roman" w:hAnsi="Times New Roman"/>
        </w:rPr>
        <w:t xml:space="preserve">At section 5 of the Act, </w:t>
      </w:r>
      <w:r w:rsidRPr="0066393F">
        <w:rPr>
          <w:rFonts w:ascii="Times New Roman" w:hAnsi="Times New Roman"/>
          <w:i/>
        </w:rPr>
        <w:t xml:space="preserve">eligible child </w:t>
      </w:r>
      <w:r w:rsidRPr="0066393F">
        <w:rPr>
          <w:rFonts w:ascii="Times New Roman" w:hAnsi="Times New Roman"/>
        </w:rPr>
        <w:t xml:space="preserve">is defined as having the meaning given by Part 3.  </w:t>
      </w:r>
      <w:r w:rsidR="003358C8">
        <w:rPr>
          <w:rFonts w:ascii="Times New Roman" w:hAnsi="Times New Roman"/>
        </w:rPr>
        <w:t>This Part</w:t>
      </w:r>
      <w:r w:rsidRPr="0066393F">
        <w:rPr>
          <w:rFonts w:ascii="Times New Roman" w:hAnsi="Times New Roman"/>
        </w:rPr>
        <w:t xml:space="preserve"> sets out children who may be covered by the Act</w:t>
      </w:r>
      <w:r w:rsidR="003358C8">
        <w:rPr>
          <w:rFonts w:ascii="Times New Roman" w:hAnsi="Times New Roman"/>
        </w:rPr>
        <w:t xml:space="preserve">, with section 18 </w:t>
      </w:r>
      <w:r w:rsidRPr="0066393F">
        <w:rPr>
          <w:rFonts w:ascii="Times New Roman" w:hAnsi="Times New Roman"/>
        </w:rPr>
        <w:t xml:space="preserve">stating that the Act only applies to children who are </w:t>
      </w:r>
      <w:r w:rsidRPr="0066393F">
        <w:rPr>
          <w:rFonts w:ascii="Times New Roman" w:hAnsi="Times New Roman"/>
          <w:i/>
        </w:rPr>
        <w:t>eligible children</w:t>
      </w:r>
      <w:r w:rsidRPr="0066393F">
        <w:rPr>
          <w:rFonts w:ascii="Times New Roman" w:hAnsi="Times New Roman"/>
        </w:rPr>
        <w:t xml:space="preserve">. Sections 19, 20 and 21 outline circumstances where a child is considered to be an eligible child. Section 22 of the Act sets out that the regulations may provide that children who are under the care (however described) of a person under a child welfare law are not </w:t>
      </w:r>
      <w:r w:rsidRPr="0066393F">
        <w:rPr>
          <w:rFonts w:ascii="Times New Roman" w:hAnsi="Times New Roman"/>
          <w:i/>
        </w:rPr>
        <w:t>eligible children.</w:t>
      </w:r>
      <w:r>
        <w:rPr>
          <w:rFonts w:ascii="Times New Roman" w:hAnsi="Times New Roman"/>
        </w:rPr>
        <w:br/>
      </w:r>
      <w:r>
        <w:rPr>
          <w:rFonts w:ascii="Times New Roman" w:hAnsi="Times New Roman"/>
        </w:rPr>
        <w:br/>
        <w:t xml:space="preserve">The purpose of the Regulation is to repeal and substitute Regulation 4 of the Principal Regulations which set out the exclusion of certain children as </w:t>
      </w:r>
      <w:r>
        <w:rPr>
          <w:rFonts w:ascii="Times New Roman" w:hAnsi="Times New Roman"/>
          <w:i/>
        </w:rPr>
        <w:t xml:space="preserve">eligible children </w:t>
      </w:r>
      <w:r>
        <w:rPr>
          <w:rFonts w:ascii="Times New Roman" w:hAnsi="Times New Roman"/>
        </w:rPr>
        <w:t xml:space="preserve">under </w:t>
      </w:r>
      <w:r w:rsidRPr="0066393F">
        <w:rPr>
          <w:rFonts w:ascii="Times New Roman" w:hAnsi="Times New Roman"/>
        </w:rPr>
        <w:t xml:space="preserve">the Act. </w:t>
      </w:r>
      <w:r>
        <w:rPr>
          <w:rFonts w:ascii="Times New Roman" w:hAnsi="Times New Roman"/>
        </w:rPr>
        <w:br/>
      </w:r>
      <w:r>
        <w:rPr>
          <w:rFonts w:ascii="Times New Roman" w:hAnsi="Times New Roman"/>
        </w:rPr>
        <w:br/>
      </w:r>
      <w:r w:rsidRPr="0066393F">
        <w:rPr>
          <w:rFonts w:ascii="Times New Roman" w:hAnsi="Times New Roman"/>
        </w:rPr>
        <w:t xml:space="preserve">Amendments to extend the operation of the child support legislation to Norfolk Island, Christmas Island and Cocos (Keeling) Islands from 1 July 2016, as made by the </w:t>
      </w:r>
      <w:r w:rsidRPr="0066393F">
        <w:rPr>
          <w:rFonts w:ascii="Times New Roman" w:hAnsi="Times New Roman"/>
          <w:i/>
        </w:rPr>
        <w:t>Norfolk Island Legislation Amendment Act 2015</w:t>
      </w:r>
      <w:r w:rsidRPr="0066393F">
        <w:rPr>
          <w:rFonts w:ascii="Times New Roman" w:hAnsi="Times New Roman"/>
        </w:rPr>
        <w:t xml:space="preserve"> and the </w:t>
      </w:r>
      <w:r w:rsidRPr="0066393F">
        <w:rPr>
          <w:rFonts w:ascii="Times New Roman" w:hAnsi="Times New Roman"/>
          <w:i/>
        </w:rPr>
        <w:t>Territories Legislation Amendment Act</w:t>
      </w:r>
      <w:r w:rsidR="00070DB2">
        <w:rPr>
          <w:rFonts w:ascii="Times New Roman" w:hAnsi="Times New Roman"/>
          <w:i/>
        </w:rPr>
        <w:t> </w:t>
      </w:r>
      <w:r w:rsidRPr="0066393F">
        <w:rPr>
          <w:rFonts w:ascii="Times New Roman" w:hAnsi="Times New Roman"/>
          <w:i/>
        </w:rPr>
        <w:t>2016</w:t>
      </w:r>
      <w:r w:rsidRPr="0066393F">
        <w:rPr>
          <w:rFonts w:ascii="Times New Roman" w:hAnsi="Times New Roman"/>
        </w:rPr>
        <w:t>, have prompted the removal of these territories from the Principal Regulation</w:t>
      </w:r>
      <w:r>
        <w:rPr>
          <w:rFonts w:ascii="Times New Roman" w:hAnsi="Times New Roman"/>
        </w:rPr>
        <w:t>s</w:t>
      </w:r>
      <w:r w:rsidRPr="0066393F">
        <w:rPr>
          <w:rFonts w:ascii="Times New Roman" w:hAnsi="Times New Roman"/>
        </w:rPr>
        <w:t xml:space="preserve"> to ensure consistency between the child support legislation and the child support regulations. </w:t>
      </w:r>
      <w:r>
        <w:rPr>
          <w:rFonts w:ascii="Times New Roman" w:hAnsi="Times New Roman"/>
        </w:rPr>
        <w:br/>
      </w:r>
      <w:r>
        <w:rPr>
          <w:rFonts w:ascii="Times New Roman" w:hAnsi="Times New Roman"/>
        </w:rPr>
        <w:br/>
      </w:r>
      <w:r w:rsidRPr="0066393F">
        <w:rPr>
          <w:rFonts w:ascii="Times New Roman" w:hAnsi="Times New Roman"/>
        </w:rPr>
        <w:t xml:space="preserve">The </w:t>
      </w:r>
      <w:r w:rsidRPr="0066393F">
        <w:rPr>
          <w:rFonts w:ascii="Times New Roman" w:hAnsi="Times New Roman"/>
          <w:i/>
        </w:rPr>
        <w:t xml:space="preserve">Child Support (Assessment) Amendment (Territories) Regulation 2016 </w:t>
      </w:r>
      <w:r w:rsidRPr="0066393F">
        <w:rPr>
          <w:rFonts w:ascii="Times New Roman" w:hAnsi="Times New Roman"/>
        </w:rPr>
        <w:t xml:space="preserve">(the Regulation) would repeal existing </w:t>
      </w:r>
      <w:r w:rsidR="00DC2385">
        <w:rPr>
          <w:rFonts w:ascii="Times New Roman" w:hAnsi="Times New Roman"/>
        </w:rPr>
        <w:t>R</w:t>
      </w:r>
      <w:r w:rsidRPr="0066393F">
        <w:rPr>
          <w:rFonts w:ascii="Times New Roman" w:hAnsi="Times New Roman"/>
        </w:rPr>
        <w:t xml:space="preserve">egulation 4 of the Principal Regulations and substitute a new Regulation 4 to remove references to Norfolk Island, Christmas Island and Cocos (Keeling) Islands to reflect </w:t>
      </w:r>
      <w:r w:rsidR="00CA2960" w:rsidRPr="00CA2960">
        <w:rPr>
          <w:rFonts w:ascii="Times New Roman" w:hAnsi="Times New Roman"/>
        </w:rPr>
        <w:t xml:space="preserve">the inclusion of a resident of these external territories in the meaning of </w:t>
      </w:r>
      <w:r w:rsidR="00CA2960" w:rsidRPr="00CA2960">
        <w:rPr>
          <w:rFonts w:ascii="Times New Roman" w:hAnsi="Times New Roman"/>
          <w:i/>
        </w:rPr>
        <w:t>resident of Australia</w:t>
      </w:r>
      <w:r w:rsidR="00CA2960" w:rsidRPr="00CA2960">
        <w:rPr>
          <w:rFonts w:ascii="Times New Roman" w:hAnsi="Times New Roman"/>
        </w:rPr>
        <w:t xml:space="preserve"> in the Act</w:t>
      </w:r>
      <w:r w:rsidRPr="0066393F">
        <w:rPr>
          <w:rFonts w:ascii="Times New Roman" w:hAnsi="Times New Roman"/>
        </w:rPr>
        <w:t xml:space="preserve"> from 1 July 2016. </w:t>
      </w:r>
    </w:p>
    <w:p w:rsidR="0066393F" w:rsidRPr="0066393F" w:rsidRDefault="00CA2960" w:rsidP="00A105D5">
      <w:pPr>
        <w:spacing w:before="0" w:after="0"/>
        <w:ind w:right="369"/>
        <w:rPr>
          <w:rFonts w:ascii="Times New Roman" w:hAnsi="Times New Roman"/>
        </w:rPr>
      </w:pPr>
      <w:r>
        <w:rPr>
          <w:rFonts w:ascii="Times New Roman" w:hAnsi="Times New Roman"/>
        </w:rPr>
        <w:br w:type="page"/>
      </w:r>
      <w:r w:rsidR="0066393F" w:rsidRPr="0066393F">
        <w:rPr>
          <w:rFonts w:ascii="Times New Roman" w:hAnsi="Times New Roman"/>
        </w:rPr>
        <w:lastRenderedPageBreak/>
        <w:t xml:space="preserve">This would ensure that a person who is caring for a child in these territories under a child welfare law would be able to make an application for child support under the Act because the child would fall within the meaning of an </w:t>
      </w:r>
      <w:r w:rsidR="0066393F" w:rsidRPr="00A105D5">
        <w:rPr>
          <w:rFonts w:ascii="Times New Roman" w:hAnsi="Times New Roman"/>
        </w:rPr>
        <w:t>eligible child</w:t>
      </w:r>
      <w:r w:rsidR="0066393F" w:rsidRPr="0066393F">
        <w:rPr>
          <w:rFonts w:ascii="Times New Roman" w:hAnsi="Times New Roman"/>
        </w:rPr>
        <w:t>. An application by a non-parent carer of a child would be subject to the limitation in s</w:t>
      </w:r>
      <w:r w:rsidR="00F144B0">
        <w:rPr>
          <w:rFonts w:ascii="Times New Roman" w:hAnsi="Times New Roman"/>
        </w:rPr>
        <w:t xml:space="preserve">ection </w:t>
      </w:r>
      <w:proofErr w:type="spellStart"/>
      <w:r w:rsidR="0066393F" w:rsidRPr="0066393F">
        <w:rPr>
          <w:rFonts w:ascii="Times New Roman" w:hAnsi="Times New Roman"/>
        </w:rPr>
        <w:t>26A</w:t>
      </w:r>
      <w:proofErr w:type="spellEnd"/>
      <w:r w:rsidR="0066393F" w:rsidRPr="0066393F">
        <w:rPr>
          <w:rFonts w:ascii="Times New Roman" w:hAnsi="Times New Roman"/>
        </w:rPr>
        <w:t xml:space="preserve"> of the Act. This limitation provides that the non-parent carer may apply for child support for the child only if the non-parent carer is a relative of the child. </w:t>
      </w:r>
    </w:p>
    <w:p w:rsidR="007C00E0" w:rsidRDefault="007C00E0" w:rsidP="00CA2960">
      <w:pPr>
        <w:spacing w:before="0" w:after="0"/>
        <w:ind w:right="369"/>
        <w:rPr>
          <w:rFonts w:ascii="Times New Roman" w:hAnsi="Times New Roman"/>
        </w:rPr>
      </w:pPr>
    </w:p>
    <w:p w:rsidR="007C00E0" w:rsidRDefault="007C00E0" w:rsidP="00215F21">
      <w:pPr>
        <w:spacing w:before="0" w:after="0"/>
        <w:ind w:right="369"/>
        <w:rPr>
          <w:rFonts w:ascii="Times New Roman" w:hAnsi="Times New Roman"/>
        </w:rPr>
      </w:pPr>
      <w:r w:rsidRPr="00C62758">
        <w:rPr>
          <w:rFonts w:ascii="Times New Roman" w:hAnsi="Times New Roman"/>
        </w:rPr>
        <w:t xml:space="preserve">The Regulation </w:t>
      </w:r>
      <w:r>
        <w:rPr>
          <w:rFonts w:ascii="Times New Roman" w:hAnsi="Times New Roman"/>
        </w:rPr>
        <w:t>is</w:t>
      </w:r>
      <w:r w:rsidRPr="00C62758">
        <w:rPr>
          <w:rFonts w:ascii="Times New Roman" w:hAnsi="Times New Roman"/>
        </w:rPr>
        <w:t xml:space="preserve"> a legislative instrument for the purposes of the </w:t>
      </w:r>
      <w:r w:rsidRPr="00C62758">
        <w:rPr>
          <w:rFonts w:ascii="Times New Roman" w:hAnsi="Times New Roman"/>
          <w:i/>
          <w:iCs/>
        </w:rPr>
        <w:t>Legislati</w:t>
      </w:r>
      <w:r w:rsidR="00650A68">
        <w:rPr>
          <w:rFonts w:ascii="Times New Roman" w:hAnsi="Times New Roman"/>
          <w:i/>
          <w:iCs/>
        </w:rPr>
        <w:t xml:space="preserve">on Act </w:t>
      </w:r>
      <w:r w:rsidRPr="00C62758">
        <w:rPr>
          <w:rFonts w:ascii="Times New Roman" w:hAnsi="Times New Roman"/>
          <w:i/>
          <w:iCs/>
        </w:rPr>
        <w:t>2003</w:t>
      </w:r>
      <w:r>
        <w:rPr>
          <w:rFonts w:ascii="Times New Roman" w:hAnsi="Times New Roman"/>
          <w:iCs/>
        </w:rPr>
        <w:t xml:space="preserve"> (the </w:t>
      </w:r>
      <w:r w:rsidR="00650A68">
        <w:rPr>
          <w:rFonts w:ascii="Times New Roman" w:hAnsi="Times New Roman"/>
          <w:iCs/>
        </w:rPr>
        <w:t xml:space="preserve">Legislation </w:t>
      </w:r>
      <w:r>
        <w:rPr>
          <w:rFonts w:ascii="Times New Roman" w:hAnsi="Times New Roman"/>
          <w:iCs/>
        </w:rPr>
        <w:t>Act)</w:t>
      </w:r>
      <w:r w:rsidRPr="00C62758">
        <w:rPr>
          <w:rFonts w:ascii="Times New Roman" w:hAnsi="Times New Roman"/>
        </w:rPr>
        <w:t>.</w:t>
      </w:r>
      <w:r>
        <w:rPr>
          <w:rFonts w:ascii="Times New Roman" w:hAnsi="Times New Roman"/>
        </w:rPr>
        <w:t xml:space="preserve">  </w:t>
      </w:r>
    </w:p>
    <w:p w:rsidR="0066393F" w:rsidRDefault="0066393F" w:rsidP="00215F21">
      <w:pPr>
        <w:spacing w:before="0" w:after="0"/>
        <w:ind w:right="369"/>
        <w:rPr>
          <w:rFonts w:ascii="Times New Roman" w:hAnsi="Times New Roman"/>
        </w:rPr>
      </w:pPr>
    </w:p>
    <w:p w:rsidR="000A6289" w:rsidRDefault="000A6289" w:rsidP="003D0250">
      <w:pPr>
        <w:spacing w:before="0" w:after="0"/>
        <w:ind w:right="371"/>
        <w:rPr>
          <w:rFonts w:ascii="Times New Roman" w:hAnsi="Times New Roman"/>
          <w:b/>
        </w:rPr>
      </w:pPr>
      <w:r>
        <w:rPr>
          <w:rFonts w:ascii="Times New Roman" w:hAnsi="Times New Roman"/>
          <w:b/>
        </w:rPr>
        <w:t xml:space="preserve">Commencement </w:t>
      </w:r>
    </w:p>
    <w:p w:rsidR="000A6289" w:rsidRPr="0066393F" w:rsidRDefault="0066393F" w:rsidP="0066393F">
      <w:pPr>
        <w:spacing w:before="0" w:after="0"/>
        <w:ind w:right="369"/>
        <w:rPr>
          <w:rFonts w:ascii="Times New Roman" w:hAnsi="Times New Roman"/>
        </w:rPr>
      </w:pPr>
      <w:r>
        <w:rPr>
          <w:rFonts w:ascii="Times New Roman" w:hAnsi="Times New Roman"/>
        </w:rPr>
        <w:t xml:space="preserve">The Regulation would commence on 1 July 2016. </w:t>
      </w:r>
      <w:r>
        <w:rPr>
          <w:rFonts w:ascii="Times New Roman" w:hAnsi="Times New Roman"/>
        </w:rPr>
        <w:br/>
      </w:r>
    </w:p>
    <w:p w:rsidR="005A038C" w:rsidRPr="00CA2960" w:rsidRDefault="003D0250" w:rsidP="00675034">
      <w:pPr>
        <w:spacing w:before="0" w:after="0"/>
        <w:ind w:right="371"/>
        <w:rPr>
          <w:rFonts w:ascii="Times New Roman" w:hAnsi="Times New Roman"/>
        </w:rPr>
      </w:pPr>
      <w:r w:rsidRPr="00CA2960">
        <w:rPr>
          <w:rFonts w:ascii="Times New Roman" w:hAnsi="Times New Roman"/>
          <w:b/>
        </w:rPr>
        <w:t>Consultation</w:t>
      </w:r>
    </w:p>
    <w:p w:rsidR="004B6F97" w:rsidRPr="009D4018" w:rsidRDefault="005D244F" w:rsidP="00675034">
      <w:pPr>
        <w:spacing w:before="0" w:after="0"/>
        <w:ind w:right="371"/>
        <w:rPr>
          <w:rFonts w:ascii="Times New Roman" w:hAnsi="Times New Roman"/>
          <w:color w:val="000000"/>
          <w:highlight w:val="yellow"/>
        </w:rPr>
      </w:pPr>
      <w:r w:rsidRPr="009D4018">
        <w:rPr>
          <w:rFonts w:ascii="Times New Roman" w:hAnsi="Times New Roman"/>
          <w:bCs/>
          <w:color w:val="000000"/>
          <w:lang w:val="en-US"/>
        </w:rPr>
        <w:t>The Department of Social Services has consulted with the Department of Human Services on this proposed amendment.</w:t>
      </w:r>
      <w:r w:rsidRPr="009D4018">
        <w:rPr>
          <w:rFonts w:ascii="Times New Roman" w:hAnsi="Times New Roman"/>
          <w:bCs/>
          <w:color w:val="000000"/>
          <w:highlight w:val="yellow"/>
          <w:lang w:val="en-US"/>
        </w:rPr>
        <w:t xml:space="preserve"> </w:t>
      </w:r>
    </w:p>
    <w:p w:rsidR="002306C2" w:rsidRPr="0066393F" w:rsidRDefault="002306C2" w:rsidP="00364F41">
      <w:pPr>
        <w:spacing w:before="0" w:after="0"/>
        <w:ind w:right="374"/>
        <w:rPr>
          <w:rFonts w:ascii="Times New Roman" w:hAnsi="Times New Roman"/>
          <w:highlight w:val="yellow"/>
        </w:rPr>
      </w:pPr>
    </w:p>
    <w:p w:rsidR="008B0E44" w:rsidRPr="00CA2960" w:rsidRDefault="008B0E44" w:rsidP="008B0E44">
      <w:pPr>
        <w:spacing w:before="0" w:after="0"/>
        <w:ind w:right="371"/>
        <w:rPr>
          <w:rFonts w:ascii="Times New Roman" w:hAnsi="Times New Roman"/>
          <w:b/>
        </w:rPr>
      </w:pPr>
      <w:r w:rsidRPr="00CA2960">
        <w:rPr>
          <w:rFonts w:ascii="Times New Roman" w:hAnsi="Times New Roman"/>
          <w:b/>
        </w:rPr>
        <w:t>Regulatory Impact Analysis</w:t>
      </w:r>
    </w:p>
    <w:p w:rsidR="00B2535B" w:rsidRPr="009D4018" w:rsidRDefault="00CA2960" w:rsidP="00B2535B">
      <w:pPr>
        <w:spacing w:after="0"/>
        <w:rPr>
          <w:rFonts w:ascii="Times New Roman" w:hAnsi="Times New Roman"/>
          <w:color w:val="000000"/>
        </w:rPr>
      </w:pPr>
      <w:r w:rsidRPr="009D4018">
        <w:rPr>
          <w:rFonts w:ascii="Times New Roman" w:hAnsi="Times New Roman"/>
          <w:bCs/>
          <w:color w:val="000000"/>
        </w:rPr>
        <w:t>A Regulatory Impact Statement is not required as the Regulation does not impose any new obligations on an individual or business.</w:t>
      </w:r>
      <w:r w:rsidR="005F4C31" w:rsidRPr="009D4018">
        <w:rPr>
          <w:rFonts w:ascii="Times New Roman" w:hAnsi="Times New Roman"/>
          <w:bCs/>
          <w:color w:val="000000"/>
        </w:rPr>
        <w:t xml:space="preserve"> </w:t>
      </w:r>
    </w:p>
    <w:p w:rsidR="00480154" w:rsidRDefault="00480154" w:rsidP="00CB61C5">
      <w:pPr>
        <w:spacing w:before="0" w:after="0"/>
        <w:ind w:right="371"/>
        <w:rPr>
          <w:rFonts w:ascii="Times New Roman" w:hAnsi="Times New Roman"/>
        </w:rPr>
      </w:pPr>
    </w:p>
    <w:p w:rsidR="000A6289" w:rsidRPr="0066393F" w:rsidRDefault="000A6289" w:rsidP="00CB61C5">
      <w:pPr>
        <w:spacing w:before="0" w:after="0"/>
        <w:ind w:right="371"/>
        <w:rPr>
          <w:rFonts w:ascii="Times New Roman" w:hAnsi="Times New Roman"/>
          <w:b/>
        </w:rPr>
      </w:pPr>
      <w:r w:rsidRPr="0066393F">
        <w:rPr>
          <w:rFonts w:ascii="Times New Roman" w:hAnsi="Times New Roman"/>
          <w:b/>
        </w:rPr>
        <w:t xml:space="preserve">Explanation of the provisions </w:t>
      </w:r>
    </w:p>
    <w:p w:rsidR="000A6289" w:rsidRPr="0066393F" w:rsidRDefault="000A6289" w:rsidP="00CB61C5">
      <w:pPr>
        <w:spacing w:before="0" w:after="0"/>
        <w:ind w:right="371"/>
        <w:rPr>
          <w:rFonts w:ascii="Times New Roman" w:hAnsi="Times New Roman"/>
          <w:b/>
          <w:highlight w:val="yellow"/>
        </w:rPr>
      </w:pPr>
    </w:p>
    <w:p w:rsidR="0066393F" w:rsidRPr="00800DB3" w:rsidRDefault="0066393F" w:rsidP="0066393F">
      <w:pPr>
        <w:spacing w:before="0"/>
        <w:ind w:right="91"/>
        <w:rPr>
          <w:rFonts w:ascii="Times New Roman" w:hAnsi="Times New Roman"/>
        </w:rPr>
      </w:pPr>
      <w:r w:rsidRPr="0066393F">
        <w:rPr>
          <w:rFonts w:ascii="Times New Roman" w:hAnsi="Times New Roman"/>
          <w:u w:val="single"/>
        </w:rPr>
        <w:t xml:space="preserve">Section 1 – Name of Regulation </w:t>
      </w:r>
      <w:r>
        <w:rPr>
          <w:rFonts w:ascii="Times New Roman" w:hAnsi="Times New Roman"/>
          <w:u w:val="single"/>
        </w:rPr>
        <w:br/>
      </w:r>
      <w:r>
        <w:rPr>
          <w:rFonts w:ascii="Times New Roman" w:hAnsi="Times New Roman"/>
          <w:u w:val="single"/>
        </w:rPr>
        <w:br/>
      </w:r>
      <w:r w:rsidR="00262CFD">
        <w:rPr>
          <w:rFonts w:ascii="Times New Roman" w:hAnsi="Times New Roman"/>
        </w:rPr>
        <w:t xml:space="preserve">This section </w:t>
      </w:r>
      <w:r w:rsidRPr="0066393F">
        <w:rPr>
          <w:rFonts w:ascii="Times New Roman" w:hAnsi="Times New Roman"/>
        </w:rPr>
        <w:t>provide</w:t>
      </w:r>
      <w:r w:rsidR="00262CFD">
        <w:rPr>
          <w:rFonts w:ascii="Times New Roman" w:hAnsi="Times New Roman"/>
        </w:rPr>
        <w:t>s</w:t>
      </w:r>
      <w:r w:rsidRPr="0066393F">
        <w:rPr>
          <w:rFonts w:ascii="Times New Roman" w:hAnsi="Times New Roman"/>
        </w:rPr>
        <w:t xml:space="preserve"> that the title of the Regulation is the </w:t>
      </w:r>
      <w:r w:rsidRPr="0066393F">
        <w:rPr>
          <w:rFonts w:ascii="Times New Roman" w:hAnsi="Times New Roman"/>
          <w:i/>
        </w:rPr>
        <w:t>Child Support (Assessment) Amendment (Territories) Regulation 2016</w:t>
      </w:r>
      <w:r w:rsidRPr="0066393F">
        <w:rPr>
          <w:rFonts w:ascii="Times New Roman" w:hAnsi="Times New Roman"/>
        </w:rPr>
        <w:t xml:space="preserve">. </w:t>
      </w:r>
      <w:r>
        <w:rPr>
          <w:rFonts w:ascii="Times New Roman" w:hAnsi="Times New Roman"/>
          <w:u w:val="single"/>
        </w:rPr>
        <w:br/>
      </w:r>
      <w:r>
        <w:rPr>
          <w:rFonts w:ascii="Times New Roman" w:hAnsi="Times New Roman"/>
          <w:u w:val="single"/>
        </w:rPr>
        <w:br/>
      </w:r>
      <w:r w:rsidRPr="0066393F">
        <w:rPr>
          <w:rFonts w:ascii="Times New Roman" w:hAnsi="Times New Roman"/>
          <w:u w:val="single"/>
        </w:rPr>
        <w:t xml:space="preserve">Section 2 – Commencement </w:t>
      </w:r>
      <w:r>
        <w:rPr>
          <w:rFonts w:ascii="Times New Roman" w:hAnsi="Times New Roman"/>
          <w:u w:val="single"/>
        </w:rPr>
        <w:br/>
      </w:r>
      <w:r w:rsidR="00800DB3">
        <w:rPr>
          <w:rFonts w:ascii="Times New Roman" w:hAnsi="Times New Roman"/>
        </w:rPr>
        <w:br/>
      </w:r>
      <w:r w:rsidRPr="0066393F">
        <w:rPr>
          <w:rFonts w:ascii="Times New Roman" w:hAnsi="Times New Roman"/>
        </w:rPr>
        <w:t>This section provide</w:t>
      </w:r>
      <w:r w:rsidR="00262CFD">
        <w:rPr>
          <w:rFonts w:ascii="Times New Roman" w:hAnsi="Times New Roman"/>
        </w:rPr>
        <w:t>s</w:t>
      </w:r>
      <w:r w:rsidRPr="0066393F">
        <w:rPr>
          <w:rFonts w:ascii="Times New Roman" w:hAnsi="Times New Roman"/>
        </w:rPr>
        <w:t xml:space="preserve"> for the whole of the Regulation to commence on 1 July 2016.</w:t>
      </w:r>
      <w:r>
        <w:rPr>
          <w:rFonts w:ascii="Times New Roman" w:hAnsi="Times New Roman"/>
          <w:u w:val="single"/>
        </w:rPr>
        <w:br/>
      </w:r>
      <w:r>
        <w:rPr>
          <w:rFonts w:ascii="Times New Roman" w:hAnsi="Times New Roman"/>
          <w:u w:val="single"/>
        </w:rPr>
        <w:br/>
      </w:r>
      <w:r w:rsidRPr="0066393F">
        <w:rPr>
          <w:rFonts w:ascii="Times New Roman" w:hAnsi="Times New Roman"/>
          <w:u w:val="single"/>
        </w:rPr>
        <w:t xml:space="preserve">Section 3 – Authority </w:t>
      </w:r>
      <w:r>
        <w:rPr>
          <w:rFonts w:ascii="Times New Roman" w:hAnsi="Times New Roman"/>
          <w:u w:val="single"/>
        </w:rPr>
        <w:br/>
      </w:r>
      <w:r>
        <w:rPr>
          <w:rFonts w:ascii="Times New Roman" w:hAnsi="Times New Roman"/>
          <w:u w:val="single"/>
        </w:rPr>
        <w:br/>
      </w:r>
      <w:r w:rsidRPr="0066393F">
        <w:rPr>
          <w:rFonts w:ascii="Times New Roman" w:hAnsi="Times New Roman"/>
        </w:rPr>
        <w:t>This section provide</w:t>
      </w:r>
      <w:r w:rsidR="00262CFD">
        <w:rPr>
          <w:rFonts w:ascii="Times New Roman" w:hAnsi="Times New Roman"/>
        </w:rPr>
        <w:t>s</w:t>
      </w:r>
      <w:r w:rsidRPr="0066393F">
        <w:rPr>
          <w:rFonts w:ascii="Times New Roman" w:hAnsi="Times New Roman"/>
        </w:rPr>
        <w:t xml:space="preserve"> that the </w:t>
      </w:r>
      <w:r w:rsidRPr="0066393F">
        <w:rPr>
          <w:rFonts w:ascii="Times New Roman" w:hAnsi="Times New Roman"/>
          <w:i/>
        </w:rPr>
        <w:t>Child Support (Assessment) Amendment (Territories) Regulation 2016</w:t>
      </w:r>
      <w:r w:rsidRPr="0066393F">
        <w:rPr>
          <w:rFonts w:ascii="Times New Roman" w:hAnsi="Times New Roman"/>
        </w:rPr>
        <w:t xml:space="preserve"> is made under the </w:t>
      </w:r>
      <w:r w:rsidRPr="0066393F">
        <w:rPr>
          <w:rFonts w:ascii="Times New Roman" w:hAnsi="Times New Roman"/>
          <w:i/>
        </w:rPr>
        <w:t>Child Support (Assessment) Act 1989</w:t>
      </w:r>
      <w:r w:rsidRPr="0066393F">
        <w:rPr>
          <w:rFonts w:ascii="Times New Roman" w:hAnsi="Times New Roman"/>
        </w:rPr>
        <w:t xml:space="preserve">. </w:t>
      </w:r>
      <w:r>
        <w:rPr>
          <w:rFonts w:ascii="Times New Roman" w:hAnsi="Times New Roman"/>
          <w:u w:val="single"/>
        </w:rPr>
        <w:br/>
      </w:r>
      <w:r>
        <w:rPr>
          <w:rFonts w:ascii="Times New Roman" w:hAnsi="Times New Roman"/>
          <w:u w:val="single"/>
        </w:rPr>
        <w:br/>
      </w:r>
      <w:r w:rsidRPr="0066393F">
        <w:rPr>
          <w:rFonts w:ascii="Times New Roman" w:hAnsi="Times New Roman"/>
          <w:u w:val="single"/>
        </w:rPr>
        <w:t>Section 4 – Schedule(s</w:t>
      </w:r>
      <w:proofErr w:type="gramStart"/>
      <w:r w:rsidRPr="0066393F">
        <w:rPr>
          <w:rFonts w:ascii="Times New Roman" w:hAnsi="Times New Roman"/>
          <w:u w:val="single"/>
        </w:rPr>
        <w:t>)</w:t>
      </w:r>
      <w:proofErr w:type="gramEnd"/>
      <w:r>
        <w:rPr>
          <w:rFonts w:ascii="Times New Roman" w:hAnsi="Times New Roman"/>
          <w:u w:val="single"/>
        </w:rPr>
        <w:br/>
      </w:r>
      <w:r w:rsidR="00800DB3">
        <w:rPr>
          <w:rFonts w:ascii="Times New Roman" w:hAnsi="Times New Roman"/>
        </w:rPr>
        <w:br/>
      </w:r>
      <w:r w:rsidRPr="0066393F">
        <w:rPr>
          <w:rFonts w:ascii="Times New Roman" w:hAnsi="Times New Roman"/>
        </w:rPr>
        <w:t>This section provide</w:t>
      </w:r>
      <w:r w:rsidR="00262CFD">
        <w:rPr>
          <w:rFonts w:ascii="Times New Roman" w:hAnsi="Times New Roman"/>
        </w:rPr>
        <w:t>s</w:t>
      </w:r>
      <w:r w:rsidRPr="0066393F">
        <w:rPr>
          <w:rFonts w:ascii="Times New Roman" w:hAnsi="Times New Roman"/>
        </w:rPr>
        <w:t xml:space="preserve"> that each instrument that is specified in a Schedule to this instrument is amended or repealed as set out in the applicable items in the Schedule concerned, and any other item in a Schedule to this instrument has effect according to its terms. </w:t>
      </w:r>
      <w:r>
        <w:rPr>
          <w:rFonts w:ascii="Times New Roman" w:hAnsi="Times New Roman"/>
          <w:u w:val="single"/>
        </w:rPr>
        <w:br/>
      </w:r>
      <w:r>
        <w:rPr>
          <w:rFonts w:ascii="Times New Roman" w:hAnsi="Times New Roman"/>
          <w:u w:val="single"/>
        </w:rPr>
        <w:br/>
      </w:r>
      <w:r w:rsidRPr="0066393F">
        <w:rPr>
          <w:rFonts w:ascii="Times New Roman" w:hAnsi="Times New Roman"/>
          <w:u w:val="single"/>
        </w:rPr>
        <w:t xml:space="preserve">Schedule 1 – Amendments </w:t>
      </w:r>
      <w:r>
        <w:rPr>
          <w:rFonts w:ascii="Times New Roman" w:hAnsi="Times New Roman"/>
          <w:u w:val="single"/>
        </w:rPr>
        <w:br/>
      </w:r>
      <w:r w:rsidR="00800DB3">
        <w:rPr>
          <w:rFonts w:ascii="Times New Roman" w:hAnsi="Times New Roman"/>
          <w:b/>
        </w:rPr>
        <w:br/>
      </w:r>
      <w:r w:rsidRPr="0066393F">
        <w:rPr>
          <w:rFonts w:ascii="Times New Roman" w:hAnsi="Times New Roman"/>
          <w:b/>
        </w:rPr>
        <w:t xml:space="preserve">Item [1] – new Regulation 4 to the </w:t>
      </w:r>
      <w:r w:rsidRPr="0066393F">
        <w:rPr>
          <w:rFonts w:ascii="Times New Roman" w:hAnsi="Times New Roman"/>
          <w:b/>
          <w:i/>
        </w:rPr>
        <w:t>Child Support (Assessment) Regulations 1989</w:t>
      </w:r>
      <w:r>
        <w:rPr>
          <w:rFonts w:ascii="Times New Roman" w:hAnsi="Times New Roman"/>
          <w:u w:val="single"/>
        </w:rPr>
        <w:br/>
      </w:r>
      <w:r>
        <w:rPr>
          <w:rFonts w:ascii="Times New Roman" w:hAnsi="Times New Roman"/>
          <w:u w:val="single"/>
        </w:rPr>
        <w:br/>
      </w:r>
      <w:r w:rsidRPr="0066393F">
        <w:rPr>
          <w:rFonts w:ascii="Times New Roman" w:hAnsi="Times New Roman"/>
        </w:rPr>
        <w:t xml:space="preserve">Item 1 </w:t>
      </w:r>
      <w:r w:rsidR="00262CFD">
        <w:rPr>
          <w:rFonts w:ascii="Times New Roman" w:hAnsi="Times New Roman"/>
        </w:rPr>
        <w:t>repeals</w:t>
      </w:r>
      <w:r w:rsidRPr="0066393F">
        <w:rPr>
          <w:rFonts w:ascii="Times New Roman" w:hAnsi="Times New Roman"/>
        </w:rPr>
        <w:t xml:space="preserve"> Regulation 4 to the </w:t>
      </w:r>
      <w:r w:rsidRPr="0066393F">
        <w:rPr>
          <w:rFonts w:ascii="Times New Roman" w:hAnsi="Times New Roman"/>
          <w:i/>
        </w:rPr>
        <w:t>Child Support (Assessment) Regulations 1989</w:t>
      </w:r>
      <w:r w:rsidRPr="0066393F">
        <w:rPr>
          <w:rFonts w:ascii="Times New Roman" w:hAnsi="Times New Roman"/>
        </w:rPr>
        <w:t xml:space="preserve"> and substitute</w:t>
      </w:r>
      <w:r w:rsidR="00262CFD">
        <w:rPr>
          <w:rFonts w:ascii="Times New Roman" w:hAnsi="Times New Roman"/>
        </w:rPr>
        <w:t>s</w:t>
      </w:r>
      <w:r w:rsidRPr="0066393F">
        <w:rPr>
          <w:rFonts w:ascii="Times New Roman" w:hAnsi="Times New Roman"/>
        </w:rPr>
        <w:t xml:space="preserve"> a new Regulation 4 – Exclusion of certain children, which states that for subsection 22(1) of the Act, a child is not an eligible child if he or she is in the custody of, or under the guardianship, care and control or supervision of, a person under a child welfare law of: (a) Western Australia; or (b) South Australia. </w:t>
      </w:r>
      <w:r>
        <w:rPr>
          <w:rFonts w:ascii="Times New Roman" w:hAnsi="Times New Roman"/>
          <w:u w:val="single"/>
        </w:rPr>
        <w:br/>
      </w:r>
      <w:r>
        <w:rPr>
          <w:rFonts w:ascii="Times New Roman" w:hAnsi="Times New Roman"/>
          <w:u w:val="single"/>
        </w:rPr>
        <w:br/>
      </w:r>
      <w:r w:rsidRPr="0066393F">
        <w:rPr>
          <w:rFonts w:ascii="Times New Roman" w:hAnsi="Times New Roman"/>
        </w:rPr>
        <w:lastRenderedPageBreak/>
        <w:t xml:space="preserve">This new Regulation 4 removes references to </w:t>
      </w:r>
      <w:r w:rsidR="00CA2960">
        <w:rPr>
          <w:rFonts w:ascii="Times New Roman" w:hAnsi="Times New Roman"/>
        </w:rPr>
        <w:t xml:space="preserve">a </w:t>
      </w:r>
      <w:r w:rsidRPr="0066393F">
        <w:rPr>
          <w:rFonts w:ascii="Times New Roman" w:hAnsi="Times New Roman"/>
        </w:rPr>
        <w:t xml:space="preserve">child welfare law in force in Norfolk Island or Christmas Island or Cocos (Keeling) Islands to reflect the changes made to extend </w:t>
      </w:r>
      <w:r w:rsidR="00CA2960">
        <w:rPr>
          <w:rFonts w:ascii="Times New Roman" w:hAnsi="Times New Roman"/>
        </w:rPr>
        <w:t xml:space="preserve">the operation of </w:t>
      </w:r>
      <w:r w:rsidRPr="0066393F">
        <w:rPr>
          <w:rFonts w:ascii="Times New Roman" w:hAnsi="Times New Roman"/>
        </w:rPr>
        <w:t xml:space="preserve">the child support legislation to these territories from 1 July 2016. </w:t>
      </w:r>
    </w:p>
    <w:p w:rsidR="00CB61C5" w:rsidRPr="00480154" w:rsidRDefault="00371C8E" w:rsidP="00CB61C5">
      <w:pPr>
        <w:spacing w:before="0" w:after="0"/>
        <w:ind w:right="371"/>
        <w:rPr>
          <w:rFonts w:ascii="Times New Roman" w:hAnsi="Times New Roman"/>
          <w:b/>
        </w:rPr>
      </w:pPr>
      <w:r w:rsidRPr="00480154">
        <w:rPr>
          <w:rFonts w:ascii="Times New Roman" w:hAnsi="Times New Roman"/>
          <w:b/>
        </w:rPr>
        <w:br w:type="page"/>
      </w:r>
    </w:p>
    <w:p w:rsidR="00B76254" w:rsidRDefault="00B76254" w:rsidP="00B76254">
      <w:pPr>
        <w:spacing w:before="0" w:after="0"/>
        <w:ind w:right="371"/>
        <w:jc w:val="center"/>
        <w:rPr>
          <w:rFonts w:ascii="Times New Roman" w:hAnsi="Times New Roman"/>
          <w:b/>
        </w:rPr>
      </w:pPr>
      <w:r w:rsidRPr="00B76254">
        <w:rPr>
          <w:rFonts w:ascii="Times New Roman" w:hAnsi="Times New Roman"/>
          <w:b/>
        </w:rPr>
        <w:t>Statement of Compatibility with Human Rights</w:t>
      </w:r>
    </w:p>
    <w:p w:rsidR="00B76254" w:rsidRPr="00B76254" w:rsidRDefault="00B76254" w:rsidP="00B76254">
      <w:pPr>
        <w:spacing w:before="0" w:after="0"/>
        <w:ind w:right="371"/>
        <w:rPr>
          <w:rFonts w:ascii="Times New Roman" w:hAnsi="Times New Roman"/>
          <w:b/>
        </w:rPr>
      </w:pPr>
    </w:p>
    <w:p w:rsidR="00C12E29" w:rsidRPr="00215F21" w:rsidRDefault="005F4C31" w:rsidP="00C12E29">
      <w:pPr>
        <w:pStyle w:val="Heading2"/>
        <w:keepNext w:val="0"/>
        <w:ind w:left="0"/>
        <w:rPr>
          <w:b/>
        </w:rPr>
      </w:pPr>
      <w:r>
        <w:rPr>
          <w:b/>
        </w:rPr>
        <w:t>Child Support (Assessment) Amendment (Territories) Regulation 2016</w:t>
      </w:r>
    </w:p>
    <w:p w:rsidR="00C12E29" w:rsidRDefault="00C12E29" w:rsidP="00B76254">
      <w:pPr>
        <w:spacing w:before="0" w:after="0"/>
        <w:ind w:right="371"/>
        <w:jc w:val="center"/>
        <w:rPr>
          <w:rFonts w:ascii="Times New Roman" w:hAnsi="Times New Roman"/>
          <w:b/>
          <w:i/>
        </w:rPr>
      </w:pPr>
    </w:p>
    <w:p w:rsidR="00B76254" w:rsidRPr="00B76254" w:rsidRDefault="00B76254" w:rsidP="00B76254">
      <w:pPr>
        <w:spacing w:before="0" w:after="0"/>
        <w:ind w:right="371"/>
        <w:jc w:val="center"/>
        <w:rPr>
          <w:rFonts w:ascii="Times New Roman" w:hAnsi="Times New Roman"/>
          <w:b/>
          <w:i/>
        </w:rPr>
      </w:pPr>
      <w:r w:rsidRPr="00B76254">
        <w:rPr>
          <w:rFonts w:ascii="Times New Roman" w:hAnsi="Times New Roman"/>
          <w:b/>
          <w:i/>
        </w:rPr>
        <w:t>Prepared in accordance with Part 3 of the Human Rights (Parliamentary Scrutiny) Act 2011</w:t>
      </w:r>
    </w:p>
    <w:p w:rsidR="00B76254" w:rsidRPr="00B76254" w:rsidRDefault="00B76254" w:rsidP="00B76254">
      <w:pPr>
        <w:spacing w:before="0" w:after="0"/>
        <w:ind w:right="371"/>
        <w:rPr>
          <w:rFonts w:ascii="Times New Roman" w:hAnsi="Times New Roman"/>
        </w:rPr>
      </w:pPr>
    </w:p>
    <w:p w:rsidR="00B76254" w:rsidRDefault="00B76254" w:rsidP="00B76254">
      <w:pPr>
        <w:spacing w:before="0" w:after="0"/>
        <w:ind w:right="371"/>
        <w:rPr>
          <w:rFonts w:ascii="Times New Roman" w:hAnsi="Times New Roman"/>
        </w:rPr>
      </w:pPr>
      <w:r w:rsidRPr="00B76254">
        <w:rPr>
          <w:rFonts w:ascii="Times New Roman" w:hAnsi="Times New Roman"/>
        </w:rPr>
        <w:t xml:space="preserve">This Legislative Instrument is compatible with the human rights and freedoms recognised or declared in the international instruments listed in section 3 of the </w:t>
      </w:r>
      <w:r w:rsidRPr="00215F21">
        <w:rPr>
          <w:rFonts w:ascii="Times New Roman" w:hAnsi="Times New Roman"/>
          <w:i/>
        </w:rPr>
        <w:t>Human</w:t>
      </w:r>
      <w:r w:rsidRPr="00B76254">
        <w:rPr>
          <w:rFonts w:ascii="Times New Roman" w:hAnsi="Times New Roman"/>
          <w:i/>
        </w:rPr>
        <w:t xml:space="preserve"> Rights (Parliamentary Scrutiny) Act 2011.</w:t>
      </w:r>
    </w:p>
    <w:p w:rsidR="00B76254" w:rsidRPr="00B76254" w:rsidRDefault="00B76254" w:rsidP="00B76254">
      <w:pPr>
        <w:spacing w:before="0" w:after="0"/>
        <w:ind w:right="371"/>
        <w:rPr>
          <w:rFonts w:ascii="Times New Roman" w:hAnsi="Times New Roman"/>
        </w:rPr>
      </w:pPr>
    </w:p>
    <w:p w:rsidR="00B76254" w:rsidRDefault="00B76254" w:rsidP="00B76254">
      <w:pPr>
        <w:spacing w:before="0" w:after="0"/>
        <w:ind w:right="371"/>
        <w:rPr>
          <w:rFonts w:ascii="Times New Roman" w:hAnsi="Times New Roman"/>
          <w:b/>
          <w:i/>
        </w:rPr>
      </w:pPr>
      <w:r w:rsidRPr="00B76254">
        <w:rPr>
          <w:rFonts w:ascii="Times New Roman" w:hAnsi="Times New Roman"/>
          <w:b/>
          <w:i/>
        </w:rPr>
        <w:t>Overview of the Legislative Instrument</w:t>
      </w:r>
    </w:p>
    <w:p w:rsidR="00BC7DC3" w:rsidRPr="008206B6" w:rsidRDefault="00BC7DC3" w:rsidP="00B76254">
      <w:pPr>
        <w:spacing w:before="0" w:after="0"/>
        <w:ind w:right="371"/>
        <w:rPr>
          <w:rFonts w:ascii="Times New Roman" w:hAnsi="Times New Roman"/>
        </w:rPr>
      </w:pPr>
    </w:p>
    <w:p w:rsidR="00672E27" w:rsidRPr="00672E27" w:rsidRDefault="00A105D5" w:rsidP="00A105D5">
      <w:pPr>
        <w:spacing w:before="0"/>
        <w:rPr>
          <w:rFonts w:ascii="Times New Roman" w:eastAsia="Calibri" w:hAnsi="Times New Roman"/>
          <w:lang w:eastAsia="en-US"/>
        </w:rPr>
      </w:pPr>
      <w:r>
        <w:rPr>
          <w:rFonts w:ascii="Times New Roman" w:eastAsia="Calibri" w:hAnsi="Times New Roman"/>
          <w:lang w:eastAsia="en-US"/>
        </w:rPr>
        <w:t xml:space="preserve">A resident of </w:t>
      </w:r>
      <w:r w:rsidR="00672E27" w:rsidRPr="00672E27">
        <w:rPr>
          <w:rFonts w:ascii="Times New Roman" w:eastAsia="Calibri" w:hAnsi="Times New Roman"/>
          <w:lang w:eastAsia="en-US"/>
        </w:rPr>
        <w:t xml:space="preserve">Norfolk Island, Christmas Island, and Cocos (Keeling) Islands </w:t>
      </w:r>
      <w:r>
        <w:rPr>
          <w:rFonts w:ascii="Times New Roman" w:eastAsia="Calibri" w:hAnsi="Times New Roman"/>
          <w:lang w:eastAsia="en-US"/>
        </w:rPr>
        <w:t xml:space="preserve">will be a </w:t>
      </w:r>
      <w:r w:rsidRPr="00A105D5">
        <w:rPr>
          <w:rFonts w:ascii="Times New Roman" w:eastAsia="Calibri" w:hAnsi="Times New Roman"/>
          <w:i/>
          <w:lang w:eastAsia="en-US"/>
        </w:rPr>
        <w:t>resident of Australia</w:t>
      </w:r>
      <w:r>
        <w:rPr>
          <w:rFonts w:ascii="Times New Roman" w:eastAsia="Calibri" w:hAnsi="Times New Roman"/>
          <w:lang w:eastAsia="en-US"/>
        </w:rPr>
        <w:t xml:space="preserve"> for child support purposes </w:t>
      </w:r>
      <w:r w:rsidR="00672E27" w:rsidRPr="00672E27">
        <w:rPr>
          <w:rFonts w:ascii="Times New Roman" w:eastAsia="Calibri" w:hAnsi="Times New Roman"/>
          <w:lang w:eastAsia="en-US"/>
        </w:rPr>
        <w:t xml:space="preserve">from 1 July 2016, </w:t>
      </w:r>
      <w:r>
        <w:rPr>
          <w:rFonts w:ascii="Times New Roman" w:eastAsia="Calibri" w:hAnsi="Times New Roman"/>
          <w:lang w:eastAsia="en-US"/>
        </w:rPr>
        <w:t>due to</w:t>
      </w:r>
      <w:r w:rsidR="00672E27" w:rsidRPr="00672E27">
        <w:rPr>
          <w:rFonts w:ascii="Times New Roman" w:eastAsia="Calibri" w:hAnsi="Times New Roman"/>
          <w:lang w:eastAsia="en-US"/>
        </w:rPr>
        <w:t xml:space="preserve"> amendments made to the </w:t>
      </w:r>
      <w:r w:rsidR="00672E27" w:rsidRPr="00672E27">
        <w:rPr>
          <w:rFonts w:ascii="Times New Roman" w:eastAsia="Calibri" w:hAnsi="Times New Roman"/>
          <w:i/>
          <w:lang w:eastAsia="en-US"/>
        </w:rPr>
        <w:t xml:space="preserve">Child Support (Assessment) Act 1989 </w:t>
      </w:r>
      <w:r w:rsidR="00672E27" w:rsidRPr="00672E27">
        <w:rPr>
          <w:rFonts w:ascii="Times New Roman" w:eastAsia="Calibri" w:hAnsi="Times New Roman"/>
          <w:lang w:eastAsia="en-US"/>
        </w:rPr>
        <w:t xml:space="preserve">(the CSA Act) and the </w:t>
      </w:r>
      <w:r w:rsidR="00672E27" w:rsidRPr="00672E27">
        <w:rPr>
          <w:rFonts w:ascii="Times New Roman" w:eastAsia="Calibri" w:hAnsi="Times New Roman"/>
          <w:i/>
          <w:lang w:eastAsia="en-US"/>
        </w:rPr>
        <w:t>Child Support (Registration and Collection) Act 1988</w:t>
      </w:r>
      <w:r w:rsidR="00672E27" w:rsidRPr="00672E27">
        <w:rPr>
          <w:rFonts w:ascii="Times New Roman" w:eastAsia="Calibri" w:hAnsi="Times New Roman"/>
          <w:lang w:eastAsia="en-US"/>
        </w:rPr>
        <w:t xml:space="preserve">.  The amendments to the child support legislation were made by the </w:t>
      </w:r>
      <w:r w:rsidR="00672E27" w:rsidRPr="00672E27">
        <w:rPr>
          <w:rFonts w:ascii="Times New Roman" w:eastAsia="Calibri" w:hAnsi="Times New Roman"/>
          <w:i/>
          <w:lang w:eastAsia="en-US"/>
        </w:rPr>
        <w:t>Norfolk Island Legislation Amendment Act 2015</w:t>
      </w:r>
      <w:r w:rsidR="00672E27" w:rsidRPr="00672E27">
        <w:rPr>
          <w:rFonts w:ascii="Times New Roman" w:eastAsia="Calibri" w:hAnsi="Times New Roman"/>
          <w:lang w:eastAsia="en-US"/>
        </w:rPr>
        <w:t xml:space="preserve"> and the </w:t>
      </w:r>
      <w:r w:rsidR="00672E27" w:rsidRPr="00672E27">
        <w:rPr>
          <w:rFonts w:ascii="Times New Roman" w:eastAsia="Calibri" w:hAnsi="Times New Roman"/>
          <w:i/>
          <w:lang w:eastAsia="en-US"/>
        </w:rPr>
        <w:t>Territories Legislation Amendment Act 2016</w:t>
      </w:r>
      <w:r w:rsidR="00672E27" w:rsidRPr="00672E27">
        <w:rPr>
          <w:rFonts w:ascii="Times New Roman" w:eastAsia="Calibri" w:hAnsi="Times New Roman"/>
          <w:lang w:eastAsia="en-US"/>
        </w:rPr>
        <w:t xml:space="preserve">.  The extension of </w:t>
      </w:r>
      <w:r>
        <w:rPr>
          <w:rFonts w:ascii="Times New Roman" w:eastAsia="Calibri" w:hAnsi="Times New Roman"/>
          <w:lang w:eastAsia="en-US"/>
        </w:rPr>
        <w:t xml:space="preserve">the operation of the </w:t>
      </w:r>
      <w:r w:rsidR="00672E27" w:rsidRPr="00672E27">
        <w:rPr>
          <w:rFonts w:ascii="Times New Roman" w:eastAsia="Calibri" w:hAnsi="Times New Roman"/>
          <w:lang w:eastAsia="en-US"/>
        </w:rPr>
        <w:t xml:space="preserve">child support </w:t>
      </w:r>
      <w:r>
        <w:rPr>
          <w:rFonts w:ascii="Times New Roman" w:eastAsia="Calibri" w:hAnsi="Times New Roman"/>
          <w:lang w:eastAsia="en-US"/>
        </w:rPr>
        <w:t xml:space="preserve">legislation </w:t>
      </w:r>
      <w:r w:rsidR="00672E27" w:rsidRPr="00672E27">
        <w:rPr>
          <w:rFonts w:ascii="Times New Roman" w:eastAsia="Calibri" w:hAnsi="Times New Roman"/>
          <w:lang w:eastAsia="en-US"/>
        </w:rPr>
        <w:t xml:space="preserve">to these external territories will align their residents with residents on mainland Australia.  </w:t>
      </w:r>
    </w:p>
    <w:p w:rsidR="00672E27" w:rsidRPr="00672E27" w:rsidRDefault="00A105D5" w:rsidP="00A105D5">
      <w:pPr>
        <w:rPr>
          <w:rFonts w:ascii="Times New Roman" w:eastAsia="Calibri" w:hAnsi="Times New Roman"/>
          <w:lang w:eastAsia="en-US"/>
        </w:rPr>
      </w:pPr>
      <w:r>
        <w:rPr>
          <w:rFonts w:ascii="Times New Roman" w:eastAsia="Calibri" w:hAnsi="Times New Roman"/>
          <w:lang w:eastAsia="en-US"/>
        </w:rPr>
        <w:t xml:space="preserve">Due to </w:t>
      </w:r>
      <w:r w:rsidR="00672E27" w:rsidRPr="00672E27">
        <w:rPr>
          <w:rFonts w:ascii="Times New Roman" w:eastAsia="Calibri" w:hAnsi="Times New Roman"/>
          <w:lang w:eastAsia="en-US"/>
        </w:rPr>
        <w:t xml:space="preserve">the extension of </w:t>
      </w:r>
      <w:r>
        <w:rPr>
          <w:rFonts w:ascii="Times New Roman" w:eastAsia="Calibri" w:hAnsi="Times New Roman"/>
          <w:lang w:eastAsia="en-US"/>
        </w:rPr>
        <w:t xml:space="preserve">the operation of the </w:t>
      </w:r>
      <w:r w:rsidR="00672E27" w:rsidRPr="00672E27">
        <w:rPr>
          <w:rFonts w:ascii="Times New Roman" w:eastAsia="Calibri" w:hAnsi="Times New Roman"/>
          <w:lang w:eastAsia="en-US"/>
        </w:rPr>
        <w:t xml:space="preserve">child support </w:t>
      </w:r>
      <w:r>
        <w:rPr>
          <w:rFonts w:ascii="Times New Roman" w:eastAsia="Calibri" w:hAnsi="Times New Roman"/>
          <w:lang w:eastAsia="en-US"/>
        </w:rPr>
        <w:t xml:space="preserve">legislation </w:t>
      </w:r>
      <w:r w:rsidR="00672E27" w:rsidRPr="00672E27">
        <w:rPr>
          <w:rFonts w:ascii="Times New Roman" w:eastAsia="Calibri" w:hAnsi="Times New Roman"/>
          <w:lang w:eastAsia="en-US"/>
        </w:rPr>
        <w:t xml:space="preserve">to Norfolk Island, Christmas Island, and Cocos (Keeling) Islands from 1 July 2016, these external territories </w:t>
      </w:r>
      <w:r>
        <w:rPr>
          <w:rFonts w:ascii="Times New Roman" w:eastAsia="Calibri" w:hAnsi="Times New Roman"/>
          <w:lang w:eastAsia="en-US"/>
        </w:rPr>
        <w:t xml:space="preserve">will be removed from </w:t>
      </w:r>
      <w:r w:rsidR="00C65213">
        <w:rPr>
          <w:rFonts w:ascii="Times New Roman" w:eastAsia="Calibri" w:hAnsi="Times New Roman"/>
          <w:lang w:eastAsia="en-US"/>
        </w:rPr>
        <w:t>R</w:t>
      </w:r>
      <w:r w:rsidR="00672E27" w:rsidRPr="00672E27">
        <w:rPr>
          <w:rFonts w:ascii="Times New Roman" w:eastAsia="Calibri" w:hAnsi="Times New Roman"/>
          <w:lang w:eastAsia="en-US"/>
        </w:rPr>
        <w:t xml:space="preserve">egulation 4 of the </w:t>
      </w:r>
      <w:r w:rsidR="00672E27" w:rsidRPr="00672E27">
        <w:rPr>
          <w:rFonts w:ascii="Times New Roman" w:eastAsia="Calibri" w:hAnsi="Times New Roman"/>
          <w:i/>
          <w:lang w:eastAsia="en-US"/>
        </w:rPr>
        <w:t xml:space="preserve">Child Support (Assessment) Regulations 1989 </w:t>
      </w:r>
      <w:r w:rsidR="00672E27" w:rsidRPr="00672E27">
        <w:rPr>
          <w:rFonts w:ascii="Times New Roman" w:eastAsia="Calibri" w:hAnsi="Times New Roman"/>
          <w:lang w:eastAsia="en-US"/>
        </w:rPr>
        <w:t xml:space="preserve">(the Regulations).  </w:t>
      </w:r>
    </w:p>
    <w:p w:rsidR="00672E27" w:rsidRPr="00672E27" w:rsidRDefault="00672E27" w:rsidP="00672E27">
      <w:pPr>
        <w:rPr>
          <w:rFonts w:ascii="Times New Roman" w:eastAsia="Calibri" w:hAnsi="Times New Roman"/>
          <w:lang w:eastAsia="en-US"/>
        </w:rPr>
      </w:pPr>
      <w:r w:rsidRPr="00672E27">
        <w:rPr>
          <w:rFonts w:ascii="Times New Roman" w:eastAsia="Calibri" w:hAnsi="Times New Roman"/>
          <w:lang w:eastAsia="en-US"/>
        </w:rPr>
        <w:t xml:space="preserve">Regulation 4 of the Regulations prescribes that certain children who are under the care of a person under a child welfare law who are resident in the prescribed State/Territories are not eligible children for the purposes of section 22 of the CSA Act.  </w:t>
      </w:r>
    </w:p>
    <w:p w:rsidR="00B76254" w:rsidRPr="009D4018" w:rsidRDefault="00672E27" w:rsidP="00B76254">
      <w:pPr>
        <w:spacing w:before="0" w:after="0"/>
        <w:ind w:right="371"/>
        <w:rPr>
          <w:rFonts w:ascii="Times New Roman" w:hAnsi="Times New Roman"/>
          <w:color w:val="000000"/>
        </w:rPr>
      </w:pPr>
      <w:r w:rsidRPr="00672E27">
        <w:rPr>
          <w:rFonts w:ascii="Times New Roman" w:eastAsia="Calibri" w:hAnsi="Times New Roman"/>
          <w:lang w:eastAsia="en-US"/>
        </w:rPr>
        <w:t xml:space="preserve">This Legislative Instrument makes an amendment to regulation 4 to remove the references to Norfolk Island, Christmas Island, and Cocos (Keeling) Islands, and will make children in these territories who are under the care of a person under a child welfare law an eligible child for the purposes of section 22 of the CSA Act.  </w:t>
      </w:r>
    </w:p>
    <w:p w:rsidR="005F4C31" w:rsidRPr="00B76254" w:rsidRDefault="005F4C31" w:rsidP="00B76254">
      <w:pPr>
        <w:spacing w:before="0" w:after="0"/>
        <w:ind w:right="371"/>
        <w:rPr>
          <w:rFonts w:ascii="Times New Roman" w:hAnsi="Times New Roman"/>
        </w:rPr>
      </w:pPr>
    </w:p>
    <w:p w:rsidR="00B76254" w:rsidRPr="00650A68" w:rsidRDefault="00B76254" w:rsidP="00B76254">
      <w:pPr>
        <w:spacing w:before="0" w:after="0"/>
        <w:ind w:right="371"/>
        <w:rPr>
          <w:rFonts w:ascii="Times New Roman" w:hAnsi="Times New Roman"/>
          <w:b/>
          <w:i/>
        </w:rPr>
      </w:pPr>
      <w:r w:rsidRPr="00B76254">
        <w:rPr>
          <w:rFonts w:ascii="Times New Roman" w:hAnsi="Times New Roman"/>
          <w:b/>
          <w:i/>
        </w:rPr>
        <w:t>Human rights implications</w:t>
      </w:r>
    </w:p>
    <w:p w:rsidR="00672E27" w:rsidRPr="00672E27" w:rsidRDefault="00672E27" w:rsidP="00672E27">
      <w:pPr>
        <w:rPr>
          <w:rFonts w:ascii="Times New Roman" w:eastAsia="Calibri" w:hAnsi="Times New Roman"/>
          <w:lang w:eastAsia="en-US"/>
        </w:rPr>
      </w:pPr>
      <w:r w:rsidRPr="00672E27">
        <w:rPr>
          <w:rFonts w:ascii="Times New Roman" w:eastAsia="Calibri" w:hAnsi="Times New Roman"/>
          <w:lang w:eastAsia="en-US"/>
        </w:rPr>
        <w:t>This Legislative Instrument engages the following rights:</w:t>
      </w:r>
    </w:p>
    <w:p w:rsidR="00672E27" w:rsidRPr="00672E27" w:rsidRDefault="00672E27" w:rsidP="00672E27">
      <w:pPr>
        <w:numPr>
          <w:ilvl w:val="0"/>
          <w:numId w:val="11"/>
        </w:numPr>
        <w:spacing w:before="0" w:after="0" w:line="276" w:lineRule="auto"/>
        <w:ind w:left="714" w:hanging="357"/>
        <w:rPr>
          <w:rFonts w:ascii="Times New Roman" w:eastAsia="Calibri" w:hAnsi="Times New Roman"/>
          <w:lang w:eastAsia="en-US"/>
        </w:rPr>
      </w:pPr>
      <w:r w:rsidRPr="00672E27">
        <w:rPr>
          <w:rFonts w:ascii="Times New Roman" w:eastAsia="Calibri" w:hAnsi="Times New Roman"/>
          <w:lang w:eastAsia="en-US"/>
        </w:rPr>
        <w:t xml:space="preserve">Article 27 of the </w:t>
      </w:r>
      <w:r w:rsidRPr="00672E27">
        <w:rPr>
          <w:rFonts w:ascii="Times New Roman" w:eastAsia="Calibri" w:hAnsi="Times New Roman"/>
          <w:i/>
          <w:lang w:eastAsia="en-US"/>
        </w:rPr>
        <w:t>Convention on the Rights of the Child</w:t>
      </w:r>
    </w:p>
    <w:p w:rsidR="00672E27" w:rsidRPr="00672E27" w:rsidRDefault="00672E27" w:rsidP="00672E27">
      <w:pPr>
        <w:rPr>
          <w:rFonts w:ascii="Times New Roman" w:eastAsia="Calibri" w:hAnsi="Times New Roman"/>
          <w:lang w:eastAsia="en-US"/>
        </w:rPr>
      </w:pPr>
      <w:r w:rsidRPr="00672E27">
        <w:rPr>
          <w:rFonts w:ascii="Times New Roman" w:eastAsia="Calibri" w:hAnsi="Times New Roman"/>
          <w:lang w:eastAsia="en-US"/>
        </w:rPr>
        <w:t>Th</w:t>
      </w:r>
      <w:r w:rsidR="00463C20">
        <w:rPr>
          <w:rFonts w:ascii="Times New Roman" w:eastAsia="Calibri" w:hAnsi="Times New Roman"/>
          <w:lang w:eastAsia="en-US"/>
        </w:rPr>
        <w:t>e</w:t>
      </w:r>
      <w:r w:rsidRPr="00672E27">
        <w:rPr>
          <w:rFonts w:ascii="Times New Roman" w:eastAsia="Calibri" w:hAnsi="Times New Roman"/>
          <w:lang w:eastAsia="en-US"/>
        </w:rPr>
        <w:t xml:space="preserve"> amendment engages the right of a child to a standard of living adequate for the child’s development.  </w:t>
      </w:r>
    </w:p>
    <w:p w:rsidR="00672E27" w:rsidRPr="00672E27" w:rsidRDefault="00672E27" w:rsidP="00672E27">
      <w:pPr>
        <w:rPr>
          <w:rFonts w:ascii="Times New Roman" w:eastAsia="Calibri" w:hAnsi="Times New Roman"/>
          <w:lang w:eastAsia="en-US"/>
        </w:rPr>
      </w:pPr>
      <w:r w:rsidRPr="00672E27">
        <w:rPr>
          <w:rFonts w:ascii="Times New Roman" w:eastAsia="Calibri" w:hAnsi="Times New Roman"/>
          <w:lang w:eastAsia="en-US"/>
        </w:rPr>
        <w:t xml:space="preserve">Article 27 of the </w:t>
      </w:r>
      <w:r w:rsidRPr="00672E27">
        <w:rPr>
          <w:rFonts w:ascii="Times New Roman" w:eastAsia="Calibri" w:hAnsi="Times New Roman"/>
          <w:i/>
          <w:lang w:eastAsia="en-US"/>
        </w:rPr>
        <w:t xml:space="preserve">Convention on the Rights of the Child </w:t>
      </w:r>
      <w:r w:rsidRPr="00672E27">
        <w:rPr>
          <w:rFonts w:ascii="Times New Roman" w:eastAsia="Calibri" w:hAnsi="Times New Roman"/>
          <w:lang w:eastAsia="en-US"/>
        </w:rPr>
        <w:t xml:space="preserve">recognises the right of a child to a standard of living adequate for the child’s physical, mental, spiritual, moral and social development.  The parent(s) or others responsible for the child have the primary responsibility to secure, within their abilities and financial capacities, the conditions of living necessary for the child’s development. Countries are required to take appropriate measures to assist parents and others responsible for the child to implement this right.  Countries are also required to take all appropriate measures to secure the recovery of maintenance for the child from the parents or other people having financial responsibility for the child.  </w:t>
      </w:r>
    </w:p>
    <w:p w:rsidR="00672E27" w:rsidRPr="00672E27" w:rsidRDefault="00672E27" w:rsidP="00672E27">
      <w:pPr>
        <w:rPr>
          <w:rFonts w:ascii="Times New Roman" w:eastAsia="Calibri" w:hAnsi="Times New Roman"/>
          <w:lang w:eastAsia="en-US"/>
        </w:rPr>
      </w:pPr>
      <w:r w:rsidRPr="00672E27">
        <w:rPr>
          <w:rFonts w:ascii="Times New Roman" w:eastAsia="Calibri" w:hAnsi="Times New Roman"/>
          <w:lang w:eastAsia="en-US"/>
        </w:rPr>
        <w:lastRenderedPageBreak/>
        <w:t>Th</w:t>
      </w:r>
      <w:r w:rsidR="00463C20">
        <w:rPr>
          <w:rFonts w:ascii="Times New Roman" w:eastAsia="Calibri" w:hAnsi="Times New Roman"/>
          <w:lang w:eastAsia="en-US"/>
        </w:rPr>
        <w:t>e</w:t>
      </w:r>
      <w:r w:rsidRPr="00672E27">
        <w:rPr>
          <w:rFonts w:ascii="Times New Roman" w:eastAsia="Calibri" w:hAnsi="Times New Roman"/>
          <w:lang w:eastAsia="en-US"/>
        </w:rPr>
        <w:t xml:space="preserve"> amendment is consistent with the right of the child to a standard of living adequate for the child’s development as it enables a child who is resident on Norfolk Island, Christmas Island, or Cocos (Keeling) Islands who is under the care of a person under a child welfare law to be an eligible child for the purposes of section 22 of the CSA Act.  This will enable a </w:t>
      </w:r>
      <w:proofErr w:type="spellStart"/>
      <w:r w:rsidRPr="00672E27">
        <w:rPr>
          <w:rFonts w:ascii="Times New Roman" w:eastAsia="Calibri" w:hAnsi="Times New Roman"/>
          <w:lang w:eastAsia="en-US"/>
        </w:rPr>
        <w:t>carer</w:t>
      </w:r>
      <w:proofErr w:type="spellEnd"/>
      <w:r w:rsidRPr="00672E27">
        <w:rPr>
          <w:rFonts w:ascii="Times New Roman" w:eastAsia="Calibri" w:hAnsi="Times New Roman"/>
          <w:lang w:eastAsia="en-US"/>
        </w:rPr>
        <w:t xml:space="preserve"> of an eligible child in these external territories to apply for an administrative assessment if all criteria (such as section </w:t>
      </w:r>
      <w:proofErr w:type="spellStart"/>
      <w:r w:rsidRPr="00672E27">
        <w:rPr>
          <w:rFonts w:ascii="Times New Roman" w:eastAsia="Calibri" w:hAnsi="Times New Roman"/>
          <w:lang w:eastAsia="en-US"/>
        </w:rPr>
        <w:t>26A</w:t>
      </w:r>
      <w:proofErr w:type="spellEnd"/>
      <w:r w:rsidRPr="00672E27">
        <w:rPr>
          <w:rFonts w:ascii="Times New Roman" w:eastAsia="Calibri" w:hAnsi="Times New Roman"/>
          <w:lang w:eastAsia="en-US"/>
        </w:rPr>
        <w:t xml:space="preserve"> of the CSA Act) are met.  </w:t>
      </w:r>
    </w:p>
    <w:p w:rsidR="005F4C31" w:rsidRDefault="005F4C31" w:rsidP="00B76254">
      <w:pPr>
        <w:spacing w:before="0" w:after="0"/>
        <w:ind w:right="371"/>
        <w:rPr>
          <w:rFonts w:ascii="Times New Roman" w:hAnsi="Times New Roman"/>
          <w:b/>
          <w:i/>
        </w:rPr>
      </w:pPr>
    </w:p>
    <w:p w:rsidR="00B76254" w:rsidRPr="00650A68" w:rsidRDefault="00B76254" w:rsidP="00B76254">
      <w:pPr>
        <w:spacing w:before="0" w:after="0"/>
        <w:ind w:right="371"/>
        <w:rPr>
          <w:rFonts w:ascii="Times New Roman" w:hAnsi="Times New Roman"/>
          <w:b/>
          <w:i/>
        </w:rPr>
      </w:pPr>
      <w:r w:rsidRPr="00B76254">
        <w:rPr>
          <w:rFonts w:ascii="Times New Roman" w:hAnsi="Times New Roman"/>
          <w:b/>
          <w:i/>
        </w:rPr>
        <w:t>Conclusion</w:t>
      </w:r>
    </w:p>
    <w:p w:rsidR="00672E27" w:rsidRPr="00672E27" w:rsidRDefault="00672E27" w:rsidP="00672E27">
      <w:pPr>
        <w:rPr>
          <w:rFonts w:ascii="Times New Roman" w:eastAsia="Calibri" w:hAnsi="Times New Roman"/>
          <w:lang w:eastAsia="en-US"/>
        </w:rPr>
      </w:pPr>
      <w:r w:rsidRPr="00672E27">
        <w:rPr>
          <w:rFonts w:ascii="Times New Roman" w:eastAsia="Calibri" w:hAnsi="Times New Roman"/>
          <w:lang w:eastAsia="en-US"/>
        </w:rPr>
        <w:t xml:space="preserve">The Legislative Instrument is compatible with human rights because it advances the protection of human rights and, to the extent that this change limits access to child support, </w:t>
      </w:r>
      <w:r w:rsidRPr="00672E27">
        <w:rPr>
          <w:rFonts w:ascii="Times New Roman" w:eastAsia="Calibri" w:hAnsi="Times New Roman"/>
          <w:lang w:val="en-GB" w:eastAsia="en-US"/>
        </w:rPr>
        <w:t xml:space="preserve">these limitations are reasonable and </w:t>
      </w:r>
      <w:r w:rsidRPr="00672E27">
        <w:rPr>
          <w:rFonts w:ascii="Times New Roman" w:eastAsia="Calibri" w:hAnsi="Times New Roman"/>
          <w:lang w:eastAsia="en-US"/>
        </w:rPr>
        <w:t>proportionate.</w:t>
      </w:r>
    </w:p>
    <w:p w:rsidR="00650A68" w:rsidRDefault="00650A68" w:rsidP="00435730">
      <w:pPr>
        <w:spacing w:before="0" w:after="0"/>
        <w:ind w:right="371"/>
        <w:rPr>
          <w:rFonts w:ascii="Times New Roman" w:hAnsi="Times New Roman"/>
        </w:rPr>
      </w:pPr>
    </w:p>
    <w:p w:rsidR="005F4C31" w:rsidRDefault="005F4C31" w:rsidP="00435730">
      <w:pPr>
        <w:spacing w:before="0" w:after="0"/>
        <w:ind w:right="371"/>
        <w:rPr>
          <w:rFonts w:ascii="Times New Roman" w:hAnsi="Times New Roman"/>
        </w:rPr>
      </w:pPr>
    </w:p>
    <w:p w:rsidR="00650A68" w:rsidRDefault="00650A68" w:rsidP="00B76254">
      <w:pPr>
        <w:spacing w:before="0" w:after="0"/>
        <w:ind w:right="371"/>
        <w:rPr>
          <w:rFonts w:ascii="Times New Roman" w:hAnsi="Times New Roman"/>
        </w:rPr>
      </w:pPr>
    </w:p>
    <w:p w:rsidR="00026B3C" w:rsidRDefault="00B76254" w:rsidP="00215F21">
      <w:pPr>
        <w:spacing w:before="0" w:after="0"/>
        <w:ind w:right="371"/>
        <w:jc w:val="center"/>
        <w:rPr>
          <w:rFonts w:ascii="Times New Roman" w:hAnsi="Times New Roman"/>
          <w:b/>
          <w:bCs/>
        </w:rPr>
      </w:pPr>
      <w:r w:rsidRPr="00B76254">
        <w:rPr>
          <w:rFonts w:ascii="Times New Roman" w:hAnsi="Times New Roman"/>
          <w:b/>
          <w:bCs/>
        </w:rPr>
        <w:t xml:space="preserve">Minister for </w:t>
      </w:r>
      <w:r w:rsidR="00B2535B">
        <w:rPr>
          <w:rFonts w:ascii="Times New Roman" w:hAnsi="Times New Roman"/>
          <w:b/>
          <w:bCs/>
        </w:rPr>
        <w:t xml:space="preserve">Social Services, </w:t>
      </w:r>
      <w:r w:rsidRPr="00B76254">
        <w:rPr>
          <w:rFonts w:ascii="Times New Roman" w:hAnsi="Times New Roman"/>
          <w:b/>
          <w:bCs/>
        </w:rPr>
        <w:t xml:space="preserve">the Hon </w:t>
      </w:r>
      <w:r w:rsidR="00D42AD8">
        <w:rPr>
          <w:rFonts w:ascii="Times New Roman" w:hAnsi="Times New Roman"/>
          <w:b/>
          <w:bCs/>
        </w:rPr>
        <w:t xml:space="preserve">Christian Porter </w:t>
      </w:r>
      <w:r w:rsidRPr="00B76254">
        <w:rPr>
          <w:rFonts w:ascii="Times New Roman" w:hAnsi="Times New Roman"/>
          <w:b/>
          <w:bCs/>
        </w:rPr>
        <w:t>MP</w:t>
      </w:r>
    </w:p>
    <w:p w:rsidR="00BC7DC3" w:rsidRPr="00B76254" w:rsidRDefault="00BC7DC3" w:rsidP="00215F21">
      <w:pPr>
        <w:spacing w:before="0" w:after="0"/>
        <w:ind w:right="371"/>
        <w:jc w:val="center"/>
        <w:rPr>
          <w:rFonts w:ascii="Times New Roman" w:hAnsi="Times New Roman"/>
        </w:rPr>
      </w:pPr>
    </w:p>
    <w:sectPr w:rsidR="00BC7DC3" w:rsidRPr="00B76254" w:rsidSect="000E7F6D">
      <w:headerReference w:type="even" r:id="rId9"/>
      <w:footerReference w:type="default" r:id="rId10"/>
      <w:pgSz w:w="11907" w:h="16840" w:code="9"/>
      <w:pgMar w:top="862" w:right="1531" w:bottom="1009" w:left="153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17C" w:rsidRDefault="0062517C">
      <w:r>
        <w:separator/>
      </w:r>
    </w:p>
  </w:endnote>
  <w:endnote w:type="continuationSeparator" w:id="0">
    <w:p w:rsidR="0062517C" w:rsidRDefault="0062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Bold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D5" w:rsidRPr="0079191B" w:rsidRDefault="00452FD5">
    <w:pPr>
      <w:pStyle w:val="Footer"/>
      <w:jc w:val="center"/>
      <w:rPr>
        <w:rFonts w:ascii="Times New Roman" w:hAnsi="Times New Roman"/>
      </w:rPr>
    </w:pPr>
    <w:r w:rsidRPr="0079191B">
      <w:rPr>
        <w:rStyle w:val="PageNumber"/>
        <w:rFonts w:ascii="Times New Roman" w:hAnsi="Times New Roman"/>
      </w:rPr>
      <w:fldChar w:fldCharType="begin"/>
    </w:r>
    <w:r w:rsidRPr="0079191B">
      <w:rPr>
        <w:rStyle w:val="PageNumber"/>
        <w:rFonts w:ascii="Times New Roman" w:hAnsi="Times New Roman"/>
      </w:rPr>
      <w:instrText xml:space="preserve"> PAGE </w:instrText>
    </w:r>
    <w:r w:rsidRPr="0079191B">
      <w:rPr>
        <w:rStyle w:val="PageNumber"/>
        <w:rFonts w:ascii="Times New Roman" w:hAnsi="Times New Roman"/>
      </w:rPr>
      <w:fldChar w:fldCharType="separate"/>
    </w:r>
    <w:r w:rsidR="00A20AE8">
      <w:rPr>
        <w:rStyle w:val="PageNumber"/>
        <w:rFonts w:ascii="Times New Roman" w:hAnsi="Times New Roman"/>
        <w:noProof/>
      </w:rPr>
      <w:t>5</w:t>
    </w:r>
    <w:r w:rsidRPr="0079191B">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17C" w:rsidRDefault="0062517C">
      <w:r>
        <w:separator/>
      </w:r>
    </w:p>
  </w:footnote>
  <w:footnote w:type="continuationSeparator" w:id="0">
    <w:p w:rsidR="0062517C" w:rsidRDefault="00625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D5" w:rsidRDefault="00452F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5016">
      <w:rPr>
        <w:rStyle w:val="PageNumber"/>
        <w:noProof/>
      </w:rPr>
      <w:t>5</w:t>
    </w:r>
    <w:r>
      <w:rPr>
        <w:rStyle w:val="PageNumber"/>
      </w:rPr>
      <w:fldChar w:fldCharType="end"/>
    </w:r>
  </w:p>
  <w:p w:rsidR="00452FD5" w:rsidRDefault="00452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014"/>
    <w:multiLevelType w:val="hybridMultilevel"/>
    <w:tmpl w:val="492686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C470099"/>
    <w:multiLevelType w:val="hybridMultilevel"/>
    <w:tmpl w:val="443E831C"/>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nsid w:val="218D4668"/>
    <w:multiLevelType w:val="hybridMultilevel"/>
    <w:tmpl w:val="719012CC"/>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nsid w:val="25D505D1"/>
    <w:multiLevelType w:val="hybridMultilevel"/>
    <w:tmpl w:val="B11275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7CD1C9E"/>
    <w:multiLevelType w:val="hybridMultilevel"/>
    <w:tmpl w:val="C5BE847C"/>
    <w:lvl w:ilvl="0" w:tplc="4BB84EE2">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nsid w:val="3BCA6D4B"/>
    <w:multiLevelType w:val="hybridMultilevel"/>
    <w:tmpl w:val="F7E24E12"/>
    <w:lvl w:ilvl="0" w:tplc="FB547E32">
      <w:start w:val="1"/>
      <w:numFmt w:val="decimal"/>
      <w:lvlText w:val="%1."/>
      <w:lvlJc w:val="left"/>
      <w:pPr>
        <w:ind w:left="360" w:hanging="360"/>
      </w:pPr>
      <w:rPr>
        <w:rFonts w:hint="default"/>
        <w:b w:val="0"/>
      </w:rPr>
    </w:lvl>
    <w:lvl w:ilvl="1" w:tplc="03726522">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C440835"/>
    <w:multiLevelType w:val="hybridMultilevel"/>
    <w:tmpl w:val="19F679AC"/>
    <w:lvl w:ilvl="0" w:tplc="0C09000F">
      <w:start w:val="1"/>
      <w:numFmt w:val="decimal"/>
      <w:lvlText w:val="%1."/>
      <w:lvlJc w:val="left"/>
      <w:pPr>
        <w:ind w:left="360" w:hanging="360"/>
      </w:pPr>
      <w:rPr>
        <w:rFonts w:hint="default"/>
        <w:b w:val="0"/>
      </w:rPr>
    </w:lvl>
    <w:lvl w:ilvl="1" w:tplc="03726522">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ABE7343"/>
    <w:multiLevelType w:val="hybridMultilevel"/>
    <w:tmpl w:val="4B987CDA"/>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66C276E9"/>
    <w:multiLevelType w:val="hybridMultilevel"/>
    <w:tmpl w:val="348E84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3E2763C"/>
    <w:multiLevelType w:val="hybridMultilevel"/>
    <w:tmpl w:val="D8B428F4"/>
    <w:lvl w:ilvl="0" w:tplc="0C090001">
      <w:start w:val="1"/>
      <w:numFmt w:val="bullet"/>
      <w:lvlText w:val=""/>
      <w:lvlJc w:val="left"/>
      <w:pPr>
        <w:tabs>
          <w:tab w:val="num" w:pos="381"/>
        </w:tabs>
        <w:ind w:left="381" w:hanging="360"/>
      </w:pPr>
      <w:rPr>
        <w:rFonts w:ascii="Symbol" w:hAnsi="Symbol" w:hint="default"/>
      </w:rPr>
    </w:lvl>
    <w:lvl w:ilvl="1" w:tplc="0C090003" w:tentative="1">
      <w:start w:val="1"/>
      <w:numFmt w:val="bullet"/>
      <w:lvlText w:val="o"/>
      <w:lvlJc w:val="left"/>
      <w:pPr>
        <w:tabs>
          <w:tab w:val="num" w:pos="1101"/>
        </w:tabs>
        <w:ind w:left="1101" w:hanging="360"/>
      </w:pPr>
      <w:rPr>
        <w:rFonts w:ascii="Courier New" w:hAnsi="Courier New" w:cs="Courier New" w:hint="default"/>
      </w:rPr>
    </w:lvl>
    <w:lvl w:ilvl="2" w:tplc="0C090005" w:tentative="1">
      <w:start w:val="1"/>
      <w:numFmt w:val="bullet"/>
      <w:lvlText w:val=""/>
      <w:lvlJc w:val="left"/>
      <w:pPr>
        <w:tabs>
          <w:tab w:val="num" w:pos="1821"/>
        </w:tabs>
        <w:ind w:left="1821" w:hanging="360"/>
      </w:pPr>
      <w:rPr>
        <w:rFonts w:ascii="Wingdings" w:hAnsi="Wingdings" w:hint="default"/>
      </w:rPr>
    </w:lvl>
    <w:lvl w:ilvl="3" w:tplc="0C090001" w:tentative="1">
      <w:start w:val="1"/>
      <w:numFmt w:val="bullet"/>
      <w:lvlText w:val=""/>
      <w:lvlJc w:val="left"/>
      <w:pPr>
        <w:tabs>
          <w:tab w:val="num" w:pos="2541"/>
        </w:tabs>
        <w:ind w:left="2541" w:hanging="360"/>
      </w:pPr>
      <w:rPr>
        <w:rFonts w:ascii="Symbol" w:hAnsi="Symbol" w:hint="default"/>
      </w:rPr>
    </w:lvl>
    <w:lvl w:ilvl="4" w:tplc="0C090003" w:tentative="1">
      <w:start w:val="1"/>
      <w:numFmt w:val="bullet"/>
      <w:lvlText w:val="o"/>
      <w:lvlJc w:val="left"/>
      <w:pPr>
        <w:tabs>
          <w:tab w:val="num" w:pos="3261"/>
        </w:tabs>
        <w:ind w:left="3261" w:hanging="360"/>
      </w:pPr>
      <w:rPr>
        <w:rFonts w:ascii="Courier New" w:hAnsi="Courier New" w:cs="Courier New" w:hint="default"/>
      </w:rPr>
    </w:lvl>
    <w:lvl w:ilvl="5" w:tplc="0C090005" w:tentative="1">
      <w:start w:val="1"/>
      <w:numFmt w:val="bullet"/>
      <w:lvlText w:val=""/>
      <w:lvlJc w:val="left"/>
      <w:pPr>
        <w:tabs>
          <w:tab w:val="num" w:pos="3981"/>
        </w:tabs>
        <w:ind w:left="3981" w:hanging="360"/>
      </w:pPr>
      <w:rPr>
        <w:rFonts w:ascii="Wingdings" w:hAnsi="Wingdings" w:hint="default"/>
      </w:rPr>
    </w:lvl>
    <w:lvl w:ilvl="6" w:tplc="0C090001" w:tentative="1">
      <w:start w:val="1"/>
      <w:numFmt w:val="bullet"/>
      <w:lvlText w:val=""/>
      <w:lvlJc w:val="left"/>
      <w:pPr>
        <w:tabs>
          <w:tab w:val="num" w:pos="4701"/>
        </w:tabs>
        <w:ind w:left="4701" w:hanging="360"/>
      </w:pPr>
      <w:rPr>
        <w:rFonts w:ascii="Symbol" w:hAnsi="Symbol" w:hint="default"/>
      </w:rPr>
    </w:lvl>
    <w:lvl w:ilvl="7" w:tplc="0C090003" w:tentative="1">
      <w:start w:val="1"/>
      <w:numFmt w:val="bullet"/>
      <w:lvlText w:val="o"/>
      <w:lvlJc w:val="left"/>
      <w:pPr>
        <w:tabs>
          <w:tab w:val="num" w:pos="5421"/>
        </w:tabs>
        <w:ind w:left="5421" w:hanging="360"/>
      </w:pPr>
      <w:rPr>
        <w:rFonts w:ascii="Courier New" w:hAnsi="Courier New" w:cs="Courier New" w:hint="default"/>
      </w:rPr>
    </w:lvl>
    <w:lvl w:ilvl="8" w:tplc="0C090005" w:tentative="1">
      <w:start w:val="1"/>
      <w:numFmt w:val="bullet"/>
      <w:lvlText w:val=""/>
      <w:lvlJc w:val="left"/>
      <w:pPr>
        <w:tabs>
          <w:tab w:val="num" w:pos="6141"/>
        </w:tabs>
        <w:ind w:left="6141" w:hanging="360"/>
      </w:pPr>
      <w:rPr>
        <w:rFonts w:ascii="Wingdings" w:hAnsi="Wingdings" w:hint="default"/>
      </w:rPr>
    </w:lvl>
  </w:abstractNum>
  <w:num w:numId="1">
    <w:abstractNumId w:val="2"/>
  </w:num>
  <w:num w:numId="2">
    <w:abstractNumId w:val="8"/>
  </w:num>
  <w:num w:numId="3">
    <w:abstractNumId w:val="3"/>
  </w:num>
  <w:num w:numId="4">
    <w:abstractNumId w:val="10"/>
  </w:num>
  <w:num w:numId="5">
    <w:abstractNumId w:val="0"/>
  </w:num>
  <w:num w:numId="6">
    <w:abstractNumId w:val="4"/>
  </w:num>
  <w:num w:numId="7">
    <w:abstractNumId w:val="9"/>
  </w:num>
  <w:num w:numId="8">
    <w:abstractNumId w:val="6"/>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13E9"/>
    <w:rsid w:val="0000152F"/>
    <w:rsid w:val="00002DD1"/>
    <w:rsid w:val="0000529D"/>
    <w:rsid w:val="00011050"/>
    <w:rsid w:val="00026B3C"/>
    <w:rsid w:val="00026DE0"/>
    <w:rsid w:val="000365D9"/>
    <w:rsid w:val="00041524"/>
    <w:rsid w:val="00044102"/>
    <w:rsid w:val="00057B40"/>
    <w:rsid w:val="0006796C"/>
    <w:rsid w:val="00070788"/>
    <w:rsid w:val="00070DB2"/>
    <w:rsid w:val="0007709A"/>
    <w:rsid w:val="00094AF1"/>
    <w:rsid w:val="000A01F8"/>
    <w:rsid w:val="000A0B20"/>
    <w:rsid w:val="000A175E"/>
    <w:rsid w:val="000A6289"/>
    <w:rsid w:val="000B1474"/>
    <w:rsid w:val="000C2801"/>
    <w:rsid w:val="000E7F6D"/>
    <w:rsid w:val="000F078A"/>
    <w:rsid w:val="000F673E"/>
    <w:rsid w:val="00101F96"/>
    <w:rsid w:val="001044A3"/>
    <w:rsid w:val="00111DDF"/>
    <w:rsid w:val="00134C0D"/>
    <w:rsid w:val="001356DA"/>
    <w:rsid w:val="00135C37"/>
    <w:rsid w:val="00135DF1"/>
    <w:rsid w:val="00155ADF"/>
    <w:rsid w:val="0016316F"/>
    <w:rsid w:val="00180B92"/>
    <w:rsid w:val="00182F93"/>
    <w:rsid w:val="001D0CDE"/>
    <w:rsid w:val="001F3D09"/>
    <w:rsid w:val="001F4323"/>
    <w:rsid w:val="001F65DF"/>
    <w:rsid w:val="002070CE"/>
    <w:rsid w:val="00215F21"/>
    <w:rsid w:val="00222679"/>
    <w:rsid w:val="002231F2"/>
    <w:rsid w:val="002306C2"/>
    <w:rsid w:val="00242A87"/>
    <w:rsid w:val="00246073"/>
    <w:rsid w:val="00247ADA"/>
    <w:rsid w:val="002537F9"/>
    <w:rsid w:val="002569FB"/>
    <w:rsid w:val="00262CFD"/>
    <w:rsid w:val="00272CA4"/>
    <w:rsid w:val="00275DAB"/>
    <w:rsid w:val="00285B72"/>
    <w:rsid w:val="002900B4"/>
    <w:rsid w:val="00293570"/>
    <w:rsid w:val="002966E9"/>
    <w:rsid w:val="00297BF3"/>
    <w:rsid w:val="002A233E"/>
    <w:rsid w:val="002A3EC7"/>
    <w:rsid w:val="002A4EB0"/>
    <w:rsid w:val="002A6E0A"/>
    <w:rsid w:val="002A76B9"/>
    <w:rsid w:val="002A782F"/>
    <w:rsid w:val="002B3DD7"/>
    <w:rsid w:val="002F3868"/>
    <w:rsid w:val="002F3F62"/>
    <w:rsid w:val="00321878"/>
    <w:rsid w:val="00323273"/>
    <w:rsid w:val="00330BDC"/>
    <w:rsid w:val="00330C96"/>
    <w:rsid w:val="003318F8"/>
    <w:rsid w:val="003358C8"/>
    <w:rsid w:val="003457C2"/>
    <w:rsid w:val="003558C9"/>
    <w:rsid w:val="00356A02"/>
    <w:rsid w:val="0035790A"/>
    <w:rsid w:val="00364F41"/>
    <w:rsid w:val="003673BB"/>
    <w:rsid w:val="00371C8E"/>
    <w:rsid w:val="00385F23"/>
    <w:rsid w:val="003936C9"/>
    <w:rsid w:val="00395D0C"/>
    <w:rsid w:val="003A244E"/>
    <w:rsid w:val="003A75A4"/>
    <w:rsid w:val="003A77EB"/>
    <w:rsid w:val="003D0250"/>
    <w:rsid w:val="003D3413"/>
    <w:rsid w:val="003E4096"/>
    <w:rsid w:val="004042B6"/>
    <w:rsid w:val="00405C78"/>
    <w:rsid w:val="00407C88"/>
    <w:rsid w:val="00413145"/>
    <w:rsid w:val="0042440D"/>
    <w:rsid w:val="0042554C"/>
    <w:rsid w:val="00435730"/>
    <w:rsid w:val="0045040E"/>
    <w:rsid w:val="00452FD5"/>
    <w:rsid w:val="00455016"/>
    <w:rsid w:val="00463C20"/>
    <w:rsid w:val="004748CA"/>
    <w:rsid w:val="00480154"/>
    <w:rsid w:val="00484D01"/>
    <w:rsid w:val="00492528"/>
    <w:rsid w:val="004A1C61"/>
    <w:rsid w:val="004A596E"/>
    <w:rsid w:val="004B6F97"/>
    <w:rsid w:val="004C48D4"/>
    <w:rsid w:val="004C4D9C"/>
    <w:rsid w:val="004D0C94"/>
    <w:rsid w:val="004D3F54"/>
    <w:rsid w:val="004F6F98"/>
    <w:rsid w:val="005053F8"/>
    <w:rsid w:val="00511EB3"/>
    <w:rsid w:val="005158C5"/>
    <w:rsid w:val="00520273"/>
    <w:rsid w:val="00526068"/>
    <w:rsid w:val="00562713"/>
    <w:rsid w:val="00573599"/>
    <w:rsid w:val="005758C3"/>
    <w:rsid w:val="0058236B"/>
    <w:rsid w:val="00586C62"/>
    <w:rsid w:val="005A038C"/>
    <w:rsid w:val="005D244F"/>
    <w:rsid w:val="005E6948"/>
    <w:rsid w:val="005F4579"/>
    <w:rsid w:val="005F4C31"/>
    <w:rsid w:val="00605601"/>
    <w:rsid w:val="00623A76"/>
    <w:rsid w:val="0062517C"/>
    <w:rsid w:val="00634711"/>
    <w:rsid w:val="00644530"/>
    <w:rsid w:val="006454D3"/>
    <w:rsid w:val="00650A68"/>
    <w:rsid w:val="0066393F"/>
    <w:rsid w:val="0067131C"/>
    <w:rsid w:val="0067288C"/>
    <w:rsid w:val="00672E27"/>
    <w:rsid w:val="0067404F"/>
    <w:rsid w:val="00674D8F"/>
    <w:rsid w:val="00675034"/>
    <w:rsid w:val="006802D9"/>
    <w:rsid w:val="006864FD"/>
    <w:rsid w:val="006A35D7"/>
    <w:rsid w:val="006A60D8"/>
    <w:rsid w:val="006B0198"/>
    <w:rsid w:val="006C028B"/>
    <w:rsid w:val="006C0B9F"/>
    <w:rsid w:val="006C547D"/>
    <w:rsid w:val="006D216C"/>
    <w:rsid w:val="006D2E28"/>
    <w:rsid w:val="006E0913"/>
    <w:rsid w:val="006E0BB9"/>
    <w:rsid w:val="006E6B5F"/>
    <w:rsid w:val="006F6ABC"/>
    <w:rsid w:val="007043CB"/>
    <w:rsid w:val="007110CF"/>
    <w:rsid w:val="007413E9"/>
    <w:rsid w:val="00741AEF"/>
    <w:rsid w:val="0075043B"/>
    <w:rsid w:val="0075054B"/>
    <w:rsid w:val="0077497B"/>
    <w:rsid w:val="0077537E"/>
    <w:rsid w:val="00785807"/>
    <w:rsid w:val="0079191B"/>
    <w:rsid w:val="007B5369"/>
    <w:rsid w:val="007C00E0"/>
    <w:rsid w:val="007C1DFF"/>
    <w:rsid w:val="007C2478"/>
    <w:rsid w:val="007D1559"/>
    <w:rsid w:val="007F03B1"/>
    <w:rsid w:val="007F3B88"/>
    <w:rsid w:val="007F64F3"/>
    <w:rsid w:val="007F718D"/>
    <w:rsid w:val="00800DB3"/>
    <w:rsid w:val="0080314D"/>
    <w:rsid w:val="0081273F"/>
    <w:rsid w:val="0081522D"/>
    <w:rsid w:val="00816A44"/>
    <w:rsid w:val="008206B6"/>
    <w:rsid w:val="0082375F"/>
    <w:rsid w:val="00832D41"/>
    <w:rsid w:val="008612C1"/>
    <w:rsid w:val="00864405"/>
    <w:rsid w:val="00876008"/>
    <w:rsid w:val="00882E19"/>
    <w:rsid w:val="008843AB"/>
    <w:rsid w:val="00890271"/>
    <w:rsid w:val="008B0E44"/>
    <w:rsid w:val="008B3782"/>
    <w:rsid w:val="008C7BD6"/>
    <w:rsid w:val="008E2397"/>
    <w:rsid w:val="008E451F"/>
    <w:rsid w:val="008F66FF"/>
    <w:rsid w:val="00900421"/>
    <w:rsid w:val="00903C0C"/>
    <w:rsid w:val="0091450B"/>
    <w:rsid w:val="00920139"/>
    <w:rsid w:val="00931826"/>
    <w:rsid w:val="00932B69"/>
    <w:rsid w:val="00934E89"/>
    <w:rsid w:val="00947A64"/>
    <w:rsid w:val="00983DA9"/>
    <w:rsid w:val="00994F69"/>
    <w:rsid w:val="0099596E"/>
    <w:rsid w:val="009A757F"/>
    <w:rsid w:val="009D4018"/>
    <w:rsid w:val="009D6150"/>
    <w:rsid w:val="009D759B"/>
    <w:rsid w:val="009E364C"/>
    <w:rsid w:val="009F0603"/>
    <w:rsid w:val="009F34F6"/>
    <w:rsid w:val="00A000E2"/>
    <w:rsid w:val="00A105D5"/>
    <w:rsid w:val="00A20AE8"/>
    <w:rsid w:val="00A24610"/>
    <w:rsid w:val="00A4647A"/>
    <w:rsid w:val="00A46680"/>
    <w:rsid w:val="00A53997"/>
    <w:rsid w:val="00A57E51"/>
    <w:rsid w:val="00A70116"/>
    <w:rsid w:val="00A744CF"/>
    <w:rsid w:val="00A749AB"/>
    <w:rsid w:val="00A81AA7"/>
    <w:rsid w:val="00A86E0F"/>
    <w:rsid w:val="00A87A42"/>
    <w:rsid w:val="00A93754"/>
    <w:rsid w:val="00A952FD"/>
    <w:rsid w:val="00AA2977"/>
    <w:rsid w:val="00AA2A5F"/>
    <w:rsid w:val="00AB608B"/>
    <w:rsid w:val="00AD0757"/>
    <w:rsid w:val="00AF5B6E"/>
    <w:rsid w:val="00B02446"/>
    <w:rsid w:val="00B05C35"/>
    <w:rsid w:val="00B16148"/>
    <w:rsid w:val="00B207BA"/>
    <w:rsid w:val="00B22C37"/>
    <w:rsid w:val="00B22C58"/>
    <w:rsid w:val="00B2535B"/>
    <w:rsid w:val="00B413AC"/>
    <w:rsid w:val="00B45219"/>
    <w:rsid w:val="00B552FD"/>
    <w:rsid w:val="00B7005A"/>
    <w:rsid w:val="00B7283D"/>
    <w:rsid w:val="00B76254"/>
    <w:rsid w:val="00B84D30"/>
    <w:rsid w:val="00B939B4"/>
    <w:rsid w:val="00B957BC"/>
    <w:rsid w:val="00B97396"/>
    <w:rsid w:val="00B977FA"/>
    <w:rsid w:val="00BA5F35"/>
    <w:rsid w:val="00BA7C0D"/>
    <w:rsid w:val="00BC7DC3"/>
    <w:rsid w:val="00BE1DD2"/>
    <w:rsid w:val="00BE2AA4"/>
    <w:rsid w:val="00BE4DD3"/>
    <w:rsid w:val="00BE63E3"/>
    <w:rsid w:val="00BF7C36"/>
    <w:rsid w:val="00C030F6"/>
    <w:rsid w:val="00C0545F"/>
    <w:rsid w:val="00C12E29"/>
    <w:rsid w:val="00C1576A"/>
    <w:rsid w:val="00C16D2B"/>
    <w:rsid w:val="00C243B5"/>
    <w:rsid w:val="00C57E21"/>
    <w:rsid w:val="00C62758"/>
    <w:rsid w:val="00C64CCC"/>
    <w:rsid w:val="00C65213"/>
    <w:rsid w:val="00C72C51"/>
    <w:rsid w:val="00C830B8"/>
    <w:rsid w:val="00C96A5C"/>
    <w:rsid w:val="00CA0F4B"/>
    <w:rsid w:val="00CA2960"/>
    <w:rsid w:val="00CB1CB0"/>
    <w:rsid w:val="00CB61C5"/>
    <w:rsid w:val="00CB6B56"/>
    <w:rsid w:val="00CB7572"/>
    <w:rsid w:val="00CB757D"/>
    <w:rsid w:val="00CC33C7"/>
    <w:rsid w:val="00CD0D4A"/>
    <w:rsid w:val="00CE1455"/>
    <w:rsid w:val="00CF2594"/>
    <w:rsid w:val="00CF7FD6"/>
    <w:rsid w:val="00D1617E"/>
    <w:rsid w:val="00D166A7"/>
    <w:rsid w:val="00D4105C"/>
    <w:rsid w:val="00D42AD8"/>
    <w:rsid w:val="00D44580"/>
    <w:rsid w:val="00D54159"/>
    <w:rsid w:val="00D6086D"/>
    <w:rsid w:val="00D61007"/>
    <w:rsid w:val="00D64DA9"/>
    <w:rsid w:val="00D77EE2"/>
    <w:rsid w:val="00D82AA0"/>
    <w:rsid w:val="00DB11E0"/>
    <w:rsid w:val="00DC1550"/>
    <w:rsid w:val="00DC2385"/>
    <w:rsid w:val="00DC7C2B"/>
    <w:rsid w:val="00DD0AE4"/>
    <w:rsid w:val="00DD554E"/>
    <w:rsid w:val="00E00B58"/>
    <w:rsid w:val="00E03AA8"/>
    <w:rsid w:val="00E05E9D"/>
    <w:rsid w:val="00E244AA"/>
    <w:rsid w:val="00E262DD"/>
    <w:rsid w:val="00E330AF"/>
    <w:rsid w:val="00E534B3"/>
    <w:rsid w:val="00E605D8"/>
    <w:rsid w:val="00E75624"/>
    <w:rsid w:val="00E90BEF"/>
    <w:rsid w:val="00E92203"/>
    <w:rsid w:val="00ED09C8"/>
    <w:rsid w:val="00ED2675"/>
    <w:rsid w:val="00EE0906"/>
    <w:rsid w:val="00EE4DEC"/>
    <w:rsid w:val="00F02354"/>
    <w:rsid w:val="00F02FF1"/>
    <w:rsid w:val="00F05A27"/>
    <w:rsid w:val="00F1342E"/>
    <w:rsid w:val="00F144B0"/>
    <w:rsid w:val="00F2046E"/>
    <w:rsid w:val="00F34BB7"/>
    <w:rsid w:val="00F41C4E"/>
    <w:rsid w:val="00F60E94"/>
    <w:rsid w:val="00F6137F"/>
    <w:rsid w:val="00F63899"/>
    <w:rsid w:val="00F63CA5"/>
    <w:rsid w:val="00F66C24"/>
    <w:rsid w:val="00F74F22"/>
    <w:rsid w:val="00F85BF4"/>
    <w:rsid w:val="00F87BDA"/>
    <w:rsid w:val="00F949DC"/>
    <w:rsid w:val="00F952D3"/>
    <w:rsid w:val="00F96514"/>
    <w:rsid w:val="00FB006F"/>
    <w:rsid w:val="00FB0724"/>
    <w:rsid w:val="00FB4C0C"/>
    <w:rsid w:val="00FB655D"/>
    <w:rsid w:val="00FC1D7F"/>
    <w:rsid w:val="00FD15B7"/>
    <w:rsid w:val="00FD36D4"/>
    <w:rsid w:val="00FE0130"/>
    <w:rsid w:val="00FE4A8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sz w:val="24"/>
      <w:szCs w:val="24"/>
      <w:lang w:eastAsia="zh-CN"/>
    </w:rPr>
  </w:style>
  <w:style w:type="paragraph" w:styleId="Heading1">
    <w:name w:val="heading 1"/>
    <w:basedOn w:val="Normal"/>
    <w:next w:val="Normal"/>
    <w:qFormat/>
    <w:pPr>
      <w:keepNext/>
      <w:spacing w:before="0" w:after="0"/>
      <w:ind w:left="284" w:right="372"/>
      <w:jc w:val="center"/>
      <w:outlineLvl w:val="0"/>
    </w:pPr>
    <w:rPr>
      <w:rFonts w:ascii="Times New Roman" w:hAnsi="Times New Roman"/>
      <w:szCs w:val="20"/>
      <w:u w:val="single"/>
      <w:lang w:val="en-GB" w:eastAsia="en-US"/>
    </w:rPr>
  </w:style>
  <w:style w:type="paragraph" w:styleId="Heading2">
    <w:name w:val="heading 2"/>
    <w:basedOn w:val="Normal"/>
    <w:next w:val="Normal"/>
    <w:qFormat/>
    <w:pPr>
      <w:keepNext/>
      <w:spacing w:before="0" w:after="0"/>
      <w:ind w:left="284" w:right="372"/>
      <w:jc w:val="center"/>
      <w:outlineLvl w:val="1"/>
    </w:pPr>
    <w:rPr>
      <w:rFonts w:ascii="Times New Roman" w:hAnsi="Times New Roman"/>
      <w:i/>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Module">
    <w:name w:val="HeadingModule"/>
    <w:basedOn w:val="Normal"/>
    <w:autoRedefine/>
    <w:pPr>
      <w:spacing w:before="0" w:after="0"/>
    </w:pPr>
    <w:rPr>
      <w:rFonts w:ascii="Arial Bold" w:hAnsi="Arial Bold"/>
      <w:b/>
      <w:bCs/>
    </w:rPr>
  </w:style>
  <w:style w:type="paragraph" w:customStyle="1" w:styleId="HeadingExample">
    <w:name w:val="HeadingExample"/>
    <w:basedOn w:val="Normal"/>
    <w:autoRedefine/>
    <w:pPr>
      <w:spacing w:before="0" w:after="0"/>
    </w:pPr>
    <w:rPr>
      <w:sz w:val="16"/>
      <w:szCs w:val="16"/>
    </w:rPr>
  </w:style>
  <w:style w:type="paragraph" w:customStyle="1" w:styleId="HeadingDivision">
    <w:name w:val="HeadingDivision"/>
    <w:basedOn w:val="Normal"/>
    <w:next w:val="Normal"/>
    <w:autoRedefine/>
    <w:pPr>
      <w:spacing w:before="0" w:after="0"/>
      <w:ind w:left="1440" w:hanging="1440"/>
    </w:pPr>
    <w:rPr>
      <w:rFonts w:ascii="Arial Bold" w:hAnsi="Arial Bold"/>
      <w:b/>
      <w:bCs/>
    </w:rPr>
  </w:style>
  <w:style w:type="paragraph" w:customStyle="1" w:styleId="textexample">
    <w:name w:val="textexample"/>
    <w:basedOn w:val="Normal"/>
    <w:autoRedefine/>
    <w:pPr>
      <w:spacing w:before="0" w:after="0"/>
    </w:pPr>
    <w:rPr>
      <w:sz w:val="16"/>
      <w:szCs w:val="16"/>
    </w:rPr>
  </w:style>
  <w:style w:type="paragraph" w:customStyle="1" w:styleId="HeadingRateCalculator">
    <w:name w:val="HeadingRateCalculator"/>
    <w:basedOn w:val="Normal"/>
    <w:autoRedefine/>
    <w:pPr>
      <w:spacing w:before="0" w:after="0"/>
      <w:jc w:val="center"/>
    </w:pPr>
    <w:rPr>
      <w:rFonts w:ascii="Arial Bold Italic" w:hAnsi="Arial Bold Italic"/>
      <w:b/>
      <w:bCs/>
      <w:i/>
      <w:iCs/>
    </w:rPr>
  </w:style>
  <w:style w:type="paragraph" w:styleId="BlockText">
    <w:name w:val="Block Text"/>
    <w:basedOn w:val="Normal"/>
    <w:pPr>
      <w:spacing w:before="0" w:after="0"/>
      <w:ind w:left="284" w:right="372"/>
      <w:jc w:val="both"/>
    </w:pPr>
    <w:rPr>
      <w:rFonts w:ascii="Times New Roman" w:hAnsi="Times New Roman"/>
      <w:szCs w:val="20"/>
      <w:lang w:val="en-GB"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Char1Char">
    <w:name w:val="Char Char1 Char"/>
    <w:basedOn w:val="Normal"/>
    <w:rsid w:val="00FC1D7F"/>
    <w:pPr>
      <w:spacing w:before="0" w:after="0"/>
    </w:pPr>
    <w:rPr>
      <w:sz w:val="22"/>
      <w:szCs w:val="20"/>
      <w:lang w:eastAsia="en-US"/>
    </w:rPr>
  </w:style>
  <w:style w:type="paragraph" w:styleId="NormalWeb">
    <w:name w:val="Normal (Web)"/>
    <w:basedOn w:val="Normal"/>
    <w:rsid w:val="00FC1D7F"/>
    <w:pPr>
      <w:spacing w:before="100" w:beforeAutospacing="1" w:after="100" w:afterAutospacing="1"/>
    </w:pPr>
    <w:rPr>
      <w:rFonts w:ascii="Times New Roman" w:hAnsi="Times New Roman"/>
      <w:lang w:eastAsia="en-AU"/>
    </w:rPr>
  </w:style>
  <w:style w:type="paragraph" w:customStyle="1" w:styleId="content">
    <w:name w:val="content"/>
    <w:basedOn w:val="Normal"/>
    <w:rsid w:val="00FC1D7F"/>
    <w:pPr>
      <w:spacing w:before="100" w:beforeAutospacing="1" w:after="100" w:afterAutospacing="1"/>
    </w:pPr>
    <w:rPr>
      <w:rFonts w:ascii="Times New Roman" w:hAnsi="Times New Roman"/>
      <w:lang w:eastAsia="en-AU"/>
    </w:rPr>
  </w:style>
  <w:style w:type="character" w:styleId="CommentReference">
    <w:name w:val="annotation reference"/>
    <w:semiHidden/>
    <w:rsid w:val="00CE1455"/>
    <w:rPr>
      <w:sz w:val="16"/>
      <w:szCs w:val="16"/>
    </w:rPr>
  </w:style>
  <w:style w:type="paragraph" w:styleId="CommentText">
    <w:name w:val="annotation text"/>
    <w:basedOn w:val="Normal"/>
    <w:link w:val="CommentTextChar"/>
    <w:semiHidden/>
    <w:rsid w:val="00CE1455"/>
    <w:pPr>
      <w:spacing w:before="240" w:after="0"/>
    </w:pPr>
    <w:rPr>
      <w:rFonts w:ascii="Times New Roman" w:hAnsi="Times New Roman"/>
      <w:sz w:val="20"/>
      <w:szCs w:val="20"/>
      <w:lang w:eastAsia="en-AU"/>
    </w:rPr>
  </w:style>
  <w:style w:type="paragraph" w:styleId="BalloonText">
    <w:name w:val="Balloon Text"/>
    <w:basedOn w:val="Normal"/>
    <w:semiHidden/>
    <w:rsid w:val="00CE1455"/>
    <w:rPr>
      <w:rFonts w:ascii="Tahoma" w:hAnsi="Tahoma" w:cs="Tahoma"/>
      <w:sz w:val="16"/>
      <w:szCs w:val="16"/>
    </w:rPr>
  </w:style>
  <w:style w:type="paragraph" w:customStyle="1" w:styleId="Char">
    <w:name w:val="Char"/>
    <w:basedOn w:val="Normal"/>
    <w:rsid w:val="008B0E44"/>
    <w:pPr>
      <w:spacing w:before="0" w:after="160" w:line="240" w:lineRule="exact"/>
    </w:pPr>
    <w:rPr>
      <w:rFonts w:ascii="Verdana" w:hAnsi="Verdana"/>
      <w:sz w:val="20"/>
      <w:lang w:val="en-US" w:eastAsia="en-US"/>
    </w:rPr>
  </w:style>
  <w:style w:type="paragraph" w:customStyle="1" w:styleId="numberlist">
    <w:name w:val="numberlist"/>
    <w:basedOn w:val="Normal"/>
    <w:rsid w:val="008B0E44"/>
    <w:pPr>
      <w:spacing w:before="100" w:beforeAutospacing="1" w:after="100" w:afterAutospacing="1"/>
    </w:pPr>
    <w:rPr>
      <w:rFonts w:ascii="Times New Roman" w:hAnsi="Times New Roman"/>
      <w:lang w:eastAsia="en-AU"/>
    </w:rPr>
  </w:style>
  <w:style w:type="paragraph" w:styleId="CommentSubject">
    <w:name w:val="annotation subject"/>
    <w:basedOn w:val="CommentText"/>
    <w:next w:val="CommentText"/>
    <w:semiHidden/>
    <w:rsid w:val="00CB61C5"/>
    <w:pPr>
      <w:spacing w:before="120" w:after="120"/>
    </w:pPr>
    <w:rPr>
      <w:rFonts w:ascii="Arial" w:hAnsi="Arial"/>
      <w:b/>
      <w:bCs/>
      <w:lang w:eastAsia="zh-CN"/>
    </w:rPr>
  </w:style>
  <w:style w:type="character" w:customStyle="1" w:styleId="CommentTextChar">
    <w:name w:val="Comment Text Char"/>
    <w:link w:val="CommentText"/>
    <w:semiHidden/>
    <w:rsid w:val="000A175E"/>
  </w:style>
  <w:style w:type="paragraph" w:styleId="Revision">
    <w:name w:val="Revision"/>
    <w:hidden/>
    <w:uiPriority w:val="99"/>
    <w:semiHidden/>
    <w:rsid w:val="00CA2960"/>
    <w:rPr>
      <w:rFonts w:ascii="Arial" w:hAnsi="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9889">
      <w:bodyDiv w:val="1"/>
      <w:marLeft w:val="0"/>
      <w:marRight w:val="0"/>
      <w:marTop w:val="0"/>
      <w:marBottom w:val="0"/>
      <w:divBdr>
        <w:top w:val="none" w:sz="0" w:space="0" w:color="auto"/>
        <w:left w:val="none" w:sz="0" w:space="0" w:color="auto"/>
        <w:bottom w:val="none" w:sz="0" w:space="0" w:color="auto"/>
        <w:right w:val="none" w:sz="0" w:space="0" w:color="auto"/>
      </w:divBdr>
    </w:div>
    <w:div w:id="282729545">
      <w:bodyDiv w:val="1"/>
      <w:marLeft w:val="0"/>
      <w:marRight w:val="0"/>
      <w:marTop w:val="0"/>
      <w:marBottom w:val="0"/>
      <w:divBdr>
        <w:top w:val="none" w:sz="0" w:space="0" w:color="auto"/>
        <w:left w:val="none" w:sz="0" w:space="0" w:color="auto"/>
        <w:bottom w:val="none" w:sz="0" w:space="0" w:color="auto"/>
        <w:right w:val="none" w:sz="0" w:space="0" w:color="auto"/>
      </w:divBdr>
    </w:div>
    <w:div w:id="596671036">
      <w:bodyDiv w:val="1"/>
      <w:marLeft w:val="0"/>
      <w:marRight w:val="0"/>
      <w:marTop w:val="0"/>
      <w:marBottom w:val="0"/>
      <w:divBdr>
        <w:top w:val="none" w:sz="0" w:space="0" w:color="auto"/>
        <w:left w:val="none" w:sz="0" w:space="0" w:color="auto"/>
        <w:bottom w:val="none" w:sz="0" w:space="0" w:color="auto"/>
        <w:right w:val="none" w:sz="0" w:space="0" w:color="auto"/>
      </w:divBdr>
    </w:div>
    <w:div w:id="789250456">
      <w:bodyDiv w:val="1"/>
      <w:marLeft w:val="0"/>
      <w:marRight w:val="0"/>
      <w:marTop w:val="0"/>
      <w:marBottom w:val="0"/>
      <w:divBdr>
        <w:top w:val="none" w:sz="0" w:space="0" w:color="auto"/>
        <w:left w:val="none" w:sz="0" w:space="0" w:color="auto"/>
        <w:bottom w:val="none" w:sz="0" w:space="0" w:color="auto"/>
        <w:right w:val="none" w:sz="0" w:space="0" w:color="auto"/>
      </w:divBdr>
    </w:div>
    <w:div w:id="8960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0C0F4-B466-4C3C-ABFB-35513C13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1472</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Social Security (International Agreements) Amendment Regulation 2012 (No. 1)</vt:lpstr>
    </vt:vector>
  </TitlesOfParts>
  <Company>Families, Houisng, Community Services and Indigenous Affairs</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(International Agreements) Amendment Regulation 2012 (No. 1)</dc:title>
  <dc:subject>Explanatory Statement</dc:subject>
  <dc:creator>Jeff Cressall</dc:creator>
  <cp:lastModifiedBy>Burrowes, Megan</cp:lastModifiedBy>
  <cp:revision>2</cp:revision>
  <cp:lastPrinted>2016-04-22T00:30:00Z</cp:lastPrinted>
  <dcterms:created xsi:type="dcterms:W3CDTF">2016-04-22T01:28:00Z</dcterms:created>
  <dcterms:modified xsi:type="dcterms:W3CDTF">2016-04-22T01:28:00Z</dcterms:modified>
</cp:coreProperties>
</file>