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C2" w:rsidRDefault="000529C2" w:rsidP="00433F61">
      <w:pPr>
        <w:pStyle w:val="Title"/>
        <w:pBdr>
          <w:bottom w:val="single" w:sz="4" w:space="3" w:color="auto"/>
        </w:pBdr>
      </w:pPr>
      <w:bookmarkStart w:id="0" w:name="Citation"/>
      <w:bookmarkStart w:id="1" w:name="_GoBack"/>
      <w:bookmarkEnd w:id="1"/>
    </w:p>
    <w:p w:rsidR="00433F61" w:rsidRPr="00EE03FE" w:rsidRDefault="00433F61" w:rsidP="00433F61">
      <w:pPr>
        <w:pStyle w:val="Title"/>
        <w:pBdr>
          <w:bottom w:val="single" w:sz="4" w:space="3" w:color="auto"/>
        </w:pBdr>
      </w:pPr>
      <w:r w:rsidRPr="00EE03FE">
        <w:t xml:space="preserve">Therapeutic Goods Information </w:t>
      </w:r>
      <w:r>
        <w:t>(</w:t>
      </w:r>
      <w:r w:rsidR="0076351D">
        <w:t xml:space="preserve">Exemptions </w:t>
      </w:r>
      <w:r w:rsidR="00E31A0C">
        <w:t>from</w:t>
      </w:r>
      <w:r w:rsidR="00ED19D6">
        <w:t xml:space="preserve"> </w:t>
      </w:r>
      <w:r w:rsidR="00E30F11">
        <w:t>Annual Charges</w:t>
      </w:r>
      <w:r>
        <w:t xml:space="preserve">) </w:t>
      </w:r>
      <w:r w:rsidRPr="00EE03FE">
        <w:t>Specification</w:t>
      </w:r>
      <w:r>
        <w:t xml:space="preserve"> 201</w:t>
      </w:r>
      <w:bookmarkEnd w:id="0"/>
      <w:r w:rsidR="000A78BE">
        <w:t>6</w:t>
      </w:r>
    </w:p>
    <w:p w:rsidR="00433F61" w:rsidRPr="00EE03FE" w:rsidRDefault="00433F61" w:rsidP="00433F61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E03FE"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433F61" w:rsidRPr="00EE03FE" w:rsidRDefault="00433F61" w:rsidP="00433F61">
      <w:pPr>
        <w:spacing w:before="360"/>
        <w:jc w:val="both"/>
      </w:pPr>
      <w:r w:rsidRPr="00EE03FE">
        <w:t xml:space="preserve">I, </w:t>
      </w:r>
      <w:r w:rsidR="00E31A0C">
        <w:t>Larry Kelly,</w:t>
      </w:r>
      <w:r w:rsidRPr="00EE03FE">
        <w:t xml:space="preserve"> a delegate of the Minister for Health, make this Specification under subsection 61(5</w:t>
      </w:r>
      <w:r>
        <w:t>D</w:t>
      </w:r>
      <w:r w:rsidRPr="00EE03FE">
        <w:t xml:space="preserve">) of the </w:t>
      </w:r>
      <w:r w:rsidRPr="00EE03FE">
        <w:rPr>
          <w:i/>
        </w:rPr>
        <w:t>Therapeutic Goods Act 1989</w:t>
      </w:r>
      <w:r w:rsidRPr="00EE03FE">
        <w:t>.</w:t>
      </w:r>
    </w:p>
    <w:p w:rsidR="00433F61" w:rsidRPr="00EE03FE" w:rsidRDefault="00DA72F4" w:rsidP="000758F2">
      <w:pPr>
        <w:tabs>
          <w:tab w:val="left" w:pos="3567"/>
        </w:tabs>
        <w:spacing w:before="300" w:after="600" w:line="300" w:lineRule="atLeast"/>
      </w:pPr>
      <w:r>
        <w:t>Dated 4 May 2016</w:t>
      </w:r>
      <w:r w:rsidR="000758F2">
        <w:tab/>
      </w:r>
    </w:p>
    <w:p w:rsidR="00433F61" w:rsidRDefault="00DA72F4" w:rsidP="00433F61">
      <w:pPr>
        <w:tabs>
          <w:tab w:val="left" w:pos="3119"/>
        </w:tabs>
        <w:spacing w:before="600" w:line="300" w:lineRule="atLeast"/>
      </w:pPr>
      <w:r>
        <w:t>(Signed by)</w:t>
      </w:r>
    </w:p>
    <w:p w:rsidR="00433F61" w:rsidRPr="003C4071" w:rsidRDefault="00E31A0C" w:rsidP="00433F61">
      <w:pPr>
        <w:tabs>
          <w:tab w:val="left" w:pos="3119"/>
        </w:tabs>
        <w:spacing w:before="600" w:line="300" w:lineRule="atLeast"/>
      </w:pPr>
      <w:r>
        <w:rPr>
          <w:b/>
        </w:rPr>
        <w:t>LARRY KELLY</w:t>
      </w:r>
    </w:p>
    <w:p w:rsidR="00684986" w:rsidRDefault="00433F61" w:rsidP="00684986">
      <w:pPr>
        <w:pBdr>
          <w:bottom w:val="single" w:sz="4" w:space="12" w:color="auto"/>
        </w:pBdr>
        <w:tabs>
          <w:tab w:val="left" w:pos="3119"/>
          <w:tab w:val="right" w:pos="8313"/>
        </w:tabs>
        <w:spacing w:after="240" w:line="300" w:lineRule="atLeast"/>
      </w:pPr>
      <w:bookmarkStart w:id="2" w:name="Minister"/>
      <w:r w:rsidRPr="00EE03FE">
        <w:t>Delegate of the Minister for Health</w:t>
      </w:r>
      <w:bookmarkStart w:id="3" w:name="_Toc244919537"/>
      <w:bookmarkEnd w:id="2"/>
      <w:r w:rsidR="00684986">
        <w:tab/>
      </w:r>
    </w:p>
    <w:p w:rsidR="00684986" w:rsidRDefault="00684986">
      <w:pPr>
        <w:spacing w:after="200" w:line="0" w:lineRule="auto"/>
        <w:sectPr w:rsidR="00684986" w:rsidSect="0068498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684986" w:rsidRDefault="00684986">
      <w:pPr>
        <w:spacing w:after="200" w:line="0" w:lineRule="auto"/>
      </w:pPr>
      <w:r>
        <w:lastRenderedPageBreak/>
        <w:br w:type="page"/>
      </w:r>
    </w:p>
    <w:p w:rsidR="00684986" w:rsidRDefault="00684986">
      <w:pPr>
        <w:spacing w:after="200" w:line="0" w:lineRule="auto"/>
      </w:pPr>
    </w:p>
    <w:p w:rsidR="00433F61" w:rsidRPr="00684986" w:rsidRDefault="00433F61" w:rsidP="003105DD">
      <w:pPr>
        <w:pStyle w:val="HR"/>
      </w:pPr>
      <w:r w:rsidRPr="00684986">
        <w:rPr>
          <w:rStyle w:val="CharSectno"/>
          <w:b w:val="0"/>
        </w:rPr>
        <w:t>1</w:t>
      </w:r>
      <w:r w:rsidR="009E0032">
        <w:rPr>
          <w:rStyle w:val="CharSectno"/>
          <w:b w:val="0"/>
        </w:rPr>
        <w:tab/>
      </w:r>
      <w:r w:rsidRPr="009E0032">
        <w:t>Name of Specification</w:t>
      </w:r>
      <w:bookmarkEnd w:id="3"/>
    </w:p>
    <w:p w:rsidR="00433F61" w:rsidRPr="00983B27" w:rsidRDefault="00433F61" w:rsidP="003105DD">
      <w:pPr>
        <w:pStyle w:val="R1"/>
        <w:jc w:val="left"/>
        <w:rPr>
          <w:i/>
        </w:rPr>
      </w:pPr>
      <w:r w:rsidRPr="00EE03FE">
        <w:tab/>
      </w:r>
      <w:r w:rsidRPr="00EE03FE">
        <w:tab/>
        <w:t xml:space="preserve">This Specification is the </w:t>
      </w:r>
      <w:r w:rsidR="00983B27" w:rsidRPr="006F44C6">
        <w:rPr>
          <w:i/>
        </w:rPr>
        <w:t>Therapeutic Goods Information (</w:t>
      </w:r>
      <w:r w:rsidR="00064FD3">
        <w:rPr>
          <w:i/>
        </w:rPr>
        <w:t xml:space="preserve">Exemptions </w:t>
      </w:r>
      <w:r w:rsidR="00E31A0C">
        <w:rPr>
          <w:i/>
        </w:rPr>
        <w:t>from</w:t>
      </w:r>
      <w:r w:rsidR="00064FD3">
        <w:rPr>
          <w:i/>
        </w:rPr>
        <w:t xml:space="preserve"> </w:t>
      </w:r>
      <w:r w:rsidR="003D4363">
        <w:rPr>
          <w:i/>
        </w:rPr>
        <w:t>Annual Charges</w:t>
      </w:r>
      <w:r w:rsidR="00983B27" w:rsidRPr="006F44C6">
        <w:rPr>
          <w:i/>
        </w:rPr>
        <w:t>) Specification</w:t>
      </w:r>
      <w:r w:rsidR="00983B27">
        <w:rPr>
          <w:i/>
        </w:rPr>
        <w:t xml:space="preserve"> 201</w:t>
      </w:r>
      <w:r w:rsidR="00E31A0C">
        <w:rPr>
          <w:i/>
        </w:rPr>
        <w:t>6</w:t>
      </w:r>
      <w:r w:rsidRPr="00EE03FE">
        <w:t>.</w:t>
      </w:r>
    </w:p>
    <w:p w:rsidR="00433F61" w:rsidRPr="00EE03FE" w:rsidRDefault="00433F61" w:rsidP="003105DD">
      <w:pPr>
        <w:pStyle w:val="HR"/>
      </w:pPr>
      <w:bookmarkStart w:id="4" w:name="_Toc244919538"/>
      <w:r w:rsidRPr="00EE03FE">
        <w:rPr>
          <w:rStyle w:val="CharSectno"/>
        </w:rPr>
        <w:t>2</w:t>
      </w:r>
      <w:r w:rsidRPr="00EE03FE">
        <w:tab/>
        <w:t>Commencement</w:t>
      </w:r>
      <w:bookmarkEnd w:id="4"/>
    </w:p>
    <w:p w:rsidR="00433F61" w:rsidRPr="00EE03FE" w:rsidRDefault="00433F61" w:rsidP="003105DD">
      <w:pPr>
        <w:pStyle w:val="R1"/>
        <w:jc w:val="left"/>
      </w:pPr>
      <w:r w:rsidRPr="00EE03FE">
        <w:tab/>
      </w:r>
      <w:r w:rsidRPr="00EE03FE">
        <w:tab/>
        <w:t xml:space="preserve">This Specification commences on </w:t>
      </w:r>
      <w:r w:rsidR="0011219A">
        <w:t>1 July 201</w:t>
      </w:r>
      <w:r w:rsidR="00047CF7">
        <w:t>6</w:t>
      </w:r>
      <w:r w:rsidRPr="00EE03FE">
        <w:t>.</w:t>
      </w:r>
    </w:p>
    <w:p w:rsidR="00433F61" w:rsidRPr="00EE03FE" w:rsidRDefault="00433F61" w:rsidP="003105DD">
      <w:pPr>
        <w:pStyle w:val="HR"/>
      </w:pPr>
      <w:bookmarkStart w:id="5" w:name="_Toc244919539"/>
      <w:r w:rsidRPr="00EE03FE">
        <w:rPr>
          <w:rStyle w:val="CharSectno"/>
        </w:rPr>
        <w:t>3</w:t>
      </w:r>
      <w:r w:rsidRPr="00EE03FE">
        <w:tab/>
        <w:t>Definitions</w:t>
      </w:r>
      <w:bookmarkEnd w:id="5"/>
    </w:p>
    <w:p w:rsidR="00433F61" w:rsidRDefault="00433F61" w:rsidP="003105DD">
      <w:pPr>
        <w:pStyle w:val="ZR1"/>
        <w:jc w:val="left"/>
      </w:pPr>
      <w:r w:rsidRPr="00EE03FE">
        <w:tab/>
      </w:r>
      <w:r w:rsidRPr="00EE03FE">
        <w:tab/>
        <w:t>In this Specification:</w:t>
      </w:r>
    </w:p>
    <w:p w:rsidR="006C1477" w:rsidRDefault="00433F61" w:rsidP="00150CD3">
      <w:pPr>
        <w:pStyle w:val="definition"/>
        <w:spacing w:before="120" w:after="120"/>
        <w:ind w:left="993"/>
        <w:jc w:val="left"/>
      </w:pPr>
      <w:r w:rsidRPr="00EE03FE">
        <w:rPr>
          <w:b/>
          <w:i/>
        </w:rPr>
        <w:t>Act</w:t>
      </w:r>
      <w:r w:rsidRPr="00EE03FE">
        <w:t xml:space="preserve"> means the </w:t>
      </w:r>
      <w:r w:rsidRPr="00EE03FE">
        <w:rPr>
          <w:i/>
        </w:rPr>
        <w:t>Therapeutic Goods Act 1989</w:t>
      </w:r>
      <w:r w:rsidRPr="00EE03FE">
        <w:t>.</w:t>
      </w:r>
    </w:p>
    <w:p w:rsidR="006C1477" w:rsidRPr="00363EEE" w:rsidRDefault="00363EEE" w:rsidP="00150CD3">
      <w:pPr>
        <w:pStyle w:val="definition"/>
        <w:spacing w:before="120" w:after="120"/>
        <w:ind w:left="993"/>
        <w:jc w:val="left"/>
      </w:pPr>
      <w:r>
        <w:rPr>
          <w:b/>
          <w:i/>
        </w:rPr>
        <w:t>Annual Charges Exemption Scheme</w:t>
      </w:r>
      <w:r>
        <w:t xml:space="preserve"> means</w:t>
      </w:r>
      <w:r w:rsidR="002D097A">
        <w:t xml:space="preserve"> the scheme relating to</w:t>
      </w:r>
      <w:r w:rsidR="00FE6133">
        <w:t xml:space="preserve"> </w:t>
      </w:r>
      <w:r w:rsidR="002D097A">
        <w:t>exemptions from liability to pay annual charges set out</w:t>
      </w:r>
      <w:r w:rsidR="00FE6133">
        <w:t xml:space="preserve"> in Subdivision 2 of Division 1 of Part 7 of the </w:t>
      </w:r>
      <w:r w:rsidR="00F33C9B">
        <w:t>Regulations</w:t>
      </w:r>
      <w:r w:rsidR="00FE6133">
        <w:t xml:space="preserve">. </w:t>
      </w:r>
    </w:p>
    <w:p w:rsidR="00150CD3" w:rsidRDefault="00150CD3" w:rsidP="00150CD3">
      <w:pPr>
        <w:pStyle w:val="definition"/>
        <w:spacing w:before="120" w:after="120"/>
        <w:ind w:left="993"/>
        <w:jc w:val="left"/>
      </w:pPr>
      <w:r>
        <w:rPr>
          <w:b/>
          <w:i/>
        </w:rPr>
        <w:t>ARTG</w:t>
      </w:r>
      <w:r w:rsidRPr="007A4D1F">
        <w:rPr>
          <w:i/>
        </w:rPr>
        <w:t xml:space="preserve"> </w:t>
      </w:r>
      <w:r w:rsidRPr="007A4D1F">
        <w:t xml:space="preserve">means the Australian </w:t>
      </w:r>
      <w:r>
        <w:t>Register</w:t>
      </w:r>
      <w:r w:rsidRPr="007A4D1F">
        <w:t xml:space="preserve"> of Therapeutic Goods.</w:t>
      </w:r>
    </w:p>
    <w:p w:rsidR="00150CD3" w:rsidRDefault="00150CD3" w:rsidP="00150CD3">
      <w:pPr>
        <w:pStyle w:val="definition"/>
        <w:spacing w:before="120" w:after="120"/>
        <w:ind w:left="993"/>
        <w:jc w:val="left"/>
      </w:pPr>
      <w:r>
        <w:rPr>
          <w:b/>
          <w:i/>
        </w:rPr>
        <w:t>Regulations</w:t>
      </w:r>
      <w:r>
        <w:t xml:space="preserve"> means the </w:t>
      </w:r>
      <w:r w:rsidRPr="006C1477">
        <w:rPr>
          <w:i/>
        </w:rPr>
        <w:t>Therapeutic Goods Regulations 1990</w:t>
      </w:r>
      <w:r>
        <w:t>.</w:t>
      </w:r>
    </w:p>
    <w:p w:rsidR="00C30B5A" w:rsidRPr="00C30B5A" w:rsidRDefault="00C30B5A" w:rsidP="00150CD3">
      <w:pPr>
        <w:pStyle w:val="definition"/>
        <w:spacing w:before="120" w:after="120"/>
        <w:ind w:left="993"/>
        <w:jc w:val="left"/>
      </w:pPr>
      <w:r>
        <w:rPr>
          <w:b/>
          <w:i/>
        </w:rPr>
        <w:t>Sponsor</w:t>
      </w:r>
      <w:r w:rsidR="00111AE9">
        <w:t xml:space="preserve"> </w:t>
      </w:r>
      <w:r>
        <w:t>means</w:t>
      </w:r>
      <w:r w:rsidR="00111AE9">
        <w:t xml:space="preserve"> the person in relation to whom therapeutic goods are registered, listed or included in the ARTG.</w:t>
      </w:r>
    </w:p>
    <w:p w:rsidR="00433F61" w:rsidRPr="00EE03FE" w:rsidRDefault="00433F61" w:rsidP="003105DD">
      <w:pPr>
        <w:pStyle w:val="HR"/>
      </w:pPr>
      <w:bookmarkStart w:id="6" w:name="_Toc244919540"/>
      <w:r>
        <w:t>4</w:t>
      </w:r>
      <w:r>
        <w:tab/>
      </w:r>
      <w:r w:rsidRPr="00EE03FE">
        <w:t>Therapeutic goods information</w:t>
      </w:r>
      <w:bookmarkEnd w:id="6"/>
    </w:p>
    <w:p w:rsidR="00684986" w:rsidRDefault="00433F61" w:rsidP="003105DD">
      <w:pPr>
        <w:pStyle w:val="R1"/>
        <w:jc w:val="left"/>
      </w:pPr>
      <w:r w:rsidRPr="00EE03FE">
        <w:tab/>
      </w:r>
      <w:r w:rsidRPr="00EE03FE">
        <w:tab/>
      </w:r>
      <w:r>
        <w:t xml:space="preserve">The kinds of </w:t>
      </w:r>
      <w:r w:rsidRPr="00EE03FE">
        <w:t xml:space="preserve">therapeutic goods information mentioned in Schedule 1 </w:t>
      </w:r>
      <w:r>
        <w:t>are</w:t>
      </w:r>
      <w:r w:rsidRPr="00EE03FE">
        <w:t xml:space="preserve"> specified</w:t>
      </w:r>
      <w:r>
        <w:t xml:space="preserve"> under subsection 61(5D) of the Act for the purposes of subsection 61(5C) of the Act</w:t>
      </w:r>
      <w:r w:rsidRPr="00EE03FE">
        <w:t>.</w:t>
      </w:r>
    </w:p>
    <w:p w:rsidR="00684986" w:rsidRPr="00684986" w:rsidRDefault="00684986" w:rsidP="003105DD">
      <w:pPr>
        <w:rPr>
          <w:lang w:eastAsia="en-AU"/>
        </w:rPr>
      </w:pPr>
    </w:p>
    <w:p w:rsidR="00684986" w:rsidRPr="00684986" w:rsidRDefault="00684986" w:rsidP="003105DD">
      <w:pPr>
        <w:rPr>
          <w:lang w:eastAsia="en-AU"/>
        </w:rPr>
      </w:pPr>
    </w:p>
    <w:p w:rsidR="00684986" w:rsidRPr="00684986" w:rsidRDefault="00684986" w:rsidP="003105DD">
      <w:pPr>
        <w:rPr>
          <w:lang w:eastAsia="en-AU"/>
        </w:rPr>
      </w:pPr>
    </w:p>
    <w:p w:rsidR="00684986" w:rsidRPr="00684986" w:rsidRDefault="00684986" w:rsidP="003105DD">
      <w:pPr>
        <w:rPr>
          <w:lang w:eastAsia="en-AU"/>
        </w:rPr>
      </w:pPr>
    </w:p>
    <w:p w:rsidR="00684986" w:rsidRPr="00684986" w:rsidRDefault="00684986" w:rsidP="003105DD">
      <w:pPr>
        <w:rPr>
          <w:lang w:eastAsia="en-AU"/>
        </w:rPr>
      </w:pPr>
    </w:p>
    <w:p w:rsidR="00684986" w:rsidRPr="00684986" w:rsidRDefault="00684986" w:rsidP="003105DD">
      <w:pPr>
        <w:rPr>
          <w:lang w:eastAsia="en-AU"/>
        </w:rPr>
      </w:pPr>
    </w:p>
    <w:p w:rsidR="00684986" w:rsidRDefault="00684986" w:rsidP="003105DD">
      <w:pPr>
        <w:rPr>
          <w:lang w:eastAsia="en-AU"/>
        </w:rPr>
      </w:pPr>
    </w:p>
    <w:p w:rsidR="009E0032" w:rsidRDefault="00684986" w:rsidP="003105DD">
      <w:pPr>
        <w:tabs>
          <w:tab w:val="left" w:pos="1167"/>
        </w:tabs>
        <w:rPr>
          <w:lang w:eastAsia="en-AU"/>
        </w:rPr>
        <w:sectPr w:rsidR="009E0032" w:rsidSect="00063207">
          <w:type w:val="continuous"/>
          <w:pgSz w:w="11907" w:h="16839" w:code="9"/>
          <w:pgMar w:top="1440" w:right="1797" w:bottom="1440" w:left="1797" w:header="709" w:footer="1134" w:gutter="0"/>
          <w:cols w:space="708"/>
          <w:titlePg/>
          <w:docGrid w:linePitch="360"/>
        </w:sectPr>
      </w:pPr>
      <w:r>
        <w:rPr>
          <w:lang w:eastAsia="en-AU"/>
        </w:rPr>
        <w:tab/>
      </w:r>
    </w:p>
    <w:p w:rsidR="00433F61" w:rsidRPr="00684986" w:rsidRDefault="00433F61" w:rsidP="003105DD">
      <w:pPr>
        <w:tabs>
          <w:tab w:val="left" w:pos="1167"/>
        </w:tabs>
        <w:rPr>
          <w:lang w:eastAsia="en-AU"/>
        </w:rPr>
      </w:pPr>
    </w:p>
    <w:p w:rsidR="00433F61" w:rsidRPr="00EE03FE" w:rsidRDefault="00433F61" w:rsidP="003105DD">
      <w:pPr>
        <w:pStyle w:val="Scheduletitle"/>
      </w:pPr>
      <w:bookmarkStart w:id="7" w:name="_Toc244919541"/>
      <w:r w:rsidRPr="00EE03FE">
        <w:rPr>
          <w:rStyle w:val="CharSchNo"/>
        </w:rPr>
        <w:lastRenderedPageBreak/>
        <w:t>Schedule 1</w:t>
      </w:r>
      <w:r w:rsidRPr="00EE03FE">
        <w:tab/>
      </w:r>
      <w:r>
        <w:rPr>
          <w:rStyle w:val="CharSchText"/>
        </w:rPr>
        <w:t>Specified k</w:t>
      </w:r>
      <w:r w:rsidRPr="00EE03FE">
        <w:rPr>
          <w:rStyle w:val="CharSchText"/>
        </w:rPr>
        <w:t xml:space="preserve">inds of </w:t>
      </w:r>
      <w:r>
        <w:rPr>
          <w:rStyle w:val="CharSchText"/>
        </w:rPr>
        <w:t xml:space="preserve">therapeutic goods </w:t>
      </w:r>
      <w:r w:rsidRPr="00EE03FE">
        <w:rPr>
          <w:rStyle w:val="CharSchText"/>
        </w:rPr>
        <w:t>information</w:t>
      </w:r>
      <w:bookmarkEnd w:id="7"/>
    </w:p>
    <w:p w:rsidR="00433F61" w:rsidRDefault="00433F61" w:rsidP="003105DD">
      <w:pPr>
        <w:pStyle w:val="Schedulereference"/>
      </w:pPr>
      <w:r w:rsidRPr="00EE03FE">
        <w:t>(section 4)</w:t>
      </w:r>
    </w:p>
    <w:p w:rsidR="00433F61" w:rsidRDefault="00433F61" w:rsidP="003105DD">
      <w:pPr>
        <w:pStyle w:val="Schedulepara"/>
        <w:keepNext/>
        <w:keepLines/>
        <w:spacing w:before="0"/>
        <w:ind w:left="0" w:firstLine="0"/>
        <w:jc w:val="left"/>
      </w:pPr>
    </w:p>
    <w:p w:rsidR="00433F61" w:rsidRDefault="00433F61" w:rsidP="003105DD">
      <w:pPr>
        <w:pStyle w:val="Schedulepara"/>
        <w:keepNext/>
        <w:keepLines/>
        <w:spacing w:before="0"/>
        <w:ind w:left="0" w:firstLine="0"/>
        <w:jc w:val="left"/>
      </w:pPr>
    </w:p>
    <w:p w:rsidR="00433F61" w:rsidRDefault="00433F61" w:rsidP="003105DD">
      <w:pPr>
        <w:pStyle w:val="Schedulepara"/>
        <w:keepNext/>
        <w:keepLines/>
        <w:spacing w:before="0"/>
        <w:ind w:left="0" w:firstLine="0"/>
        <w:jc w:val="left"/>
      </w:pPr>
      <w:r>
        <w:t>The following kinds of therapeutic goods information:</w:t>
      </w:r>
    </w:p>
    <w:p w:rsidR="00433F61" w:rsidRDefault="00433F61" w:rsidP="003105DD">
      <w:pPr>
        <w:pStyle w:val="Schedulepara"/>
        <w:keepNext/>
        <w:keepLines/>
        <w:spacing w:before="0"/>
        <w:ind w:left="0" w:firstLine="0"/>
        <w:jc w:val="left"/>
      </w:pPr>
    </w:p>
    <w:p w:rsidR="00433F61" w:rsidRPr="00D94916" w:rsidRDefault="00433F61" w:rsidP="003105DD">
      <w:pPr>
        <w:pStyle w:val="Schedulepara"/>
        <w:keepNext/>
        <w:keepLines/>
        <w:spacing w:before="0"/>
        <w:ind w:left="720" w:hanging="720"/>
        <w:jc w:val="left"/>
        <w:rPr>
          <w:sz w:val="20"/>
          <w:szCs w:val="20"/>
        </w:rPr>
      </w:pPr>
      <w:r>
        <w:rPr>
          <w:sz w:val="20"/>
          <w:szCs w:val="20"/>
        </w:rPr>
        <w:t>Note:</w:t>
      </w:r>
      <w:r w:rsidR="005C6F03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</w:t>
      </w:r>
      <w:r w:rsidRPr="00D94916">
        <w:rPr>
          <w:sz w:val="20"/>
          <w:szCs w:val="20"/>
        </w:rPr>
        <w:t>following specified kinds of therapeutic goods information may be released by the Secretary</w:t>
      </w:r>
      <w:r>
        <w:rPr>
          <w:sz w:val="20"/>
          <w:szCs w:val="20"/>
        </w:rPr>
        <w:t xml:space="preserve"> to the public under subsection 61(5C) of the Act.</w:t>
      </w:r>
    </w:p>
    <w:p w:rsidR="00433F61" w:rsidRDefault="00433F61" w:rsidP="003105DD">
      <w:pPr>
        <w:pStyle w:val="Schedulepara"/>
        <w:keepNext/>
        <w:keepLines/>
        <w:spacing w:before="0"/>
        <w:jc w:val="left"/>
      </w:pPr>
    </w:p>
    <w:p w:rsidR="005C6F03" w:rsidRDefault="005C6F03" w:rsidP="003105DD">
      <w:pPr>
        <w:pStyle w:val="Schedulepara"/>
        <w:keepNext/>
        <w:keepLines/>
        <w:tabs>
          <w:tab w:val="clear" w:pos="567"/>
          <w:tab w:val="left" w:pos="0"/>
        </w:tabs>
        <w:spacing w:before="0"/>
        <w:ind w:left="0" w:firstLine="0"/>
        <w:jc w:val="left"/>
        <w:rPr>
          <w:b/>
        </w:rPr>
      </w:pPr>
    </w:p>
    <w:p w:rsidR="00433F61" w:rsidRPr="005C6F03" w:rsidRDefault="00433F61" w:rsidP="003105DD">
      <w:pPr>
        <w:pStyle w:val="Schedulepara"/>
        <w:keepNext/>
        <w:keepLines/>
        <w:tabs>
          <w:tab w:val="clear" w:pos="567"/>
          <w:tab w:val="left" w:pos="0"/>
        </w:tabs>
        <w:spacing w:before="0"/>
        <w:ind w:left="0" w:firstLine="0"/>
        <w:jc w:val="left"/>
        <w:rPr>
          <w:b/>
        </w:rPr>
      </w:pPr>
      <w:r w:rsidRPr="005C6F03">
        <w:rPr>
          <w:b/>
        </w:rPr>
        <w:t xml:space="preserve">Kinds of therapeutic goods information relating to </w:t>
      </w:r>
      <w:r w:rsidR="00DE2CE4">
        <w:rPr>
          <w:b/>
        </w:rPr>
        <w:t xml:space="preserve">exemptions under </w:t>
      </w:r>
      <w:r w:rsidR="00363EEE">
        <w:rPr>
          <w:b/>
        </w:rPr>
        <w:t xml:space="preserve">the Annual Charges Exemption Scheme </w:t>
      </w:r>
      <w:r w:rsidR="00A947FC" w:rsidRPr="005C6F03">
        <w:rPr>
          <w:b/>
        </w:rPr>
        <w:t xml:space="preserve"> </w:t>
      </w:r>
    </w:p>
    <w:p w:rsidR="00433F61" w:rsidRDefault="00433F61" w:rsidP="003105DD">
      <w:pPr>
        <w:pStyle w:val="Schedulepara"/>
        <w:keepNext/>
        <w:keepLines/>
        <w:spacing w:before="0"/>
        <w:jc w:val="left"/>
      </w:pPr>
    </w:p>
    <w:p w:rsidR="009A6FE7" w:rsidRDefault="009A6FE7" w:rsidP="003105DD">
      <w:pPr>
        <w:pStyle w:val="Schedulepara"/>
        <w:keepNext/>
        <w:keepLines/>
        <w:spacing w:before="0"/>
        <w:jc w:val="left"/>
      </w:pPr>
    </w:p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696"/>
        <w:gridCol w:w="1669"/>
        <w:gridCol w:w="6140"/>
      </w:tblGrid>
      <w:tr w:rsidR="0086378D" w:rsidTr="00A947FC">
        <w:trPr>
          <w:tblHeader/>
        </w:trPr>
        <w:tc>
          <w:tcPr>
            <w:tcW w:w="696" w:type="dxa"/>
          </w:tcPr>
          <w:p w:rsidR="00433F61" w:rsidRPr="00817F65" w:rsidRDefault="00433F61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Item </w:t>
            </w:r>
          </w:p>
        </w:tc>
        <w:tc>
          <w:tcPr>
            <w:tcW w:w="1669" w:type="dxa"/>
          </w:tcPr>
          <w:p w:rsidR="00433F61" w:rsidRDefault="00433F61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 w:rsidRPr="00CF4A68">
              <w:rPr>
                <w:b/>
              </w:rPr>
              <w:t>Information</w:t>
            </w:r>
          </w:p>
        </w:tc>
        <w:tc>
          <w:tcPr>
            <w:tcW w:w="6140" w:type="dxa"/>
          </w:tcPr>
          <w:p w:rsidR="00433F61" w:rsidRDefault="00433F61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 w:rsidRPr="00CF4A68">
              <w:rPr>
                <w:b/>
              </w:rPr>
              <w:t>Description</w:t>
            </w:r>
            <w:r>
              <w:rPr>
                <w:b/>
              </w:rPr>
              <w:t xml:space="preserve"> </w:t>
            </w:r>
          </w:p>
        </w:tc>
      </w:tr>
      <w:tr w:rsidR="0086378D" w:rsidTr="00A947FC">
        <w:tc>
          <w:tcPr>
            <w:tcW w:w="696" w:type="dxa"/>
          </w:tcPr>
          <w:p w:rsidR="00EF4573" w:rsidRDefault="00EF4573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433F61" w:rsidRDefault="00433F61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(a)</w:t>
            </w:r>
          </w:p>
        </w:tc>
        <w:tc>
          <w:tcPr>
            <w:tcW w:w="1669" w:type="dxa"/>
          </w:tcPr>
          <w:p w:rsidR="00EF4573" w:rsidRDefault="00EF4573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433F61" w:rsidRDefault="00A947FC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Sponsor name </w:t>
            </w:r>
          </w:p>
        </w:tc>
        <w:tc>
          <w:tcPr>
            <w:tcW w:w="6140" w:type="dxa"/>
          </w:tcPr>
          <w:p w:rsidR="00EF4573" w:rsidRDefault="00EF4573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433F61" w:rsidRDefault="00A947FC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The name of the </w:t>
            </w:r>
            <w:r w:rsidR="00111AE9">
              <w:t>sponsor</w:t>
            </w:r>
            <w:r w:rsidR="00950C03">
              <w:t xml:space="preserve"> in relation to </w:t>
            </w:r>
            <w:r w:rsidR="00064FD3">
              <w:t xml:space="preserve">whom </w:t>
            </w:r>
            <w:r w:rsidR="0076351D">
              <w:t>therapeutic goods</w:t>
            </w:r>
            <w:r w:rsidR="00064FD3">
              <w:t xml:space="preserve"> </w:t>
            </w:r>
            <w:r w:rsidR="00047CF7">
              <w:t xml:space="preserve">were </w:t>
            </w:r>
            <w:r w:rsidR="00064FD3">
              <w:t xml:space="preserve">registered, listed or included in the ARTG </w:t>
            </w:r>
            <w:r w:rsidR="00047CF7">
              <w:t xml:space="preserve">in a particular financial year </w:t>
            </w:r>
            <w:r w:rsidR="00064FD3">
              <w:t xml:space="preserve">and who </w:t>
            </w:r>
            <w:r w:rsidR="00047CF7">
              <w:t xml:space="preserve">was </w:t>
            </w:r>
            <w:r w:rsidR="00064FD3">
              <w:t>exempt from paying an annual charge in relation to those goods</w:t>
            </w:r>
            <w:r w:rsidR="00047CF7">
              <w:t xml:space="preserve"> in that financial year</w:t>
            </w:r>
            <w:r w:rsidR="00111AE9">
              <w:t>.</w:t>
            </w:r>
          </w:p>
          <w:p w:rsidR="00D00723" w:rsidRDefault="00D00723" w:rsidP="003105DD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86378D" w:rsidTr="00A947FC">
        <w:tc>
          <w:tcPr>
            <w:tcW w:w="696" w:type="dxa"/>
          </w:tcPr>
          <w:p w:rsidR="00EF4573" w:rsidRDefault="00EF4573" w:rsidP="00EB2190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433F61" w:rsidRDefault="00433F61" w:rsidP="00EB2190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</w:t>
            </w:r>
            <w:r w:rsidR="00D76D9E">
              <w:t>b</w:t>
            </w:r>
            <w:r>
              <w:t>)</w:t>
            </w:r>
          </w:p>
        </w:tc>
        <w:tc>
          <w:tcPr>
            <w:tcW w:w="1669" w:type="dxa"/>
          </w:tcPr>
          <w:p w:rsidR="00EF4573" w:rsidRDefault="00EF4573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00723" w:rsidRDefault="00150CD3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ARTG</w:t>
            </w:r>
            <w:r w:rsidR="00D00723">
              <w:t xml:space="preserve"> </w:t>
            </w:r>
            <w:r w:rsidR="00403272">
              <w:t xml:space="preserve">number  </w:t>
            </w:r>
            <w:r w:rsidR="00D00723">
              <w:t xml:space="preserve"> </w:t>
            </w:r>
          </w:p>
          <w:p w:rsidR="00433F61" w:rsidRDefault="00433F61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  <w:tc>
          <w:tcPr>
            <w:tcW w:w="6140" w:type="dxa"/>
          </w:tcPr>
          <w:p w:rsidR="00EF4573" w:rsidRDefault="00EF4573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433F61" w:rsidRDefault="00D00723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The </w:t>
            </w:r>
            <w:r w:rsidR="00150CD3">
              <w:t>ARTG</w:t>
            </w:r>
            <w:r>
              <w:t xml:space="preserve"> </w:t>
            </w:r>
            <w:r w:rsidR="00403272">
              <w:t xml:space="preserve">number </w:t>
            </w:r>
            <w:r w:rsidR="00832DF4">
              <w:t xml:space="preserve">of the </w:t>
            </w:r>
            <w:r w:rsidR="00721581">
              <w:t>therapeutic good</w:t>
            </w:r>
            <w:r w:rsidR="00D27C20">
              <w:t>s</w:t>
            </w:r>
            <w:r w:rsidR="0076351D">
              <w:t xml:space="preserve"> in relation to which the exemption applie</w:t>
            </w:r>
            <w:r w:rsidR="000E578F">
              <w:t>d</w:t>
            </w:r>
            <w:r w:rsidR="00DC6944">
              <w:t>.</w:t>
            </w:r>
            <w:r w:rsidR="00832DF4">
              <w:t xml:space="preserve">  </w:t>
            </w:r>
          </w:p>
          <w:p w:rsidR="006A1C5C" w:rsidRDefault="006A1C5C" w:rsidP="003105DD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FC4D91" w:rsidTr="00A947FC">
        <w:tc>
          <w:tcPr>
            <w:tcW w:w="696" w:type="dxa"/>
          </w:tcPr>
          <w:p w:rsidR="00EF4573" w:rsidRDefault="00EF4573" w:rsidP="00EB2190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FC4D91" w:rsidRDefault="00FC4D91" w:rsidP="00EB2190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</w:t>
            </w:r>
            <w:r w:rsidR="00D76D9E">
              <w:t>c</w:t>
            </w:r>
            <w:r>
              <w:t>)</w:t>
            </w:r>
          </w:p>
        </w:tc>
        <w:tc>
          <w:tcPr>
            <w:tcW w:w="1669" w:type="dxa"/>
          </w:tcPr>
          <w:p w:rsidR="00EF4573" w:rsidRDefault="00EF4573" w:rsidP="00EB2190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FC4D91" w:rsidRDefault="00FC4D91" w:rsidP="00EB2190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Name of </w:t>
            </w:r>
            <w:r w:rsidR="00EB2190">
              <w:t>the therapeutic goods</w:t>
            </w:r>
          </w:p>
          <w:p w:rsidR="00EF4573" w:rsidRDefault="00EF4573" w:rsidP="00EB2190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  <w:tc>
          <w:tcPr>
            <w:tcW w:w="6140" w:type="dxa"/>
          </w:tcPr>
          <w:p w:rsidR="00EF4573" w:rsidRDefault="00EF4573" w:rsidP="00EB2190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FC4D91" w:rsidRDefault="00FC4D91" w:rsidP="00047CF7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The </w:t>
            </w:r>
            <w:r w:rsidR="0076351D">
              <w:t xml:space="preserve">name of the </w:t>
            </w:r>
            <w:r w:rsidR="00064FD3">
              <w:t xml:space="preserve">therapeutic </w:t>
            </w:r>
            <w:r w:rsidR="0076351D">
              <w:t>goods as it appear</w:t>
            </w:r>
            <w:r w:rsidR="00047CF7">
              <w:t>ed</w:t>
            </w:r>
            <w:r w:rsidR="0076351D">
              <w:t xml:space="preserve"> </w:t>
            </w:r>
            <w:r w:rsidR="00047CF7">
              <w:t xml:space="preserve">in </w:t>
            </w:r>
            <w:r w:rsidR="0076351D">
              <w:t>the relevant ARTG entry</w:t>
            </w:r>
            <w:r w:rsidR="00064FD3">
              <w:t xml:space="preserve"> in relation to which </w:t>
            </w:r>
            <w:r w:rsidR="00EE4CBB">
              <w:t xml:space="preserve">the sponsor </w:t>
            </w:r>
            <w:r w:rsidR="00047CF7">
              <w:t xml:space="preserve">was </w:t>
            </w:r>
            <w:r w:rsidR="00EE4CBB">
              <w:t>exempt from paying an annual charge</w:t>
            </w:r>
            <w:r w:rsidR="000E578F">
              <w:t xml:space="preserve"> in </w:t>
            </w:r>
            <w:r w:rsidR="003465F4">
              <w:t xml:space="preserve">the </w:t>
            </w:r>
            <w:r w:rsidR="000E578F">
              <w:t>relevant financial year</w:t>
            </w:r>
            <w:r>
              <w:t>.</w:t>
            </w:r>
          </w:p>
        </w:tc>
      </w:tr>
      <w:tr w:rsidR="0086378D" w:rsidTr="00A947FC">
        <w:tc>
          <w:tcPr>
            <w:tcW w:w="696" w:type="dxa"/>
          </w:tcPr>
          <w:p w:rsidR="00EF4573" w:rsidRDefault="00EF4573" w:rsidP="00EB2190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433F61" w:rsidRDefault="00433F61" w:rsidP="00EB2190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</w:t>
            </w:r>
            <w:r w:rsidR="00D76D9E">
              <w:t>d</w:t>
            </w:r>
            <w:r>
              <w:t>)</w:t>
            </w:r>
          </w:p>
        </w:tc>
        <w:tc>
          <w:tcPr>
            <w:tcW w:w="1669" w:type="dxa"/>
          </w:tcPr>
          <w:p w:rsidR="00EF4573" w:rsidRDefault="00EF4573" w:rsidP="00EF4573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433F61" w:rsidRDefault="00586B5B" w:rsidP="00EF4573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E</w:t>
            </w:r>
            <w:r w:rsidR="00EB2190">
              <w:t>xempt</w:t>
            </w:r>
            <w:r>
              <w:t>ion from</w:t>
            </w:r>
            <w:r w:rsidR="00EF4573">
              <w:t xml:space="preserve"> </w:t>
            </w:r>
            <w:r w:rsidR="00EB2190">
              <w:t xml:space="preserve">annual charges </w:t>
            </w:r>
            <w:r w:rsidR="00E73355">
              <w:t>for a particular financial year</w:t>
            </w:r>
          </w:p>
          <w:p w:rsidR="00EF4573" w:rsidRDefault="00EF4573" w:rsidP="00EF4573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  <w:tc>
          <w:tcPr>
            <w:tcW w:w="6140" w:type="dxa"/>
          </w:tcPr>
          <w:p w:rsidR="00EF4573" w:rsidRDefault="00EF4573" w:rsidP="00E452F2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AB2CF9" w:rsidRDefault="00950C03" w:rsidP="00D76D9E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That </w:t>
            </w:r>
            <w:r w:rsidR="00586B5B">
              <w:t>the</w:t>
            </w:r>
            <w:r w:rsidR="00E452F2">
              <w:t xml:space="preserve"> </w:t>
            </w:r>
            <w:r w:rsidR="00E86429">
              <w:t xml:space="preserve">sponsor </w:t>
            </w:r>
            <w:r w:rsidR="00047CF7">
              <w:t>was</w:t>
            </w:r>
            <w:r w:rsidR="00AB2CF9">
              <w:t>, for a particular financial year,</w:t>
            </w:r>
            <w:r w:rsidR="00E86429">
              <w:t xml:space="preserve"> exempt</w:t>
            </w:r>
            <w:r w:rsidR="00E452F2">
              <w:t xml:space="preserve"> under the Annual Charges Exemption Scheme</w:t>
            </w:r>
            <w:r w:rsidR="00AB2CF9">
              <w:t xml:space="preserve"> </w:t>
            </w:r>
            <w:r w:rsidR="00E86429">
              <w:t>from liability to pay an ann</w:t>
            </w:r>
            <w:r w:rsidR="00AB2CF9">
              <w:t xml:space="preserve">ual registration charge, annual </w:t>
            </w:r>
            <w:r w:rsidR="00E86429">
              <w:t>listing charge or annual charge for inclusion in the ARTG</w:t>
            </w:r>
            <w:r w:rsidR="00EF4573">
              <w:t xml:space="preserve">, </w:t>
            </w:r>
            <w:r w:rsidR="00E452F2">
              <w:t>in respect of therapeutic goods</w:t>
            </w:r>
            <w:r>
              <w:t xml:space="preserve"> as identified by name and ARTG number</w:t>
            </w:r>
            <w:r w:rsidR="00AB2CF9">
              <w:t xml:space="preserve">.  </w:t>
            </w:r>
          </w:p>
          <w:p w:rsidR="00D76D9E" w:rsidRDefault="00D76D9E" w:rsidP="00D76D9E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</w:tbl>
    <w:p w:rsidR="00433F61" w:rsidRDefault="00433F61" w:rsidP="003105DD">
      <w:pPr>
        <w:pStyle w:val="Schedulepara"/>
        <w:keepNext/>
        <w:keepLines/>
        <w:spacing w:before="0"/>
        <w:ind w:left="720" w:hanging="720"/>
        <w:jc w:val="left"/>
        <w:rPr>
          <w:sz w:val="20"/>
          <w:szCs w:val="20"/>
        </w:rPr>
      </w:pPr>
    </w:p>
    <w:p w:rsidR="00433F61" w:rsidRDefault="00433F61" w:rsidP="003105DD">
      <w:pPr>
        <w:pStyle w:val="Schedulepara"/>
        <w:tabs>
          <w:tab w:val="left" w:pos="567"/>
        </w:tabs>
        <w:spacing w:before="0"/>
        <w:jc w:val="left"/>
        <w:rPr>
          <w:color w:val="000000"/>
        </w:rPr>
      </w:pPr>
    </w:p>
    <w:p w:rsidR="00DE2CE4" w:rsidRPr="005C6F03" w:rsidRDefault="00DE2CE4" w:rsidP="00DE2CE4">
      <w:pPr>
        <w:pStyle w:val="Schedulepara"/>
        <w:keepNext/>
        <w:keepLines/>
        <w:tabs>
          <w:tab w:val="clear" w:pos="567"/>
          <w:tab w:val="left" w:pos="0"/>
        </w:tabs>
        <w:spacing w:before="0"/>
        <w:ind w:left="0" w:firstLine="0"/>
        <w:jc w:val="left"/>
        <w:rPr>
          <w:b/>
        </w:rPr>
      </w:pPr>
      <w:r w:rsidRPr="005C6F03">
        <w:rPr>
          <w:b/>
        </w:rPr>
        <w:lastRenderedPageBreak/>
        <w:t xml:space="preserve">Kinds of therapeutic goods information relating to </w:t>
      </w:r>
      <w:r>
        <w:rPr>
          <w:b/>
        </w:rPr>
        <w:t>exempt</w:t>
      </w:r>
      <w:r w:rsidR="006F5A6C">
        <w:rPr>
          <w:b/>
        </w:rPr>
        <w:t>ions found not to apply</w:t>
      </w:r>
      <w:r>
        <w:rPr>
          <w:b/>
        </w:rPr>
        <w:t xml:space="preserve"> under the Annual Charges Exemption Scheme </w:t>
      </w:r>
      <w:r w:rsidRPr="005C6F03">
        <w:rPr>
          <w:b/>
        </w:rPr>
        <w:t xml:space="preserve"> </w:t>
      </w:r>
    </w:p>
    <w:p w:rsidR="00DE2CE4" w:rsidRDefault="00DE2CE4" w:rsidP="00DE2CE4">
      <w:pPr>
        <w:pStyle w:val="Schedulepara"/>
        <w:keepNext/>
        <w:keepLines/>
        <w:spacing w:before="0"/>
        <w:jc w:val="left"/>
      </w:pPr>
    </w:p>
    <w:p w:rsidR="00DE2CE4" w:rsidRDefault="00DE2CE4" w:rsidP="00DE2CE4">
      <w:pPr>
        <w:pStyle w:val="Schedulepara"/>
        <w:keepNext/>
        <w:keepLines/>
        <w:spacing w:before="0"/>
        <w:jc w:val="left"/>
      </w:pPr>
    </w:p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696"/>
        <w:gridCol w:w="1669"/>
        <w:gridCol w:w="6140"/>
      </w:tblGrid>
      <w:tr w:rsidR="00DE2CE4" w:rsidTr="00D90A5F">
        <w:trPr>
          <w:tblHeader/>
        </w:trPr>
        <w:tc>
          <w:tcPr>
            <w:tcW w:w="696" w:type="dxa"/>
          </w:tcPr>
          <w:p w:rsidR="00DE2CE4" w:rsidRPr="00817F65" w:rsidRDefault="00DE2CE4" w:rsidP="00D90A5F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Item </w:t>
            </w:r>
          </w:p>
        </w:tc>
        <w:tc>
          <w:tcPr>
            <w:tcW w:w="1669" w:type="dxa"/>
          </w:tcPr>
          <w:p w:rsidR="00DE2CE4" w:rsidRDefault="00DE2CE4" w:rsidP="00D90A5F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 w:rsidRPr="00CF4A68">
              <w:rPr>
                <w:b/>
              </w:rPr>
              <w:t>Information</w:t>
            </w:r>
          </w:p>
        </w:tc>
        <w:tc>
          <w:tcPr>
            <w:tcW w:w="6140" w:type="dxa"/>
          </w:tcPr>
          <w:p w:rsidR="00DE2CE4" w:rsidRDefault="00DE2CE4" w:rsidP="00D90A5F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 w:rsidRPr="00CF4A68">
              <w:rPr>
                <w:b/>
              </w:rPr>
              <w:t>Description</w:t>
            </w:r>
            <w:r>
              <w:rPr>
                <w:b/>
              </w:rPr>
              <w:t xml:space="preserve"> </w:t>
            </w:r>
          </w:p>
        </w:tc>
      </w:tr>
      <w:tr w:rsidR="00DE2CE4" w:rsidTr="00D90A5F">
        <w:tc>
          <w:tcPr>
            <w:tcW w:w="696" w:type="dxa"/>
          </w:tcPr>
          <w:p w:rsidR="00DE2CE4" w:rsidRDefault="00DE2CE4" w:rsidP="00D90A5F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E2CE4" w:rsidRDefault="00DE2CE4" w:rsidP="00D90A5F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(a)</w:t>
            </w:r>
          </w:p>
        </w:tc>
        <w:tc>
          <w:tcPr>
            <w:tcW w:w="1669" w:type="dxa"/>
          </w:tcPr>
          <w:p w:rsidR="00DE2CE4" w:rsidRDefault="00DE2CE4" w:rsidP="00D90A5F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E2CE4" w:rsidRDefault="00DE2CE4" w:rsidP="00D90A5F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Sponsor name </w:t>
            </w:r>
          </w:p>
        </w:tc>
        <w:tc>
          <w:tcPr>
            <w:tcW w:w="6140" w:type="dxa"/>
          </w:tcPr>
          <w:p w:rsidR="00CD2152" w:rsidRDefault="00CD2152" w:rsidP="00CD2152">
            <w:pPr>
              <w:pStyle w:val="Schedulepara"/>
              <w:keepNext/>
              <w:keepLines/>
              <w:tabs>
                <w:tab w:val="clear" w:pos="567"/>
                <w:tab w:val="left" w:pos="0"/>
              </w:tabs>
              <w:spacing w:before="0"/>
              <w:ind w:left="0" w:firstLine="0"/>
              <w:jc w:val="left"/>
            </w:pPr>
          </w:p>
          <w:p w:rsidR="00DB6C63" w:rsidRDefault="00DE2CE4" w:rsidP="00CD2152">
            <w:pPr>
              <w:pStyle w:val="Schedulepara"/>
              <w:keepNext/>
              <w:keepLines/>
              <w:tabs>
                <w:tab w:val="clear" w:pos="567"/>
                <w:tab w:val="left" w:pos="0"/>
              </w:tabs>
              <w:spacing w:before="0"/>
              <w:ind w:left="0" w:firstLine="0"/>
              <w:jc w:val="left"/>
            </w:pPr>
            <w:r>
              <w:t>The name of the sponsor</w:t>
            </w:r>
            <w:r w:rsidR="00CD2152">
              <w:t xml:space="preserve"> </w:t>
            </w:r>
            <w:r w:rsidR="00DB6C63">
              <w:t xml:space="preserve">in relation to whom </w:t>
            </w:r>
            <w:r>
              <w:t xml:space="preserve">therapeutic goods </w:t>
            </w:r>
            <w:r w:rsidR="00E73355">
              <w:t xml:space="preserve">were </w:t>
            </w:r>
            <w:r>
              <w:t>registered,</w:t>
            </w:r>
            <w:r w:rsidR="00DB6C63">
              <w:t xml:space="preserve"> listed or included in the ARTG</w:t>
            </w:r>
            <w:r w:rsidR="00E73355">
              <w:t xml:space="preserve"> in relation to a particular financial year</w:t>
            </w:r>
            <w:r w:rsidR="00CD2152">
              <w:t>, and who:</w:t>
            </w:r>
          </w:p>
          <w:p w:rsidR="00DB6C63" w:rsidRDefault="00EF3C40" w:rsidP="00DB6C63">
            <w:pPr>
              <w:pStyle w:val="Schedulepara"/>
              <w:keepNext/>
              <w:keepLines/>
              <w:numPr>
                <w:ilvl w:val="0"/>
                <w:numId w:val="29"/>
              </w:numPr>
              <w:tabs>
                <w:tab w:val="clear" w:pos="567"/>
                <w:tab w:val="left" w:pos="362"/>
              </w:tabs>
              <w:spacing w:before="0"/>
              <w:ind w:left="362" w:hanging="362"/>
              <w:jc w:val="left"/>
            </w:pPr>
            <w:r>
              <w:t>declared,</w:t>
            </w:r>
            <w:r w:rsidR="00C84C86">
              <w:t xml:space="preserve"> under </w:t>
            </w:r>
            <w:r>
              <w:t xml:space="preserve">regulation 43AAC or 43AAD of </w:t>
            </w:r>
            <w:r w:rsidR="00C84C86">
              <w:t>the Regulations</w:t>
            </w:r>
            <w:r>
              <w:t xml:space="preserve"> </w:t>
            </w:r>
            <w:r w:rsidR="00DB0901">
              <w:t xml:space="preserve">that the turnover of those goods </w:t>
            </w:r>
            <w:r w:rsidR="004B2653">
              <w:t xml:space="preserve">for </w:t>
            </w:r>
            <w:r w:rsidR="00E73355">
              <w:t xml:space="preserve">that </w:t>
            </w:r>
            <w:r w:rsidR="004B2653">
              <w:t>financial year</w:t>
            </w:r>
            <w:r w:rsidR="00B32CA1">
              <w:t xml:space="preserve"> </w:t>
            </w:r>
            <w:r w:rsidR="00DB6C63">
              <w:t>was of low value;</w:t>
            </w:r>
          </w:p>
          <w:p w:rsidR="00DB6C63" w:rsidRDefault="00B32CA1" w:rsidP="00DB6C63">
            <w:pPr>
              <w:pStyle w:val="Schedulepara"/>
              <w:keepNext/>
              <w:keepLines/>
              <w:numPr>
                <w:ilvl w:val="0"/>
                <w:numId w:val="29"/>
              </w:numPr>
              <w:tabs>
                <w:tab w:val="clear" w:pos="567"/>
                <w:tab w:val="left" w:pos="362"/>
              </w:tabs>
              <w:spacing w:before="0"/>
              <w:ind w:left="362" w:hanging="362"/>
              <w:jc w:val="left"/>
            </w:pPr>
            <w:r>
              <w:t>did not pay the</w:t>
            </w:r>
            <w:r w:rsidR="00DE2CE4">
              <w:t xml:space="preserve"> ann</w:t>
            </w:r>
            <w:r>
              <w:t>ual charge for that f</w:t>
            </w:r>
            <w:r w:rsidR="00DE2CE4">
              <w:t>inancial year in relation to those goods</w:t>
            </w:r>
            <w:r w:rsidR="00B44060">
              <w:t>;</w:t>
            </w:r>
            <w:r w:rsidR="00C53FB6">
              <w:t xml:space="preserve"> and</w:t>
            </w:r>
          </w:p>
          <w:p w:rsidR="00DE2CE4" w:rsidRDefault="00B44060" w:rsidP="00DB6C63">
            <w:pPr>
              <w:pStyle w:val="Schedulepara"/>
              <w:keepNext/>
              <w:keepLines/>
              <w:numPr>
                <w:ilvl w:val="0"/>
                <w:numId w:val="29"/>
              </w:numPr>
              <w:tabs>
                <w:tab w:val="clear" w:pos="567"/>
                <w:tab w:val="left" w:pos="362"/>
              </w:tabs>
              <w:spacing w:before="0"/>
              <w:ind w:left="362" w:hanging="362"/>
              <w:jc w:val="left"/>
            </w:pPr>
            <w:r>
              <w:t xml:space="preserve">the Secretary has given a notice under subregulation 43AAG(2) </w:t>
            </w:r>
            <w:r w:rsidR="00414327">
              <w:t xml:space="preserve">or (4) </w:t>
            </w:r>
            <w:r>
              <w:t>of the Regulations</w:t>
            </w:r>
            <w:r w:rsidR="00B22EC8">
              <w:t>,</w:t>
            </w:r>
            <w:r>
              <w:t xml:space="preserve"> </w:t>
            </w:r>
            <w:r w:rsidR="00BA23DB">
              <w:t>stating that the sponsor was not exempt from liability to</w:t>
            </w:r>
            <w:r w:rsidR="003470E8">
              <w:t xml:space="preserve"> pay</w:t>
            </w:r>
            <w:r w:rsidR="00BA23DB">
              <w:t xml:space="preserve"> the annual charge in relation to the goods for that financial year.</w:t>
            </w:r>
          </w:p>
          <w:p w:rsidR="00DE2CE4" w:rsidRDefault="00DE2CE4" w:rsidP="00D90A5F">
            <w:pPr>
              <w:pStyle w:val="Schedulepara"/>
              <w:keepNext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DE2CE4" w:rsidTr="00D90A5F">
        <w:tc>
          <w:tcPr>
            <w:tcW w:w="696" w:type="dxa"/>
          </w:tcPr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(b)</w:t>
            </w:r>
          </w:p>
        </w:tc>
        <w:tc>
          <w:tcPr>
            <w:tcW w:w="1669" w:type="dxa"/>
          </w:tcPr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ARTG number   </w:t>
            </w: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  <w:tc>
          <w:tcPr>
            <w:tcW w:w="6140" w:type="dxa"/>
          </w:tcPr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The ARTG number of the therapeutic goods </w:t>
            </w:r>
            <w:r w:rsidR="00444F95">
              <w:t>mentioned in (a)</w:t>
            </w:r>
            <w:r>
              <w:t xml:space="preserve">.  </w:t>
            </w: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DE2CE4" w:rsidTr="00D90A5F">
        <w:tc>
          <w:tcPr>
            <w:tcW w:w="696" w:type="dxa"/>
          </w:tcPr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(c)</w:t>
            </w:r>
          </w:p>
        </w:tc>
        <w:tc>
          <w:tcPr>
            <w:tcW w:w="1669" w:type="dxa"/>
          </w:tcPr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Name of the therapeutic goods</w:t>
            </w: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  <w:tc>
          <w:tcPr>
            <w:tcW w:w="6140" w:type="dxa"/>
          </w:tcPr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E2CE4" w:rsidRDefault="00DE2CE4" w:rsidP="00E73355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 xml:space="preserve">The name of the therapeutic goods </w:t>
            </w:r>
            <w:r w:rsidR="00444F95">
              <w:t>mentioned in (a)</w:t>
            </w:r>
            <w:r w:rsidR="00CF25F9">
              <w:t>,</w:t>
            </w:r>
            <w:r w:rsidR="006F5A6C">
              <w:t xml:space="preserve"> </w:t>
            </w:r>
            <w:r>
              <w:t>as it appear</w:t>
            </w:r>
            <w:r w:rsidR="00E73355">
              <w:t>ed</w:t>
            </w:r>
            <w:r>
              <w:t xml:space="preserve"> on the relevant ARTG entry in relation to which the sponsor </w:t>
            </w:r>
            <w:r w:rsidR="00E73355">
              <w:t xml:space="preserve">was </w:t>
            </w:r>
            <w:r w:rsidR="00CF25F9">
              <w:t>not</w:t>
            </w:r>
            <w:r w:rsidR="00B22EC8">
              <w:t xml:space="preserve"> exempt from paying the</w:t>
            </w:r>
            <w:r>
              <w:t xml:space="preserve"> annual charge</w:t>
            </w:r>
            <w:r w:rsidR="00B86870">
              <w:t xml:space="preserve"> in that financial year</w:t>
            </w:r>
            <w:r>
              <w:t>.</w:t>
            </w:r>
          </w:p>
          <w:p w:rsidR="000E578F" w:rsidRDefault="000E578F" w:rsidP="00E73355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DE2CE4" w:rsidTr="00D90A5F">
        <w:tc>
          <w:tcPr>
            <w:tcW w:w="696" w:type="dxa"/>
          </w:tcPr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(d)</w:t>
            </w:r>
          </w:p>
        </w:tc>
        <w:tc>
          <w:tcPr>
            <w:tcW w:w="1669" w:type="dxa"/>
          </w:tcPr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E2CE4" w:rsidRDefault="00E73355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No e</w:t>
            </w:r>
            <w:r w:rsidR="00DE2CE4">
              <w:t xml:space="preserve">xemption from annual charges </w:t>
            </w:r>
            <w:r>
              <w:t>for a particular financial year</w:t>
            </w: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  <w:tc>
          <w:tcPr>
            <w:tcW w:w="6140" w:type="dxa"/>
          </w:tcPr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That</w:t>
            </w:r>
            <w:r w:rsidR="003470E8">
              <w:t>, notwithstanding that</w:t>
            </w:r>
            <w:r>
              <w:t xml:space="preserve"> the spon</w:t>
            </w:r>
            <w:r w:rsidR="006F5A6C">
              <w:t xml:space="preserve">sor </w:t>
            </w:r>
            <w:r w:rsidR="003470E8">
              <w:t xml:space="preserve">had declared under regulation 43AAC or 43AAD of the Regulations that the turnover of the goods mentioned in (a) for </w:t>
            </w:r>
            <w:r w:rsidR="00B86870">
              <w:t xml:space="preserve">that </w:t>
            </w:r>
            <w:r w:rsidR="003470E8">
              <w:t xml:space="preserve">financial year </w:t>
            </w:r>
            <w:r w:rsidR="006F5A6C">
              <w:t>wa</w:t>
            </w:r>
            <w:r>
              <w:t>s</w:t>
            </w:r>
            <w:r w:rsidR="003470E8">
              <w:t xml:space="preserve"> of low value</w:t>
            </w:r>
            <w:r>
              <w:t xml:space="preserve">, </w:t>
            </w:r>
            <w:r w:rsidR="003470E8">
              <w:t xml:space="preserve">the Secretary has given the sponsor a notice under subregulation 43AAG(2) or (4) </w:t>
            </w:r>
            <w:r w:rsidR="00B22EC8">
              <w:t xml:space="preserve">of the Regulations, </w:t>
            </w:r>
            <w:r w:rsidR="003470E8">
              <w:t xml:space="preserve">stating that the sponsor was not exempt </w:t>
            </w:r>
            <w:r>
              <w:t>under the Annual Charges Exemption</w:t>
            </w:r>
            <w:r w:rsidR="003470E8">
              <w:t xml:space="preserve"> Scheme from liability to pay the annual charge in relation to the goods for that financial year</w:t>
            </w:r>
            <w:r>
              <w:t xml:space="preserve">.  </w:t>
            </w:r>
          </w:p>
          <w:p w:rsidR="00DE2CE4" w:rsidRDefault="00DE2CE4" w:rsidP="00D90A5F">
            <w:pPr>
              <w:pStyle w:val="Schedulepara"/>
              <w:keepNext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</w:tbl>
    <w:p w:rsidR="00DE2CE4" w:rsidRDefault="00DE2CE4" w:rsidP="00DE2CE4">
      <w:pPr>
        <w:pStyle w:val="Schedulepara"/>
        <w:keepNext/>
        <w:keepLines/>
        <w:spacing w:before="0"/>
        <w:ind w:left="720" w:hanging="720"/>
        <w:jc w:val="left"/>
        <w:rPr>
          <w:sz w:val="20"/>
          <w:szCs w:val="20"/>
        </w:rPr>
      </w:pPr>
    </w:p>
    <w:p w:rsidR="00DE2CE4" w:rsidRPr="00897EE1" w:rsidRDefault="00DE2CE4" w:rsidP="003105DD">
      <w:pPr>
        <w:pStyle w:val="Schedulepara"/>
        <w:tabs>
          <w:tab w:val="left" w:pos="567"/>
        </w:tabs>
        <w:spacing w:before="0"/>
        <w:jc w:val="left"/>
        <w:rPr>
          <w:color w:val="000000"/>
        </w:rPr>
      </w:pPr>
    </w:p>
    <w:p w:rsidR="00433F61" w:rsidRDefault="00433F61" w:rsidP="003105DD">
      <w:pPr>
        <w:pStyle w:val="NoteEnd"/>
        <w:keepLines w:val="0"/>
        <w:pBdr>
          <w:top w:val="single" w:sz="4" w:space="3" w:color="auto"/>
        </w:pBdr>
        <w:spacing w:before="240"/>
        <w:ind w:left="0" w:firstLine="0"/>
        <w:jc w:val="left"/>
        <w:rPr>
          <w:rFonts w:ascii="Arial" w:hAnsi="Arial"/>
          <w:b/>
          <w:sz w:val="24"/>
        </w:rPr>
      </w:pPr>
      <w:r w:rsidRPr="00EE03FE">
        <w:rPr>
          <w:rFonts w:ascii="Arial" w:hAnsi="Arial"/>
          <w:b/>
          <w:sz w:val="24"/>
        </w:rPr>
        <w:t>Note</w:t>
      </w:r>
    </w:p>
    <w:p w:rsidR="00433F61" w:rsidRDefault="00433F61" w:rsidP="003105DD">
      <w:pPr>
        <w:pStyle w:val="NoteEnd"/>
        <w:keepLines w:val="0"/>
        <w:jc w:val="left"/>
      </w:pPr>
      <w:r w:rsidRPr="00EE03FE">
        <w:t>1.</w:t>
      </w:r>
      <w:r w:rsidRPr="00EE03FE">
        <w:tab/>
        <w:t xml:space="preserve">All legislative instruments and compilations are </w:t>
      </w:r>
      <w:r w:rsidR="00150CD3">
        <w:t>registered</w:t>
      </w:r>
      <w:r w:rsidRPr="00EE03FE">
        <w:t xml:space="preserve"> on the Federal Register of Legislative Instruments kept under the </w:t>
      </w:r>
      <w:r w:rsidRPr="00EE03FE">
        <w:rPr>
          <w:i/>
        </w:rPr>
        <w:t xml:space="preserve">Legislative Instruments Act 2003. </w:t>
      </w:r>
      <w:r w:rsidRPr="00EE03FE">
        <w:t xml:space="preserve">See </w:t>
      </w:r>
      <w:r w:rsidRPr="00EE03FE">
        <w:rPr>
          <w:u w:val="single"/>
        </w:rPr>
        <w:t>http://www.frli.gov.a</w:t>
      </w:r>
      <w:r>
        <w:rPr>
          <w:u w:val="single"/>
        </w:rPr>
        <w:t>u</w:t>
      </w:r>
    </w:p>
    <w:p w:rsidR="00433F61" w:rsidRDefault="00433F61" w:rsidP="003105DD"/>
    <w:p w:rsidR="00433F61" w:rsidRDefault="00433F61" w:rsidP="003105DD"/>
    <w:sectPr w:rsidR="00433F61" w:rsidSect="00684986">
      <w:headerReference w:type="default" r:id="rId1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E8" w:rsidRDefault="00B05CE8" w:rsidP="00C40A36">
      <w:r>
        <w:separator/>
      </w:r>
    </w:p>
    <w:p w:rsidR="00B05CE8" w:rsidRDefault="00B05CE8"/>
  </w:endnote>
  <w:endnote w:type="continuationSeparator" w:id="0">
    <w:p w:rsidR="00B05CE8" w:rsidRDefault="00B05CE8" w:rsidP="00C40A36">
      <w:r>
        <w:continuationSeparator/>
      </w:r>
    </w:p>
    <w:p w:rsidR="00B05CE8" w:rsidRDefault="00B05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86" w:rsidRDefault="00684986" w:rsidP="0068498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84986" w:rsidTr="005911C9">
      <w:trPr>
        <w:trHeight w:val="70"/>
      </w:trPr>
      <w:tc>
        <w:tcPr>
          <w:tcW w:w="1134" w:type="dxa"/>
          <w:shd w:val="clear" w:color="auto" w:fill="auto"/>
        </w:tcPr>
        <w:p w:rsidR="00684986" w:rsidRDefault="00684986" w:rsidP="005911C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84986" w:rsidRPr="004F5D6D" w:rsidRDefault="00234379" w:rsidP="00590675">
          <w:pPr>
            <w:pStyle w:val="FooterCitation"/>
            <w:jc w:val="left"/>
          </w:pPr>
          <w:r>
            <w:t>Therapeutic Goods Information (</w:t>
          </w:r>
          <w:r w:rsidR="00A935EA">
            <w:t xml:space="preserve">Exemptions </w:t>
          </w:r>
          <w:r w:rsidR="00D75951">
            <w:t>from</w:t>
          </w:r>
          <w:r w:rsidR="00A935EA">
            <w:t xml:space="preserve"> </w:t>
          </w:r>
          <w:r w:rsidR="00DC24F5">
            <w:t>Annual Charges</w:t>
          </w:r>
          <w:r w:rsidR="00DC24F5" w:rsidRPr="00063207">
            <w:t>)</w:t>
          </w:r>
          <w:r w:rsidRPr="00063207">
            <w:t xml:space="preserve"> Specification 201</w:t>
          </w:r>
          <w:r w:rsidR="00A34DB3">
            <w:t>6</w:t>
          </w:r>
        </w:p>
      </w:tc>
      <w:tc>
        <w:tcPr>
          <w:tcW w:w="1134" w:type="dxa"/>
          <w:shd w:val="clear" w:color="auto" w:fill="auto"/>
        </w:tcPr>
        <w:p w:rsidR="00684986" w:rsidRPr="003D7214" w:rsidRDefault="009965DA" w:rsidP="005911C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84986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353FE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A947FC" w:rsidRDefault="00A947FC" w:rsidP="00684986">
    <w:pPr>
      <w:pStyle w:val="FooterInfo"/>
    </w:pPr>
  </w:p>
  <w:p w:rsidR="00590675" w:rsidRDefault="00590675" w:rsidP="00684986">
    <w:pPr>
      <w:pStyle w:val="FooterInfo"/>
    </w:pPr>
  </w:p>
  <w:p w:rsidR="00590675" w:rsidRDefault="00590675" w:rsidP="00684986">
    <w:pPr>
      <w:pStyle w:val="FooterInfo"/>
    </w:pPr>
  </w:p>
  <w:p w:rsidR="00590675" w:rsidRDefault="00590675" w:rsidP="00684986">
    <w:pPr>
      <w:pStyle w:val="FooterInfo"/>
    </w:pPr>
  </w:p>
  <w:p w:rsidR="00590675" w:rsidRDefault="00590675" w:rsidP="00684986">
    <w:pPr>
      <w:pStyle w:val="FooterInfo"/>
    </w:pPr>
  </w:p>
  <w:p w:rsidR="00590675" w:rsidRDefault="00590675" w:rsidP="00684986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FC" w:rsidRPr="00001CE8" w:rsidRDefault="00A947FC" w:rsidP="00001CE8">
    <w:pPr>
      <w:pStyle w:val="Footer"/>
      <w:jc w:val="right"/>
    </w:pPr>
  </w:p>
  <w:p w:rsidR="00A947FC" w:rsidRDefault="00A947FC" w:rsidP="00684986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E8" w:rsidRDefault="00B05CE8" w:rsidP="00C40A36">
      <w:r>
        <w:separator/>
      </w:r>
    </w:p>
    <w:p w:rsidR="00B05CE8" w:rsidRDefault="00B05CE8"/>
  </w:footnote>
  <w:footnote w:type="continuationSeparator" w:id="0">
    <w:p w:rsidR="00B05CE8" w:rsidRDefault="00B05CE8" w:rsidP="00C40A36">
      <w:r>
        <w:continuationSeparator/>
      </w:r>
    </w:p>
    <w:p w:rsidR="00B05CE8" w:rsidRDefault="00B05C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32" w:rsidRPr="009E0032" w:rsidRDefault="009E0032">
    <w:pPr>
      <w:pStyle w:val="Head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Section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FC" w:rsidRDefault="00684986">
    <w:r w:rsidRPr="0029736A"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204C4B28" wp14:editId="29EBF3EE">
          <wp:simplePos x="0" y="0"/>
          <wp:positionH relativeFrom="column">
            <wp:posOffset>-161925</wp:posOffset>
          </wp:positionH>
          <wp:positionV relativeFrom="paragraph">
            <wp:posOffset>116205</wp:posOffset>
          </wp:positionV>
          <wp:extent cx="3526155" cy="1207135"/>
          <wp:effectExtent l="19050" t="0" r="0" b="0"/>
          <wp:wrapTopAndBottom/>
          <wp:docPr id="2" name="Picture 2" descr="Therapeutic Goods Administ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\_resources\TGA Vector Graphics\DH&amp;A\New crests Sept 2013\DH-TGA_inline_black-RGB-12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155" cy="1207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32" w:rsidRPr="009E0032" w:rsidRDefault="009E0032">
    <w:pPr>
      <w:pStyle w:val="Head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Schedule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0683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04AD474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2">
    <w:nsid w:val="FFFFFF89"/>
    <w:multiLevelType w:val="singleLevel"/>
    <w:tmpl w:val="F4085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413473"/>
    <w:multiLevelType w:val="hybridMultilevel"/>
    <w:tmpl w:val="A2566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5">
    <w:nsid w:val="165D1ECF"/>
    <w:multiLevelType w:val="hybridMultilevel"/>
    <w:tmpl w:val="5EF8D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F13E9"/>
    <w:multiLevelType w:val="multilevel"/>
    <w:tmpl w:val="DA360B98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>
    <w:nsid w:val="21015752"/>
    <w:multiLevelType w:val="hybridMultilevel"/>
    <w:tmpl w:val="5D5056A8"/>
    <w:lvl w:ilvl="0" w:tplc="46F6AD28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5" w:hanging="360"/>
      </w:pPr>
    </w:lvl>
    <w:lvl w:ilvl="2" w:tplc="0C09001B" w:tentative="1">
      <w:start w:val="1"/>
      <w:numFmt w:val="lowerRoman"/>
      <w:lvlText w:val="%3."/>
      <w:lvlJc w:val="right"/>
      <w:pPr>
        <w:ind w:left="1865" w:hanging="180"/>
      </w:pPr>
    </w:lvl>
    <w:lvl w:ilvl="3" w:tplc="0C09000F" w:tentative="1">
      <w:start w:val="1"/>
      <w:numFmt w:val="decimal"/>
      <w:lvlText w:val="%4."/>
      <w:lvlJc w:val="left"/>
      <w:pPr>
        <w:ind w:left="2585" w:hanging="360"/>
      </w:pPr>
    </w:lvl>
    <w:lvl w:ilvl="4" w:tplc="0C090019" w:tentative="1">
      <w:start w:val="1"/>
      <w:numFmt w:val="lowerLetter"/>
      <w:lvlText w:val="%5."/>
      <w:lvlJc w:val="left"/>
      <w:pPr>
        <w:ind w:left="3305" w:hanging="360"/>
      </w:pPr>
    </w:lvl>
    <w:lvl w:ilvl="5" w:tplc="0C09001B" w:tentative="1">
      <w:start w:val="1"/>
      <w:numFmt w:val="lowerRoman"/>
      <w:lvlText w:val="%6."/>
      <w:lvlJc w:val="right"/>
      <w:pPr>
        <w:ind w:left="4025" w:hanging="180"/>
      </w:pPr>
    </w:lvl>
    <w:lvl w:ilvl="6" w:tplc="0C09000F" w:tentative="1">
      <w:start w:val="1"/>
      <w:numFmt w:val="decimal"/>
      <w:lvlText w:val="%7."/>
      <w:lvlJc w:val="left"/>
      <w:pPr>
        <w:ind w:left="4745" w:hanging="360"/>
      </w:pPr>
    </w:lvl>
    <w:lvl w:ilvl="7" w:tplc="0C090019" w:tentative="1">
      <w:start w:val="1"/>
      <w:numFmt w:val="lowerLetter"/>
      <w:lvlText w:val="%8."/>
      <w:lvlJc w:val="left"/>
      <w:pPr>
        <w:ind w:left="5465" w:hanging="360"/>
      </w:pPr>
    </w:lvl>
    <w:lvl w:ilvl="8" w:tplc="0C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>
    <w:nsid w:val="2AAA6A2E"/>
    <w:multiLevelType w:val="hybridMultilevel"/>
    <w:tmpl w:val="50C2AA2A"/>
    <w:lvl w:ilvl="0" w:tplc="7E12E5F4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2C145CC"/>
    <w:multiLevelType w:val="hybridMultilevel"/>
    <w:tmpl w:val="91EC806E"/>
    <w:lvl w:ilvl="0" w:tplc="585AD6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A0F2E"/>
    <w:multiLevelType w:val="hybridMultilevel"/>
    <w:tmpl w:val="19D42A1C"/>
    <w:lvl w:ilvl="0" w:tplc="6A9C55C6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5" w:hanging="360"/>
      </w:pPr>
    </w:lvl>
    <w:lvl w:ilvl="2" w:tplc="0C09001B" w:tentative="1">
      <w:start w:val="1"/>
      <w:numFmt w:val="lowerRoman"/>
      <w:lvlText w:val="%3."/>
      <w:lvlJc w:val="right"/>
      <w:pPr>
        <w:ind w:left="1865" w:hanging="180"/>
      </w:pPr>
    </w:lvl>
    <w:lvl w:ilvl="3" w:tplc="0C09000F" w:tentative="1">
      <w:start w:val="1"/>
      <w:numFmt w:val="decimal"/>
      <w:lvlText w:val="%4."/>
      <w:lvlJc w:val="left"/>
      <w:pPr>
        <w:ind w:left="2585" w:hanging="360"/>
      </w:pPr>
    </w:lvl>
    <w:lvl w:ilvl="4" w:tplc="0C090019" w:tentative="1">
      <w:start w:val="1"/>
      <w:numFmt w:val="lowerLetter"/>
      <w:lvlText w:val="%5."/>
      <w:lvlJc w:val="left"/>
      <w:pPr>
        <w:ind w:left="3305" w:hanging="360"/>
      </w:pPr>
    </w:lvl>
    <w:lvl w:ilvl="5" w:tplc="0C09001B" w:tentative="1">
      <w:start w:val="1"/>
      <w:numFmt w:val="lowerRoman"/>
      <w:lvlText w:val="%6."/>
      <w:lvlJc w:val="right"/>
      <w:pPr>
        <w:ind w:left="4025" w:hanging="180"/>
      </w:pPr>
    </w:lvl>
    <w:lvl w:ilvl="6" w:tplc="0C09000F" w:tentative="1">
      <w:start w:val="1"/>
      <w:numFmt w:val="decimal"/>
      <w:lvlText w:val="%7."/>
      <w:lvlJc w:val="left"/>
      <w:pPr>
        <w:ind w:left="4745" w:hanging="360"/>
      </w:pPr>
    </w:lvl>
    <w:lvl w:ilvl="7" w:tplc="0C090019" w:tentative="1">
      <w:start w:val="1"/>
      <w:numFmt w:val="lowerLetter"/>
      <w:lvlText w:val="%8."/>
      <w:lvlJc w:val="left"/>
      <w:pPr>
        <w:ind w:left="5465" w:hanging="360"/>
      </w:pPr>
    </w:lvl>
    <w:lvl w:ilvl="8" w:tplc="0C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>
    <w:nsid w:val="50D30408"/>
    <w:multiLevelType w:val="hybridMultilevel"/>
    <w:tmpl w:val="D5FEFA84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>
    <w:nsid w:val="60AF6738"/>
    <w:multiLevelType w:val="hybridMultilevel"/>
    <w:tmpl w:val="3592A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9064C"/>
    <w:multiLevelType w:val="hybridMultilevel"/>
    <w:tmpl w:val="42F6667C"/>
    <w:lvl w:ilvl="0" w:tplc="019E4C5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5533464"/>
    <w:multiLevelType w:val="hybridMultilevel"/>
    <w:tmpl w:val="60D09CBA"/>
    <w:lvl w:ilvl="0" w:tplc="CE9CED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B7ADD"/>
    <w:multiLevelType w:val="hybridMultilevel"/>
    <w:tmpl w:val="50C2AA2A"/>
    <w:lvl w:ilvl="0" w:tplc="7E12E5F4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E0714DC"/>
    <w:multiLevelType w:val="hybridMultilevel"/>
    <w:tmpl w:val="C15C83CA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6"/>
  </w:num>
  <w:num w:numId="5">
    <w:abstractNumId w:val="0"/>
  </w:num>
  <w:num w:numId="6">
    <w:abstractNumId w:val="6"/>
  </w:num>
  <w:num w:numId="7">
    <w:abstractNumId w:val="6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6"/>
  </w:num>
  <w:num w:numId="13">
    <w:abstractNumId w:val="6"/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11"/>
  </w:num>
  <w:num w:numId="19">
    <w:abstractNumId w:val="8"/>
  </w:num>
  <w:num w:numId="20">
    <w:abstractNumId w:val="15"/>
  </w:num>
  <w:num w:numId="21">
    <w:abstractNumId w:val="13"/>
  </w:num>
  <w:num w:numId="22">
    <w:abstractNumId w:val="16"/>
  </w:num>
  <w:num w:numId="23">
    <w:abstractNumId w:val="10"/>
  </w:num>
  <w:num w:numId="24">
    <w:abstractNumId w:val="9"/>
  </w:num>
  <w:num w:numId="25">
    <w:abstractNumId w:val="14"/>
  </w:num>
  <w:num w:numId="26">
    <w:abstractNumId w:val="3"/>
  </w:num>
  <w:num w:numId="27">
    <w:abstractNumId w:val="7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5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07"/>
    <w:rsid w:val="00001CE8"/>
    <w:rsid w:val="00002031"/>
    <w:rsid w:val="00004734"/>
    <w:rsid w:val="00006B22"/>
    <w:rsid w:val="0001276A"/>
    <w:rsid w:val="00022D90"/>
    <w:rsid w:val="000246AE"/>
    <w:rsid w:val="00025C67"/>
    <w:rsid w:val="000335E6"/>
    <w:rsid w:val="00047CF7"/>
    <w:rsid w:val="000529C2"/>
    <w:rsid w:val="00054907"/>
    <w:rsid w:val="0005559E"/>
    <w:rsid w:val="00055B8E"/>
    <w:rsid w:val="00056718"/>
    <w:rsid w:val="00063207"/>
    <w:rsid w:val="00064FD3"/>
    <w:rsid w:val="000734E6"/>
    <w:rsid w:val="000758F2"/>
    <w:rsid w:val="00077775"/>
    <w:rsid w:val="00080CC2"/>
    <w:rsid w:val="0008586B"/>
    <w:rsid w:val="00090471"/>
    <w:rsid w:val="000A09D5"/>
    <w:rsid w:val="000A1369"/>
    <w:rsid w:val="000A2371"/>
    <w:rsid w:val="000A78BE"/>
    <w:rsid w:val="000B3532"/>
    <w:rsid w:val="000B3A75"/>
    <w:rsid w:val="000B6CA7"/>
    <w:rsid w:val="000C4F4C"/>
    <w:rsid w:val="000D391B"/>
    <w:rsid w:val="000D3D6D"/>
    <w:rsid w:val="000D4FC7"/>
    <w:rsid w:val="000E578F"/>
    <w:rsid w:val="000F3566"/>
    <w:rsid w:val="000F4869"/>
    <w:rsid w:val="000F5B42"/>
    <w:rsid w:val="000F6E6F"/>
    <w:rsid w:val="001003F2"/>
    <w:rsid w:val="0010601F"/>
    <w:rsid w:val="00106296"/>
    <w:rsid w:val="00110EA5"/>
    <w:rsid w:val="00111AE9"/>
    <w:rsid w:val="0011219A"/>
    <w:rsid w:val="0011258C"/>
    <w:rsid w:val="001168E9"/>
    <w:rsid w:val="001179B5"/>
    <w:rsid w:val="00125318"/>
    <w:rsid w:val="001253AE"/>
    <w:rsid w:val="00127C4A"/>
    <w:rsid w:val="001305A2"/>
    <w:rsid w:val="00133238"/>
    <w:rsid w:val="0014197B"/>
    <w:rsid w:val="001447CD"/>
    <w:rsid w:val="00150CD3"/>
    <w:rsid w:val="001516B1"/>
    <w:rsid w:val="00156316"/>
    <w:rsid w:val="00165389"/>
    <w:rsid w:val="00171261"/>
    <w:rsid w:val="0017693F"/>
    <w:rsid w:val="0018110E"/>
    <w:rsid w:val="00181684"/>
    <w:rsid w:val="00183134"/>
    <w:rsid w:val="001843C6"/>
    <w:rsid w:val="001850E0"/>
    <w:rsid w:val="00186597"/>
    <w:rsid w:val="0019600D"/>
    <w:rsid w:val="001A1A79"/>
    <w:rsid w:val="001A525F"/>
    <w:rsid w:val="001B09F9"/>
    <w:rsid w:val="001B6448"/>
    <w:rsid w:val="001C1A8B"/>
    <w:rsid w:val="001D57D2"/>
    <w:rsid w:val="001E07CF"/>
    <w:rsid w:val="001E59F1"/>
    <w:rsid w:val="001F49EB"/>
    <w:rsid w:val="001F6CBA"/>
    <w:rsid w:val="00201D4E"/>
    <w:rsid w:val="00204A4A"/>
    <w:rsid w:val="00220B8A"/>
    <w:rsid w:val="002257F3"/>
    <w:rsid w:val="00226043"/>
    <w:rsid w:val="0022675F"/>
    <w:rsid w:val="00233456"/>
    <w:rsid w:val="002339A5"/>
    <w:rsid w:val="00234379"/>
    <w:rsid w:val="00243313"/>
    <w:rsid w:val="002460FD"/>
    <w:rsid w:val="00257848"/>
    <w:rsid w:val="00260EC2"/>
    <w:rsid w:val="00266235"/>
    <w:rsid w:val="0027084A"/>
    <w:rsid w:val="00286434"/>
    <w:rsid w:val="00286C59"/>
    <w:rsid w:val="002942D1"/>
    <w:rsid w:val="002963EF"/>
    <w:rsid w:val="002964BC"/>
    <w:rsid w:val="0029736A"/>
    <w:rsid w:val="002A0332"/>
    <w:rsid w:val="002A4C14"/>
    <w:rsid w:val="002B1638"/>
    <w:rsid w:val="002D097A"/>
    <w:rsid w:val="002D65E7"/>
    <w:rsid w:val="002E4C9A"/>
    <w:rsid w:val="002E651F"/>
    <w:rsid w:val="002F11F8"/>
    <w:rsid w:val="002F3F56"/>
    <w:rsid w:val="002F44B5"/>
    <w:rsid w:val="00306F2A"/>
    <w:rsid w:val="003105DD"/>
    <w:rsid w:val="00311AC0"/>
    <w:rsid w:val="0033237D"/>
    <w:rsid w:val="00332961"/>
    <w:rsid w:val="00336083"/>
    <w:rsid w:val="003465F4"/>
    <w:rsid w:val="00346EF3"/>
    <w:rsid w:val="003470E8"/>
    <w:rsid w:val="0035040F"/>
    <w:rsid w:val="003521E8"/>
    <w:rsid w:val="00363EEE"/>
    <w:rsid w:val="00370805"/>
    <w:rsid w:val="00371D63"/>
    <w:rsid w:val="003728F3"/>
    <w:rsid w:val="00375CBF"/>
    <w:rsid w:val="00376CC5"/>
    <w:rsid w:val="00387303"/>
    <w:rsid w:val="00390900"/>
    <w:rsid w:val="003971AB"/>
    <w:rsid w:val="003A1090"/>
    <w:rsid w:val="003A3B07"/>
    <w:rsid w:val="003A4985"/>
    <w:rsid w:val="003A6AAC"/>
    <w:rsid w:val="003B46DD"/>
    <w:rsid w:val="003B7AEF"/>
    <w:rsid w:val="003B7E39"/>
    <w:rsid w:val="003C0B52"/>
    <w:rsid w:val="003C1AC0"/>
    <w:rsid w:val="003C1ECB"/>
    <w:rsid w:val="003C58DC"/>
    <w:rsid w:val="003C6ED4"/>
    <w:rsid w:val="003D4363"/>
    <w:rsid w:val="003E3208"/>
    <w:rsid w:val="003F0B04"/>
    <w:rsid w:val="003F51BB"/>
    <w:rsid w:val="0040134E"/>
    <w:rsid w:val="004027F3"/>
    <w:rsid w:val="00403272"/>
    <w:rsid w:val="00413E4F"/>
    <w:rsid w:val="00414327"/>
    <w:rsid w:val="00433F61"/>
    <w:rsid w:val="00440A2D"/>
    <w:rsid w:val="00444F95"/>
    <w:rsid w:val="004564A7"/>
    <w:rsid w:val="004617BF"/>
    <w:rsid w:val="0048086F"/>
    <w:rsid w:val="0048486C"/>
    <w:rsid w:val="004932C4"/>
    <w:rsid w:val="00494E60"/>
    <w:rsid w:val="004B2653"/>
    <w:rsid w:val="004B6B8F"/>
    <w:rsid w:val="004B7B76"/>
    <w:rsid w:val="004C5DBF"/>
    <w:rsid w:val="004D0033"/>
    <w:rsid w:val="004D6E76"/>
    <w:rsid w:val="004D7C63"/>
    <w:rsid w:val="004F0F38"/>
    <w:rsid w:val="00501921"/>
    <w:rsid w:val="00503CBE"/>
    <w:rsid w:val="005104F7"/>
    <w:rsid w:val="00516848"/>
    <w:rsid w:val="005265E9"/>
    <w:rsid w:val="00530354"/>
    <w:rsid w:val="00532F46"/>
    <w:rsid w:val="005349C9"/>
    <w:rsid w:val="005353FE"/>
    <w:rsid w:val="00542678"/>
    <w:rsid w:val="005434C6"/>
    <w:rsid w:val="00543B39"/>
    <w:rsid w:val="00545D67"/>
    <w:rsid w:val="00550096"/>
    <w:rsid w:val="00557FF9"/>
    <w:rsid w:val="00563808"/>
    <w:rsid w:val="005735D9"/>
    <w:rsid w:val="00573C54"/>
    <w:rsid w:val="005759A5"/>
    <w:rsid w:val="00576378"/>
    <w:rsid w:val="00577E38"/>
    <w:rsid w:val="00580ED5"/>
    <w:rsid w:val="00585322"/>
    <w:rsid w:val="00586B5B"/>
    <w:rsid w:val="00590675"/>
    <w:rsid w:val="00590B4A"/>
    <w:rsid w:val="00592889"/>
    <w:rsid w:val="00593AD1"/>
    <w:rsid w:val="005A471C"/>
    <w:rsid w:val="005A708B"/>
    <w:rsid w:val="005C0418"/>
    <w:rsid w:val="005C5570"/>
    <w:rsid w:val="005C6F03"/>
    <w:rsid w:val="005C79A4"/>
    <w:rsid w:val="005D2299"/>
    <w:rsid w:val="005D49E7"/>
    <w:rsid w:val="005D5442"/>
    <w:rsid w:val="005E263F"/>
    <w:rsid w:val="005E3F62"/>
    <w:rsid w:val="005E3FD2"/>
    <w:rsid w:val="005F37CE"/>
    <w:rsid w:val="005F4FA8"/>
    <w:rsid w:val="005F6514"/>
    <w:rsid w:val="005F7E6D"/>
    <w:rsid w:val="006068AC"/>
    <w:rsid w:val="0062500A"/>
    <w:rsid w:val="00627303"/>
    <w:rsid w:val="00640FC3"/>
    <w:rsid w:val="00642020"/>
    <w:rsid w:val="0065337B"/>
    <w:rsid w:val="0065419D"/>
    <w:rsid w:val="00654B15"/>
    <w:rsid w:val="006604D8"/>
    <w:rsid w:val="006604FA"/>
    <w:rsid w:val="00664A5B"/>
    <w:rsid w:val="00665BF8"/>
    <w:rsid w:val="00672EDA"/>
    <w:rsid w:val="006764B8"/>
    <w:rsid w:val="00680C08"/>
    <w:rsid w:val="00684986"/>
    <w:rsid w:val="0068741A"/>
    <w:rsid w:val="006906C4"/>
    <w:rsid w:val="006931B1"/>
    <w:rsid w:val="006A15C0"/>
    <w:rsid w:val="006A1C5C"/>
    <w:rsid w:val="006B7880"/>
    <w:rsid w:val="006C1477"/>
    <w:rsid w:val="006C3E2A"/>
    <w:rsid w:val="006C642F"/>
    <w:rsid w:val="006D03E5"/>
    <w:rsid w:val="006D5D3E"/>
    <w:rsid w:val="006E08B3"/>
    <w:rsid w:val="006F1AC7"/>
    <w:rsid w:val="006F1D74"/>
    <w:rsid w:val="006F44C6"/>
    <w:rsid w:val="006F572E"/>
    <w:rsid w:val="006F5A6C"/>
    <w:rsid w:val="007046D6"/>
    <w:rsid w:val="00705DB0"/>
    <w:rsid w:val="00706AFE"/>
    <w:rsid w:val="00721581"/>
    <w:rsid w:val="0073289C"/>
    <w:rsid w:val="0074253D"/>
    <w:rsid w:val="0074355D"/>
    <w:rsid w:val="0074429B"/>
    <w:rsid w:val="007477F8"/>
    <w:rsid w:val="0075491F"/>
    <w:rsid w:val="007615BC"/>
    <w:rsid w:val="00762F05"/>
    <w:rsid w:val="0076351D"/>
    <w:rsid w:val="007652FF"/>
    <w:rsid w:val="00765401"/>
    <w:rsid w:val="00773EF7"/>
    <w:rsid w:val="007744C2"/>
    <w:rsid w:val="00774E1D"/>
    <w:rsid w:val="0077675A"/>
    <w:rsid w:val="00780355"/>
    <w:rsid w:val="007845EA"/>
    <w:rsid w:val="00785721"/>
    <w:rsid w:val="00793A59"/>
    <w:rsid w:val="007A2162"/>
    <w:rsid w:val="007A2412"/>
    <w:rsid w:val="007C1AF7"/>
    <w:rsid w:val="00806547"/>
    <w:rsid w:val="00806EBE"/>
    <w:rsid w:val="00821776"/>
    <w:rsid w:val="00826007"/>
    <w:rsid w:val="008321F5"/>
    <w:rsid w:val="00832369"/>
    <w:rsid w:val="00832DF4"/>
    <w:rsid w:val="00834660"/>
    <w:rsid w:val="00836BC2"/>
    <w:rsid w:val="00851F2F"/>
    <w:rsid w:val="0085641B"/>
    <w:rsid w:val="00857136"/>
    <w:rsid w:val="0086378D"/>
    <w:rsid w:val="0087708A"/>
    <w:rsid w:val="00882A99"/>
    <w:rsid w:val="00885740"/>
    <w:rsid w:val="00886A91"/>
    <w:rsid w:val="008948A1"/>
    <w:rsid w:val="00896018"/>
    <w:rsid w:val="008A2B9D"/>
    <w:rsid w:val="008A3CDE"/>
    <w:rsid w:val="008A5E0B"/>
    <w:rsid w:val="008A6D59"/>
    <w:rsid w:val="008B4B03"/>
    <w:rsid w:val="008B596F"/>
    <w:rsid w:val="008C159F"/>
    <w:rsid w:val="008C1623"/>
    <w:rsid w:val="008C51A9"/>
    <w:rsid w:val="008C6B29"/>
    <w:rsid w:val="008F1CCC"/>
    <w:rsid w:val="008F2967"/>
    <w:rsid w:val="008F53B6"/>
    <w:rsid w:val="00920330"/>
    <w:rsid w:val="009219D7"/>
    <w:rsid w:val="00922D53"/>
    <w:rsid w:val="00923B70"/>
    <w:rsid w:val="00930237"/>
    <w:rsid w:val="0094115D"/>
    <w:rsid w:val="0094247A"/>
    <w:rsid w:val="00942F5D"/>
    <w:rsid w:val="00943F43"/>
    <w:rsid w:val="009453FE"/>
    <w:rsid w:val="00950C03"/>
    <w:rsid w:val="00963C08"/>
    <w:rsid w:val="00972ED8"/>
    <w:rsid w:val="00977058"/>
    <w:rsid w:val="00983B27"/>
    <w:rsid w:val="009965DA"/>
    <w:rsid w:val="009A4CED"/>
    <w:rsid w:val="009A6FE7"/>
    <w:rsid w:val="009B1D12"/>
    <w:rsid w:val="009B2E96"/>
    <w:rsid w:val="009B416B"/>
    <w:rsid w:val="009C4BD5"/>
    <w:rsid w:val="009D3FC6"/>
    <w:rsid w:val="009D7B77"/>
    <w:rsid w:val="009E0032"/>
    <w:rsid w:val="009E0BB0"/>
    <w:rsid w:val="009E3FBB"/>
    <w:rsid w:val="009E521D"/>
    <w:rsid w:val="009E5D2B"/>
    <w:rsid w:val="009F060F"/>
    <w:rsid w:val="00A04A0E"/>
    <w:rsid w:val="00A05ADA"/>
    <w:rsid w:val="00A064B9"/>
    <w:rsid w:val="00A14DF7"/>
    <w:rsid w:val="00A15463"/>
    <w:rsid w:val="00A3246D"/>
    <w:rsid w:val="00A34DB3"/>
    <w:rsid w:val="00A36FA7"/>
    <w:rsid w:val="00A414FC"/>
    <w:rsid w:val="00A475B7"/>
    <w:rsid w:val="00A47AF7"/>
    <w:rsid w:val="00A47C3E"/>
    <w:rsid w:val="00A50226"/>
    <w:rsid w:val="00A5547D"/>
    <w:rsid w:val="00A60BAD"/>
    <w:rsid w:val="00A711E4"/>
    <w:rsid w:val="00A73A8D"/>
    <w:rsid w:val="00A73B2B"/>
    <w:rsid w:val="00A935EA"/>
    <w:rsid w:val="00A947FC"/>
    <w:rsid w:val="00AB2CF9"/>
    <w:rsid w:val="00AB5D8A"/>
    <w:rsid w:val="00AB608C"/>
    <w:rsid w:val="00AC1A35"/>
    <w:rsid w:val="00AC2B40"/>
    <w:rsid w:val="00AC2BB2"/>
    <w:rsid w:val="00AC2C3C"/>
    <w:rsid w:val="00AD3451"/>
    <w:rsid w:val="00AD583F"/>
    <w:rsid w:val="00AE17AF"/>
    <w:rsid w:val="00AE1F11"/>
    <w:rsid w:val="00AE5312"/>
    <w:rsid w:val="00AE586E"/>
    <w:rsid w:val="00AE65EB"/>
    <w:rsid w:val="00AF1D94"/>
    <w:rsid w:val="00AF60C5"/>
    <w:rsid w:val="00B009C6"/>
    <w:rsid w:val="00B01548"/>
    <w:rsid w:val="00B05CE8"/>
    <w:rsid w:val="00B110D9"/>
    <w:rsid w:val="00B11BA8"/>
    <w:rsid w:val="00B14D59"/>
    <w:rsid w:val="00B14DBC"/>
    <w:rsid w:val="00B21D29"/>
    <w:rsid w:val="00B22EC8"/>
    <w:rsid w:val="00B25034"/>
    <w:rsid w:val="00B25BFC"/>
    <w:rsid w:val="00B26801"/>
    <w:rsid w:val="00B32CA1"/>
    <w:rsid w:val="00B33863"/>
    <w:rsid w:val="00B37D17"/>
    <w:rsid w:val="00B4175E"/>
    <w:rsid w:val="00B41D4C"/>
    <w:rsid w:val="00B44060"/>
    <w:rsid w:val="00B54C25"/>
    <w:rsid w:val="00B63BEB"/>
    <w:rsid w:val="00B76B91"/>
    <w:rsid w:val="00B836F7"/>
    <w:rsid w:val="00B84BC6"/>
    <w:rsid w:val="00B86870"/>
    <w:rsid w:val="00B87EB6"/>
    <w:rsid w:val="00B9532C"/>
    <w:rsid w:val="00BA23DB"/>
    <w:rsid w:val="00BC56F8"/>
    <w:rsid w:val="00BC622A"/>
    <w:rsid w:val="00BE0A78"/>
    <w:rsid w:val="00BE4A75"/>
    <w:rsid w:val="00BE79F0"/>
    <w:rsid w:val="00BF046D"/>
    <w:rsid w:val="00BF5B99"/>
    <w:rsid w:val="00BF5D04"/>
    <w:rsid w:val="00BF64C3"/>
    <w:rsid w:val="00C006A5"/>
    <w:rsid w:val="00C01B53"/>
    <w:rsid w:val="00C07087"/>
    <w:rsid w:val="00C15049"/>
    <w:rsid w:val="00C30B5A"/>
    <w:rsid w:val="00C404A6"/>
    <w:rsid w:val="00C40A36"/>
    <w:rsid w:val="00C41A3A"/>
    <w:rsid w:val="00C44419"/>
    <w:rsid w:val="00C45E7B"/>
    <w:rsid w:val="00C471B1"/>
    <w:rsid w:val="00C53FB6"/>
    <w:rsid w:val="00C5400D"/>
    <w:rsid w:val="00C60F02"/>
    <w:rsid w:val="00C6316B"/>
    <w:rsid w:val="00C634A9"/>
    <w:rsid w:val="00C65771"/>
    <w:rsid w:val="00C74D5E"/>
    <w:rsid w:val="00C772FF"/>
    <w:rsid w:val="00C801AF"/>
    <w:rsid w:val="00C80256"/>
    <w:rsid w:val="00C83592"/>
    <w:rsid w:val="00C84C86"/>
    <w:rsid w:val="00CA2BF8"/>
    <w:rsid w:val="00CB1B90"/>
    <w:rsid w:val="00CB6BC0"/>
    <w:rsid w:val="00CC1B7C"/>
    <w:rsid w:val="00CC727F"/>
    <w:rsid w:val="00CD2152"/>
    <w:rsid w:val="00CE5BB0"/>
    <w:rsid w:val="00CE65E9"/>
    <w:rsid w:val="00CF15C3"/>
    <w:rsid w:val="00CF25F9"/>
    <w:rsid w:val="00CF2B6F"/>
    <w:rsid w:val="00D00723"/>
    <w:rsid w:val="00D017ED"/>
    <w:rsid w:val="00D06D20"/>
    <w:rsid w:val="00D11D79"/>
    <w:rsid w:val="00D132D4"/>
    <w:rsid w:val="00D166FC"/>
    <w:rsid w:val="00D224FE"/>
    <w:rsid w:val="00D2550B"/>
    <w:rsid w:val="00D27C20"/>
    <w:rsid w:val="00D33F50"/>
    <w:rsid w:val="00D41516"/>
    <w:rsid w:val="00D640B6"/>
    <w:rsid w:val="00D6493E"/>
    <w:rsid w:val="00D75951"/>
    <w:rsid w:val="00D76D9E"/>
    <w:rsid w:val="00DA1124"/>
    <w:rsid w:val="00DA72F4"/>
    <w:rsid w:val="00DB0901"/>
    <w:rsid w:val="00DB39DE"/>
    <w:rsid w:val="00DB6C63"/>
    <w:rsid w:val="00DC24F5"/>
    <w:rsid w:val="00DC6944"/>
    <w:rsid w:val="00DD02A7"/>
    <w:rsid w:val="00DE02AE"/>
    <w:rsid w:val="00DE2CE4"/>
    <w:rsid w:val="00DE5138"/>
    <w:rsid w:val="00DF1D7F"/>
    <w:rsid w:val="00DF3171"/>
    <w:rsid w:val="00E02060"/>
    <w:rsid w:val="00E02FB4"/>
    <w:rsid w:val="00E1202C"/>
    <w:rsid w:val="00E16D8E"/>
    <w:rsid w:val="00E20571"/>
    <w:rsid w:val="00E235F7"/>
    <w:rsid w:val="00E239D4"/>
    <w:rsid w:val="00E30F11"/>
    <w:rsid w:val="00E31A0C"/>
    <w:rsid w:val="00E32F78"/>
    <w:rsid w:val="00E40B22"/>
    <w:rsid w:val="00E43640"/>
    <w:rsid w:val="00E452F2"/>
    <w:rsid w:val="00E4588F"/>
    <w:rsid w:val="00E46DA3"/>
    <w:rsid w:val="00E53DC4"/>
    <w:rsid w:val="00E54CC0"/>
    <w:rsid w:val="00E6415A"/>
    <w:rsid w:val="00E660E1"/>
    <w:rsid w:val="00E73355"/>
    <w:rsid w:val="00E86429"/>
    <w:rsid w:val="00E905F5"/>
    <w:rsid w:val="00EA3981"/>
    <w:rsid w:val="00EB0798"/>
    <w:rsid w:val="00EB2190"/>
    <w:rsid w:val="00EB40AD"/>
    <w:rsid w:val="00EB586E"/>
    <w:rsid w:val="00EB5FC8"/>
    <w:rsid w:val="00EC1AD5"/>
    <w:rsid w:val="00EC6B3D"/>
    <w:rsid w:val="00ED19D6"/>
    <w:rsid w:val="00ED5A41"/>
    <w:rsid w:val="00ED7F1C"/>
    <w:rsid w:val="00EE0DF3"/>
    <w:rsid w:val="00EE2288"/>
    <w:rsid w:val="00EE4453"/>
    <w:rsid w:val="00EE4CBB"/>
    <w:rsid w:val="00EE4D81"/>
    <w:rsid w:val="00EF3C40"/>
    <w:rsid w:val="00EF4573"/>
    <w:rsid w:val="00F033EC"/>
    <w:rsid w:val="00F04F68"/>
    <w:rsid w:val="00F05861"/>
    <w:rsid w:val="00F05CEF"/>
    <w:rsid w:val="00F06D39"/>
    <w:rsid w:val="00F12670"/>
    <w:rsid w:val="00F14031"/>
    <w:rsid w:val="00F14B27"/>
    <w:rsid w:val="00F20AD1"/>
    <w:rsid w:val="00F3148D"/>
    <w:rsid w:val="00F33C9B"/>
    <w:rsid w:val="00F33F9D"/>
    <w:rsid w:val="00F34E4C"/>
    <w:rsid w:val="00F35298"/>
    <w:rsid w:val="00F35CF1"/>
    <w:rsid w:val="00F428D7"/>
    <w:rsid w:val="00F4432F"/>
    <w:rsid w:val="00F462BC"/>
    <w:rsid w:val="00F47365"/>
    <w:rsid w:val="00F47E37"/>
    <w:rsid w:val="00F50DFE"/>
    <w:rsid w:val="00F50E4C"/>
    <w:rsid w:val="00F51518"/>
    <w:rsid w:val="00F53F08"/>
    <w:rsid w:val="00F640B6"/>
    <w:rsid w:val="00F80E40"/>
    <w:rsid w:val="00F97816"/>
    <w:rsid w:val="00FA07B6"/>
    <w:rsid w:val="00FA5B82"/>
    <w:rsid w:val="00FA639E"/>
    <w:rsid w:val="00FB02E9"/>
    <w:rsid w:val="00FC25E4"/>
    <w:rsid w:val="00FC4D91"/>
    <w:rsid w:val="00FC4EF7"/>
    <w:rsid w:val="00FD6692"/>
    <w:rsid w:val="00FE1DEE"/>
    <w:rsid w:val="00FE6133"/>
    <w:rsid w:val="00FE7D7B"/>
    <w:rsid w:val="00FF2126"/>
    <w:rsid w:val="00FF69BE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uiPriority="0" w:unhideWhenUsed="0"/>
    <w:lsdException w:name="footer" w:semiHidden="0" w:uiPriority="0" w:unhideWhenUsed="0"/>
    <w:lsdException w:name="caption" w:semiHidden="0" w:uiPriority="35" w:unhideWhenUsed="0"/>
    <w:lsdException w:name="page number" w:uiPriority="0"/>
    <w:lsdException w:name="endnote text" w:uiPriority="0"/>
    <w:lsdException w:name="List Bullet" w:semiHidden="0" w:uiPriority="0" w:unhideWhenUsed="0" w:qFormat="1"/>
    <w:lsdException w:name="List Bullet 2" w:semiHidden="0" w:uiPriority="0" w:unhideWhenUsed="0" w:qFormat="1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D7B"/>
    <w:pPr>
      <w:spacing w:after="0" w:line="240" w:lineRule="atLeast"/>
    </w:pPr>
    <w:rPr>
      <w:rFonts w:eastAsia="Cambria"/>
    </w:rPr>
  </w:style>
  <w:style w:type="paragraph" w:styleId="Heading1">
    <w:name w:val="heading 1"/>
    <w:basedOn w:val="Normal"/>
    <w:next w:val="Normal"/>
    <w:link w:val="Heading1Char"/>
    <w:rsid w:val="006906C4"/>
    <w:pPr>
      <w:keepNext/>
      <w:keepLines/>
      <w:spacing w:before="360" w:after="240"/>
      <w:jc w:val="center"/>
      <w:outlineLvl w:val="0"/>
    </w:pPr>
    <w:rPr>
      <w:rFonts w:ascii="Arial" w:eastAsia="Times New Roman" w:hAnsi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906C4"/>
    <w:pPr>
      <w:keepNext/>
      <w:keepLines/>
      <w:spacing w:before="480" w:after="120"/>
      <w:outlineLvl w:val="1"/>
    </w:pPr>
    <w:rPr>
      <w:rFonts w:ascii="Arial" w:eastAsia="Times New Roman" w:hAnsi="Arial"/>
      <w:b/>
      <w:bCs/>
      <w:sz w:val="38"/>
      <w:szCs w:val="38"/>
    </w:rPr>
  </w:style>
  <w:style w:type="paragraph" w:styleId="Heading3">
    <w:name w:val="heading 3"/>
    <w:basedOn w:val="Normal"/>
    <w:next w:val="Normal"/>
    <w:link w:val="Heading3Char"/>
    <w:qFormat/>
    <w:rsid w:val="006906C4"/>
    <w:pPr>
      <w:keepNext/>
      <w:keepLines/>
      <w:spacing w:before="480" w:after="120"/>
      <w:outlineLvl w:val="2"/>
    </w:pPr>
    <w:rPr>
      <w:rFonts w:ascii="Arial" w:eastAsia="Times New Roman" w:hAnsi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906C4"/>
    <w:pPr>
      <w:keepNext/>
      <w:keepLines/>
      <w:spacing w:before="360" w:after="12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rsid w:val="006906C4"/>
    <w:pPr>
      <w:keepNext/>
      <w:keepLines/>
      <w:spacing w:before="240" w:after="120"/>
      <w:outlineLvl w:val="4"/>
    </w:pPr>
    <w:rPr>
      <w:rFonts w:eastAsia="Times New Roman"/>
      <w:b/>
      <w:bCs/>
      <w:color w:val="001523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6906C4"/>
    <w:pPr>
      <w:keepNext/>
      <w:keepLines/>
      <w:spacing w:before="240" w:after="120"/>
      <w:outlineLvl w:val="5"/>
    </w:pPr>
    <w:rPr>
      <w:rFonts w:eastAsia="Times New Roman"/>
      <w:b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rsid w:val="006906C4"/>
    <w:pPr>
      <w:keepNext/>
      <w:keepLines/>
      <w:spacing w:before="240" w:after="60" w:line="180" w:lineRule="atLeast"/>
      <w:outlineLvl w:val="6"/>
    </w:pPr>
    <w:rPr>
      <w:rFonts w:eastAsia="Times New Roman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6C4"/>
    <w:rPr>
      <w:rFonts w:ascii="Arial" w:eastAsia="Times New Roman" w:hAnsi="Arial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30237"/>
    <w:rPr>
      <w:rFonts w:ascii="Arial" w:eastAsia="Times New Roman" w:hAnsi="Arial"/>
      <w:b/>
      <w:bCs/>
      <w:sz w:val="38"/>
      <w:szCs w:val="38"/>
    </w:rPr>
  </w:style>
  <w:style w:type="character" w:customStyle="1" w:styleId="Heading3Char">
    <w:name w:val="Heading 3 Char"/>
    <w:basedOn w:val="DefaultParagraphFont"/>
    <w:link w:val="Heading3"/>
    <w:rsid w:val="00025C67"/>
    <w:rPr>
      <w:rFonts w:ascii="Arial" w:eastAsia="Times New Roman" w:hAnsi="Arial"/>
      <w:b/>
      <w:bCs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4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4A75"/>
    <w:rPr>
      <w:rFonts w:ascii="Tahoma" w:eastAsia="Cambr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F2126"/>
    <w:rPr>
      <w:rFonts w:ascii="Arial" w:eastAsia="Cambria" w:hAnsi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148D"/>
    <w:rPr>
      <w:color w:val="800080"/>
      <w:u w:val="single"/>
    </w:rPr>
  </w:style>
  <w:style w:type="paragraph" w:styleId="Footer">
    <w:name w:val="footer"/>
    <w:basedOn w:val="Normal"/>
    <w:link w:val="FooterChar"/>
    <w:rsid w:val="006906C4"/>
    <w:pPr>
      <w:tabs>
        <w:tab w:val="center" w:pos="4513"/>
        <w:tab w:val="right" w:pos="9026"/>
      </w:tabs>
      <w:spacing w:line="240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826007"/>
    <w:rPr>
      <w:rFonts w:eastAsia="Cambria"/>
      <w:sz w:val="17"/>
    </w:rPr>
  </w:style>
  <w:style w:type="paragraph" w:styleId="Header">
    <w:name w:val="header"/>
    <w:basedOn w:val="Normal"/>
    <w:link w:val="HeaderChar"/>
    <w:rsid w:val="006906C4"/>
    <w:pPr>
      <w:pBdr>
        <w:bottom w:val="single" w:sz="4" w:space="3" w:color="auto"/>
      </w:pBdr>
      <w:tabs>
        <w:tab w:val="center" w:pos="4513"/>
        <w:tab w:val="right" w:pos="9026"/>
      </w:tabs>
      <w:spacing w:line="240" w:lineRule="auto"/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F3148D"/>
    <w:rPr>
      <w:rFonts w:eastAsia="Cambria"/>
      <w:sz w:val="17"/>
    </w:rPr>
  </w:style>
  <w:style w:type="character" w:customStyle="1" w:styleId="Heading5Char">
    <w:name w:val="Heading 5 Char"/>
    <w:basedOn w:val="DefaultParagraphFont"/>
    <w:link w:val="Heading5"/>
    <w:uiPriority w:val="9"/>
    <w:rsid w:val="00FA639E"/>
    <w:rPr>
      <w:rFonts w:eastAsia="Times New Roman"/>
      <w:b/>
      <w:bCs/>
      <w:color w:val="001523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3148D"/>
    <w:rPr>
      <w:rFonts w:eastAsia="Times New Roman"/>
      <w:b/>
      <w:bCs/>
      <w:i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F3148D"/>
    <w:rPr>
      <w:rFonts w:eastAsia="Times New Roman"/>
      <w:bCs/>
      <w:i/>
    </w:rPr>
  </w:style>
  <w:style w:type="character" w:styleId="Hyperlink">
    <w:name w:val="Hyperlink"/>
    <w:basedOn w:val="DefaultParagraphFont"/>
    <w:uiPriority w:val="99"/>
    <w:unhideWhenUsed/>
    <w:rsid w:val="006906C4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F3148D"/>
    <w:pPr>
      <w:spacing w:after="0" w:line="240" w:lineRule="auto"/>
    </w:pPr>
    <w:rPr>
      <w:rFonts w:ascii="Cambria" w:eastAsia="Calibri" w:hAnsi="Cambria" w:cs="Times New Roman"/>
      <w:color w:val="943634"/>
      <w:sz w:val="21"/>
      <w:szCs w:val="2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uiPriority w:val="2"/>
    <w:qFormat/>
    <w:rsid w:val="006906C4"/>
    <w:pPr>
      <w:numPr>
        <w:numId w:val="14"/>
      </w:numPr>
      <w:ind w:left="425" w:hanging="425"/>
    </w:pPr>
  </w:style>
  <w:style w:type="paragraph" w:styleId="ListBullet2">
    <w:name w:val="List Bullet 2"/>
    <w:basedOn w:val="Normal"/>
    <w:uiPriority w:val="2"/>
    <w:qFormat/>
    <w:rsid w:val="006906C4"/>
    <w:pPr>
      <w:numPr>
        <w:ilvl w:val="1"/>
        <w:numId w:val="14"/>
      </w:numPr>
      <w:ind w:left="850" w:hanging="425"/>
    </w:pPr>
  </w:style>
  <w:style w:type="paragraph" w:styleId="ListBullet3">
    <w:name w:val="List Bullet 3"/>
    <w:basedOn w:val="Normal"/>
    <w:uiPriority w:val="2"/>
    <w:qFormat/>
    <w:rsid w:val="006906C4"/>
    <w:pPr>
      <w:numPr>
        <w:ilvl w:val="2"/>
        <w:numId w:val="14"/>
      </w:numPr>
      <w:ind w:left="1417" w:hanging="425"/>
    </w:pPr>
  </w:style>
  <w:style w:type="numbering" w:customStyle="1" w:styleId="ListBullets">
    <w:name w:val="ListBullets"/>
    <w:uiPriority w:val="99"/>
    <w:locked/>
    <w:rsid w:val="00F3148D"/>
    <w:pPr>
      <w:numPr>
        <w:numId w:val="3"/>
      </w:numPr>
    </w:pPr>
  </w:style>
  <w:style w:type="table" w:styleId="MediumGrid2-Accent5">
    <w:name w:val="Medium Grid 2 Accent 5"/>
    <w:basedOn w:val="TableNormal"/>
    <w:uiPriority w:val="68"/>
    <w:rsid w:val="00F3148D"/>
    <w:pPr>
      <w:spacing w:after="0" w:line="240" w:lineRule="auto"/>
    </w:pPr>
    <w:rPr>
      <w:rFonts w:ascii="Cambria" w:eastAsia="Times New Roman" w:hAnsi="Cambria" w:cs="Times New Roman"/>
      <w:color w:val="000000"/>
      <w:sz w:val="21"/>
      <w:szCs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rsid w:val="00F3148D"/>
    <w:rPr>
      <w:rFonts w:ascii="Arial" w:hAnsi="Arial"/>
      <w:b/>
      <w:sz w:val="32"/>
    </w:rPr>
  </w:style>
  <w:style w:type="paragraph" w:customStyle="1" w:styleId="Numberbullet0">
    <w:name w:val="Number bullet"/>
    <w:basedOn w:val="ListBullet"/>
    <w:uiPriority w:val="3"/>
    <w:qFormat/>
    <w:rsid w:val="006906C4"/>
    <w:pPr>
      <w:numPr>
        <w:numId w:val="17"/>
      </w:numPr>
    </w:pPr>
  </w:style>
  <w:style w:type="paragraph" w:customStyle="1" w:styleId="Numberbullet2">
    <w:name w:val="Number bullet 2"/>
    <w:basedOn w:val="ListBullet2"/>
    <w:uiPriority w:val="3"/>
    <w:qFormat/>
    <w:rsid w:val="006906C4"/>
    <w:pPr>
      <w:numPr>
        <w:numId w:val="17"/>
      </w:numPr>
    </w:pPr>
  </w:style>
  <w:style w:type="paragraph" w:customStyle="1" w:styleId="Numberbullet3">
    <w:name w:val="Number bullet 3"/>
    <w:basedOn w:val="ListBullet3"/>
    <w:uiPriority w:val="3"/>
    <w:qFormat/>
    <w:rsid w:val="006906C4"/>
    <w:pPr>
      <w:numPr>
        <w:numId w:val="17"/>
      </w:numPr>
    </w:pPr>
  </w:style>
  <w:style w:type="numbering" w:customStyle="1" w:styleId="NumberBullet">
    <w:name w:val="NumberBullet"/>
    <w:uiPriority w:val="99"/>
    <w:locked/>
    <w:rsid w:val="00F3148D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F3148D"/>
    <w:rPr>
      <w:color w:val="808080"/>
    </w:rPr>
  </w:style>
  <w:style w:type="table" w:styleId="TableGrid">
    <w:name w:val="Table Grid"/>
    <w:basedOn w:val="TableNormal"/>
    <w:rsid w:val="00F3148D"/>
    <w:pPr>
      <w:spacing w:after="0" w:line="240" w:lineRule="auto"/>
    </w:pPr>
    <w:rPr>
      <w:rFonts w:ascii="Cambria" w:hAnsi="Cambria" w:cs="Times New Roman"/>
      <w:sz w:val="21"/>
      <w:szCs w:val="21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GAblue">
    <w:name w:val="Table TGA blue"/>
    <w:basedOn w:val="TableNormal"/>
    <w:uiPriority w:val="99"/>
    <w:qFormat/>
    <w:rsid w:val="00AC1A35"/>
    <w:pPr>
      <w:keepLines/>
      <w:spacing w:after="0" w:line="240" w:lineRule="auto"/>
    </w:pPr>
    <w:rPr>
      <w:rFonts w:ascii="Cambria" w:hAnsi="Cambria" w:cs="Times New Roman"/>
      <w:color w:val="000000"/>
      <w:szCs w:val="21"/>
      <w:lang w:eastAsia="en-AU"/>
    </w:rPr>
    <w:tblPr>
      <w:tblBorders>
        <w:top w:val="single" w:sz="8" w:space="0" w:color="002C47" w:themeColor="text1"/>
        <w:left w:val="single" w:sz="8" w:space="0" w:color="002C47" w:themeColor="text1"/>
        <w:bottom w:val="single" w:sz="8" w:space="0" w:color="002C47" w:themeColor="text1"/>
        <w:right w:val="single" w:sz="8" w:space="0" w:color="002C47" w:themeColor="text1"/>
        <w:insideH w:val="single" w:sz="8" w:space="0" w:color="002C47" w:themeColor="text1"/>
        <w:insideV w:val="single" w:sz="8" w:space="0" w:color="002C47" w:themeColor="text1"/>
      </w:tblBorders>
    </w:tblPr>
    <w:tcPr>
      <w:shd w:val="clear" w:color="auto" w:fill="auto"/>
    </w:tcPr>
    <w:tblStylePr w:type="firstRow">
      <w:pPr>
        <w:keepNext/>
        <w:wordWrap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2C47" w:themeColor="text1"/>
          <w:left w:val="single" w:sz="8" w:space="0" w:color="002C47" w:themeColor="text1"/>
          <w:bottom w:val="single" w:sz="8" w:space="0" w:color="002C47" w:themeColor="text1"/>
          <w:right w:val="single" w:sz="8" w:space="0" w:color="002C47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C1A35"/>
    <w:pPr>
      <w:spacing w:after="0" w:line="240" w:lineRule="auto"/>
    </w:pPr>
    <w:rPr>
      <w:rFonts w:ascii="Cambria" w:hAnsi="Cambria" w:cs="Times New Roman"/>
      <w:color w:val="000000"/>
      <w:szCs w:val="21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keepNext/>
        <w:wordWrap/>
      </w:pPr>
      <w:rPr>
        <w:rFonts w:ascii="Cambria" w:hAnsi="Cambria"/>
        <w:b/>
        <w:color w:val="FFFFFF"/>
        <w:sz w:val="22"/>
      </w:rPr>
      <w:tblPr/>
      <w:trPr>
        <w:cantSplit/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22"/>
      </w:rPr>
    </w:tblStylePr>
  </w:style>
  <w:style w:type="paragraph" w:styleId="TOC1">
    <w:name w:val="toc 1"/>
    <w:basedOn w:val="Normal"/>
    <w:next w:val="Normal"/>
    <w:uiPriority w:val="39"/>
    <w:semiHidden/>
    <w:unhideWhenUsed/>
    <w:rsid w:val="006906C4"/>
    <w:pPr>
      <w:keepNext/>
      <w:keepLines/>
      <w:tabs>
        <w:tab w:val="right" w:leader="underscore" w:pos="8505"/>
      </w:tabs>
      <w:spacing w:after="200"/>
    </w:pPr>
    <w:rPr>
      <w:rFonts w:ascii="Arial" w:hAnsi="Arial"/>
      <w:b/>
      <w:sz w:val="32"/>
    </w:rPr>
  </w:style>
  <w:style w:type="paragraph" w:styleId="TOC2">
    <w:name w:val="toc 2"/>
    <w:basedOn w:val="Normal"/>
    <w:next w:val="Normal"/>
    <w:uiPriority w:val="39"/>
    <w:semiHidden/>
    <w:unhideWhenUsed/>
    <w:rsid w:val="006906C4"/>
    <w:pPr>
      <w:keepNext/>
      <w:keepLines/>
      <w:tabs>
        <w:tab w:val="right" w:leader="underscore" w:pos="8505"/>
      </w:tabs>
      <w:spacing w:after="100"/>
      <w:ind w:left="425"/>
    </w:pPr>
    <w:rPr>
      <w:b/>
      <w:sz w:val="25"/>
    </w:rPr>
  </w:style>
  <w:style w:type="paragraph" w:styleId="TOC3">
    <w:name w:val="toc 3"/>
    <w:basedOn w:val="Normal"/>
    <w:next w:val="Normal"/>
    <w:uiPriority w:val="39"/>
    <w:semiHidden/>
    <w:unhideWhenUsed/>
    <w:rsid w:val="006906C4"/>
    <w:pPr>
      <w:keepNext/>
      <w:keepLines/>
      <w:tabs>
        <w:tab w:val="right" w:leader="hyphen" w:pos="8505"/>
      </w:tabs>
      <w:spacing w:after="100"/>
      <w:ind w:left="851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48D"/>
    <w:pPr>
      <w:spacing w:before="480" w:after="0" w:line="276" w:lineRule="auto"/>
      <w:outlineLvl w:val="9"/>
    </w:pPr>
    <w:rPr>
      <w:bCs w:val="0"/>
      <w:color w:val="002035"/>
      <w:sz w:val="28"/>
      <w:lang w:val="en-US"/>
    </w:rPr>
  </w:style>
  <w:style w:type="paragraph" w:customStyle="1" w:styleId="Attachment">
    <w:name w:val="Attachment"/>
    <w:basedOn w:val="Normal"/>
    <w:next w:val="Normal"/>
    <w:rsid w:val="004D7C63"/>
    <w:pPr>
      <w:jc w:val="center"/>
    </w:pPr>
    <w:rPr>
      <w:b/>
      <w:sz w:val="20"/>
    </w:rPr>
  </w:style>
  <w:style w:type="paragraph" w:customStyle="1" w:styleId="Tabletitle">
    <w:name w:val="Table title"/>
    <w:basedOn w:val="Normal"/>
    <w:next w:val="Normal"/>
    <w:rsid w:val="006906C4"/>
    <w:pPr>
      <w:keepNext/>
      <w:outlineLvl w:val="4"/>
    </w:pPr>
    <w:rPr>
      <w:b/>
    </w:rPr>
  </w:style>
  <w:style w:type="paragraph" w:styleId="FootnoteText">
    <w:name w:val="footnote text"/>
    <w:basedOn w:val="Normal"/>
    <w:link w:val="FootnoteTextChar"/>
    <w:semiHidden/>
    <w:unhideWhenUsed/>
    <w:rsid w:val="006906C4"/>
    <w:pPr>
      <w:keepLines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06C4"/>
    <w:rPr>
      <w:rFonts w:eastAsia="Cambria"/>
      <w:sz w:val="20"/>
    </w:rPr>
  </w:style>
  <w:style w:type="paragraph" w:styleId="EndnoteText">
    <w:name w:val="endnote text"/>
    <w:basedOn w:val="FootnoteText"/>
    <w:link w:val="EndnoteTextChar"/>
    <w:semiHidden/>
    <w:unhideWhenUsed/>
    <w:rsid w:val="007744C2"/>
  </w:style>
  <w:style w:type="character" w:customStyle="1" w:styleId="EndnoteTextChar">
    <w:name w:val="Endnote Text Char"/>
    <w:basedOn w:val="DefaultParagraphFont"/>
    <w:link w:val="EndnoteText"/>
    <w:semiHidden/>
    <w:rsid w:val="006906C4"/>
    <w:rPr>
      <w:rFonts w:eastAsia="Cambria"/>
      <w:sz w:val="20"/>
    </w:rPr>
  </w:style>
  <w:style w:type="paragraph" w:customStyle="1" w:styleId="Figuredescription">
    <w:name w:val="Figure description"/>
    <w:basedOn w:val="Normal"/>
    <w:next w:val="Normal"/>
    <w:semiHidden/>
    <w:unhideWhenUsed/>
    <w:rsid w:val="006906C4"/>
    <w:pPr>
      <w:spacing w:after="240" w:line="180" w:lineRule="atLeast"/>
    </w:pPr>
    <w:rPr>
      <w:sz w:val="18"/>
    </w:rPr>
  </w:style>
  <w:style w:type="paragraph" w:customStyle="1" w:styleId="Figuretitle">
    <w:name w:val="Figure title"/>
    <w:basedOn w:val="Normal"/>
    <w:next w:val="Normal"/>
    <w:semiHidden/>
    <w:unhideWhenUsed/>
    <w:rsid w:val="006906C4"/>
    <w:pPr>
      <w:outlineLvl w:val="4"/>
    </w:pPr>
    <w:rPr>
      <w:b/>
    </w:rPr>
  </w:style>
  <w:style w:type="paragraph" w:customStyle="1" w:styleId="Headernoline">
    <w:name w:val="Header no line"/>
    <w:basedOn w:val="Header"/>
    <w:rsid w:val="006906C4"/>
    <w:pPr>
      <w:pBdr>
        <w:bottom w:val="none" w:sz="0" w:space="0" w:color="auto"/>
      </w:pBdr>
      <w:spacing w:line="240" w:lineRule="atLeast"/>
    </w:pPr>
  </w:style>
  <w:style w:type="paragraph" w:customStyle="1" w:styleId="Quotation">
    <w:name w:val="Quotation"/>
    <w:basedOn w:val="Normal"/>
    <w:next w:val="Normal"/>
    <w:uiPriority w:val="4"/>
    <w:qFormat/>
    <w:rsid w:val="006906C4"/>
    <w:pPr>
      <w:ind w:left="425"/>
    </w:pPr>
    <w:rPr>
      <w:sz w:val="20"/>
    </w:rPr>
  </w:style>
  <w:style w:type="paragraph" w:customStyle="1" w:styleId="Tabledescription">
    <w:name w:val="Table description"/>
    <w:basedOn w:val="Figuredescription"/>
    <w:next w:val="Normal"/>
    <w:rsid w:val="006906C4"/>
  </w:style>
  <w:style w:type="paragraph" w:styleId="TOC4">
    <w:name w:val="toc 4"/>
    <w:basedOn w:val="Normal"/>
    <w:next w:val="Normal"/>
    <w:autoRedefine/>
    <w:uiPriority w:val="39"/>
    <w:semiHidden/>
    <w:unhideWhenUsed/>
    <w:rsid w:val="006906C4"/>
    <w:pPr>
      <w:tabs>
        <w:tab w:val="right" w:leader="hyphen" w:pos="8505"/>
      </w:tabs>
      <w:spacing w:after="100"/>
      <w:ind w:left="1276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06C4"/>
    <w:pPr>
      <w:tabs>
        <w:tab w:val="right" w:leader="dot" w:pos="8505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906C4"/>
    <w:pPr>
      <w:tabs>
        <w:tab w:val="right" w:pos="8505"/>
      </w:tabs>
      <w:spacing w:after="100"/>
      <w:ind w:left="2126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06C4"/>
    <w:pPr>
      <w:spacing w:after="100"/>
      <w:ind w:left="2211"/>
    </w:pPr>
  </w:style>
  <w:style w:type="paragraph" w:customStyle="1" w:styleId="HeaderBoldEven">
    <w:name w:val="HeaderBoldEven"/>
    <w:basedOn w:val="Normal"/>
    <w:rsid w:val="00433F61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433F61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433F61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433F61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433F61"/>
    <w:pPr>
      <w:spacing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433F61"/>
    <w:pPr>
      <w:spacing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PageNumber">
    <w:name w:val="page number"/>
    <w:basedOn w:val="DefaultParagraphFont"/>
    <w:rsid w:val="00433F61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433F61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433F61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ectno">
    <w:name w:val="CharSectno"/>
    <w:basedOn w:val="DefaultParagraphFont"/>
    <w:rsid w:val="00433F61"/>
  </w:style>
  <w:style w:type="paragraph" w:styleId="CommentText">
    <w:name w:val="annotation text"/>
    <w:basedOn w:val="Normal"/>
    <w:link w:val="CommentTextChar"/>
    <w:uiPriority w:val="99"/>
    <w:rsid w:val="00433F6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F6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efinition">
    <w:name w:val="definition"/>
    <w:basedOn w:val="Normal"/>
    <w:rsid w:val="00433F61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433F61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433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End">
    <w:name w:val="Note End"/>
    <w:basedOn w:val="Normal"/>
    <w:rsid w:val="00433F61"/>
    <w:pPr>
      <w:keepLines/>
      <w:spacing w:before="120" w:line="240" w:lineRule="exact"/>
      <w:ind w:left="567" w:hanging="567"/>
      <w:jc w:val="both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433F6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433F61"/>
  </w:style>
  <w:style w:type="character" w:customStyle="1" w:styleId="CharSchText">
    <w:name w:val="CharSchText"/>
    <w:basedOn w:val="DefaultParagraphFont"/>
    <w:rsid w:val="00433F61"/>
  </w:style>
  <w:style w:type="paragraph" w:customStyle="1" w:styleId="FooterCitation">
    <w:name w:val="FooterCitation"/>
    <w:basedOn w:val="Footer"/>
    <w:rsid w:val="00433F61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chedulepara">
    <w:name w:val="Schedule para"/>
    <w:basedOn w:val="Normal"/>
    <w:rsid w:val="00433F61"/>
    <w:pPr>
      <w:tabs>
        <w:tab w:val="right" w:pos="567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433F61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433F61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433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R1">
    <w:name w:val="ZR1"/>
    <w:basedOn w:val="R1"/>
    <w:rsid w:val="00433F61"/>
    <w:pPr>
      <w:keepNext/>
    </w:pPr>
  </w:style>
  <w:style w:type="character" w:styleId="CommentReference">
    <w:name w:val="annotation reference"/>
    <w:basedOn w:val="DefaultParagraphFont"/>
    <w:uiPriority w:val="99"/>
    <w:semiHidden/>
    <w:unhideWhenUsed/>
    <w:rsid w:val="00C01B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B53"/>
    <w:rPr>
      <w:rFonts w:asciiTheme="minorHAnsi" w:eastAsia="Cambr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B53"/>
    <w:rPr>
      <w:rFonts w:ascii="Times New Roman" w:eastAsia="Cambria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rsid w:val="00D2550B"/>
    <w:pPr>
      <w:ind w:left="720"/>
      <w:contextualSpacing/>
    </w:pPr>
  </w:style>
  <w:style w:type="paragraph" w:styleId="Revision">
    <w:name w:val="Revision"/>
    <w:hidden/>
    <w:uiPriority w:val="99"/>
    <w:semiHidden/>
    <w:rsid w:val="00D41516"/>
    <w:pPr>
      <w:spacing w:after="0" w:line="240" w:lineRule="auto"/>
    </w:pPr>
    <w:rPr>
      <w:rFonts w:eastAsia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uiPriority="0" w:unhideWhenUsed="0"/>
    <w:lsdException w:name="footer" w:semiHidden="0" w:uiPriority="0" w:unhideWhenUsed="0"/>
    <w:lsdException w:name="caption" w:semiHidden="0" w:uiPriority="35" w:unhideWhenUsed="0"/>
    <w:lsdException w:name="page number" w:uiPriority="0"/>
    <w:lsdException w:name="endnote text" w:uiPriority="0"/>
    <w:lsdException w:name="List Bullet" w:semiHidden="0" w:uiPriority="0" w:unhideWhenUsed="0" w:qFormat="1"/>
    <w:lsdException w:name="List Bullet 2" w:semiHidden="0" w:uiPriority="0" w:unhideWhenUsed="0" w:qFormat="1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7D7B"/>
    <w:pPr>
      <w:spacing w:after="0" w:line="240" w:lineRule="atLeast"/>
    </w:pPr>
    <w:rPr>
      <w:rFonts w:eastAsia="Cambria"/>
    </w:rPr>
  </w:style>
  <w:style w:type="paragraph" w:styleId="Heading1">
    <w:name w:val="heading 1"/>
    <w:basedOn w:val="Normal"/>
    <w:next w:val="Normal"/>
    <w:link w:val="Heading1Char"/>
    <w:rsid w:val="006906C4"/>
    <w:pPr>
      <w:keepNext/>
      <w:keepLines/>
      <w:spacing w:before="360" w:after="240"/>
      <w:jc w:val="center"/>
      <w:outlineLvl w:val="0"/>
    </w:pPr>
    <w:rPr>
      <w:rFonts w:ascii="Arial" w:eastAsia="Times New Roman" w:hAnsi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906C4"/>
    <w:pPr>
      <w:keepNext/>
      <w:keepLines/>
      <w:spacing w:before="480" w:after="120"/>
      <w:outlineLvl w:val="1"/>
    </w:pPr>
    <w:rPr>
      <w:rFonts w:ascii="Arial" w:eastAsia="Times New Roman" w:hAnsi="Arial"/>
      <w:b/>
      <w:bCs/>
      <w:sz w:val="38"/>
      <w:szCs w:val="38"/>
    </w:rPr>
  </w:style>
  <w:style w:type="paragraph" w:styleId="Heading3">
    <w:name w:val="heading 3"/>
    <w:basedOn w:val="Normal"/>
    <w:next w:val="Normal"/>
    <w:link w:val="Heading3Char"/>
    <w:qFormat/>
    <w:rsid w:val="006906C4"/>
    <w:pPr>
      <w:keepNext/>
      <w:keepLines/>
      <w:spacing w:before="480" w:after="120"/>
      <w:outlineLvl w:val="2"/>
    </w:pPr>
    <w:rPr>
      <w:rFonts w:ascii="Arial" w:eastAsia="Times New Roman" w:hAnsi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906C4"/>
    <w:pPr>
      <w:keepNext/>
      <w:keepLines/>
      <w:spacing w:before="360" w:after="12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rsid w:val="006906C4"/>
    <w:pPr>
      <w:keepNext/>
      <w:keepLines/>
      <w:spacing w:before="240" w:after="120"/>
      <w:outlineLvl w:val="4"/>
    </w:pPr>
    <w:rPr>
      <w:rFonts w:eastAsia="Times New Roman"/>
      <w:b/>
      <w:bCs/>
      <w:color w:val="001523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6906C4"/>
    <w:pPr>
      <w:keepNext/>
      <w:keepLines/>
      <w:spacing w:before="240" w:after="120"/>
      <w:outlineLvl w:val="5"/>
    </w:pPr>
    <w:rPr>
      <w:rFonts w:eastAsia="Times New Roman"/>
      <w:b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rsid w:val="006906C4"/>
    <w:pPr>
      <w:keepNext/>
      <w:keepLines/>
      <w:spacing w:before="240" w:after="60" w:line="180" w:lineRule="atLeast"/>
      <w:outlineLvl w:val="6"/>
    </w:pPr>
    <w:rPr>
      <w:rFonts w:eastAsia="Times New Roman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6C4"/>
    <w:rPr>
      <w:rFonts w:ascii="Arial" w:eastAsia="Times New Roman" w:hAnsi="Arial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30237"/>
    <w:rPr>
      <w:rFonts w:ascii="Arial" w:eastAsia="Times New Roman" w:hAnsi="Arial"/>
      <w:b/>
      <w:bCs/>
      <w:sz w:val="38"/>
      <w:szCs w:val="38"/>
    </w:rPr>
  </w:style>
  <w:style w:type="character" w:customStyle="1" w:styleId="Heading3Char">
    <w:name w:val="Heading 3 Char"/>
    <w:basedOn w:val="DefaultParagraphFont"/>
    <w:link w:val="Heading3"/>
    <w:rsid w:val="00025C67"/>
    <w:rPr>
      <w:rFonts w:ascii="Arial" w:eastAsia="Times New Roman" w:hAnsi="Arial"/>
      <w:b/>
      <w:bCs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4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4A75"/>
    <w:rPr>
      <w:rFonts w:ascii="Tahoma" w:eastAsia="Cambr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F2126"/>
    <w:rPr>
      <w:rFonts w:ascii="Arial" w:eastAsia="Cambria" w:hAnsi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148D"/>
    <w:rPr>
      <w:color w:val="800080"/>
      <w:u w:val="single"/>
    </w:rPr>
  </w:style>
  <w:style w:type="paragraph" w:styleId="Footer">
    <w:name w:val="footer"/>
    <w:basedOn w:val="Normal"/>
    <w:link w:val="FooterChar"/>
    <w:rsid w:val="006906C4"/>
    <w:pPr>
      <w:tabs>
        <w:tab w:val="center" w:pos="4513"/>
        <w:tab w:val="right" w:pos="9026"/>
      </w:tabs>
      <w:spacing w:line="240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826007"/>
    <w:rPr>
      <w:rFonts w:eastAsia="Cambria"/>
      <w:sz w:val="17"/>
    </w:rPr>
  </w:style>
  <w:style w:type="paragraph" w:styleId="Header">
    <w:name w:val="header"/>
    <w:basedOn w:val="Normal"/>
    <w:link w:val="HeaderChar"/>
    <w:rsid w:val="006906C4"/>
    <w:pPr>
      <w:pBdr>
        <w:bottom w:val="single" w:sz="4" w:space="3" w:color="auto"/>
      </w:pBdr>
      <w:tabs>
        <w:tab w:val="center" w:pos="4513"/>
        <w:tab w:val="right" w:pos="9026"/>
      </w:tabs>
      <w:spacing w:line="240" w:lineRule="auto"/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F3148D"/>
    <w:rPr>
      <w:rFonts w:eastAsia="Cambria"/>
      <w:sz w:val="17"/>
    </w:rPr>
  </w:style>
  <w:style w:type="character" w:customStyle="1" w:styleId="Heading5Char">
    <w:name w:val="Heading 5 Char"/>
    <w:basedOn w:val="DefaultParagraphFont"/>
    <w:link w:val="Heading5"/>
    <w:uiPriority w:val="9"/>
    <w:rsid w:val="00FA639E"/>
    <w:rPr>
      <w:rFonts w:eastAsia="Times New Roman"/>
      <w:b/>
      <w:bCs/>
      <w:color w:val="001523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3148D"/>
    <w:rPr>
      <w:rFonts w:eastAsia="Times New Roman"/>
      <w:b/>
      <w:bCs/>
      <w:i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F3148D"/>
    <w:rPr>
      <w:rFonts w:eastAsia="Times New Roman"/>
      <w:bCs/>
      <w:i/>
    </w:rPr>
  </w:style>
  <w:style w:type="character" w:styleId="Hyperlink">
    <w:name w:val="Hyperlink"/>
    <w:basedOn w:val="DefaultParagraphFont"/>
    <w:uiPriority w:val="99"/>
    <w:unhideWhenUsed/>
    <w:rsid w:val="006906C4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F3148D"/>
    <w:pPr>
      <w:spacing w:after="0" w:line="240" w:lineRule="auto"/>
    </w:pPr>
    <w:rPr>
      <w:rFonts w:ascii="Cambria" w:eastAsia="Calibri" w:hAnsi="Cambria" w:cs="Times New Roman"/>
      <w:color w:val="943634"/>
      <w:sz w:val="21"/>
      <w:szCs w:val="2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uiPriority w:val="2"/>
    <w:qFormat/>
    <w:rsid w:val="006906C4"/>
    <w:pPr>
      <w:numPr>
        <w:numId w:val="14"/>
      </w:numPr>
      <w:ind w:left="425" w:hanging="425"/>
    </w:pPr>
  </w:style>
  <w:style w:type="paragraph" w:styleId="ListBullet2">
    <w:name w:val="List Bullet 2"/>
    <w:basedOn w:val="Normal"/>
    <w:uiPriority w:val="2"/>
    <w:qFormat/>
    <w:rsid w:val="006906C4"/>
    <w:pPr>
      <w:numPr>
        <w:ilvl w:val="1"/>
        <w:numId w:val="14"/>
      </w:numPr>
      <w:ind w:left="850" w:hanging="425"/>
    </w:pPr>
  </w:style>
  <w:style w:type="paragraph" w:styleId="ListBullet3">
    <w:name w:val="List Bullet 3"/>
    <w:basedOn w:val="Normal"/>
    <w:uiPriority w:val="2"/>
    <w:qFormat/>
    <w:rsid w:val="006906C4"/>
    <w:pPr>
      <w:numPr>
        <w:ilvl w:val="2"/>
        <w:numId w:val="14"/>
      </w:numPr>
      <w:ind w:left="1417" w:hanging="425"/>
    </w:pPr>
  </w:style>
  <w:style w:type="numbering" w:customStyle="1" w:styleId="ListBullets">
    <w:name w:val="ListBullets"/>
    <w:uiPriority w:val="99"/>
    <w:locked/>
    <w:rsid w:val="00F3148D"/>
    <w:pPr>
      <w:numPr>
        <w:numId w:val="3"/>
      </w:numPr>
    </w:pPr>
  </w:style>
  <w:style w:type="table" w:styleId="MediumGrid2-Accent5">
    <w:name w:val="Medium Grid 2 Accent 5"/>
    <w:basedOn w:val="TableNormal"/>
    <w:uiPriority w:val="68"/>
    <w:rsid w:val="00F3148D"/>
    <w:pPr>
      <w:spacing w:after="0" w:line="240" w:lineRule="auto"/>
    </w:pPr>
    <w:rPr>
      <w:rFonts w:ascii="Cambria" w:eastAsia="Times New Roman" w:hAnsi="Cambria" w:cs="Times New Roman"/>
      <w:color w:val="000000"/>
      <w:sz w:val="21"/>
      <w:szCs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rsid w:val="00F3148D"/>
    <w:rPr>
      <w:rFonts w:ascii="Arial" w:hAnsi="Arial"/>
      <w:b/>
      <w:sz w:val="32"/>
    </w:rPr>
  </w:style>
  <w:style w:type="paragraph" w:customStyle="1" w:styleId="Numberbullet0">
    <w:name w:val="Number bullet"/>
    <w:basedOn w:val="ListBullet"/>
    <w:uiPriority w:val="3"/>
    <w:qFormat/>
    <w:rsid w:val="006906C4"/>
    <w:pPr>
      <w:numPr>
        <w:numId w:val="17"/>
      </w:numPr>
    </w:pPr>
  </w:style>
  <w:style w:type="paragraph" w:customStyle="1" w:styleId="Numberbullet2">
    <w:name w:val="Number bullet 2"/>
    <w:basedOn w:val="ListBullet2"/>
    <w:uiPriority w:val="3"/>
    <w:qFormat/>
    <w:rsid w:val="006906C4"/>
    <w:pPr>
      <w:numPr>
        <w:numId w:val="17"/>
      </w:numPr>
    </w:pPr>
  </w:style>
  <w:style w:type="paragraph" w:customStyle="1" w:styleId="Numberbullet3">
    <w:name w:val="Number bullet 3"/>
    <w:basedOn w:val="ListBullet3"/>
    <w:uiPriority w:val="3"/>
    <w:qFormat/>
    <w:rsid w:val="006906C4"/>
    <w:pPr>
      <w:numPr>
        <w:numId w:val="17"/>
      </w:numPr>
    </w:pPr>
  </w:style>
  <w:style w:type="numbering" w:customStyle="1" w:styleId="NumberBullet">
    <w:name w:val="NumberBullet"/>
    <w:uiPriority w:val="99"/>
    <w:locked/>
    <w:rsid w:val="00F3148D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F3148D"/>
    <w:rPr>
      <w:color w:val="808080"/>
    </w:rPr>
  </w:style>
  <w:style w:type="table" w:styleId="TableGrid">
    <w:name w:val="Table Grid"/>
    <w:basedOn w:val="TableNormal"/>
    <w:rsid w:val="00F3148D"/>
    <w:pPr>
      <w:spacing w:after="0" w:line="240" w:lineRule="auto"/>
    </w:pPr>
    <w:rPr>
      <w:rFonts w:ascii="Cambria" w:hAnsi="Cambria" w:cs="Times New Roman"/>
      <w:sz w:val="21"/>
      <w:szCs w:val="21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GAblue">
    <w:name w:val="Table TGA blue"/>
    <w:basedOn w:val="TableNormal"/>
    <w:uiPriority w:val="99"/>
    <w:qFormat/>
    <w:rsid w:val="00AC1A35"/>
    <w:pPr>
      <w:keepLines/>
      <w:spacing w:after="0" w:line="240" w:lineRule="auto"/>
    </w:pPr>
    <w:rPr>
      <w:rFonts w:ascii="Cambria" w:hAnsi="Cambria" w:cs="Times New Roman"/>
      <w:color w:val="000000"/>
      <w:szCs w:val="21"/>
      <w:lang w:eastAsia="en-AU"/>
    </w:rPr>
    <w:tblPr>
      <w:tblBorders>
        <w:top w:val="single" w:sz="8" w:space="0" w:color="002C47" w:themeColor="text1"/>
        <w:left w:val="single" w:sz="8" w:space="0" w:color="002C47" w:themeColor="text1"/>
        <w:bottom w:val="single" w:sz="8" w:space="0" w:color="002C47" w:themeColor="text1"/>
        <w:right w:val="single" w:sz="8" w:space="0" w:color="002C47" w:themeColor="text1"/>
        <w:insideH w:val="single" w:sz="8" w:space="0" w:color="002C47" w:themeColor="text1"/>
        <w:insideV w:val="single" w:sz="8" w:space="0" w:color="002C47" w:themeColor="text1"/>
      </w:tblBorders>
    </w:tblPr>
    <w:tcPr>
      <w:shd w:val="clear" w:color="auto" w:fill="auto"/>
    </w:tcPr>
    <w:tblStylePr w:type="firstRow">
      <w:pPr>
        <w:keepNext/>
        <w:wordWrap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2C47" w:themeColor="text1"/>
          <w:left w:val="single" w:sz="8" w:space="0" w:color="002C47" w:themeColor="text1"/>
          <w:bottom w:val="single" w:sz="8" w:space="0" w:color="002C47" w:themeColor="text1"/>
          <w:right w:val="single" w:sz="8" w:space="0" w:color="002C47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C1A35"/>
    <w:pPr>
      <w:spacing w:after="0" w:line="240" w:lineRule="auto"/>
    </w:pPr>
    <w:rPr>
      <w:rFonts w:ascii="Cambria" w:hAnsi="Cambria" w:cs="Times New Roman"/>
      <w:color w:val="000000"/>
      <w:szCs w:val="21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keepNext/>
        <w:wordWrap/>
      </w:pPr>
      <w:rPr>
        <w:rFonts w:ascii="Cambria" w:hAnsi="Cambria"/>
        <w:b/>
        <w:color w:val="FFFFFF"/>
        <w:sz w:val="22"/>
      </w:rPr>
      <w:tblPr/>
      <w:trPr>
        <w:cantSplit/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22"/>
      </w:rPr>
    </w:tblStylePr>
  </w:style>
  <w:style w:type="paragraph" w:styleId="TOC1">
    <w:name w:val="toc 1"/>
    <w:basedOn w:val="Normal"/>
    <w:next w:val="Normal"/>
    <w:uiPriority w:val="39"/>
    <w:semiHidden/>
    <w:unhideWhenUsed/>
    <w:rsid w:val="006906C4"/>
    <w:pPr>
      <w:keepNext/>
      <w:keepLines/>
      <w:tabs>
        <w:tab w:val="right" w:leader="underscore" w:pos="8505"/>
      </w:tabs>
      <w:spacing w:after="200"/>
    </w:pPr>
    <w:rPr>
      <w:rFonts w:ascii="Arial" w:hAnsi="Arial"/>
      <w:b/>
      <w:sz w:val="32"/>
    </w:rPr>
  </w:style>
  <w:style w:type="paragraph" w:styleId="TOC2">
    <w:name w:val="toc 2"/>
    <w:basedOn w:val="Normal"/>
    <w:next w:val="Normal"/>
    <w:uiPriority w:val="39"/>
    <w:semiHidden/>
    <w:unhideWhenUsed/>
    <w:rsid w:val="006906C4"/>
    <w:pPr>
      <w:keepNext/>
      <w:keepLines/>
      <w:tabs>
        <w:tab w:val="right" w:leader="underscore" w:pos="8505"/>
      </w:tabs>
      <w:spacing w:after="100"/>
      <w:ind w:left="425"/>
    </w:pPr>
    <w:rPr>
      <w:b/>
      <w:sz w:val="25"/>
    </w:rPr>
  </w:style>
  <w:style w:type="paragraph" w:styleId="TOC3">
    <w:name w:val="toc 3"/>
    <w:basedOn w:val="Normal"/>
    <w:next w:val="Normal"/>
    <w:uiPriority w:val="39"/>
    <w:semiHidden/>
    <w:unhideWhenUsed/>
    <w:rsid w:val="006906C4"/>
    <w:pPr>
      <w:keepNext/>
      <w:keepLines/>
      <w:tabs>
        <w:tab w:val="right" w:leader="hyphen" w:pos="8505"/>
      </w:tabs>
      <w:spacing w:after="100"/>
      <w:ind w:left="851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48D"/>
    <w:pPr>
      <w:spacing w:before="480" w:after="0" w:line="276" w:lineRule="auto"/>
      <w:outlineLvl w:val="9"/>
    </w:pPr>
    <w:rPr>
      <w:bCs w:val="0"/>
      <w:color w:val="002035"/>
      <w:sz w:val="28"/>
      <w:lang w:val="en-US"/>
    </w:rPr>
  </w:style>
  <w:style w:type="paragraph" w:customStyle="1" w:styleId="Attachment">
    <w:name w:val="Attachment"/>
    <w:basedOn w:val="Normal"/>
    <w:next w:val="Normal"/>
    <w:rsid w:val="004D7C63"/>
    <w:pPr>
      <w:jc w:val="center"/>
    </w:pPr>
    <w:rPr>
      <w:b/>
      <w:sz w:val="20"/>
    </w:rPr>
  </w:style>
  <w:style w:type="paragraph" w:customStyle="1" w:styleId="Tabletitle">
    <w:name w:val="Table title"/>
    <w:basedOn w:val="Normal"/>
    <w:next w:val="Normal"/>
    <w:rsid w:val="006906C4"/>
    <w:pPr>
      <w:keepNext/>
      <w:outlineLvl w:val="4"/>
    </w:pPr>
    <w:rPr>
      <w:b/>
    </w:rPr>
  </w:style>
  <w:style w:type="paragraph" w:styleId="FootnoteText">
    <w:name w:val="footnote text"/>
    <w:basedOn w:val="Normal"/>
    <w:link w:val="FootnoteTextChar"/>
    <w:semiHidden/>
    <w:unhideWhenUsed/>
    <w:rsid w:val="006906C4"/>
    <w:pPr>
      <w:keepLines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06C4"/>
    <w:rPr>
      <w:rFonts w:eastAsia="Cambria"/>
      <w:sz w:val="20"/>
    </w:rPr>
  </w:style>
  <w:style w:type="paragraph" w:styleId="EndnoteText">
    <w:name w:val="endnote text"/>
    <w:basedOn w:val="FootnoteText"/>
    <w:link w:val="EndnoteTextChar"/>
    <w:semiHidden/>
    <w:unhideWhenUsed/>
    <w:rsid w:val="007744C2"/>
  </w:style>
  <w:style w:type="character" w:customStyle="1" w:styleId="EndnoteTextChar">
    <w:name w:val="Endnote Text Char"/>
    <w:basedOn w:val="DefaultParagraphFont"/>
    <w:link w:val="EndnoteText"/>
    <w:semiHidden/>
    <w:rsid w:val="006906C4"/>
    <w:rPr>
      <w:rFonts w:eastAsia="Cambria"/>
      <w:sz w:val="20"/>
    </w:rPr>
  </w:style>
  <w:style w:type="paragraph" w:customStyle="1" w:styleId="Figuredescription">
    <w:name w:val="Figure description"/>
    <w:basedOn w:val="Normal"/>
    <w:next w:val="Normal"/>
    <w:semiHidden/>
    <w:unhideWhenUsed/>
    <w:rsid w:val="006906C4"/>
    <w:pPr>
      <w:spacing w:after="240" w:line="180" w:lineRule="atLeast"/>
    </w:pPr>
    <w:rPr>
      <w:sz w:val="18"/>
    </w:rPr>
  </w:style>
  <w:style w:type="paragraph" w:customStyle="1" w:styleId="Figuretitle">
    <w:name w:val="Figure title"/>
    <w:basedOn w:val="Normal"/>
    <w:next w:val="Normal"/>
    <w:semiHidden/>
    <w:unhideWhenUsed/>
    <w:rsid w:val="006906C4"/>
    <w:pPr>
      <w:outlineLvl w:val="4"/>
    </w:pPr>
    <w:rPr>
      <w:b/>
    </w:rPr>
  </w:style>
  <w:style w:type="paragraph" w:customStyle="1" w:styleId="Headernoline">
    <w:name w:val="Header no line"/>
    <w:basedOn w:val="Header"/>
    <w:rsid w:val="006906C4"/>
    <w:pPr>
      <w:pBdr>
        <w:bottom w:val="none" w:sz="0" w:space="0" w:color="auto"/>
      </w:pBdr>
      <w:spacing w:line="240" w:lineRule="atLeast"/>
    </w:pPr>
  </w:style>
  <w:style w:type="paragraph" w:customStyle="1" w:styleId="Quotation">
    <w:name w:val="Quotation"/>
    <w:basedOn w:val="Normal"/>
    <w:next w:val="Normal"/>
    <w:uiPriority w:val="4"/>
    <w:qFormat/>
    <w:rsid w:val="006906C4"/>
    <w:pPr>
      <w:ind w:left="425"/>
    </w:pPr>
    <w:rPr>
      <w:sz w:val="20"/>
    </w:rPr>
  </w:style>
  <w:style w:type="paragraph" w:customStyle="1" w:styleId="Tabledescription">
    <w:name w:val="Table description"/>
    <w:basedOn w:val="Figuredescription"/>
    <w:next w:val="Normal"/>
    <w:rsid w:val="006906C4"/>
  </w:style>
  <w:style w:type="paragraph" w:styleId="TOC4">
    <w:name w:val="toc 4"/>
    <w:basedOn w:val="Normal"/>
    <w:next w:val="Normal"/>
    <w:autoRedefine/>
    <w:uiPriority w:val="39"/>
    <w:semiHidden/>
    <w:unhideWhenUsed/>
    <w:rsid w:val="006906C4"/>
    <w:pPr>
      <w:tabs>
        <w:tab w:val="right" w:leader="hyphen" w:pos="8505"/>
      </w:tabs>
      <w:spacing w:after="100"/>
      <w:ind w:left="1276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06C4"/>
    <w:pPr>
      <w:tabs>
        <w:tab w:val="right" w:leader="dot" w:pos="8505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906C4"/>
    <w:pPr>
      <w:tabs>
        <w:tab w:val="right" w:pos="8505"/>
      </w:tabs>
      <w:spacing w:after="100"/>
      <w:ind w:left="2126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06C4"/>
    <w:pPr>
      <w:spacing w:after="100"/>
      <w:ind w:left="2211"/>
    </w:pPr>
  </w:style>
  <w:style w:type="paragraph" w:customStyle="1" w:styleId="HeaderBoldEven">
    <w:name w:val="HeaderBoldEven"/>
    <w:basedOn w:val="Normal"/>
    <w:rsid w:val="00433F61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433F61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433F61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433F61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433F61"/>
    <w:pPr>
      <w:spacing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433F61"/>
    <w:pPr>
      <w:spacing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PageNumber">
    <w:name w:val="page number"/>
    <w:basedOn w:val="DefaultParagraphFont"/>
    <w:rsid w:val="00433F61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433F61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433F61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ectno">
    <w:name w:val="CharSectno"/>
    <w:basedOn w:val="DefaultParagraphFont"/>
    <w:rsid w:val="00433F61"/>
  </w:style>
  <w:style w:type="paragraph" w:styleId="CommentText">
    <w:name w:val="annotation text"/>
    <w:basedOn w:val="Normal"/>
    <w:link w:val="CommentTextChar"/>
    <w:uiPriority w:val="99"/>
    <w:rsid w:val="00433F6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F6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efinition">
    <w:name w:val="definition"/>
    <w:basedOn w:val="Normal"/>
    <w:rsid w:val="00433F61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433F61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433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End">
    <w:name w:val="Note End"/>
    <w:basedOn w:val="Normal"/>
    <w:rsid w:val="00433F61"/>
    <w:pPr>
      <w:keepLines/>
      <w:spacing w:before="120" w:line="240" w:lineRule="exact"/>
      <w:ind w:left="567" w:hanging="567"/>
      <w:jc w:val="both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433F6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433F61"/>
  </w:style>
  <w:style w:type="character" w:customStyle="1" w:styleId="CharSchText">
    <w:name w:val="CharSchText"/>
    <w:basedOn w:val="DefaultParagraphFont"/>
    <w:rsid w:val="00433F61"/>
  </w:style>
  <w:style w:type="paragraph" w:customStyle="1" w:styleId="FooterCitation">
    <w:name w:val="FooterCitation"/>
    <w:basedOn w:val="Footer"/>
    <w:rsid w:val="00433F61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chedulepara">
    <w:name w:val="Schedule para"/>
    <w:basedOn w:val="Normal"/>
    <w:rsid w:val="00433F61"/>
    <w:pPr>
      <w:tabs>
        <w:tab w:val="right" w:pos="567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433F61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433F61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433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R1">
    <w:name w:val="ZR1"/>
    <w:basedOn w:val="R1"/>
    <w:rsid w:val="00433F61"/>
    <w:pPr>
      <w:keepNext/>
    </w:pPr>
  </w:style>
  <w:style w:type="character" w:styleId="CommentReference">
    <w:name w:val="annotation reference"/>
    <w:basedOn w:val="DefaultParagraphFont"/>
    <w:uiPriority w:val="99"/>
    <w:semiHidden/>
    <w:unhideWhenUsed/>
    <w:rsid w:val="00C01B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B53"/>
    <w:rPr>
      <w:rFonts w:asciiTheme="minorHAnsi" w:eastAsia="Cambr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B53"/>
    <w:rPr>
      <w:rFonts w:ascii="Times New Roman" w:eastAsia="Cambria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rsid w:val="00D2550B"/>
    <w:pPr>
      <w:ind w:left="720"/>
      <w:contextualSpacing/>
    </w:pPr>
  </w:style>
  <w:style w:type="paragraph" w:styleId="Revision">
    <w:name w:val="Revision"/>
    <w:hidden/>
    <w:uiPriority w:val="99"/>
    <w:semiHidden/>
    <w:rsid w:val="00D41516"/>
    <w:pPr>
      <w:spacing w:after="0" w:line="240" w:lineRule="auto"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GA">
  <a:themeElements>
    <a:clrScheme name="TGA Theme">
      <a:dk1>
        <a:srgbClr val="002C47"/>
      </a:dk1>
      <a:lt1>
        <a:srgbClr val="FFFFFF"/>
      </a:lt1>
      <a:dk2>
        <a:srgbClr val="002C47"/>
      </a:dk2>
      <a:lt2>
        <a:srgbClr val="FFFFFF"/>
      </a:lt2>
      <a:accent1>
        <a:srgbClr val="006EA8"/>
      </a:accent1>
      <a:accent2>
        <a:srgbClr val="A5ABB2"/>
      </a:accent2>
      <a:accent3>
        <a:srgbClr val="016665"/>
      </a:accent3>
      <a:accent4>
        <a:srgbClr val="B3C95F"/>
      </a:accent4>
      <a:accent5>
        <a:srgbClr val="274520"/>
      </a:accent5>
      <a:accent6>
        <a:srgbClr val="9A86B7"/>
      </a:accent6>
      <a:hlink>
        <a:srgbClr val="0000FF"/>
      </a:hlink>
      <a:folHlink>
        <a:srgbClr val="800080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7261-A724-4562-9B07-131B7295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TGA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Pyne, Jenni</dc:creator>
  <cp:lastModifiedBy>Tian, Junling</cp:lastModifiedBy>
  <cp:revision>2</cp:revision>
  <cp:lastPrinted>2016-05-02T22:53:00Z</cp:lastPrinted>
  <dcterms:created xsi:type="dcterms:W3CDTF">2016-05-05T04:04:00Z</dcterms:created>
  <dcterms:modified xsi:type="dcterms:W3CDTF">2016-05-05T04:04:00Z</dcterms:modified>
</cp:coreProperties>
</file>