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45ACA" w:rsidRDefault="00193461" w:rsidP="00C63713">
      <w:pPr>
        <w:rPr>
          <w:sz w:val="28"/>
        </w:rPr>
      </w:pPr>
      <w:r w:rsidRPr="00245ACA">
        <w:rPr>
          <w:noProof/>
          <w:lang w:eastAsia="en-AU"/>
        </w:rPr>
        <w:drawing>
          <wp:inline distT="0" distB="0" distL="0" distR="0" wp14:anchorId="2CEEE029" wp14:editId="631A4F1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45ACA" w:rsidRDefault="0048364F" w:rsidP="0048364F">
      <w:pPr>
        <w:rPr>
          <w:sz w:val="19"/>
        </w:rPr>
      </w:pPr>
    </w:p>
    <w:p w:rsidR="0048364F" w:rsidRPr="00245ACA" w:rsidRDefault="00DA2AC9" w:rsidP="0048364F">
      <w:pPr>
        <w:pStyle w:val="ShortT"/>
      </w:pPr>
      <w:r w:rsidRPr="00245ACA">
        <w:t>Australian Radiation Protection and Nuclear Safety Amendment (2016 Measures No.</w:t>
      </w:r>
      <w:r w:rsidR="00245ACA" w:rsidRPr="00245ACA">
        <w:t> </w:t>
      </w:r>
      <w:r w:rsidRPr="00245ACA">
        <w:t>1) Regulation</w:t>
      </w:r>
      <w:r w:rsidR="00245ACA" w:rsidRPr="00245ACA">
        <w:t> </w:t>
      </w:r>
      <w:r w:rsidRPr="00245ACA">
        <w:t>2016</w:t>
      </w:r>
    </w:p>
    <w:p w:rsidR="00DA2AC9" w:rsidRPr="00245ACA" w:rsidRDefault="00DA2AC9" w:rsidP="00C64638">
      <w:pPr>
        <w:pStyle w:val="SignCoverPageStart"/>
        <w:spacing w:before="240"/>
        <w:rPr>
          <w:szCs w:val="22"/>
        </w:rPr>
      </w:pPr>
      <w:r w:rsidRPr="00245ACA">
        <w:rPr>
          <w:szCs w:val="22"/>
        </w:rPr>
        <w:t xml:space="preserve">I, General the Honourable Sir Peter Cosgrove AK MC (Ret’d), </w:t>
      </w:r>
      <w:r w:rsidR="00245ACA" w:rsidRPr="00245ACA">
        <w:rPr>
          <w:szCs w:val="22"/>
        </w:rPr>
        <w:t>Governor</w:t>
      </w:r>
      <w:r w:rsidR="00245ACA">
        <w:rPr>
          <w:szCs w:val="22"/>
        </w:rPr>
        <w:noBreakHyphen/>
      </w:r>
      <w:r w:rsidR="00245ACA" w:rsidRPr="00245ACA">
        <w:rPr>
          <w:szCs w:val="22"/>
        </w:rPr>
        <w:t>General</w:t>
      </w:r>
      <w:r w:rsidRPr="00245ACA">
        <w:rPr>
          <w:szCs w:val="22"/>
        </w:rPr>
        <w:t xml:space="preserve"> of the Commonwealth of Australia, acting with the advice of the Federal Executive Council, make the following regulation.</w:t>
      </w:r>
    </w:p>
    <w:p w:rsidR="00DA2AC9" w:rsidRPr="00245ACA" w:rsidRDefault="00DA2AC9" w:rsidP="00C64638">
      <w:pPr>
        <w:keepNext/>
        <w:spacing w:before="720" w:line="240" w:lineRule="atLeast"/>
        <w:ind w:right="397"/>
        <w:jc w:val="both"/>
        <w:rPr>
          <w:szCs w:val="22"/>
        </w:rPr>
      </w:pPr>
      <w:r w:rsidRPr="00245ACA">
        <w:rPr>
          <w:szCs w:val="22"/>
        </w:rPr>
        <w:t xml:space="preserve">Dated </w:t>
      </w:r>
      <w:bookmarkStart w:id="0" w:name="BKCheck15B_1"/>
      <w:bookmarkEnd w:id="0"/>
      <w:r w:rsidRPr="00245ACA">
        <w:rPr>
          <w:szCs w:val="22"/>
        </w:rPr>
        <w:fldChar w:fldCharType="begin"/>
      </w:r>
      <w:r w:rsidRPr="00245ACA">
        <w:rPr>
          <w:szCs w:val="22"/>
        </w:rPr>
        <w:instrText xml:space="preserve"> DOCPROPERTY  DateMade </w:instrText>
      </w:r>
      <w:r w:rsidRPr="00245ACA">
        <w:rPr>
          <w:szCs w:val="22"/>
        </w:rPr>
        <w:fldChar w:fldCharType="separate"/>
      </w:r>
      <w:r w:rsidR="00FA4F61">
        <w:rPr>
          <w:szCs w:val="22"/>
        </w:rPr>
        <w:t>05 May 2016</w:t>
      </w:r>
      <w:r w:rsidRPr="00245ACA">
        <w:rPr>
          <w:szCs w:val="22"/>
        </w:rPr>
        <w:fldChar w:fldCharType="end"/>
      </w:r>
    </w:p>
    <w:p w:rsidR="00DA2AC9" w:rsidRPr="00245ACA" w:rsidRDefault="00DA2AC9" w:rsidP="00C6463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45ACA">
        <w:rPr>
          <w:szCs w:val="22"/>
        </w:rPr>
        <w:t>Peter Cosgrove</w:t>
      </w:r>
    </w:p>
    <w:p w:rsidR="00DA2AC9" w:rsidRPr="00245ACA" w:rsidRDefault="00245ACA" w:rsidP="00C6463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45ACA">
        <w:rPr>
          <w:szCs w:val="22"/>
        </w:rPr>
        <w:t>Governor</w:t>
      </w:r>
      <w:r>
        <w:rPr>
          <w:szCs w:val="22"/>
        </w:rPr>
        <w:noBreakHyphen/>
      </w:r>
      <w:r w:rsidRPr="00245ACA">
        <w:rPr>
          <w:szCs w:val="22"/>
        </w:rPr>
        <w:t>General</w:t>
      </w:r>
    </w:p>
    <w:p w:rsidR="00DA2AC9" w:rsidRPr="00245ACA" w:rsidRDefault="00DA2AC9" w:rsidP="00C6463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45ACA">
        <w:rPr>
          <w:szCs w:val="22"/>
        </w:rPr>
        <w:t>By His Excellency’s Command</w:t>
      </w:r>
    </w:p>
    <w:p w:rsidR="00AE59D1" w:rsidRPr="00245ACA" w:rsidRDefault="00AE59D1" w:rsidP="00AE59D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45ACA">
        <w:rPr>
          <w:szCs w:val="22"/>
        </w:rPr>
        <w:t>Ken Wyatt AM</w:t>
      </w:r>
    </w:p>
    <w:p w:rsidR="00AE59D1" w:rsidRPr="00245ACA" w:rsidRDefault="00AE59D1" w:rsidP="00AE59D1">
      <w:pPr>
        <w:pStyle w:val="SignCoverPageEnd"/>
        <w:rPr>
          <w:szCs w:val="22"/>
        </w:rPr>
      </w:pPr>
      <w:r w:rsidRPr="00245ACA">
        <w:rPr>
          <w:szCs w:val="22"/>
        </w:rPr>
        <w:t>Assistant Minister for Health and Aged Care</w:t>
      </w:r>
      <w:r w:rsidRPr="00245ACA">
        <w:rPr>
          <w:szCs w:val="22"/>
        </w:rPr>
        <w:br/>
        <w:t>Parliamentary Secretary to the Minister for Health</w:t>
      </w:r>
    </w:p>
    <w:p w:rsidR="00DA2AC9" w:rsidRPr="00245ACA" w:rsidRDefault="00DA2AC9" w:rsidP="00DA2AC9"/>
    <w:p w:rsidR="0048364F" w:rsidRPr="00245ACA" w:rsidRDefault="0048364F" w:rsidP="0048364F">
      <w:pPr>
        <w:pStyle w:val="Header"/>
        <w:tabs>
          <w:tab w:val="clear" w:pos="4150"/>
          <w:tab w:val="clear" w:pos="8307"/>
        </w:tabs>
      </w:pPr>
      <w:r w:rsidRPr="00245ACA">
        <w:rPr>
          <w:rStyle w:val="CharAmSchNo"/>
        </w:rPr>
        <w:t xml:space="preserve"> </w:t>
      </w:r>
      <w:r w:rsidRPr="00245ACA">
        <w:rPr>
          <w:rStyle w:val="CharAmSchText"/>
        </w:rPr>
        <w:t xml:space="preserve"> </w:t>
      </w:r>
    </w:p>
    <w:p w:rsidR="0048364F" w:rsidRPr="00245ACA" w:rsidRDefault="0048364F" w:rsidP="0048364F">
      <w:pPr>
        <w:pStyle w:val="Header"/>
        <w:tabs>
          <w:tab w:val="clear" w:pos="4150"/>
          <w:tab w:val="clear" w:pos="8307"/>
        </w:tabs>
      </w:pPr>
      <w:r w:rsidRPr="00245ACA">
        <w:rPr>
          <w:rStyle w:val="CharAmPartNo"/>
        </w:rPr>
        <w:t xml:space="preserve"> </w:t>
      </w:r>
      <w:r w:rsidRPr="00245ACA">
        <w:rPr>
          <w:rStyle w:val="CharAmPartText"/>
        </w:rPr>
        <w:t xml:space="preserve"> </w:t>
      </w:r>
    </w:p>
    <w:p w:rsidR="0048364F" w:rsidRPr="00245ACA" w:rsidRDefault="0048364F" w:rsidP="0048364F">
      <w:pPr>
        <w:sectPr w:rsidR="0048364F" w:rsidRPr="00245ACA" w:rsidSect="006C00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245ACA" w:rsidRDefault="0048364F" w:rsidP="00C6397A">
      <w:pPr>
        <w:rPr>
          <w:sz w:val="36"/>
        </w:rPr>
      </w:pPr>
      <w:r w:rsidRPr="00245ACA">
        <w:rPr>
          <w:sz w:val="36"/>
        </w:rPr>
        <w:lastRenderedPageBreak/>
        <w:t>Contents</w:t>
      </w:r>
    </w:p>
    <w:bookmarkStart w:id="1" w:name="BKCheck15B_2"/>
    <w:bookmarkEnd w:id="1"/>
    <w:p w:rsidR="00B86A8B" w:rsidRPr="00245ACA" w:rsidRDefault="00B86A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5ACA">
        <w:fldChar w:fldCharType="begin"/>
      </w:r>
      <w:r w:rsidRPr="00245ACA">
        <w:instrText xml:space="preserve"> TOC \o "1-9" </w:instrText>
      </w:r>
      <w:r w:rsidRPr="00245ACA">
        <w:fldChar w:fldCharType="separate"/>
      </w:r>
      <w:r w:rsidRPr="00245ACA">
        <w:rPr>
          <w:noProof/>
        </w:rPr>
        <w:t>1</w:t>
      </w:r>
      <w:r w:rsidRPr="00245ACA">
        <w:rPr>
          <w:noProof/>
        </w:rPr>
        <w:tab/>
        <w:t>Name</w:t>
      </w:r>
      <w:r w:rsidRPr="00245ACA">
        <w:rPr>
          <w:noProof/>
        </w:rPr>
        <w:tab/>
      </w:r>
      <w:r w:rsidRPr="00245ACA">
        <w:rPr>
          <w:noProof/>
        </w:rPr>
        <w:fldChar w:fldCharType="begin"/>
      </w:r>
      <w:r w:rsidRPr="00245ACA">
        <w:rPr>
          <w:noProof/>
        </w:rPr>
        <w:instrText xml:space="preserve"> PAGEREF _Toc447706653 \h </w:instrText>
      </w:r>
      <w:r w:rsidRPr="00245ACA">
        <w:rPr>
          <w:noProof/>
        </w:rPr>
      </w:r>
      <w:r w:rsidRPr="00245ACA">
        <w:rPr>
          <w:noProof/>
        </w:rPr>
        <w:fldChar w:fldCharType="separate"/>
      </w:r>
      <w:r w:rsidR="00FA4F61">
        <w:rPr>
          <w:noProof/>
        </w:rPr>
        <w:t>1</w:t>
      </w:r>
      <w:r w:rsidRPr="00245ACA">
        <w:rPr>
          <w:noProof/>
        </w:rPr>
        <w:fldChar w:fldCharType="end"/>
      </w:r>
    </w:p>
    <w:p w:rsidR="00B86A8B" w:rsidRPr="00245ACA" w:rsidRDefault="00B86A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5ACA">
        <w:rPr>
          <w:noProof/>
        </w:rPr>
        <w:t>2</w:t>
      </w:r>
      <w:r w:rsidRPr="00245ACA">
        <w:rPr>
          <w:noProof/>
        </w:rPr>
        <w:tab/>
        <w:t>Commencement</w:t>
      </w:r>
      <w:r w:rsidRPr="00245ACA">
        <w:rPr>
          <w:noProof/>
        </w:rPr>
        <w:tab/>
      </w:r>
      <w:r w:rsidRPr="00245ACA">
        <w:rPr>
          <w:noProof/>
        </w:rPr>
        <w:fldChar w:fldCharType="begin"/>
      </w:r>
      <w:r w:rsidRPr="00245ACA">
        <w:rPr>
          <w:noProof/>
        </w:rPr>
        <w:instrText xml:space="preserve"> PAGEREF _Toc447706654 \h </w:instrText>
      </w:r>
      <w:r w:rsidRPr="00245ACA">
        <w:rPr>
          <w:noProof/>
        </w:rPr>
      </w:r>
      <w:r w:rsidRPr="00245ACA">
        <w:rPr>
          <w:noProof/>
        </w:rPr>
        <w:fldChar w:fldCharType="separate"/>
      </w:r>
      <w:r w:rsidR="00FA4F61">
        <w:rPr>
          <w:noProof/>
        </w:rPr>
        <w:t>1</w:t>
      </w:r>
      <w:r w:rsidRPr="00245ACA">
        <w:rPr>
          <w:noProof/>
        </w:rPr>
        <w:fldChar w:fldCharType="end"/>
      </w:r>
    </w:p>
    <w:p w:rsidR="00B86A8B" w:rsidRPr="00245ACA" w:rsidRDefault="00B86A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5ACA">
        <w:rPr>
          <w:noProof/>
        </w:rPr>
        <w:t>3</w:t>
      </w:r>
      <w:r w:rsidRPr="00245ACA">
        <w:rPr>
          <w:noProof/>
        </w:rPr>
        <w:tab/>
        <w:t>Authority</w:t>
      </w:r>
      <w:r w:rsidRPr="00245ACA">
        <w:rPr>
          <w:noProof/>
        </w:rPr>
        <w:tab/>
      </w:r>
      <w:r w:rsidRPr="00245ACA">
        <w:rPr>
          <w:noProof/>
        </w:rPr>
        <w:fldChar w:fldCharType="begin"/>
      </w:r>
      <w:r w:rsidRPr="00245ACA">
        <w:rPr>
          <w:noProof/>
        </w:rPr>
        <w:instrText xml:space="preserve"> PAGEREF _Toc447706655 \h </w:instrText>
      </w:r>
      <w:r w:rsidRPr="00245ACA">
        <w:rPr>
          <w:noProof/>
        </w:rPr>
      </w:r>
      <w:r w:rsidRPr="00245ACA">
        <w:rPr>
          <w:noProof/>
        </w:rPr>
        <w:fldChar w:fldCharType="separate"/>
      </w:r>
      <w:r w:rsidR="00FA4F61">
        <w:rPr>
          <w:noProof/>
        </w:rPr>
        <w:t>1</w:t>
      </w:r>
      <w:r w:rsidRPr="00245ACA">
        <w:rPr>
          <w:noProof/>
        </w:rPr>
        <w:fldChar w:fldCharType="end"/>
      </w:r>
    </w:p>
    <w:p w:rsidR="00B86A8B" w:rsidRPr="00245ACA" w:rsidRDefault="00B86A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5ACA">
        <w:rPr>
          <w:noProof/>
        </w:rPr>
        <w:t>4</w:t>
      </w:r>
      <w:r w:rsidRPr="00245ACA">
        <w:rPr>
          <w:noProof/>
        </w:rPr>
        <w:tab/>
        <w:t>Schedules</w:t>
      </w:r>
      <w:r w:rsidRPr="00245ACA">
        <w:rPr>
          <w:noProof/>
        </w:rPr>
        <w:tab/>
      </w:r>
      <w:r w:rsidRPr="00245ACA">
        <w:rPr>
          <w:noProof/>
        </w:rPr>
        <w:fldChar w:fldCharType="begin"/>
      </w:r>
      <w:r w:rsidRPr="00245ACA">
        <w:rPr>
          <w:noProof/>
        </w:rPr>
        <w:instrText xml:space="preserve"> PAGEREF _Toc447706656 \h </w:instrText>
      </w:r>
      <w:r w:rsidRPr="00245ACA">
        <w:rPr>
          <w:noProof/>
        </w:rPr>
      </w:r>
      <w:r w:rsidRPr="00245ACA">
        <w:rPr>
          <w:noProof/>
        </w:rPr>
        <w:fldChar w:fldCharType="separate"/>
      </w:r>
      <w:r w:rsidR="00FA4F61">
        <w:rPr>
          <w:noProof/>
        </w:rPr>
        <w:t>1</w:t>
      </w:r>
      <w:r w:rsidRPr="00245ACA">
        <w:rPr>
          <w:noProof/>
        </w:rPr>
        <w:fldChar w:fldCharType="end"/>
      </w:r>
    </w:p>
    <w:p w:rsidR="00B86A8B" w:rsidRPr="00245ACA" w:rsidRDefault="00B86A8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45ACA">
        <w:rPr>
          <w:noProof/>
        </w:rPr>
        <w:t>Schedule</w:t>
      </w:r>
      <w:r w:rsidR="00245ACA" w:rsidRPr="00245ACA">
        <w:rPr>
          <w:noProof/>
        </w:rPr>
        <w:t> </w:t>
      </w:r>
      <w:r w:rsidRPr="00245ACA">
        <w:rPr>
          <w:noProof/>
        </w:rPr>
        <w:t>1—Amendments</w:t>
      </w:r>
      <w:r w:rsidRPr="00245ACA">
        <w:rPr>
          <w:b w:val="0"/>
          <w:noProof/>
          <w:sz w:val="18"/>
        </w:rPr>
        <w:tab/>
      </w:r>
      <w:r w:rsidRPr="00245ACA">
        <w:rPr>
          <w:b w:val="0"/>
          <w:noProof/>
          <w:sz w:val="18"/>
        </w:rPr>
        <w:fldChar w:fldCharType="begin"/>
      </w:r>
      <w:r w:rsidRPr="00245ACA">
        <w:rPr>
          <w:b w:val="0"/>
          <w:noProof/>
          <w:sz w:val="18"/>
        </w:rPr>
        <w:instrText xml:space="preserve"> PAGEREF _Toc447706657 \h </w:instrText>
      </w:r>
      <w:r w:rsidRPr="00245ACA">
        <w:rPr>
          <w:b w:val="0"/>
          <w:noProof/>
          <w:sz w:val="18"/>
        </w:rPr>
      </w:r>
      <w:r w:rsidRPr="00245ACA">
        <w:rPr>
          <w:b w:val="0"/>
          <w:noProof/>
          <w:sz w:val="18"/>
        </w:rPr>
        <w:fldChar w:fldCharType="separate"/>
      </w:r>
      <w:r w:rsidR="00FA4F61">
        <w:rPr>
          <w:b w:val="0"/>
          <w:noProof/>
          <w:sz w:val="18"/>
        </w:rPr>
        <w:t>2</w:t>
      </w:r>
      <w:r w:rsidRPr="00245ACA">
        <w:rPr>
          <w:b w:val="0"/>
          <w:noProof/>
          <w:sz w:val="18"/>
        </w:rPr>
        <w:fldChar w:fldCharType="end"/>
      </w:r>
    </w:p>
    <w:p w:rsidR="00B86A8B" w:rsidRPr="00245ACA" w:rsidRDefault="00B86A8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5ACA">
        <w:rPr>
          <w:noProof/>
        </w:rPr>
        <w:t>Part</w:t>
      </w:r>
      <w:r w:rsidR="00245ACA" w:rsidRPr="00245ACA">
        <w:rPr>
          <w:noProof/>
        </w:rPr>
        <w:t> </w:t>
      </w:r>
      <w:r w:rsidRPr="00245ACA">
        <w:rPr>
          <w:noProof/>
        </w:rPr>
        <w:t>1—Amendments of fees</w:t>
      </w:r>
      <w:r w:rsidRPr="00245ACA">
        <w:rPr>
          <w:noProof/>
          <w:sz w:val="18"/>
        </w:rPr>
        <w:tab/>
      </w:r>
      <w:r w:rsidRPr="00245ACA">
        <w:rPr>
          <w:noProof/>
          <w:sz w:val="18"/>
        </w:rPr>
        <w:fldChar w:fldCharType="begin"/>
      </w:r>
      <w:r w:rsidRPr="00245ACA">
        <w:rPr>
          <w:noProof/>
          <w:sz w:val="18"/>
        </w:rPr>
        <w:instrText xml:space="preserve"> PAGEREF _Toc447706658 \h </w:instrText>
      </w:r>
      <w:r w:rsidRPr="00245ACA">
        <w:rPr>
          <w:noProof/>
          <w:sz w:val="18"/>
        </w:rPr>
      </w:r>
      <w:r w:rsidRPr="00245ACA">
        <w:rPr>
          <w:noProof/>
          <w:sz w:val="18"/>
        </w:rPr>
        <w:fldChar w:fldCharType="separate"/>
      </w:r>
      <w:r w:rsidR="00FA4F61">
        <w:rPr>
          <w:noProof/>
          <w:sz w:val="18"/>
        </w:rPr>
        <w:t>2</w:t>
      </w:r>
      <w:r w:rsidRPr="00245ACA">
        <w:rPr>
          <w:noProof/>
          <w:sz w:val="18"/>
        </w:rPr>
        <w:fldChar w:fldCharType="end"/>
      </w:r>
    </w:p>
    <w:p w:rsidR="00B86A8B" w:rsidRPr="00245ACA" w:rsidRDefault="00B86A8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45ACA">
        <w:rPr>
          <w:noProof/>
        </w:rPr>
        <w:t>Australian Radiation Protection and Nuclear Safety Regulations</w:t>
      </w:r>
      <w:r w:rsidR="00245ACA" w:rsidRPr="00245ACA">
        <w:rPr>
          <w:noProof/>
        </w:rPr>
        <w:t> </w:t>
      </w:r>
      <w:r w:rsidRPr="00245ACA">
        <w:rPr>
          <w:noProof/>
        </w:rPr>
        <w:t>1999</w:t>
      </w:r>
      <w:r w:rsidRPr="00245ACA">
        <w:rPr>
          <w:i w:val="0"/>
          <w:noProof/>
          <w:sz w:val="18"/>
        </w:rPr>
        <w:tab/>
      </w:r>
      <w:r w:rsidRPr="00245ACA">
        <w:rPr>
          <w:i w:val="0"/>
          <w:noProof/>
          <w:sz w:val="18"/>
        </w:rPr>
        <w:fldChar w:fldCharType="begin"/>
      </w:r>
      <w:r w:rsidRPr="00245ACA">
        <w:rPr>
          <w:i w:val="0"/>
          <w:noProof/>
          <w:sz w:val="18"/>
        </w:rPr>
        <w:instrText xml:space="preserve"> PAGEREF _Toc447706659 \h </w:instrText>
      </w:r>
      <w:r w:rsidRPr="00245ACA">
        <w:rPr>
          <w:i w:val="0"/>
          <w:noProof/>
          <w:sz w:val="18"/>
        </w:rPr>
      </w:r>
      <w:r w:rsidRPr="00245ACA">
        <w:rPr>
          <w:i w:val="0"/>
          <w:noProof/>
          <w:sz w:val="18"/>
        </w:rPr>
        <w:fldChar w:fldCharType="separate"/>
      </w:r>
      <w:r w:rsidR="00FA4F61">
        <w:rPr>
          <w:i w:val="0"/>
          <w:noProof/>
          <w:sz w:val="18"/>
        </w:rPr>
        <w:t>2</w:t>
      </w:r>
      <w:r w:rsidRPr="00245ACA">
        <w:rPr>
          <w:i w:val="0"/>
          <w:noProof/>
          <w:sz w:val="18"/>
        </w:rPr>
        <w:fldChar w:fldCharType="end"/>
      </w:r>
    </w:p>
    <w:p w:rsidR="00B86A8B" w:rsidRPr="00245ACA" w:rsidRDefault="00B86A8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45ACA">
        <w:rPr>
          <w:noProof/>
        </w:rPr>
        <w:t>Part</w:t>
      </w:r>
      <w:r w:rsidR="00245ACA" w:rsidRPr="00245ACA">
        <w:rPr>
          <w:noProof/>
        </w:rPr>
        <w:t> </w:t>
      </w:r>
      <w:r w:rsidRPr="00245ACA">
        <w:rPr>
          <w:noProof/>
        </w:rPr>
        <w:t>2—Other amendments</w:t>
      </w:r>
      <w:r w:rsidRPr="00245ACA">
        <w:rPr>
          <w:noProof/>
          <w:sz w:val="18"/>
        </w:rPr>
        <w:tab/>
      </w:r>
      <w:r w:rsidRPr="00245ACA">
        <w:rPr>
          <w:noProof/>
          <w:sz w:val="18"/>
        </w:rPr>
        <w:fldChar w:fldCharType="begin"/>
      </w:r>
      <w:r w:rsidRPr="00245ACA">
        <w:rPr>
          <w:noProof/>
          <w:sz w:val="18"/>
        </w:rPr>
        <w:instrText xml:space="preserve"> PAGEREF _Toc447706660 \h </w:instrText>
      </w:r>
      <w:r w:rsidRPr="00245ACA">
        <w:rPr>
          <w:noProof/>
          <w:sz w:val="18"/>
        </w:rPr>
      </w:r>
      <w:r w:rsidRPr="00245ACA">
        <w:rPr>
          <w:noProof/>
          <w:sz w:val="18"/>
        </w:rPr>
        <w:fldChar w:fldCharType="separate"/>
      </w:r>
      <w:r w:rsidR="00FA4F61">
        <w:rPr>
          <w:noProof/>
          <w:sz w:val="18"/>
        </w:rPr>
        <w:t>4</w:t>
      </w:r>
      <w:r w:rsidRPr="00245ACA">
        <w:rPr>
          <w:noProof/>
          <w:sz w:val="18"/>
        </w:rPr>
        <w:fldChar w:fldCharType="end"/>
      </w:r>
    </w:p>
    <w:p w:rsidR="00B86A8B" w:rsidRPr="00245ACA" w:rsidRDefault="00B86A8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45ACA">
        <w:rPr>
          <w:noProof/>
        </w:rPr>
        <w:t>Australian Radiation Protection and Nuclear Safety Regulations</w:t>
      </w:r>
      <w:r w:rsidR="00245ACA" w:rsidRPr="00245ACA">
        <w:rPr>
          <w:noProof/>
        </w:rPr>
        <w:t> </w:t>
      </w:r>
      <w:r w:rsidRPr="00245ACA">
        <w:rPr>
          <w:noProof/>
        </w:rPr>
        <w:t>1999</w:t>
      </w:r>
      <w:r w:rsidRPr="00245ACA">
        <w:rPr>
          <w:i w:val="0"/>
          <w:noProof/>
          <w:sz w:val="18"/>
        </w:rPr>
        <w:tab/>
      </w:r>
      <w:r w:rsidRPr="00245ACA">
        <w:rPr>
          <w:i w:val="0"/>
          <w:noProof/>
          <w:sz w:val="18"/>
        </w:rPr>
        <w:fldChar w:fldCharType="begin"/>
      </w:r>
      <w:r w:rsidRPr="00245ACA">
        <w:rPr>
          <w:i w:val="0"/>
          <w:noProof/>
          <w:sz w:val="18"/>
        </w:rPr>
        <w:instrText xml:space="preserve"> PAGEREF _Toc447706661 \h </w:instrText>
      </w:r>
      <w:r w:rsidRPr="00245ACA">
        <w:rPr>
          <w:i w:val="0"/>
          <w:noProof/>
          <w:sz w:val="18"/>
        </w:rPr>
      </w:r>
      <w:r w:rsidRPr="00245ACA">
        <w:rPr>
          <w:i w:val="0"/>
          <w:noProof/>
          <w:sz w:val="18"/>
        </w:rPr>
        <w:fldChar w:fldCharType="separate"/>
      </w:r>
      <w:r w:rsidR="00FA4F61">
        <w:rPr>
          <w:i w:val="0"/>
          <w:noProof/>
          <w:sz w:val="18"/>
        </w:rPr>
        <w:t>4</w:t>
      </w:r>
      <w:r w:rsidRPr="00245ACA">
        <w:rPr>
          <w:i w:val="0"/>
          <w:noProof/>
          <w:sz w:val="18"/>
        </w:rPr>
        <w:fldChar w:fldCharType="end"/>
      </w:r>
    </w:p>
    <w:p w:rsidR="00833416" w:rsidRPr="00245ACA" w:rsidRDefault="00B86A8B" w:rsidP="0048364F">
      <w:r w:rsidRPr="00245ACA">
        <w:fldChar w:fldCharType="end"/>
      </w:r>
    </w:p>
    <w:p w:rsidR="00722023" w:rsidRPr="00245ACA" w:rsidRDefault="00722023" w:rsidP="0048364F">
      <w:pPr>
        <w:sectPr w:rsidR="00722023" w:rsidRPr="00245ACA" w:rsidSect="006C001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45ACA" w:rsidRDefault="0048364F" w:rsidP="0048364F">
      <w:pPr>
        <w:pStyle w:val="ActHead5"/>
      </w:pPr>
      <w:bookmarkStart w:id="2" w:name="_Toc447706653"/>
      <w:r w:rsidRPr="00245ACA">
        <w:rPr>
          <w:rStyle w:val="CharSectno"/>
        </w:rPr>
        <w:lastRenderedPageBreak/>
        <w:t>1</w:t>
      </w:r>
      <w:r w:rsidRPr="00245ACA">
        <w:t xml:space="preserve">  </w:t>
      </w:r>
      <w:r w:rsidR="004F676E" w:rsidRPr="00245ACA">
        <w:t>Name</w:t>
      </w:r>
      <w:bookmarkEnd w:id="2"/>
    </w:p>
    <w:p w:rsidR="0048364F" w:rsidRPr="00245ACA" w:rsidRDefault="0048364F" w:rsidP="0048364F">
      <w:pPr>
        <w:pStyle w:val="subsection"/>
      </w:pPr>
      <w:r w:rsidRPr="00245ACA">
        <w:tab/>
      </w:r>
      <w:r w:rsidRPr="00245ACA">
        <w:tab/>
        <w:t>Th</w:t>
      </w:r>
      <w:r w:rsidR="00F24C35" w:rsidRPr="00245ACA">
        <w:t>is</w:t>
      </w:r>
      <w:r w:rsidRPr="00245ACA">
        <w:t xml:space="preserve"> </w:t>
      </w:r>
      <w:r w:rsidR="00F24C35" w:rsidRPr="00245ACA">
        <w:t>is</w:t>
      </w:r>
      <w:r w:rsidR="003801D0" w:rsidRPr="00245ACA">
        <w:t xml:space="preserve"> the</w:t>
      </w:r>
      <w:r w:rsidRPr="00245ACA">
        <w:t xml:space="preserve"> </w:t>
      </w:r>
      <w:bookmarkStart w:id="3" w:name="BKCheck15B_3"/>
      <w:bookmarkEnd w:id="3"/>
      <w:r w:rsidR="00CB0180" w:rsidRPr="00245ACA">
        <w:rPr>
          <w:i/>
        </w:rPr>
        <w:fldChar w:fldCharType="begin"/>
      </w:r>
      <w:r w:rsidR="00CB0180" w:rsidRPr="00245ACA">
        <w:rPr>
          <w:i/>
        </w:rPr>
        <w:instrText xml:space="preserve"> STYLEREF  ShortT </w:instrText>
      </w:r>
      <w:r w:rsidR="00CB0180" w:rsidRPr="00245ACA">
        <w:rPr>
          <w:i/>
        </w:rPr>
        <w:fldChar w:fldCharType="separate"/>
      </w:r>
      <w:r w:rsidR="00FA4F61">
        <w:rPr>
          <w:i/>
          <w:noProof/>
        </w:rPr>
        <w:t>Australian Radiation Protection and Nuclear Safety Amendment (2016 Measures No. 1) Regulation 2016</w:t>
      </w:r>
      <w:r w:rsidR="00CB0180" w:rsidRPr="00245ACA">
        <w:rPr>
          <w:i/>
        </w:rPr>
        <w:fldChar w:fldCharType="end"/>
      </w:r>
      <w:r w:rsidRPr="00245ACA">
        <w:t>.</w:t>
      </w:r>
    </w:p>
    <w:p w:rsidR="0048364F" w:rsidRPr="00245ACA" w:rsidRDefault="0048364F" w:rsidP="0048364F">
      <w:pPr>
        <w:pStyle w:val="ActHead5"/>
      </w:pPr>
      <w:bookmarkStart w:id="4" w:name="_Toc447706654"/>
      <w:r w:rsidRPr="00245ACA">
        <w:rPr>
          <w:rStyle w:val="CharSectno"/>
        </w:rPr>
        <w:t>2</w:t>
      </w:r>
      <w:r w:rsidRPr="00245ACA">
        <w:t xml:space="preserve">  Commencement</w:t>
      </w:r>
      <w:bookmarkEnd w:id="4"/>
    </w:p>
    <w:p w:rsidR="00DA2AC9" w:rsidRPr="00245ACA" w:rsidRDefault="00DA2AC9" w:rsidP="00C64638">
      <w:pPr>
        <w:pStyle w:val="subsection"/>
      </w:pPr>
      <w:bookmarkStart w:id="5" w:name="_GoBack"/>
      <w:r w:rsidRPr="00245ACA">
        <w:tab/>
        <w:t>(1)</w:t>
      </w:r>
      <w:r w:rsidRPr="00245ACA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DA2AC9" w:rsidRPr="00245ACA" w:rsidRDefault="00DA2AC9" w:rsidP="00C64638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DA2AC9" w:rsidRPr="00245ACA" w:rsidTr="00DA2AC9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A2AC9" w:rsidRPr="00245ACA" w:rsidRDefault="00DA2AC9" w:rsidP="00C64638">
            <w:pPr>
              <w:pStyle w:val="TableHeading"/>
            </w:pPr>
            <w:r w:rsidRPr="00245ACA">
              <w:t>Commencement information</w:t>
            </w:r>
          </w:p>
        </w:tc>
      </w:tr>
      <w:tr w:rsidR="00DA2AC9" w:rsidRPr="00245ACA" w:rsidTr="00DA2AC9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A2AC9" w:rsidRPr="00245ACA" w:rsidRDefault="00DA2AC9" w:rsidP="00C64638">
            <w:pPr>
              <w:pStyle w:val="TableHeading"/>
            </w:pPr>
            <w:r w:rsidRPr="00245ACA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A2AC9" w:rsidRPr="00245ACA" w:rsidRDefault="00DA2AC9" w:rsidP="00C64638">
            <w:pPr>
              <w:pStyle w:val="TableHeading"/>
            </w:pPr>
            <w:r w:rsidRPr="00245ACA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A2AC9" w:rsidRPr="00245ACA" w:rsidRDefault="00DA2AC9" w:rsidP="00C64638">
            <w:pPr>
              <w:pStyle w:val="TableHeading"/>
            </w:pPr>
            <w:r w:rsidRPr="00245ACA">
              <w:t>Column 3</w:t>
            </w:r>
          </w:p>
        </w:tc>
      </w:tr>
      <w:tr w:rsidR="00DA2AC9" w:rsidRPr="00245ACA" w:rsidTr="00DA2AC9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A2AC9" w:rsidRPr="00245ACA" w:rsidRDefault="00DA2AC9" w:rsidP="00C64638">
            <w:pPr>
              <w:pStyle w:val="TableHeading"/>
            </w:pPr>
            <w:r w:rsidRPr="00245ACA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A2AC9" w:rsidRPr="00245ACA" w:rsidRDefault="00DA2AC9" w:rsidP="00C64638">
            <w:pPr>
              <w:pStyle w:val="TableHeading"/>
            </w:pPr>
            <w:r w:rsidRPr="00245ACA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A2AC9" w:rsidRPr="00245ACA" w:rsidRDefault="00DA2AC9" w:rsidP="00C64638">
            <w:pPr>
              <w:pStyle w:val="TableHeading"/>
            </w:pPr>
            <w:r w:rsidRPr="00245ACA">
              <w:t>Date/Details</w:t>
            </w:r>
          </w:p>
        </w:tc>
      </w:tr>
      <w:tr w:rsidR="00DA2AC9" w:rsidRPr="00245ACA" w:rsidTr="00DA2AC9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A2AC9" w:rsidRPr="00245ACA" w:rsidRDefault="00DA2AC9" w:rsidP="00C64638">
            <w:pPr>
              <w:pStyle w:val="Tabletext"/>
            </w:pPr>
            <w:r w:rsidRPr="00245ACA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A2AC9" w:rsidRPr="00245ACA" w:rsidRDefault="00DA2AC9" w:rsidP="00C64638">
            <w:pPr>
              <w:pStyle w:val="Tabletext"/>
            </w:pPr>
            <w:r w:rsidRPr="00245ACA">
              <w:t>1</w:t>
            </w:r>
            <w:r w:rsidR="00245ACA" w:rsidRPr="00245ACA">
              <w:t> </w:t>
            </w:r>
            <w:r w:rsidRPr="00245ACA">
              <w:t>July 2016.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2AC9" w:rsidRPr="00245ACA" w:rsidRDefault="00DA2AC9" w:rsidP="00C64638">
            <w:pPr>
              <w:pStyle w:val="Tabletext"/>
            </w:pPr>
            <w:r w:rsidRPr="00245ACA">
              <w:t>1</w:t>
            </w:r>
            <w:r w:rsidR="00245ACA" w:rsidRPr="00245ACA">
              <w:t> </w:t>
            </w:r>
            <w:r w:rsidRPr="00245ACA">
              <w:t>July 2016</w:t>
            </w:r>
          </w:p>
        </w:tc>
      </w:tr>
    </w:tbl>
    <w:p w:rsidR="00DA2AC9" w:rsidRPr="00245ACA" w:rsidRDefault="00DA2AC9" w:rsidP="00C64638">
      <w:pPr>
        <w:pStyle w:val="notetext"/>
      </w:pPr>
      <w:r w:rsidRPr="00245ACA">
        <w:rPr>
          <w:snapToGrid w:val="0"/>
          <w:lang w:eastAsia="en-US"/>
        </w:rPr>
        <w:t>Note:</w:t>
      </w:r>
      <w:r w:rsidRPr="00245ACA">
        <w:rPr>
          <w:snapToGrid w:val="0"/>
          <w:lang w:eastAsia="en-US"/>
        </w:rPr>
        <w:tab/>
        <w:t xml:space="preserve">This table relates only to the provisions of this </w:t>
      </w:r>
      <w:r w:rsidRPr="00245ACA">
        <w:t xml:space="preserve">instrument </w:t>
      </w:r>
      <w:r w:rsidRPr="00245ACA">
        <w:rPr>
          <w:snapToGrid w:val="0"/>
          <w:lang w:eastAsia="en-US"/>
        </w:rPr>
        <w:t xml:space="preserve">as originally made. It will not be amended to deal with any later amendments of this </w:t>
      </w:r>
      <w:r w:rsidRPr="00245ACA">
        <w:t>instrument</w:t>
      </w:r>
      <w:r w:rsidRPr="00245ACA">
        <w:rPr>
          <w:snapToGrid w:val="0"/>
          <w:lang w:eastAsia="en-US"/>
        </w:rPr>
        <w:t>.</w:t>
      </w:r>
    </w:p>
    <w:p w:rsidR="00DA2AC9" w:rsidRPr="00245ACA" w:rsidRDefault="00DA2AC9" w:rsidP="00C64638">
      <w:pPr>
        <w:pStyle w:val="subsection"/>
      </w:pPr>
      <w:r w:rsidRPr="00245ACA">
        <w:tab/>
        <w:t>(2)</w:t>
      </w:r>
      <w:r w:rsidRPr="00245AC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245ACA" w:rsidRDefault="007769D4" w:rsidP="007769D4">
      <w:pPr>
        <w:pStyle w:val="ActHead5"/>
      </w:pPr>
      <w:bookmarkStart w:id="6" w:name="_Toc447706655"/>
      <w:r w:rsidRPr="00245ACA">
        <w:rPr>
          <w:rStyle w:val="CharSectno"/>
        </w:rPr>
        <w:t>3</w:t>
      </w:r>
      <w:r w:rsidRPr="00245ACA">
        <w:t xml:space="preserve">  Authority</w:t>
      </w:r>
      <w:bookmarkEnd w:id="6"/>
    </w:p>
    <w:p w:rsidR="007769D4" w:rsidRPr="00245ACA" w:rsidRDefault="007769D4" w:rsidP="007769D4">
      <w:pPr>
        <w:pStyle w:val="subsection"/>
      </w:pPr>
      <w:r w:rsidRPr="00245ACA">
        <w:tab/>
      </w:r>
      <w:r w:rsidRPr="00245ACA">
        <w:tab/>
      </w:r>
      <w:r w:rsidR="00AF0336" w:rsidRPr="00245ACA">
        <w:t xml:space="preserve">This </w:t>
      </w:r>
      <w:r w:rsidR="00DA2AC9" w:rsidRPr="00245ACA">
        <w:t>instrument</w:t>
      </w:r>
      <w:r w:rsidR="00AF0336" w:rsidRPr="00245ACA">
        <w:t xml:space="preserve"> is made under the </w:t>
      </w:r>
      <w:r w:rsidR="00DA2AC9" w:rsidRPr="00245ACA">
        <w:rPr>
          <w:i/>
        </w:rPr>
        <w:t>Australian Radiation Protection and Nuclear Safety Act 1998</w:t>
      </w:r>
      <w:r w:rsidR="00D83D21" w:rsidRPr="00245ACA">
        <w:rPr>
          <w:i/>
        </w:rPr>
        <w:t>.</w:t>
      </w:r>
    </w:p>
    <w:p w:rsidR="00557C7A" w:rsidRPr="00245ACA" w:rsidRDefault="007769D4" w:rsidP="00557C7A">
      <w:pPr>
        <w:pStyle w:val="ActHead5"/>
      </w:pPr>
      <w:bookmarkStart w:id="7" w:name="_Toc447706656"/>
      <w:r w:rsidRPr="00245ACA">
        <w:rPr>
          <w:rStyle w:val="CharSectno"/>
        </w:rPr>
        <w:t>4</w:t>
      </w:r>
      <w:r w:rsidR="00557C7A" w:rsidRPr="00245ACA">
        <w:t xml:space="preserve">  </w:t>
      </w:r>
      <w:r w:rsidR="00B332B8" w:rsidRPr="00245ACA">
        <w:t>Schedules</w:t>
      </w:r>
      <w:bookmarkEnd w:id="7"/>
    </w:p>
    <w:p w:rsidR="000F6B02" w:rsidRPr="00245ACA" w:rsidRDefault="00557C7A" w:rsidP="000F6B02">
      <w:pPr>
        <w:pStyle w:val="subsection"/>
      </w:pPr>
      <w:r w:rsidRPr="00245ACA">
        <w:tab/>
      </w:r>
      <w:r w:rsidRPr="00245ACA">
        <w:tab/>
      </w:r>
      <w:r w:rsidR="000F6B02" w:rsidRPr="00245ACA">
        <w:t xml:space="preserve">Each instrument that is specified in a Schedule to </w:t>
      </w:r>
      <w:r w:rsidR="00DA2AC9" w:rsidRPr="00245ACA">
        <w:t>this instrument</w:t>
      </w:r>
      <w:r w:rsidR="000F6B02" w:rsidRPr="00245ACA">
        <w:t xml:space="preserve"> is amended or repealed as set out in the applicable items in the Schedule concerned, and any other item in a Schedule to </w:t>
      </w:r>
      <w:r w:rsidR="00DA2AC9" w:rsidRPr="00245ACA">
        <w:t>this instrument</w:t>
      </w:r>
      <w:r w:rsidR="000F6B02" w:rsidRPr="00245ACA">
        <w:t xml:space="preserve"> has effect according to its terms.</w:t>
      </w:r>
    </w:p>
    <w:p w:rsidR="0048364F" w:rsidRPr="00245ACA" w:rsidRDefault="0048364F" w:rsidP="00FF3089">
      <w:pPr>
        <w:pStyle w:val="ActHead6"/>
        <w:pageBreakBefore/>
      </w:pPr>
      <w:bookmarkStart w:id="8" w:name="_Toc447706657"/>
      <w:bookmarkStart w:id="9" w:name="opcAmSched"/>
      <w:bookmarkStart w:id="10" w:name="opcCurrentFind"/>
      <w:r w:rsidRPr="00245ACA">
        <w:rPr>
          <w:rStyle w:val="CharAmSchNo"/>
        </w:rPr>
        <w:t>Schedule</w:t>
      </w:r>
      <w:r w:rsidR="00245ACA" w:rsidRPr="00245ACA">
        <w:rPr>
          <w:rStyle w:val="CharAmSchNo"/>
        </w:rPr>
        <w:t> </w:t>
      </w:r>
      <w:r w:rsidRPr="00245ACA">
        <w:rPr>
          <w:rStyle w:val="CharAmSchNo"/>
        </w:rPr>
        <w:t>1</w:t>
      </w:r>
      <w:r w:rsidRPr="00245ACA">
        <w:t>—</w:t>
      </w:r>
      <w:r w:rsidR="00460499" w:rsidRPr="00245ACA">
        <w:rPr>
          <w:rStyle w:val="CharAmSchText"/>
        </w:rPr>
        <w:t>Amendments</w:t>
      </w:r>
      <w:bookmarkEnd w:id="8"/>
    </w:p>
    <w:p w:rsidR="00F15BF8" w:rsidRPr="00245ACA" w:rsidRDefault="00F15BF8" w:rsidP="00F15BF8">
      <w:pPr>
        <w:pStyle w:val="ActHead7"/>
      </w:pPr>
      <w:bookmarkStart w:id="11" w:name="_Toc447706658"/>
      <w:bookmarkEnd w:id="9"/>
      <w:bookmarkEnd w:id="10"/>
      <w:r w:rsidRPr="00245ACA">
        <w:rPr>
          <w:rStyle w:val="CharAmPartNo"/>
        </w:rPr>
        <w:t>Part</w:t>
      </w:r>
      <w:r w:rsidR="00245ACA" w:rsidRPr="00245ACA">
        <w:rPr>
          <w:rStyle w:val="CharAmPartNo"/>
        </w:rPr>
        <w:t> </w:t>
      </w:r>
      <w:r w:rsidR="004707D4" w:rsidRPr="00245ACA">
        <w:rPr>
          <w:rStyle w:val="CharAmPartNo"/>
        </w:rPr>
        <w:t>1</w:t>
      </w:r>
      <w:r w:rsidRPr="00245ACA">
        <w:t>—</w:t>
      </w:r>
      <w:r w:rsidRPr="00245ACA">
        <w:rPr>
          <w:rStyle w:val="CharAmPartText"/>
        </w:rPr>
        <w:t>Amendments of fees</w:t>
      </w:r>
      <w:bookmarkEnd w:id="11"/>
    </w:p>
    <w:p w:rsidR="001E4554" w:rsidRPr="00245ACA" w:rsidRDefault="001E4554" w:rsidP="001E4554">
      <w:pPr>
        <w:pStyle w:val="ActHead9"/>
      </w:pPr>
      <w:bookmarkStart w:id="12" w:name="_Toc447706659"/>
      <w:r w:rsidRPr="00245ACA">
        <w:t>Australian Radiation Protection and Nuclear Safety Regulations</w:t>
      </w:r>
      <w:r w:rsidR="00245ACA" w:rsidRPr="00245ACA">
        <w:t> </w:t>
      </w:r>
      <w:r w:rsidRPr="00245ACA">
        <w:t>1999</w:t>
      </w:r>
      <w:bookmarkEnd w:id="12"/>
    </w:p>
    <w:p w:rsidR="001E4554" w:rsidRPr="00245ACA" w:rsidRDefault="005F766C" w:rsidP="001E4554">
      <w:pPr>
        <w:pStyle w:val="ItemHead"/>
        <w:tabs>
          <w:tab w:val="left" w:pos="6663"/>
        </w:tabs>
      </w:pPr>
      <w:r w:rsidRPr="00245ACA">
        <w:t>1</w:t>
      </w:r>
      <w:r w:rsidR="001E4554" w:rsidRPr="00245ACA">
        <w:t xml:space="preserve">  Amendments of listed provisions—</w:t>
      </w:r>
      <w:r w:rsidR="00E07764" w:rsidRPr="00245ACA">
        <w:t>Schedule</w:t>
      </w:r>
      <w:r w:rsidR="00245ACA" w:rsidRPr="00245ACA">
        <w:t> </w:t>
      </w:r>
      <w:r w:rsidR="00E07764" w:rsidRPr="00245ACA">
        <w:t>3A</w:t>
      </w:r>
    </w:p>
    <w:p w:rsidR="001E4554" w:rsidRPr="00245ACA" w:rsidRDefault="001E4554" w:rsidP="001E4554">
      <w:pPr>
        <w:pStyle w:val="Item"/>
      </w:pPr>
      <w:r w:rsidRPr="00245ACA">
        <w:t>The items of the table in clause</w:t>
      </w:r>
      <w:r w:rsidR="00245ACA" w:rsidRPr="00245ACA">
        <w:t> </w:t>
      </w:r>
      <w:r w:rsidRPr="00245ACA">
        <w:t>1 of Schedule</w:t>
      </w:r>
      <w:r w:rsidR="00245ACA" w:rsidRPr="00245ACA">
        <w:t> </w:t>
      </w:r>
      <w:r w:rsidRPr="00245ACA">
        <w:t>3A listed in the following table are amended as set out in the table.</w:t>
      </w:r>
    </w:p>
    <w:p w:rsidR="001E4554" w:rsidRPr="00245ACA" w:rsidRDefault="001E4554" w:rsidP="001E455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1E4554" w:rsidRPr="00245ACA" w:rsidTr="003A27CA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E4554" w:rsidRPr="00245ACA" w:rsidRDefault="001E4554" w:rsidP="00BD217B">
            <w:pPr>
              <w:pStyle w:val="TableHeading"/>
            </w:pPr>
            <w:r w:rsidRPr="00245ACA">
              <w:t>Amendments relating to facility licence application fees—nuclear installations</w:t>
            </w:r>
          </w:p>
        </w:tc>
      </w:tr>
      <w:tr w:rsidR="001E4554" w:rsidRPr="00245ACA" w:rsidTr="003A27CA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E4554" w:rsidRPr="00245ACA" w:rsidRDefault="001E4554" w:rsidP="00BD217B">
            <w:pPr>
              <w:pStyle w:val="TableHeading"/>
            </w:pPr>
            <w:r w:rsidRPr="00245ACA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E4554" w:rsidRPr="00245ACA" w:rsidRDefault="001E4554" w:rsidP="00BD217B">
            <w:pPr>
              <w:pStyle w:val="TableHeading"/>
            </w:pPr>
            <w:r w:rsidRPr="00245ACA">
              <w:t>Table 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E4554" w:rsidRPr="00245ACA" w:rsidRDefault="001E4554" w:rsidP="00340AF6">
            <w:pPr>
              <w:pStyle w:val="TableHeading"/>
              <w:jc w:val="right"/>
            </w:pPr>
            <w:r w:rsidRPr="00245ACA">
              <w:t>Omit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E4554" w:rsidRPr="00245ACA" w:rsidRDefault="001E4554" w:rsidP="00340AF6">
            <w:pPr>
              <w:pStyle w:val="TableHeading"/>
              <w:jc w:val="right"/>
            </w:pPr>
            <w:r w:rsidRPr="00245ACA">
              <w:t>Substitute</w:t>
            </w:r>
          </w:p>
        </w:tc>
      </w:tr>
      <w:tr w:rsidR="001E4554" w:rsidRPr="00245ACA" w:rsidTr="003A27CA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1E4554" w:rsidRPr="00245ACA" w:rsidRDefault="009F348F" w:rsidP="003A27CA">
            <w:pPr>
              <w:pStyle w:val="Tabletext"/>
            </w:pPr>
            <w:r w:rsidRPr="00245ACA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28</w:t>
            </w:r>
            <w:r w:rsidR="00245ACA" w:rsidRPr="00245ACA">
              <w:t> </w:t>
            </w:r>
            <w:r w:rsidRPr="00245ACA">
              <w:t>021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28</w:t>
            </w:r>
            <w:r w:rsidR="00245ACA" w:rsidRPr="00245ACA">
              <w:t> </w:t>
            </w:r>
            <w:r w:rsidRPr="00245ACA">
              <w:t>777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9F348F" w:rsidP="003A27CA">
            <w:pPr>
              <w:pStyle w:val="Tabletext"/>
            </w:pPr>
            <w:r w:rsidRPr="00245ACA">
              <w:t>2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2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175</w:t>
            </w:r>
            <w:r w:rsidR="00245ACA" w:rsidRPr="00245ACA">
              <w:t> </w:t>
            </w:r>
            <w:r w:rsidRPr="00245ACA">
              <w:t>135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179</w:t>
            </w:r>
            <w:r w:rsidR="00245ACA" w:rsidRPr="00245ACA">
              <w:t> </w:t>
            </w:r>
            <w:r w:rsidRPr="00245ACA">
              <w:t>863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9F348F" w:rsidP="003A27CA">
            <w:pPr>
              <w:pStyle w:val="Tabletext"/>
            </w:pPr>
            <w:r w:rsidRPr="00245ACA">
              <w:t>3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3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140</w:t>
            </w:r>
            <w:r w:rsidR="00245ACA" w:rsidRPr="00245ACA">
              <w:t> </w:t>
            </w:r>
            <w:r w:rsidRPr="00245ACA">
              <w:t>109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143</w:t>
            </w:r>
            <w:r w:rsidR="00245ACA" w:rsidRPr="00245ACA">
              <w:t> </w:t>
            </w:r>
            <w:r w:rsidRPr="00245ACA">
              <w:t>891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9F348F" w:rsidP="003A27CA">
            <w:pPr>
              <w:pStyle w:val="Tabletext"/>
            </w:pPr>
            <w:r w:rsidRPr="00245ACA">
              <w:t>4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4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70</w:t>
            </w:r>
            <w:r w:rsidR="00245ACA" w:rsidRPr="00245ACA">
              <w:t> </w:t>
            </w:r>
            <w:r w:rsidRPr="00245ACA">
              <w:t>053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71</w:t>
            </w:r>
            <w:r w:rsidR="00245ACA" w:rsidRPr="00245ACA">
              <w:t> </w:t>
            </w:r>
            <w:r w:rsidRPr="00245ACA">
              <w:t>944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9F348F" w:rsidP="003A27CA">
            <w:pPr>
              <w:pStyle w:val="Tabletext"/>
            </w:pPr>
            <w:r w:rsidRPr="00245ACA">
              <w:t>5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5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70</w:t>
            </w:r>
            <w:r w:rsidR="00245ACA" w:rsidRPr="00245ACA">
              <w:t> </w:t>
            </w:r>
            <w:r w:rsidRPr="00245ACA">
              <w:t>053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71</w:t>
            </w:r>
            <w:r w:rsidR="00245ACA" w:rsidRPr="00245ACA">
              <w:t> </w:t>
            </w:r>
            <w:r w:rsidRPr="00245ACA">
              <w:t>944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9F348F" w:rsidP="003A27CA">
            <w:pPr>
              <w:pStyle w:val="Tabletext"/>
            </w:pPr>
            <w:r w:rsidRPr="00245ACA">
              <w:t>6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6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140</w:t>
            </w:r>
            <w:r w:rsidR="00245ACA" w:rsidRPr="00245ACA">
              <w:t> </w:t>
            </w:r>
            <w:r w:rsidRPr="00245ACA">
              <w:t>109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143</w:t>
            </w:r>
            <w:r w:rsidR="00245ACA" w:rsidRPr="00245ACA">
              <w:t> </w:t>
            </w:r>
            <w:r w:rsidRPr="00245ACA">
              <w:t>891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9F348F" w:rsidP="003A27CA">
            <w:pPr>
              <w:pStyle w:val="Tabletext"/>
            </w:pPr>
            <w:r w:rsidRPr="00245ACA">
              <w:t>7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7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560</w:t>
            </w:r>
            <w:r w:rsidR="00245ACA" w:rsidRPr="00245ACA">
              <w:t> </w:t>
            </w:r>
            <w:r w:rsidRPr="00245ACA">
              <w:t>434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575</w:t>
            </w:r>
            <w:r w:rsidR="00245ACA" w:rsidRPr="00245ACA">
              <w:t> </w:t>
            </w:r>
            <w:r w:rsidRPr="00245ACA">
              <w:t>565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9F348F" w:rsidP="003A27CA">
            <w:pPr>
              <w:pStyle w:val="Tabletext"/>
            </w:pPr>
            <w:r w:rsidRPr="00245ACA">
              <w:t>8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8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140</w:t>
            </w:r>
            <w:r w:rsidR="00245ACA" w:rsidRPr="00245ACA">
              <w:t> </w:t>
            </w:r>
            <w:r w:rsidRPr="00245ACA">
              <w:t>109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143</w:t>
            </w:r>
            <w:r w:rsidR="00245ACA" w:rsidRPr="00245ACA">
              <w:t> </w:t>
            </w:r>
            <w:r w:rsidRPr="00245ACA">
              <w:t>891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9F348F" w:rsidP="003A27CA">
            <w:pPr>
              <w:pStyle w:val="Tabletext"/>
            </w:pPr>
            <w:r w:rsidRPr="00245ACA">
              <w:t>9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9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600</w:t>
            </w:r>
            <w:r w:rsidR="00245ACA" w:rsidRPr="00245ACA">
              <w:t> </w:t>
            </w:r>
            <w:r w:rsidRPr="00245ACA">
              <w:t>467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616</w:t>
            </w:r>
            <w:r w:rsidR="00245ACA" w:rsidRPr="00245ACA">
              <w:t> </w:t>
            </w:r>
            <w:r w:rsidRPr="00245ACA">
              <w:t>679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9F348F" w:rsidP="003A27CA">
            <w:pPr>
              <w:pStyle w:val="Tabletext"/>
            </w:pPr>
            <w:r w:rsidRPr="00245ACA">
              <w:t>10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10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140</w:t>
            </w:r>
            <w:r w:rsidR="00245ACA" w:rsidRPr="00245ACA">
              <w:t> </w:t>
            </w:r>
            <w:r w:rsidRPr="00245ACA">
              <w:t>109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143</w:t>
            </w:r>
            <w:r w:rsidR="00245ACA" w:rsidRPr="00245ACA">
              <w:t> </w:t>
            </w:r>
            <w:r w:rsidRPr="00245ACA">
              <w:t>891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9F348F" w:rsidP="003A27CA">
            <w:pPr>
              <w:pStyle w:val="Tabletext"/>
            </w:pPr>
            <w:r w:rsidRPr="00245ACA">
              <w:t>11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11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14</w:t>
            </w:r>
            <w:r w:rsidR="00245ACA" w:rsidRPr="00245ACA">
              <w:t> </w:t>
            </w:r>
            <w:r w:rsidRPr="00245ACA">
              <w:t>010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14</w:t>
            </w:r>
            <w:r w:rsidR="00245ACA" w:rsidRPr="00245ACA">
              <w:t> </w:t>
            </w:r>
            <w:r w:rsidRPr="00245ACA">
              <w:t>388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9F348F" w:rsidP="003A27CA">
            <w:pPr>
              <w:pStyle w:val="Tabletext"/>
            </w:pPr>
            <w:r w:rsidRPr="00245ACA">
              <w:t>12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12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63</w:t>
            </w:r>
            <w:r w:rsidR="00245ACA" w:rsidRPr="00245ACA">
              <w:t> </w:t>
            </w:r>
            <w:r w:rsidRPr="00245ACA">
              <w:t>047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64</w:t>
            </w:r>
            <w:r w:rsidR="00245ACA" w:rsidRPr="00245ACA">
              <w:t> </w:t>
            </w:r>
            <w:r w:rsidRPr="00245ACA">
              <w:t>749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9F348F" w:rsidP="003A27CA">
            <w:pPr>
              <w:pStyle w:val="Tabletext"/>
            </w:pPr>
            <w:r w:rsidRPr="00245ACA">
              <w:t>13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13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14</w:t>
            </w:r>
            <w:r w:rsidR="00245ACA" w:rsidRPr="00245ACA">
              <w:t> </w:t>
            </w:r>
            <w:r w:rsidRPr="00245ACA">
              <w:t>010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14</w:t>
            </w:r>
            <w:r w:rsidR="00245ACA" w:rsidRPr="00245ACA">
              <w:t> </w:t>
            </w:r>
            <w:r w:rsidRPr="00245ACA">
              <w:t>388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9F348F" w:rsidP="003A27CA">
            <w:pPr>
              <w:pStyle w:val="Tabletext"/>
            </w:pPr>
            <w:r w:rsidRPr="00245ACA">
              <w:t>14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14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63</w:t>
            </w:r>
            <w:r w:rsidR="00245ACA" w:rsidRPr="00245ACA">
              <w:t> </w:t>
            </w:r>
            <w:r w:rsidRPr="00245ACA">
              <w:t>047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64</w:t>
            </w:r>
            <w:r w:rsidR="00245ACA" w:rsidRPr="00245ACA">
              <w:t> </w:t>
            </w:r>
            <w:r w:rsidRPr="00245ACA">
              <w:t>749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9F348F" w:rsidP="003A27CA">
            <w:pPr>
              <w:pStyle w:val="Tabletext"/>
            </w:pPr>
            <w:r w:rsidRPr="00245ACA">
              <w:t>15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15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28</w:t>
            </w:r>
            <w:r w:rsidR="00245ACA" w:rsidRPr="00245ACA">
              <w:t> </w:t>
            </w:r>
            <w:r w:rsidRPr="00245ACA">
              <w:t>021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28</w:t>
            </w:r>
            <w:r w:rsidR="00245ACA" w:rsidRPr="00245ACA">
              <w:t> </w:t>
            </w:r>
            <w:r w:rsidRPr="00245ACA">
              <w:t>777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9F348F" w:rsidP="003A27CA">
            <w:pPr>
              <w:pStyle w:val="Tabletext"/>
            </w:pPr>
            <w:r w:rsidRPr="00245ACA">
              <w:t>16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16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333</w:t>
            </w:r>
            <w:r w:rsidR="00245ACA" w:rsidRPr="00245ACA">
              <w:t> </w:t>
            </w:r>
            <w:r w:rsidRPr="00245ACA">
              <w:t>593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342</w:t>
            </w:r>
            <w:r w:rsidR="00245ACA" w:rsidRPr="00245ACA">
              <w:t> </w:t>
            </w:r>
            <w:r w:rsidRPr="00245ACA">
              <w:t>600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9F348F" w:rsidP="003A27CA">
            <w:pPr>
              <w:pStyle w:val="Tabletext"/>
            </w:pPr>
            <w:r w:rsidRPr="00245ACA">
              <w:t>17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17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400</w:t>
            </w:r>
            <w:r w:rsidR="00245ACA" w:rsidRPr="00245ACA">
              <w:t> </w:t>
            </w:r>
            <w:r w:rsidRPr="00245ACA">
              <w:t>311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411</w:t>
            </w:r>
            <w:r w:rsidR="00245ACA" w:rsidRPr="00245ACA">
              <w:t> </w:t>
            </w:r>
            <w:r w:rsidRPr="00245ACA">
              <w:t>119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9F348F" w:rsidP="003A27CA">
            <w:pPr>
              <w:pStyle w:val="Tabletext"/>
            </w:pPr>
            <w:r w:rsidRPr="00245ACA">
              <w:t>18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18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14</w:t>
            </w:r>
            <w:r w:rsidR="00245ACA" w:rsidRPr="00245ACA">
              <w:t> </w:t>
            </w:r>
            <w:r w:rsidRPr="00245ACA">
              <w:t>010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14</w:t>
            </w:r>
            <w:r w:rsidR="00245ACA" w:rsidRPr="00245ACA">
              <w:t> </w:t>
            </w:r>
            <w:r w:rsidRPr="00245ACA">
              <w:t>388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9F348F" w:rsidP="003A27CA">
            <w:pPr>
              <w:pStyle w:val="Tabletext"/>
            </w:pPr>
            <w:r w:rsidRPr="00245ACA">
              <w:t>19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19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210</w:t>
            </w:r>
            <w:r w:rsidR="00245ACA" w:rsidRPr="00245ACA">
              <w:t> </w:t>
            </w:r>
            <w:r w:rsidRPr="00245ACA">
              <w:t>163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215</w:t>
            </w:r>
            <w:r w:rsidR="00245ACA" w:rsidRPr="00245ACA">
              <w:t> </w:t>
            </w:r>
            <w:r w:rsidRPr="00245ACA">
              <w:t>837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9F348F" w:rsidP="003A27CA">
            <w:pPr>
              <w:pStyle w:val="Tabletext"/>
            </w:pPr>
            <w:r w:rsidRPr="00245ACA">
              <w:t>20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20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28</w:t>
            </w:r>
            <w:r w:rsidR="00245ACA" w:rsidRPr="00245ACA">
              <w:t> </w:t>
            </w:r>
            <w:r w:rsidRPr="00245ACA">
              <w:t>021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28</w:t>
            </w:r>
            <w:r w:rsidR="00245ACA" w:rsidRPr="00245ACA">
              <w:t> </w:t>
            </w:r>
            <w:r w:rsidRPr="00245ACA">
              <w:t>777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9F348F" w:rsidP="003A27CA">
            <w:pPr>
              <w:pStyle w:val="Tabletext"/>
            </w:pPr>
            <w:r w:rsidRPr="00245ACA">
              <w:t>21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21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70</w:t>
            </w:r>
            <w:r w:rsidR="00245ACA" w:rsidRPr="00245ACA">
              <w:t> </w:t>
            </w:r>
            <w:r w:rsidRPr="00245ACA">
              <w:t>053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71</w:t>
            </w:r>
            <w:r w:rsidR="00245ACA" w:rsidRPr="00245ACA">
              <w:t> </w:t>
            </w:r>
            <w:r w:rsidRPr="00245ACA">
              <w:t>944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9F348F" w:rsidP="003A27CA">
            <w:pPr>
              <w:pStyle w:val="Tabletext"/>
            </w:pPr>
            <w:r w:rsidRPr="00245ACA">
              <w:t>22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22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140</w:t>
            </w:r>
            <w:r w:rsidR="00245ACA" w:rsidRPr="00245ACA">
              <w:t> </w:t>
            </w:r>
            <w:r w:rsidRPr="00245ACA">
              <w:t>109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143</w:t>
            </w:r>
            <w:r w:rsidR="00245ACA" w:rsidRPr="00245ACA">
              <w:t> </w:t>
            </w:r>
            <w:r w:rsidRPr="00245ACA">
              <w:t>891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9F348F" w:rsidP="003A27CA">
            <w:pPr>
              <w:pStyle w:val="Tabletext"/>
            </w:pPr>
            <w:r w:rsidRPr="00245ACA">
              <w:t>23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23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14</w:t>
            </w:r>
            <w:r w:rsidR="00245ACA" w:rsidRPr="00245ACA">
              <w:t> </w:t>
            </w:r>
            <w:r w:rsidRPr="00245ACA">
              <w:t>010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14</w:t>
            </w:r>
            <w:r w:rsidR="00245ACA" w:rsidRPr="00245ACA">
              <w:t> </w:t>
            </w:r>
            <w:r w:rsidRPr="00245ACA">
              <w:t>388</w:t>
            </w:r>
          </w:p>
        </w:tc>
      </w:tr>
      <w:tr w:rsidR="001E4554" w:rsidRPr="00245ACA" w:rsidTr="003A27CA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1E4554" w:rsidRPr="00245ACA" w:rsidRDefault="009F348F" w:rsidP="003A27CA">
            <w:pPr>
              <w:pStyle w:val="Tabletext"/>
            </w:pPr>
            <w:r w:rsidRPr="00245ACA">
              <w:t>24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24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126</w:t>
            </w:r>
            <w:r w:rsidR="00245ACA" w:rsidRPr="00245ACA">
              <w:t> </w:t>
            </w:r>
            <w:r w:rsidRPr="00245ACA">
              <w:t>098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129</w:t>
            </w:r>
            <w:r w:rsidR="00245ACA" w:rsidRPr="00245ACA">
              <w:t> </w:t>
            </w:r>
            <w:r w:rsidRPr="00245ACA">
              <w:t>502</w:t>
            </w:r>
          </w:p>
        </w:tc>
      </w:tr>
      <w:tr w:rsidR="001E4554" w:rsidRPr="00245ACA" w:rsidTr="003A27CA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E4554" w:rsidRPr="00245ACA" w:rsidRDefault="009F348F" w:rsidP="003A27CA">
            <w:pPr>
              <w:pStyle w:val="Tabletext"/>
            </w:pPr>
            <w:r w:rsidRPr="00245ACA">
              <w:t>25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25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28</w:t>
            </w:r>
            <w:r w:rsidR="00245ACA" w:rsidRPr="00245ACA">
              <w:t> </w:t>
            </w:r>
            <w:r w:rsidRPr="00245ACA">
              <w:t>021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28</w:t>
            </w:r>
            <w:r w:rsidR="00245ACA" w:rsidRPr="00245ACA">
              <w:t> </w:t>
            </w:r>
            <w:r w:rsidRPr="00245ACA">
              <w:t>777</w:t>
            </w:r>
          </w:p>
        </w:tc>
      </w:tr>
    </w:tbl>
    <w:p w:rsidR="001E4554" w:rsidRPr="00245ACA" w:rsidRDefault="001E4554" w:rsidP="001E4554">
      <w:pPr>
        <w:pStyle w:val="Tabletext"/>
      </w:pPr>
    </w:p>
    <w:p w:rsidR="001E4554" w:rsidRPr="00245ACA" w:rsidRDefault="005F766C" w:rsidP="001E4554">
      <w:pPr>
        <w:pStyle w:val="ItemHead"/>
        <w:tabs>
          <w:tab w:val="left" w:pos="6663"/>
        </w:tabs>
      </w:pPr>
      <w:r w:rsidRPr="00245ACA">
        <w:t>2</w:t>
      </w:r>
      <w:r w:rsidR="001E4554" w:rsidRPr="00245ACA">
        <w:t xml:space="preserve">  Amendments of listed provisions—</w:t>
      </w:r>
      <w:r w:rsidR="00E07764" w:rsidRPr="00245ACA">
        <w:t>Part</w:t>
      </w:r>
      <w:r w:rsidR="00245ACA" w:rsidRPr="00245ACA">
        <w:t> </w:t>
      </w:r>
      <w:r w:rsidR="00E07764" w:rsidRPr="00245ACA">
        <w:t>1 of Schedule</w:t>
      </w:r>
      <w:r w:rsidR="00245ACA" w:rsidRPr="00245ACA">
        <w:t> </w:t>
      </w:r>
      <w:r w:rsidR="00E07764" w:rsidRPr="00245ACA">
        <w:t>3B</w:t>
      </w:r>
    </w:p>
    <w:p w:rsidR="001E4554" w:rsidRPr="00245ACA" w:rsidRDefault="001E4554" w:rsidP="001E4554">
      <w:pPr>
        <w:pStyle w:val="Item"/>
      </w:pPr>
      <w:r w:rsidRPr="00245ACA">
        <w:t>The items of the table in clause</w:t>
      </w:r>
      <w:r w:rsidR="00245ACA" w:rsidRPr="00245ACA">
        <w:t> </w:t>
      </w:r>
      <w:r w:rsidRPr="00245ACA">
        <w:t>1 of Schedule</w:t>
      </w:r>
      <w:r w:rsidR="00245ACA" w:rsidRPr="00245ACA">
        <w:t> </w:t>
      </w:r>
      <w:r w:rsidRPr="00245ACA">
        <w:t>3B listed in the following table are amended as set out in the table.</w:t>
      </w:r>
    </w:p>
    <w:p w:rsidR="001E4554" w:rsidRPr="00245ACA" w:rsidRDefault="001E4554" w:rsidP="001E455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1E4554" w:rsidRPr="00245ACA" w:rsidTr="003A27CA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E4554" w:rsidRPr="00245ACA" w:rsidRDefault="001E4554" w:rsidP="00BD217B">
            <w:pPr>
              <w:pStyle w:val="TableHeading"/>
            </w:pPr>
            <w:r w:rsidRPr="00245ACA">
              <w:t>Amendments relating to facility licence application fees—prescribed radiation facilities (general)</w:t>
            </w:r>
          </w:p>
        </w:tc>
      </w:tr>
      <w:tr w:rsidR="001E4554" w:rsidRPr="00245ACA" w:rsidTr="003A27CA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E4554" w:rsidRPr="00245ACA" w:rsidRDefault="001E4554" w:rsidP="00BD217B">
            <w:pPr>
              <w:pStyle w:val="TableHeading"/>
            </w:pPr>
            <w:r w:rsidRPr="00245ACA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E4554" w:rsidRPr="00245ACA" w:rsidRDefault="001E4554" w:rsidP="00BD217B">
            <w:pPr>
              <w:pStyle w:val="TableHeading"/>
            </w:pPr>
            <w:r w:rsidRPr="00245ACA">
              <w:t>Table 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E4554" w:rsidRPr="00245ACA" w:rsidRDefault="001E4554" w:rsidP="00340AF6">
            <w:pPr>
              <w:pStyle w:val="TableHeading"/>
              <w:jc w:val="right"/>
            </w:pPr>
            <w:r w:rsidRPr="00245ACA">
              <w:t>Omit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E4554" w:rsidRPr="00245ACA" w:rsidRDefault="001E4554" w:rsidP="00340AF6">
            <w:pPr>
              <w:pStyle w:val="TableHeading"/>
              <w:jc w:val="right"/>
            </w:pPr>
            <w:r w:rsidRPr="00245ACA">
              <w:t>Substitute</w:t>
            </w:r>
          </w:p>
        </w:tc>
      </w:tr>
      <w:tr w:rsidR="001E4554" w:rsidRPr="00245ACA" w:rsidTr="003A27CA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12</w:t>
            </w:r>
            <w:r w:rsidR="00245ACA" w:rsidRPr="00245ACA">
              <w:t> </w:t>
            </w:r>
            <w:r w:rsidRPr="00245ACA">
              <w:t>609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12</w:t>
            </w:r>
            <w:r w:rsidR="00245ACA" w:rsidRPr="00245ACA">
              <w:t> </w:t>
            </w:r>
            <w:r w:rsidRPr="00245ACA">
              <w:t>949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2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2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12</w:t>
            </w:r>
            <w:r w:rsidR="00245ACA" w:rsidRPr="00245ACA">
              <w:t> </w:t>
            </w:r>
            <w:r w:rsidRPr="00245ACA">
              <w:t>609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12</w:t>
            </w:r>
            <w:r w:rsidR="00245ACA" w:rsidRPr="00245ACA">
              <w:t> </w:t>
            </w:r>
            <w:r w:rsidRPr="00245ACA">
              <w:t>949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3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3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12</w:t>
            </w:r>
            <w:r w:rsidR="00245ACA" w:rsidRPr="00245ACA">
              <w:t> </w:t>
            </w:r>
            <w:r w:rsidRPr="00245ACA">
              <w:t>609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12</w:t>
            </w:r>
            <w:r w:rsidR="00245ACA" w:rsidRPr="00245ACA">
              <w:t> </w:t>
            </w:r>
            <w:r w:rsidRPr="00245ACA">
              <w:t>949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4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4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12</w:t>
            </w:r>
            <w:r w:rsidR="00245ACA" w:rsidRPr="00245ACA">
              <w:t> </w:t>
            </w:r>
            <w:r w:rsidRPr="00245ACA">
              <w:t>609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12</w:t>
            </w:r>
            <w:r w:rsidR="00245ACA" w:rsidRPr="00245ACA">
              <w:t> </w:t>
            </w:r>
            <w:r w:rsidRPr="00245ACA">
              <w:t>949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5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5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12</w:t>
            </w:r>
            <w:r w:rsidR="00245ACA" w:rsidRPr="00245ACA">
              <w:t> </w:t>
            </w:r>
            <w:r w:rsidRPr="00245ACA">
              <w:t>609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12</w:t>
            </w:r>
            <w:r w:rsidR="00245ACA" w:rsidRPr="00245ACA">
              <w:t> </w:t>
            </w:r>
            <w:r w:rsidRPr="00245ACA">
              <w:t>949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6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6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12</w:t>
            </w:r>
            <w:r w:rsidR="00245ACA" w:rsidRPr="00245ACA">
              <w:t> </w:t>
            </w:r>
            <w:r w:rsidRPr="00245ACA">
              <w:t>609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12</w:t>
            </w:r>
            <w:r w:rsidR="00245ACA" w:rsidRPr="00245ACA">
              <w:t> </w:t>
            </w:r>
            <w:r w:rsidRPr="00245ACA">
              <w:t>949</w:t>
            </w:r>
          </w:p>
        </w:tc>
      </w:tr>
      <w:tr w:rsidR="001E4554" w:rsidRPr="00245ACA" w:rsidTr="003A27CA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7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7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25</w:t>
            </w:r>
            <w:r w:rsidR="00245ACA" w:rsidRPr="00245ACA">
              <w:t> </w:t>
            </w:r>
            <w:r w:rsidRPr="00245ACA">
              <w:t>220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25</w:t>
            </w:r>
            <w:r w:rsidR="00245ACA" w:rsidRPr="00245ACA">
              <w:t> </w:t>
            </w:r>
            <w:r w:rsidRPr="00245ACA">
              <w:t>900</w:t>
            </w:r>
          </w:p>
        </w:tc>
      </w:tr>
    </w:tbl>
    <w:p w:rsidR="001E4554" w:rsidRPr="00245ACA" w:rsidRDefault="001E4554" w:rsidP="001E4554">
      <w:pPr>
        <w:pStyle w:val="Tabletext"/>
      </w:pPr>
    </w:p>
    <w:p w:rsidR="001E4554" w:rsidRPr="00245ACA" w:rsidRDefault="005F766C" w:rsidP="001E4554">
      <w:pPr>
        <w:pStyle w:val="ItemHead"/>
        <w:tabs>
          <w:tab w:val="left" w:pos="6663"/>
        </w:tabs>
      </w:pPr>
      <w:r w:rsidRPr="00245ACA">
        <w:t>3</w:t>
      </w:r>
      <w:r w:rsidR="001E4554" w:rsidRPr="00245ACA">
        <w:t xml:space="preserve">  Amendments of listed provisions—</w:t>
      </w:r>
      <w:r w:rsidR="00E07764" w:rsidRPr="00245ACA">
        <w:t>Part</w:t>
      </w:r>
      <w:r w:rsidR="00245ACA" w:rsidRPr="00245ACA">
        <w:t> </w:t>
      </w:r>
      <w:r w:rsidR="00E07764" w:rsidRPr="00245ACA">
        <w:t>2 of Schedule</w:t>
      </w:r>
      <w:r w:rsidR="00245ACA" w:rsidRPr="00245ACA">
        <w:t> </w:t>
      </w:r>
      <w:r w:rsidR="00E07764" w:rsidRPr="00245ACA">
        <w:t>3B</w:t>
      </w:r>
    </w:p>
    <w:p w:rsidR="001E4554" w:rsidRPr="00245ACA" w:rsidRDefault="001E4554" w:rsidP="001E4554">
      <w:pPr>
        <w:pStyle w:val="Item"/>
      </w:pPr>
      <w:r w:rsidRPr="00245ACA">
        <w:t>The items of the table in clause</w:t>
      </w:r>
      <w:r w:rsidR="00245ACA" w:rsidRPr="00245ACA">
        <w:t> </w:t>
      </w:r>
      <w:r w:rsidRPr="00245ACA">
        <w:t>2 of Schedule</w:t>
      </w:r>
      <w:r w:rsidR="00245ACA" w:rsidRPr="00245ACA">
        <w:t> </w:t>
      </w:r>
      <w:r w:rsidRPr="00245ACA">
        <w:t>3B listed in the following table are amended as set out in the table.</w:t>
      </w:r>
    </w:p>
    <w:p w:rsidR="001E4554" w:rsidRPr="00245ACA" w:rsidRDefault="001E4554" w:rsidP="001E455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1E4554" w:rsidRPr="00245ACA" w:rsidTr="003A27CA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E4554" w:rsidRPr="00245ACA" w:rsidRDefault="001E4554" w:rsidP="00BD217B">
            <w:pPr>
              <w:pStyle w:val="TableHeading"/>
            </w:pPr>
            <w:r w:rsidRPr="00245ACA">
              <w:t>Amendments relating to facility licence application fees—prescribed radiation facilities (other)</w:t>
            </w:r>
          </w:p>
        </w:tc>
      </w:tr>
      <w:tr w:rsidR="001E4554" w:rsidRPr="00245ACA" w:rsidTr="003A27CA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E4554" w:rsidRPr="00245ACA" w:rsidRDefault="001E4554" w:rsidP="00BD217B">
            <w:pPr>
              <w:pStyle w:val="TableHeading"/>
            </w:pPr>
            <w:r w:rsidRPr="00245ACA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E4554" w:rsidRPr="00245ACA" w:rsidRDefault="001E4554" w:rsidP="00BD217B">
            <w:pPr>
              <w:pStyle w:val="TableHeading"/>
            </w:pPr>
            <w:r w:rsidRPr="00245ACA">
              <w:t>Table 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E4554" w:rsidRPr="00245ACA" w:rsidRDefault="001E4554" w:rsidP="00340AF6">
            <w:pPr>
              <w:pStyle w:val="TableHeading"/>
              <w:jc w:val="right"/>
            </w:pPr>
            <w:r w:rsidRPr="00245ACA">
              <w:t>Omit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E4554" w:rsidRPr="00245ACA" w:rsidRDefault="001E4554" w:rsidP="00340AF6">
            <w:pPr>
              <w:pStyle w:val="TableHeading"/>
              <w:jc w:val="right"/>
            </w:pPr>
            <w:r w:rsidRPr="00245ACA">
              <w:t>Substitute</w:t>
            </w:r>
          </w:p>
        </w:tc>
      </w:tr>
      <w:tr w:rsidR="001E4554" w:rsidRPr="00245ACA" w:rsidTr="003A27CA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42</w:t>
            </w:r>
            <w:r w:rsidR="00245ACA" w:rsidRPr="00245ACA">
              <w:t> </w:t>
            </w:r>
            <w:r w:rsidRPr="00245ACA">
              <w:t>032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43</w:t>
            </w:r>
            <w:r w:rsidR="00245ACA" w:rsidRPr="00245ACA">
              <w:t> </w:t>
            </w:r>
            <w:r w:rsidRPr="00245ACA">
              <w:t>166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2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2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28</w:t>
            </w:r>
            <w:r w:rsidR="00245ACA" w:rsidRPr="00245ACA">
              <w:t> </w:t>
            </w:r>
            <w:r w:rsidRPr="00245ACA">
              <w:t>021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28</w:t>
            </w:r>
            <w:r w:rsidR="00245ACA" w:rsidRPr="00245ACA">
              <w:t> </w:t>
            </w:r>
            <w:r w:rsidRPr="00245ACA">
              <w:t>777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3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3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42</w:t>
            </w:r>
            <w:r w:rsidR="00245ACA" w:rsidRPr="00245ACA">
              <w:t> </w:t>
            </w:r>
            <w:r w:rsidRPr="00245ACA">
              <w:t>032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43</w:t>
            </w:r>
            <w:r w:rsidR="00245ACA" w:rsidRPr="00245ACA">
              <w:t> </w:t>
            </w:r>
            <w:r w:rsidRPr="00245ACA">
              <w:t>166</w:t>
            </w:r>
          </w:p>
        </w:tc>
      </w:tr>
      <w:tr w:rsidR="001E4554" w:rsidRPr="00245ACA" w:rsidTr="003A27CA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4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4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28</w:t>
            </w:r>
            <w:r w:rsidR="00245ACA" w:rsidRPr="00245ACA">
              <w:t> </w:t>
            </w:r>
            <w:r w:rsidRPr="00245ACA">
              <w:t>021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28</w:t>
            </w:r>
            <w:r w:rsidR="00245ACA" w:rsidRPr="00245ACA">
              <w:t> </w:t>
            </w:r>
            <w:r w:rsidRPr="00245ACA">
              <w:t>777</w:t>
            </w:r>
          </w:p>
        </w:tc>
      </w:tr>
    </w:tbl>
    <w:p w:rsidR="001E4554" w:rsidRPr="00245ACA" w:rsidRDefault="001E4554" w:rsidP="001E4554">
      <w:pPr>
        <w:pStyle w:val="Tabletext"/>
      </w:pPr>
    </w:p>
    <w:p w:rsidR="001E4554" w:rsidRPr="00245ACA" w:rsidRDefault="005F766C" w:rsidP="001E4554">
      <w:pPr>
        <w:pStyle w:val="ItemHead"/>
        <w:tabs>
          <w:tab w:val="left" w:pos="6663"/>
        </w:tabs>
      </w:pPr>
      <w:r w:rsidRPr="00245ACA">
        <w:t>4</w:t>
      </w:r>
      <w:r w:rsidR="001E4554" w:rsidRPr="00245ACA">
        <w:t xml:space="preserve">  Amendments of listed provisions—</w:t>
      </w:r>
      <w:r w:rsidR="00E07764" w:rsidRPr="00245ACA">
        <w:t>Part</w:t>
      </w:r>
      <w:r w:rsidR="00245ACA" w:rsidRPr="00245ACA">
        <w:t> </w:t>
      </w:r>
      <w:r w:rsidR="00E07764" w:rsidRPr="00245ACA">
        <w:t>2 of Schedule</w:t>
      </w:r>
      <w:r w:rsidR="00245ACA" w:rsidRPr="00245ACA">
        <w:t> </w:t>
      </w:r>
      <w:r w:rsidR="00E07764" w:rsidRPr="00245ACA">
        <w:t>3C</w:t>
      </w:r>
    </w:p>
    <w:p w:rsidR="001E4554" w:rsidRPr="00245ACA" w:rsidRDefault="001E4554" w:rsidP="001E4554">
      <w:pPr>
        <w:pStyle w:val="Item"/>
      </w:pPr>
      <w:r w:rsidRPr="00245ACA">
        <w:t>The items of the table in clause</w:t>
      </w:r>
      <w:r w:rsidR="00245ACA" w:rsidRPr="00245ACA">
        <w:t> </w:t>
      </w:r>
      <w:r w:rsidRPr="00245ACA">
        <w:t>2 of Schedule</w:t>
      </w:r>
      <w:r w:rsidR="00245ACA" w:rsidRPr="00245ACA">
        <w:t> </w:t>
      </w:r>
      <w:r w:rsidRPr="00245ACA">
        <w:t>3C listed in the following table are amended as set out in the table.</w:t>
      </w:r>
    </w:p>
    <w:p w:rsidR="001E4554" w:rsidRPr="00245ACA" w:rsidRDefault="001E4554" w:rsidP="001E455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1E4554" w:rsidRPr="00245ACA" w:rsidTr="003A27CA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E4554" w:rsidRPr="00245ACA" w:rsidRDefault="001E4554" w:rsidP="00BD217B">
            <w:pPr>
              <w:pStyle w:val="TableHeading"/>
            </w:pPr>
            <w:r w:rsidRPr="00245ACA">
              <w:t>Amendments relating to source licence application fees</w:t>
            </w:r>
          </w:p>
        </w:tc>
      </w:tr>
      <w:tr w:rsidR="001E4554" w:rsidRPr="00245ACA" w:rsidTr="003A27CA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E4554" w:rsidRPr="00245ACA" w:rsidRDefault="001E4554" w:rsidP="00BD217B">
            <w:pPr>
              <w:pStyle w:val="TableHeading"/>
            </w:pPr>
            <w:r w:rsidRPr="00245ACA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E4554" w:rsidRPr="00245ACA" w:rsidRDefault="001E4554" w:rsidP="00BD217B">
            <w:pPr>
              <w:pStyle w:val="TableHeading"/>
            </w:pPr>
            <w:r w:rsidRPr="00245ACA">
              <w:t>Table 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E4554" w:rsidRPr="00245ACA" w:rsidRDefault="001E4554" w:rsidP="00340AF6">
            <w:pPr>
              <w:pStyle w:val="TableHeading"/>
              <w:jc w:val="right"/>
            </w:pPr>
            <w:r w:rsidRPr="00245ACA">
              <w:t>Omit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E4554" w:rsidRPr="00245ACA" w:rsidRDefault="001E4554" w:rsidP="00340AF6">
            <w:pPr>
              <w:pStyle w:val="TableHeading"/>
              <w:jc w:val="right"/>
            </w:pPr>
            <w:r w:rsidRPr="00245ACA">
              <w:t>Substitute</w:t>
            </w:r>
          </w:p>
        </w:tc>
      </w:tr>
      <w:tr w:rsidR="001E4554" w:rsidRPr="00245ACA" w:rsidTr="003A27CA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1E4554" w:rsidRPr="00245ACA" w:rsidRDefault="001C3B3E" w:rsidP="003A27CA">
            <w:pPr>
              <w:pStyle w:val="Tabletext"/>
            </w:pPr>
            <w:r w:rsidRPr="00245ACA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700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718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1C3B3E" w:rsidP="003A27CA">
            <w:pPr>
              <w:pStyle w:val="Tabletext"/>
            </w:pPr>
            <w:r w:rsidRPr="00245ACA">
              <w:t>2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1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2</w:t>
            </w:r>
            <w:r w:rsidR="00245ACA" w:rsidRPr="00245ACA">
              <w:t> </w:t>
            </w:r>
            <w:r w:rsidRPr="00245ACA">
              <w:t>801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2</w:t>
            </w:r>
            <w:r w:rsidR="00245ACA" w:rsidRPr="00245ACA">
              <w:t> </w:t>
            </w:r>
            <w:r w:rsidRPr="00245ACA">
              <w:t>876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1C3B3E" w:rsidP="003A27CA">
            <w:pPr>
              <w:pStyle w:val="Tabletext"/>
            </w:pPr>
            <w:r w:rsidRPr="00245ACA">
              <w:t>3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1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8</w:t>
            </w:r>
            <w:r w:rsidR="00245ACA" w:rsidRPr="00245ACA">
              <w:t> </w:t>
            </w:r>
            <w:r w:rsidRPr="00245ACA">
              <w:t>405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8</w:t>
            </w:r>
            <w:r w:rsidR="00245ACA" w:rsidRPr="00245ACA">
              <w:t> </w:t>
            </w:r>
            <w:r w:rsidRPr="00245ACA">
              <w:t>631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1C3B3E" w:rsidP="003A27CA">
            <w:pPr>
              <w:pStyle w:val="Tabletext"/>
            </w:pPr>
            <w:r w:rsidRPr="00245ACA">
              <w:t>4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2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</w:t>
            </w:r>
            <w:r w:rsidR="00245ACA" w:rsidRPr="00245ACA">
              <w:t> </w:t>
            </w:r>
            <w:r w:rsidRPr="00245ACA">
              <w:t>819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</w:t>
            </w:r>
            <w:r w:rsidR="00245ACA" w:rsidRPr="00245ACA">
              <w:t> </w:t>
            </w:r>
            <w:r w:rsidRPr="00245ACA">
              <w:t>868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1C3B3E" w:rsidP="003A27CA">
            <w:pPr>
              <w:pStyle w:val="Tabletext"/>
            </w:pPr>
            <w:r w:rsidRPr="00245ACA">
              <w:t>5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2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5</w:t>
            </w:r>
            <w:r w:rsidR="00245ACA" w:rsidRPr="00245ACA">
              <w:t> </w:t>
            </w:r>
            <w:r w:rsidRPr="00245ACA">
              <w:t>604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5</w:t>
            </w:r>
            <w:r w:rsidR="00245ACA" w:rsidRPr="00245ACA">
              <w:t> </w:t>
            </w:r>
            <w:r w:rsidRPr="00245ACA">
              <w:t>755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1C3B3E" w:rsidP="003A27CA">
            <w:pPr>
              <w:pStyle w:val="Tabletext"/>
            </w:pPr>
            <w:r w:rsidRPr="00245ACA">
              <w:t>6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2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16</w:t>
            </w:r>
            <w:r w:rsidR="00245ACA" w:rsidRPr="00245ACA">
              <w:t> </w:t>
            </w:r>
            <w:r w:rsidRPr="00245ACA">
              <w:t>811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17</w:t>
            </w:r>
            <w:r w:rsidR="00245ACA" w:rsidRPr="00245ACA">
              <w:t> </w:t>
            </w:r>
            <w:r w:rsidRPr="00245ACA">
              <w:t>264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1C3B3E" w:rsidP="003A27CA">
            <w:pPr>
              <w:pStyle w:val="Tabletext"/>
            </w:pPr>
            <w:r w:rsidRPr="00245ACA">
              <w:t>7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3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3</w:t>
            </w:r>
            <w:r w:rsidR="00245ACA" w:rsidRPr="00245ACA">
              <w:t> </w:t>
            </w:r>
            <w:r w:rsidRPr="00245ACA">
              <w:t>503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3</w:t>
            </w:r>
            <w:r w:rsidR="00245ACA" w:rsidRPr="00245ACA">
              <w:t> </w:t>
            </w:r>
            <w:r w:rsidRPr="00245ACA">
              <w:t>597</w:t>
            </w:r>
          </w:p>
        </w:tc>
      </w:tr>
      <w:tr w:rsidR="001E4554" w:rsidRPr="00245ACA" w:rsidTr="003A27CA">
        <w:tc>
          <w:tcPr>
            <w:tcW w:w="714" w:type="dxa"/>
            <w:shd w:val="clear" w:color="auto" w:fill="auto"/>
          </w:tcPr>
          <w:p w:rsidR="001E4554" w:rsidRPr="00245ACA" w:rsidRDefault="001C3B3E" w:rsidP="003A27CA">
            <w:pPr>
              <w:pStyle w:val="Tabletext"/>
            </w:pPr>
            <w:r w:rsidRPr="00245ACA">
              <w:t>8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3</w:t>
            </w:r>
          </w:p>
        </w:tc>
        <w:tc>
          <w:tcPr>
            <w:tcW w:w="2533" w:type="dxa"/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10</w:t>
            </w:r>
            <w:r w:rsidR="00245ACA" w:rsidRPr="00245ACA">
              <w:t> </w:t>
            </w:r>
            <w:r w:rsidRPr="00245ACA">
              <w:t>533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10</w:t>
            </w:r>
            <w:r w:rsidR="00245ACA" w:rsidRPr="00245ACA">
              <w:t> </w:t>
            </w:r>
            <w:r w:rsidRPr="00245ACA">
              <w:t>817</w:t>
            </w:r>
          </w:p>
        </w:tc>
      </w:tr>
      <w:tr w:rsidR="001E4554" w:rsidRPr="00245ACA" w:rsidTr="003A27CA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E4554" w:rsidRPr="00245ACA" w:rsidRDefault="001C3B3E" w:rsidP="003A27CA">
            <w:pPr>
              <w:pStyle w:val="Tabletext"/>
            </w:pPr>
            <w:r w:rsidRPr="00245ACA">
              <w:t>9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E4554" w:rsidRPr="00245ACA" w:rsidRDefault="001E4554" w:rsidP="003A27CA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>3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30</w:t>
            </w:r>
            <w:r w:rsidR="00245ACA" w:rsidRPr="00245ACA">
              <w:t> </w:t>
            </w:r>
            <w:r w:rsidRPr="00245ACA">
              <w:t>822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E4554" w:rsidRPr="00245ACA" w:rsidRDefault="001E4554" w:rsidP="00E47D5F">
            <w:pPr>
              <w:pStyle w:val="Tabletext"/>
              <w:jc w:val="right"/>
            </w:pPr>
            <w:r w:rsidRPr="00245ACA">
              <w:t>31</w:t>
            </w:r>
            <w:r w:rsidR="00245ACA" w:rsidRPr="00245ACA">
              <w:t> </w:t>
            </w:r>
            <w:r w:rsidRPr="00245ACA">
              <w:t>654</w:t>
            </w:r>
          </w:p>
        </w:tc>
      </w:tr>
    </w:tbl>
    <w:p w:rsidR="001E4554" w:rsidRPr="00245ACA" w:rsidRDefault="001E4554" w:rsidP="001E4554">
      <w:pPr>
        <w:pStyle w:val="Tabletext"/>
      </w:pPr>
    </w:p>
    <w:p w:rsidR="0004044E" w:rsidRPr="00245ACA" w:rsidRDefault="00C9413E" w:rsidP="00D32E57">
      <w:pPr>
        <w:pStyle w:val="ActHead7"/>
        <w:pageBreakBefore/>
      </w:pPr>
      <w:bookmarkStart w:id="13" w:name="_Toc447706660"/>
      <w:r w:rsidRPr="00245ACA">
        <w:rPr>
          <w:rStyle w:val="CharAmPartNo"/>
        </w:rPr>
        <w:t>Part</w:t>
      </w:r>
      <w:r w:rsidR="00245ACA" w:rsidRPr="00245ACA">
        <w:rPr>
          <w:rStyle w:val="CharAmPartNo"/>
        </w:rPr>
        <w:t> </w:t>
      </w:r>
      <w:r w:rsidR="004707D4" w:rsidRPr="00245ACA">
        <w:rPr>
          <w:rStyle w:val="CharAmPartNo"/>
        </w:rPr>
        <w:t>2</w:t>
      </w:r>
      <w:r w:rsidRPr="00245ACA">
        <w:t>—</w:t>
      </w:r>
      <w:r w:rsidR="006B5C9E" w:rsidRPr="00245ACA">
        <w:rPr>
          <w:rStyle w:val="CharAmPartText"/>
        </w:rPr>
        <w:t>Other</w:t>
      </w:r>
      <w:r w:rsidRPr="00245ACA">
        <w:rPr>
          <w:rStyle w:val="CharAmPartText"/>
        </w:rPr>
        <w:t xml:space="preserve"> amendments</w:t>
      </w:r>
      <w:bookmarkEnd w:id="13"/>
    </w:p>
    <w:p w:rsidR="00231313" w:rsidRPr="00245ACA" w:rsidRDefault="00231313" w:rsidP="00231313">
      <w:pPr>
        <w:pStyle w:val="ActHead9"/>
      </w:pPr>
      <w:bookmarkStart w:id="14" w:name="_Toc447706661"/>
      <w:r w:rsidRPr="00245ACA">
        <w:t>Australian Radiation Protection and Nuclear Safety Regulations</w:t>
      </w:r>
      <w:r w:rsidR="00245ACA" w:rsidRPr="00245ACA">
        <w:t> </w:t>
      </w:r>
      <w:r w:rsidRPr="00245ACA">
        <w:t>1999</w:t>
      </w:r>
      <w:bookmarkEnd w:id="14"/>
    </w:p>
    <w:p w:rsidR="002351F6" w:rsidRPr="00245ACA" w:rsidRDefault="005F766C" w:rsidP="002351F6">
      <w:pPr>
        <w:pStyle w:val="ItemHead"/>
      </w:pPr>
      <w:r w:rsidRPr="00245ACA">
        <w:t>5</w:t>
      </w:r>
      <w:r w:rsidR="002351F6" w:rsidRPr="00245ACA">
        <w:t xml:space="preserve">  </w:t>
      </w:r>
      <w:r w:rsidR="001D2A16" w:rsidRPr="00245ACA">
        <w:t>R</w:t>
      </w:r>
      <w:r w:rsidR="009C2F7D" w:rsidRPr="00245ACA">
        <w:t>egulation</w:t>
      </w:r>
      <w:r w:rsidR="00245ACA" w:rsidRPr="00245ACA">
        <w:t> </w:t>
      </w:r>
      <w:r w:rsidR="001D2A16" w:rsidRPr="00245ACA">
        <w:t>5</w:t>
      </w:r>
    </w:p>
    <w:p w:rsidR="007D751E" w:rsidRPr="00245ACA" w:rsidRDefault="007D751E" w:rsidP="009C2F7D">
      <w:pPr>
        <w:pStyle w:val="Item"/>
      </w:pPr>
      <w:r w:rsidRPr="00245ACA">
        <w:t xml:space="preserve">Repeal the </w:t>
      </w:r>
      <w:r w:rsidR="001D2A16" w:rsidRPr="00245ACA">
        <w:t>regulation.</w:t>
      </w:r>
    </w:p>
    <w:p w:rsidR="007D751E" w:rsidRPr="00245ACA" w:rsidRDefault="005F766C" w:rsidP="001D2A16">
      <w:pPr>
        <w:pStyle w:val="ItemHead"/>
      </w:pPr>
      <w:r w:rsidRPr="00245ACA">
        <w:t>6</w:t>
      </w:r>
      <w:r w:rsidR="001D2A16" w:rsidRPr="00245ACA">
        <w:t xml:space="preserve">  Subregulation</w:t>
      </w:r>
      <w:r w:rsidR="00245ACA" w:rsidRPr="00245ACA">
        <w:t> </w:t>
      </w:r>
      <w:r w:rsidR="001D2A16" w:rsidRPr="00245ACA">
        <w:t>6(1)</w:t>
      </w:r>
    </w:p>
    <w:p w:rsidR="001D2A16" w:rsidRPr="00245ACA" w:rsidRDefault="005236A2" w:rsidP="001D2A16">
      <w:pPr>
        <w:pStyle w:val="Item"/>
      </w:pPr>
      <w:r w:rsidRPr="00245ACA">
        <w:t xml:space="preserve">Omit all the words before </w:t>
      </w:r>
      <w:r w:rsidR="00245ACA" w:rsidRPr="00245ACA">
        <w:t>paragraph (</w:t>
      </w:r>
      <w:r w:rsidRPr="00245ACA">
        <w:t xml:space="preserve">a), </w:t>
      </w:r>
      <w:r w:rsidR="001D2A16" w:rsidRPr="00245ACA">
        <w:t>substitute:</w:t>
      </w:r>
    </w:p>
    <w:p w:rsidR="00AC7467" w:rsidRPr="00245ACA" w:rsidRDefault="00AC7467" w:rsidP="00AC7467">
      <w:pPr>
        <w:pStyle w:val="subsection"/>
      </w:pPr>
      <w:r w:rsidRPr="00245ACA">
        <w:tab/>
        <w:t>(1)</w:t>
      </w:r>
      <w:r w:rsidRPr="00245ACA">
        <w:tab/>
        <w:t xml:space="preserve">For the definition of </w:t>
      </w:r>
      <w:r w:rsidRPr="00245ACA">
        <w:rPr>
          <w:b/>
          <w:i/>
        </w:rPr>
        <w:t>prescribed radiation facility</w:t>
      </w:r>
      <w:r w:rsidRPr="00245ACA">
        <w:t xml:space="preserve"> in section</w:t>
      </w:r>
      <w:r w:rsidR="00245ACA" w:rsidRPr="00245ACA">
        <w:t> </w:t>
      </w:r>
      <w:r w:rsidRPr="00245ACA">
        <w:t xml:space="preserve">13 of the Act, the following facilities </w:t>
      </w:r>
      <w:r w:rsidR="004D09AA" w:rsidRPr="00245ACA">
        <w:t>and</w:t>
      </w:r>
      <w:r w:rsidRPr="00245ACA">
        <w:t xml:space="preserve"> installations are prescribed:</w:t>
      </w:r>
    </w:p>
    <w:p w:rsidR="005236A2" w:rsidRPr="00245ACA" w:rsidRDefault="005F766C" w:rsidP="005236A2">
      <w:pPr>
        <w:pStyle w:val="ItemHead"/>
      </w:pPr>
      <w:r w:rsidRPr="00245ACA">
        <w:t>7</w:t>
      </w:r>
      <w:r w:rsidR="005236A2" w:rsidRPr="00245ACA">
        <w:t xml:space="preserve">  At the end of subregulation</w:t>
      </w:r>
      <w:r w:rsidR="00245ACA" w:rsidRPr="00245ACA">
        <w:t> </w:t>
      </w:r>
      <w:r w:rsidR="005236A2" w:rsidRPr="00245ACA">
        <w:t>6(1)</w:t>
      </w:r>
    </w:p>
    <w:p w:rsidR="005236A2" w:rsidRPr="00245ACA" w:rsidRDefault="005236A2" w:rsidP="005236A2">
      <w:pPr>
        <w:pStyle w:val="Item"/>
      </w:pPr>
      <w:r w:rsidRPr="00245ACA">
        <w:t>Add:</w:t>
      </w:r>
    </w:p>
    <w:p w:rsidR="001D2A16" w:rsidRPr="00245ACA" w:rsidRDefault="00A75F0D" w:rsidP="00A75F0D">
      <w:pPr>
        <w:pStyle w:val="notetext"/>
      </w:pPr>
      <w:r w:rsidRPr="00245ACA">
        <w:t>Note:</w:t>
      </w:r>
      <w:r w:rsidRPr="00245ACA">
        <w:tab/>
        <w:t xml:space="preserve">A prescribed radiation facility is a controlled facility, see the definition of </w:t>
      </w:r>
      <w:r w:rsidRPr="00245ACA">
        <w:rPr>
          <w:b/>
          <w:i/>
        </w:rPr>
        <w:t>controlled facility</w:t>
      </w:r>
      <w:r w:rsidRPr="00245ACA">
        <w:t xml:space="preserve"> in section</w:t>
      </w:r>
      <w:r w:rsidR="00245ACA" w:rsidRPr="00245ACA">
        <w:t> </w:t>
      </w:r>
      <w:r w:rsidRPr="00245ACA">
        <w:t>13 of the Act.</w:t>
      </w:r>
    </w:p>
    <w:p w:rsidR="00CB6702" w:rsidRPr="00245ACA" w:rsidRDefault="005F766C" w:rsidP="004139E5">
      <w:pPr>
        <w:pStyle w:val="ItemHead"/>
      </w:pPr>
      <w:r w:rsidRPr="00245ACA">
        <w:t>8</w:t>
      </w:r>
      <w:r w:rsidR="00CB6702" w:rsidRPr="00245ACA">
        <w:t xml:space="preserve">  After regulation</w:t>
      </w:r>
      <w:r w:rsidR="00245ACA" w:rsidRPr="00245ACA">
        <w:t> </w:t>
      </w:r>
      <w:r w:rsidR="00CB6702" w:rsidRPr="00245ACA">
        <w:t>6</w:t>
      </w:r>
    </w:p>
    <w:p w:rsidR="00CB6702" w:rsidRPr="00245ACA" w:rsidRDefault="00CB6702" w:rsidP="00CB6702">
      <w:pPr>
        <w:pStyle w:val="Item"/>
      </w:pPr>
      <w:r w:rsidRPr="00245ACA">
        <w:t>Insert:</w:t>
      </w:r>
    </w:p>
    <w:p w:rsidR="00CB6702" w:rsidRPr="00245ACA" w:rsidRDefault="00CB6702" w:rsidP="00CB6702">
      <w:pPr>
        <w:pStyle w:val="ActHead5"/>
      </w:pPr>
      <w:bookmarkStart w:id="15" w:name="_Toc447706662"/>
      <w:r w:rsidRPr="00245ACA">
        <w:rPr>
          <w:rStyle w:val="CharSectno"/>
        </w:rPr>
        <w:t>6AA</w:t>
      </w:r>
      <w:r w:rsidRPr="00245ACA">
        <w:t xml:space="preserve">  Prescribed legacy site</w:t>
      </w:r>
      <w:bookmarkEnd w:id="15"/>
    </w:p>
    <w:p w:rsidR="00CB6702" w:rsidRPr="00245ACA" w:rsidRDefault="00CB6702" w:rsidP="00CB6702">
      <w:pPr>
        <w:pStyle w:val="subsection"/>
      </w:pPr>
      <w:r w:rsidRPr="00245ACA">
        <w:tab/>
      </w:r>
      <w:r w:rsidRPr="00245ACA">
        <w:tab/>
        <w:t xml:space="preserve">For the definition of </w:t>
      </w:r>
      <w:r w:rsidRPr="00245ACA">
        <w:rPr>
          <w:b/>
          <w:i/>
        </w:rPr>
        <w:t>prescribed legacy site</w:t>
      </w:r>
      <w:r w:rsidRPr="00245ACA">
        <w:t xml:space="preserve"> in section</w:t>
      </w:r>
      <w:r w:rsidR="00245ACA" w:rsidRPr="00245ACA">
        <w:t> </w:t>
      </w:r>
      <w:r w:rsidRPr="00245ACA">
        <w:t>13 of the Act, the place known as the Little Forest Legacy Site</w:t>
      </w:r>
      <w:r w:rsidR="00D4293B" w:rsidRPr="00245ACA">
        <w:t xml:space="preserve">, as shown labelled as “LFLS” on site plan drawing No. AO SK 127039 revision G dated </w:t>
      </w:r>
      <w:r w:rsidR="00E07764" w:rsidRPr="00245ACA">
        <w:t>1</w:t>
      </w:r>
      <w:r w:rsidR="00245ACA" w:rsidRPr="00245ACA">
        <w:t> </w:t>
      </w:r>
      <w:r w:rsidR="006E65EA" w:rsidRPr="00245ACA">
        <w:t>July 2015,</w:t>
      </w:r>
      <w:r w:rsidR="00D4293B" w:rsidRPr="00245ACA">
        <w:t xml:space="preserve"> Little Forest Road, Lucas Heights, in the local government area of Sutherland, Parish of </w:t>
      </w:r>
      <w:r w:rsidR="003A27CA" w:rsidRPr="00245ACA">
        <w:t>Holsworthy</w:t>
      </w:r>
      <w:r w:rsidR="00220D3F" w:rsidRPr="00245ACA">
        <w:t>,</w:t>
      </w:r>
      <w:r w:rsidR="00D4293B" w:rsidRPr="00245ACA">
        <w:t xml:space="preserve"> County of Cumberland, erected on part of the land contained in Certificate o</w:t>
      </w:r>
      <w:r w:rsidR="00956121" w:rsidRPr="00245ACA">
        <w:t>f Title folio identifier 1/106967</w:t>
      </w:r>
      <w:r w:rsidR="00D4293B" w:rsidRPr="00245ACA">
        <w:t xml:space="preserve">, is </w:t>
      </w:r>
      <w:r w:rsidR="00B12C45" w:rsidRPr="00245ACA">
        <w:t>prescribed</w:t>
      </w:r>
      <w:r w:rsidR="00D4293B" w:rsidRPr="00245ACA">
        <w:t>.</w:t>
      </w:r>
    </w:p>
    <w:p w:rsidR="00332F46" w:rsidRPr="00245ACA" w:rsidRDefault="00332F46" w:rsidP="00CB6702">
      <w:pPr>
        <w:pStyle w:val="notetext"/>
      </w:pPr>
      <w:r w:rsidRPr="00245ACA">
        <w:t>Note 1:</w:t>
      </w:r>
      <w:r w:rsidRPr="00245ACA">
        <w:tab/>
        <w:t>Site plan drawing No. AO SK 127039 revision G could in 2016 be viewed on the Australian Nuclear Science and Technology Organisation’s website (http://www.ansto.gov.au).</w:t>
      </w:r>
    </w:p>
    <w:p w:rsidR="00CB6702" w:rsidRPr="00245ACA" w:rsidRDefault="00CB6702" w:rsidP="00CB6702">
      <w:pPr>
        <w:pStyle w:val="notetext"/>
      </w:pPr>
      <w:r w:rsidRPr="00245ACA">
        <w:t>Note</w:t>
      </w:r>
      <w:r w:rsidR="00332F46" w:rsidRPr="00245ACA">
        <w:t xml:space="preserve"> 2</w:t>
      </w:r>
      <w:r w:rsidRPr="00245ACA">
        <w:t>:</w:t>
      </w:r>
      <w:r w:rsidRPr="00245ACA">
        <w:tab/>
        <w:t>The Little Forest Legacy Site was previously known as the Little Forest Burial Ground.</w:t>
      </w:r>
    </w:p>
    <w:p w:rsidR="00D865F7" w:rsidRPr="00245ACA" w:rsidRDefault="00332F46" w:rsidP="00CB6702">
      <w:pPr>
        <w:pStyle w:val="notetext"/>
      </w:pPr>
      <w:r w:rsidRPr="00245ACA">
        <w:t>Note 3</w:t>
      </w:r>
      <w:r w:rsidR="00D865F7" w:rsidRPr="00245ACA">
        <w:t>:</w:t>
      </w:r>
      <w:r w:rsidR="00D865F7" w:rsidRPr="00245ACA">
        <w:tab/>
        <w:t xml:space="preserve">A prescribed legacy site is a controlled facility, see the definition of </w:t>
      </w:r>
      <w:r w:rsidR="00D865F7" w:rsidRPr="00245ACA">
        <w:rPr>
          <w:b/>
          <w:i/>
        </w:rPr>
        <w:t>controlled facility</w:t>
      </w:r>
      <w:r w:rsidR="00D865F7" w:rsidRPr="00245ACA">
        <w:t xml:space="preserve"> in section</w:t>
      </w:r>
      <w:r w:rsidR="00245ACA" w:rsidRPr="00245ACA">
        <w:t> </w:t>
      </w:r>
      <w:r w:rsidR="00D865F7" w:rsidRPr="00245ACA">
        <w:t>13 of the Act.</w:t>
      </w:r>
    </w:p>
    <w:p w:rsidR="0002236D" w:rsidRPr="00245ACA" w:rsidRDefault="005F766C" w:rsidP="00C612EB">
      <w:pPr>
        <w:pStyle w:val="ItemHead"/>
      </w:pPr>
      <w:r w:rsidRPr="00245ACA">
        <w:t>9</w:t>
      </w:r>
      <w:r w:rsidR="0002236D" w:rsidRPr="00245ACA">
        <w:t xml:space="preserve">  Subregulation</w:t>
      </w:r>
      <w:r w:rsidR="00B53FF7" w:rsidRPr="00245ACA">
        <w:t>s</w:t>
      </w:r>
      <w:r w:rsidR="00245ACA" w:rsidRPr="00245ACA">
        <w:t> </w:t>
      </w:r>
      <w:r w:rsidR="0002236D" w:rsidRPr="00245ACA">
        <w:t>30(2)</w:t>
      </w:r>
      <w:r w:rsidR="00B53FF7" w:rsidRPr="00245ACA">
        <w:t>, 31(1)</w:t>
      </w:r>
      <w:r w:rsidR="00507C0D" w:rsidRPr="00245ACA">
        <w:t xml:space="preserve">, </w:t>
      </w:r>
      <w:r w:rsidR="00B53FF7" w:rsidRPr="00245ACA">
        <w:t>(2)</w:t>
      </w:r>
      <w:r w:rsidR="009F43B2" w:rsidRPr="00245ACA">
        <w:t xml:space="preserve"> and 35(2)</w:t>
      </w:r>
    </w:p>
    <w:p w:rsidR="0002236D" w:rsidRPr="00245ACA" w:rsidRDefault="0002236D" w:rsidP="0002236D">
      <w:pPr>
        <w:pStyle w:val="Item"/>
      </w:pPr>
      <w:r w:rsidRPr="00245ACA">
        <w:t>Omit “or the Council”.</w:t>
      </w:r>
    </w:p>
    <w:p w:rsidR="00E96F42" w:rsidRPr="00245ACA" w:rsidRDefault="005F766C" w:rsidP="00C612EB">
      <w:pPr>
        <w:pStyle w:val="ItemHead"/>
      </w:pPr>
      <w:r w:rsidRPr="00245ACA">
        <w:t>10</w:t>
      </w:r>
      <w:r w:rsidR="00E96F42" w:rsidRPr="00245ACA">
        <w:t xml:space="preserve">  Subregulation</w:t>
      </w:r>
      <w:r w:rsidR="00245ACA" w:rsidRPr="00245ACA">
        <w:t> </w:t>
      </w:r>
      <w:r w:rsidR="00E96F42" w:rsidRPr="00245ACA">
        <w:t>35(3)</w:t>
      </w:r>
    </w:p>
    <w:p w:rsidR="00E96F42" w:rsidRPr="00245ACA" w:rsidRDefault="00E96F42" w:rsidP="00E96F42">
      <w:pPr>
        <w:pStyle w:val="Item"/>
      </w:pPr>
      <w:r w:rsidRPr="00245ACA">
        <w:t>Omit “and to the Chair of the Council”.</w:t>
      </w:r>
    </w:p>
    <w:p w:rsidR="003506BC" w:rsidRPr="00245ACA" w:rsidRDefault="005F766C" w:rsidP="00C612EB">
      <w:pPr>
        <w:pStyle w:val="ItemHead"/>
      </w:pPr>
      <w:r w:rsidRPr="00245ACA">
        <w:t>11</w:t>
      </w:r>
      <w:r w:rsidR="003506BC" w:rsidRPr="00245ACA">
        <w:t xml:space="preserve">  Subregulation</w:t>
      </w:r>
      <w:r w:rsidR="00E06B0A" w:rsidRPr="00245ACA">
        <w:t>s</w:t>
      </w:r>
      <w:r w:rsidR="00245ACA" w:rsidRPr="00245ACA">
        <w:t> </w:t>
      </w:r>
      <w:r w:rsidR="003506BC" w:rsidRPr="00245ACA">
        <w:t>37(1)</w:t>
      </w:r>
      <w:r w:rsidR="00E06B0A" w:rsidRPr="00245ACA">
        <w:t xml:space="preserve"> and (4)</w:t>
      </w:r>
    </w:p>
    <w:p w:rsidR="003506BC" w:rsidRPr="00245ACA" w:rsidRDefault="003506BC" w:rsidP="003506BC">
      <w:pPr>
        <w:pStyle w:val="Item"/>
      </w:pPr>
      <w:r w:rsidRPr="00245ACA">
        <w:t>Omit “(d) or (e)”, substitute “(d), (e) or (ea)”.</w:t>
      </w:r>
    </w:p>
    <w:p w:rsidR="00C612EB" w:rsidRPr="00245ACA" w:rsidRDefault="005F766C" w:rsidP="00C612EB">
      <w:pPr>
        <w:pStyle w:val="ItemHead"/>
      </w:pPr>
      <w:r w:rsidRPr="00245ACA">
        <w:t>12</w:t>
      </w:r>
      <w:r w:rsidR="00C612EB" w:rsidRPr="00245ACA">
        <w:t xml:space="preserve">  After regulation</w:t>
      </w:r>
      <w:r w:rsidR="00245ACA" w:rsidRPr="00245ACA">
        <w:t> </w:t>
      </w:r>
      <w:r w:rsidR="00C612EB" w:rsidRPr="00245ACA">
        <w:t>40C</w:t>
      </w:r>
    </w:p>
    <w:p w:rsidR="00C612EB" w:rsidRPr="00245ACA" w:rsidRDefault="00C612EB" w:rsidP="00C612EB">
      <w:pPr>
        <w:pStyle w:val="Item"/>
      </w:pPr>
      <w:r w:rsidRPr="00245ACA">
        <w:t>Insert:</w:t>
      </w:r>
    </w:p>
    <w:p w:rsidR="00C612EB" w:rsidRPr="00245ACA" w:rsidRDefault="00C612EB" w:rsidP="00C612EB">
      <w:pPr>
        <w:pStyle w:val="ActHead5"/>
      </w:pPr>
      <w:bookmarkStart w:id="16" w:name="_Toc447706663"/>
      <w:r w:rsidRPr="00245ACA">
        <w:rPr>
          <w:rStyle w:val="CharSectno"/>
        </w:rPr>
        <w:t>40CA</w:t>
      </w:r>
      <w:r w:rsidRPr="00245ACA">
        <w:t xml:space="preserve">  Facility licences—prescribed legacy sites</w:t>
      </w:r>
      <w:bookmarkEnd w:id="16"/>
    </w:p>
    <w:p w:rsidR="00C612EB" w:rsidRPr="00245ACA" w:rsidRDefault="00C612EB" w:rsidP="00C612EB">
      <w:pPr>
        <w:pStyle w:val="subsection"/>
      </w:pPr>
      <w:r w:rsidRPr="00245ACA">
        <w:tab/>
        <w:t>(1)</w:t>
      </w:r>
      <w:r w:rsidRPr="00245ACA">
        <w:tab/>
        <w:t>This regulation applies to an application for a facility licence that authorises persons to do a thing mentioned in an item in the table in clause</w:t>
      </w:r>
      <w:r w:rsidR="00245ACA" w:rsidRPr="00245ACA">
        <w:t> </w:t>
      </w:r>
      <w:r w:rsidRPr="00245ACA">
        <w:t>1 of Schedule</w:t>
      </w:r>
      <w:r w:rsidR="00245ACA" w:rsidRPr="00245ACA">
        <w:t> </w:t>
      </w:r>
      <w:r w:rsidRPr="00245ACA">
        <w:t>3BA in relation to a controlled facility that is a prescribed legacy site.</w:t>
      </w:r>
    </w:p>
    <w:p w:rsidR="00C612EB" w:rsidRPr="00245ACA" w:rsidRDefault="00C612EB" w:rsidP="00C612EB">
      <w:pPr>
        <w:pStyle w:val="subsection"/>
      </w:pPr>
      <w:r w:rsidRPr="00245ACA">
        <w:tab/>
        <w:t>(2)</w:t>
      </w:r>
      <w:r w:rsidRPr="00245ACA">
        <w:tab/>
        <w:t>The amount of the application fee for the licence is the amount mentioned in the item.</w:t>
      </w:r>
    </w:p>
    <w:p w:rsidR="008F38CD" w:rsidRPr="00245ACA" w:rsidRDefault="005F766C" w:rsidP="006D14D1">
      <w:pPr>
        <w:pStyle w:val="ItemHead"/>
        <w:tabs>
          <w:tab w:val="left" w:pos="6663"/>
        </w:tabs>
      </w:pPr>
      <w:r w:rsidRPr="00245ACA">
        <w:t>13</w:t>
      </w:r>
      <w:r w:rsidR="008F38CD" w:rsidRPr="00245ACA">
        <w:t xml:space="preserve">  Paragraph 48(3)(b)</w:t>
      </w:r>
    </w:p>
    <w:p w:rsidR="008F38CD" w:rsidRPr="00245ACA" w:rsidRDefault="008F38CD" w:rsidP="008F38CD">
      <w:pPr>
        <w:pStyle w:val="Item"/>
      </w:pPr>
      <w:r w:rsidRPr="00245ACA">
        <w:t>Repeal the paragraph.</w:t>
      </w:r>
    </w:p>
    <w:p w:rsidR="001D33F6" w:rsidRPr="00245ACA" w:rsidRDefault="005F766C" w:rsidP="006D14D1">
      <w:pPr>
        <w:pStyle w:val="ItemHead"/>
        <w:tabs>
          <w:tab w:val="left" w:pos="6663"/>
        </w:tabs>
      </w:pPr>
      <w:r w:rsidRPr="00245ACA">
        <w:t>14</w:t>
      </w:r>
      <w:r w:rsidR="001D33F6" w:rsidRPr="00245ACA">
        <w:t xml:space="preserve">  Regulat</w:t>
      </w:r>
      <w:r w:rsidR="00DB5485" w:rsidRPr="00245ACA">
        <w:t>i</w:t>
      </w:r>
      <w:r w:rsidR="001D33F6" w:rsidRPr="00245ACA">
        <w:t>on</w:t>
      </w:r>
      <w:r w:rsidR="00245ACA" w:rsidRPr="00245ACA">
        <w:t> </w:t>
      </w:r>
      <w:r w:rsidR="001D33F6" w:rsidRPr="00245ACA">
        <w:t>65</w:t>
      </w:r>
    </w:p>
    <w:p w:rsidR="001D33F6" w:rsidRPr="00245ACA" w:rsidRDefault="001D33F6" w:rsidP="001D33F6">
      <w:pPr>
        <w:pStyle w:val="Item"/>
      </w:pPr>
      <w:r w:rsidRPr="00245ACA">
        <w:t>Omit “paragraph</w:t>
      </w:r>
      <w:r w:rsidR="00245ACA" w:rsidRPr="00245ACA">
        <w:t> </w:t>
      </w:r>
      <w:r w:rsidRPr="00245ACA">
        <w:t>84(3)(b)</w:t>
      </w:r>
      <w:r w:rsidR="00BD279E" w:rsidRPr="00245ACA">
        <w:t>”, substitute “subsection</w:t>
      </w:r>
      <w:r w:rsidR="00245ACA" w:rsidRPr="00245ACA">
        <w:t> </w:t>
      </w:r>
      <w:r w:rsidR="00BD279E" w:rsidRPr="00245ACA">
        <w:t>84(3)”.</w:t>
      </w:r>
    </w:p>
    <w:p w:rsidR="00FD050C" w:rsidRPr="00245ACA" w:rsidRDefault="005F766C" w:rsidP="006D14D1">
      <w:pPr>
        <w:pStyle w:val="ItemHead"/>
        <w:tabs>
          <w:tab w:val="left" w:pos="6663"/>
        </w:tabs>
      </w:pPr>
      <w:r w:rsidRPr="00245ACA">
        <w:t>15</w:t>
      </w:r>
      <w:r w:rsidR="00FD050C" w:rsidRPr="00245ACA">
        <w:t xml:space="preserve">  Paragraph 66(2)(b)</w:t>
      </w:r>
    </w:p>
    <w:p w:rsidR="00FD050C" w:rsidRPr="00245ACA" w:rsidRDefault="00FD050C" w:rsidP="00FD050C">
      <w:pPr>
        <w:pStyle w:val="Item"/>
      </w:pPr>
      <w:r w:rsidRPr="00245ACA">
        <w:t>Omit “90 days”, substitute “28 days”.</w:t>
      </w:r>
    </w:p>
    <w:p w:rsidR="00047D1A" w:rsidRPr="00245ACA" w:rsidRDefault="005F766C" w:rsidP="006D14D1">
      <w:pPr>
        <w:pStyle w:val="ItemHead"/>
        <w:tabs>
          <w:tab w:val="left" w:pos="6663"/>
        </w:tabs>
      </w:pPr>
      <w:r w:rsidRPr="00245ACA">
        <w:t>16</w:t>
      </w:r>
      <w:r w:rsidR="00047D1A" w:rsidRPr="00245ACA">
        <w:t xml:space="preserve">  After Part</w:t>
      </w:r>
      <w:r w:rsidR="00245ACA" w:rsidRPr="00245ACA">
        <w:t> </w:t>
      </w:r>
      <w:r w:rsidR="00047D1A" w:rsidRPr="00245ACA">
        <w:t>7</w:t>
      </w:r>
    </w:p>
    <w:p w:rsidR="00047D1A" w:rsidRPr="00245ACA" w:rsidRDefault="00047D1A" w:rsidP="00047D1A">
      <w:pPr>
        <w:pStyle w:val="Item"/>
      </w:pPr>
      <w:r w:rsidRPr="00245ACA">
        <w:t>Insert:</w:t>
      </w:r>
    </w:p>
    <w:p w:rsidR="00047D1A" w:rsidRPr="00245ACA" w:rsidRDefault="00047D1A" w:rsidP="00047D1A">
      <w:pPr>
        <w:pStyle w:val="ActHead2"/>
      </w:pPr>
      <w:bookmarkStart w:id="17" w:name="f_Check_Lines_above"/>
      <w:bookmarkStart w:id="18" w:name="_Toc447706664"/>
      <w:bookmarkEnd w:id="17"/>
      <w:r w:rsidRPr="00245ACA">
        <w:rPr>
          <w:rStyle w:val="CharPartNo"/>
        </w:rPr>
        <w:t>Part</w:t>
      </w:r>
      <w:r w:rsidR="00245ACA" w:rsidRPr="00245ACA">
        <w:rPr>
          <w:rStyle w:val="CharPartNo"/>
        </w:rPr>
        <w:t> </w:t>
      </w:r>
      <w:r w:rsidRPr="00245ACA">
        <w:rPr>
          <w:rStyle w:val="CharPartNo"/>
        </w:rPr>
        <w:t>8</w:t>
      </w:r>
      <w:r w:rsidRPr="00245ACA">
        <w:t>—</w:t>
      </w:r>
      <w:r w:rsidRPr="00245ACA">
        <w:rPr>
          <w:rStyle w:val="CharPartText"/>
        </w:rPr>
        <w:t>Application and transitional provisions</w:t>
      </w:r>
      <w:bookmarkEnd w:id="18"/>
    </w:p>
    <w:p w:rsidR="008347AA" w:rsidRPr="00245ACA" w:rsidRDefault="008347AA" w:rsidP="008347AA">
      <w:pPr>
        <w:pStyle w:val="Header"/>
      </w:pPr>
      <w:r w:rsidRPr="00245ACA">
        <w:rPr>
          <w:rStyle w:val="CharDivNo"/>
        </w:rPr>
        <w:t xml:space="preserve"> </w:t>
      </w:r>
      <w:r w:rsidRPr="00245ACA">
        <w:rPr>
          <w:rStyle w:val="CharDivText"/>
        </w:rPr>
        <w:t xml:space="preserve"> </w:t>
      </w:r>
    </w:p>
    <w:p w:rsidR="00047D1A" w:rsidRPr="00245ACA" w:rsidRDefault="00047D1A" w:rsidP="00047D1A">
      <w:pPr>
        <w:pStyle w:val="ActHead5"/>
      </w:pPr>
      <w:bookmarkStart w:id="19" w:name="_Toc447706665"/>
      <w:r w:rsidRPr="00245ACA">
        <w:rPr>
          <w:rStyle w:val="CharSectno"/>
        </w:rPr>
        <w:t>67</w:t>
      </w:r>
      <w:r w:rsidRPr="00245ACA">
        <w:t xml:space="preserve">  Amendments made by the Australian Radiation Protection and Nuclear Safety Amendment (2016 Measures No.</w:t>
      </w:r>
      <w:r w:rsidR="00245ACA" w:rsidRPr="00245ACA">
        <w:t> </w:t>
      </w:r>
      <w:r w:rsidRPr="00245ACA">
        <w:t>1) Regulation</w:t>
      </w:r>
      <w:r w:rsidR="00245ACA" w:rsidRPr="00245ACA">
        <w:t> </w:t>
      </w:r>
      <w:r w:rsidRPr="00245ACA">
        <w:t>2016</w:t>
      </w:r>
      <w:bookmarkEnd w:id="19"/>
    </w:p>
    <w:p w:rsidR="00047D1A" w:rsidRPr="00245ACA" w:rsidRDefault="00047D1A" w:rsidP="00047D1A">
      <w:pPr>
        <w:pStyle w:val="subsection"/>
      </w:pPr>
      <w:r w:rsidRPr="00245ACA">
        <w:tab/>
      </w:r>
      <w:r w:rsidRPr="00245ACA">
        <w:tab/>
      </w:r>
      <w:r w:rsidR="0053129C" w:rsidRPr="00245ACA">
        <w:t xml:space="preserve">The amendment made by </w:t>
      </w:r>
      <w:r w:rsidRPr="00245ACA">
        <w:t>item</w:t>
      </w:r>
      <w:r w:rsidR="00245ACA" w:rsidRPr="00245ACA">
        <w:t> </w:t>
      </w:r>
      <w:r w:rsidR="0053129C" w:rsidRPr="00245ACA">
        <w:t>14</w:t>
      </w:r>
      <w:r w:rsidRPr="00245ACA">
        <w:t xml:space="preserve"> of Schedule</w:t>
      </w:r>
      <w:r w:rsidR="00245ACA" w:rsidRPr="00245ACA">
        <w:t> </w:t>
      </w:r>
      <w:r w:rsidRPr="00245ACA">
        <w:t xml:space="preserve">1 to the </w:t>
      </w:r>
      <w:r w:rsidRPr="00245ACA">
        <w:rPr>
          <w:i/>
        </w:rPr>
        <w:t>Australian Radiation Protection and Nuclear Safety Amendment (2016 Measures No.</w:t>
      </w:r>
      <w:r w:rsidR="00245ACA" w:rsidRPr="00245ACA">
        <w:rPr>
          <w:i/>
        </w:rPr>
        <w:t> </w:t>
      </w:r>
      <w:r w:rsidRPr="00245ACA">
        <w:rPr>
          <w:i/>
        </w:rPr>
        <w:t>1) Regulation</w:t>
      </w:r>
      <w:r w:rsidR="00245ACA" w:rsidRPr="00245ACA">
        <w:rPr>
          <w:i/>
        </w:rPr>
        <w:t> </w:t>
      </w:r>
      <w:r w:rsidRPr="00245ACA">
        <w:rPr>
          <w:i/>
        </w:rPr>
        <w:t>2016</w:t>
      </w:r>
      <w:r w:rsidRPr="00245ACA">
        <w:t xml:space="preserve"> applies in relation to a decision of the CEO that is made on or after 1</w:t>
      </w:r>
      <w:r w:rsidR="00245ACA" w:rsidRPr="00245ACA">
        <w:t> </w:t>
      </w:r>
      <w:r w:rsidRPr="00245ACA">
        <w:t>July 2016.</w:t>
      </w:r>
    </w:p>
    <w:p w:rsidR="009E683E" w:rsidRPr="00245ACA" w:rsidRDefault="005F766C" w:rsidP="006D14D1">
      <w:pPr>
        <w:pStyle w:val="ItemHead"/>
        <w:tabs>
          <w:tab w:val="left" w:pos="6663"/>
        </w:tabs>
      </w:pPr>
      <w:r w:rsidRPr="00245ACA">
        <w:t>17</w:t>
      </w:r>
      <w:r w:rsidR="009E683E" w:rsidRPr="00245ACA">
        <w:t xml:space="preserve">  Clause</w:t>
      </w:r>
      <w:r w:rsidR="00245ACA" w:rsidRPr="00245ACA">
        <w:t> </w:t>
      </w:r>
      <w:r w:rsidR="009E683E" w:rsidRPr="00245ACA">
        <w:t>1 of Schedule</w:t>
      </w:r>
      <w:r w:rsidR="00245ACA" w:rsidRPr="00245ACA">
        <w:t> </w:t>
      </w:r>
      <w:r w:rsidR="009E683E" w:rsidRPr="00245ACA">
        <w:t>1 (table items</w:t>
      </w:r>
      <w:r w:rsidR="00245ACA" w:rsidRPr="00245ACA">
        <w:t> </w:t>
      </w:r>
      <w:r w:rsidR="009E683E" w:rsidRPr="00245ACA">
        <w:t>1 and 2)</w:t>
      </w:r>
    </w:p>
    <w:p w:rsidR="009E683E" w:rsidRPr="00245ACA" w:rsidRDefault="009E683E" w:rsidP="009E683E">
      <w:pPr>
        <w:pStyle w:val="Item"/>
      </w:pPr>
      <w:r w:rsidRPr="00245ACA">
        <w:t>Repeal the items, substitute:</w:t>
      </w:r>
    </w:p>
    <w:p w:rsidR="009E683E" w:rsidRPr="00245ACA" w:rsidRDefault="009E683E" w:rsidP="009E683E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9E683E" w:rsidRPr="00245ACA" w:rsidTr="009E683E">
        <w:tc>
          <w:tcPr>
            <w:tcW w:w="714" w:type="dxa"/>
            <w:shd w:val="clear" w:color="auto" w:fill="auto"/>
          </w:tcPr>
          <w:p w:rsidR="009E683E" w:rsidRPr="00245ACA" w:rsidRDefault="009E683E" w:rsidP="009E683E">
            <w:pPr>
              <w:pStyle w:val="Tabletext"/>
            </w:pPr>
            <w:r w:rsidRPr="00245ACA">
              <w:t>1</w:t>
            </w:r>
          </w:p>
        </w:tc>
        <w:tc>
          <w:tcPr>
            <w:tcW w:w="7599" w:type="dxa"/>
            <w:shd w:val="clear" w:color="auto" w:fill="auto"/>
          </w:tcPr>
          <w:p w:rsidR="009E683E" w:rsidRPr="00245ACA" w:rsidRDefault="009E683E" w:rsidP="00480C54">
            <w:pPr>
              <w:pStyle w:val="Tabletext"/>
            </w:pPr>
            <w:r w:rsidRPr="00245ACA">
              <w:t>The reference levels mentioned in the International Commission on Non</w:t>
            </w:r>
            <w:r w:rsidR="00245ACA">
              <w:noBreakHyphen/>
            </w:r>
            <w:r w:rsidR="00480C54" w:rsidRPr="00245ACA">
              <w:t>Ionizing Radiation Protection Guidelines for Limiting Exposure to T</w:t>
            </w:r>
            <w:r w:rsidRPr="00245ACA">
              <w:t>ime</w:t>
            </w:r>
            <w:r w:rsidR="00245ACA">
              <w:noBreakHyphen/>
            </w:r>
            <w:r w:rsidR="00480C54" w:rsidRPr="00245ACA">
              <w:t>V</w:t>
            </w:r>
            <w:r w:rsidRPr="00245ACA">
              <w:t xml:space="preserve">arying </w:t>
            </w:r>
            <w:r w:rsidR="00480C54" w:rsidRPr="00245ACA">
              <w:t>Electric and Magnetic F</w:t>
            </w:r>
            <w:r w:rsidRPr="00245ACA">
              <w:t xml:space="preserve">ields (1 Hz to 100 kHz), published in </w:t>
            </w:r>
            <w:r w:rsidRPr="00245ACA">
              <w:rPr>
                <w:i/>
              </w:rPr>
              <w:t>Health Physics</w:t>
            </w:r>
            <w:r w:rsidRPr="00245ACA">
              <w:t xml:space="preserve"> 99(6):818</w:t>
            </w:r>
            <w:r w:rsidR="00245ACA">
              <w:noBreakHyphen/>
            </w:r>
            <w:r w:rsidRPr="00245ACA">
              <w:t>836; 2010.</w:t>
            </w:r>
          </w:p>
        </w:tc>
      </w:tr>
    </w:tbl>
    <w:p w:rsidR="009E683E" w:rsidRPr="00245ACA" w:rsidRDefault="009E683E" w:rsidP="009E683E">
      <w:pPr>
        <w:pStyle w:val="Tabletext"/>
      </w:pPr>
    </w:p>
    <w:p w:rsidR="00E46B12" w:rsidRPr="00245ACA" w:rsidRDefault="005F766C" w:rsidP="006D14D1">
      <w:pPr>
        <w:pStyle w:val="ItemHead"/>
        <w:tabs>
          <w:tab w:val="left" w:pos="6663"/>
        </w:tabs>
      </w:pPr>
      <w:r w:rsidRPr="00245ACA">
        <w:t>18</w:t>
      </w:r>
      <w:r w:rsidR="00E46B12" w:rsidRPr="00245ACA">
        <w:t xml:space="preserve">  Clause</w:t>
      </w:r>
      <w:r w:rsidR="00245ACA" w:rsidRPr="00245ACA">
        <w:t> </w:t>
      </w:r>
      <w:r w:rsidR="00E46B12" w:rsidRPr="00245ACA">
        <w:t>1 of Schedule</w:t>
      </w:r>
      <w:r w:rsidR="00245ACA" w:rsidRPr="00245ACA">
        <w:t> </w:t>
      </w:r>
      <w:r w:rsidR="00E46B12" w:rsidRPr="00245ACA">
        <w:t>2 (table item</w:t>
      </w:r>
      <w:r w:rsidR="00245ACA" w:rsidRPr="00245ACA">
        <w:t> </w:t>
      </w:r>
      <w:r w:rsidR="00E46B12" w:rsidRPr="00245ACA">
        <w:t>8)</w:t>
      </w:r>
    </w:p>
    <w:p w:rsidR="00E46B12" w:rsidRPr="00245ACA" w:rsidRDefault="00E46B12" w:rsidP="00E46B12">
      <w:pPr>
        <w:pStyle w:val="Item"/>
      </w:pPr>
      <w:r w:rsidRPr="00245ACA">
        <w:t>Repeal the item.</w:t>
      </w:r>
    </w:p>
    <w:p w:rsidR="00E46B12" w:rsidRPr="00245ACA" w:rsidRDefault="005F766C" w:rsidP="00E46B12">
      <w:pPr>
        <w:pStyle w:val="ItemHead"/>
      </w:pPr>
      <w:r w:rsidRPr="00245ACA">
        <w:t>19</w:t>
      </w:r>
      <w:r w:rsidR="00E46B12" w:rsidRPr="00245ACA">
        <w:t xml:space="preserve">  Clause</w:t>
      </w:r>
      <w:r w:rsidR="00245ACA" w:rsidRPr="00245ACA">
        <w:t> </w:t>
      </w:r>
      <w:r w:rsidR="00E46B12" w:rsidRPr="00245ACA">
        <w:t>2 of Schedule</w:t>
      </w:r>
      <w:r w:rsidR="00245ACA" w:rsidRPr="00245ACA">
        <w:t> </w:t>
      </w:r>
      <w:r w:rsidR="00E46B12" w:rsidRPr="00245ACA">
        <w:t>2 (table item</w:t>
      </w:r>
      <w:r w:rsidR="00245ACA" w:rsidRPr="00245ACA">
        <w:t> </w:t>
      </w:r>
      <w:r w:rsidR="00E46B12" w:rsidRPr="00245ACA">
        <w:t>6)</w:t>
      </w:r>
    </w:p>
    <w:p w:rsidR="00E46B12" w:rsidRPr="00245ACA" w:rsidRDefault="00E46B12" w:rsidP="00E46B12">
      <w:pPr>
        <w:pStyle w:val="Item"/>
      </w:pPr>
      <w:r w:rsidRPr="00245ACA">
        <w:t>Omit “Ne</w:t>
      </w:r>
      <w:r w:rsidR="00245ACA">
        <w:noBreakHyphen/>
      </w:r>
      <w:r w:rsidRPr="00245ACA">
        <w:t>13”, substitute “N</w:t>
      </w:r>
      <w:r w:rsidR="00245ACA">
        <w:noBreakHyphen/>
      </w:r>
      <w:r w:rsidRPr="00245ACA">
        <w:t>13”.</w:t>
      </w:r>
    </w:p>
    <w:p w:rsidR="00EC2F44" w:rsidRPr="00245ACA" w:rsidRDefault="005F766C" w:rsidP="00EC2F44">
      <w:pPr>
        <w:pStyle w:val="ItemHead"/>
      </w:pPr>
      <w:r w:rsidRPr="00245ACA">
        <w:t>20</w:t>
      </w:r>
      <w:r w:rsidR="00EC2F44" w:rsidRPr="00245ACA">
        <w:t xml:space="preserve">  After Schedule</w:t>
      </w:r>
      <w:r w:rsidR="00245ACA" w:rsidRPr="00245ACA">
        <w:t> </w:t>
      </w:r>
      <w:r w:rsidR="00EC2F44" w:rsidRPr="00245ACA">
        <w:t>3B</w:t>
      </w:r>
    </w:p>
    <w:p w:rsidR="00EC2F44" w:rsidRPr="00245ACA" w:rsidRDefault="00EC2F44" w:rsidP="00EC2F44">
      <w:pPr>
        <w:pStyle w:val="Item"/>
      </w:pPr>
      <w:r w:rsidRPr="00245ACA">
        <w:t>Insert:</w:t>
      </w:r>
    </w:p>
    <w:p w:rsidR="00EC2F44" w:rsidRPr="00245ACA" w:rsidRDefault="00EC2F44" w:rsidP="00EC2F44">
      <w:pPr>
        <w:pStyle w:val="ActHead1"/>
      </w:pPr>
      <w:bookmarkStart w:id="20" w:name="_Toc447706666"/>
      <w:r w:rsidRPr="00245ACA">
        <w:rPr>
          <w:rStyle w:val="CharChapNo"/>
        </w:rPr>
        <w:t>Schedule</w:t>
      </w:r>
      <w:r w:rsidR="00245ACA" w:rsidRPr="00245ACA">
        <w:rPr>
          <w:rStyle w:val="CharChapNo"/>
        </w:rPr>
        <w:t> </w:t>
      </w:r>
      <w:r w:rsidRPr="00245ACA">
        <w:rPr>
          <w:rStyle w:val="CharChapNo"/>
        </w:rPr>
        <w:t>3BA</w:t>
      </w:r>
      <w:r w:rsidRPr="00245ACA">
        <w:t>—</w:t>
      </w:r>
      <w:r w:rsidRPr="00245ACA">
        <w:rPr>
          <w:rStyle w:val="CharChapText"/>
        </w:rPr>
        <w:t>Facility licence application fees—prescribed legacy sites</w:t>
      </w:r>
      <w:bookmarkEnd w:id="20"/>
    </w:p>
    <w:p w:rsidR="00EC2F44" w:rsidRPr="00245ACA" w:rsidRDefault="002F337B" w:rsidP="00EC2F44">
      <w:pPr>
        <w:pStyle w:val="notemargin"/>
      </w:pPr>
      <w:r w:rsidRPr="00245ACA">
        <w:t>Note:</w:t>
      </w:r>
      <w:r w:rsidRPr="00245ACA">
        <w:tab/>
        <w:t xml:space="preserve">See </w:t>
      </w:r>
      <w:r w:rsidR="00EC2F44" w:rsidRPr="00245ACA">
        <w:t>regulation</w:t>
      </w:r>
      <w:r w:rsidR="00245ACA" w:rsidRPr="00245ACA">
        <w:t> </w:t>
      </w:r>
      <w:r w:rsidRPr="00245ACA">
        <w:t>40CA.</w:t>
      </w:r>
    </w:p>
    <w:p w:rsidR="00427487" w:rsidRPr="00245ACA" w:rsidRDefault="00427487" w:rsidP="00427487">
      <w:pPr>
        <w:pStyle w:val="Header"/>
      </w:pPr>
      <w:r w:rsidRPr="00245ACA">
        <w:rPr>
          <w:rStyle w:val="CharPartNo"/>
        </w:rPr>
        <w:t xml:space="preserve"> </w:t>
      </w:r>
      <w:r w:rsidRPr="00245ACA">
        <w:rPr>
          <w:rStyle w:val="CharPartText"/>
        </w:rPr>
        <w:t xml:space="preserve"> </w:t>
      </w:r>
    </w:p>
    <w:p w:rsidR="009F6217" w:rsidRPr="00245ACA" w:rsidRDefault="009F6217" w:rsidP="009F6217">
      <w:pPr>
        <w:pStyle w:val="Header"/>
      </w:pPr>
      <w:r w:rsidRPr="00245ACA">
        <w:rPr>
          <w:rStyle w:val="CharDivNo"/>
        </w:rPr>
        <w:t xml:space="preserve"> </w:t>
      </w:r>
      <w:r w:rsidRPr="00245ACA">
        <w:rPr>
          <w:rStyle w:val="CharDivText"/>
        </w:rPr>
        <w:t xml:space="preserve"> </w:t>
      </w:r>
    </w:p>
    <w:p w:rsidR="008161B3" w:rsidRPr="00245ACA" w:rsidRDefault="008161B3" w:rsidP="008161B3">
      <w:pPr>
        <w:pStyle w:val="ActHead5"/>
      </w:pPr>
      <w:bookmarkStart w:id="21" w:name="_Toc447706667"/>
      <w:r w:rsidRPr="00245ACA">
        <w:rPr>
          <w:rStyle w:val="CharSectno"/>
        </w:rPr>
        <w:t>1</w:t>
      </w:r>
      <w:r w:rsidRPr="00245ACA">
        <w:t xml:space="preserve">  Facility licence application fees—prescribed legacy sites</w:t>
      </w:r>
      <w:bookmarkEnd w:id="21"/>
    </w:p>
    <w:p w:rsidR="008161B3" w:rsidRPr="00245ACA" w:rsidRDefault="008161B3" w:rsidP="008161B3">
      <w:pPr>
        <w:pStyle w:val="subsection"/>
      </w:pPr>
      <w:r w:rsidRPr="00245ACA">
        <w:tab/>
      </w:r>
      <w:r w:rsidRPr="00245ACA">
        <w:tab/>
        <w:t>The following table sets out the amount of the application fee for a facility licence that authorises a person to do a thing mentioned in an item in the table in relation to a prescribed legacy site.</w:t>
      </w:r>
    </w:p>
    <w:p w:rsidR="006E64F1" w:rsidRPr="00245ACA" w:rsidRDefault="006E64F1" w:rsidP="006E64F1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660"/>
        <w:gridCol w:w="1938"/>
      </w:tblGrid>
      <w:tr w:rsidR="006E64F1" w:rsidRPr="00245ACA" w:rsidTr="006E64F1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E64F1" w:rsidRPr="00245ACA" w:rsidRDefault="006E64F1" w:rsidP="00BD217B">
            <w:pPr>
              <w:pStyle w:val="TableHeading"/>
            </w:pPr>
            <w:r w:rsidRPr="00245ACA">
              <w:t>Facility licence application fees—prescribed legacy sites</w:t>
            </w:r>
          </w:p>
        </w:tc>
      </w:tr>
      <w:tr w:rsidR="006E64F1" w:rsidRPr="00245ACA" w:rsidTr="00A27211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E64F1" w:rsidRPr="00245ACA" w:rsidRDefault="006E64F1" w:rsidP="00BD217B">
            <w:pPr>
              <w:pStyle w:val="TableHeading"/>
            </w:pPr>
            <w:r w:rsidRPr="00245ACA">
              <w:t>Item</w:t>
            </w:r>
          </w:p>
        </w:tc>
        <w:tc>
          <w:tcPr>
            <w:tcW w:w="56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E64F1" w:rsidRPr="00245ACA" w:rsidRDefault="006E64F1" w:rsidP="00BD217B">
            <w:pPr>
              <w:pStyle w:val="TableHeading"/>
            </w:pPr>
            <w:r w:rsidRPr="00245ACA">
              <w:t>Thing authorised to be done by licence</w:t>
            </w:r>
          </w:p>
        </w:tc>
        <w:tc>
          <w:tcPr>
            <w:tcW w:w="193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E64F1" w:rsidRPr="00245ACA" w:rsidRDefault="006E64F1" w:rsidP="00C00759">
            <w:pPr>
              <w:pStyle w:val="TableHeading"/>
              <w:jc w:val="right"/>
            </w:pPr>
            <w:r w:rsidRPr="00245ACA">
              <w:t>Amount ($)</w:t>
            </w:r>
          </w:p>
        </w:tc>
      </w:tr>
      <w:tr w:rsidR="006E64F1" w:rsidRPr="00245ACA" w:rsidTr="00A27211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6E64F1" w:rsidRPr="00245ACA" w:rsidRDefault="006E64F1" w:rsidP="006E64F1">
            <w:pPr>
              <w:pStyle w:val="Tabletext"/>
            </w:pPr>
            <w:r w:rsidRPr="00245ACA">
              <w:t>1</w:t>
            </w:r>
          </w:p>
        </w:tc>
        <w:tc>
          <w:tcPr>
            <w:tcW w:w="5660" w:type="dxa"/>
            <w:tcBorders>
              <w:top w:val="single" w:sz="12" w:space="0" w:color="auto"/>
            </w:tcBorders>
            <w:shd w:val="clear" w:color="auto" w:fill="auto"/>
          </w:tcPr>
          <w:p w:rsidR="006E64F1" w:rsidRPr="00245ACA" w:rsidRDefault="00A27211" w:rsidP="00B86A8B">
            <w:pPr>
              <w:pStyle w:val="Tabletext"/>
            </w:pPr>
            <w:r w:rsidRPr="00245ACA">
              <w:t>Possess or control</w:t>
            </w:r>
            <w:r w:rsidR="006E64F1" w:rsidRPr="00245ACA">
              <w:t xml:space="preserve"> a controlled facility that is a prescribed legacy site</w:t>
            </w:r>
          </w:p>
        </w:tc>
        <w:tc>
          <w:tcPr>
            <w:tcW w:w="19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64F1" w:rsidRPr="00245ACA" w:rsidRDefault="006E64F1" w:rsidP="00B86A8B">
            <w:pPr>
              <w:pStyle w:val="Tabletext"/>
              <w:jc w:val="right"/>
            </w:pPr>
            <w:r w:rsidRPr="00245ACA">
              <w:t>14</w:t>
            </w:r>
            <w:r w:rsidR="00245ACA" w:rsidRPr="00245ACA">
              <w:t> </w:t>
            </w:r>
            <w:r w:rsidRPr="00245ACA">
              <w:t>010</w:t>
            </w:r>
          </w:p>
        </w:tc>
      </w:tr>
      <w:tr w:rsidR="006E64F1" w:rsidRPr="00245ACA" w:rsidTr="00A27211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6E64F1" w:rsidRPr="00245ACA" w:rsidRDefault="006E64F1" w:rsidP="006E64F1">
            <w:pPr>
              <w:pStyle w:val="Tabletext"/>
            </w:pPr>
            <w:r w:rsidRPr="00245ACA">
              <w:t>2</w:t>
            </w:r>
          </w:p>
        </w:tc>
        <w:tc>
          <w:tcPr>
            <w:tcW w:w="5660" w:type="dxa"/>
            <w:tcBorders>
              <w:bottom w:val="single" w:sz="2" w:space="0" w:color="auto"/>
            </w:tcBorders>
            <w:shd w:val="clear" w:color="auto" w:fill="auto"/>
          </w:tcPr>
          <w:p w:rsidR="006E64F1" w:rsidRPr="00245ACA" w:rsidRDefault="00A27211" w:rsidP="00B86A8B">
            <w:pPr>
              <w:pStyle w:val="Tabletext"/>
            </w:pPr>
            <w:r w:rsidRPr="00245ACA">
              <w:t>Remediate</w:t>
            </w:r>
            <w:r w:rsidR="006E64F1" w:rsidRPr="00245ACA">
              <w:t xml:space="preserve"> a controlled facility that is a prescribed legacy site</w:t>
            </w:r>
          </w:p>
        </w:tc>
        <w:tc>
          <w:tcPr>
            <w:tcW w:w="193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E64F1" w:rsidRPr="00245ACA" w:rsidRDefault="006E64F1" w:rsidP="00B86A8B">
            <w:pPr>
              <w:pStyle w:val="Tabletext"/>
              <w:jc w:val="right"/>
            </w:pPr>
            <w:r w:rsidRPr="00245ACA">
              <w:t>210</w:t>
            </w:r>
            <w:r w:rsidR="00245ACA" w:rsidRPr="00245ACA">
              <w:t> </w:t>
            </w:r>
            <w:r w:rsidRPr="00245ACA">
              <w:t>163</w:t>
            </w:r>
          </w:p>
        </w:tc>
      </w:tr>
      <w:tr w:rsidR="006E64F1" w:rsidRPr="00245ACA" w:rsidTr="00A27211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E64F1" w:rsidRPr="00245ACA" w:rsidRDefault="006E64F1" w:rsidP="006E64F1">
            <w:pPr>
              <w:pStyle w:val="Tabletext"/>
            </w:pPr>
            <w:r w:rsidRPr="00245ACA">
              <w:t>3</w:t>
            </w:r>
          </w:p>
        </w:tc>
        <w:tc>
          <w:tcPr>
            <w:tcW w:w="56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E64F1" w:rsidRPr="00245ACA" w:rsidRDefault="00A27211" w:rsidP="00B86A8B">
            <w:pPr>
              <w:pStyle w:val="Tabletext"/>
            </w:pPr>
            <w:r w:rsidRPr="00245ACA">
              <w:t>Abandon</w:t>
            </w:r>
            <w:r w:rsidR="006E64F1" w:rsidRPr="00245ACA">
              <w:t xml:space="preserve"> a controlled facility that is a prescribed legacy site</w:t>
            </w:r>
          </w:p>
        </w:tc>
        <w:tc>
          <w:tcPr>
            <w:tcW w:w="193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64F1" w:rsidRPr="00245ACA" w:rsidRDefault="006E64F1" w:rsidP="00B86A8B">
            <w:pPr>
              <w:pStyle w:val="Tabletext"/>
              <w:jc w:val="right"/>
            </w:pPr>
            <w:r w:rsidRPr="00245ACA">
              <w:t>28</w:t>
            </w:r>
            <w:r w:rsidR="00245ACA" w:rsidRPr="00245ACA">
              <w:t> </w:t>
            </w:r>
            <w:r w:rsidRPr="00245ACA">
              <w:t>021</w:t>
            </w:r>
          </w:p>
        </w:tc>
      </w:tr>
    </w:tbl>
    <w:p w:rsidR="006E64F1" w:rsidRPr="00245ACA" w:rsidRDefault="006E64F1" w:rsidP="006E64F1">
      <w:pPr>
        <w:pStyle w:val="Tabletext"/>
      </w:pPr>
    </w:p>
    <w:p w:rsidR="00E67834" w:rsidRPr="00245ACA" w:rsidRDefault="005F766C" w:rsidP="00C612EB">
      <w:pPr>
        <w:pStyle w:val="ItemHead"/>
        <w:tabs>
          <w:tab w:val="left" w:pos="6663"/>
        </w:tabs>
      </w:pPr>
      <w:r w:rsidRPr="00245ACA">
        <w:t>21</w:t>
      </w:r>
      <w:r w:rsidR="00E67834" w:rsidRPr="00245ACA">
        <w:t xml:space="preserve">  </w:t>
      </w:r>
      <w:r w:rsidR="00E10FBA" w:rsidRPr="00245ACA">
        <w:t>Schedule</w:t>
      </w:r>
      <w:r w:rsidR="00245ACA" w:rsidRPr="00245ACA">
        <w:t> </w:t>
      </w:r>
      <w:r w:rsidR="00647480" w:rsidRPr="00245ACA">
        <w:t>5</w:t>
      </w:r>
    </w:p>
    <w:p w:rsidR="00E10FBA" w:rsidRPr="00245ACA" w:rsidRDefault="00E10FBA" w:rsidP="00E10FBA">
      <w:pPr>
        <w:pStyle w:val="Item"/>
      </w:pPr>
      <w:r w:rsidRPr="00245ACA">
        <w:t xml:space="preserve">Repeal the </w:t>
      </w:r>
      <w:r w:rsidR="00CA4051" w:rsidRPr="00245ACA">
        <w:t>Schedule</w:t>
      </w:r>
      <w:r w:rsidRPr="00245ACA">
        <w:t>, substitute:</w:t>
      </w:r>
    </w:p>
    <w:p w:rsidR="00CA4051" w:rsidRPr="00245ACA" w:rsidRDefault="00CA4051" w:rsidP="00CA4051">
      <w:pPr>
        <w:pStyle w:val="ActHead1"/>
      </w:pPr>
      <w:bookmarkStart w:id="22" w:name="_Toc447706668"/>
      <w:r w:rsidRPr="00245ACA">
        <w:rPr>
          <w:rStyle w:val="CharChapNo"/>
        </w:rPr>
        <w:t>Schedule</w:t>
      </w:r>
      <w:r w:rsidR="00245ACA" w:rsidRPr="00245ACA">
        <w:rPr>
          <w:rStyle w:val="CharChapNo"/>
        </w:rPr>
        <w:t> </w:t>
      </w:r>
      <w:r w:rsidRPr="00245ACA">
        <w:rPr>
          <w:rStyle w:val="CharChapNo"/>
        </w:rPr>
        <w:t>5</w:t>
      </w:r>
      <w:r w:rsidRPr="00245ACA">
        <w:t>—</w:t>
      </w:r>
      <w:r w:rsidRPr="00245ACA">
        <w:rPr>
          <w:rStyle w:val="CharChapText"/>
        </w:rPr>
        <w:t>International agreements</w:t>
      </w:r>
      <w:bookmarkEnd w:id="22"/>
    </w:p>
    <w:p w:rsidR="00CA4051" w:rsidRPr="00245ACA" w:rsidRDefault="009908D5" w:rsidP="00CA4051">
      <w:pPr>
        <w:pStyle w:val="notemargin"/>
      </w:pPr>
      <w:r w:rsidRPr="00245ACA">
        <w:t>Note:</w:t>
      </w:r>
      <w:r w:rsidRPr="00245ACA">
        <w:tab/>
        <w:t xml:space="preserve">See </w:t>
      </w:r>
      <w:r w:rsidR="00CA4051" w:rsidRPr="00245ACA">
        <w:t>regulation</w:t>
      </w:r>
      <w:r w:rsidR="00245ACA" w:rsidRPr="00245ACA">
        <w:t> </w:t>
      </w:r>
      <w:r w:rsidRPr="00245ACA">
        <w:t>65.</w:t>
      </w:r>
    </w:p>
    <w:p w:rsidR="00CA4051" w:rsidRPr="00245ACA" w:rsidRDefault="00CA4051" w:rsidP="00CA4051">
      <w:pPr>
        <w:pStyle w:val="Header"/>
      </w:pPr>
      <w:bookmarkStart w:id="23" w:name="f_Check_Lines_below"/>
      <w:bookmarkEnd w:id="23"/>
      <w:r w:rsidRPr="00245ACA">
        <w:rPr>
          <w:rStyle w:val="CharPartNo"/>
        </w:rPr>
        <w:t xml:space="preserve"> </w:t>
      </w:r>
      <w:r w:rsidRPr="00245ACA">
        <w:rPr>
          <w:rStyle w:val="CharPartText"/>
        </w:rPr>
        <w:t xml:space="preserve"> </w:t>
      </w:r>
    </w:p>
    <w:p w:rsidR="00CA4051" w:rsidRPr="00245ACA" w:rsidRDefault="00CA4051" w:rsidP="00CA4051">
      <w:pPr>
        <w:pStyle w:val="Header"/>
      </w:pPr>
      <w:r w:rsidRPr="00245ACA">
        <w:rPr>
          <w:rStyle w:val="CharDivNo"/>
        </w:rPr>
        <w:t xml:space="preserve"> </w:t>
      </w:r>
      <w:r w:rsidRPr="00245ACA">
        <w:rPr>
          <w:rStyle w:val="CharDivText"/>
        </w:rPr>
        <w:t xml:space="preserve"> </w:t>
      </w:r>
    </w:p>
    <w:p w:rsidR="00CA4051" w:rsidRPr="00245ACA" w:rsidRDefault="00CA4051" w:rsidP="00CA4051">
      <w:pPr>
        <w:pStyle w:val="ActHead5"/>
      </w:pPr>
      <w:bookmarkStart w:id="24" w:name="_Toc447706669"/>
      <w:r w:rsidRPr="00245ACA">
        <w:rPr>
          <w:rStyle w:val="CharSectno"/>
        </w:rPr>
        <w:t>1</w:t>
      </w:r>
      <w:r w:rsidRPr="00245ACA">
        <w:t xml:space="preserve">  International agreements</w:t>
      </w:r>
      <w:bookmarkEnd w:id="24"/>
    </w:p>
    <w:p w:rsidR="00CA4051" w:rsidRPr="00245ACA" w:rsidRDefault="00CA4051" w:rsidP="00CA4051">
      <w:pPr>
        <w:pStyle w:val="subsection"/>
      </w:pPr>
      <w:r w:rsidRPr="00245ACA">
        <w:tab/>
      </w:r>
      <w:r w:rsidRPr="00245ACA">
        <w:tab/>
        <w:t>The following table sets out relevant international agreements.</w:t>
      </w:r>
    </w:p>
    <w:p w:rsidR="00E10FBA" w:rsidRPr="00245ACA" w:rsidRDefault="00E10FBA" w:rsidP="00E10FB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E10FBA" w:rsidRPr="00245ACA" w:rsidTr="00E10FBA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10FBA" w:rsidRPr="00245ACA" w:rsidRDefault="00E10FBA" w:rsidP="00BD217B">
            <w:pPr>
              <w:pStyle w:val="TableHeading"/>
            </w:pPr>
            <w:r w:rsidRPr="00245ACA"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10FBA" w:rsidRPr="00245ACA" w:rsidRDefault="00E10FBA" w:rsidP="00BD217B">
            <w:pPr>
              <w:pStyle w:val="TableHeading"/>
            </w:pPr>
            <w:r w:rsidRPr="00245ACA">
              <w:t>Title of agreement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10FBA" w:rsidRPr="00245ACA" w:rsidRDefault="00E10FBA" w:rsidP="00BD217B">
            <w:pPr>
              <w:pStyle w:val="TableHeading"/>
            </w:pPr>
            <w:r w:rsidRPr="00245ACA">
              <w:t>Date agreement signed on behalf of Australia</w:t>
            </w:r>
          </w:p>
        </w:tc>
      </w:tr>
      <w:tr w:rsidR="00E10FBA" w:rsidRPr="00245ACA" w:rsidTr="00E10FBA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E10FBA" w:rsidRPr="00245ACA" w:rsidRDefault="009F348F" w:rsidP="00E10FBA">
            <w:pPr>
              <w:pStyle w:val="Tabletext"/>
            </w:pPr>
            <w:r w:rsidRPr="00245ACA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E10FBA" w:rsidRPr="00245ACA" w:rsidRDefault="00E10FBA" w:rsidP="00E10FBA">
            <w:pPr>
              <w:pStyle w:val="Tabletext"/>
            </w:pPr>
            <w:r w:rsidRPr="00245ACA">
              <w:t>Treaty on the Non</w:t>
            </w:r>
            <w:r w:rsidR="00245ACA">
              <w:noBreakHyphen/>
            </w:r>
            <w:r w:rsidRPr="00245ACA">
              <w:t>Proliferation of Nuclear Weapons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:rsidR="00E10FBA" w:rsidRPr="00245ACA" w:rsidRDefault="00E10FBA" w:rsidP="00E10FBA">
            <w:pPr>
              <w:pStyle w:val="Tabletext"/>
            </w:pPr>
            <w:r w:rsidRPr="00245ACA">
              <w:t>27</w:t>
            </w:r>
            <w:r w:rsidR="00245ACA" w:rsidRPr="00245ACA">
              <w:t> </w:t>
            </w:r>
            <w:r w:rsidRPr="00245ACA">
              <w:t>February 1970</w:t>
            </w:r>
          </w:p>
        </w:tc>
      </w:tr>
      <w:tr w:rsidR="00E10FBA" w:rsidRPr="00245ACA" w:rsidTr="00E10FBA">
        <w:tc>
          <w:tcPr>
            <w:tcW w:w="714" w:type="dxa"/>
            <w:shd w:val="clear" w:color="auto" w:fill="auto"/>
          </w:tcPr>
          <w:p w:rsidR="00E10FBA" w:rsidRPr="00245ACA" w:rsidRDefault="009F348F" w:rsidP="00E10FBA">
            <w:pPr>
              <w:pStyle w:val="Tabletext"/>
            </w:pPr>
            <w:r w:rsidRPr="00245ACA">
              <w:t>2</w:t>
            </w:r>
          </w:p>
        </w:tc>
        <w:tc>
          <w:tcPr>
            <w:tcW w:w="3799" w:type="dxa"/>
            <w:shd w:val="clear" w:color="auto" w:fill="auto"/>
          </w:tcPr>
          <w:p w:rsidR="00E10FBA" w:rsidRPr="00245ACA" w:rsidRDefault="00823977" w:rsidP="00E10FBA">
            <w:pPr>
              <w:pStyle w:val="Tabletext"/>
            </w:pPr>
            <w:r w:rsidRPr="00245ACA">
              <w:t xml:space="preserve">Agreement between Australia and the International Atomic Energy Agency for the </w:t>
            </w:r>
            <w:r w:rsidR="00E10FBA" w:rsidRPr="00245ACA">
              <w:t>Application of Sa</w:t>
            </w:r>
            <w:r w:rsidR="00BB2935" w:rsidRPr="00245ACA">
              <w:t>feguards in connection with the Treaty on the Non</w:t>
            </w:r>
            <w:r w:rsidR="00245ACA">
              <w:noBreakHyphen/>
            </w:r>
            <w:r w:rsidR="00BB2935" w:rsidRPr="00245ACA">
              <w:t>Proliferation of Nuclear Weapons</w:t>
            </w:r>
          </w:p>
        </w:tc>
        <w:tc>
          <w:tcPr>
            <w:tcW w:w="3799" w:type="dxa"/>
            <w:shd w:val="clear" w:color="auto" w:fill="auto"/>
          </w:tcPr>
          <w:p w:rsidR="00E10FBA" w:rsidRPr="00245ACA" w:rsidRDefault="00823977" w:rsidP="00E10FBA">
            <w:pPr>
              <w:pStyle w:val="Tabletext"/>
            </w:pPr>
            <w:r w:rsidRPr="00245ACA">
              <w:t>10</w:t>
            </w:r>
            <w:r w:rsidR="00245ACA" w:rsidRPr="00245ACA">
              <w:t> </w:t>
            </w:r>
            <w:r w:rsidRPr="00245ACA">
              <w:t>July 1974</w:t>
            </w:r>
          </w:p>
        </w:tc>
      </w:tr>
      <w:tr w:rsidR="00E10FBA" w:rsidRPr="00245ACA" w:rsidTr="00E10FBA">
        <w:tc>
          <w:tcPr>
            <w:tcW w:w="714" w:type="dxa"/>
            <w:shd w:val="clear" w:color="auto" w:fill="auto"/>
          </w:tcPr>
          <w:p w:rsidR="00E10FBA" w:rsidRPr="00245ACA" w:rsidRDefault="009F348F" w:rsidP="00E10FBA">
            <w:pPr>
              <w:pStyle w:val="Tabletext"/>
            </w:pPr>
            <w:r w:rsidRPr="00245ACA">
              <w:t>3</w:t>
            </w:r>
          </w:p>
        </w:tc>
        <w:tc>
          <w:tcPr>
            <w:tcW w:w="3799" w:type="dxa"/>
            <w:shd w:val="clear" w:color="auto" w:fill="auto"/>
          </w:tcPr>
          <w:p w:rsidR="00E10FBA" w:rsidRPr="00245ACA" w:rsidRDefault="00823977" w:rsidP="00E10FBA">
            <w:pPr>
              <w:pStyle w:val="Tabletext"/>
            </w:pPr>
            <w:r w:rsidRPr="00245ACA">
              <w:t>Convention on the Physical Protection of Nuclear Material</w:t>
            </w:r>
          </w:p>
        </w:tc>
        <w:tc>
          <w:tcPr>
            <w:tcW w:w="3799" w:type="dxa"/>
            <w:shd w:val="clear" w:color="auto" w:fill="auto"/>
          </w:tcPr>
          <w:p w:rsidR="00E10FBA" w:rsidRPr="00245ACA" w:rsidRDefault="00823977" w:rsidP="00E10FBA">
            <w:pPr>
              <w:pStyle w:val="Tabletext"/>
            </w:pPr>
            <w:r w:rsidRPr="00245ACA">
              <w:t>22</w:t>
            </w:r>
            <w:r w:rsidR="00245ACA" w:rsidRPr="00245ACA">
              <w:t> </w:t>
            </w:r>
            <w:r w:rsidRPr="00245ACA">
              <w:t>February 1984</w:t>
            </w:r>
          </w:p>
        </w:tc>
      </w:tr>
      <w:tr w:rsidR="00E10FBA" w:rsidRPr="00245ACA" w:rsidTr="00E10FBA">
        <w:tc>
          <w:tcPr>
            <w:tcW w:w="714" w:type="dxa"/>
            <w:shd w:val="clear" w:color="auto" w:fill="auto"/>
          </w:tcPr>
          <w:p w:rsidR="00E10FBA" w:rsidRPr="00245ACA" w:rsidRDefault="009F348F" w:rsidP="00E10FBA">
            <w:pPr>
              <w:pStyle w:val="Tabletext"/>
            </w:pPr>
            <w:r w:rsidRPr="00245ACA">
              <w:t>4</w:t>
            </w:r>
          </w:p>
        </w:tc>
        <w:tc>
          <w:tcPr>
            <w:tcW w:w="3799" w:type="dxa"/>
            <w:shd w:val="clear" w:color="auto" w:fill="auto"/>
          </w:tcPr>
          <w:p w:rsidR="00E10FBA" w:rsidRPr="00245ACA" w:rsidRDefault="00823977" w:rsidP="00E10FBA">
            <w:pPr>
              <w:pStyle w:val="Tabletext"/>
            </w:pPr>
            <w:r w:rsidRPr="00245ACA">
              <w:t>Convention on Assistance in the Case of a Nuclear Accident or Radiological Emergency</w:t>
            </w:r>
          </w:p>
        </w:tc>
        <w:tc>
          <w:tcPr>
            <w:tcW w:w="3799" w:type="dxa"/>
            <w:shd w:val="clear" w:color="auto" w:fill="auto"/>
          </w:tcPr>
          <w:p w:rsidR="00E10FBA" w:rsidRPr="00245ACA" w:rsidRDefault="00823977" w:rsidP="00E10FBA">
            <w:pPr>
              <w:pStyle w:val="Tabletext"/>
            </w:pPr>
            <w:r w:rsidRPr="00245ACA">
              <w:t>26</w:t>
            </w:r>
            <w:r w:rsidR="00245ACA" w:rsidRPr="00245ACA">
              <w:t> </w:t>
            </w:r>
            <w:r w:rsidRPr="00245ACA">
              <w:t>September 1986</w:t>
            </w:r>
          </w:p>
        </w:tc>
      </w:tr>
      <w:tr w:rsidR="00E10FBA" w:rsidRPr="00245ACA" w:rsidTr="00E10FBA">
        <w:tc>
          <w:tcPr>
            <w:tcW w:w="714" w:type="dxa"/>
            <w:shd w:val="clear" w:color="auto" w:fill="auto"/>
          </w:tcPr>
          <w:p w:rsidR="00E10FBA" w:rsidRPr="00245ACA" w:rsidRDefault="009F348F" w:rsidP="00E10FBA">
            <w:pPr>
              <w:pStyle w:val="Tabletext"/>
            </w:pPr>
            <w:r w:rsidRPr="00245ACA">
              <w:t>5</w:t>
            </w:r>
          </w:p>
        </w:tc>
        <w:tc>
          <w:tcPr>
            <w:tcW w:w="3799" w:type="dxa"/>
            <w:shd w:val="clear" w:color="auto" w:fill="auto"/>
          </w:tcPr>
          <w:p w:rsidR="00E10FBA" w:rsidRPr="00245ACA" w:rsidRDefault="00823977" w:rsidP="00E10FBA">
            <w:pPr>
              <w:pStyle w:val="Tabletext"/>
            </w:pPr>
            <w:r w:rsidRPr="00245ACA">
              <w:t>Convention on Early Notification of a Nuclear Accident</w:t>
            </w:r>
          </w:p>
        </w:tc>
        <w:tc>
          <w:tcPr>
            <w:tcW w:w="3799" w:type="dxa"/>
            <w:shd w:val="clear" w:color="auto" w:fill="auto"/>
          </w:tcPr>
          <w:p w:rsidR="00E10FBA" w:rsidRPr="00245ACA" w:rsidRDefault="00823977" w:rsidP="00E10FBA">
            <w:pPr>
              <w:pStyle w:val="Tabletext"/>
            </w:pPr>
            <w:r w:rsidRPr="00245ACA">
              <w:t>26</w:t>
            </w:r>
            <w:r w:rsidR="00245ACA" w:rsidRPr="00245ACA">
              <w:t> </w:t>
            </w:r>
            <w:r w:rsidRPr="00245ACA">
              <w:t>September 1986</w:t>
            </w:r>
          </w:p>
        </w:tc>
      </w:tr>
      <w:tr w:rsidR="00E10FBA" w:rsidRPr="00245ACA" w:rsidTr="00E10FBA">
        <w:tc>
          <w:tcPr>
            <w:tcW w:w="714" w:type="dxa"/>
            <w:shd w:val="clear" w:color="auto" w:fill="auto"/>
          </w:tcPr>
          <w:p w:rsidR="00E10FBA" w:rsidRPr="00245ACA" w:rsidRDefault="009F348F" w:rsidP="00E10FBA">
            <w:pPr>
              <w:pStyle w:val="Tabletext"/>
            </w:pPr>
            <w:r w:rsidRPr="00245ACA">
              <w:t>6</w:t>
            </w:r>
          </w:p>
        </w:tc>
        <w:tc>
          <w:tcPr>
            <w:tcW w:w="3799" w:type="dxa"/>
            <w:shd w:val="clear" w:color="auto" w:fill="auto"/>
          </w:tcPr>
          <w:p w:rsidR="00E10FBA" w:rsidRPr="00245ACA" w:rsidRDefault="00823977" w:rsidP="00E10FBA">
            <w:pPr>
              <w:pStyle w:val="Tabletext"/>
            </w:pPr>
            <w:r w:rsidRPr="00245ACA">
              <w:t>Convention on Nuclear Safety</w:t>
            </w:r>
          </w:p>
        </w:tc>
        <w:tc>
          <w:tcPr>
            <w:tcW w:w="3799" w:type="dxa"/>
            <w:shd w:val="clear" w:color="auto" w:fill="auto"/>
          </w:tcPr>
          <w:p w:rsidR="00E10FBA" w:rsidRPr="00245ACA" w:rsidRDefault="00823977" w:rsidP="00E10FBA">
            <w:pPr>
              <w:pStyle w:val="Tabletext"/>
            </w:pPr>
            <w:r w:rsidRPr="00245ACA">
              <w:t>20</w:t>
            </w:r>
            <w:r w:rsidR="00245ACA" w:rsidRPr="00245ACA">
              <w:t> </w:t>
            </w:r>
            <w:r w:rsidRPr="00245ACA">
              <w:t>September 1994</w:t>
            </w:r>
          </w:p>
        </w:tc>
      </w:tr>
      <w:tr w:rsidR="00E10FBA" w:rsidRPr="00245ACA" w:rsidTr="00E10FBA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E10FBA" w:rsidRPr="00245ACA" w:rsidRDefault="009F348F" w:rsidP="00E10FBA">
            <w:pPr>
              <w:pStyle w:val="Tabletext"/>
            </w:pPr>
            <w:r w:rsidRPr="00245ACA">
              <w:t>7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E10FBA" w:rsidRPr="00245ACA" w:rsidRDefault="00FD23B4" w:rsidP="00E10FBA">
            <w:pPr>
              <w:pStyle w:val="Tabletext"/>
            </w:pPr>
            <w:r w:rsidRPr="00245ACA">
              <w:t>Joint Convention on the Safety of Spent Fuel Management and on the Safety of Radioactive Waste Management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E10FBA" w:rsidRPr="00245ACA" w:rsidRDefault="00FD23B4" w:rsidP="00E10FBA">
            <w:pPr>
              <w:pStyle w:val="Tabletext"/>
            </w:pPr>
            <w:r w:rsidRPr="00245ACA">
              <w:t>13</w:t>
            </w:r>
            <w:r w:rsidR="00245ACA" w:rsidRPr="00245ACA">
              <w:t> </w:t>
            </w:r>
            <w:r w:rsidRPr="00245ACA">
              <w:t>November 1998</w:t>
            </w:r>
          </w:p>
        </w:tc>
      </w:tr>
      <w:tr w:rsidR="001801BE" w:rsidRPr="00245ACA" w:rsidTr="00E10FBA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1801BE" w:rsidRPr="00245ACA" w:rsidRDefault="009F348F" w:rsidP="00E10FBA">
            <w:pPr>
              <w:pStyle w:val="Tabletext"/>
            </w:pPr>
            <w:r w:rsidRPr="00245ACA">
              <w:t>8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1801BE" w:rsidRPr="00245ACA" w:rsidRDefault="001801BE" w:rsidP="00C256A5">
            <w:pPr>
              <w:pStyle w:val="Tabletext"/>
            </w:pPr>
            <w:r w:rsidRPr="00245ACA">
              <w:t xml:space="preserve">Agreement for </w:t>
            </w:r>
            <w:r w:rsidR="00C256A5" w:rsidRPr="00245ACA">
              <w:t>c</w:t>
            </w:r>
            <w:r w:rsidRPr="00245ACA">
              <w:t xml:space="preserve">ooperation between </w:t>
            </w:r>
            <w:r w:rsidR="009F348F" w:rsidRPr="00245ACA">
              <w:t xml:space="preserve">the Government of </w:t>
            </w:r>
            <w:r w:rsidRPr="00245ACA">
              <w:t xml:space="preserve">Australia and the </w:t>
            </w:r>
            <w:r w:rsidR="009F348F" w:rsidRPr="00245ACA">
              <w:t xml:space="preserve">Government of the </w:t>
            </w:r>
            <w:r w:rsidRPr="00245ACA">
              <w:t>Unite</w:t>
            </w:r>
            <w:r w:rsidR="00C256A5" w:rsidRPr="00245ACA">
              <w:t>d States of America concerning technology for the separation of isotopes of u</w:t>
            </w:r>
            <w:r w:rsidRPr="00245ACA">
              <w:t xml:space="preserve">ranium by </w:t>
            </w:r>
            <w:r w:rsidR="00C256A5" w:rsidRPr="00245ACA">
              <w:t>laser excitation, with annexes, exchange of notes and agreed minutes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:rsidR="001801BE" w:rsidRPr="00245ACA" w:rsidRDefault="001801BE" w:rsidP="00E10FBA">
            <w:pPr>
              <w:pStyle w:val="Tabletext"/>
            </w:pPr>
            <w:r w:rsidRPr="00245ACA">
              <w:t>28</w:t>
            </w:r>
            <w:r w:rsidR="00245ACA" w:rsidRPr="00245ACA">
              <w:t> </w:t>
            </w:r>
            <w:r w:rsidRPr="00245ACA">
              <w:t>October 1999</w:t>
            </w:r>
          </w:p>
        </w:tc>
      </w:tr>
      <w:tr w:rsidR="00E10FBA" w:rsidRPr="00245ACA" w:rsidTr="00E10FBA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10FBA" w:rsidRPr="00245ACA" w:rsidRDefault="009F348F" w:rsidP="00E10FBA">
            <w:pPr>
              <w:pStyle w:val="Tabletext"/>
            </w:pPr>
            <w:r w:rsidRPr="00245ACA">
              <w:t>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10FBA" w:rsidRPr="00245ACA" w:rsidRDefault="003A51C5" w:rsidP="00E10FBA">
            <w:pPr>
              <w:pStyle w:val="Tabletext"/>
            </w:pPr>
            <w:r w:rsidRPr="00245ACA">
              <w:t>International Convention for the Suppression of Acts of Nuclear Terrori</w:t>
            </w:r>
            <w:r w:rsidR="00A261B0" w:rsidRPr="00245ACA">
              <w:t>s</w:t>
            </w:r>
            <w:r w:rsidRPr="00245ACA">
              <w:t>m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10FBA" w:rsidRPr="00245ACA" w:rsidRDefault="003A51C5" w:rsidP="00E10FBA">
            <w:pPr>
              <w:pStyle w:val="Tabletext"/>
            </w:pPr>
            <w:r w:rsidRPr="00245ACA">
              <w:t>14</w:t>
            </w:r>
            <w:r w:rsidR="00245ACA" w:rsidRPr="00245ACA">
              <w:t> </w:t>
            </w:r>
            <w:r w:rsidRPr="00245ACA">
              <w:t>September 2005</w:t>
            </w:r>
          </w:p>
        </w:tc>
      </w:tr>
    </w:tbl>
    <w:p w:rsidR="00E10FBA" w:rsidRPr="00245ACA" w:rsidRDefault="00E10FBA" w:rsidP="00E10FBA">
      <w:pPr>
        <w:pStyle w:val="Tabletext"/>
      </w:pPr>
    </w:p>
    <w:p w:rsidR="00C612EB" w:rsidRPr="00245ACA" w:rsidRDefault="005F766C" w:rsidP="00C612EB">
      <w:pPr>
        <w:pStyle w:val="ItemHead"/>
        <w:tabs>
          <w:tab w:val="left" w:pos="6663"/>
        </w:tabs>
      </w:pPr>
      <w:r w:rsidRPr="00245ACA">
        <w:t>22</w:t>
      </w:r>
      <w:r w:rsidR="00C612EB" w:rsidRPr="00245ACA">
        <w:t xml:space="preserve">  Dictionary</w:t>
      </w:r>
    </w:p>
    <w:p w:rsidR="00C612EB" w:rsidRPr="00245ACA" w:rsidRDefault="00E41D6D" w:rsidP="00E41D6D">
      <w:pPr>
        <w:pStyle w:val="Item"/>
      </w:pPr>
      <w:r w:rsidRPr="00245ACA">
        <w:t>Repeal the Dictionary.</w:t>
      </w:r>
    </w:p>
    <w:p w:rsidR="00676E69" w:rsidRPr="00245ACA" w:rsidRDefault="005F766C" w:rsidP="008B0E2E">
      <w:pPr>
        <w:pStyle w:val="ItemHead"/>
        <w:tabs>
          <w:tab w:val="left" w:pos="6663"/>
        </w:tabs>
      </w:pPr>
      <w:r w:rsidRPr="00245ACA">
        <w:t>23</w:t>
      </w:r>
      <w:r w:rsidR="00676E69" w:rsidRPr="00245ACA">
        <w:t xml:space="preserve">  Amendments of listed provisions</w:t>
      </w:r>
    </w:p>
    <w:p w:rsidR="00676E69" w:rsidRPr="00245ACA" w:rsidRDefault="00676E69" w:rsidP="00676E69">
      <w:pPr>
        <w:pStyle w:val="Tabletext"/>
      </w:pPr>
    </w:p>
    <w:tbl>
      <w:tblPr>
        <w:tblW w:w="0" w:type="auto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533"/>
        <w:gridCol w:w="2533"/>
        <w:gridCol w:w="2533"/>
      </w:tblGrid>
      <w:tr w:rsidR="00676E69" w:rsidRPr="00245ACA" w:rsidTr="00500D6C">
        <w:trPr>
          <w:tblHeader/>
        </w:trPr>
        <w:tc>
          <w:tcPr>
            <w:tcW w:w="831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76E69" w:rsidRPr="00245ACA" w:rsidRDefault="00676E69" w:rsidP="00BD217B">
            <w:pPr>
              <w:pStyle w:val="TableHeading"/>
            </w:pPr>
            <w:r w:rsidRPr="00245ACA">
              <w:t>Further amendments</w:t>
            </w:r>
          </w:p>
        </w:tc>
      </w:tr>
      <w:tr w:rsidR="00676E69" w:rsidRPr="00245ACA" w:rsidTr="00500D6C">
        <w:trPr>
          <w:tblHeader/>
        </w:trPr>
        <w:tc>
          <w:tcPr>
            <w:tcW w:w="7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76E69" w:rsidRPr="00245ACA" w:rsidRDefault="00676E69" w:rsidP="00BD217B">
            <w:pPr>
              <w:pStyle w:val="TableHeading"/>
            </w:pPr>
            <w:r w:rsidRPr="00245ACA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76E69" w:rsidRPr="00245ACA" w:rsidRDefault="00676E69" w:rsidP="00BD217B">
            <w:pPr>
              <w:pStyle w:val="TableHeading"/>
            </w:pPr>
            <w:r w:rsidRPr="00245ACA">
              <w:t>Provision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76E69" w:rsidRPr="00245ACA" w:rsidRDefault="00676E69" w:rsidP="00BD217B">
            <w:pPr>
              <w:pStyle w:val="TableHeading"/>
            </w:pPr>
            <w:r w:rsidRPr="00245ACA">
              <w:t>Omit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76E69" w:rsidRPr="00245ACA" w:rsidRDefault="00676E69" w:rsidP="00BD217B">
            <w:pPr>
              <w:pStyle w:val="TableHeading"/>
            </w:pPr>
            <w:r w:rsidRPr="00245ACA">
              <w:t>Substitute</w:t>
            </w:r>
          </w:p>
        </w:tc>
      </w:tr>
      <w:tr w:rsidR="00676E69" w:rsidRPr="00245ACA" w:rsidTr="00500D6C">
        <w:tc>
          <w:tcPr>
            <w:tcW w:w="719" w:type="dxa"/>
            <w:tcBorders>
              <w:top w:val="single" w:sz="12" w:space="0" w:color="auto"/>
            </w:tcBorders>
            <w:shd w:val="clear" w:color="auto" w:fill="auto"/>
          </w:tcPr>
          <w:p w:rsidR="00676E69" w:rsidRPr="00245ACA" w:rsidRDefault="00961382" w:rsidP="00676E69">
            <w:pPr>
              <w:pStyle w:val="Tabletext"/>
            </w:pPr>
            <w:r w:rsidRPr="00245ACA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676E69" w:rsidRPr="00245ACA" w:rsidRDefault="00676E69" w:rsidP="00500D6C">
            <w:pPr>
              <w:pStyle w:val="Tabletext"/>
            </w:pPr>
            <w:r w:rsidRPr="00245ACA">
              <w:t>Regulation</w:t>
            </w:r>
            <w:r w:rsidR="00245ACA" w:rsidRPr="00245ACA">
              <w:t> </w:t>
            </w:r>
            <w:r w:rsidR="00500D6C" w:rsidRPr="00245ACA">
              <w:t>3</w:t>
            </w:r>
            <w:r w:rsidRPr="00245ACA">
              <w:t xml:space="preserve"> (</w:t>
            </w:r>
            <w:r w:rsidR="00500D6C" w:rsidRPr="00245ACA">
              <w:t xml:space="preserve">definition of </w:t>
            </w:r>
            <w:r w:rsidR="00500D6C" w:rsidRPr="00245ACA">
              <w:rPr>
                <w:b/>
                <w:i/>
              </w:rPr>
              <w:t>waste package</w:t>
            </w:r>
            <w:r w:rsidR="00500D6C" w:rsidRPr="00245ACA">
              <w:t>)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676E69" w:rsidRPr="00245ACA" w:rsidRDefault="00500D6C" w:rsidP="00503CEB">
            <w:pPr>
              <w:pStyle w:val="Tabletext"/>
            </w:pPr>
            <w:r w:rsidRPr="00245ACA">
              <w:t>nuclear waste storage facil</w:t>
            </w:r>
            <w:r w:rsidR="00503CEB" w:rsidRPr="00245ACA">
              <w:t>ity or a nuclear waste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676E69" w:rsidRPr="00245ACA" w:rsidRDefault="00500D6C" w:rsidP="00503CEB">
            <w:pPr>
              <w:pStyle w:val="Tabletext"/>
            </w:pPr>
            <w:r w:rsidRPr="00245ACA">
              <w:t>radioactive waste storage facility or a radioactive</w:t>
            </w:r>
            <w:r w:rsidR="00503CEB" w:rsidRPr="00245ACA">
              <w:t xml:space="preserve"> waste</w:t>
            </w:r>
          </w:p>
        </w:tc>
      </w:tr>
      <w:tr w:rsidR="00500D6C" w:rsidRPr="00245ACA" w:rsidTr="00500D6C">
        <w:tc>
          <w:tcPr>
            <w:tcW w:w="719" w:type="dxa"/>
            <w:shd w:val="clear" w:color="auto" w:fill="auto"/>
          </w:tcPr>
          <w:p w:rsidR="00500D6C" w:rsidRPr="00245ACA" w:rsidRDefault="00961382" w:rsidP="003A27CA">
            <w:pPr>
              <w:pStyle w:val="Tabletext"/>
            </w:pPr>
            <w:r w:rsidRPr="00245ACA">
              <w:t>2</w:t>
            </w:r>
          </w:p>
        </w:tc>
        <w:tc>
          <w:tcPr>
            <w:tcW w:w="2533" w:type="dxa"/>
            <w:shd w:val="clear" w:color="auto" w:fill="auto"/>
          </w:tcPr>
          <w:p w:rsidR="00500D6C" w:rsidRPr="00245ACA" w:rsidRDefault="00500D6C" w:rsidP="003A27CA">
            <w:pPr>
              <w:pStyle w:val="Tabletext"/>
            </w:pPr>
            <w:r w:rsidRPr="00245ACA">
              <w:t>Regulation</w:t>
            </w:r>
            <w:r w:rsidR="00245ACA" w:rsidRPr="00245ACA">
              <w:t> </w:t>
            </w:r>
            <w:r w:rsidRPr="00245ACA">
              <w:t>7 (heading)</w:t>
            </w:r>
          </w:p>
        </w:tc>
        <w:tc>
          <w:tcPr>
            <w:tcW w:w="2533" w:type="dxa"/>
            <w:shd w:val="clear" w:color="auto" w:fill="auto"/>
          </w:tcPr>
          <w:p w:rsidR="00500D6C" w:rsidRPr="00245ACA" w:rsidRDefault="00500D6C" w:rsidP="002F602C">
            <w:pPr>
              <w:pStyle w:val="Tabletext"/>
            </w:pPr>
            <w:r w:rsidRPr="00245ACA">
              <w:rPr>
                <w:b/>
              </w:rPr>
              <w:t>nuclear waste</w:t>
            </w:r>
          </w:p>
        </w:tc>
        <w:tc>
          <w:tcPr>
            <w:tcW w:w="2533" w:type="dxa"/>
            <w:shd w:val="clear" w:color="auto" w:fill="auto"/>
          </w:tcPr>
          <w:p w:rsidR="00500D6C" w:rsidRPr="00245ACA" w:rsidRDefault="002F602C" w:rsidP="002F602C">
            <w:pPr>
              <w:pStyle w:val="Tabletext"/>
            </w:pPr>
            <w:r w:rsidRPr="00245ACA">
              <w:rPr>
                <w:b/>
              </w:rPr>
              <w:t>radioactive waste</w:t>
            </w:r>
          </w:p>
        </w:tc>
      </w:tr>
      <w:tr w:rsidR="00676E69" w:rsidRPr="00245ACA" w:rsidTr="00500D6C">
        <w:tc>
          <w:tcPr>
            <w:tcW w:w="719" w:type="dxa"/>
            <w:shd w:val="clear" w:color="auto" w:fill="auto"/>
          </w:tcPr>
          <w:p w:rsidR="00676E69" w:rsidRPr="00245ACA" w:rsidRDefault="00961382" w:rsidP="00676E69">
            <w:pPr>
              <w:pStyle w:val="Tabletext"/>
            </w:pPr>
            <w:r w:rsidRPr="00245ACA">
              <w:t>3</w:t>
            </w:r>
          </w:p>
        </w:tc>
        <w:tc>
          <w:tcPr>
            <w:tcW w:w="2533" w:type="dxa"/>
            <w:shd w:val="clear" w:color="auto" w:fill="auto"/>
          </w:tcPr>
          <w:p w:rsidR="00676E69" w:rsidRPr="00245ACA" w:rsidRDefault="00676E69" w:rsidP="00676E69">
            <w:pPr>
              <w:pStyle w:val="Tabletext"/>
            </w:pPr>
            <w:r w:rsidRPr="00245ACA">
              <w:t>Subregulation</w:t>
            </w:r>
            <w:r w:rsidR="00245ACA" w:rsidRPr="00245ACA">
              <w:t> </w:t>
            </w:r>
            <w:r w:rsidRPr="00245ACA">
              <w:t>7(1)</w:t>
            </w:r>
          </w:p>
        </w:tc>
        <w:tc>
          <w:tcPr>
            <w:tcW w:w="2533" w:type="dxa"/>
            <w:shd w:val="clear" w:color="auto" w:fill="auto"/>
          </w:tcPr>
          <w:p w:rsidR="00676E69" w:rsidRPr="00245ACA" w:rsidRDefault="0045014F" w:rsidP="0045014F">
            <w:pPr>
              <w:pStyle w:val="Tabletext"/>
            </w:pPr>
            <w:r w:rsidRPr="00245ACA">
              <w:t>nuclear waste</w:t>
            </w:r>
          </w:p>
        </w:tc>
        <w:tc>
          <w:tcPr>
            <w:tcW w:w="2533" w:type="dxa"/>
            <w:shd w:val="clear" w:color="auto" w:fill="auto"/>
          </w:tcPr>
          <w:p w:rsidR="00676E69" w:rsidRPr="00245ACA" w:rsidRDefault="0045014F" w:rsidP="0045014F">
            <w:pPr>
              <w:pStyle w:val="Tabletext"/>
            </w:pPr>
            <w:r w:rsidRPr="00245ACA">
              <w:t>radioactive waste</w:t>
            </w:r>
          </w:p>
        </w:tc>
      </w:tr>
      <w:tr w:rsidR="00676E69" w:rsidRPr="00245ACA" w:rsidTr="00500D6C">
        <w:tc>
          <w:tcPr>
            <w:tcW w:w="719" w:type="dxa"/>
            <w:shd w:val="clear" w:color="auto" w:fill="auto"/>
          </w:tcPr>
          <w:p w:rsidR="00676E69" w:rsidRPr="00245ACA" w:rsidRDefault="00961382" w:rsidP="00676E69">
            <w:pPr>
              <w:pStyle w:val="Tabletext"/>
            </w:pPr>
            <w:r w:rsidRPr="00245ACA">
              <w:t>4</w:t>
            </w:r>
          </w:p>
        </w:tc>
        <w:tc>
          <w:tcPr>
            <w:tcW w:w="2533" w:type="dxa"/>
            <w:shd w:val="clear" w:color="auto" w:fill="auto"/>
          </w:tcPr>
          <w:p w:rsidR="00676E69" w:rsidRPr="00245ACA" w:rsidRDefault="00676E69" w:rsidP="00676E69">
            <w:pPr>
              <w:pStyle w:val="Tabletext"/>
            </w:pPr>
            <w:r w:rsidRPr="00245ACA">
              <w:t>Subregulation</w:t>
            </w:r>
            <w:r w:rsidR="00245ACA" w:rsidRPr="00245ACA">
              <w:t> </w:t>
            </w:r>
            <w:r w:rsidRPr="00245ACA">
              <w:t>7(1) (note)</w:t>
            </w:r>
          </w:p>
        </w:tc>
        <w:tc>
          <w:tcPr>
            <w:tcW w:w="2533" w:type="dxa"/>
            <w:shd w:val="clear" w:color="auto" w:fill="auto"/>
          </w:tcPr>
          <w:p w:rsidR="00676E69" w:rsidRPr="00245ACA" w:rsidRDefault="00770312" w:rsidP="00770312">
            <w:pPr>
              <w:pStyle w:val="Tabletext"/>
            </w:pPr>
            <w:r w:rsidRPr="00245ACA">
              <w:t>nuclear waste</w:t>
            </w:r>
          </w:p>
        </w:tc>
        <w:tc>
          <w:tcPr>
            <w:tcW w:w="2533" w:type="dxa"/>
            <w:shd w:val="clear" w:color="auto" w:fill="auto"/>
          </w:tcPr>
          <w:p w:rsidR="00676E69" w:rsidRPr="00245ACA" w:rsidRDefault="00770312" w:rsidP="00770312">
            <w:pPr>
              <w:pStyle w:val="Tabletext"/>
            </w:pPr>
            <w:r w:rsidRPr="00245ACA">
              <w:t>radioactive waste</w:t>
            </w:r>
          </w:p>
        </w:tc>
      </w:tr>
      <w:tr w:rsidR="00676E69" w:rsidRPr="00245ACA" w:rsidTr="00500D6C">
        <w:tc>
          <w:tcPr>
            <w:tcW w:w="719" w:type="dxa"/>
            <w:shd w:val="clear" w:color="auto" w:fill="auto"/>
          </w:tcPr>
          <w:p w:rsidR="00676E69" w:rsidRPr="00245ACA" w:rsidRDefault="00961382" w:rsidP="00676E69">
            <w:pPr>
              <w:pStyle w:val="Tabletext"/>
            </w:pPr>
            <w:r w:rsidRPr="00245ACA">
              <w:t>5</w:t>
            </w:r>
          </w:p>
        </w:tc>
        <w:tc>
          <w:tcPr>
            <w:tcW w:w="2533" w:type="dxa"/>
            <w:shd w:val="clear" w:color="auto" w:fill="auto"/>
          </w:tcPr>
          <w:p w:rsidR="00676E69" w:rsidRPr="00245ACA" w:rsidRDefault="00676E69" w:rsidP="00676E69">
            <w:pPr>
              <w:pStyle w:val="Tabletext"/>
            </w:pPr>
            <w:r w:rsidRPr="00245ACA">
              <w:t>Regulation</w:t>
            </w:r>
            <w:r w:rsidR="00245ACA" w:rsidRPr="00245ACA">
              <w:t> </w:t>
            </w:r>
            <w:r w:rsidRPr="00245ACA">
              <w:t>8 (heading)</w:t>
            </w:r>
          </w:p>
        </w:tc>
        <w:tc>
          <w:tcPr>
            <w:tcW w:w="2533" w:type="dxa"/>
            <w:shd w:val="clear" w:color="auto" w:fill="auto"/>
          </w:tcPr>
          <w:p w:rsidR="00676E69" w:rsidRPr="00245ACA" w:rsidRDefault="00271D1E" w:rsidP="00271D1E">
            <w:pPr>
              <w:pStyle w:val="Tabletext"/>
            </w:pPr>
            <w:r w:rsidRPr="00245ACA">
              <w:rPr>
                <w:b/>
              </w:rPr>
              <w:t>nuclear waste</w:t>
            </w:r>
          </w:p>
        </w:tc>
        <w:tc>
          <w:tcPr>
            <w:tcW w:w="2533" w:type="dxa"/>
            <w:shd w:val="clear" w:color="auto" w:fill="auto"/>
          </w:tcPr>
          <w:p w:rsidR="00676E69" w:rsidRPr="00245ACA" w:rsidRDefault="00271D1E" w:rsidP="00271D1E">
            <w:pPr>
              <w:pStyle w:val="Tabletext"/>
            </w:pPr>
            <w:r w:rsidRPr="00245ACA">
              <w:rPr>
                <w:b/>
              </w:rPr>
              <w:t>radioactive waste</w:t>
            </w:r>
          </w:p>
        </w:tc>
      </w:tr>
      <w:tr w:rsidR="00676E69" w:rsidRPr="00245ACA" w:rsidTr="00500D6C">
        <w:tc>
          <w:tcPr>
            <w:tcW w:w="719" w:type="dxa"/>
            <w:shd w:val="clear" w:color="auto" w:fill="auto"/>
          </w:tcPr>
          <w:p w:rsidR="00676E69" w:rsidRPr="00245ACA" w:rsidRDefault="00961382" w:rsidP="00676E69">
            <w:pPr>
              <w:pStyle w:val="Tabletext"/>
            </w:pPr>
            <w:r w:rsidRPr="00245ACA">
              <w:t>6</w:t>
            </w:r>
          </w:p>
        </w:tc>
        <w:tc>
          <w:tcPr>
            <w:tcW w:w="2533" w:type="dxa"/>
            <w:shd w:val="clear" w:color="auto" w:fill="auto"/>
          </w:tcPr>
          <w:p w:rsidR="00676E69" w:rsidRPr="00245ACA" w:rsidRDefault="00676E69" w:rsidP="00676E69">
            <w:pPr>
              <w:pStyle w:val="Tabletext"/>
            </w:pPr>
            <w:r w:rsidRPr="00245ACA">
              <w:t>Subregulation</w:t>
            </w:r>
            <w:r w:rsidR="00245ACA" w:rsidRPr="00245ACA">
              <w:t> </w:t>
            </w:r>
            <w:r w:rsidRPr="00245ACA">
              <w:t>8(1)</w:t>
            </w:r>
          </w:p>
        </w:tc>
        <w:tc>
          <w:tcPr>
            <w:tcW w:w="2533" w:type="dxa"/>
            <w:shd w:val="clear" w:color="auto" w:fill="auto"/>
          </w:tcPr>
          <w:p w:rsidR="00676E69" w:rsidRPr="00245ACA" w:rsidRDefault="003C46CE" w:rsidP="003C46CE">
            <w:pPr>
              <w:pStyle w:val="Tabletext"/>
            </w:pPr>
            <w:r w:rsidRPr="00245ACA">
              <w:t>nuclear waste</w:t>
            </w:r>
          </w:p>
        </w:tc>
        <w:tc>
          <w:tcPr>
            <w:tcW w:w="2533" w:type="dxa"/>
            <w:shd w:val="clear" w:color="auto" w:fill="auto"/>
          </w:tcPr>
          <w:p w:rsidR="00676E69" w:rsidRPr="00245ACA" w:rsidRDefault="003C46CE" w:rsidP="003C46CE">
            <w:pPr>
              <w:pStyle w:val="Tabletext"/>
            </w:pPr>
            <w:r w:rsidRPr="00245ACA">
              <w:t>radioactive waste</w:t>
            </w:r>
          </w:p>
        </w:tc>
      </w:tr>
      <w:tr w:rsidR="00676E69" w:rsidRPr="00245ACA" w:rsidTr="00500D6C">
        <w:tc>
          <w:tcPr>
            <w:tcW w:w="719" w:type="dxa"/>
            <w:shd w:val="clear" w:color="auto" w:fill="auto"/>
          </w:tcPr>
          <w:p w:rsidR="00676E69" w:rsidRPr="00245ACA" w:rsidRDefault="00961382" w:rsidP="00676E69">
            <w:pPr>
              <w:pStyle w:val="Tabletext"/>
            </w:pPr>
            <w:r w:rsidRPr="00245ACA">
              <w:t>7</w:t>
            </w:r>
          </w:p>
        </w:tc>
        <w:tc>
          <w:tcPr>
            <w:tcW w:w="2533" w:type="dxa"/>
            <w:shd w:val="clear" w:color="auto" w:fill="auto"/>
          </w:tcPr>
          <w:p w:rsidR="00676E69" w:rsidRPr="00245ACA" w:rsidRDefault="00676E69" w:rsidP="00676E69">
            <w:pPr>
              <w:pStyle w:val="Tabletext"/>
            </w:pPr>
            <w:r w:rsidRPr="00245ACA">
              <w:t>Subregulation</w:t>
            </w:r>
            <w:r w:rsidR="00245ACA" w:rsidRPr="00245ACA">
              <w:t> </w:t>
            </w:r>
            <w:r w:rsidRPr="00245ACA">
              <w:t>8(2)</w:t>
            </w:r>
          </w:p>
        </w:tc>
        <w:tc>
          <w:tcPr>
            <w:tcW w:w="2533" w:type="dxa"/>
            <w:shd w:val="clear" w:color="auto" w:fill="auto"/>
          </w:tcPr>
          <w:p w:rsidR="00676E69" w:rsidRPr="00245ACA" w:rsidRDefault="00676E69" w:rsidP="003C46CE">
            <w:pPr>
              <w:pStyle w:val="Tabletext"/>
            </w:pPr>
            <w:r w:rsidRPr="00245ACA">
              <w:t>nuclear was</w:t>
            </w:r>
            <w:r w:rsidR="003C46CE" w:rsidRPr="00245ACA">
              <w:t>te</w:t>
            </w:r>
          </w:p>
        </w:tc>
        <w:tc>
          <w:tcPr>
            <w:tcW w:w="2533" w:type="dxa"/>
            <w:shd w:val="clear" w:color="auto" w:fill="auto"/>
          </w:tcPr>
          <w:p w:rsidR="00676E69" w:rsidRPr="00245ACA" w:rsidRDefault="003C46CE" w:rsidP="003C46CE">
            <w:pPr>
              <w:pStyle w:val="Tabletext"/>
            </w:pPr>
            <w:r w:rsidRPr="00245ACA">
              <w:t>radioactive waste</w:t>
            </w:r>
          </w:p>
        </w:tc>
      </w:tr>
      <w:tr w:rsidR="00D47CE2" w:rsidRPr="00245ACA" w:rsidTr="00500D6C">
        <w:tc>
          <w:tcPr>
            <w:tcW w:w="71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47CE2" w:rsidRPr="00245ACA" w:rsidRDefault="00961382" w:rsidP="00676E69">
            <w:pPr>
              <w:pStyle w:val="Tabletext"/>
            </w:pPr>
            <w:r w:rsidRPr="00245ACA">
              <w:t>8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47CE2" w:rsidRPr="00245ACA" w:rsidRDefault="00D47CE2" w:rsidP="003A27CA">
            <w:pPr>
              <w:pStyle w:val="Tabletext"/>
            </w:pPr>
            <w:r w:rsidRPr="00245ACA">
              <w:t>Subregulation</w:t>
            </w:r>
            <w:r w:rsidR="00245ACA" w:rsidRPr="00245ACA">
              <w:t> </w:t>
            </w:r>
            <w:r w:rsidRPr="00245ACA">
              <w:t>8(2) (note)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47CE2" w:rsidRPr="00245ACA" w:rsidRDefault="00503CEB" w:rsidP="00503CEB">
            <w:pPr>
              <w:pStyle w:val="Tabletext"/>
            </w:pPr>
            <w:r w:rsidRPr="00245ACA">
              <w:t>nuclear waste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47CE2" w:rsidRPr="00245ACA" w:rsidRDefault="00503CEB" w:rsidP="00503CEB">
            <w:pPr>
              <w:pStyle w:val="Tabletext"/>
            </w:pPr>
            <w:r w:rsidRPr="00245ACA">
              <w:t>radioactive waste</w:t>
            </w:r>
          </w:p>
        </w:tc>
      </w:tr>
    </w:tbl>
    <w:p w:rsidR="00676E69" w:rsidRPr="00245ACA" w:rsidRDefault="00676E69" w:rsidP="00676E69">
      <w:pPr>
        <w:pStyle w:val="Tabletext"/>
      </w:pPr>
    </w:p>
    <w:p w:rsidR="008B0E2E" w:rsidRPr="00245ACA" w:rsidRDefault="005F766C" w:rsidP="008B0E2E">
      <w:pPr>
        <w:pStyle w:val="ItemHead"/>
        <w:tabs>
          <w:tab w:val="left" w:pos="6663"/>
        </w:tabs>
      </w:pPr>
      <w:r w:rsidRPr="00245ACA">
        <w:t>24</w:t>
      </w:r>
      <w:r w:rsidR="008B0E2E" w:rsidRPr="00245ACA">
        <w:t xml:space="preserve">  Amendments of listed provisions—</w:t>
      </w:r>
      <w:r w:rsidR="00177D58" w:rsidRPr="00245ACA">
        <w:t>Schedule</w:t>
      </w:r>
      <w:r w:rsidR="00245ACA" w:rsidRPr="00245ACA">
        <w:t> </w:t>
      </w:r>
      <w:r w:rsidR="00177D58" w:rsidRPr="00245ACA">
        <w:t>3A</w:t>
      </w:r>
    </w:p>
    <w:p w:rsidR="008B0E2E" w:rsidRPr="00245ACA" w:rsidRDefault="008B0E2E" w:rsidP="008B0E2E">
      <w:pPr>
        <w:pStyle w:val="Item"/>
      </w:pPr>
      <w:r w:rsidRPr="00245ACA">
        <w:t xml:space="preserve">The items of the table in </w:t>
      </w:r>
      <w:r w:rsidR="00FA72E9" w:rsidRPr="00245ACA">
        <w:t>clause</w:t>
      </w:r>
      <w:r w:rsidR="00245ACA" w:rsidRPr="00245ACA">
        <w:t> </w:t>
      </w:r>
      <w:r w:rsidR="00FA72E9" w:rsidRPr="00245ACA">
        <w:t xml:space="preserve">1 of </w:t>
      </w:r>
      <w:r w:rsidRPr="00245ACA">
        <w:t>Schedule</w:t>
      </w:r>
      <w:r w:rsidR="00245ACA" w:rsidRPr="00245ACA">
        <w:t> </w:t>
      </w:r>
      <w:r w:rsidRPr="00245ACA">
        <w:t>3A listed in the following table are amended as set out in the table.</w:t>
      </w:r>
    </w:p>
    <w:p w:rsidR="008B0E2E" w:rsidRPr="00245ACA" w:rsidRDefault="008B0E2E" w:rsidP="008B0E2E">
      <w:pPr>
        <w:pStyle w:val="Item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8B0E2E" w:rsidRPr="00245ACA" w:rsidTr="00220927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B0E2E" w:rsidRPr="00245ACA" w:rsidRDefault="00A42509" w:rsidP="00BD217B">
            <w:pPr>
              <w:pStyle w:val="TableHeading"/>
            </w:pPr>
            <w:r w:rsidRPr="00245ACA">
              <w:t>Further amendments</w:t>
            </w:r>
          </w:p>
        </w:tc>
      </w:tr>
      <w:tr w:rsidR="008B0E2E" w:rsidRPr="00245ACA" w:rsidTr="0022092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B0E2E" w:rsidRPr="00245ACA" w:rsidRDefault="008B0E2E" w:rsidP="00BD217B">
            <w:pPr>
              <w:pStyle w:val="TableHeading"/>
            </w:pPr>
            <w:r w:rsidRPr="00245ACA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B0E2E" w:rsidRPr="00245ACA" w:rsidRDefault="008B0E2E" w:rsidP="00BD217B">
            <w:pPr>
              <w:pStyle w:val="TableHeading"/>
            </w:pPr>
            <w:r w:rsidRPr="00245ACA">
              <w:t>Table 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B0E2E" w:rsidRPr="00245ACA" w:rsidRDefault="008B0E2E" w:rsidP="00BD217B">
            <w:pPr>
              <w:pStyle w:val="TableHeading"/>
            </w:pPr>
            <w:r w:rsidRPr="00245ACA">
              <w:t>Omit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B0E2E" w:rsidRPr="00245ACA" w:rsidRDefault="008B0E2E" w:rsidP="00BD217B">
            <w:pPr>
              <w:pStyle w:val="TableHeading"/>
            </w:pPr>
            <w:r w:rsidRPr="00245ACA">
              <w:t>Substitute</w:t>
            </w:r>
          </w:p>
        </w:tc>
      </w:tr>
      <w:tr w:rsidR="008B0E2E" w:rsidRPr="00245ACA" w:rsidTr="00220927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8B0E2E" w:rsidRPr="00245ACA" w:rsidRDefault="009F348F" w:rsidP="00220927">
            <w:pPr>
              <w:pStyle w:val="Tabletext"/>
            </w:pPr>
            <w:r w:rsidRPr="00245ACA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 xml:space="preserve">1, </w:t>
            </w:r>
            <w:r w:rsidR="00245ACA" w:rsidRPr="00245ACA">
              <w:t>paragraph (</w:t>
            </w:r>
            <w:r w:rsidRPr="00245ACA">
              <w:t>a)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nuclear materials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radioactive materials</w:t>
            </w:r>
          </w:p>
        </w:tc>
      </w:tr>
      <w:tr w:rsidR="008B0E2E" w:rsidRPr="00245ACA" w:rsidTr="00220927">
        <w:tc>
          <w:tcPr>
            <w:tcW w:w="714" w:type="dxa"/>
            <w:shd w:val="clear" w:color="auto" w:fill="auto"/>
          </w:tcPr>
          <w:p w:rsidR="008B0E2E" w:rsidRPr="00245ACA" w:rsidRDefault="009F348F" w:rsidP="00220927">
            <w:pPr>
              <w:pStyle w:val="Tabletext"/>
            </w:pPr>
            <w:r w:rsidRPr="00245ACA">
              <w:t>2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 xml:space="preserve">2, </w:t>
            </w:r>
            <w:r w:rsidR="00245ACA" w:rsidRPr="00245ACA">
              <w:t>paragraph (</w:t>
            </w:r>
            <w:r w:rsidRPr="00245ACA">
              <w:t>a)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nuclear materials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radioactive materials</w:t>
            </w:r>
          </w:p>
        </w:tc>
      </w:tr>
      <w:tr w:rsidR="008B0E2E" w:rsidRPr="00245ACA" w:rsidTr="00220927">
        <w:tc>
          <w:tcPr>
            <w:tcW w:w="714" w:type="dxa"/>
            <w:shd w:val="clear" w:color="auto" w:fill="auto"/>
          </w:tcPr>
          <w:p w:rsidR="008B0E2E" w:rsidRPr="00245ACA" w:rsidRDefault="009F348F" w:rsidP="00220927">
            <w:pPr>
              <w:pStyle w:val="Tabletext"/>
            </w:pPr>
            <w:r w:rsidRPr="00245ACA">
              <w:t>3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 xml:space="preserve">3, </w:t>
            </w:r>
            <w:r w:rsidR="00245ACA" w:rsidRPr="00245ACA">
              <w:t>paragraph (</w:t>
            </w:r>
            <w:r w:rsidRPr="00245ACA">
              <w:t>a)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nuclear materials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radioactive materials</w:t>
            </w:r>
          </w:p>
        </w:tc>
      </w:tr>
      <w:tr w:rsidR="008B0E2E" w:rsidRPr="00245ACA" w:rsidTr="00220927">
        <w:tc>
          <w:tcPr>
            <w:tcW w:w="714" w:type="dxa"/>
            <w:shd w:val="clear" w:color="auto" w:fill="auto"/>
          </w:tcPr>
          <w:p w:rsidR="008B0E2E" w:rsidRPr="00245ACA" w:rsidRDefault="009F348F" w:rsidP="00220927">
            <w:pPr>
              <w:pStyle w:val="Tabletext"/>
            </w:pPr>
            <w:r w:rsidRPr="00245ACA">
              <w:t>4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 xml:space="preserve">4, </w:t>
            </w:r>
            <w:r w:rsidR="00245ACA" w:rsidRPr="00245ACA">
              <w:t>paragraph (</w:t>
            </w:r>
            <w:r w:rsidRPr="00245ACA">
              <w:t>a)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nuclear materials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radioactive materials</w:t>
            </w:r>
          </w:p>
        </w:tc>
      </w:tr>
      <w:tr w:rsidR="008B0E2E" w:rsidRPr="00245ACA" w:rsidTr="00220927">
        <w:tc>
          <w:tcPr>
            <w:tcW w:w="714" w:type="dxa"/>
            <w:shd w:val="clear" w:color="auto" w:fill="auto"/>
          </w:tcPr>
          <w:p w:rsidR="008B0E2E" w:rsidRPr="00245ACA" w:rsidRDefault="009F348F" w:rsidP="00220927">
            <w:pPr>
              <w:pStyle w:val="Tabletext"/>
            </w:pPr>
            <w:r w:rsidRPr="00245ACA">
              <w:t>5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 xml:space="preserve">5, </w:t>
            </w:r>
            <w:r w:rsidR="00245ACA" w:rsidRPr="00245ACA">
              <w:t>paragraph (</w:t>
            </w:r>
            <w:r w:rsidRPr="00245ACA">
              <w:t>a)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nuclear materials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radioactive materials</w:t>
            </w:r>
          </w:p>
        </w:tc>
      </w:tr>
      <w:tr w:rsidR="008B0E2E" w:rsidRPr="00245ACA" w:rsidTr="00220927">
        <w:tc>
          <w:tcPr>
            <w:tcW w:w="714" w:type="dxa"/>
            <w:shd w:val="clear" w:color="auto" w:fill="auto"/>
          </w:tcPr>
          <w:p w:rsidR="008B0E2E" w:rsidRPr="00245ACA" w:rsidRDefault="009F348F" w:rsidP="00220927">
            <w:pPr>
              <w:pStyle w:val="Tabletext"/>
            </w:pPr>
            <w:r w:rsidRPr="00245ACA">
              <w:t>6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 xml:space="preserve">6, </w:t>
            </w:r>
            <w:r w:rsidR="00245ACA" w:rsidRPr="00245ACA">
              <w:t>paragraph (</w:t>
            </w:r>
            <w:r w:rsidRPr="00245ACA">
              <w:t>a)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nuclear materials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radioactive materials</w:t>
            </w:r>
          </w:p>
        </w:tc>
      </w:tr>
      <w:tr w:rsidR="008B0E2E" w:rsidRPr="00245ACA" w:rsidTr="00220927">
        <w:tc>
          <w:tcPr>
            <w:tcW w:w="714" w:type="dxa"/>
            <w:shd w:val="clear" w:color="auto" w:fill="auto"/>
          </w:tcPr>
          <w:p w:rsidR="008B0E2E" w:rsidRPr="00245ACA" w:rsidRDefault="009F348F" w:rsidP="00220927">
            <w:pPr>
              <w:pStyle w:val="Tabletext"/>
            </w:pPr>
            <w:r w:rsidRPr="00245ACA">
              <w:t>7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 xml:space="preserve">7, </w:t>
            </w:r>
            <w:r w:rsidR="00245ACA" w:rsidRPr="00245ACA">
              <w:t>paragraph (</w:t>
            </w:r>
            <w:r w:rsidRPr="00245ACA">
              <w:t>a)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nuclear materials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radioactive materials</w:t>
            </w:r>
          </w:p>
        </w:tc>
      </w:tr>
      <w:tr w:rsidR="008B0E2E" w:rsidRPr="00245ACA" w:rsidTr="00220927">
        <w:tc>
          <w:tcPr>
            <w:tcW w:w="714" w:type="dxa"/>
            <w:shd w:val="clear" w:color="auto" w:fill="auto"/>
          </w:tcPr>
          <w:p w:rsidR="008B0E2E" w:rsidRPr="00245ACA" w:rsidRDefault="009F348F" w:rsidP="00220927">
            <w:pPr>
              <w:pStyle w:val="Tabletext"/>
            </w:pPr>
            <w:r w:rsidRPr="00245ACA">
              <w:t>8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 xml:space="preserve">8, </w:t>
            </w:r>
            <w:r w:rsidR="00245ACA" w:rsidRPr="00245ACA">
              <w:t>paragraph (</w:t>
            </w:r>
            <w:r w:rsidRPr="00245ACA">
              <w:t>a)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nuclear materials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radioactive materials</w:t>
            </w:r>
          </w:p>
        </w:tc>
      </w:tr>
      <w:tr w:rsidR="008B0E2E" w:rsidRPr="00245ACA" w:rsidTr="00220927">
        <w:tc>
          <w:tcPr>
            <w:tcW w:w="714" w:type="dxa"/>
            <w:shd w:val="clear" w:color="auto" w:fill="auto"/>
          </w:tcPr>
          <w:p w:rsidR="008B0E2E" w:rsidRPr="00245ACA" w:rsidRDefault="009F348F" w:rsidP="00220927">
            <w:pPr>
              <w:pStyle w:val="Tabletext"/>
            </w:pPr>
            <w:r w:rsidRPr="00245ACA">
              <w:t>9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 xml:space="preserve">9, </w:t>
            </w:r>
            <w:r w:rsidR="00245ACA" w:rsidRPr="00245ACA">
              <w:t>paragraph (</w:t>
            </w:r>
            <w:r w:rsidRPr="00245ACA">
              <w:t>a)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nuclear materials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radioactive materials</w:t>
            </w:r>
          </w:p>
        </w:tc>
      </w:tr>
      <w:tr w:rsidR="008B0E2E" w:rsidRPr="00245ACA" w:rsidTr="00220927">
        <w:tc>
          <w:tcPr>
            <w:tcW w:w="714" w:type="dxa"/>
            <w:shd w:val="clear" w:color="auto" w:fill="auto"/>
          </w:tcPr>
          <w:p w:rsidR="008B0E2E" w:rsidRPr="00245ACA" w:rsidRDefault="009F348F" w:rsidP="00220927">
            <w:pPr>
              <w:pStyle w:val="Tabletext"/>
            </w:pPr>
            <w:r w:rsidRPr="00245ACA">
              <w:t>10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 xml:space="preserve">10, </w:t>
            </w:r>
            <w:r w:rsidR="00245ACA" w:rsidRPr="00245ACA">
              <w:t>paragraph (</w:t>
            </w:r>
            <w:r w:rsidRPr="00245ACA">
              <w:t>a)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nuclear materials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radioactive materials</w:t>
            </w:r>
          </w:p>
        </w:tc>
      </w:tr>
      <w:tr w:rsidR="008B0E2E" w:rsidRPr="00245ACA" w:rsidTr="00220927">
        <w:tc>
          <w:tcPr>
            <w:tcW w:w="714" w:type="dxa"/>
            <w:shd w:val="clear" w:color="auto" w:fill="auto"/>
          </w:tcPr>
          <w:p w:rsidR="008B0E2E" w:rsidRPr="00245ACA" w:rsidRDefault="009F348F" w:rsidP="00220927">
            <w:pPr>
              <w:pStyle w:val="Tabletext"/>
            </w:pPr>
            <w:r w:rsidRPr="00245ACA">
              <w:t>11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 xml:space="preserve">16, </w:t>
            </w:r>
            <w:r w:rsidR="00245ACA" w:rsidRPr="00245ACA">
              <w:t>paragraphs (</w:t>
            </w:r>
            <w:r w:rsidRPr="00245ACA">
              <w:t>a)</w:t>
            </w:r>
            <w:r w:rsidR="005E0F7B" w:rsidRPr="00245ACA">
              <w:t xml:space="preserve"> and (b)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5E0F7B" w:rsidP="005E0F7B">
            <w:pPr>
              <w:pStyle w:val="Tabletext"/>
            </w:pPr>
            <w:r w:rsidRPr="00245ACA">
              <w:t>nuclear waste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5E0F7B" w:rsidP="005E0F7B">
            <w:pPr>
              <w:pStyle w:val="Tabletext"/>
            </w:pPr>
            <w:r w:rsidRPr="00245ACA">
              <w:t>radioactive waste</w:t>
            </w:r>
          </w:p>
        </w:tc>
      </w:tr>
      <w:tr w:rsidR="008B0E2E" w:rsidRPr="00245ACA" w:rsidTr="00220927">
        <w:tc>
          <w:tcPr>
            <w:tcW w:w="714" w:type="dxa"/>
            <w:shd w:val="clear" w:color="auto" w:fill="auto"/>
          </w:tcPr>
          <w:p w:rsidR="008B0E2E" w:rsidRPr="00245ACA" w:rsidRDefault="009F348F" w:rsidP="00220927">
            <w:pPr>
              <w:pStyle w:val="Tabletext"/>
            </w:pPr>
            <w:r w:rsidRPr="00245ACA">
              <w:t>12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 xml:space="preserve">17, </w:t>
            </w:r>
            <w:r w:rsidR="00245ACA" w:rsidRPr="00245ACA">
              <w:t>paragraphs (</w:t>
            </w:r>
            <w:r w:rsidRPr="00245ACA">
              <w:t>a)</w:t>
            </w:r>
            <w:r w:rsidR="005E0F7B" w:rsidRPr="00245ACA">
              <w:t xml:space="preserve"> and (b)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8B0E2E" w:rsidP="005E0F7B">
            <w:pPr>
              <w:pStyle w:val="Tabletext"/>
            </w:pPr>
            <w:r w:rsidRPr="00245ACA">
              <w:t>nuclear wast</w:t>
            </w:r>
            <w:r w:rsidR="005E0F7B" w:rsidRPr="00245ACA">
              <w:t>e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5E0F7B" w:rsidP="005E0F7B">
            <w:pPr>
              <w:pStyle w:val="Tabletext"/>
            </w:pPr>
            <w:r w:rsidRPr="00245ACA">
              <w:t>radioactive waste</w:t>
            </w:r>
          </w:p>
        </w:tc>
      </w:tr>
      <w:tr w:rsidR="008B0E2E" w:rsidRPr="00245ACA" w:rsidTr="00220927">
        <w:tc>
          <w:tcPr>
            <w:tcW w:w="714" w:type="dxa"/>
            <w:shd w:val="clear" w:color="auto" w:fill="auto"/>
          </w:tcPr>
          <w:p w:rsidR="008B0E2E" w:rsidRPr="00245ACA" w:rsidRDefault="009F348F" w:rsidP="00220927">
            <w:pPr>
              <w:pStyle w:val="Tabletext"/>
            </w:pPr>
            <w:r w:rsidRPr="00245ACA">
              <w:t>13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 xml:space="preserve">18, </w:t>
            </w:r>
            <w:r w:rsidR="00245ACA" w:rsidRPr="00245ACA">
              <w:t>paragraphs (</w:t>
            </w:r>
            <w:r w:rsidRPr="00245ACA">
              <w:t>a)</w:t>
            </w:r>
            <w:r w:rsidR="005E0F7B" w:rsidRPr="00245ACA">
              <w:t xml:space="preserve"> and (b)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5E0F7B" w:rsidP="005E0F7B">
            <w:pPr>
              <w:pStyle w:val="Tabletext"/>
            </w:pPr>
            <w:r w:rsidRPr="00245ACA">
              <w:t>nuclear waste</w:t>
            </w:r>
          </w:p>
        </w:tc>
        <w:tc>
          <w:tcPr>
            <w:tcW w:w="2533" w:type="dxa"/>
            <w:shd w:val="clear" w:color="auto" w:fill="auto"/>
          </w:tcPr>
          <w:p w:rsidR="008B0E2E" w:rsidRPr="00245ACA" w:rsidRDefault="005E0F7B" w:rsidP="005E0F7B">
            <w:pPr>
              <w:pStyle w:val="Tabletext"/>
            </w:pPr>
            <w:r w:rsidRPr="00245ACA">
              <w:t>radioactive waste</w:t>
            </w:r>
          </w:p>
        </w:tc>
      </w:tr>
      <w:tr w:rsidR="008B0E2E" w:rsidRPr="00245ACA" w:rsidTr="00220927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8B0E2E" w:rsidRPr="00245ACA" w:rsidRDefault="009F348F" w:rsidP="00220927">
            <w:pPr>
              <w:pStyle w:val="Tabletext"/>
            </w:pPr>
            <w:r w:rsidRPr="00245ACA">
              <w:t>14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 xml:space="preserve">19, </w:t>
            </w:r>
            <w:r w:rsidR="00245ACA" w:rsidRPr="00245ACA">
              <w:t>paragraphs (</w:t>
            </w:r>
            <w:r w:rsidRPr="00245ACA">
              <w:t>a)</w:t>
            </w:r>
            <w:r w:rsidR="005E0F7B" w:rsidRPr="00245ACA">
              <w:t xml:space="preserve"> and (b)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:rsidR="008B0E2E" w:rsidRPr="00245ACA" w:rsidRDefault="005E0F7B" w:rsidP="005E0F7B">
            <w:pPr>
              <w:pStyle w:val="Tabletext"/>
            </w:pPr>
            <w:r w:rsidRPr="00245ACA">
              <w:t>nuclear waste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:rsidR="008B0E2E" w:rsidRPr="00245ACA" w:rsidRDefault="005E0F7B" w:rsidP="005E0F7B">
            <w:pPr>
              <w:pStyle w:val="Tabletext"/>
            </w:pPr>
            <w:r w:rsidRPr="00245ACA">
              <w:t>radioactive waste</w:t>
            </w:r>
          </w:p>
        </w:tc>
      </w:tr>
      <w:tr w:rsidR="008B0E2E" w:rsidRPr="00245ACA" w:rsidTr="00220927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B0E2E" w:rsidRPr="00245ACA" w:rsidRDefault="009F348F" w:rsidP="00220927">
            <w:pPr>
              <w:pStyle w:val="Tabletext"/>
            </w:pPr>
            <w:r w:rsidRPr="00245ACA">
              <w:t>15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B0E2E" w:rsidRPr="00245ACA" w:rsidRDefault="008B0E2E" w:rsidP="00220927">
            <w:pPr>
              <w:pStyle w:val="Tabletext"/>
            </w:pPr>
            <w:r w:rsidRPr="00245ACA">
              <w:t>Item</w:t>
            </w:r>
            <w:r w:rsidR="00245ACA" w:rsidRPr="00245ACA">
              <w:t> </w:t>
            </w:r>
            <w:r w:rsidRPr="00245ACA">
              <w:t xml:space="preserve">20, </w:t>
            </w:r>
            <w:r w:rsidR="00245ACA" w:rsidRPr="00245ACA">
              <w:t>paragraphs (</w:t>
            </w:r>
            <w:r w:rsidR="005E0F7B" w:rsidRPr="00245ACA">
              <w:t>a) and</w:t>
            </w:r>
            <w:r w:rsidR="001F20F1" w:rsidRPr="00245ACA">
              <w:t xml:space="preserve"> </w:t>
            </w:r>
            <w:r w:rsidR="00427487" w:rsidRPr="00245ACA">
              <w:t>(</w:t>
            </w:r>
            <w:r w:rsidRPr="00245ACA">
              <w:t>b)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B0E2E" w:rsidRPr="00245ACA" w:rsidRDefault="005E0F7B" w:rsidP="005E0F7B">
            <w:pPr>
              <w:pStyle w:val="Tabletext"/>
            </w:pPr>
            <w:r w:rsidRPr="00245ACA">
              <w:t>nuclear waste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B0E2E" w:rsidRPr="00245ACA" w:rsidRDefault="005E0F7B" w:rsidP="005E0F7B">
            <w:pPr>
              <w:pStyle w:val="Tabletext"/>
            </w:pPr>
            <w:r w:rsidRPr="00245ACA">
              <w:t>radioactive waste</w:t>
            </w:r>
          </w:p>
        </w:tc>
      </w:tr>
    </w:tbl>
    <w:p w:rsidR="008B0E2E" w:rsidRPr="00245ACA" w:rsidRDefault="008B0E2E" w:rsidP="008B0E2E">
      <w:pPr>
        <w:pStyle w:val="Tabletext"/>
      </w:pPr>
    </w:p>
    <w:sectPr w:rsidR="008B0E2E" w:rsidRPr="00245ACA" w:rsidSect="006C001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A8B" w:rsidRDefault="00B86A8B" w:rsidP="0048364F">
      <w:pPr>
        <w:spacing w:line="240" w:lineRule="auto"/>
      </w:pPr>
      <w:r>
        <w:separator/>
      </w:r>
    </w:p>
  </w:endnote>
  <w:endnote w:type="continuationSeparator" w:id="0">
    <w:p w:rsidR="00B86A8B" w:rsidRDefault="00B86A8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8B" w:rsidRPr="006C001F" w:rsidRDefault="00B86A8B" w:rsidP="006C001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C001F">
      <w:rPr>
        <w:i/>
        <w:sz w:val="18"/>
      </w:rPr>
      <w:t xml:space="preserve"> </w:t>
    </w:r>
    <w:r w:rsidR="006C001F" w:rsidRPr="006C001F">
      <w:rPr>
        <w:i/>
        <w:sz w:val="18"/>
      </w:rPr>
      <w:t>OPC61710 -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1F" w:rsidRDefault="006C001F" w:rsidP="006C001F">
    <w:pPr>
      <w:pStyle w:val="Footer"/>
    </w:pPr>
    <w:r w:rsidRPr="006C001F">
      <w:rPr>
        <w:i/>
        <w:sz w:val="18"/>
      </w:rPr>
      <w:t>OPC61710 -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8B" w:rsidRPr="006C001F" w:rsidRDefault="00B86A8B" w:rsidP="00486382">
    <w:pPr>
      <w:pStyle w:val="Footer"/>
      <w:rPr>
        <w:sz w:val="18"/>
      </w:rPr>
    </w:pPr>
  </w:p>
  <w:p w:rsidR="00B86A8B" w:rsidRPr="006C001F" w:rsidRDefault="006C001F" w:rsidP="006C001F">
    <w:pPr>
      <w:pStyle w:val="Footer"/>
      <w:rPr>
        <w:sz w:val="18"/>
      </w:rPr>
    </w:pPr>
    <w:r w:rsidRPr="006C001F">
      <w:rPr>
        <w:i/>
        <w:sz w:val="18"/>
      </w:rPr>
      <w:t>OPC61710 -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8B" w:rsidRPr="006C001F" w:rsidRDefault="00B86A8B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86A8B" w:rsidRPr="006C001F" w:rsidTr="00DA2AC9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86A8B" w:rsidRPr="006C001F" w:rsidRDefault="00B86A8B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C001F">
            <w:rPr>
              <w:rFonts w:cs="Times New Roman"/>
              <w:i/>
              <w:sz w:val="18"/>
            </w:rPr>
            <w:fldChar w:fldCharType="begin"/>
          </w:r>
          <w:r w:rsidRPr="006C001F">
            <w:rPr>
              <w:rFonts w:cs="Times New Roman"/>
              <w:i/>
              <w:sz w:val="18"/>
            </w:rPr>
            <w:instrText xml:space="preserve"> PAGE </w:instrText>
          </w:r>
          <w:r w:rsidRPr="006C001F">
            <w:rPr>
              <w:rFonts w:cs="Times New Roman"/>
              <w:i/>
              <w:sz w:val="18"/>
            </w:rPr>
            <w:fldChar w:fldCharType="separate"/>
          </w:r>
          <w:r w:rsidR="00E66E04">
            <w:rPr>
              <w:rFonts w:cs="Times New Roman"/>
              <w:i/>
              <w:noProof/>
              <w:sz w:val="18"/>
            </w:rPr>
            <w:t>iv</w:t>
          </w:r>
          <w:r w:rsidRPr="006C001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86A8B" w:rsidRPr="006C001F" w:rsidRDefault="00B86A8B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C001F">
            <w:rPr>
              <w:rFonts w:cs="Times New Roman"/>
              <w:i/>
              <w:sz w:val="18"/>
            </w:rPr>
            <w:fldChar w:fldCharType="begin"/>
          </w:r>
          <w:r w:rsidRPr="006C001F">
            <w:rPr>
              <w:rFonts w:cs="Times New Roman"/>
              <w:i/>
              <w:sz w:val="18"/>
            </w:rPr>
            <w:instrText xml:space="preserve"> DOCPROPERTY ShortT </w:instrText>
          </w:r>
          <w:r w:rsidRPr="006C001F">
            <w:rPr>
              <w:rFonts w:cs="Times New Roman"/>
              <w:i/>
              <w:sz w:val="18"/>
            </w:rPr>
            <w:fldChar w:fldCharType="separate"/>
          </w:r>
          <w:r w:rsidR="00FA4F61">
            <w:rPr>
              <w:rFonts w:cs="Times New Roman"/>
              <w:i/>
              <w:sz w:val="18"/>
            </w:rPr>
            <w:t>Australian Radiation Protection and Nuclear Safety Amendment (2016 Measures No. 1) Regulation 2016</w:t>
          </w:r>
          <w:r w:rsidRPr="006C001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86A8B" w:rsidRPr="006C001F" w:rsidRDefault="00B86A8B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B86A8B" w:rsidRPr="006C001F" w:rsidRDefault="006C001F" w:rsidP="006C001F">
    <w:pPr>
      <w:rPr>
        <w:rFonts w:cs="Times New Roman"/>
        <w:i/>
        <w:sz w:val="18"/>
      </w:rPr>
    </w:pPr>
    <w:r w:rsidRPr="006C001F">
      <w:rPr>
        <w:rFonts w:cs="Times New Roman"/>
        <w:i/>
        <w:sz w:val="18"/>
      </w:rPr>
      <w:t>OPC61710 -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8B" w:rsidRPr="00E33C1C" w:rsidRDefault="00B86A8B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86A8B" w:rsidTr="00DA2AC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86A8B" w:rsidRDefault="00B86A8B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86A8B" w:rsidRDefault="00B86A8B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4F61">
            <w:rPr>
              <w:i/>
              <w:sz w:val="18"/>
            </w:rPr>
            <w:t>Australian Radiation Protection and Nuclear Safety Amendment (2016 Measures No. 1)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86A8B" w:rsidRDefault="00B86A8B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16A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86A8B" w:rsidRPr="00ED79B6" w:rsidRDefault="006C001F" w:rsidP="006C001F">
    <w:pPr>
      <w:rPr>
        <w:i/>
        <w:sz w:val="18"/>
      </w:rPr>
    </w:pPr>
    <w:r w:rsidRPr="006C001F">
      <w:rPr>
        <w:rFonts w:cs="Times New Roman"/>
        <w:i/>
        <w:sz w:val="18"/>
      </w:rPr>
      <w:t>OPC61710 -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8B" w:rsidRPr="006C001F" w:rsidRDefault="00B86A8B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86A8B" w:rsidRPr="006C001F" w:rsidTr="00DA2AC9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86A8B" w:rsidRPr="006C001F" w:rsidRDefault="00B86A8B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6C001F">
            <w:rPr>
              <w:rFonts w:cs="Times New Roman"/>
              <w:i/>
              <w:sz w:val="18"/>
            </w:rPr>
            <w:fldChar w:fldCharType="begin"/>
          </w:r>
          <w:r w:rsidRPr="006C001F">
            <w:rPr>
              <w:rFonts w:cs="Times New Roman"/>
              <w:i/>
              <w:sz w:val="18"/>
            </w:rPr>
            <w:instrText xml:space="preserve"> PAGE </w:instrText>
          </w:r>
          <w:r w:rsidRPr="006C001F">
            <w:rPr>
              <w:rFonts w:cs="Times New Roman"/>
              <w:i/>
              <w:sz w:val="18"/>
            </w:rPr>
            <w:fldChar w:fldCharType="separate"/>
          </w:r>
          <w:r w:rsidR="000154C9">
            <w:rPr>
              <w:rFonts w:cs="Times New Roman"/>
              <w:i/>
              <w:noProof/>
              <w:sz w:val="18"/>
            </w:rPr>
            <w:t>8</w:t>
          </w:r>
          <w:r w:rsidRPr="006C001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86A8B" w:rsidRPr="006C001F" w:rsidRDefault="00B86A8B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C001F">
            <w:rPr>
              <w:rFonts w:cs="Times New Roman"/>
              <w:i/>
              <w:sz w:val="18"/>
            </w:rPr>
            <w:fldChar w:fldCharType="begin"/>
          </w:r>
          <w:r w:rsidRPr="006C001F">
            <w:rPr>
              <w:rFonts w:cs="Times New Roman"/>
              <w:i/>
              <w:sz w:val="18"/>
            </w:rPr>
            <w:instrText xml:space="preserve"> DOCPROPERTY ShortT </w:instrText>
          </w:r>
          <w:r w:rsidRPr="006C001F">
            <w:rPr>
              <w:rFonts w:cs="Times New Roman"/>
              <w:i/>
              <w:sz w:val="18"/>
            </w:rPr>
            <w:fldChar w:fldCharType="separate"/>
          </w:r>
          <w:r w:rsidR="00FA4F61">
            <w:rPr>
              <w:rFonts w:cs="Times New Roman"/>
              <w:i/>
              <w:sz w:val="18"/>
            </w:rPr>
            <w:t>Australian Radiation Protection and Nuclear Safety Amendment (2016 Measures No. 1) Regulation 2016</w:t>
          </w:r>
          <w:r w:rsidRPr="006C001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86A8B" w:rsidRPr="006C001F" w:rsidRDefault="00B86A8B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B86A8B" w:rsidRPr="006C001F" w:rsidRDefault="006C001F" w:rsidP="006C001F">
    <w:pPr>
      <w:rPr>
        <w:rFonts w:cs="Times New Roman"/>
        <w:i/>
        <w:sz w:val="18"/>
      </w:rPr>
    </w:pPr>
    <w:r w:rsidRPr="006C001F">
      <w:rPr>
        <w:rFonts w:cs="Times New Roman"/>
        <w:i/>
        <w:sz w:val="18"/>
      </w:rPr>
      <w:t>OPC61710 -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8B" w:rsidRPr="00E33C1C" w:rsidRDefault="00B86A8B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86A8B" w:rsidTr="00DA2AC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86A8B" w:rsidRDefault="00B86A8B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86A8B" w:rsidRDefault="00B86A8B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4F61">
            <w:rPr>
              <w:i/>
              <w:sz w:val="18"/>
            </w:rPr>
            <w:t>Australian Radiation Protection and Nuclear Safety Amendment (2016 Measures No. 1)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86A8B" w:rsidRDefault="00B86A8B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716A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86A8B" w:rsidRPr="00ED79B6" w:rsidRDefault="006C001F" w:rsidP="006C001F">
    <w:pPr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DOCPROPERTY ID \* MERGEFORMAT </w:instrText>
    </w:r>
    <w:r>
      <w:rPr>
        <w:i/>
        <w:sz w:val="18"/>
      </w:rPr>
      <w:fldChar w:fldCharType="separate"/>
    </w:r>
    <w:r w:rsidR="00FA4F61">
      <w:rPr>
        <w:i/>
        <w:sz w:val="18"/>
      </w:rPr>
      <w:t>OPC61710</w:t>
    </w:r>
    <w:r>
      <w:rPr>
        <w:i/>
        <w:sz w:val="18"/>
      </w:rPr>
      <w:fldChar w:fldCharType="end"/>
    </w:r>
    <w:r w:rsidRPr="006C001F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8B" w:rsidRPr="00E33C1C" w:rsidRDefault="00B86A8B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86A8B" w:rsidTr="00DA2AC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86A8B" w:rsidRDefault="00B86A8B" w:rsidP="00C6463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86A8B" w:rsidRDefault="00B86A8B" w:rsidP="00C6463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A4F61">
            <w:rPr>
              <w:i/>
              <w:sz w:val="18"/>
            </w:rPr>
            <w:t>Australian Radiation Protection and Nuclear Safety Amendment (2016 Measures No. 1)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86A8B" w:rsidRDefault="00B86A8B" w:rsidP="00C6463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6E0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86A8B" w:rsidRPr="00ED79B6" w:rsidRDefault="00B86A8B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A8B" w:rsidRDefault="00B86A8B" w:rsidP="0048364F">
      <w:pPr>
        <w:spacing w:line="240" w:lineRule="auto"/>
      </w:pPr>
      <w:r>
        <w:separator/>
      </w:r>
    </w:p>
  </w:footnote>
  <w:footnote w:type="continuationSeparator" w:id="0">
    <w:p w:rsidR="00B86A8B" w:rsidRDefault="00B86A8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8B" w:rsidRPr="005F1388" w:rsidRDefault="00B86A8B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8B" w:rsidRPr="005F1388" w:rsidRDefault="00B86A8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8B" w:rsidRPr="005F1388" w:rsidRDefault="00B86A8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8B" w:rsidRPr="00ED79B6" w:rsidRDefault="00B86A8B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8B" w:rsidRPr="00ED79B6" w:rsidRDefault="00B86A8B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8B" w:rsidRPr="00ED79B6" w:rsidRDefault="00B86A8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8B" w:rsidRPr="00A961C4" w:rsidRDefault="00B86A8B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154C9">
      <w:rPr>
        <w:b/>
        <w:sz w:val="20"/>
      </w:rPr>
      <w:fldChar w:fldCharType="separate"/>
    </w:r>
    <w:r w:rsidR="000154C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154C9">
      <w:rPr>
        <w:sz w:val="20"/>
      </w:rPr>
      <w:fldChar w:fldCharType="separate"/>
    </w:r>
    <w:r w:rsidR="000154C9">
      <w:rPr>
        <w:noProof/>
        <w:sz w:val="20"/>
      </w:rPr>
      <w:t>Amendments</w:t>
    </w:r>
    <w:r>
      <w:rPr>
        <w:sz w:val="20"/>
      </w:rPr>
      <w:fldChar w:fldCharType="end"/>
    </w:r>
  </w:p>
  <w:p w:rsidR="00B86A8B" w:rsidRPr="00A961C4" w:rsidRDefault="00B86A8B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0154C9">
      <w:rPr>
        <w:b/>
        <w:sz w:val="20"/>
      </w:rPr>
      <w:fldChar w:fldCharType="separate"/>
    </w:r>
    <w:r w:rsidR="000154C9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0154C9">
      <w:rPr>
        <w:sz w:val="20"/>
      </w:rPr>
      <w:fldChar w:fldCharType="separate"/>
    </w:r>
    <w:r w:rsidR="000154C9">
      <w:rPr>
        <w:noProof/>
        <w:sz w:val="20"/>
      </w:rPr>
      <w:t>Other amendments</w:t>
    </w:r>
    <w:r>
      <w:rPr>
        <w:sz w:val="20"/>
      </w:rPr>
      <w:fldChar w:fldCharType="end"/>
    </w:r>
  </w:p>
  <w:p w:rsidR="00B86A8B" w:rsidRPr="00A961C4" w:rsidRDefault="00B86A8B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8B" w:rsidRPr="00A961C4" w:rsidRDefault="00B86A8B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B86A8B" w:rsidRPr="00A961C4" w:rsidRDefault="00B86A8B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B86A8B" w:rsidRPr="00A961C4" w:rsidRDefault="00B86A8B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8B" w:rsidRPr="00A961C4" w:rsidRDefault="00B86A8B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C9"/>
    <w:rsid w:val="000041C6"/>
    <w:rsid w:val="000063E4"/>
    <w:rsid w:val="00011222"/>
    <w:rsid w:val="000113BC"/>
    <w:rsid w:val="00012E94"/>
    <w:rsid w:val="000136AF"/>
    <w:rsid w:val="000154C9"/>
    <w:rsid w:val="0002236D"/>
    <w:rsid w:val="00025060"/>
    <w:rsid w:val="0004044E"/>
    <w:rsid w:val="00047D1A"/>
    <w:rsid w:val="00052DFF"/>
    <w:rsid w:val="000614BF"/>
    <w:rsid w:val="000659E1"/>
    <w:rsid w:val="00065C73"/>
    <w:rsid w:val="000716A2"/>
    <w:rsid w:val="000754D0"/>
    <w:rsid w:val="0008078B"/>
    <w:rsid w:val="000A7F6F"/>
    <w:rsid w:val="000B0212"/>
    <w:rsid w:val="000C4E79"/>
    <w:rsid w:val="000D05EF"/>
    <w:rsid w:val="000D283D"/>
    <w:rsid w:val="000E7637"/>
    <w:rsid w:val="000F21C1"/>
    <w:rsid w:val="000F6B02"/>
    <w:rsid w:val="000F7427"/>
    <w:rsid w:val="001066E2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75E45"/>
    <w:rsid w:val="00177D58"/>
    <w:rsid w:val="001801BE"/>
    <w:rsid w:val="00187A5A"/>
    <w:rsid w:val="00187D94"/>
    <w:rsid w:val="00191859"/>
    <w:rsid w:val="00193461"/>
    <w:rsid w:val="001939E1"/>
    <w:rsid w:val="00195382"/>
    <w:rsid w:val="001B3097"/>
    <w:rsid w:val="001B7A5D"/>
    <w:rsid w:val="001C1D38"/>
    <w:rsid w:val="001C3B3E"/>
    <w:rsid w:val="001C3C1D"/>
    <w:rsid w:val="001C69C4"/>
    <w:rsid w:val="001D2A16"/>
    <w:rsid w:val="001D33F6"/>
    <w:rsid w:val="001D4229"/>
    <w:rsid w:val="001D7F83"/>
    <w:rsid w:val="001E04A3"/>
    <w:rsid w:val="001E16D0"/>
    <w:rsid w:val="001E3590"/>
    <w:rsid w:val="001E4554"/>
    <w:rsid w:val="001E562E"/>
    <w:rsid w:val="001E5DF5"/>
    <w:rsid w:val="001E7407"/>
    <w:rsid w:val="001F20F1"/>
    <w:rsid w:val="001F6924"/>
    <w:rsid w:val="00201D27"/>
    <w:rsid w:val="00220927"/>
    <w:rsid w:val="00220D3F"/>
    <w:rsid w:val="00227FDB"/>
    <w:rsid w:val="00231313"/>
    <w:rsid w:val="00231427"/>
    <w:rsid w:val="002351F6"/>
    <w:rsid w:val="00240749"/>
    <w:rsid w:val="00240D34"/>
    <w:rsid w:val="00245ACA"/>
    <w:rsid w:val="002515BF"/>
    <w:rsid w:val="00265371"/>
    <w:rsid w:val="00265FBC"/>
    <w:rsid w:val="00266D05"/>
    <w:rsid w:val="0027095E"/>
    <w:rsid w:val="00271D1E"/>
    <w:rsid w:val="002932B1"/>
    <w:rsid w:val="00295408"/>
    <w:rsid w:val="00297B6E"/>
    <w:rsid w:val="00297ECB"/>
    <w:rsid w:val="002A0FFD"/>
    <w:rsid w:val="002B2731"/>
    <w:rsid w:val="002B5B89"/>
    <w:rsid w:val="002B7D96"/>
    <w:rsid w:val="002D043A"/>
    <w:rsid w:val="002F1CFA"/>
    <w:rsid w:val="002F337B"/>
    <w:rsid w:val="002F602C"/>
    <w:rsid w:val="00304355"/>
    <w:rsid w:val="00304E75"/>
    <w:rsid w:val="003072FA"/>
    <w:rsid w:val="0031713F"/>
    <w:rsid w:val="00332F46"/>
    <w:rsid w:val="0033783A"/>
    <w:rsid w:val="00340AF6"/>
    <w:rsid w:val="003415D3"/>
    <w:rsid w:val="003425DF"/>
    <w:rsid w:val="00343927"/>
    <w:rsid w:val="00344CFD"/>
    <w:rsid w:val="003462FD"/>
    <w:rsid w:val="003506BC"/>
    <w:rsid w:val="00352B0F"/>
    <w:rsid w:val="00361BD9"/>
    <w:rsid w:val="00363549"/>
    <w:rsid w:val="003801D0"/>
    <w:rsid w:val="0039228E"/>
    <w:rsid w:val="003926B5"/>
    <w:rsid w:val="003A27CA"/>
    <w:rsid w:val="003A51C5"/>
    <w:rsid w:val="003B04EC"/>
    <w:rsid w:val="003C46CE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139E5"/>
    <w:rsid w:val="00424CA9"/>
    <w:rsid w:val="00427487"/>
    <w:rsid w:val="00433910"/>
    <w:rsid w:val="00437F6D"/>
    <w:rsid w:val="0044291A"/>
    <w:rsid w:val="0045014F"/>
    <w:rsid w:val="004541B9"/>
    <w:rsid w:val="00460499"/>
    <w:rsid w:val="004665B2"/>
    <w:rsid w:val="004707D4"/>
    <w:rsid w:val="00480C54"/>
    <w:rsid w:val="00480FB9"/>
    <w:rsid w:val="00483315"/>
    <w:rsid w:val="0048364F"/>
    <w:rsid w:val="00486382"/>
    <w:rsid w:val="00496F97"/>
    <w:rsid w:val="004A2484"/>
    <w:rsid w:val="004B1BE9"/>
    <w:rsid w:val="004C0255"/>
    <w:rsid w:val="004C044C"/>
    <w:rsid w:val="004C5B5A"/>
    <w:rsid w:val="004C6444"/>
    <w:rsid w:val="004C6DE1"/>
    <w:rsid w:val="004D09AA"/>
    <w:rsid w:val="004D266B"/>
    <w:rsid w:val="004F1FAC"/>
    <w:rsid w:val="004F3A90"/>
    <w:rsid w:val="004F676E"/>
    <w:rsid w:val="004F6872"/>
    <w:rsid w:val="00500D6C"/>
    <w:rsid w:val="00503CEB"/>
    <w:rsid w:val="00507C0D"/>
    <w:rsid w:val="00516B8D"/>
    <w:rsid w:val="00520A1E"/>
    <w:rsid w:val="005236A2"/>
    <w:rsid w:val="0053129C"/>
    <w:rsid w:val="00537FBC"/>
    <w:rsid w:val="00543469"/>
    <w:rsid w:val="005548C0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09E8"/>
    <w:rsid w:val="005E0F7B"/>
    <w:rsid w:val="005E552A"/>
    <w:rsid w:val="005F0450"/>
    <w:rsid w:val="005F766C"/>
    <w:rsid w:val="00600219"/>
    <w:rsid w:val="00613173"/>
    <w:rsid w:val="006249E6"/>
    <w:rsid w:val="00630733"/>
    <w:rsid w:val="0064468A"/>
    <w:rsid w:val="00647480"/>
    <w:rsid w:val="00654CCA"/>
    <w:rsid w:val="00656DE9"/>
    <w:rsid w:val="00660D1B"/>
    <w:rsid w:val="00663BDD"/>
    <w:rsid w:val="00676E69"/>
    <w:rsid w:val="00677CC2"/>
    <w:rsid w:val="00680F17"/>
    <w:rsid w:val="006833A7"/>
    <w:rsid w:val="00685F42"/>
    <w:rsid w:val="0069207B"/>
    <w:rsid w:val="006937E2"/>
    <w:rsid w:val="0069392E"/>
    <w:rsid w:val="006977FB"/>
    <w:rsid w:val="006A165D"/>
    <w:rsid w:val="006B262A"/>
    <w:rsid w:val="006B5C9E"/>
    <w:rsid w:val="006B6C0C"/>
    <w:rsid w:val="006B7226"/>
    <w:rsid w:val="006C001F"/>
    <w:rsid w:val="006C2C12"/>
    <w:rsid w:val="006C3FFF"/>
    <w:rsid w:val="006C7F8C"/>
    <w:rsid w:val="006D14D1"/>
    <w:rsid w:val="006D3667"/>
    <w:rsid w:val="006D4E91"/>
    <w:rsid w:val="006E004B"/>
    <w:rsid w:val="006E5A37"/>
    <w:rsid w:val="006E64F1"/>
    <w:rsid w:val="006E65EA"/>
    <w:rsid w:val="006E7147"/>
    <w:rsid w:val="00700B2C"/>
    <w:rsid w:val="00701E6A"/>
    <w:rsid w:val="00713084"/>
    <w:rsid w:val="007155B8"/>
    <w:rsid w:val="00722023"/>
    <w:rsid w:val="00722DB7"/>
    <w:rsid w:val="00731E00"/>
    <w:rsid w:val="007440B7"/>
    <w:rsid w:val="007634AD"/>
    <w:rsid w:val="00770312"/>
    <w:rsid w:val="007715C9"/>
    <w:rsid w:val="00774EDD"/>
    <w:rsid w:val="007757EC"/>
    <w:rsid w:val="007769D4"/>
    <w:rsid w:val="00785AFA"/>
    <w:rsid w:val="007903AC"/>
    <w:rsid w:val="007A1DB4"/>
    <w:rsid w:val="007A7F9F"/>
    <w:rsid w:val="007D2918"/>
    <w:rsid w:val="007D751E"/>
    <w:rsid w:val="007E7D4A"/>
    <w:rsid w:val="008161B3"/>
    <w:rsid w:val="00823977"/>
    <w:rsid w:val="00826DA5"/>
    <w:rsid w:val="00830581"/>
    <w:rsid w:val="00833416"/>
    <w:rsid w:val="00833825"/>
    <w:rsid w:val="008347AA"/>
    <w:rsid w:val="00840C6D"/>
    <w:rsid w:val="00856A31"/>
    <w:rsid w:val="0086486F"/>
    <w:rsid w:val="008668C8"/>
    <w:rsid w:val="00870F32"/>
    <w:rsid w:val="008714D1"/>
    <w:rsid w:val="008749A1"/>
    <w:rsid w:val="00874B69"/>
    <w:rsid w:val="008754D0"/>
    <w:rsid w:val="00877D48"/>
    <w:rsid w:val="00880795"/>
    <w:rsid w:val="0089783B"/>
    <w:rsid w:val="008B0E2E"/>
    <w:rsid w:val="008C6022"/>
    <w:rsid w:val="008C7960"/>
    <w:rsid w:val="008D0EE0"/>
    <w:rsid w:val="008D2A9D"/>
    <w:rsid w:val="008F07E3"/>
    <w:rsid w:val="008F38CD"/>
    <w:rsid w:val="008F4F1C"/>
    <w:rsid w:val="00907271"/>
    <w:rsid w:val="00932377"/>
    <w:rsid w:val="00932A33"/>
    <w:rsid w:val="00956121"/>
    <w:rsid w:val="00961382"/>
    <w:rsid w:val="0096397B"/>
    <w:rsid w:val="009703B7"/>
    <w:rsid w:val="00972E6C"/>
    <w:rsid w:val="009848EC"/>
    <w:rsid w:val="009908D5"/>
    <w:rsid w:val="00997456"/>
    <w:rsid w:val="009B093E"/>
    <w:rsid w:val="009B3629"/>
    <w:rsid w:val="009C2F7D"/>
    <w:rsid w:val="009C49D8"/>
    <w:rsid w:val="009E3601"/>
    <w:rsid w:val="009E683E"/>
    <w:rsid w:val="009F348F"/>
    <w:rsid w:val="009F43B2"/>
    <w:rsid w:val="009F6217"/>
    <w:rsid w:val="009F727E"/>
    <w:rsid w:val="00A06265"/>
    <w:rsid w:val="00A1027A"/>
    <w:rsid w:val="00A2057D"/>
    <w:rsid w:val="00A231E2"/>
    <w:rsid w:val="00A2550D"/>
    <w:rsid w:val="00A261B0"/>
    <w:rsid w:val="00A26DBE"/>
    <w:rsid w:val="00A27211"/>
    <w:rsid w:val="00A326A4"/>
    <w:rsid w:val="00A4169B"/>
    <w:rsid w:val="00A42509"/>
    <w:rsid w:val="00A4361F"/>
    <w:rsid w:val="00A5197F"/>
    <w:rsid w:val="00A6118F"/>
    <w:rsid w:val="00A64912"/>
    <w:rsid w:val="00A70A74"/>
    <w:rsid w:val="00A71C4E"/>
    <w:rsid w:val="00A7472C"/>
    <w:rsid w:val="00A75F0D"/>
    <w:rsid w:val="00A87AB9"/>
    <w:rsid w:val="00A87C88"/>
    <w:rsid w:val="00AB2068"/>
    <w:rsid w:val="00AB3315"/>
    <w:rsid w:val="00AB7B41"/>
    <w:rsid w:val="00AC06B3"/>
    <w:rsid w:val="00AC37E5"/>
    <w:rsid w:val="00AC7467"/>
    <w:rsid w:val="00AD5641"/>
    <w:rsid w:val="00AE50A2"/>
    <w:rsid w:val="00AE59D1"/>
    <w:rsid w:val="00AF0336"/>
    <w:rsid w:val="00AF6613"/>
    <w:rsid w:val="00B00902"/>
    <w:rsid w:val="00B032D8"/>
    <w:rsid w:val="00B12C45"/>
    <w:rsid w:val="00B22C6B"/>
    <w:rsid w:val="00B332B8"/>
    <w:rsid w:val="00B33B3C"/>
    <w:rsid w:val="00B44657"/>
    <w:rsid w:val="00B53FF7"/>
    <w:rsid w:val="00B618F0"/>
    <w:rsid w:val="00B61D2C"/>
    <w:rsid w:val="00B63BDE"/>
    <w:rsid w:val="00B655DE"/>
    <w:rsid w:val="00B86A8B"/>
    <w:rsid w:val="00B9500F"/>
    <w:rsid w:val="00BA1601"/>
    <w:rsid w:val="00BA5026"/>
    <w:rsid w:val="00BB246F"/>
    <w:rsid w:val="00BB2935"/>
    <w:rsid w:val="00BB6E79"/>
    <w:rsid w:val="00BC29EB"/>
    <w:rsid w:val="00BC4F91"/>
    <w:rsid w:val="00BD217B"/>
    <w:rsid w:val="00BD279E"/>
    <w:rsid w:val="00BD60E6"/>
    <w:rsid w:val="00BE253A"/>
    <w:rsid w:val="00BE719A"/>
    <w:rsid w:val="00BE720A"/>
    <w:rsid w:val="00BF4533"/>
    <w:rsid w:val="00C00759"/>
    <w:rsid w:val="00C0591F"/>
    <w:rsid w:val="00C067E5"/>
    <w:rsid w:val="00C15528"/>
    <w:rsid w:val="00C164CA"/>
    <w:rsid w:val="00C21B63"/>
    <w:rsid w:val="00C256A5"/>
    <w:rsid w:val="00C42BF8"/>
    <w:rsid w:val="00C460AE"/>
    <w:rsid w:val="00C50043"/>
    <w:rsid w:val="00C612EB"/>
    <w:rsid w:val="00C63713"/>
    <w:rsid w:val="00C6397A"/>
    <w:rsid w:val="00C64638"/>
    <w:rsid w:val="00C7573B"/>
    <w:rsid w:val="00C76CF3"/>
    <w:rsid w:val="00C77E30"/>
    <w:rsid w:val="00C814F5"/>
    <w:rsid w:val="00C9413E"/>
    <w:rsid w:val="00CA4051"/>
    <w:rsid w:val="00CB0180"/>
    <w:rsid w:val="00CB1836"/>
    <w:rsid w:val="00CB3470"/>
    <w:rsid w:val="00CB6702"/>
    <w:rsid w:val="00CD606E"/>
    <w:rsid w:val="00CD7ECB"/>
    <w:rsid w:val="00CF0BB2"/>
    <w:rsid w:val="00CF27C0"/>
    <w:rsid w:val="00D0104A"/>
    <w:rsid w:val="00D13441"/>
    <w:rsid w:val="00D17B17"/>
    <w:rsid w:val="00D243A3"/>
    <w:rsid w:val="00D32E57"/>
    <w:rsid w:val="00D333D9"/>
    <w:rsid w:val="00D33440"/>
    <w:rsid w:val="00D33A78"/>
    <w:rsid w:val="00D40403"/>
    <w:rsid w:val="00D4293B"/>
    <w:rsid w:val="00D47ABF"/>
    <w:rsid w:val="00D47CE2"/>
    <w:rsid w:val="00D52EFE"/>
    <w:rsid w:val="00D63EF6"/>
    <w:rsid w:val="00D6480B"/>
    <w:rsid w:val="00D70DFB"/>
    <w:rsid w:val="00D766DF"/>
    <w:rsid w:val="00D83D21"/>
    <w:rsid w:val="00D83FB0"/>
    <w:rsid w:val="00D84B58"/>
    <w:rsid w:val="00D865F7"/>
    <w:rsid w:val="00D925D1"/>
    <w:rsid w:val="00D96F16"/>
    <w:rsid w:val="00DA2AC9"/>
    <w:rsid w:val="00DB5485"/>
    <w:rsid w:val="00DC6790"/>
    <w:rsid w:val="00DE19CB"/>
    <w:rsid w:val="00DE3F7F"/>
    <w:rsid w:val="00DE53AA"/>
    <w:rsid w:val="00DE7BAF"/>
    <w:rsid w:val="00E05704"/>
    <w:rsid w:val="00E05C46"/>
    <w:rsid w:val="00E06B0A"/>
    <w:rsid w:val="00E07764"/>
    <w:rsid w:val="00E10FBA"/>
    <w:rsid w:val="00E30206"/>
    <w:rsid w:val="00E33C1C"/>
    <w:rsid w:val="00E35A8E"/>
    <w:rsid w:val="00E41D6D"/>
    <w:rsid w:val="00E443FC"/>
    <w:rsid w:val="00E45FE7"/>
    <w:rsid w:val="00E46B12"/>
    <w:rsid w:val="00E476B8"/>
    <w:rsid w:val="00E47D5F"/>
    <w:rsid w:val="00E54292"/>
    <w:rsid w:val="00E55BCD"/>
    <w:rsid w:val="00E66E04"/>
    <w:rsid w:val="00E67834"/>
    <w:rsid w:val="00E67F18"/>
    <w:rsid w:val="00E73EC4"/>
    <w:rsid w:val="00E74DC7"/>
    <w:rsid w:val="00E76FAB"/>
    <w:rsid w:val="00E83E2E"/>
    <w:rsid w:val="00E8467A"/>
    <w:rsid w:val="00E84B32"/>
    <w:rsid w:val="00E87699"/>
    <w:rsid w:val="00E96F42"/>
    <w:rsid w:val="00EA1918"/>
    <w:rsid w:val="00EC2F44"/>
    <w:rsid w:val="00ED3A7D"/>
    <w:rsid w:val="00EE65F9"/>
    <w:rsid w:val="00EF2E3A"/>
    <w:rsid w:val="00F047E2"/>
    <w:rsid w:val="00F04A19"/>
    <w:rsid w:val="00F078DC"/>
    <w:rsid w:val="00F13E86"/>
    <w:rsid w:val="00F15BF8"/>
    <w:rsid w:val="00F24C35"/>
    <w:rsid w:val="00F41185"/>
    <w:rsid w:val="00F417E1"/>
    <w:rsid w:val="00F506F5"/>
    <w:rsid w:val="00F516C2"/>
    <w:rsid w:val="00F56759"/>
    <w:rsid w:val="00F677A9"/>
    <w:rsid w:val="00F84CF5"/>
    <w:rsid w:val="00F90583"/>
    <w:rsid w:val="00FA420B"/>
    <w:rsid w:val="00FA4CA6"/>
    <w:rsid w:val="00FA4F61"/>
    <w:rsid w:val="00FA72E9"/>
    <w:rsid w:val="00FB03B3"/>
    <w:rsid w:val="00FB192C"/>
    <w:rsid w:val="00FB3E39"/>
    <w:rsid w:val="00FB66A8"/>
    <w:rsid w:val="00FD050C"/>
    <w:rsid w:val="00FD23B4"/>
    <w:rsid w:val="00FD7CFE"/>
    <w:rsid w:val="00FF1CCA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5AC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A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A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A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A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A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A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A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A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45ACA"/>
  </w:style>
  <w:style w:type="paragraph" w:customStyle="1" w:styleId="OPCParaBase">
    <w:name w:val="OPCParaBase"/>
    <w:qFormat/>
    <w:rsid w:val="00245AC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45A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45A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45A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45A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45A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45A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45A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45A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45A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45A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45ACA"/>
  </w:style>
  <w:style w:type="paragraph" w:customStyle="1" w:styleId="Blocks">
    <w:name w:val="Blocks"/>
    <w:aliases w:val="bb"/>
    <w:basedOn w:val="OPCParaBase"/>
    <w:qFormat/>
    <w:rsid w:val="00245A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5A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45A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45ACA"/>
    <w:rPr>
      <w:i/>
    </w:rPr>
  </w:style>
  <w:style w:type="paragraph" w:customStyle="1" w:styleId="BoxList">
    <w:name w:val="BoxList"/>
    <w:aliases w:val="bl"/>
    <w:basedOn w:val="BoxText"/>
    <w:qFormat/>
    <w:rsid w:val="00245A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45A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45A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45ACA"/>
    <w:pPr>
      <w:ind w:left="1985" w:hanging="851"/>
    </w:pPr>
  </w:style>
  <w:style w:type="character" w:customStyle="1" w:styleId="CharAmPartNo">
    <w:name w:val="CharAmPartNo"/>
    <w:basedOn w:val="OPCCharBase"/>
    <w:qFormat/>
    <w:rsid w:val="00245ACA"/>
  </w:style>
  <w:style w:type="character" w:customStyle="1" w:styleId="CharAmPartText">
    <w:name w:val="CharAmPartText"/>
    <w:basedOn w:val="OPCCharBase"/>
    <w:qFormat/>
    <w:rsid w:val="00245ACA"/>
  </w:style>
  <w:style w:type="character" w:customStyle="1" w:styleId="CharAmSchNo">
    <w:name w:val="CharAmSchNo"/>
    <w:basedOn w:val="OPCCharBase"/>
    <w:qFormat/>
    <w:rsid w:val="00245ACA"/>
  </w:style>
  <w:style w:type="character" w:customStyle="1" w:styleId="CharAmSchText">
    <w:name w:val="CharAmSchText"/>
    <w:basedOn w:val="OPCCharBase"/>
    <w:qFormat/>
    <w:rsid w:val="00245ACA"/>
  </w:style>
  <w:style w:type="character" w:customStyle="1" w:styleId="CharBoldItalic">
    <w:name w:val="CharBoldItalic"/>
    <w:basedOn w:val="OPCCharBase"/>
    <w:uiPriority w:val="1"/>
    <w:qFormat/>
    <w:rsid w:val="00245ACA"/>
    <w:rPr>
      <w:b/>
      <w:i/>
    </w:rPr>
  </w:style>
  <w:style w:type="character" w:customStyle="1" w:styleId="CharChapNo">
    <w:name w:val="CharChapNo"/>
    <w:basedOn w:val="OPCCharBase"/>
    <w:uiPriority w:val="1"/>
    <w:qFormat/>
    <w:rsid w:val="00245ACA"/>
  </w:style>
  <w:style w:type="character" w:customStyle="1" w:styleId="CharChapText">
    <w:name w:val="CharChapText"/>
    <w:basedOn w:val="OPCCharBase"/>
    <w:uiPriority w:val="1"/>
    <w:qFormat/>
    <w:rsid w:val="00245ACA"/>
  </w:style>
  <w:style w:type="character" w:customStyle="1" w:styleId="CharDivNo">
    <w:name w:val="CharDivNo"/>
    <w:basedOn w:val="OPCCharBase"/>
    <w:uiPriority w:val="1"/>
    <w:qFormat/>
    <w:rsid w:val="00245ACA"/>
  </w:style>
  <w:style w:type="character" w:customStyle="1" w:styleId="CharDivText">
    <w:name w:val="CharDivText"/>
    <w:basedOn w:val="OPCCharBase"/>
    <w:uiPriority w:val="1"/>
    <w:qFormat/>
    <w:rsid w:val="00245ACA"/>
  </w:style>
  <w:style w:type="character" w:customStyle="1" w:styleId="CharItalic">
    <w:name w:val="CharItalic"/>
    <w:basedOn w:val="OPCCharBase"/>
    <w:uiPriority w:val="1"/>
    <w:qFormat/>
    <w:rsid w:val="00245ACA"/>
    <w:rPr>
      <w:i/>
    </w:rPr>
  </w:style>
  <w:style w:type="character" w:customStyle="1" w:styleId="CharPartNo">
    <w:name w:val="CharPartNo"/>
    <w:basedOn w:val="OPCCharBase"/>
    <w:uiPriority w:val="1"/>
    <w:qFormat/>
    <w:rsid w:val="00245ACA"/>
  </w:style>
  <w:style w:type="character" w:customStyle="1" w:styleId="CharPartText">
    <w:name w:val="CharPartText"/>
    <w:basedOn w:val="OPCCharBase"/>
    <w:uiPriority w:val="1"/>
    <w:qFormat/>
    <w:rsid w:val="00245ACA"/>
  </w:style>
  <w:style w:type="character" w:customStyle="1" w:styleId="CharSectno">
    <w:name w:val="CharSectno"/>
    <w:basedOn w:val="OPCCharBase"/>
    <w:qFormat/>
    <w:rsid w:val="00245ACA"/>
  </w:style>
  <w:style w:type="character" w:customStyle="1" w:styleId="CharSubdNo">
    <w:name w:val="CharSubdNo"/>
    <w:basedOn w:val="OPCCharBase"/>
    <w:uiPriority w:val="1"/>
    <w:qFormat/>
    <w:rsid w:val="00245ACA"/>
  </w:style>
  <w:style w:type="character" w:customStyle="1" w:styleId="CharSubdText">
    <w:name w:val="CharSubdText"/>
    <w:basedOn w:val="OPCCharBase"/>
    <w:uiPriority w:val="1"/>
    <w:qFormat/>
    <w:rsid w:val="00245ACA"/>
  </w:style>
  <w:style w:type="paragraph" w:customStyle="1" w:styleId="CTA--">
    <w:name w:val="CTA --"/>
    <w:basedOn w:val="OPCParaBase"/>
    <w:next w:val="Normal"/>
    <w:rsid w:val="00245A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45A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45A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45A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45A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45A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45A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45A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45A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45A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45A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45A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45A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45A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45A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45AC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45A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45AC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45A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45A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45A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45A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45AC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45A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45A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45A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45A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45A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45A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45A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45A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45A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45A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45A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45A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45A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45A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45A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45A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45A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45A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45A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45A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45A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45A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45A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45A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45A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45A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45A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45A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45A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45A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45A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45A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245A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45A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45A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45A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45A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45A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245A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45A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45A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45A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45A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45A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45A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45A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45A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45AC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45AC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45ACA"/>
    <w:rPr>
      <w:sz w:val="16"/>
    </w:rPr>
  </w:style>
  <w:style w:type="table" w:customStyle="1" w:styleId="CFlag">
    <w:name w:val="CFlag"/>
    <w:basedOn w:val="TableNormal"/>
    <w:uiPriority w:val="99"/>
    <w:rsid w:val="00245AC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45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A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245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45AC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45A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45A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45A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45AC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45A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45AC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45A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45A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45AC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245A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45A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45A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45A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45A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45A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45A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45A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45A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45A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45A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45A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45ACA"/>
  </w:style>
  <w:style w:type="character" w:customStyle="1" w:styleId="CharSubPartNoCASA">
    <w:name w:val="CharSubPartNo(CASA)"/>
    <w:basedOn w:val="OPCCharBase"/>
    <w:uiPriority w:val="1"/>
    <w:rsid w:val="00245ACA"/>
  </w:style>
  <w:style w:type="paragraph" w:customStyle="1" w:styleId="ENoteTTIndentHeadingSub">
    <w:name w:val="ENoteTTIndentHeadingSub"/>
    <w:aliases w:val="enTTHis"/>
    <w:basedOn w:val="OPCParaBase"/>
    <w:rsid w:val="00245A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45A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45A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45A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45A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A2AC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45A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45ACA"/>
    <w:rPr>
      <w:sz w:val="22"/>
    </w:rPr>
  </w:style>
  <w:style w:type="paragraph" w:customStyle="1" w:styleId="SOTextNote">
    <w:name w:val="SO TextNote"/>
    <w:aliases w:val="sont"/>
    <w:basedOn w:val="SOText"/>
    <w:qFormat/>
    <w:rsid w:val="00245A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45A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45ACA"/>
    <w:rPr>
      <w:sz w:val="22"/>
    </w:rPr>
  </w:style>
  <w:style w:type="paragraph" w:customStyle="1" w:styleId="FileName">
    <w:name w:val="FileName"/>
    <w:basedOn w:val="Normal"/>
    <w:rsid w:val="00245ACA"/>
  </w:style>
  <w:style w:type="paragraph" w:customStyle="1" w:styleId="TableHeading">
    <w:name w:val="TableHeading"/>
    <w:aliases w:val="th"/>
    <w:basedOn w:val="OPCParaBase"/>
    <w:next w:val="Tabletext"/>
    <w:rsid w:val="00245A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45A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45AC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45A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45AC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45A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45AC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45A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45AC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45A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45AC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45A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A2AC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A2AC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A2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A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AC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AC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AC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AC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AC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AC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AC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5AC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A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A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A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A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A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A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A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A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45ACA"/>
  </w:style>
  <w:style w:type="paragraph" w:customStyle="1" w:styleId="OPCParaBase">
    <w:name w:val="OPCParaBase"/>
    <w:qFormat/>
    <w:rsid w:val="00245AC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45A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45A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45A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45A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45A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45A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45A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45A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45A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45A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45ACA"/>
  </w:style>
  <w:style w:type="paragraph" w:customStyle="1" w:styleId="Blocks">
    <w:name w:val="Blocks"/>
    <w:aliases w:val="bb"/>
    <w:basedOn w:val="OPCParaBase"/>
    <w:qFormat/>
    <w:rsid w:val="00245A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5A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45A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45ACA"/>
    <w:rPr>
      <w:i/>
    </w:rPr>
  </w:style>
  <w:style w:type="paragraph" w:customStyle="1" w:styleId="BoxList">
    <w:name w:val="BoxList"/>
    <w:aliases w:val="bl"/>
    <w:basedOn w:val="BoxText"/>
    <w:qFormat/>
    <w:rsid w:val="00245A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45A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45A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45ACA"/>
    <w:pPr>
      <w:ind w:left="1985" w:hanging="851"/>
    </w:pPr>
  </w:style>
  <w:style w:type="character" w:customStyle="1" w:styleId="CharAmPartNo">
    <w:name w:val="CharAmPartNo"/>
    <w:basedOn w:val="OPCCharBase"/>
    <w:qFormat/>
    <w:rsid w:val="00245ACA"/>
  </w:style>
  <w:style w:type="character" w:customStyle="1" w:styleId="CharAmPartText">
    <w:name w:val="CharAmPartText"/>
    <w:basedOn w:val="OPCCharBase"/>
    <w:qFormat/>
    <w:rsid w:val="00245ACA"/>
  </w:style>
  <w:style w:type="character" w:customStyle="1" w:styleId="CharAmSchNo">
    <w:name w:val="CharAmSchNo"/>
    <w:basedOn w:val="OPCCharBase"/>
    <w:qFormat/>
    <w:rsid w:val="00245ACA"/>
  </w:style>
  <w:style w:type="character" w:customStyle="1" w:styleId="CharAmSchText">
    <w:name w:val="CharAmSchText"/>
    <w:basedOn w:val="OPCCharBase"/>
    <w:qFormat/>
    <w:rsid w:val="00245ACA"/>
  </w:style>
  <w:style w:type="character" w:customStyle="1" w:styleId="CharBoldItalic">
    <w:name w:val="CharBoldItalic"/>
    <w:basedOn w:val="OPCCharBase"/>
    <w:uiPriority w:val="1"/>
    <w:qFormat/>
    <w:rsid w:val="00245ACA"/>
    <w:rPr>
      <w:b/>
      <w:i/>
    </w:rPr>
  </w:style>
  <w:style w:type="character" w:customStyle="1" w:styleId="CharChapNo">
    <w:name w:val="CharChapNo"/>
    <w:basedOn w:val="OPCCharBase"/>
    <w:uiPriority w:val="1"/>
    <w:qFormat/>
    <w:rsid w:val="00245ACA"/>
  </w:style>
  <w:style w:type="character" w:customStyle="1" w:styleId="CharChapText">
    <w:name w:val="CharChapText"/>
    <w:basedOn w:val="OPCCharBase"/>
    <w:uiPriority w:val="1"/>
    <w:qFormat/>
    <w:rsid w:val="00245ACA"/>
  </w:style>
  <w:style w:type="character" w:customStyle="1" w:styleId="CharDivNo">
    <w:name w:val="CharDivNo"/>
    <w:basedOn w:val="OPCCharBase"/>
    <w:uiPriority w:val="1"/>
    <w:qFormat/>
    <w:rsid w:val="00245ACA"/>
  </w:style>
  <w:style w:type="character" w:customStyle="1" w:styleId="CharDivText">
    <w:name w:val="CharDivText"/>
    <w:basedOn w:val="OPCCharBase"/>
    <w:uiPriority w:val="1"/>
    <w:qFormat/>
    <w:rsid w:val="00245ACA"/>
  </w:style>
  <w:style w:type="character" w:customStyle="1" w:styleId="CharItalic">
    <w:name w:val="CharItalic"/>
    <w:basedOn w:val="OPCCharBase"/>
    <w:uiPriority w:val="1"/>
    <w:qFormat/>
    <w:rsid w:val="00245ACA"/>
    <w:rPr>
      <w:i/>
    </w:rPr>
  </w:style>
  <w:style w:type="character" w:customStyle="1" w:styleId="CharPartNo">
    <w:name w:val="CharPartNo"/>
    <w:basedOn w:val="OPCCharBase"/>
    <w:uiPriority w:val="1"/>
    <w:qFormat/>
    <w:rsid w:val="00245ACA"/>
  </w:style>
  <w:style w:type="character" w:customStyle="1" w:styleId="CharPartText">
    <w:name w:val="CharPartText"/>
    <w:basedOn w:val="OPCCharBase"/>
    <w:uiPriority w:val="1"/>
    <w:qFormat/>
    <w:rsid w:val="00245ACA"/>
  </w:style>
  <w:style w:type="character" w:customStyle="1" w:styleId="CharSectno">
    <w:name w:val="CharSectno"/>
    <w:basedOn w:val="OPCCharBase"/>
    <w:qFormat/>
    <w:rsid w:val="00245ACA"/>
  </w:style>
  <w:style w:type="character" w:customStyle="1" w:styleId="CharSubdNo">
    <w:name w:val="CharSubdNo"/>
    <w:basedOn w:val="OPCCharBase"/>
    <w:uiPriority w:val="1"/>
    <w:qFormat/>
    <w:rsid w:val="00245ACA"/>
  </w:style>
  <w:style w:type="character" w:customStyle="1" w:styleId="CharSubdText">
    <w:name w:val="CharSubdText"/>
    <w:basedOn w:val="OPCCharBase"/>
    <w:uiPriority w:val="1"/>
    <w:qFormat/>
    <w:rsid w:val="00245ACA"/>
  </w:style>
  <w:style w:type="paragraph" w:customStyle="1" w:styleId="CTA--">
    <w:name w:val="CTA --"/>
    <w:basedOn w:val="OPCParaBase"/>
    <w:next w:val="Normal"/>
    <w:rsid w:val="00245A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45A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45A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45A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45A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45A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45A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45A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45A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45A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45A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45A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45A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45A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45A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45AC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45A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45AC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45A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45A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45A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45A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45AC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45A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45A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45A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45A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45A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45A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45A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45A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45A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45A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45A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45A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45A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45A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45A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45A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45A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45A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45A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45A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45A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45A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45A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45A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45A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45A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45A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45A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45A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45A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45A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45A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245A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45A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45A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45A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45A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45A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245A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45A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45A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45A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45A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45A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45A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45A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45A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45AC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45AC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45ACA"/>
    <w:rPr>
      <w:sz w:val="16"/>
    </w:rPr>
  </w:style>
  <w:style w:type="table" w:customStyle="1" w:styleId="CFlag">
    <w:name w:val="CFlag"/>
    <w:basedOn w:val="TableNormal"/>
    <w:uiPriority w:val="99"/>
    <w:rsid w:val="00245AC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45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A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245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45AC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45A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45A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45A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45AC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45A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45AC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45A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45A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45AC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245A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45A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45A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45A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45A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45A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45A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45A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45A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45A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45A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45A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45ACA"/>
  </w:style>
  <w:style w:type="character" w:customStyle="1" w:styleId="CharSubPartNoCASA">
    <w:name w:val="CharSubPartNo(CASA)"/>
    <w:basedOn w:val="OPCCharBase"/>
    <w:uiPriority w:val="1"/>
    <w:rsid w:val="00245ACA"/>
  </w:style>
  <w:style w:type="paragraph" w:customStyle="1" w:styleId="ENoteTTIndentHeadingSub">
    <w:name w:val="ENoteTTIndentHeadingSub"/>
    <w:aliases w:val="enTTHis"/>
    <w:basedOn w:val="OPCParaBase"/>
    <w:rsid w:val="00245A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45A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45A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45A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45A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A2AC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45A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45ACA"/>
    <w:rPr>
      <w:sz w:val="22"/>
    </w:rPr>
  </w:style>
  <w:style w:type="paragraph" w:customStyle="1" w:styleId="SOTextNote">
    <w:name w:val="SO TextNote"/>
    <w:aliases w:val="sont"/>
    <w:basedOn w:val="SOText"/>
    <w:qFormat/>
    <w:rsid w:val="00245A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45A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45ACA"/>
    <w:rPr>
      <w:sz w:val="22"/>
    </w:rPr>
  </w:style>
  <w:style w:type="paragraph" w:customStyle="1" w:styleId="FileName">
    <w:name w:val="FileName"/>
    <w:basedOn w:val="Normal"/>
    <w:rsid w:val="00245ACA"/>
  </w:style>
  <w:style w:type="paragraph" w:customStyle="1" w:styleId="TableHeading">
    <w:name w:val="TableHeading"/>
    <w:aliases w:val="th"/>
    <w:basedOn w:val="OPCParaBase"/>
    <w:next w:val="Tabletext"/>
    <w:rsid w:val="00245A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45A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45AC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45A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45AC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45A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45AC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45A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45AC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45A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45AC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45A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A2AC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A2AC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A2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A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AC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AC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AC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AC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AC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AC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AC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12</Pages>
  <Words>1944</Words>
  <Characters>9420</Characters>
  <Application>Microsoft Office Word</Application>
  <DocSecurity>0</DocSecurity>
  <PresentationFormat/>
  <Lines>561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Radiation Protection and Nuclear Safety Amendment (2016 Measures No. 1) Regulation 2016</vt:lpstr>
    </vt:vector>
  </TitlesOfParts>
  <Manager/>
  <Company/>
  <LinksUpToDate>false</LinksUpToDate>
  <CharactersWithSpaces>10950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2016-02-26T06:01:00Z</cp:lastPrinted>
  <dcterms:created xsi:type="dcterms:W3CDTF">2016-05-04T23:11:00Z</dcterms:created>
  <dcterms:modified xsi:type="dcterms:W3CDTF">2016-05-04T23:11:00Z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Australian Radiation Protection and Nuclear Safety Amendment (2016 Measures No. 1)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May 2016</vt:lpwstr>
  </property>
  <property fmtid="{D5CDD505-2E9C-101B-9397-08002B2CF9AE}" pid="10" name="Authority">
    <vt:lpwstr/>
  </property>
  <property fmtid="{D5CDD505-2E9C-101B-9397-08002B2CF9AE}" pid="11" name="ID">
    <vt:lpwstr>OPC61710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Australian Radiation Protection and Nuclear Safety Act 1998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05 May 2016</vt:lpwstr>
  </property>
</Properties>
</file>