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8AB" w:rsidRPr="00301D49" w:rsidRDefault="003328AB" w:rsidP="003328AB">
      <w:pPr>
        <w:pStyle w:val="Heading1"/>
        <w:ind w:left="284"/>
        <w:rPr>
          <w:szCs w:val="24"/>
        </w:rPr>
      </w:pPr>
      <w:r w:rsidRPr="00301D49">
        <w:rPr>
          <w:szCs w:val="24"/>
        </w:rPr>
        <w:t>EXPLANATORY STATEMENT</w:t>
      </w:r>
    </w:p>
    <w:p w:rsidR="003328AB" w:rsidRPr="00301D49" w:rsidRDefault="003328AB" w:rsidP="003328AB">
      <w:pPr>
        <w:rPr>
          <w:rStyle w:val="IntenseReference"/>
          <w:b w:val="0"/>
          <w:bCs w:val="0"/>
          <w:i w:val="0"/>
          <w:smallCaps w:val="0"/>
        </w:rPr>
      </w:pPr>
    </w:p>
    <w:p w:rsidR="003328AB" w:rsidRPr="00301D49" w:rsidRDefault="003328AB" w:rsidP="003328AB">
      <w:pPr>
        <w:ind w:left="284"/>
        <w:jc w:val="center"/>
        <w:rPr>
          <w:szCs w:val="24"/>
          <w:u w:val="single"/>
        </w:rPr>
      </w:pPr>
      <w:r w:rsidRPr="00301D49">
        <w:rPr>
          <w:szCs w:val="24"/>
          <w:u w:val="single"/>
        </w:rPr>
        <w:t>Se</w:t>
      </w:r>
      <w:r w:rsidR="00FA43E8">
        <w:rPr>
          <w:u w:val="single"/>
        </w:rPr>
        <w:t>lect Legislative Instrument 2016</w:t>
      </w:r>
      <w:r w:rsidRPr="00301D49">
        <w:rPr>
          <w:szCs w:val="24"/>
          <w:u w:val="single"/>
        </w:rPr>
        <w:t xml:space="preserve"> No.</w:t>
      </w:r>
    </w:p>
    <w:p w:rsidR="003328AB" w:rsidRPr="00301D49" w:rsidRDefault="003328AB" w:rsidP="003328AB">
      <w:pPr>
        <w:rPr>
          <w:szCs w:val="24"/>
          <w:u w:val="single"/>
        </w:rPr>
      </w:pPr>
    </w:p>
    <w:p w:rsidR="003328AB" w:rsidRPr="003328AB" w:rsidRDefault="003328AB" w:rsidP="003328AB">
      <w:pPr>
        <w:widowControl w:val="0"/>
        <w:tabs>
          <w:tab w:val="left" w:pos="993"/>
          <w:tab w:val="left" w:pos="1418"/>
        </w:tabs>
        <w:jc w:val="center"/>
        <w:rPr>
          <w:i/>
          <w:szCs w:val="24"/>
        </w:rPr>
      </w:pPr>
      <w:r w:rsidRPr="00301D49">
        <w:rPr>
          <w:i/>
          <w:szCs w:val="24"/>
        </w:rPr>
        <w:t>Health Insurance Act 1973</w:t>
      </w:r>
    </w:p>
    <w:p w:rsidR="00847DBE" w:rsidRDefault="00847DBE" w:rsidP="00847DBE">
      <w:pPr>
        <w:rPr>
          <w:szCs w:val="24"/>
          <w:u w:val="single"/>
        </w:rPr>
      </w:pPr>
    </w:p>
    <w:p w:rsidR="00847DBE" w:rsidRDefault="00847DBE" w:rsidP="00847DBE">
      <w:pPr>
        <w:ind w:left="1418"/>
        <w:rPr>
          <w:i/>
          <w:szCs w:val="24"/>
        </w:rPr>
      </w:pPr>
      <w:bookmarkStart w:id="0" w:name="_GoBack"/>
      <w:r w:rsidRPr="003730CA">
        <w:rPr>
          <w:i/>
          <w:szCs w:val="24"/>
        </w:rPr>
        <w:t xml:space="preserve">Health Insurance (General Medical Services Table) </w:t>
      </w:r>
      <w:r w:rsidR="00F072C5" w:rsidRPr="003730CA">
        <w:rPr>
          <w:i/>
          <w:szCs w:val="24"/>
        </w:rPr>
        <w:t>Regulation</w:t>
      </w:r>
      <w:r w:rsidR="00381F89" w:rsidRPr="003730CA">
        <w:rPr>
          <w:i/>
          <w:szCs w:val="24"/>
        </w:rPr>
        <w:t xml:space="preserve"> 2016</w:t>
      </w:r>
    </w:p>
    <w:bookmarkEnd w:id="0"/>
    <w:p w:rsidR="00AB5F4D" w:rsidRPr="00BF65AE" w:rsidRDefault="00AB5F4D" w:rsidP="005F04DC">
      <w:pPr>
        <w:rPr>
          <w:szCs w:val="24"/>
          <w:highlight w:val="yellow"/>
          <w:u w:val="single"/>
        </w:rPr>
      </w:pPr>
    </w:p>
    <w:p w:rsidR="00847DBE" w:rsidRPr="002848E7" w:rsidRDefault="00847DBE" w:rsidP="00847DBE">
      <w:pPr>
        <w:ind w:right="-483"/>
        <w:rPr>
          <w:szCs w:val="24"/>
        </w:rPr>
      </w:pPr>
      <w:r w:rsidRPr="002848E7">
        <w:rPr>
          <w:szCs w:val="24"/>
        </w:rPr>
        <w:t xml:space="preserve">Subsection 133(1) the </w:t>
      </w:r>
      <w:r w:rsidR="00FA43E8" w:rsidRPr="00FA43E8">
        <w:rPr>
          <w:i/>
          <w:szCs w:val="24"/>
        </w:rPr>
        <w:t xml:space="preserve">Health Insurance </w:t>
      </w:r>
      <w:r w:rsidRPr="00FA43E8">
        <w:rPr>
          <w:i/>
          <w:szCs w:val="24"/>
        </w:rPr>
        <w:t xml:space="preserve">Act </w:t>
      </w:r>
      <w:r w:rsidR="00FA43E8" w:rsidRPr="00FA43E8">
        <w:rPr>
          <w:i/>
          <w:szCs w:val="24"/>
        </w:rPr>
        <w:t>1973</w:t>
      </w:r>
      <w:r w:rsidR="00FA43E8">
        <w:rPr>
          <w:szCs w:val="24"/>
        </w:rPr>
        <w:t xml:space="preserve"> (the Act) </w:t>
      </w:r>
      <w:r w:rsidRPr="002848E7">
        <w:rPr>
          <w:szCs w:val="24"/>
        </w:rPr>
        <w:t>provides that the Governor-General may make regulations, not inconsistent with the Act, prescribing all matters required or permitted by the Act to be prescribed, or necessary or convenient to be prescribed for carrying out or giving effect to the Act.</w:t>
      </w:r>
    </w:p>
    <w:p w:rsidR="00847DBE" w:rsidRPr="002848E7" w:rsidRDefault="00847DBE" w:rsidP="00847DBE">
      <w:pPr>
        <w:ind w:right="-483"/>
        <w:rPr>
          <w:rStyle w:val="IntenseReference"/>
          <w:b w:val="0"/>
          <w:bCs w:val="0"/>
          <w:i w:val="0"/>
          <w:smallCaps w:val="0"/>
        </w:rPr>
      </w:pPr>
    </w:p>
    <w:p w:rsidR="00476B3F" w:rsidRDefault="00847DBE" w:rsidP="00476B3F">
      <w:pPr>
        <w:ind w:right="-483"/>
        <w:rPr>
          <w:szCs w:val="24"/>
        </w:rPr>
      </w:pPr>
      <w:r w:rsidRPr="002848E7">
        <w:rPr>
          <w:szCs w:val="24"/>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rsidR="00476B3F" w:rsidRDefault="00476B3F" w:rsidP="00476B3F">
      <w:pPr>
        <w:ind w:right="-483"/>
        <w:rPr>
          <w:szCs w:val="24"/>
        </w:rPr>
      </w:pPr>
    </w:p>
    <w:p w:rsidR="00476B3F" w:rsidRPr="00476B3F" w:rsidRDefault="00476B3F" w:rsidP="00476B3F">
      <w:pPr>
        <w:ind w:right="-483"/>
        <w:rPr>
          <w:szCs w:val="24"/>
        </w:rPr>
      </w:pPr>
      <w:r>
        <w:rPr>
          <w:szCs w:val="24"/>
        </w:rPr>
        <w:t>S</w:t>
      </w:r>
      <w:r w:rsidRPr="00476B3F">
        <w:rPr>
          <w:szCs w:val="24"/>
        </w:rPr>
        <w:t xml:space="preserve">ubsection 4(1) of the Act provides that regulations may prescribe a table of general medical services which sets out items of medical services, the fees applicable for each item, and rules for interpreting the table.  The </w:t>
      </w:r>
      <w:r w:rsidRPr="00476B3F">
        <w:rPr>
          <w:i/>
          <w:iCs/>
          <w:szCs w:val="24"/>
        </w:rPr>
        <w:t>Health Insurance (General Medical</w:t>
      </w:r>
      <w:r>
        <w:rPr>
          <w:i/>
          <w:iCs/>
          <w:szCs w:val="24"/>
        </w:rPr>
        <w:t xml:space="preserve"> Services Table) Regulation 2015</w:t>
      </w:r>
      <w:r w:rsidRPr="00476B3F">
        <w:rPr>
          <w:szCs w:val="24"/>
        </w:rPr>
        <w:t xml:space="preserve"> (GMST) currently prescribes such a table.</w:t>
      </w:r>
    </w:p>
    <w:p w:rsidR="005F04DC" w:rsidRPr="00BF65AE" w:rsidRDefault="005F04DC" w:rsidP="005F04DC">
      <w:pPr>
        <w:rPr>
          <w:sz w:val="16"/>
          <w:szCs w:val="16"/>
          <w:highlight w:val="yellow"/>
        </w:rPr>
      </w:pPr>
    </w:p>
    <w:p w:rsidR="0059164D" w:rsidRDefault="00476B3F" w:rsidP="0059164D">
      <w:r>
        <w:t>Subsection 4(2) of the Act provides that unless repealed earlier, this regulation will cease to be in force and will be taken to have been repealed on the day following the 15</w:t>
      </w:r>
      <w:r>
        <w:rPr>
          <w:vertAlign w:val="superscript"/>
        </w:rPr>
        <w:t>th</w:t>
      </w:r>
      <w:r>
        <w:t xml:space="preserve"> sitting day of the House of Representatives after the end of a 12 month period which begins on the day when the regulation is registered on the Federal Register of Legislati</w:t>
      </w:r>
      <w:r w:rsidR="00415EB3">
        <w:t>on</w:t>
      </w:r>
      <w:r>
        <w:t xml:space="preserve"> (FRL).  The GMST was registered on the FRL on 19 June 2015.</w:t>
      </w:r>
    </w:p>
    <w:p w:rsidR="0059164D" w:rsidRDefault="0059164D" w:rsidP="0059164D"/>
    <w:p w:rsidR="00C3618B" w:rsidRPr="00C3618B" w:rsidRDefault="00C3618B" w:rsidP="0059164D">
      <w:pPr>
        <w:rPr>
          <w:b/>
        </w:rPr>
      </w:pPr>
      <w:r w:rsidRPr="00C3618B">
        <w:rPr>
          <w:b/>
        </w:rPr>
        <w:t>Purpose</w:t>
      </w:r>
    </w:p>
    <w:p w:rsidR="00C81C33" w:rsidRDefault="00B970F6" w:rsidP="00B970F6">
      <w:pPr>
        <w:rPr>
          <w:szCs w:val="24"/>
        </w:rPr>
      </w:pPr>
      <w:r w:rsidRPr="0059164D">
        <w:rPr>
          <w:szCs w:val="24"/>
        </w:rPr>
        <w:t>The purpose of the</w:t>
      </w:r>
      <w:r w:rsidRPr="0002313E">
        <w:t xml:space="preserve"> </w:t>
      </w:r>
      <w:r w:rsidRPr="003730CA">
        <w:rPr>
          <w:i/>
          <w:szCs w:val="24"/>
        </w:rPr>
        <w:t xml:space="preserve">Health Insurance (General Medical Services Table) </w:t>
      </w:r>
      <w:r w:rsidR="00F072C5" w:rsidRPr="003730CA">
        <w:rPr>
          <w:i/>
          <w:szCs w:val="24"/>
        </w:rPr>
        <w:t>Regulation</w:t>
      </w:r>
      <w:r w:rsidRPr="003730CA">
        <w:rPr>
          <w:i/>
          <w:szCs w:val="24"/>
        </w:rPr>
        <w:t xml:space="preserve"> 2016</w:t>
      </w:r>
      <w:r w:rsidRPr="0059164D">
        <w:rPr>
          <w:szCs w:val="24"/>
        </w:rPr>
        <w:t xml:space="preserve"> </w:t>
      </w:r>
      <w:r>
        <w:rPr>
          <w:szCs w:val="24"/>
        </w:rPr>
        <w:t>(the R</w:t>
      </w:r>
      <w:r w:rsidRPr="0059164D">
        <w:rPr>
          <w:szCs w:val="24"/>
        </w:rPr>
        <w:t>egulation</w:t>
      </w:r>
      <w:r>
        <w:rPr>
          <w:szCs w:val="24"/>
        </w:rPr>
        <w:t>)</w:t>
      </w:r>
      <w:r w:rsidRPr="0059164D">
        <w:rPr>
          <w:szCs w:val="24"/>
        </w:rPr>
        <w:t xml:space="preserve"> is to </w:t>
      </w:r>
      <w:r w:rsidRPr="0059164D">
        <w:rPr>
          <w:snapToGrid w:val="0"/>
          <w:szCs w:val="24"/>
        </w:rPr>
        <w:t xml:space="preserve">repeal the GMST and </w:t>
      </w:r>
      <w:r w:rsidRPr="0059164D">
        <w:rPr>
          <w:szCs w:val="24"/>
        </w:rPr>
        <w:t>prescribe a new table of general medical services for the 12 month</w:t>
      </w:r>
      <w:r>
        <w:rPr>
          <w:szCs w:val="24"/>
        </w:rPr>
        <w:t xml:space="preserve"> period beginning on 1 July 2016</w:t>
      </w:r>
      <w:r w:rsidRPr="0059164D">
        <w:rPr>
          <w:szCs w:val="24"/>
        </w:rPr>
        <w:t xml:space="preserve">, to ensure that Medicare benefits continue to be payable for services listed in the GMST. </w:t>
      </w:r>
    </w:p>
    <w:p w:rsidR="00B970F6" w:rsidRDefault="00B970F6" w:rsidP="00B970F6">
      <w:pPr>
        <w:rPr>
          <w:szCs w:val="24"/>
        </w:rPr>
      </w:pPr>
      <w:r>
        <w:rPr>
          <w:szCs w:val="24"/>
        </w:rPr>
        <w:t xml:space="preserve"> </w:t>
      </w:r>
    </w:p>
    <w:p w:rsidR="00C3618B" w:rsidRDefault="00B970F6" w:rsidP="00C3618B">
      <w:pPr>
        <w:rPr>
          <w:szCs w:val="24"/>
        </w:rPr>
      </w:pPr>
      <w:r>
        <w:rPr>
          <w:szCs w:val="24"/>
        </w:rPr>
        <w:t>In addition, the</w:t>
      </w:r>
      <w:r w:rsidRPr="0059164D">
        <w:rPr>
          <w:szCs w:val="24"/>
        </w:rPr>
        <w:t xml:space="preserve"> </w:t>
      </w:r>
      <w:r>
        <w:rPr>
          <w:szCs w:val="24"/>
        </w:rPr>
        <w:t>Regulation makes</w:t>
      </w:r>
      <w:r w:rsidRPr="0059164D">
        <w:rPr>
          <w:szCs w:val="24"/>
        </w:rPr>
        <w:t xml:space="preserve"> </w:t>
      </w:r>
      <w:r>
        <w:rPr>
          <w:szCs w:val="24"/>
        </w:rPr>
        <w:t xml:space="preserve">minor and </w:t>
      </w:r>
      <w:r w:rsidRPr="0059164D">
        <w:rPr>
          <w:szCs w:val="24"/>
        </w:rPr>
        <w:t>machinery amendments to the GMST by:</w:t>
      </w:r>
    </w:p>
    <w:p w:rsidR="00C81C33" w:rsidRPr="00016DAD" w:rsidRDefault="00191EED" w:rsidP="00C81C33">
      <w:pPr>
        <w:pStyle w:val="ListParagraph"/>
        <w:numPr>
          <w:ilvl w:val="0"/>
          <w:numId w:val="23"/>
        </w:numPr>
        <w:rPr>
          <w:szCs w:val="24"/>
        </w:rPr>
      </w:pPr>
      <w:r>
        <w:rPr>
          <w:szCs w:val="24"/>
        </w:rPr>
        <w:t xml:space="preserve">Removing </w:t>
      </w:r>
      <w:r w:rsidR="008B2B7B">
        <w:rPr>
          <w:szCs w:val="24"/>
        </w:rPr>
        <w:t>14</w:t>
      </w:r>
      <w:r>
        <w:rPr>
          <w:szCs w:val="24"/>
        </w:rPr>
        <w:t xml:space="preserve"> </w:t>
      </w:r>
      <w:r w:rsidR="00C81C33" w:rsidRPr="00016DAD">
        <w:rPr>
          <w:szCs w:val="24"/>
        </w:rPr>
        <w:t>items as part of the first round of changes from the MBS Review Taskforce</w:t>
      </w:r>
      <w:r w:rsidR="00C81C33" w:rsidRPr="00630BF8">
        <w:rPr>
          <w:szCs w:val="24"/>
        </w:rPr>
        <w:t xml:space="preserve"> </w:t>
      </w:r>
      <w:r w:rsidR="00C81C33" w:rsidRPr="00016DAD">
        <w:rPr>
          <w:szCs w:val="24"/>
        </w:rPr>
        <w:t xml:space="preserve">process.  </w:t>
      </w:r>
      <w:r w:rsidR="00C81C33" w:rsidRPr="00016DAD">
        <w:rPr>
          <w:rFonts w:eastAsiaTheme="minorHAnsi"/>
          <w:szCs w:val="24"/>
        </w:rPr>
        <w:t xml:space="preserve">The first stage of work has provided recommendations about the </w:t>
      </w:r>
      <w:proofErr w:type="gramStart"/>
      <w:r w:rsidR="00C81C33" w:rsidRPr="00016DAD">
        <w:rPr>
          <w:rFonts w:eastAsiaTheme="minorHAnsi"/>
          <w:szCs w:val="24"/>
        </w:rPr>
        <w:t>removal</w:t>
      </w:r>
      <w:proofErr w:type="gramEnd"/>
      <w:r w:rsidR="00C81C33" w:rsidRPr="00016DAD">
        <w:rPr>
          <w:rFonts w:eastAsiaTheme="minorHAnsi"/>
          <w:szCs w:val="24"/>
        </w:rPr>
        <w:t xml:space="preserve"> of lower-volume MBS items in some specialities where there is c</w:t>
      </w:r>
      <w:r w:rsidR="00CD427A">
        <w:rPr>
          <w:rFonts w:eastAsiaTheme="minorHAnsi"/>
          <w:szCs w:val="24"/>
        </w:rPr>
        <w:t xml:space="preserve">linical consensus that they </w:t>
      </w:r>
      <w:r w:rsidR="00C81C33" w:rsidRPr="00016DAD">
        <w:rPr>
          <w:rFonts w:eastAsiaTheme="minorHAnsi"/>
          <w:szCs w:val="24"/>
        </w:rPr>
        <w:t xml:space="preserve">no longer represent clinical best-practice. This </w:t>
      </w:r>
      <w:r w:rsidR="00C81C33">
        <w:rPr>
          <w:rFonts w:eastAsiaTheme="minorHAnsi"/>
          <w:szCs w:val="24"/>
        </w:rPr>
        <w:t xml:space="preserve">amendment </w:t>
      </w:r>
      <w:r w:rsidR="00C81C33" w:rsidRPr="00016DAD">
        <w:rPr>
          <w:rFonts w:eastAsiaTheme="minorHAnsi"/>
          <w:szCs w:val="24"/>
        </w:rPr>
        <w:t>remove</w:t>
      </w:r>
      <w:r w:rsidR="00C81C33">
        <w:rPr>
          <w:rFonts w:eastAsiaTheme="minorHAnsi"/>
          <w:szCs w:val="24"/>
        </w:rPr>
        <w:t>s</w:t>
      </w:r>
      <w:r w:rsidR="00C81C33" w:rsidRPr="00016DAD">
        <w:rPr>
          <w:rFonts w:eastAsiaTheme="minorHAnsi"/>
          <w:szCs w:val="24"/>
        </w:rPr>
        <w:t xml:space="preserve"> eight ear, nose and throat items (11321, 18246, 41680, 41695, 41758, 41761, 41849 and 41852), four gastroenterology items (13500, 13503, 32078 and 32081), obstetrics item 16504 and thoracic medicine item 11500.</w:t>
      </w:r>
    </w:p>
    <w:p w:rsidR="00C81C33" w:rsidRPr="00630BF8" w:rsidRDefault="00C81C33" w:rsidP="00C81C33">
      <w:pPr>
        <w:pStyle w:val="ListParagraph"/>
        <w:numPr>
          <w:ilvl w:val="0"/>
          <w:numId w:val="23"/>
        </w:numPr>
        <w:rPr>
          <w:szCs w:val="24"/>
        </w:rPr>
      </w:pPr>
      <w:r w:rsidRPr="00630BF8">
        <w:rPr>
          <w:szCs w:val="24"/>
        </w:rPr>
        <w:t xml:space="preserve">Including Norfolk Island under the definition of ‘regional, rural or remote area’ under Part 3 of the Dictionary </w:t>
      </w:r>
      <w:r w:rsidRPr="00630BF8">
        <w:rPr>
          <w:rFonts w:eastAsiaTheme="minorHAnsi"/>
          <w:bCs/>
          <w:szCs w:val="24"/>
        </w:rPr>
        <w:t xml:space="preserve">to ensure residents on Norfolk Island are entitled to services available to ‘very remote’ </w:t>
      </w:r>
      <w:r w:rsidRPr="00630BF8">
        <w:rPr>
          <w:szCs w:val="24"/>
        </w:rPr>
        <w:t>areas of Australia. This include</w:t>
      </w:r>
      <w:r>
        <w:rPr>
          <w:szCs w:val="24"/>
        </w:rPr>
        <w:t>s</w:t>
      </w:r>
      <w:r w:rsidRPr="00630BF8">
        <w:rPr>
          <w:szCs w:val="24"/>
        </w:rPr>
        <w:t xml:space="preserve"> the higher bulk-billing incentive payment</w:t>
      </w:r>
      <w:r w:rsidRPr="008F49F2">
        <w:rPr>
          <w:szCs w:val="24"/>
        </w:rPr>
        <w:t xml:space="preserve"> for</w:t>
      </w:r>
      <w:r w:rsidRPr="00630BF8">
        <w:rPr>
          <w:szCs w:val="24"/>
        </w:rPr>
        <w:t xml:space="preserve"> the </w:t>
      </w:r>
      <w:proofErr w:type="spellStart"/>
      <w:r w:rsidRPr="00630BF8">
        <w:rPr>
          <w:szCs w:val="24"/>
        </w:rPr>
        <w:t>telepsychiatry</w:t>
      </w:r>
      <w:proofErr w:type="spellEnd"/>
      <w:r w:rsidRPr="00630BF8">
        <w:rPr>
          <w:szCs w:val="24"/>
        </w:rPr>
        <w:t xml:space="preserve"> items 353 to 361 and antenatal item 16400.</w:t>
      </w:r>
    </w:p>
    <w:p w:rsidR="00C81C33" w:rsidRPr="00016DAD" w:rsidRDefault="00C81C33" w:rsidP="00C81C33">
      <w:pPr>
        <w:pStyle w:val="ListParagraph"/>
        <w:numPr>
          <w:ilvl w:val="0"/>
          <w:numId w:val="23"/>
        </w:numPr>
        <w:rPr>
          <w:szCs w:val="24"/>
        </w:rPr>
      </w:pPr>
      <w:r w:rsidRPr="00016DAD">
        <w:rPr>
          <w:szCs w:val="24"/>
        </w:rPr>
        <w:t xml:space="preserve">Amending the descriptor of the Intensity-Modulated Radiation Therapy (IMRT) item 15275 to clarify the service should only be performed by </w:t>
      </w:r>
      <w:r w:rsidR="0023579F">
        <w:rPr>
          <w:szCs w:val="24"/>
        </w:rPr>
        <w:t xml:space="preserve">a </w:t>
      </w:r>
      <w:r w:rsidRPr="00016DAD">
        <w:rPr>
          <w:szCs w:val="24"/>
        </w:rPr>
        <w:t>linear accelerator.</w:t>
      </w:r>
    </w:p>
    <w:p w:rsidR="0023579F" w:rsidRDefault="0023579F" w:rsidP="0023579F">
      <w:pPr>
        <w:pStyle w:val="ListParagraph"/>
        <w:numPr>
          <w:ilvl w:val="0"/>
          <w:numId w:val="23"/>
        </w:numPr>
        <w:rPr>
          <w:szCs w:val="24"/>
        </w:rPr>
      </w:pPr>
      <w:r w:rsidRPr="00E51837">
        <w:lastRenderedPageBreak/>
        <w:t xml:space="preserve">Amending </w:t>
      </w:r>
      <w:r>
        <w:t xml:space="preserve">the </w:t>
      </w:r>
      <w:r w:rsidRPr="00E51837">
        <w:t xml:space="preserve">item </w:t>
      </w:r>
      <w:r>
        <w:t xml:space="preserve">descriptor of item </w:t>
      </w:r>
      <w:r w:rsidR="00156E84">
        <w:t>32089</w:t>
      </w:r>
      <w:r w:rsidRPr="00E51837">
        <w:t xml:space="preserve"> </w:t>
      </w:r>
      <w:r>
        <w:t xml:space="preserve">in line with clinical advice </w:t>
      </w:r>
      <w:r w:rsidRPr="00E51837">
        <w:t xml:space="preserve">to ensure </w:t>
      </w:r>
      <w:r>
        <w:t>the service can be performed via multiple techniques and</w:t>
      </w:r>
      <w:r w:rsidRPr="00E51837">
        <w:t xml:space="preserve"> is consistent</w:t>
      </w:r>
      <w:r>
        <w:t xml:space="preserve"> with current clinical practice.</w:t>
      </w:r>
      <w:r>
        <w:rPr>
          <w:szCs w:val="24"/>
        </w:rPr>
        <w:t xml:space="preserve"> </w:t>
      </w:r>
    </w:p>
    <w:p w:rsidR="00191EED" w:rsidRPr="00C45D92" w:rsidRDefault="00191EED" w:rsidP="00191EED">
      <w:pPr>
        <w:pStyle w:val="ListParagraph"/>
        <w:numPr>
          <w:ilvl w:val="0"/>
          <w:numId w:val="23"/>
        </w:numPr>
      </w:pPr>
      <w:r>
        <w:rPr>
          <w:szCs w:val="24"/>
        </w:rPr>
        <w:t xml:space="preserve">The removal of </w:t>
      </w:r>
      <w:r>
        <w:t>incorrect references to other clauses in subclause 1.1.4(1)</w:t>
      </w:r>
      <w:r w:rsidRPr="00E51837">
        <w:t>.</w:t>
      </w:r>
      <w:r>
        <w:t xml:space="preserve">  Clause 1.1.4 defines the meaning of </w:t>
      </w:r>
      <w:r w:rsidRPr="00C42E0B">
        <w:rPr>
          <w:i/>
        </w:rPr>
        <w:t>single course of treatment</w:t>
      </w:r>
      <w:r>
        <w:t xml:space="preserve"> for referred specialist and consultant physician services.  The clauses currently listed in subclause 1.1.4(1) either do not exist or are not relevant to the subclause.</w:t>
      </w:r>
    </w:p>
    <w:p w:rsidR="00B970F6" w:rsidRDefault="00B970F6" w:rsidP="00020D83">
      <w:pPr>
        <w:rPr>
          <w:b/>
        </w:rPr>
      </w:pPr>
    </w:p>
    <w:p w:rsidR="004270FD" w:rsidRPr="004270FD" w:rsidRDefault="004270FD" w:rsidP="00020D83">
      <w:pPr>
        <w:rPr>
          <w:b/>
        </w:rPr>
      </w:pPr>
      <w:r w:rsidRPr="004270FD">
        <w:rPr>
          <w:b/>
        </w:rPr>
        <w:t>Consultation</w:t>
      </w:r>
    </w:p>
    <w:p w:rsidR="00C81C33" w:rsidRDefault="00C81C33" w:rsidP="00C81C33">
      <w:pPr>
        <w:rPr>
          <w:szCs w:val="24"/>
        </w:rPr>
      </w:pPr>
      <w:r w:rsidRPr="00056406">
        <w:rPr>
          <w:szCs w:val="24"/>
        </w:rPr>
        <w:t>Consultation was not undertaken for the remake of this instrument as it is machinery in nature and it does not alter existing arrangements.</w:t>
      </w:r>
      <w:r>
        <w:rPr>
          <w:szCs w:val="24"/>
        </w:rPr>
        <w:t xml:space="preserve">  The Norfolk Island community was consulted on the inclusion of Norfolk Island for the purposes of eligibility for Medicare benefits as part of the Norfolk Island reforms.</w:t>
      </w:r>
    </w:p>
    <w:p w:rsidR="00C81C33" w:rsidRPr="00904032" w:rsidRDefault="00C81C33" w:rsidP="00C81C33">
      <w:pPr>
        <w:rPr>
          <w:szCs w:val="24"/>
          <w:highlight w:val="yellow"/>
        </w:rPr>
      </w:pPr>
    </w:p>
    <w:p w:rsidR="00C81C33" w:rsidRPr="00016DAD" w:rsidRDefault="00C81C33" w:rsidP="00C81C33">
      <w:pPr>
        <w:pStyle w:val="PlainText"/>
        <w:rPr>
          <w:rFonts w:ascii="Times New Roman" w:eastAsia="Times New Roman" w:hAnsi="Times New Roman" w:cs="Times New Roman"/>
          <w:sz w:val="24"/>
          <w:szCs w:val="24"/>
          <w:lang w:eastAsia="en-AU"/>
        </w:rPr>
      </w:pPr>
      <w:r w:rsidRPr="00016DAD">
        <w:rPr>
          <w:rFonts w:ascii="Times New Roman" w:eastAsia="Times New Roman" w:hAnsi="Times New Roman" w:cs="Times New Roman"/>
          <w:sz w:val="24"/>
          <w:szCs w:val="24"/>
          <w:lang w:eastAsia="en-AU"/>
        </w:rPr>
        <w:t xml:space="preserve">Public consultation on the </w:t>
      </w:r>
      <w:r w:rsidR="0023579F">
        <w:rPr>
          <w:rFonts w:ascii="Times New Roman" w:eastAsia="Times New Roman" w:hAnsi="Times New Roman" w:cs="Times New Roman"/>
          <w:sz w:val="24"/>
          <w:szCs w:val="24"/>
          <w:lang w:eastAsia="en-AU"/>
        </w:rPr>
        <w:t>removal</w:t>
      </w:r>
      <w:r w:rsidRPr="00016DAD">
        <w:rPr>
          <w:rFonts w:ascii="Times New Roman" w:eastAsia="Times New Roman" w:hAnsi="Times New Roman" w:cs="Times New Roman"/>
          <w:sz w:val="24"/>
          <w:szCs w:val="24"/>
          <w:lang w:eastAsia="en-AU"/>
        </w:rPr>
        <w:t xml:space="preserve"> of the </w:t>
      </w:r>
      <w:r w:rsidR="008B2B7B">
        <w:rPr>
          <w:rFonts w:ascii="Times New Roman" w:eastAsia="Times New Roman" w:hAnsi="Times New Roman" w:cs="Times New Roman"/>
          <w:sz w:val="24"/>
          <w:szCs w:val="24"/>
          <w:lang w:eastAsia="en-AU"/>
        </w:rPr>
        <w:t>14</w:t>
      </w:r>
      <w:r w:rsidRPr="00016DAD">
        <w:rPr>
          <w:rFonts w:ascii="Times New Roman" w:eastAsia="Times New Roman" w:hAnsi="Times New Roman" w:cs="Times New Roman"/>
          <w:sz w:val="24"/>
          <w:szCs w:val="24"/>
          <w:lang w:eastAsia="en-AU"/>
        </w:rPr>
        <w:t xml:space="preserve"> above listed items was conducted between 21 December 2015 and 8 February 2016. </w:t>
      </w:r>
      <w:r>
        <w:rPr>
          <w:rFonts w:ascii="Times New Roman" w:eastAsia="Times New Roman" w:hAnsi="Times New Roman" w:cs="Times New Roman"/>
          <w:sz w:val="24"/>
          <w:szCs w:val="24"/>
          <w:lang w:eastAsia="en-AU"/>
        </w:rPr>
        <w:t xml:space="preserve"> </w:t>
      </w:r>
      <w:r w:rsidRPr="00016DAD">
        <w:rPr>
          <w:rFonts w:ascii="Times New Roman" w:eastAsia="Times New Roman" w:hAnsi="Times New Roman" w:cs="Times New Roman"/>
          <w:sz w:val="24"/>
          <w:szCs w:val="24"/>
          <w:lang w:eastAsia="en-AU"/>
        </w:rPr>
        <w:t xml:space="preserve">In addition all relevant professional Colleges were specifically invited to provide feedback on the recommendations. </w:t>
      </w:r>
    </w:p>
    <w:p w:rsidR="00C81C33" w:rsidRDefault="00C81C33" w:rsidP="00C81C33">
      <w:pPr>
        <w:pStyle w:val="PlainText"/>
      </w:pPr>
    </w:p>
    <w:p w:rsidR="00C81C33" w:rsidRDefault="00C81C33" w:rsidP="00C81C33">
      <w:pPr>
        <w:rPr>
          <w:szCs w:val="24"/>
        </w:rPr>
      </w:pPr>
      <w:r w:rsidRPr="00DC2E66">
        <w:rPr>
          <w:szCs w:val="24"/>
        </w:rPr>
        <w:t xml:space="preserve">The Faculty of Radiation Oncology within the Royal Australian and New Zealand College of Radiologists was consulted on the IMRT descriptor clarification in the proposed Regulation and is fully supportive. </w:t>
      </w:r>
      <w:r>
        <w:rPr>
          <w:szCs w:val="24"/>
        </w:rPr>
        <w:t xml:space="preserve"> </w:t>
      </w:r>
      <w:r w:rsidRPr="00DC2E66">
        <w:rPr>
          <w:szCs w:val="24"/>
        </w:rPr>
        <w:t>The Faculty has communicated with its Fellows who provide radiotherapy services to assist with clarification of original policy intent.</w:t>
      </w:r>
      <w:r>
        <w:rPr>
          <w:szCs w:val="24"/>
        </w:rPr>
        <w:t xml:space="preserve">  </w:t>
      </w:r>
    </w:p>
    <w:p w:rsidR="00C81C33" w:rsidRDefault="00C81C33" w:rsidP="00C81C33">
      <w:pPr>
        <w:rPr>
          <w:szCs w:val="24"/>
        </w:rPr>
      </w:pPr>
    </w:p>
    <w:p w:rsidR="00C81C33" w:rsidRPr="00191EED" w:rsidRDefault="00C81C33" w:rsidP="00C81C33">
      <w:pPr>
        <w:pStyle w:val="Default"/>
      </w:pPr>
      <w:r>
        <w:t xml:space="preserve">The Colorectal Surgical Society of Australia and New Zealand provided advice on the removal of the reference to </w:t>
      </w:r>
      <w:r w:rsidRPr="00016DAD">
        <w:t>argon plasma coagulation</w:t>
      </w:r>
      <w:r>
        <w:t xml:space="preserve"> from t</w:t>
      </w:r>
      <w:r w:rsidR="00156E84">
        <w:t>he item descriptor of item 32089</w:t>
      </w:r>
      <w:r>
        <w:t>.</w:t>
      </w:r>
    </w:p>
    <w:p w:rsidR="00C81C33" w:rsidRPr="00016DAD" w:rsidRDefault="00C81C33" w:rsidP="00C81C33">
      <w:pPr>
        <w:pStyle w:val="Default"/>
        <w:rPr>
          <w:rFonts w:ascii="Calibri" w:hAnsi="Calibri" w:cs="Calibri"/>
        </w:rPr>
      </w:pPr>
    </w:p>
    <w:p w:rsidR="005F04DC" w:rsidRPr="0059164D" w:rsidRDefault="004270FD" w:rsidP="005F04DC">
      <w:pPr>
        <w:rPr>
          <w:szCs w:val="24"/>
        </w:rPr>
      </w:pPr>
      <w:r>
        <w:rPr>
          <w:szCs w:val="24"/>
        </w:rPr>
        <w:t>Details of the R</w:t>
      </w:r>
      <w:r w:rsidR="005F04DC" w:rsidRPr="0059164D">
        <w:rPr>
          <w:szCs w:val="24"/>
        </w:rPr>
        <w:t>egulation</w:t>
      </w:r>
      <w:r w:rsidR="005F04DC" w:rsidRPr="0059164D">
        <w:rPr>
          <w:i/>
          <w:szCs w:val="24"/>
        </w:rPr>
        <w:t xml:space="preserve"> </w:t>
      </w:r>
      <w:r w:rsidR="005F04DC" w:rsidRPr="0059164D">
        <w:rPr>
          <w:szCs w:val="24"/>
        </w:rPr>
        <w:t xml:space="preserve">are set out in the </w:t>
      </w:r>
      <w:r w:rsidR="005F04DC" w:rsidRPr="0059164D">
        <w:rPr>
          <w:szCs w:val="24"/>
          <w:u w:val="single"/>
        </w:rPr>
        <w:t>Attachment</w:t>
      </w:r>
      <w:r w:rsidR="005F04DC" w:rsidRPr="0059164D">
        <w:rPr>
          <w:szCs w:val="24"/>
        </w:rPr>
        <w:t>.</w:t>
      </w:r>
    </w:p>
    <w:p w:rsidR="005F04DC" w:rsidRPr="0059164D" w:rsidRDefault="005F04DC" w:rsidP="005F04DC">
      <w:pPr>
        <w:rPr>
          <w:sz w:val="16"/>
          <w:szCs w:val="16"/>
        </w:rPr>
      </w:pPr>
    </w:p>
    <w:p w:rsidR="005F04DC" w:rsidRPr="0059164D" w:rsidRDefault="005F04DC" w:rsidP="005F04DC">
      <w:pPr>
        <w:rPr>
          <w:szCs w:val="24"/>
        </w:rPr>
      </w:pPr>
      <w:r w:rsidRPr="0059164D">
        <w:rPr>
          <w:szCs w:val="24"/>
        </w:rPr>
        <w:t xml:space="preserve">The Act specifies no conditions which need to be met before the power to make the </w:t>
      </w:r>
      <w:r w:rsidR="00CC0377">
        <w:rPr>
          <w:szCs w:val="24"/>
        </w:rPr>
        <w:t>R</w:t>
      </w:r>
      <w:r w:rsidRPr="0059164D">
        <w:rPr>
          <w:szCs w:val="24"/>
        </w:rPr>
        <w:t xml:space="preserve">egulation may be exercised.  </w:t>
      </w:r>
    </w:p>
    <w:p w:rsidR="005F04DC" w:rsidRPr="0059164D" w:rsidRDefault="005F04DC" w:rsidP="005F04DC">
      <w:pPr>
        <w:rPr>
          <w:sz w:val="16"/>
          <w:szCs w:val="16"/>
        </w:rPr>
      </w:pPr>
    </w:p>
    <w:p w:rsidR="005F04DC" w:rsidRPr="00C81C33" w:rsidRDefault="005F04DC" w:rsidP="005F04DC">
      <w:pPr>
        <w:rPr>
          <w:i/>
          <w:iCs/>
        </w:rPr>
      </w:pPr>
      <w:r w:rsidRPr="0059164D">
        <w:rPr>
          <w:szCs w:val="24"/>
        </w:rPr>
        <w:t xml:space="preserve">The </w:t>
      </w:r>
      <w:r w:rsidR="004270FD">
        <w:rPr>
          <w:szCs w:val="24"/>
        </w:rPr>
        <w:t>R</w:t>
      </w:r>
      <w:r w:rsidRPr="0059164D">
        <w:rPr>
          <w:szCs w:val="24"/>
        </w:rPr>
        <w:t xml:space="preserve">egulation </w:t>
      </w:r>
      <w:r w:rsidR="00AB35DC" w:rsidRPr="0059164D">
        <w:rPr>
          <w:szCs w:val="24"/>
        </w:rPr>
        <w:t>is</w:t>
      </w:r>
      <w:r w:rsidRPr="0059164D">
        <w:rPr>
          <w:szCs w:val="24"/>
        </w:rPr>
        <w:t xml:space="preserve"> a legislative instrument for the purposes of the </w:t>
      </w:r>
      <w:r w:rsidR="00B94E24">
        <w:rPr>
          <w:i/>
          <w:iCs/>
        </w:rPr>
        <w:t>Legislation Act 2003</w:t>
      </w:r>
      <w:r w:rsidRPr="0059164D">
        <w:rPr>
          <w:szCs w:val="24"/>
        </w:rPr>
        <w:t xml:space="preserve">.  </w:t>
      </w:r>
    </w:p>
    <w:p w:rsidR="00D4193B" w:rsidRPr="0059164D" w:rsidRDefault="005F04DC" w:rsidP="001D66BB">
      <w:pPr>
        <w:tabs>
          <w:tab w:val="left" w:pos="567"/>
        </w:tabs>
        <w:spacing w:before="240"/>
        <w:rPr>
          <w:szCs w:val="24"/>
        </w:rPr>
      </w:pPr>
      <w:r w:rsidRPr="0059164D">
        <w:rPr>
          <w:szCs w:val="24"/>
        </w:rPr>
        <w:t xml:space="preserve">The </w:t>
      </w:r>
      <w:r w:rsidR="004270FD">
        <w:rPr>
          <w:szCs w:val="24"/>
        </w:rPr>
        <w:t>R</w:t>
      </w:r>
      <w:r w:rsidRPr="0059164D">
        <w:rPr>
          <w:szCs w:val="24"/>
        </w:rPr>
        <w:t xml:space="preserve">egulation </w:t>
      </w:r>
      <w:r w:rsidR="007F1C81" w:rsidRPr="0059164D">
        <w:rPr>
          <w:szCs w:val="24"/>
        </w:rPr>
        <w:t>commence</w:t>
      </w:r>
      <w:r w:rsidR="00BE2ECA" w:rsidRPr="0059164D">
        <w:rPr>
          <w:szCs w:val="24"/>
        </w:rPr>
        <w:t>s</w:t>
      </w:r>
      <w:r w:rsidR="007F1C81" w:rsidRPr="0059164D">
        <w:rPr>
          <w:szCs w:val="24"/>
        </w:rPr>
        <w:t xml:space="preserve"> on </w:t>
      </w:r>
      <w:r w:rsidR="007F1C81" w:rsidRPr="00F42FCF">
        <w:rPr>
          <w:szCs w:val="24"/>
        </w:rPr>
        <w:t>1 July</w:t>
      </w:r>
      <w:r w:rsidRPr="00F42FCF">
        <w:rPr>
          <w:szCs w:val="24"/>
        </w:rPr>
        <w:t xml:space="preserve"> 201</w:t>
      </w:r>
      <w:r w:rsidR="0059164D" w:rsidRPr="00F42FCF">
        <w:rPr>
          <w:szCs w:val="24"/>
        </w:rPr>
        <w:t>6</w:t>
      </w:r>
      <w:r w:rsidRPr="00F42FCF">
        <w:rPr>
          <w:szCs w:val="24"/>
        </w:rPr>
        <w:t>.</w:t>
      </w:r>
    </w:p>
    <w:p w:rsidR="003C5E8C" w:rsidRPr="00BF65AE" w:rsidRDefault="003C5E8C" w:rsidP="0099448D">
      <w:pPr>
        <w:rPr>
          <w:szCs w:val="24"/>
          <w:highlight w:val="yellow"/>
        </w:rPr>
      </w:pPr>
    </w:p>
    <w:p w:rsidR="005F04DC" w:rsidRPr="004270FD" w:rsidRDefault="005F04DC" w:rsidP="005F04DC">
      <w:pPr>
        <w:pStyle w:val="Subtitle"/>
        <w:rPr>
          <w:sz w:val="16"/>
          <w:szCs w:val="16"/>
          <w:u w:val="none"/>
        </w:rPr>
      </w:pPr>
    </w:p>
    <w:p w:rsidR="005F04DC" w:rsidRPr="004270FD" w:rsidRDefault="005F04DC" w:rsidP="005F04DC">
      <w:pPr>
        <w:tabs>
          <w:tab w:val="left" w:pos="4536"/>
          <w:tab w:val="left" w:pos="5670"/>
        </w:tabs>
        <w:ind w:left="284"/>
        <w:jc w:val="center"/>
        <w:rPr>
          <w:szCs w:val="24"/>
        </w:rPr>
      </w:pPr>
      <w:r w:rsidRPr="004270FD">
        <w:rPr>
          <w:szCs w:val="24"/>
        </w:rPr>
        <w:tab/>
      </w:r>
      <w:r w:rsidRPr="004270FD">
        <w:rPr>
          <w:szCs w:val="24"/>
          <w:u w:val="single"/>
        </w:rPr>
        <w:t>Authority</w:t>
      </w:r>
      <w:r w:rsidRPr="004270FD">
        <w:rPr>
          <w:szCs w:val="24"/>
        </w:rPr>
        <w:t xml:space="preserve">:     Subsection 133(1) of the </w:t>
      </w:r>
    </w:p>
    <w:p w:rsidR="005F04DC" w:rsidRPr="004270FD" w:rsidRDefault="005F04DC" w:rsidP="005F04DC">
      <w:pPr>
        <w:tabs>
          <w:tab w:val="left" w:pos="4536"/>
        </w:tabs>
        <w:ind w:left="284"/>
        <w:jc w:val="center"/>
        <w:rPr>
          <w:szCs w:val="24"/>
        </w:rPr>
      </w:pPr>
      <w:r w:rsidRPr="004270FD">
        <w:rPr>
          <w:i/>
          <w:szCs w:val="24"/>
        </w:rPr>
        <w:t xml:space="preserve">                                                                                                Health Insurance Act 1973</w:t>
      </w:r>
      <w:r w:rsidRPr="004270FD">
        <w:rPr>
          <w:szCs w:val="24"/>
        </w:rPr>
        <w:t xml:space="preserve">  </w:t>
      </w:r>
    </w:p>
    <w:p w:rsidR="00BE305E" w:rsidRDefault="00BE305E" w:rsidP="005F04DC">
      <w:pPr>
        <w:pStyle w:val="Subtitle"/>
        <w:ind w:left="284"/>
        <w:rPr>
          <w:szCs w:val="24"/>
          <w:highlight w:val="yellow"/>
          <w:u w:val="none"/>
        </w:rPr>
        <w:sectPr w:rsidR="00BE305E" w:rsidSect="00BE305E">
          <w:headerReference w:type="even" r:id="rId9"/>
          <w:headerReference w:type="default" r:id="rId10"/>
          <w:pgSz w:w="11906" w:h="16838"/>
          <w:pgMar w:top="1440" w:right="1440" w:bottom="1440" w:left="1440" w:header="720" w:footer="720" w:gutter="0"/>
          <w:paperSrc w:first="7" w:other="7"/>
          <w:pgNumType w:start="1"/>
          <w:cols w:space="720"/>
          <w:docGrid w:linePitch="326"/>
        </w:sectPr>
      </w:pPr>
    </w:p>
    <w:p w:rsidR="005F04DC" w:rsidRPr="00BF65AE" w:rsidRDefault="005F04DC" w:rsidP="00BE305E">
      <w:pPr>
        <w:pStyle w:val="Subtitle"/>
        <w:rPr>
          <w:highlight w:val="yellow"/>
        </w:rPr>
      </w:pPr>
    </w:p>
    <w:p w:rsidR="005F04DC" w:rsidRPr="00C81C33" w:rsidRDefault="005F04DC" w:rsidP="005F04DC">
      <w:pPr>
        <w:ind w:left="284"/>
        <w:jc w:val="right"/>
        <w:rPr>
          <w:b/>
          <w:szCs w:val="24"/>
        </w:rPr>
      </w:pPr>
      <w:r w:rsidRPr="00C81C33">
        <w:rPr>
          <w:b/>
          <w:szCs w:val="24"/>
        </w:rPr>
        <w:t xml:space="preserve">ATTACHMENT </w:t>
      </w:r>
    </w:p>
    <w:p w:rsidR="005F04DC" w:rsidRPr="00C81C33" w:rsidRDefault="005F04DC" w:rsidP="005F04DC">
      <w:pPr>
        <w:ind w:left="284"/>
        <w:jc w:val="right"/>
        <w:rPr>
          <w:b/>
          <w:szCs w:val="24"/>
        </w:rPr>
      </w:pPr>
    </w:p>
    <w:p w:rsidR="007F1C81" w:rsidRPr="00C81C33" w:rsidRDefault="004270FD" w:rsidP="00C81C33">
      <w:pPr>
        <w:pStyle w:val="BodyText"/>
        <w:ind w:right="-483"/>
        <w:rPr>
          <w:i/>
          <w:szCs w:val="24"/>
        </w:rPr>
      </w:pPr>
      <w:r w:rsidRPr="00C81C33">
        <w:rPr>
          <w:szCs w:val="24"/>
        </w:rPr>
        <w:t xml:space="preserve">Details of the </w:t>
      </w:r>
      <w:r w:rsidR="00C81C33" w:rsidRPr="00C81C33">
        <w:rPr>
          <w:i/>
          <w:szCs w:val="24"/>
        </w:rPr>
        <w:t>Health Insurance (General Medical Services Table) Regulation 2016</w:t>
      </w:r>
    </w:p>
    <w:p w:rsidR="004270FD" w:rsidRPr="00C81C33" w:rsidRDefault="004270FD" w:rsidP="004270FD"/>
    <w:p w:rsidR="005F04DC" w:rsidRPr="00C81C33" w:rsidRDefault="00C81C33" w:rsidP="005F04DC">
      <w:pPr>
        <w:pStyle w:val="Heading1"/>
        <w:tabs>
          <w:tab w:val="left" w:pos="284"/>
        </w:tabs>
        <w:jc w:val="left"/>
        <w:rPr>
          <w:b w:val="0"/>
          <w:szCs w:val="24"/>
        </w:rPr>
      </w:pPr>
      <w:r w:rsidRPr="00C81C33">
        <w:rPr>
          <w:b w:val="0"/>
          <w:szCs w:val="24"/>
        </w:rPr>
        <w:t>Section 1 – Name</w:t>
      </w:r>
    </w:p>
    <w:p w:rsidR="005F04DC" w:rsidRPr="00C81C33" w:rsidRDefault="005F04DC" w:rsidP="005F04DC">
      <w:pPr>
        <w:pStyle w:val="Heading1"/>
        <w:jc w:val="left"/>
        <w:rPr>
          <w:b w:val="0"/>
          <w:sz w:val="16"/>
          <w:szCs w:val="16"/>
          <w:u w:val="none"/>
        </w:rPr>
      </w:pPr>
    </w:p>
    <w:p w:rsidR="005F04DC" w:rsidRPr="00C81C33" w:rsidRDefault="005F04DC" w:rsidP="005F04DC">
      <w:pPr>
        <w:pStyle w:val="Heading1"/>
        <w:jc w:val="left"/>
        <w:rPr>
          <w:b w:val="0"/>
          <w:szCs w:val="24"/>
          <w:u w:val="none"/>
        </w:rPr>
      </w:pPr>
      <w:r w:rsidRPr="00C81C33">
        <w:rPr>
          <w:b w:val="0"/>
          <w:szCs w:val="24"/>
          <w:u w:val="none"/>
        </w:rPr>
        <w:t>This section provide</w:t>
      </w:r>
      <w:r w:rsidR="00ED7140" w:rsidRPr="00C81C33">
        <w:rPr>
          <w:b w:val="0"/>
          <w:szCs w:val="24"/>
          <w:u w:val="none"/>
        </w:rPr>
        <w:t>s</w:t>
      </w:r>
      <w:r w:rsidRPr="00C81C33">
        <w:rPr>
          <w:b w:val="0"/>
          <w:szCs w:val="24"/>
          <w:u w:val="none"/>
        </w:rPr>
        <w:t xml:space="preserve"> for the </w:t>
      </w:r>
      <w:r w:rsidR="004270FD" w:rsidRPr="00C81C33">
        <w:rPr>
          <w:b w:val="0"/>
          <w:szCs w:val="24"/>
          <w:u w:val="none"/>
        </w:rPr>
        <w:t>R</w:t>
      </w:r>
      <w:r w:rsidRPr="00C81C33">
        <w:rPr>
          <w:b w:val="0"/>
          <w:szCs w:val="24"/>
          <w:u w:val="none"/>
        </w:rPr>
        <w:t>egulation to be referred to as the</w:t>
      </w:r>
      <w:r w:rsidRPr="00C81C33">
        <w:rPr>
          <w:b w:val="0"/>
          <w:i/>
          <w:szCs w:val="24"/>
          <w:u w:val="none"/>
        </w:rPr>
        <w:t xml:space="preserve"> </w:t>
      </w:r>
      <w:r w:rsidR="004270FD" w:rsidRPr="00C81C33">
        <w:rPr>
          <w:b w:val="0"/>
          <w:i/>
          <w:szCs w:val="24"/>
          <w:u w:val="none"/>
        </w:rPr>
        <w:t>Health Insurance (General Medical Services Table) Regulation 2016</w:t>
      </w:r>
      <w:r w:rsidRPr="00C81C33">
        <w:rPr>
          <w:b w:val="0"/>
          <w:szCs w:val="24"/>
          <w:u w:val="none"/>
        </w:rPr>
        <w:t>.</w:t>
      </w:r>
    </w:p>
    <w:p w:rsidR="005F04DC" w:rsidRPr="00BF65AE" w:rsidRDefault="005F04DC" w:rsidP="005F04DC">
      <w:pPr>
        <w:pStyle w:val="BodyText"/>
        <w:rPr>
          <w:b w:val="0"/>
          <w:szCs w:val="24"/>
          <w:highlight w:val="yellow"/>
        </w:rPr>
      </w:pPr>
    </w:p>
    <w:p w:rsidR="005F04DC" w:rsidRPr="00C81C33" w:rsidRDefault="005F04DC" w:rsidP="005F04DC">
      <w:pPr>
        <w:pStyle w:val="BodyText"/>
        <w:rPr>
          <w:b w:val="0"/>
          <w:szCs w:val="24"/>
          <w:u w:val="single"/>
        </w:rPr>
      </w:pPr>
      <w:r w:rsidRPr="00C81C33">
        <w:rPr>
          <w:b w:val="0"/>
          <w:szCs w:val="24"/>
          <w:u w:val="single"/>
        </w:rPr>
        <w:t xml:space="preserve">Section 2 – Commencement </w:t>
      </w:r>
    </w:p>
    <w:p w:rsidR="005F04DC" w:rsidRPr="00C81C33" w:rsidRDefault="005F04DC" w:rsidP="005F04DC">
      <w:pPr>
        <w:pStyle w:val="BodyText"/>
        <w:rPr>
          <w:b w:val="0"/>
          <w:sz w:val="16"/>
          <w:szCs w:val="16"/>
        </w:rPr>
      </w:pPr>
    </w:p>
    <w:p w:rsidR="005F04DC" w:rsidRPr="00C81C33" w:rsidRDefault="005F04DC" w:rsidP="005F04DC">
      <w:pPr>
        <w:pStyle w:val="BodyText"/>
        <w:rPr>
          <w:b w:val="0"/>
          <w:szCs w:val="24"/>
        </w:rPr>
      </w:pPr>
      <w:r w:rsidRPr="00C81C33">
        <w:rPr>
          <w:b w:val="0"/>
          <w:szCs w:val="24"/>
        </w:rPr>
        <w:t>This section provide</w:t>
      </w:r>
      <w:r w:rsidR="00ED7140" w:rsidRPr="00C81C33">
        <w:rPr>
          <w:b w:val="0"/>
          <w:szCs w:val="24"/>
        </w:rPr>
        <w:t>s</w:t>
      </w:r>
      <w:r w:rsidR="004270FD" w:rsidRPr="00C81C33">
        <w:rPr>
          <w:b w:val="0"/>
          <w:szCs w:val="24"/>
        </w:rPr>
        <w:t xml:space="preserve"> for the R</w:t>
      </w:r>
      <w:r w:rsidRPr="00C81C33">
        <w:rPr>
          <w:b w:val="0"/>
          <w:szCs w:val="24"/>
        </w:rPr>
        <w:t>egulation to commenc</w:t>
      </w:r>
      <w:r w:rsidR="0002704E" w:rsidRPr="00C81C33">
        <w:rPr>
          <w:b w:val="0"/>
          <w:szCs w:val="24"/>
        </w:rPr>
        <w:t>e on 1 July</w:t>
      </w:r>
      <w:r w:rsidRPr="00C81C33">
        <w:rPr>
          <w:b w:val="0"/>
          <w:szCs w:val="24"/>
        </w:rPr>
        <w:t xml:space="preserve"> 201</w:t>
      </w:r>
      <w:r w:rsidR="004270FD" w:rsidRPr="00C81C33">
        <w:rPr>
          <w:b w:val="0"/>
          <w:szCs w:val="24"/>
        </w:rPr>
        <w:t>6</w:t>
      </w:r>
      <w:r w:rsidRPr="00C81C33">
        <w:rPr>
          <w:b w:val="0"/>
          <w:szCs w:val="24"/>
        </w:rPr>
        <w:t>.</w:t>
      </w:r>
    </w:p>
    <w:p w:rsidR="005F04DC" w:rsidRPr="00BF65AE" w:rsidRDefault="005F04DC" w:rsidP="005F04DC">
      <w:pPr>
        <w:pStyle w:val="BodyText"/>
        <w:rPr>
          <w:b w:val="0"/>
          <w:szCs w:val="24"/>
          <w:highlight w:val="yellow"/>
        </w:rPr>
      </w:pPr>
    </w:p>
    <w:p w:rsidR="005F04DC" w:rsidRPr="006C2A33" w:rsidRDefault="005F04DC" w:rsidP="005F04DC">
      <w:pPr>
        <w:pStyle w:val="BodyText"/>
        <w:rPr>
          <w:b w:val="0"/>
          <w:szCs w:val="24"/>
          <w:u w:val="single"/>
        </w:rPr>
      </w:pPr>
      <w:r w:rsidRPr="006C2A33">
        <w:rPr>
          <w:b w:val="0"/>
          <w:szCs w:val="24"/>
          <w:u w:val="single"/>
        </w:rPr>
        <w:t>Sec</w:t>
      </w:r>
      <w:r w:rsidR="0002704E" w:rsidRPr="006C2A33">
        <w:rPr>
          <w:b w:val="0"/>
          <w:szCs w:val="24"/>
          <w:u w:val="single"/>
        </w:rPr>
        <w:t xml:space="preserve">tion 3 – Authority </w:t>
      </w:r>
      <w:r w:rsidRPr="006C2A33">
        <w:rPr>
          <w:b w:val="0"/>
          <w:szCs w:val="24"/>
          <w:u w:val="single"/>
        </w:rPr>
        <w:t xml:space="preserve"> </w:t>
      </w:r>
    </w:p>
    <w:p w:rsidR="005F04DC" w:rsidRPr="006C2A33" w:rsidRDefault="005F04DC" w:rsidP="005F04DC">
      <w:pPr>
        <w:pStyle w:val="BodyText"/>
        <w:rPr>
          <w:b w:val="0"/>
          <w:sz w:val="16"/>
          <w:szCs w:val="16"/>
        </w:rPr>
      </w:pPr>
    </w:p>
    <w:p w:rsidR="0002704E" w:rsidRPr="006C2A33" w:rsidRDefault="004270FD" w:rsidP="005F04DC">
      <w:pPr>
        <w:pStyle w:val="BodyText"/>
        <w:rPr>
          <w:b w:val="0"/>
          <w:szCs w:val="24"/>
        </w:rPr>
      </w:pPr>
      <w:r w:rsidRPr="006C2A33">
        <w:rPr>
          <w:b w:val="0"/>
          <w:szCs w:val="24"/>
        </w:rPr>
        <w:t>This R</w:t>
      </w:r>
      <w:r w:rsidR="0002704E" w:rsidRPr="006C2A33">
        <w:rPr>
          <w:b w:val="0"/>
          <w:szCs w:val="24"/>
        </w:rPr>
        <w:t xml:space="preserve">egulation </w:t>
      </w:r>
      <w:r w:rsidR="00ED7140" w:rsidRPr="006C2A33">
        <w:rPr>
          <w:b w:val="0"/>
          <w:szCs w:val="24"/>
        </w:rPr>
        <w:t>is</w:t>
      </w:r>
      <w:r w:rsidR="0002704E" w:rsidRPr="006C2A33">
        <w:rPr>
          <w:b w:val="0"/>
          <w:szCs w:val="24"/>
        </w:rPr>
        <w:t xml:space="preserve"> made under the </w:t>
      </w:r>
      <w:r w:rsidR="0002704E" w:rsidRPr="006C2A33">
        <w:rPr>
          <w:b w:val="0"/>
          <w:i/>
          <w:szCs w:val="24"/>
        </w:rPr>
        <w:t>Health Insurance Act 1973</w:t>
      </w:r>
      <w:r w:rsidR="0002704E" w:rsidRPr="006C2A33">
        <w:rPr>
          <w:b w:val="0"/>
          <w:szCs w:val="24"/>
        </w:rPr>
        <w:t xml:space="preserve">.  </w:t>
      </w:r>
    </w:p>
    <w:p w:rsidR="005F04DC" w:rsidRPr="00BF65AE" w:rsidRDefault="005F04DC" w:rsidP="005F04DC">
      <w:pPr>
        <w:pStyle w:val="Header"/>
        <w:tabs>
          <w:tab w:val="clear" w:pos="4153"/>
          <w:tab w:val="clear" w:pos="8306"/>
          <w:tab w:val="num" w:pos="1080"/>
        </w:tabs>
        <w:rPr>
          <w:szCs w:val="24"/>
          <w:highlight w:val="yellow"/>
        </w:rPr>
      </w:pPr>
    </w:p>
    <w:p w:rsidR="005F04DC" w:rsidRPr="006C2A33" w:rsidRDefault="005F04DC" w:rsidP="005F04DC">
      <w:pPr>
        <w:pStyle w:val="Header"/>
        <w:tabs>
          <w:tab w:val="clear" w:pos="4153"/>
          <w:tab w:val="clear" w:pos="8306"/>
          <w:tab w:val="num" w:pos="1080"/>
        </w:tabs>
        <w:rPr>
          <w:szCs w:val="24"/>
          <w:u w:val="single"/>
        </w:rPr>
      </w:pPr>
      <w:r w:rsidRPr="006C2A33">
        <w:rPr>
          <w:szCs w:val="24"/>
          <w:u w:val="single"/>
        </w:rPr>
        <w:t>Section 4</w:t>
      </w:r>
      <w:r w:rsidR="004E7F97" w:rsidRPr="006C2A33">
        <w:rPr>
          <w:szCs w:val="24"/>
          <w:u w:val="single"/>
        </w:rPr>
        <w:t xml:space="preserve"> – Schedule(s)</w:t>
      </w:r>
    </w:p>
    <w:p w:rsidR="006C2A33" w:rsidRPr="00ED6E3C" w:rsidRDefault="00704A1A" w:rsidP="006C2A33">
      <w:pPr>
        <w:pStyle w:val="subsection"/>
        <w:tabs>
          <w:tab w:val="clear" w:pos="1021"/>
        </w:tabs>
        <w:ind w:left="0" w:firstLine="0"/>
        <w:rPr>
          <w:sz w:val="24"/>
          <w:szCs w:val="24"/>
        </w:rPr>
      </w:pPr>
      <w:r w:rsidRPr="00ED6E3C">
        <w:rPr>
          <w:sz w:val="24"/>
          <w:szCs w:val="24"/>
        </w:rPr>
        <w:t xml:space="preserve">This section provides </w:t>
      </w:r>
      <w:r w:rsidR="006C2A33" w:rsidRPr="00ED6E3C">
        <w:rPr>
          <w:sz w:val="24"/>
          <w:szCs w:val="24"/>
        </w:rPr>
        <w:t>that is specified in a Schedule to this instrument is amended or repealed as set out in the applicable items in the Schedule concerned, and any other item in a Schedule to this instrument has effect according to its terms.</w:t>
      </w:r>
    </w:p>
    <w:p w:rsidR="00704A1A" w:rsidRPr="00BF65AE" w:rsidRDefault="00704A1A" w:rsidP="005F04DC">
      <w:pPr>
        <w:pStyle w:val="Header"/>
        <w:tabs>
          <w:tab w:val="clear" w:pos="4153"/>
          <w:tab w:val="clear" w:pos="8306"/>
          <w:tab w:val="num" w:pos="1080"/>
        </w:tabs>
        <w:rPr>
          <w:szCs w:val="24"/>
          <w:highlight w:val="yellow"/>
        </w:rPr>
      </w:pPr>
    </w:p>
    <w:p w:rsidR="006C2A33" w:rsidRPr="00016DAD" w:rsidRDefault="006C2A33" w:rsidP="006C2A33">
      <w:pPr>
        <w:pStyle w:val="Header"/>
        <w:tabs>
          <w:tab w:val="clear" w:pos="4153"/>
          <w:tab w:val="clear" w:pos="8306"/>
          <w:tab w:val="num" w:pos="1080"/>
        </w:tabs>
        <w:rPr>
          <w:szCs w:val="24"/>
          <w:u w:val="single"/>
        </w:rPr>
      </w:pPr>
      <w:r w:rsidRPr="00016DAD">
        <w:rPr>
          <w:szCs w:val="24"/>
          <w:u w:val="single"/>
        </w:rPr>
        <w:t>Section 5 – General medical services table</w:t>
      </w:r>
    </w:p>
    <w:p w:rsidR="0002704E" w:rsidRPr="00BF65AE" w:rsidRDefault="0002704E" w:rsidP="0002704E">
      <w:pPr>
        <w:pStyle w:val="Header"/>
        <w:tabs>
          <w:tab w:val="clear" w:pos="4153"/>
          <w:tab w:val="clear" w:pos="8306"/>
          <w:tab w:val="num" w:pos="1080"/>
        </w:tabs>
        <w:rPr>
          <w:sz w:val="16"/>
          <w:szCs w:val="16"/>
          <w:highlight w:val="yellow"/>
        </w:rPr>
      </w:pPr>
    </w:p>
    <w:p w:rsidR="006C2A33" w:rsidRPr="00016DAD" w:rsidRDefault="006C2A33" w:rsidP="006C2A33">
      <w:pPr>
        <w:pStyle w:val="Header"/>
        <w:tabs>
          <w:tab w:val="clear" w:pos="4153"/>
          <w:tab w:val="clear" w:pos="8306"/>
          <w:tab w:val="num" w:pos="1080"/>
        </w:tabs>
        <w:rPr>
          <w:szCs w:val="24"/>
        </w:rPr>
      </w:pPr>
      <w:r w:rsidRPr="00016DAD">
        <w:rPr>
          <w:szCs w:val="24"/>
        </w:rPr>
        <w:t>This section provides that the new table of medical services set out in Schedule 1 be prescribed for subsection 4(1) of the Act.</w:t>
      </w:r>
    </w:p>
    <w:p w:rsidR="0002704E" w:rsidRPr="00BF65AE" w:rsidRDefault="0002704E" w:rsidP="005F04DC">
      <w:pPr>
        <w:pStyle w:val="Header"/>
        <w:tabs>
          <w:tab w:val="clear" w:pos="4153"/>
          <w:tab w:val="clear" w:pos="8306"/>
          <w:tab w:val="num" w:pos="1080"/>
        </w:tabs>
        <w:rPr>
          <w:szCs w:val="24"/>
          <w:highlight w:val="yellow"/>
        </w:rPr>
      </w:pPr>
    </w:p>
    <w:p w:rsidR="0002704E" w:rsidRPr="006C2A33" w:rsidRDefault="0002704E" w:rsidP="005F04DC">
      <w:pPr>
        <w:pStyle w:val="Header"/>
        <w:tabs>
          <w:tab w:val="clear" w:pos="4153"/>
          <w:tab w:val="clear" w:pos="8306"/>
          <w:tab w:val="num" w:pos="1080"/>
        </w:tabs>
        <w:rPr>
          <w:szCs w:val="24"/>
          <w:u w:val="single"/>
        </w:rPr>
      </w:pPr>
      <w:r w:rsidRPr="006C2A33">
        <w:rPr>
          <w:szCs w:val="24"/>
          <w:u w:val="single"/>
        </w:rPr>
        <w:t xml:space="preserve">Section 6 – Dictionary </w:t>
      </w:r>
    </w:p>
    <w:p w:rsidR="005F04DC" w:rsidRPr="006C2A33" w:rsidRDefault="005F04DC" w:rsidP="005F04DC">
      <w:pPr>
        <w:pStyle w:val="Header"/>
        <w:tabs>
          <w:tab w:val="clear" w:pos="4153"/>
          <w:tab w:val="clear" w:pos="8306"/>
          <w:tab w:val="num" w:pos="1080"/>
        </w:tabs>
        <w:rPr>
          <w:szCs w:val="24"/>
          <w:u w:val="single"/>
        </w:rPr>
      </w:pPr>
    </w:p>
    <w:p w:rsidR="006C2A33" w:rsidRPr="00016DAD" w:rsidRDefault="006C2A33" w:rsidP="006C2A33">
      <w:pPr>
        <w:pStyle w:val="Header"/>
        <w:tabs>
          <w:tab w:val="num" w:pos="1080"/>
        </w:tabs>
        <w:rPr>
          <w:szCs w:val="24"/>
        </w:rPr>
      </w:pPr>
      <w:r w:rsidRPr="006C2A33">
        <w:rPr>
          <w:szCs w:val="24"/>
        </w:rPr>
        <w:t>This section provides for a Dictionary at the end of the regulation, which defines certain words and expressions used in the proposed Regulation, and includes references to certain words and expressions which are defined elsewhere in the Regulation.</w:t>
      </w:r>
    </w:p>
    <w:p w:rsidR="005F04DC" w:rsidRPr="00BF65AE" w:rsidRDefault="005F04DC" w:rsidP="005F04DC">
      <w:pPr>
        <w:tabs>
          <w:tab w:val="num" w:pos="2289"/>
        </w:tabs>
        <w:rPr>
          <w:szCs w:val="24"/>
          <w:highlight w:val="yellow"/>
        </w:rPr>
      </w:pPr>
    </w:p>
    <w:p w:rsidR="006C2A33" w:rsidRPr="00016DAD" w:rsidRDefault="006C2A33" w:rsidP="006C2A33">
      <w:pPr>
        <w:tabs>
          <w:tab w:val="num" w:pos="2289"/>
        </w:tabs>
        <w:rPr>
          <w:szCs w:val="24"/>
          <w:u w:val="single"/>
          <w:lang w:val="en-US" w:eastAsia="en-US"/>
        </w:rPr>
      </w:pPr>
      <w:r w:rsidRPr="00016DAD">
        <w:rPr>
          <w:szCs w:val="24"/>
          <w:u w:val="single"/>
          <w:lang w:val="en-US" w:eastAsia="en-US"/>
        </w:rPr>
        <w:t>Schedule 1 – General medical services table</w:t>
      </w:r>
    </w:p>
    <w:p w:rsidR="00704A1A" w:rsidRPr="00BF65AE" w:rsidRDefault="00704A1A" w:rsidP="00704A1A">
      <w:pPr>
        <w:rPr>
          <w:highlight w:val="yellow"/>
        </w:rPr>
      </w:pPr>
    </w:p>
    <w:p w:rsidR="006C2A33" w:rsidRPr="00016DAD" w:rsidRDefault="00704A1A" w:rsidP="006C2A33">
      <w:r w:rsidRPr="006C2A33">
        <w:t>T</w:t>
      </w:r>
      <w:r w:rsidR="00F4438A" w:rsidRPr="006C2A33">
        <w:t xml:space="preserve">his part of the regulation </w:t>
      </w:r>
      <w:r w:rsidR="00FD2FC7" w:rsidRPr="006C2A33">
        <w:t>continues</w:t>
      </w:r>
      <w:r w:rsidR="003239D0" w:rsidRPr="006C2A33">
        <w:t xml:space="preserve"> </w:t>
      </w:r>
      <w:r w:rsidR="006C2A33" w:rsidRPr="006C2A33">
        <w:t>the existing General Medical Services Table and makes the following machinery</w:t>
      </w:r>
      <w:r w:rsidR="006C2A33" w:rsidRPr="006C2A33">
        <w:rPr>
          <w:szCs w:val="24"/>
        </w:rPr>
        <w:t xml:space="preserve"> amendments</w:t>
      </w:r>
      <w:r w:rsidR="006C2A33" w:rsidRPr="006C2A33">
        <w:t>:</w:t>
      </w:r>
    </w:p>
    <w:p w:rsidR="006C2A33" w:rsidRDefault="006C2A33" w:rsidP="006C2A33">
      <w:pPr>
        <w:rPr>
          <w:b/>
          <w:szCs w:val="24"/>
        </w:rPr>
      </w:pPr>
    </w:p>
    <w:p w:rsidR="006C2A33" w:rsidRPr="00623B7C" w:rsidRDefault="008B2B7B" w:rsidP="006C2A33">
      <w:pPr>
        <w:rPr>
          <w:b/>
          <w:szCs w:val="24"/>
        </w:rPr>
      </w:pPr>
      <w:r>
        <w:rPr>
          <w:b/>
          <w:szCs w:val="24"/>
        </w:rPr>
        <w:t>Removal of 14</w:t>
      </w:r>
      <w:r w:rsidR="006C2A33" w:rsidRPr="00016DAD">
        <w:rPr>
          <w:b/>
          <w:szCs w:val="24"/>
        </w:rPr>
        <w:t xml:space="preserve"> items </w:t>
      </w:r>
    </w:p>
    <w:p w:rsidR="006C2A33" w:rsidRPr="00016DAD" w:rsidRDefault="006C2A33" w:rsidP="006C2A33">
      <w:pPr>
        <w:rPr>
          <w:rFonts w:eastAsiaTheme="minorHAnsi"/>
          <w:szCs w:val="24"/>
        </w:rPr>
      </w:pPr>
      <w:r w:rsidRPr="00016DAD">
        <w:rPr>
          <w:szCs w:val="24"/>
        </w:rPr>
        <w:t xml:space="preserve">The </w:t>
      </w:r>
      <w:r>
        <w:rPr>
          <w:szCs w:val="24"/>
        </w:rPr>
        <w:t xml:space="preserve">Regulation </w:t>
      </w:r>
      <w:r w:rsidRPr="00016DAD">
        <w:rPr>
          <w:szCs w:val="24"/>
        </w:rPr>
        <w:t>remove</w:t>
      </w:r>
      <w:r>
        <w:rPr>
          <w:szCs w:val="24"/>
        </w:rPr>
        <w:t>s</w:t>
      </w:r>
      <w:r w:rsidRPr="00016DAD">
        <w:rPr>
          <w:szCs w:val="24"/>
        </w:rPr>
        <w:t xml:space="preserve"> </w:t>
      </w:r>
      <w:r w:rsidR="008B2B7B">
        <w:rPr>
          <w:szCs w:val="24"/>
        </w:rPr>
        <w:t>14</w:t>
      </w:r>
      <w:r w:rsidRPr="00016DAD">
        <w:rPr>
          <w:szCs w:val="24"/>
        </w:rPr>
        <w:t xml:space="preserve"> items from the MBS.  This</w:t>
      </w:r>
      <w:r>
        <w:rPr>
          <w:szCs w:val="24"/>
        </w:rPr>
        <w:t xml:space="preserve"> amendment</w:t>
      </w:r>
      <w:r w:rsidRPr="00016DAD">
        <w:rPr>
          <w:szCs w:val="24"/>
        </w:rPr>
        <w:t xml:space="preserve"> would remove </w:t>
      </w:r>
      <w:r w:rsidRPr="00016DAD">
        <w:rPr>
          <w:rFonts w:eastAsiaTheme="minorHAnsi"/>
          <w:szCs w:val="24"/>
        </w:rPr>
        <w:t xml:space="preserve">eight ear, nose and throat items (11321, 18246, 41680, 41695, 41758, 41761, 41849 and 41852), four gastroenterology items (13500, 13503, 32078 and 32081), obstetrics item 16504 and thoracic medicine item 11500.  The proposed Regulation would also make </w:t>
      </w:r>
      <w:r w:rsidRPr="00016DAD">
        <w:rPr>
          <w:szCs w:val="24"/>
        </w:rPr>
        <w:t>consequential amendments to clauses 1.2.4(1), 1.2.5(1) and 1.2.8(1) and item 32087 to reflect the removal of the above mentioned items.</w:t>
      </w:r>
    </w:p>
    <w:p w:rsidR="00641C60" w:rsidRDefault="00641C60" w:rsidP="006C2A33">
      <w:pPr>
        <w:rPr>
          <w:rFonts w:eastAsiaTheme="minorHAnsi"/>
          <w:b/>
          <w:szCs w:val="24"/>
        </w:rPr>
      </w:pPr>
    </w:p>
    <w:p w:rsidR="006C2A33" w:rsidRDefault="006C2A33" w:rsidP="006C2A33">
      <w:pPr>
        <w:rPr>
          <w:rFonts w:eastAsiaTheme="minorHAnsi"/>
          <w:b/>
          <w:szCs w:val="24"/>
        </w:rPr>
      </w:pPr>
      <w:r w:rsidRPr="00016DAD">
        <w:rPr>
          <w:rFonts w:eastAsiaTheme="minorHAnsi"/>
          <w:b/>
          <w:szCs w:val="24"/>
        </w:rPr>
        <w:t xml:space="preserve">Norfolk Island </w:t>
      </w:r>
    </w:p>
    <w:p w:rsidR="006C2A33" w:rsidRPr="00016DAD" w:rsidRDefault="006C2A33" w:rsidP="006C2A33">
      <w:pPr>
        <w:rPr>
          <w:b/>
          <w:szCs w:val="24"/>
        </w:rPr>
      </w:pPr>
      <w:r>
        <w:rPr>
          <w:szCs w:val="24"/>
        </w:rPr>
        <w:t>T</w:t>
      </w:r>
      <w:r w:rsidRPr="005C637A">
        <w:rPr>
          <w:szCs w:val="24"/>
        </w:rPr>
        <w:t>he definition of ‘regional, rural or remote area’ under Part 3 of the Dictionary</w:t>
      </w:r>
      <w:r>
        <w:rPr>
          <w:szCs w:val="24"/>
        </w:rPr>
        <w:t xml:space="preserve"> </w:t>
      </w:r>
      <w:r w:rsidR="00677333">
        <w:rPr>
          <w:szCs w:val="24"/>
        </w:rPr>
        <w:t>has</w:t>
      </w:r>
      <w:r>
        <w:rPr>
          <w:szCs w:val="24"/>
        </w:rPr>
        <w:t xml:space="preserve"> be</w:t>
      </w:r>
      <w:r w:rsidR="00677333">
        <w:rPr>
          <w:szCs w:val="24"/>
        </w:rPr>
        <w:t>en</w:t>
      </w:r>
      <w:r>
        <w:rPr>
          <w:szCs w:val="24"/>
        </w:rPr>
        <w:t xml:space="preserve"> amended to include </w:t>
      </w:r>
      <w:r w:rsidRPr="005C637A">
        <w:rPr>
          <w:szCs w:val="24"/>
        </w:rPr>
        <w:t>Norfolk Island</w:t>
      </w:r>
      <w:r w:rsidR="00677333">
        <w:rPr>
          <w:szCs w:val="24"/>
        </w:rPr>
        <w:t xml:space="preserve">. This change </w:t>
      </w:r>
      <w:r>
        <w:rPr>
          <w:szCs w:val="24"/>
        </w:rPr>
        <w:t>ensure</w:t>
      </w:r>
      <w:r w:rsidR="00677333">
        <w:rPr>
          <w:szCs w:val="24"/>
        </w:rPr>
        <w:t>s</w:t>
      </w:r>
      <w:r>
        <w:rPr>
          <w:szCs w:val="24"/>
        </w:rPr>
        <w:t xml:space="preserve"> </w:t>
      </w:r>
      <w:r w:rsidR="00677333">
        <w:rPr>
          <w:szCs w:val="24"/>
        </w:rPr>
        <w:t xml:space="preserve">that </w:t>
      </w:r>
      <w:r>
        <w:rPr>
          <w:szCs w:val="24"/>
        </w:rPr>
        <w:t xml:space="preserve">residents on </w:t>
      </w:r>
      <w:r w:rsidRPr="005C637A">
        <w:rPr>
          <w:rFonts w:eastAsiaTheme="minorHAnsi"/>
          <w:bCs/>
          <w:szCs w:val="24"/>
        </w:rPr>
        <w:t xml:space="preserve">Norfolk Island are entitled to services available to ‘very remote’ </w:t>
      </w:r>
      <w:r w:rsidRPr="005C637A">
        <w:rPr>
          <w:szCs w:val="24"/>
        </w:rPr>
        <w:t>areas of Australia.</w:t>
      </w:r>
    </w:p>
    <w:p w:rsidR="006C2A33" w:rsidRPr="00623B7C" w:rsidRDefault="006C2A33" w:rsidP="006C2A33">
      <w:pPr>
        <w:rPr>
          <w:szCs w:val="24"/>
        </w:rPr>
      </w:pPr>
    </w:p>
    <w:p w:rsidR="006C2A33" w:rsidRPr="00016DAD" w:rsidRDefault="006C2A33" w:rsidP="006C2A33">
      <w:pPr>
        <w:rPr>
          <w:b/>
          <w:szCs w:val="24"/>
        </w:rPr>
      </w:pPr>
      <w:r w:rsidRPr="00016DAD">
        <w:rPr>
          <w:b/>
          <w:szCs w:val="24"/>
        </w:rPr>
        <w:t>Amendment to item 15275</w:t>
      </w:r>
    </w:p>
    <w:p w:rsidR="006C2A33" w:rsidRPr="00016DAD" w:rsidRDefault="006C2A33" w:rsidP="006C2A33">
      <w:pPr>
        <w:rPr>
          <w:szCs w:val="24"/>
        </w:rPr>
      </w:pPr>
      <w:r w:rsidRPr="00016DAD">
        <w:rPr>
          <w:szCs w:val="24"/>
        </w:rPr>
        <w:t>This change amend</w:t>
      </w:r>
      <w:r w:rsidR="00677333">
        <w:rPr>
          <w:szCs w:val="24"/>
        </w:rPr>
        <w:t>s</w:t>
      </w:r>
      <w:r w:rsidRPr="00016DAD">
        <w:rPr>
          <w:szCs w:val="24"/>
        </w:rPr>
        <w:t xml:space="preserve"> the item descriptor of the Intensity-Modulated Radiation Therapy (IMRT) item 15275 to clarify </w:t>
      </w:r>
      <w:r w:rsidR="00677333">
        <w:rPr>
          <w:szCs w:val="24"/>
        </w:rPr>
        <w:t xml:space="preserve">that </w:t>
      </w:r>
      <w:r w:rsidRPr="00016DAD">
        <w:rPr>
          <w:szCs w:val="24"/>
        </w:rPr>
        <w:t xml:space="preserve">the service can only be </w:t>
      </w:r>
      <w:r w:rsidRPr="00623B7C">
        <w:t>delivered by a fixed or dynamic gantry linear accelerator or by a helical non C-arm based linear accelerator.</w:t>
      </w:r>
    </w:p>
    <w:p w:rsidR="006C2A33" w:rsidRDefault="006C2A33" w:rsidP="006C2A33">
      <w:pPr>
        <w:rPr>
          <w:szCs w:val="24"/>
          <w:highlight w:val="yellow"/>
        </w:rPr>
      </w:pPr>
    </w:p>
    <w:p w:rsidR="006C2A33" w:rsidRPr="00016DAD" w:rsidRDefault="00156E84" w:rsidP="006C2A33">
      <w:pPr>
        <w:rPr>
          <w:szCs w:val="24"/>
        </w:rPr>
      </w:pPr>
      <w:r>
        <w:rPr>
          <w:b/>
          <w:szCs w:val="24"/>
        </w:rPr>
        <w:t>Amendment to item 32089</w:t>
      </w:r>
    </w:p>
    <w:p w:rsidR="006C2A33" w:rsidRPr="00016DAD" w:rsidRDefault="006C2A33" w:rsidP="006C2A33">
      <w:pPr>
        <w:rPr>
          <w:szCs w:val="24"/>
        </w:rPr>
      </w:pPr>
      <w:r w:rsidRPr="00016DAD">
        <w:rPr>
          <w:szCs w:val="24"/>
        </w:rPr>
        <w:t>This amendment remove</w:t>
      </w:r>
      <w:r w:rsidR="00677333">
        <w:rPr>
          <w:szCs w:val="24"/>
        </w:rPr>
        <w:t>s</w:t>
      </w:r>
      <w:r w:rsidRPr="00623B7C">
        <w:rPr>
          <w:szCs w:val="24"/>
        </w:rPr>
        <w:t xml:space="preserve"> the words ‘</w:t>
      </w:r>
      <w:r w:rsidRPr="00016DAD">
        <w:rPr>
          <w:szCs w:val="24"/>
        </w:rPr>
        <w:t>by argon plasma coagulation</w:t>
      </w:r>
      <w:r w:rsidRPr="00623B7C">
        <w:rPr>
          <w:szCs w:val="24"/>
        </w:rPr>
        <w:t>’</w:t>
      </w:r>
      <w:r w:rsidR="00156E84">
        <w:rPr>
          <w:szCs w:val="24"/>
        </w:rPr>
        <w:t xml:space="preserve"> from item 32089</w:t>
      </w:r>
      <w:r w:rsidRPr="00016DAD">
        <w:rPr>
          <w:szCs w:val="24"/>
        </w:rPr>
        <w:t xml:space="preserve"> to reflect advice provided by </w:t>
      </w:r>
      <w:r>
        <w:rPr>
          <w:szCs w:val="24"/>
        </w:rPr>
        <w:t>relevant clinical groups.</w:t>
      </w:r>
      <w:r w:rsidRPr="00016DAD">
        <w:rPr>
          <w:szCs w:val="24"/>
        </w:rPr>
        <w:t xml:space="preserve">  </w:t>
      </w:r>
      <w:r>
        <w:rPr>
          <w:szCs w:val="24"/>
        </w:rPr>
        <w:t>A</w:t>
      </w:r>
      <w:r w:rsidRPr="005C637A">
        <w:rPr>
          <w:szCs w:val="24"/>
        </w:rPr>
        <w:t>rgon plasma coagulation</w:t>
      </w:r>
      <w:r>
        <w:rPr>
          <w:szCs w:val="24"/>
        </w:rPr>
        <w:t xml:space="preserve"> is not a method used for the removal of polyps. </w:t>
      </w:r>
    </w:p>
    <w:p w:rsidR="006C2A33" w:rsidRPr="00623B7C" w:rsidRDefault="006C2A33" w:rsidP="006C2A33">
      <w:pPr>
        <w:rPr>
          <w:szCs w:val="24"/>
          <w:highlight w:val="yellow"/>
        </w:rPr>
      </w:pPr>
    </w:p>
    <w:p w:rsidR="006C2A33" w:rsidRPr="00016DAD" w:rsidRDefault="006C2A33" w:rsidP="006C2A33">
      <w:pPr>
        <w:rPr>
          <w:b/>
          <w:szCs w:val="24"/>
        </w:rPr>
      </w:pPr>
      <w:r w:rsidRPr="00016DAD">
        <w:rPr>
          <w:b/>
          <w:szCs w:val="24"/>
        </w:rPr>
        <w:t>Removing incorrect references to other subclauses in subclause 1.1.4(1)</w:t>
      </w:r>
    </w:p>
    <w:p w:rsidR="006C2A33" w:rsidRPr="00016DAD" w:rsidRDefault="006C2A33" w:rsidP="006C2A33">
      <w:r w:rsidRPr="00016DAD">
        <w:rPr>
          <w:szCs w:val="24"/>
        </w:rPr>
        <w:t xml:space="preserve">This change </w:t>
      </w:r>
      <w:r>
        <w:rPr>
          <w:szCs w:val="24"/>
        </w:rPr>
        <w:t>remove</w:t>
      </w:r>
      <w:r w:rsidR="00677333">
        <w:rPr>
          <w:szCs w:val="24"/>
        </w:rPr>
        <w:t xml:space="preserve">s </w:t>
      </w:r>
      <w:r>
        <w:rPr>
          <w:szCs w:val="24"/>
        </w:rPr>
        <w:t xml:space="preserve">references to clauses 1.1.1 and 1.1.10 which do not exist and the reference to </w:t>
      </w:r>
      <w:r w:rsidRPr="00016DAD">
        <w:rPr>
          <w:i/>
          <w:szCs w:val="24"/>
        </w:rPr>
        <w:t>minor attendance</w:t>
      </w:r>
      <w:r>
        <w:rPr>
          <w:szCs w:val="24"/>
        </w:rPr>
        <w:t xml:space="preserve"> in the dictionary.  </w:t>
      </w:r>
      <w:r>
        <w:t xml:space="preserve">The clause regarding the definition of </w:t>
      </w:r>
      <w:r w:rsidRPr="00016DAD">
        <w:rPr>
          <w:i/>
        </w:rPr>
        <w:t>minor attendance</w:t>
      </w:r>
      <w:r>
        <w:t xml:space="preserve"> is not relevant for the purpose of 1.1.4</w:t>
      </w:r>
    </w:p>
    <w:p w:rsidR="005F04DC" w:rsidRPr="00BF65AE" w:rsidRDefault="005F04DC" w:rsidP="003239D0">
      <w:pPr>
        <w:rPr>
          <w:szCs w:val="24"/>
          <w:highlight w:val="yellow"/>
          <w:u w:val="single"/>
        </w:rPr>
      </w:pPr>
    </w:p>
    <w:p w:rsidR="00677333" w:rsidRPr="00016DAD" w:rsidRDefault="00677333" w:rsidP="00677333">
      <w:pPr>
        <w:pStyle w:val="BodyText"/>
        <w:rPr>
          <w:b w:val="0"/>
          <w:u w:val="single"/>
        </w:rPr>
      </w:pPr>
      <w:r w:rsidRPr="00016DAD">
        <w:rPr>
          <w:b w:val="0"/>
          <w:u w:val="single"/>
        </w:rPr>
        <w:t>Schedule 2 – Repeal</w:t>
      </w:r>
      <w:r w:rsidR="00CD427A">
        <w:rPr>
          <w:b w:val="0"/>
          <w:u w:val="single"/>
        </w:rPr>
        <w:t>s</w:t>
      </w:r>
    </w:p>
    <w:p w:rsidR="00677333" w:rsidRPr="00016DAD" w:rsidRDefault="00677333" w:rsidP="00677333">
      <w:pPr>
        <w:pStyle w:val="BodyText"/>
        <w:rPr>
          <w:b w:val="0"/>
          <w:sz w:val="16"/>
          <w:szCs w:val="16"/>
          <w:u w:val="single"/>
        </w:rPr>
      </w:pPr>
    </w:p>
    <w:p w:rsidR="00677333" w:rsidRPr="00016DAD" w:rsidRDefault="00677333" w:rsidP="00677333">
      <w:pPr>
        <w:pStyle w:val="BodyText"/>
        <w:rPr>
          <w:b w:val="0"/>
        </w:rPr>
      </w:pPr>
      <w:r>
        <w:rPr>
          <w:b w:val="0"/>
        </w:rPr>
        <w:t xml:space="preserve">This section </w:t>
      </w:r>
      <w:r w:rsidRPr="00016DAD">
        <w:rPr>
          <w:b w:val="0"/>
        </w:rPr>
        <w:t>repeal</w:t>
      </w:r>
      <w:r>
        <w:rPr>
          <w:b w:val="0"/>
        </w:rPr>
        <w:t>s</w:t>
      </w:r>
      <w:r w:rsidRPr="00016DAD">
        <w:rPr>
          <w:b w:val="0"/>
        </w:rPr>
        <w:t xml:space="preserve"> the </w:t>
      </w:r>
      <w:r w:rsidRPr="00016DAD">
        <w:rPr>
          <w:b w:val="0"/>
          <w:i/>
        </w:rPr>
        <w:t>Health Insurance (General Medical Services Table) Regulation 2015</w:t>
      </w:r>
      <w:r w:rsidRPr="00016DAD">
        <w:rPr>
          <w:b w:val="0"/>
        </w:rPr>
        <w:t xml:space="preserve">. </w:t>
      </w:r>
    </w:p>
    <w:p w:rsidR="0018451D" w:rsidRPr="00BF65AE" w:rsidRDefault="0018451D" w:rsidP="003239D0">
      <w:pPr>
        <w:pStyle w:val="BodyText"/>
        <w:rPr>
          <w:b w:val="0"/>
          <w:highlight w:val="yellow"/>
        </w:rPr>
      </w:pPr>
    </w:p>
    <w:p w:rsidR="00445A6D" w:rsidRPr="00BF65AE" w:rsidRDefault="00445A6D" w:rsidP="00672050">
      <w:pPr>
        <w:spacing w:after="200" w:line="276" w:lineRule="auto"/>
        <w:rPr>
          <w:highlight w:val="yellow"/>
        </w:rPr>
      </w:pPr>
      <w:r w:rsidRPr="00BF65AE">
        <w:rPr>
          <w:b/>
          <w:highlight w:val="yellow"/>
        </w:rPr>
        <w:br w:type="page"/>
      </w:r>
    </w:p>
    <w:p w:rsidR="00445A6D" w:rsidRPr="00F072C5" w:rsidRDefault="00445A6D" w:rsidP="00445A6D">
      <w:pPr>
        <w:spacing w:before="360" w:after="120"/>
        <w:jc w:val="center"/>
        <w:rPr>
          <w:b/>
          <w:sz w:val="28"/>
          <w:szCs w:val="28"/>
        </w:rPr>
      </w:pPr>
      <w:r w:rsidRPr="00F072C5">
        <w:rPr>
          <w:b/>
          <w:sz w:val="28"/>
          <w:szCs w:val="28"/>
        </w:rPr>
        <w:lastRenderedPageBreak/>
        <w:t>Statement of Compatibility with Human Rights</w:t>
      </w:r>
    </w:p>
    <w:p w:rsidR="00445A6D" w:rsidRPr="00F072C5" w:rsidRDefault="00445A6D" w:rsidP="00445A6D">
      <w:pPr>
        <w:spacing w:before="120" w:after="120"/>
        <w:jc w:val="center"/>
        <w:rPr>
          <w:szCs w:val="24"/>
        </w:rPr>
      </w:pPr>
      <w:r w:rsidRPr="00F072C5">
        <w:rPr>
          <w:i/>
          <w:szCs w:val="24"/>
        </w:rPr>
        <w:t>Prepared in accordance with Part 3 of the Human Rights (Parliamentary Scrutiny) Act 2011</w:t>
      </w:r>
    </w:p>
    <w:p w:rsidR="00445A6D" w:rsidRPr="00F072C5" w:rsidRDefault="00445A6D" w:rsidP="00445A6D">
      <w:pPr>
        <w:spacing w:before="120" w:after="120"/>
        <w:jc w:val="center"/>
        <w:rPr>
          <w:szCs w:val="24"/>
        </w:rPr>
      </w:pPr>
    </w:p>
    <w:p w:rsidR="00445A6D" w:rsidRPr="00F072C5" w:rsidRDefault="004270FD" w:rsidP="00445A6D">
      <w:pPr>
        <w:spacing w:before="120" w:after="120"/>
        <w:jc w:val="center"/>
        <w:rPr>
          <w:b/>
          <w:i/>
          <w:szCs w:val="24"/>
        </w:rPr>
      </w:pPr>
      <w:r w:rsidRPr="00F072C5">
        <w:rPr>
          <w:b/>
          <w:i/>
          <w:szCs w:val="24"/>
        </w:rPr>
        <w:t>Health Insurance (General Medical Services Table) Regulation 2016</w:t>
      </w:r>
    </w:p>
    <w:p w:rsidR="004270FD" w:rsidRPr="00F072C5" w:rsidRDefault="004270FD" w:rsidP="00445A6D">
      <w:pPr>
        <w:spacing w:before="120" w:after="120"/>
        <w:jc w:val="center"/>
        <w:rPr>
          <w:szCs w:val="24"/>
        </w:rPr>
      </w:pPr>
    </w:p>
    <w:p w:rsidR="00445A6D" w:rsidRPr="00F072C5" w:rsidRDefault="00445A6D" w:rsidP="00445A6D">
      <w:pPr>
        <w:spacing w:before="120" w:after="120"/>
        <w:jc w:val="center"/>
        <w:rPr>
          <w:szCs w:val="24"/>
        </w:rPr>
      </w:pPr>
      <w:r w:rsidRPr="00F072C5">
        <w:rPr>
          <w:szCs w:val="24"/>
        </w:rPr>
        <w:t xml:space="preserve">This Legislative Instrument is compatible with the human rights and freedoms recognised or declared in the international instruments listed in section 3 of the </w:t>
      </w:r>
      <w:r w:rsidRPr="00F072C5">
        <w:rPr>
          <w:i/>
          <w:szCs w:val="24"/>
        </w:rPr>
        <w:t>Human Rights (Parliamentary Scrutiny) Act 2011</w:t>
      </w:r>
      <w:r w:rsidRPr="00F072C5">
        <w:rPr>
          <w:szCs w:val="24"/>
        </w:rPr>
        <w:t>.</w:t>
      </w:r>
    </w:p>
    <w:p w:rsidR="00445A6D" w:rsidRPr="00BF65AE" w:rsidRDefault="00445A6D" w:rsidP="00445A6D">
      <w:pPr>
        <w:spacing w:before="120" w:after="120"/>
        <w:jc w:val="center"/>
        <w:rPr>
          <w:szCs w:val="24"/>
          <w:highlight w:val="yellow"/>
        </w:rPr>
      </w:pPr>
    </w:p>
    <w:p w:rsidR="00445A6D" w:rsidRPr="000331D5" w:rsidRDefault="00445A6D" w:rsidP="00445A6D">
      <w:pPr>
        <w:spacing w:before="120" w:after="120"/>
        <w:jc w:val="both"/>
        <w:rPr>
          <w:b/>
          <w:szCs w:val="24"/>
        </w:rPr>
      </w:pPr>
      <w:r w:rsidRPr="000331D5">
        <w:rPr>
          <w:b/>
          <w:szCs w:val="24"/>
        </w:rPr>
        <w:t>Overview of the Legislative Instrument</w:t>
      </w:r>
    </w:p>
    <w:p w:rsidR="00391DB2" w:rsidRDefault="00391DB2" w:rsidP="00391DB2">
      <w:pPr>
        <w:rPr>
          <w:szCs w:val="24"/>
        </w:rPr>
      </w:pPr>
      <w:r w:rsidRPr="0059164D">
        <w:rPr>
          <w:szCs w:val="24"/>
        </w:rPr>
        <w:t>The purpose of the</w:t>
      </w:r>
      <w:r w:rsidRPr="0002313E">
        <w:t xml:space="preserve"> </w:t>
      </w:r>
      <w:r>
        <w:rPr>
          <w:szCs w:val="24"/>
        </w:rPr>
        <w:t>R</w:t>
      </w:r>
      <w:r w:rsidRPr="0059164D">
        <w:rPr>
          <w:szCs w:val="24"/>
        </w:rPr>
        <w:t xml:space="preserve">egulation is to </w:t>
      </w:r>
      <w:r w:rsidRPr="0059164D">
        <w:rPr>
          <w:snapToGrid w:val="0"/>
          <w:szCs w:val="24"/>
        </w:rPr>
        <w:t xml:space="preserve">repeal the GMST and </w:t>
      </w:r>
      <w:r w:rsidRPr="0059164D">
        <w:rPr>
          <w:szCs w:val="24"/>
        </w:rPr>
        <w:t>prescribe a new table of general medical services for the 12 month</w:t>
      </w:r>
      <w:r>
        <w:rPr>
          <w:szCs w:val="24"/>
        </w:rPr>
        <w:t xml:space="preserve"> period beginning on 1 July 2016</w:t>
      </w:r>
      <w:r w:rsidRPr="0059164D">
        <w:rPr>
          <w:szCs w:val="24"/>
        </w:rPr>
        <w:t xml:space="preserve">, to ensure that Medicare benefits continue to be payable for services listed in the GMST. </w:t>
      </w:r>
    </w:p>
    <w:p w:rsidR="00391DB2" w:rsidRDefault="00391DB2" w:rsidP="00391DB2">
      <w:pPr>
        <w:rPr>
          <w:szCs w:val="24"/>
        </w:rPr>
      </w:pPr>
      <w:r>
        <w:rPr>
          <w:szCs w:val="24"/>
        </w:rPr>
        <w:t xml:space="preserve"> </w:t>
      </w:r>
    </w:p>
    <w:p w:rsidR="00391DB2" w:rsidRDefault="00391DB2" w:rsidP="00391DB2">
      <w:pPr>
        <w:rPr>
          <w:szCs w:val="24"/>
        </w:rPr>
      </w:pPr>
      <w:r>
        <w:rPr>
          <w:szCs w:val="24"/>
        </w:rPr>
        <w:t>In addition, the</w:t>
      </w:r>
      <w:r w:rsidRPr="0059164D">
        <w:rPr>
          <w:szCs w:val="24"/>
        </w:rPr>
        <w:t xml:space="preserve"> </w:t>
      </w:r>
      <w:r>
        <w:rPr>
          <w:szCs w:val="24"/>
        </w:rPr>
        <w:t>Regulation makes</w:t>
      </w:r>
      <w:r w:rsidRPr="0059164D">
        <w:rPr>
          <w:szCs w:val="24"/>
        </w:rPr>
        <w:t xml:space="preserve"> </w:t>
      </w:r>
      <w:r>
        <w:rPr>
          <w:szCs w:val="24"/>
        </w:rPr>
        <w:t xml:space="preserve">minor and </w:t>
      </w:r>
      <w:r w:rsidRPr="0059164D">
        <w:rPr>
          <w:szCs w:val="24"/>
        </w:rPr>
        <w:t>machinery amendments to the GMST by:</w:t>
      </w:r>
    </w:p>
    <w:p w:rsidR="00391DB2" w:rsidRPr="00016DAD" w:rsidRDefault="00391DB2" w:rsidP="00391DB2">
      <w:pPr>
        <w:pStyle w:val="ListParagraph"/>
        <w:numPr>
          <w:ilvl w:val="0"/>
          <w:numId w:val="23"/>
        </w:numPr>
        <w:rPr>
          <w:szCs w:val="24"/>
        </w:rPr>
      </w:pPr>
      <w:r w:rsidRPr="00016DAD">
        <w:rPr>
          <w:szCs w:val="24"/>
        </w:rPr>
        <w:t xml:space="preserve">Removing </w:t>
      </w:r>
      <w:r w:rsidR="008B2B7B">
        <w:rPr>
          <w:szCs w:val="24"/>
        </w:rPr>
        <w:t>14</w:t>
      </w:r>
      <w:r w:rsidRPr="00016DAD">
        <w:rPr>
          <w:szCs w:val="24"/>
        </w:rPr>
        <w:t xml:space="preserve"> items as part of the first round of changes from the MBS Review Taskforce</w:t>
      </w:r>
      <w:r w:rsidRPr="00630BF8">
        <w:rPr>
          <w:szCs w:val="24"/>
        </w:rPr>
        <w:t xml:space="preserve"> </w:t>
      </w:r>
      <w:r w:rsidRPr="00016DAD">
        <w:rPr>
          <w:szCs w:val="24"/>
        </w:rPr>
        <w:t xml:space="preserve">process.  </w:t>
      </w:r>
      <w:r w:rsidRPr="00016DAD">
        <w:rPr>
          <w:rFonts w:eastAsiaTheme="minorHAnsi"/>
          <w:szCs w:val="24"/>
        </w:rPr>
        <w:t xml:space="preserve">The first stage of work has provided recommendations about the removal of lower-volume MBS items in some specialities where there is clinical consensus that they no longer represent clinical best-practice. This </w:t>
      </w:r>
      <w:r>
        <w:rPr>
          <w:rFonts w:eastAsiaTheme="minorHAnsi"/>
          <w:szCs w:val="24"/>
        </w:rPr>
        <w:t xml:space="preserve">amendment </w:t>
      </w:r>
      <w:r w:rsidRPr="00016DAD">
        <w:rPr>
          <w:rFonts w:eastAsiaTheme="minorHAnsi"/>
          <w:szCs w:val="24"/>
        </w:rPr>
        <w:t>remove</w:t>
      </w:r>
      <w:r>
        <w:rPr>
          <w:rFonts w:eastAsiaTheme="minorHAnsi"/>
          <w:szCs w:val="24"/>
        </w:rPr>
        <w:t>s</w:t>
      </w:r>
      <w:r w:rsidRPr="00016DAD">
        <w:rPr>
          <w:rFonts w:eastAsiaTheme="minorHAnsi"/>
          <w:szCs w:val="24"/>
        </w:rPr>
        <w:t xml:space="preserve"> eight ear, nose and throat items (11321, 18246, 41680, 41695, 41758, 41761, 41849 and 41852), four gastroenterology items (13500, 13503, 32078 and 32081), obstetrics item 16504 and thoracic medicine item 11500.</w:t>
      </w:r>
    </w:p>
    <w:p w:rsidR="00391DB2" w:rsidRPr="00630BF8" w:rsidRDefault="00391DB2" w:rsidP="00391DB2">
      <w:pPr>
        <w:pStyle w:val="ListParagraph"/>
        <w:numPr>
          <w:ilvl w:val="0"/>
          <w:numId w:val="23"/>
        </w:numPr>
        <w:rPr>
          <w:szCs w:val="24"/>
        </w:rPr>
      </w:pPr>
      <w:r w:rsidRPr="00630BF8">
        <w:rPr>
          <w:szCs w:val="24"/>
        </w:rPr>
        <w:t xml:space="preserve">Including Norfolk Island under the definition of ‘regional, rural or remote area’ under Part 3 of the Dictionary </w:t>
      </w:r>
      <w:r w:rsidRPr="00630BF8">
        <w:rPr>
          <w:rFonts w:eastAsiaTheme="minorHAnsi"/>
          <w:bCs/>
          <w:szCs w:val="24"/>
        </w:rPr>
        <w:t xml:space="preserve">to ensure residents on Norfolk Island are entitled to services available to ‘very remote’ </w:t>
      </w:r>
      <w:r w:rsidRPr="00630BF8">
        <w:rPr>
          <w:szCs w:val="24"/>
        </w:rPr>
        <w:t>areas of Australia. This include</w:t>
      </w:r>
      <w:r>
        <w:rPr>
          <w:szCs w:val="24"/>
        </w:rPr>
        <w:t>s</w:t>
      </w:r>
      <w:r w:rsidRPr="00630BF8">
        <w:rPr>
          <w:szCs w:val="24"/>
        </w:rPr>
        <w:t xml:space="preserve"> the higher bulk-billing incentive payment</w:t>
      </w:r>
      <w:r w:rsidRPr="008F49F2">
        <w:rPr>
          <w:szCs w:val="24"/>
        </w:rPr>
        <w:t xml:space="preserve"> for</w:t>
      </w:r>
      <w:r w:rsidRPr="00630BF8">
        <w:rPr>
          <w:szCs w:val="24"/>
        </w:rPr>
        <w:t xml:space="preserve"> the </w:t>
      </w:r>
      <w:proofErr w:type="spellStart"/>
      <w:r w:rsidRPr="00630BF8">
        <w:rPr>
          <w:szCs w:val="24"/>
        </w:rPr>
        <w:t>telepsychiatry</w:t>
      </w:r>
      <w:proofErr w:type="spellEnd"/>
      <w:r w:rsidRPr="00630BF8">
        <w:rPr>
          <w:szCs w:val="24"/>
        </w:rPr>
        <w:t xml:space="preserve"> items 353 to 361 and antenatal item 16400.</w:t>
      </w:r>
    </w:p>
    <w:p w:rsidR="00391DB2" w:rsidRPr="00016DAD" w:rsidRDefault="00391DB2" w:rsidP="00391DB2">
      <w:pPr>
        <w:pStyle w:val="ListParagraph"/>
        <w:numPr>
          <w:ilvl w:val="0"/>
          <w:numId w:val="23"/>
        </w:numPr>
        <w:rPr>
          <w:szCs w:val="24"/>
        </w:rPr>
      </w:pPr>
      <w:r w:rsidRPr="00016DAD">
        <w:rPr>
          <w:szCs w:val="24"/>
        </w:rPr>
        <w:t>Amending the descriptor of the Intensity-Modulated Radiation Therapy (IMRT) item 15275 to clarify the service should only be performed by linear accelerator.</w:t>
      </w:r>
    </w:p>
    <w:p w:rsidR="00391DB2" w:rsidRPr="00630BF8" w:rsidRDefault="00156E84" w:rsidP="00391DB2">
      <w:pPr>
        <w:pStyle w:val="ListParagraph"/>
        <w:numPr>
          <w:ilvl w:val="0"/>
          <w:numId w:val="23"/>
        </w:numPr>
        <w:rPr>
          <w:szCs w:val="24"/>
        </w:rPr>
      </w:pPr>
      <w:r>
        <w:rPr>
          <w:szCs w:val="24"/>
        </w:rPr>
        <w:t>Amending item 32089</w:t>
      </w:r>
      <w:r w:rsidR="00391DB2" w:rsidRPr="00630BF8">
        <w:rPr>
          <w:szCs w:val="24"/>
        </w:rPr>
        <w:t xml:space="preserve"> to </w:t>
      </w:r>
      <w:r w:rsidR="00391DB2">
        <w:rPr>
          <w:szCs w:val="24"/>
        </w:rPr>
        <w:t>ensure that the item descriptor is consistent with current clinical practice.</w:t>
      </w:r>
    </w:p>
    <w:p w:rsidR="00191EED" w:rsidRPr="00C45D92" w:rsidRDefault="00191EED" w:rsidP="00191EED">
      <w:pPr>
        <w:pStyle w:val="ListParagraph"/>
        <w:numPr>
          <w:ilvl w:val="0"/>
          <w:numId w:val="23"/>
        </w:numPr>
      </w:pPr>
      <w:r>
        <w:rPr>
          <w:szCs w:val="24"/>
        </w:rPr>
        <w:t xml:space="preserve">The removal of </w:t>
      </w:r>
      <w:r>
        <w:t>incorrect references to other clauses in subclause 1.1.4(1)</w:t>
      </w:r>
      <w:r w:rsidRPr="00E51837">
        <w:t>.</w:t>
      </w:r>
      <w:r>
        <w:t xml:space="preserve">  Clause 1.1.4 defines the meaning of </w:t>
      </w:r>
      <w:r w:rsidRPr="00C42E0B">
        <w:rPr>
          <w:i/>
        </w:rPr>
        <w:t>single course of treatment</w:t>
      </w:r>
      <w:r>
        <w:t xml:space="preserve"> for referred specialist and consultant physician services.  The clauses currently listed in subclause 1.1.4(1) either do not exist or are not relevant to the subclause.</w:t>
      </w:r>
    </w:p>
    <w:p w:rsidR="000331D5" w:rsidRPr="000331D5" w:rsidRDefault="000331D5" w:rsidP="000331D5">
      <w:pPr>
        <w:ind w:left="360"/>
        <w:rPr>
          <w:highlight w:val="yellow"/>
        </w:rPr>
      </w:pPr>
    </w:p>
    <w:p w:rsidR="00E311F5" w:rsidRPr="000331D5" w:rsidRDefault="00E311F5" w:rsidP="00E311F5">
      <w:pPr>
        <w:spacing w:before="120" w:after="120"/>
        <w:rPr>
          <w:b/>
          <w:szCs w:val="24"/>
        </w:rPr>
      </w:pPr>
      <w:r w:rsidRPr="000331D5">
        <w:rPr>
          <w:b/>
          <w:szCs w:val="24"/>
        </w:rPr>
        <w:t>Human rights implications</w:t>
      </w:r>
    </w:p>
    <w:p w:rsidR="00E311F5" w:rsidRPr="000331D5" w:rsidRDefault="00E311F5" w:rsidP="00E311F5">
      <w:pPr>
        <w:spacing w:before="120" w:after="120"/>
        <w:rPr>
          <w:szCs w:val="24"/>
        </w:rPr>
      </w:pPr>
      <w:r w:rsidRPr="000331D5">
        <w:rPr>
          <w:szCs w:val="24"/>
        </w:rPr>
        <w:t xml:space="preserve">The regulations engage Articles 9 and 12 of the International Covenant on Economic Social and Cultural Rights (ICESCR), specifically the rights to health and social security. </w:t>
      </w:r>
    </w:p>
    <w:p w:rsidR="00E311F5" w:rsidRPr="000331D5" w:rsidRDefault="00E311F5" w:rsidP="00E311F5">
      <w:pPr>
        <w:spacing w:before="120" w:after="120"/>
        <w:rPr>
          <w:i/>
          <w:szCs w:val="24"/>
        </w:rPr>
      </w:pPr>
      <w:r w:rsidRPr="000331D5">
        <w:rPr>
          <w:i/>
          <w:szCs w:val="24"/>
        </w:rPr>
        <w:t>The Right to Health</w:t>
      </w:r>
    </w:p>
    <w:p w:rsidR="00E311F5" w:rsidRPr="000331D5" w:rsidRDefault="00E311F5" w:rsidP="00E311F5">
      <w:pPr>
        <w:spacing w:before="120" w:after="120"/>
        <w:rPr>
          <w:szCs w:val="24"/>
        </w:rPr>
      </w:pPr>
      <w:r w:rsidRPr="000331D5">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E311F5" w:rsidRPr="000331D5" w:rsidRDefault="00E311F5" w:rsidP="00E311F5">
      <w:pPr>
        <w:spacing w:before="120" w:after="120"/>
        <w:rPr>
          <w:szCs w:val="24"/>
        </w:rPr>
      </w:pPr>
      <w:r w:rsidRPr="000331D5">
        <w:rPr>
          <w:szCs w:val="24"/>
        </w:rPr>
        <w:lastRenderedPageBreak/>
        <w:t xml:space="preserve">The Committee reports that the </w:t>
      </w:r>
      <w:r w:rsidRPr="000331D5">
        <w:rPr>
          <w:i/>
          <w:szCs w:val="24"/>
        </w:rPr>
        <w:t>‘highest attainable standard of health’</w:t>
      </w:r>
      <w:r w:rsidRPr="000331D5">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rsidR="00E311F5" w:rsidRPr="000331D5" w:rsidRDefault="00E311F5" w:rsidP="00E311F5">
      <w:pPr>
        <w:spacing w:before="120" w:after="120"/>
        <w:rPr>
          <w:i/>
          <w:szCs w:val="24"/>
        </w:rPr>
      </w:pPr>
      <w:r w:rsidRPr="000331D5">
        <w:rPr>
          <w:i/>
          <w:szCs w:val="24"/>
        </w:rPr>
        <w:t xml:space="preserve">The Right to Social Security </w:t>
      </w:r>
    </w:p>
    <w:p w:rsidR="00E311F5" w:rsidRPr="000331D5" w:rsidRDefault="00E311F5" w:rsidP="00E311F5">
      <w:pPr>
        <w:spacing w:before="120" w:after="120"/>
        <w:rPr>
          <w:szCs w:val="24"/>
        </w:rPr>
      </w:pPr>
      <w:r w:rsidRPr="000331D5">
        <w:rPr>
          <w:szCs w:val="24"/>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 </w:t>
      </w:r>
    </w:p>
    <w:p w:rsidR="00E311F5" w:rsidRPr="000331D5" w:rsidRDefault="00E311F5" w:rsidP="00E311F5">
      <w:pPr>
        <w:spacing w:before="120" w:after="120"/>
        <w:rPr>
          <w:szCs w:val="24"/>
        </w:rPr>
      </w:pPr>
      <w:r w:rsidRPr="000331D5">
        <w:rPr>
          <w:szCs w:val="24"/>
        </w:rPr>
        <w:t xml:space="preserve">The Committee reports that there is a strong presumption that retrogressive measures taken in relation to the right to social security are prohibited under ICESCR. In this context, a retrogressive measure </w:t>
      </w:r>
      <w:r w:rsidR="00B316E7" w:rsidRPr="000331D5">
        <w:rPr>
          <w:szCs w:val="24"/>
        </w:rPr>
        <w:t>is</w:t>
      </w:r>
      <w:r w:rsidRPr="000331D5">
        <w:rPr>
          <w:szCs w:val="24"/>
        </w:rPr>
        <w:t xml:space="preserv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rsidR="00E311F5" w:rsidRPr="000331D5" w:rsidRDefault="00E311F5" w:rsidP="00E311F5">
      <w:pPr>
        <w:spacing w:before="120" w:after="120"/>
        <w:rPr>
          <w:szCs w:val="24"/>
          <w:u w:val="single"/>
        </w:rPr>
      </w:pPr>
      <w:r w:rsidRPr="000331D5">
        <w:rPr>
          <w:szCs w:val="24"/>
          <w:u w:val="single"/>
        </w:rPr>
        <w:t xml:space="preserve">Analysis </w:t>
      </w:r>
    </w:p>
    <w:p w:rsidR="00BE22FD" w:rsidRPr="00BE22FD" w:rsidRDefault="00C13763" w:rsidP="00BE22FD">
      <w:pPr>
        <w:spacing w:before="120"/>
        <w:ind w:right="-329"/>
        <w:rPr>
          <w:szCs w:val="24"/>
        </w:rPr>
      </w:pPr>
      <w:r w:rsidRPr="009E3ED4">
        <w:rPr>
          <w:iCs/>
        </w:rPr>
        <w:t xml:space="preserve">The removal of specific items follows an extensive review by the MBS Review Taskforce which identified that there were concerns with continued coverage of these services.  They identified concerns with the services meaning they were no longer clinically relevant. These included:  </w:t>
      </w:r>
      <w:r w:rsidRPr="009E3ED4">
        <w:rPr>
          <w:szCs w:val="24"/>
        </w:rPr>
        <w:t>safety concerns with the procedure; the service has no place in contemporary clinical practice; the item incentivises low value care; and/or the service is better covered under other existing MBS items.</w:t>
      </w:r>
      <w:r w:rsidR="00BE22FD" w:rsidRPr="00BE22FD">
        <w:rPr>
          <w:szCs w:val="24"/>
        </w:rPr>
        <w:t xml:space="preserve"> </w:t>
      </w:r>
    </w:p>
    <w:p w:rsidR="00BE22FD" w:rsidRPr="00BE22FD" w:rsidRDefault="00BE22FD" w:rsidP="00BE22FD">
      <w:pPr>
        <w:spacing w:before="120"/>
        <w:ind w:right="-329"/>
        <w:rPr>
          <w:szCs w:val="24"/>
        </w:rPr>
      </w:pPr>
      <w:r w:rsidRPr="00BE22FD">
        <w:rPr>
          <w:szCs w:val="24"/>
        </w:rPr>
        <w:t>The MBS Review Taskforce recommended the removal of these services which was supported by the Government.</w:t>
      </w:r>
    </w:p>
    <w:p w:rsidR="00BE22FD" w:rsidRPr="00BE22FD" w:rsidRDefault="00BE22FD" w:rsidP="00BE22FD">
      <w:pPr>
        <w:spacing w:before="120"/>
        <w:ind w:right="-329"/>
        <w:rPr>
          <w:szCs w:val="24"/>
        </w:rPr>
      </w:pPr>
      <w:r w:rsidRPr="00BE22FD">
        <w:rPr>
          <w:szCs w:val="24"/>
        </w:rPr>
        <w:t xml:space="preserve">The amendments to items 15275 and 32089 are to ensure that the MBS remains up to date and reflects current clinical practice. </w:t>
      </w:r>
    </w:p>
    <w:p w:rsidR="00BE22FD" w:rsidRPr="00A7379C" w:rsidRDefault="00BE22FD" w:rsidP="00BE22FD">
      <w:pPr>
        <w:spacing w:before="120" w:after="120"/>
        <w:rPr>
          <w:szCs w:val="24"/>
        </w:rPr>
      </w:pPr>
      <w:r w:rsidRPr="00BE22FD">
        <w:t xml:space="preserve">This Regulation will maintain or advance rights to health and social security by ensuring </w:t>
      </w:r>
      <w:r w:rsidRPr="00BE22FD">
        <w:rPr>
          <w:szCs w:val="24"/>
        </w:rPr>
        <w:t>access to publicly subsidised health services which are clinically effective and cost-effective.</w:t>
      </w:r>
    </w:p>
    <w:p w:rsidR="00E311F5" w:rsidRPr="000331D5" w:rsidRDefault="00E311F5" w:rsidP="00E311F5">
      <w:pPr>
        <w:spacing w:before="120" w:after="120"/>
        <w:rPr>
          <w:b/>
          <w:szCs w:val="24"/>
        </w:rPr>
      </w:pPr>
      <w:r w:rsidRPr="000331D5">
        <w:rPr>
          <w:b/>
          <w:szCs w:val="24"/>
        </w:rPr>
        <w:t>Conclusion</w:t>
      </w:r>
    </w:p>
    <w:p w:rsidR="00E311F5" w:rsidRPr="000331D5" w:rsidRDefault="00E311F5" w:rsidP="00E311F5">
      <w:pPr>
        <w:spacing w:before="120" w:after="120"/>
        <w:rPr>
          <w:szCs w:val="24"/>
        </w:rPr>
      </w:pPr>
      <w:r w:rsidRPr="000331D5">
        <w:rPr>
          <w:szCs w:val="24"/>
        </w:rPr>
        <w:t xml:space="preserve">The Legislative Instrument is compatible with </w:t>
      </w:r>
      <w:r w:rsidR="007C6D4F" w:rsidRPr="000331D5">
        <w:rPr>
          <w:szCs w:val="24"/>
        </w:rPr>
        <w:t>human rights because it maintains</w:t>
      </w:r>
      <w:r w:rsidR="00813262" w:rsidRPr="000331D5">
        <w:rPr>
          <w:szCs w:val="24"/>
        </w:rPr>
        <w:t xml:space="preserve"> existing arrangements and the </w:t>
      </w:r>
      <w:r w:rsidRPr="000331D5">
        <w:rPr>
          <w:szCs w:val="24"/>
        </w:rPr>
        <w:t>protection of human rights.</w:t>
      </w:r>
    </w:p>
    <w:p w:rsidR="00E311F5" w:rsidRPr="000331D5" w:rsidRDefault="00E311F5" w:rsidP="00E311F5">
      <w:pPr>
        <w:spacing w:before="120" w:after="120"/>
        <w:rPr>
          <w:szCs w:val="24"/>
        </w:rPr>
      </w:pPr>
    </w:p>
    <w:p w:rsidR="00E311F5" w:rsidRPr="000331D5" w:rsidRDefault="00171C5A" w:rsidP="00E311F5">
      <w:pPr>
        <w:spacing w:before="120" w:after="120"/>
        <w:jc w:val="center"/>
        <w:rPr>
          <w:b/>
          <w:bCs/>
          <w:szCs w:val="24"/>
        </w:rPr>
      </w:pPr>
      <w:r w:rsidRPr="000331D5">
        <w:rPr>
          <w:b/>
          <w:bCs/>
          <w:szCs w:val="24"/>
        </w:rPr>
        <w:t>Sussan Ley</w:t>
      </w:r>
      <w:r w:rsidR="00E311F5" w:rsidRPr="000331D5">
        <w:rPr>
          <w:b/>
          <w:bCs/>
          <w:szCs w:val="24"/>
        </w:rPr>
        <w:t xml:space="preserve"> </w:t>
      </w:r>
    </w:p>
    <w:p w:rsidR="00E311F5" w:rsidRPr="00C85894" w:rsidRDefault="00E311F5" w:rsidP="00E311F5">
      <w:pPr>
        <w:spacing w:before="120" w:after="120"/>
        <w:jc w:val="center"/>
        <w:rPr>
          <w:szCs w:val="24"/>
        </w:rPr>
      </w:pPr>
      <w:r w:rsidRPr="000331D5">
        <w:rPr>
          <w:b/>
          <w:bCs/>
          <w:szCs w:val="24"/>
        </w:rPr>
        <w:t>Minister for Health</w:t>
      </w:r>
    </w:p>
    <w:p w:rsidR="00445A6D" w:rsidRPr="004D45DE" w:rsidRDefault="00445A6D" w:rsidP="000B3452">
      <w:pPr>
        <w:rPr>
          <w:szCs w:val="24"/>
        </w:rPr>
      </w:pPr>
    </w:p>
    <w:p w:rsidR="00445A6D" w:rsidRPr="004D45DE" w:rsidRDefault="00445A6D" w:rsidP="00445A6D">
      <w:pPr>
        <w:ind w:left="360"/>
        <w:rPr>
          <w:szCs w:val="24"/>
        </w:rPr>
      </w:pPr>
    </w:p>
    <w:p w:rsidR="00445A6D" w:rsidRPr="003239D0" w:rsidRDefault="00445A6D" w:rsidP="003239D0">
      <w:pPr>
        <w:pStyle w:val="BodyText"/>
        <w:rPr>
          <w:b w:val="0"/>
        </w:rPr>
      </w:pPr>
    </w:p>
    <w:sectPr w:rsidR="00445A6D" w:rsidRPr="003239D0" w:rsidSect="00BE305E">
      <w:pgSz w:w="11906" w:h="16838"/>
      <w:pgMar w:top="1440" w:right="1440" w:bottom="1440" w:left="1440" w:header="720" w:footer="720" w:gutter="0"/>
      <w:paperSrc w:first="7" w:other="7"/>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A7F" w:rsidRDefault="00B31A7F">
      <w:r>
        <w:separator/>
      </w:r>
    </w:p>
  </w:endnote>
  <w:endnote w:type="continuationSeparator" w:id="0">
    <w:p w:rsidR="00B31A7F" w:rsidRDefault="00B3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A7F" w:rsidRDefault="00B31A7F">
      <w:r>
        <w:separator/>
      </w:r>
    </w:p>
  </w:footnote>
  <w:footnote w:type="continuationSeparator" w:id="0">
    <w:p w:rsidR="00B31A7F" w:rsidRDefault="00B31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9D" w:rsidRDefault="00883C9D"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83C9D" w:rsidRDefault="00883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9D" w:rsidRDefault="00883C9D"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2E31">
      <w:rPr>
        <w:rStyle w:val="PageNumber"/>
        <w:noProof/>
      </w:rPr>
      <w:t>1</w:t>
    </w:r>
    <w:r>
      <w:rPr>
        <w:rStyle w:val="PageNumber"/>
      </w:rPr>
      <w:fldChar w:fldCharType="end"/>
    </w:r>
  </w:p>
  <w:p w:rsidR="00883C9D" w:rsidRDefault="00883C9D" w:rsidP="009D3773">
    <w:pPr>
      <w:pStyle w:val="Header"/>
      <w:framePr w:wrap="around" w:vAnchor="text" w:hAnchor="page" w:x="6022" w:y="1"/>
      <w:rPr>
        <w:rStyle w:val="PageNumber"/>
      </w:rPr>
    </w:pPr>
  </w:p>
  <w:p w:rsidR="00883C9D" w:rsidRDefault="00883C9D" w:rsidP="009D377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4B5AF9"/>
    <w:multiLevelType w:val="hybridMultilevel"/>
    <w:tmpl w:val="8DF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CE6388"/>
    <w:multiLevelType w:val="hybridMultilevel"/>
    <w:tmpl w:val="480C76D2"/>
    <w:lvl w:ilvl="0" w:tplc="0C090017">
      <w:start w:val="1"/>
      <w:numFmt w:val="lowerLetter"/>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AC00BD"/>
    <w:multiLevelType w:val="hybridMultilevel"/>
    <w:tmpl w:val="06680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D81EF9"/>
    <w:multiLevelType w:val="hybridMultilevel"/>
    <w:tmpl w:val="BE1E191E"/>
    <w:lvl w:ilvl="0" w:tplc="93FA76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F805223"/>
    <w:multiLevelType w:val="hybridMultilevel"/>
    <w:tmpl w:val="A19A0EC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DAC63B2"/>
    <w:multiLevelType w:val="hybridMultilevel"/>
    <w:tmpl w:val="1EDAE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1FD01D8"/>
    <w:multiLevelType w:val="hybridMultilevel"/>
    <w:tmpl w:val="E8547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2FE71A6"/>
    <w:multiLevelType w:val="hybridMultilevel"/>
    <w:tmpl w:val="9EAA7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8">
    <w:nsid w:val="66E778BC"/>
    <w:multiLevelType w:val="hybridMultilevel"/>
    <w:tmpl w:val="45C62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6B9B6017"/>
    <w:multiLevelType w:val="hybridMultilevel"/>
    <w:tmpl w:val="DF2E81E6"/>
    <w:lvl w:ilvl="0" w:tplc="3D020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065219F"/>
    <w:multiLevelType w:val="hybridMultilevel"/>
    <w:tmpl w:val="1CF43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29777A"/>
    <w:multiLevelType w:val="hybridMultilevel"/>
    <w:tmpl w:val="2D60040C"/>
    <w:lvl w:ilvl="0" w:tplc="5CA80A0C">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0"/>
  </w:num>
  <w:num w:numId="4">
    <w:abstractNumId w:val="1"/>
  </w:num>
  <w:num w:numId="5">
    <w:abstractNumId w:val="22"/>
  </w:num>
  <w:num w:numId="6">
    <w:abstractNumId w:val="0"/>
  </w:num>
  <w:num w:numId="7">
    <w:abstractNumId w:val="12"/>
  </w:num>
  <w:num w:numId="8">
    <w:abstractNumId w:val="9"/>
  </w:num>
  <w:num w:numId="9">
    <w:abstractNumId w:val="5"/>
  </w:num>
  <w:num w:numId="10">
    <w:abstractNumId w:val="23"/>
  </w:num>
  <w:num w:numId="11">
    <w:abstractNumId w:val="9"/>
  </w:num>
  <w:num w:numId="12">
    <w:abstractNumId w:val="13"/>
  </w:num>
  <w:num w:numId="13">
    <w:abstractNumId w:val="19"/>
  </w:num>
  <w:num w:numId="14">
    <w:abstractNumId w:val="6"/>
  </w:num>
  <w:num w:numId="15">
    <w:abstractNumId w:val="11"/>
  </w:num>
  <w:num w:numId="16">
    <w:abstractNumId w:val="18"/>
  </w:num>
  <w:num w:numId="17">
    <w:abstractNumId w:val="3"/>
  </w:num>
  <w:num w:numId="18">
    <w:abstractNumId w:val="8"/>
  </w:num>
  <w:num w:numId="19">
    <w:abstractNumId w:val="8"/>
  </w:num>
  <w:num w:numId="20">
    <w:abstractNumId w:val="2"/>
  </w:num>
  <w:num w:numId="21">
    <w:abstractNumId w:val="15"/>
  </w:num>
  <w:num w:numId="22">
    <w:abstractNumId w:val="20"/>
  </w:num>
  <w:num w:numId="23">
    <w:abstractNumId w:val="16"/>
  </w:num>
  <w:num w:numId="24">
    <w:abstractNumId w:val="21"/>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5906"/>
    <w:rsid w:val="000074CB"/>
    <w:rsid w:val="00010395"/>
    <w:rsid w:val="00014B38"/>
    <w:rsid w:val="00020D83"/>
    <w:rsid w:val="0002704E"/>
    <w:rsid w:val="000331D5"/>
    <w:rsid w:val="000354D6"/>
    <w:rsid w:val="00041E67"/>
    <w:rsid w:val="00044A2A"/>
    <w:rsid w:val="00045283"/>
    <w:rsid w:val="00047E72"/>
    <w:rsid w:val="000509BA"/>
    <w:rsid w:val="0005224B"/>
    <w:rsid w:val="0005533C"/>
    <w:rsid w:val="00064BA4"/>
    <w:rsid w:val="000666F0"/>
    <w:rsid w:val="000710DD"/>
    <w:rsid w:val="000727E0"/>
    <w:rsid w:val="000762C2"/>
    <w:rsid w:val="00082E31"/>
    <w:rsid w:val="000969EF"/>
    <w:rsid w:val="000A31F2"/>
    <w:rsid w:val="000A3794"/>
    <w:rsid w:val="000A45BE"/>
    <w:rsid w:val="000B3452"/>
    <w:rsid w:val="000C6797"/>
    <w:rsid w:val="000C6FF8"/>
    <w:rsid w:val="000D7803"/>
    <w:rsid w:val="000E1ACD"/>
    <w:rsid w:val="000F1714"/>
    <w:rsid w:val="000F249E"/>
    <w:rsid w:val="000F5E76"/>
    <w:rsid w:val="00130653"/>
    <w:rsid w:val="00134B27"/>
    <w:rsid w:val="00141E8C"/>
    <w:rsid w:val="00154FC4"/>
    <w:rsid w:val="0015521F"/>
    <w:rsid w:val="00156E84"/>
    <w:rsid w:val="001641C0"/>
    <w:rsid w:val="001660BA"/>
    <w:rsid w:val="0017187F"/>
    <w:rsid w:val="00171C5A"/>
    <w:rsid w:val="001770D9"/>
    <w:rsid w:val="0018012F"/>
    <w:rsid w:val="00182D13"/>
    <w:rsid w:val="0018451D"/>
    <w:rsid w:val="00185238"/>
    <w:rsid w:val="001867EA"/>
    <w:rsid w:val="00191EED"/>
    <w:rsid w:val="0019289B"/>
    <w:rsid w:val="0019464A"/>
    <w:rsid w:val="00195A6A"/>
    <w:rsid w:val="001978CE"/>
    <w:rsid w:val="001A0904"/>
    <w:rsid w:val="001A4BE2"/>
    <w:rsid w:val="001B5945"/>
    <w:rsid w:val="001C6713"/>
    <w:rsid w:val="001D66BB"/>
    <w:rsid w:val="001D705B"/>
    <w:rsid w:val="001D778A"/>
    <w:rsid w:val="001D7D62"/>
    <w:rsid w:val="001E3B02"/>
    <w:rsid w:val="001E5DE7"/>
    <w:rsid w:val="001E7C25"/>
    <w:rsid w:val="001F4CE1"/>
    <w:rsid w:val="00203952"/>
    <w:rsid w:val="00213177"/>
    <w:rsid w:val="00217EBF"/>
    <w:rsid w:val="0022071A"/>
    <w:rsid w:val="00221C4B"/>
    <w:rsid w:val="00222137"/>
    <w:rsid w:val="00230F5E"/>
    <w:rsid w:val="00234BDC"/>
    <w:rsid w:val="0023579F"/>
    <w:rsid w:val="00250061"/>
    <w:rsid w:val="00250642"/>
    <w:rsid w:val="00251F50"/>
    <w:rsid w:val="00253E30"/>
    <w:rsid w:val="00263279"/>
    <w:rsid w:val="002643FC"/>
    <w:rsid w:val="00274CF4"/>
    <w:rsid w:val="0027610D"/>
    <w:rsid w:val="00287B08"/>
    <w:rsid w:val="002A12B4"/>
    <w:rsid w:val="002A39F4"/>
    <w:rsid w:val="002B2E78"/>
    <w:rsid w:val="002B3258"/>
    <w:rsid w:val="002B49DE"/>
    <w:rsid w:val="002B53D3"/>
    <w:rsid w:val="002C3B2C"/>
    <w:rsid w:val="002C5DCD"/>
    <w:rsid w:val="002D2A4E"/>
    <w:rsid w:val="002E3493"/>
    <w:rsid w:val="002F0434"/>
    <w:rsid w:val="002F449C"/>
    <w:rsid w:val="002F6631"/>
    <w:rsid w:val="002F72F7"/>
    <w:rsid w:val="0031124D"/>
    <w:rsid w:val="00314478"/>
    <w:rsid w:val="003239D0"/>
    <w:rsid w:val="00324908"/>
    <w:rsid w:val="003328AB"/>
    <w:rsid w:val="0033493D"/>
    <w:rsid w:val="0035214B"/>
    <w:rsid w:val="00356AEE"/>
    <w:rsid w:val="003570AD"/>
    <w:rsid w:val="0036495A"/>
    <w:rsid w:val="003730CA"/>
    <w:rsid w:val="00381E6B"/>
    <w:rsid w:val="00381F89"/>
    <w:rsid w:val="003852CD"/>
    <w:rsid w:val="003876E6"/>
    <w:rsid w:val="00391AFA"/>
    <w:rsid w:val="00391DB2"/>
    <w:rsid w:val="003A7FCA"/>
    <w:rsid w:val="003B59A9"/>
    <w:rsid w:val="003C5E8C"/>
    <w:rsid w:val="003E1249"/>
    <w:rsid w:val="003E3544"/>
    <w:rsid w:val="003E35A8"/>
    <w:rsid w:val="003E77CB"/>
    <w:rsid w:val="003F73BA"/>
    <w:rsid w:val="003F73F0"/>
    <w:rsid w:val="00405890"/>
    <w:rsid w:val="0041237F"/>
    <w:rsid w:val="00414613"/>
    <w:rsid w:val="00415EB3"/>
    <w:rsid w:val="0041767B"/>
    <w:rsid w:val="00424197"/>
    <w:rsid w:val="004270FD"/>
    <w:rsid w:val="00432D4D"/>
    <w:rsid w:val="00442F9D"/>
    <w:rsid w:val="00445A6D"/>
    <w:rsid w:val="00446A6B"/>
    <w:rsid w:val="00466A5B"/>
    <w:rsid w:val="00466F95"/>
    <w:rsid w:val="00476B3F"/>
    <w:rsid w:val="00481353"/>
    <w:rsid w:val="004828A9"/>
    <w:rsid w:val="004849DE"/>
    <w:rsid w:val="00484E4F"/>
    <w:rsid w:val="00486D7D"/>
    <w:rsid w:val="00492DBE"/>
    <w:rsid w:val="004A4B1E"/>
    <w:rsid w:val="004A56D3"/>
    <w:rsid w:val="004C27EB"/>
    <w:rsid w:val="004C2D4E"/>
    <w:rsid w:val="004C405B"/>
    <w:rsid w:val="004C68D1"/>
    <w:rsid w:val="004C7E22"/>
    <w:rsid w:val="004D0951"/>
    <w:rsid w:val="004D7821"/>
    <w:rsid w:val="004E13E2"/>
    <w:rsid w:val="004E22A7"/>
    <w:rsid w:val="004E7F97"/>
    <w:rsid w:val="004F504E"/>
    <w:rsid w:val="00502156"/>
    <w:rsid w:val="00502277"/>
    <w:rsid w:val="005140F2"/>
    <w:rsid w:val="005216AC"/>
    <w:rsid w:val="00532CD3"/>
    <w:rsid w:val="005345A9"/>
    <w:rsid w:val="0054004F"/>
    <w:rsid w:val="0054302F"/>
    <w:rsid w:val="00552105"/>
    <w:rsid w:val="0055354D"/>
    <w:rsid w:val="00557594"/>
    <w:rsid w:val="005642D9"/>
    <w:rsid w:val="00571375"/>
    <w:rsid w:val="0057258C"/>
    <w:rsid w:val="00573651"/>
    <w:rsid w:val="00580C1B"/>
    <w:rsid w:val="00581904"/>
    <w:rsid w:val="00585309"/>
    <w:rsid w:val="0059164D"/>
    <w:rsid w:val="005941D8"/>
    <w:rsid w:val="00594EB6"/>
    <w:rsid w:val="005A3D73"/>
    <w:rsid w:val="005A7960"/>
    <w:rsid w:val="005B0EA3"/>
    <w:rsid w:val="005C6118"/>
    <w:rsid w:val="005D538F"/>
    <w:rsid w:val="005D63D9"/>
    <w:rsid w:val="005E293A"/>
    <w:rsid w:val="005F04DC"/>
    <w:rsid w:val="00601165"/>
    <w:rsid w:val="00611A4E"/>
    <w:rsid w:val="0061281D"/>
    <w:rsid w:val="00623004"/>
    <w:rsid w:val="00623C46"/>
    <w:rsid w:val="00625964"/>
    <w:rsid w:val="00635031"/>
    <w:rsid w:val="006407FA"/>
    <w:rsid w:val="00641C60"/>
    <w:rsid w:val="00642BEB"/>
    <w:rsid w:val="00647590"/>
    <w:rsid w:val="006526F5"/>
    <w:rsid w:val="006619F5"/>
    <w:rsid w:val="0066562D"/>
    <w:rsid w:val="00670998"/>
    <w:rsid w:val="00672050"/>
    <w:rsid w:val="00677333"/>
    <w:rsid w:val="00685B34"/>
    <w:rsid w:val="00694C76"/>
    <w:rsid w:val="006B13BC"/>
    <w:rsid w:val="006B32FE"/>
    <w:rsid w:val="006C2A33"/>
    <w:rsid w:val="006D2B37"/>
    <w:rsid w:val="006D54FB"/>
    <w:rsid w:val="006E1A62"/>
    <w:rsid w:val="006E3D84"/>
    <w:rsid w:val="006E5C6B"/>
    <w:rsid w:val="006E6377"/>
    <w:rsid w:val="006F0641"/>
    <w:rsid w:val="0070058D"/>
    <w:rsid w:val="00704A1A"/>
    <w:rsid w:val="00705924"/>
    <w:rsid w:val="00707A48"/>
    <w:rsid w:val="007134A2"/>
    <w:rsid w:val="00717B45"/>
    <w:rsid w:val="00726CFA"/>
    <w:rsid w:val="007304D5"/>
    <w:rsid w:val="00730965"/>
    <w:rsid w:val="007368DC"/>
    <w:rsid w:val="00741A4E"/>
    <w:rsid w:val="007452E0"/>
    <w:rsid w:val="007505FB"/>
    <w:rsid w:val="0075212A"/>
    <w:rsid w:val="00754537"/>
    <w:rsid w:val="00761318"/>
    <w:rsid w:val="0076544A"/>
    <w:rsid w:val="00777055"/>
    <w:rsid w:val="007859F8"/>
    <w:rsid w:val="00791384"/>
    <w:rsid w:val="00796689"/>
    <w:rsid w:val="007A5B55"/>
    <w:rsid w:val="007A5F41"/>
    <w:rsid w:val="007B08D1"/>
    <w:rsid w:val="007B4EAA"/>
    <w:rsid w:val="007C20FA"/>
    <w:rsid w:val="007C27D3"/>
    <w:rsid w:val="007C2C95"/>
    <w:rsid w:val="007C6D4F"/>
    <w:rsid w:val="007C79FB"/>
    <w:rsid w:val="007D4A14"/>
    <w:rsid w:val="007D75A4"/>
    <w:rsid w:val="007E7ABF"/>
    <w:rsid w:val="007F0907"/>
    <w:rsid w:val="007F1C81"/>
    <w:rsid w:val="007F2158"/>
    <w:rsid w:val="007F6ABA"/>
    <w:rsid w:val="0080144C"/>
    <w:rsid w:val="00804A98"/>
    <w:rsid w:val="00805C3A"/>
    <w:rsid w:val="00807E9A"/>
    <w:rsid w:val="00813262"/>
    <w:rsid w:val="00824EB8"/>
    <w:rsid w:val="00826C1C"/>
    <w:rsid w:val="00833FCC"/>
    <w:rsid w:val="00845708"/>
    <w:rsid w:val="00847779"/>
    <w:rsid w:val="008478EE"/>
    <w:rsid w:val="00847DBE"/>
    <w:rsid w:val="0085475F"/>
    <w:rsid w:val="00855C39"/>
    <w:rsid w:val="008609B1"/>
    <w:rsid w:val="00875104"/>
    <w:rsid w:val="00883C9D"/>
    <w:rsid w:val="0089513F"/>
    <w:rsid w:val="008A65BE"/>
    <w:rsid w:val="008B2B7B"/>
    <w:rsid w:val="008B444F"/>
    <w:rsid w:val="008C0F1E"/>
    <w:rsid w:val="008C20F7"/>
    <w:rsid w:val="008C47BD"/>
    <w:rsid w:val="008D1B01"/>
    <w:rsid w:val="008D2A83"/>
    <w:rsid w:val="008D2D7B"/>
    <w:rsid w:val="008D345E"/>
    <w:rsid w:val="008D44EB"/>
    <w:rsid w:val="008F1AA9"/>
    <w:rsid w:val="008F7C5B"/>
    <w:rsid w:val="00902A7B"/>
    <w:rsid w:val="009049C0"/>
    <w:rsid w:val="009124F6"/>
    <w:rsid w:val="00913B67"/>
    <w:rsid w:val="00915B08"/>
    <w:rsid w:val="009225FE"/>
    <w:rsid w:val="009234DF"/>
    <w:rsid w:val="00937803"/>
    <w:rsid w:val="009414C5"/>
    <w:rsid w:val="009427F2"/>
    <w:rsid w:val="00943581"/>
    <w:rsid w:val="00944F64"/>
    <w:rsid w:val="00953383"/>
    <w:rsid w:val="00965025"/>
    <w:rsid w:val="00971B7B"/>
    <w:rsid w:val="00971D3B"/>
    <w:rsid w:val="00972D48"/>
    <w:rsid w:val="00977A95"/>
    <w:rsid w:val="00983395"/>
    <w:rsid w:val="009902F7"/>
    <w:rsid w:val="0099448D"/>
    <w:rsid w:val="00995A06"/>
    <w:rsid w:val="009A222A"/>
    <w:rsid w:val="009A6B4E"/>
    <w:rsid w:val="009B39CD"/>
    <w:rsid w:val="009B3AEB"/>
    <w:rsid w:val="009C3EB5"/>
    <w:rsid w:val="009C444B"/>
    <w:rsid w:val="009D3773"/>
    <w:rsid w:val="009D499D"/>
    <w:rsid w:val="009E2AEA"/>
    <w:rsid w:val="009E3183"/>
    <w:rsid w:val="009E3783"/>
    <w:rsid w:val="009E3EA3"/>
    <w:rsid w:val="00A03C7A"/>
    <w:rsid w:val="00A045CA"/>
    <w:rsid w:val="00A04DC3"/>
    <w:rsid w:val="00A05DAD"/>
    <w:rsid w:val="00A17694"/>
    <w:rsid w:val="00A73CF1"/>
    <w:rsid w:val="00A73D92"/>
    <w:rsid w:val="00A75C9A"/>
    <w:rsid w:val="00A80DC1"/>
    <w:rsid w:val="00A82214"/>
    <w:rsid w:val="00A9123D"/>
    <w:rsid w:val="00A92534"/>
    <w:rsid w:val="00AA4399"/>
    <w:rsid w:val="00AB35DC"/>
    <w:rsid w:val="00AB419D"/>
    <w:rsid w:val="00AB5F4D"/>
    <w:rsid w:val="00AB70BF"/>
    <w:rsid w:val="00AC046B"/>
    <w:rsid w:val="00AC54F8"/>
    <w:rsid w:val="00AC681D"/>
    <w:rsid w:val="00AC6E0E"/>
    <w:rsid w:val="00AD0F67"/>
    <w:rsid w:val="00AD19A9"/>
    <w:rsid w:val="00AD4230"/>
    <w:rsid w:val="00AD7E8E"/>
    <w:rsid w:val="00AE0F81"/>
    <w:rsid w:val="00AF3563"/>
    <w:rsid w:val="00B019A9"/>
    <w:rsid w:val="00B03273"/>
    <w:rsid w:val="00B10627"/>
    <w:rsid w:val="00B110B5"/>
    <w:rsid w:val="00B174E3"/>
    <w:rsid w:val="00B2270A"/>
    <w:rsid w:val="00B316E7"/>
    <w:rsid w:val="00B31A7F"/>
    <w:rsid w:val="00B34EF9"/>
    <w:rsid w:val="00B56E4F"/>
    <w:rsid w:val="00B748AE"/>
    <w:rsid w:val="00B7681E"/>
    <w:rsid w:val="00B84958"/>
    <w:rsid w:val="00B901AE"/>
    <w:rsid w:val="00B94CD8"/>
    <w:rsid w:val="00B94E24"/>
    <w:rsid w:val="00B96F16"/>
    <w:rsid w:val="00B970F6"/>
    <w:rsid w:val="00BA58AC"/>
    <w:rsid w:val="00BB1CDA"/>
    <w:rsid w:val="00BB24F4"/>
    <w:rsid w:val="00BB2CD8"/>
    <w:rsid w:val="00BC459E"/>
    <w:rsid w:val="00BC5C96"/>
    <w:rsid w:val="00BE08A0"/>
    <w:rsid w:val="00BE22FD"/>
    <w:rsid w:val="00BE2ECA"/>
    <w:rsid w:val="00BE305E"/>
    <w:rsid w:val="00BE4C5A"/>
    <w:rsid w:val="00BE6ADA"/>
    <w:rsid w:val="00BF23A6"/>
    <w:rsid w:val="00BF425B"/>
    <w:rsid w:val="00BF5A87"/>
    <w:rsid w:val="00BF6341"/>
    <w:rsid w:val="00BF65AE"/>
    <w:rsid w:val="00C0045E"/>
    <w:rsid w:val="00C00FD8"/>
    <w:rsid w:val="00C073E4"/>
    <w:rsid w:val="00C07C34"/>
    <w:rsid w:val="00C1155D"/>
    <w:rsid w:val="00C13763"/>
    <w:rsid w:val="00C154E6"/>
    <w:rsid w:val="00C33771"/>
    <w:rsid w:val="00C34230"/>
    <w:rsid w:val="00C3618B"/>
    <w:rsid w:val="00C3661B"/>
    <w:rsid w:val="00C42112"/>
    <w:rsid w:val="00C42CA1"/>
    <w:rsid w:val="00C46A0C"/>
    <w:rsid w:val="00C473F7"/>
    <w:rsid w:val="00C5100A"/>
    <w:rsid w:val="00C56251"/>
    <w:rsid w:val="00C62FDC"/>
    <w:rsid w:val="00C77A1F"/>
    <w:rsid w:val="00C81C33"/>
    <w:rsid w:val="00C92228"/>
    <w:rsid w:val="00CA22E2"/>
    <w:rsid w:val="00CA73CB"/>
    <w:rsid w:val="00CB378A"/>
    <w:rsid w:val="00CC0377"/>
    <w:rsid w:val="00CC12A0"/>
    <w:rsid w:val="00CC26A8"/>
    <w:rsid w:val="00CD427A"/>
    <w:rsid w:val="00CE3A6F"/>
    <w:rsid w:val="00CF6B2F"/>
    <w:rsid w:val="00D05CAA"/>
    <w:rsid w:val="00D114E6"/>
    <w:rsid w:val="00D26434"/>
    <w:rsid w:val="00D31059"/>
    <w:rsid w:val="00D4193B"/>
    <w:rsid w:val="00D41D2D"/>
    <w:rsid w:val="00D44316"/>
    <w:rsid w:val="00D53C93"/>
    <w:rsid w:val="00D565F8"/>
    <w:rsid w:val="00D56ABB"/>
    <w:rsid w:val="00D571B1"/>
    <w:rsid w:val="00D644BD"/>
    <w:rsid w:val="00D85008"/>
    <w:rsid w:val="00D854F2"/>
    <w:rsid w:val="00D9515D"/>
    <w:rsid w:val="00DA7439"/>
    <w:rsid w:val="00DB0DA9"/>
    <w:rsid w:val="00DB2BDD"/>
    <w:rsid w:val="00DD248C"/>
    <w:rsid w:val="00DD3239"/>
    <w:rsid w:val="00DE0877"/>
    <w:rsid w:val="00E20C77"/>
    <w:rsid w:val="00E311F5"/>
    <w:rsid w:val="00E35B1E"/>
    <w:rsid w:val="00E55649"/>
    <w:rsid w:val="00E568EB"/>
    <w:rsid w:val="00E56A50"/>
    <w:rsid w:val="00E72855"/>
    <w:rsid w:val="00E74C1D"/>
    <w:rsid w:val="00E81B2F"/>
    <w:rsid w:val="00E823D6"/>
    <w:rsid w:val="00E8487B"/>
    <w:rsid w:val="00E85B0A"/>
    <w:rsid w:val="00E90D89"/>
    <w:rsid w:val="00E935A1"/>
    <w:rsid w:val="00EA5A32"/>
    <w:rsid w:val="00EC0273"/>
    <w:rsid w:val="00EC0B81"/>
    <w:rsid w:val="00EC25BA"/>
    <w:rsid w:val="00EC2ABB"/>
    <w:rsid w:val="00ED0AD5"/>
    <w:rsid w:val="00ED2A91"/>
    <w:rsid w:val="00ED6E3C"/>
    <w:rsid w:val="00ED7140"/>
    <w:rsid w:val="00EF0AFA"/>
    <w:rsid w:val="00EF14EB"/>
    <w:rsid w:val="00F012F4"/>
    <w:rsid w:val="00F072C5"/>
    <w:rsid w:val="00F072E1"/>
    <w:rsid w:val="00F11185"/>
    <w:rsid w:val="00F12E98"/>
    <w:rsid w:val="00F207AB"/>
    <w:rsid w:val="00F21724"/>
    <w:rsid w:val="00F21A81"/>
    <w:rsid w:val="00F21CC1"/>
    <w:rsid w:val="00F2252B"/>
    <w:rsid w:val="00F2428F"/>
    <w:rsid w:val="00F242FC"/>
    <w:rsid w:val="00F27444"/>
    <w:rsid w:val="00F32A56"/>
    <w:rsid w:val="00F35D3A"/>
    <w:rsid w:val="00F413D8"/>
    <w:rsid w:val="00F42100"/>
    <w:rsid w:val="00F42A9B"/>
    <w:rsid w:val="00F42FCF"/>
    <w:rsid w:val="00F4438A"/>
    <w:rsid w:val="00F45B77"/>
    <w:rsid w:val="00F464FE"/>
    <w:rsid w:val="00F6591A"/>
    <w:rsid w:val="00F7546C"/>
    <w:rsid w:val="00F93ACB"/>
    <w:rsid w:val="00FA43E8"/>
    <w:rsid w:val="00FB1780"/>
    <w:rsid w:val="00FB35C6"/>
    <w:rsid w:val="00FB5BFA"/>
    <w:rsid w:val="00FC086A"/>
    <w:rsid w:val="00FD2FC7"/>
    <w:rsid w:val="00FD3574"/>
    <w:rsid w:val="00FD6A7D"/>
    <w:rsid w:val="00FD6FC9"/>
    <w:rsid w:val="00FF35E2"/>
    <w:rsid w:val="00FF5D71"/>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847DBE"/>
    <w:rPr>
      <w:b/>
      <w:bCs/>
      <w:i/>
      <w:smallCaps/>
      <w:color w:val="C0504D" w:themeColor="accent2"/>
      <w:spacing w:val="5"/>
      <w:u w:val="none"/>
    </w:rPr>
  </w:style>
  <w:style w:type="paragraph" w:styleId="PlainText">
    <w:name w:val="Plain Text"/>
    <w:basedOn w:val="Normal"/>
    <w:link w:val="PlainTextChar"/>
    <w:uiPriority w:val="99"/>
    <w:semiHidden/>
    <w:unhideWhenUsed/>
    <w:rsid w:val="00C81C33"/>
    <w:rPr>
      <w:rFonts w:ascii="Arial" w:eastAsiaTheme="minorHAnsi" w:hAnsi="Arial" w:cs="Consolas"/>
      <w:sz w:val="18"/>
      <w:szCs w:val="21"/>
      <w:lang w:eastAsia="en-US"/>
    </w:rPr>
  </w:style>
  <w:style w:type="character" w:customStyle="1" w:styleId="PlainTextChar">
    <w:name w:val="Plain Text Char"/>
    <w:basedOn w:val="DefaultParagraphFont"/>
    <w:link w:val="PlainText"/>
    <w:uiPriority w:val="99"/>
    <w:semiHidden/>
    <w:rsid w:val="00C81C33"/>
    <w:rPr>
      <w:rFonts w:ascii="Arial" w:hAnsi="Arial" w:cs="Consolas"/>
      <w:sz w:val="18"/>
      <w:szCs w:val="21"/>
    </w:rPr>
  </w:style>
  <w:style w:type="paragraph" w:customStyle="1" w:styleId="subsection">
    <w:name w:val="subsection"/>
    <w:aliases w:val="ss"/>
    <w:basedOn w:val="Normal"/>
    <w:link w:val="subsectionChar"/>
    <w:rsid w:val="006C2A33"/>
    <w:pPr>
      <w:tabs>
        <w:tab w:val="right" w:pos="1021"/>
      </w:tabs>
      <w:spacing w:before="180"/>
      <w:ind w:left="1134" w:hanging="1134"/>
    </w:pPr>
    <w:rPr>
      <w:sz w:val="22"/>
    </w:rPr>
  </w:style>
  <w:style w:type="character" w:customStyle="1" w:styleId="subsectionChar">
    <w:name w:val="subsection Char"/>
    <w:aliases w:val="ss Char"/>
    <w:link w:val="subsection"/>
    <w:locked/>
    <w:rsid w:val="006C2A33"/>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847DBE"/>
    <w:rPr>
      <w:b/>
      <w:bCs/>
      <w:i/>
      <w:smallCaps/>
      <w:color w:val="C0504D" w:themeColor="accent2"/>
      <w:spacing w:val="5"/>
      <w:u w:val="none"/>
    </w:rPr>
  </w:style>
  <w:style w:type="paragraph" w:styleId="PlainText">
    <w:name w:val="Plain Text"/>
    <w:basedOn w:val="Normal"/>
    <w:link w:val="PlainTextChar"/>
    <w:uiPriority w:val="99"/>
    <w:semiHidden/>
    <w:unhideWhenUsed/>
    <w:rsid w:val="00C81C33"/>
    <w:rPr>
      <w:rFonts w:ascii="Arial" w:eastAsiaTheme="minorHAnsi" w:hAnsi="Arial" w:cs="Consolas"/>
      <w:sz w:val="18"/>
      <w:szCs w:val="21"/>
      <w:lang w:eastAsia="en-US"/>
    </w:rPr>
  </w:style>
  <w:style w:type="character" w:customStyle="1" w:styleId="PlainTextChar">
    <w:name w:val="Plain Text Char"/>
    <w:basedOn w:val="DefaultParagraphFont"/>
    <w:link w:val="PlainText"/>
    <w:uiPriority w:val="99"/>
    <w:semiHidden/>
    <w:rsid w:val="00C81C33"/>
    <w:rPr>
      <w:rFonts w:ascii="Arial" w:hAnsi="Arial" w:cs="Consolas"/>
      <w:sz w:val="18"/>
      <w:szCs w:val="21"/>
    </w:rPr>
  </w:style>
  <w:style w:type="paragraph" w:customStyle="1" w:styleId="subsection">
    <w:name w:val="subsection"/>
    <w:aliases w:val="ss"/>
    <w:basedOn w:val="Normal"/>
    <w:link w:val="subsectionChar"/>
    <w:rsid w:val="006C2A33"/>
    <w:pPr>
      <w:tabs>
        <w:tab w:val="right" w:pos="1021"/>
      </w:tabs>
      <w:spacing w:before="180"/>
      <w:ind w:left="1134" w:hanging="1134"/>
    </w:pPr>
    <w:rPr>
      <w:sz w:val="22"/>
    </w:rPr>
  </w:style>
  <w:style w:type="character" w:customStyle="1" w:styleId="subsectionChar">
    <w:name w:val="subsection Char"/>
    <w:aliases w:val="ss Char"/>
    <w:link w:val="subsection"/>
    <w:locked/>
    <w:rsid w:val="006C2A33"/>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508521044">
      <w:bodyDiv w:val="1"/>
      <w:marLeft w:val="0"/>
      <w:marRight w:val="0"/>
      <w:marTop w:val="0"/>
      <w:marBottom w:val="0"/>
      <w:divBdr>
        <w:top w:val="none" w:sz="0" w:space="0" w:color="auto"/>
        <w:left w:val="none" w:sz="0" w:space="0" w:color="auto"/>
        <w:bottom w:val="none" w:sz="0" w:space="0" w:color="auto"/>
        <w:right w:val="none" w:sz="0" w:space="0" w:color="auto"/>
      </w:divBdr>
      <w:divsChild>
        <w:div w:id="1123842344">
          <w:marLeft w:val="0"/>
          <w:marRight w:val="0"/>
          <w:marTop w:val="0"/>
          <w:marBottom w:val="0"/>
          <w:divBdr>
            <w:top w:val="none" w:sz="0" w:space="0" w:color="auto"/>
            <w:left w:val="none" w:sz="0" w:space="0" w:color="auto"/>
            <w:bottom w:val="none" w:sz="0" w:space="0" w:color="auto"/>
            <w:right w:val="none" w:sz="0" w:space="0" w:color="auto"/>
          </w:divBdr>
          <w:divsChild>
            <w:div w:id="974725457">
              <w:marLeft w:val="0"/>
              <w:marRight w:val="0"/>
              <w:marTop w:val="0"/>
              <w:marBottom w:val="0"/>
              <w:divBdr>
                <w:top w:val="none" w:sz="0" w:space="0" w:color="auto"/>
                <w:left w:val="none" w:sz="0" w:space="0" w:color="auto"/>
                <w:bottom w:val="none" w:sz="0" w:space="0" w:color="auto"/>
                <w:right w:val="none" w:sz="0" w:space="0" w:color="auto"/>
              </w:divBdr>
              <w:divsChild>
                <w:div w:id="1615551993">
                  <w:marLeft w:val="0"/>
                  <w:marRight w:val="0"/>
                  <w:marTop w:val="0"/>
                  <w:marBottom w:val="0"/>
                  <w:divBdr>
                    <w:top w:val="none" w:sz="0" w:space="0" w:color="auto"/>
                    <w:left w:val="none" w:sz="0" w:space="0" w:color="auto"/>
                    <w:bottom w:val="none" w:sz="0" w:space="0" w:color="auto"/>
                    <w:right w:val="none" w:sz="0" w:space="0" w:color="auto"/>
                  </w:divBdr>
                  <w:divsChild>
                    <w:div w:id="228735556">
                      <w:marLeft w:val="0"/>
                      <w:marRight w:val="0"/>
                      <w:marTop w:val="0"/>
                      <w:marBottom w:val="0"/>
                      <w:divBdr>
                        <w:top w:val="none" w:sz="0" w:space="0" w:color="auto"/>
                        <w:left w:val="none" w:sz="0" w:space="0" w:color="auto"/>
                        <w:bottom w:val="none" w:sz="0" w:space="0" w:color="auto"/>
                        <w:right w:val="none" w:sz="0" w:space="0" w:color="auto"/>
                      </w:divBdr>
                      <w:divsChild>
                        <w:div w:id="1318605346">
                          <w:marLeft w:val="0"/>
                          <w:marRight w:val="0"/>
                          <w:marTop w:val="0"/>
                          <w:marBottom w:val="0"/>
                          <w:divBdr>
                            <w:top w:val="none" w:sz="0" w:space="0" w:color="auto"/>
                            <w:left w:val="none" w:sz="0" w:space="0" w:color="auto"/>
                            <w:bottom w:val="none" w:sz="0" w:space="0" w:color="auto"/>
                            <w:right w:val="none" w:sz="0" w:space="0" w:color="auto"/>
                          </w:divBdr>
                          <w:divsChild>
                            <w:div w:id="844440724">
                              <w:marLeft w:val="0"/>
                              <w:marRight w:val="0"/>
                              <w:marTop w:val="0"/>
                              <w:marBottom w:val="0"/>
                              <w:divBdr>
                                <w:top w:val="single" w:sz="6" w:space="0" w:color="828282"/>
                                <w:left w:val="single" w:sz="6" w:space="0" w:color="828282"/>
                                <w:bottom w:val="single" w:sz="6" w:space="0" w:color="828282"/>
                                <w:right w:val="single" w:sz="6" w:space="0" w:color="828282"/>
                              </w:divBdr>
                              <w:divsChild>
                                <w:div w:id="1891070692">
                                  <w:marLeft w:val="0"/>
                                  <w:marRight w:val="0"/>
                                  <w:marTop w:val="0"/>
                                  <w:marBottom w:val="0"/>
                                  <w:divBdr>
                                    <w:top w:val="none" w:sz="0" w:space="0" w:color="auto"/>
                                    <w:left w:val="none" w:sz="0" w:space="0" w:color="auto"/>
                                    <w:bottom w:val="none" w:sz="0" w:space="0" w:color="auto"/>
                                    <w:right w:val="none" w:sz="0" w:space="0" w:color="auto"/>
                                  </w:divBdr>
                                  <w:divsChild>
                                    <w:div w:id="1876772358">
                                      <w:marLeft w:val="0"/>
                                      <w:marRight w:val="0"/>
                                      <w:marTop w:val="0"/>
                                      <w:marBottom w:val="0"/>
                                      <w:divBdr>
                                        <w:top w:val="none" w:sz="0" w:space="0" w:color="auto"/>
                                        <w:left w:val="none" w:sz="0" w:space="0" w:color="auto"/>
                                        <w:bottom w:val="none" w:sz="0" w:space="0" w:color="auto"/>
                                        <w:right w:val="none" w:sz="0" w:space="0" w:color="auto"/>
                                      </w:divBdr>
                                      <w:divsChild>
                                        <w:div w:id="425270033">
                                          <w:marLeft w:val="0"/>
                                          <w:marRight w:val="0"/>
                                          <w:marTop w:val="0"/>
                                          <w:marBottom w:val="0"/>
                                          <w:divBdr>
                                            <w:top w:val="none" w:sz="0" w:space="0" w:color="auto"/>
                                            <w:left w:val="none" w:sz="0" w:space="0" w:color="auto"/>
                                            <w:bottom w:val="none" w:sz="0" w:space="0" w:color="auto"/>
                                            <w:right w:val="none" w:sz="0" w:space="0" w:color="auto"/>
                                          </w:divBdr>
                                          <w:divsChild>
                                            <w:div w:id="2081634000">
                                              <w:marLeft w:val="0"/>
                                              <w:marRight w:val="0"/>
                                              <w:marTop w:val="0"/>
                                              <w:marBottom w:val="0"/>
                                              <w:divBdr>
                                                <w:top w:val="none" w:sz="0" w:space="0" w:color="auto"/>
                                                <w:left w:val="none" w:sz="0" w:space="0" w:color="auto"/>
                                                <w:bottom w:val="none" w:sz="0" w:space="0" w:color="auto"/>
                                                <w:right w:val="none" w:sz="0" w:space="0" w:color="auto"/>
                                              </w:divBdr>
                                              <w:divsChild>
                                                <w:div w:id="542061441">
                                                  <w:marLeft w:val="0"/>
                                                  <w:marRight w:val="0"/>
                                                  <w:marTop w:val="0"/>
                                                  <w:marBottom w:val="0"/>
                                                  <w:divBdr>
                                                    <w:top w:val="none" w:sz="0" w:space="0" w:color="auto"/>
                                                    <w:left w:val="none" w:sz="0" w:space="0" w:color="auto"/>
                                                    <w:bottom w:val="none" w:sz="0" w:space="0" w:color="auto"/>
                                                    <w:right w:val="none" w:sz="0" w:space="0" w:color="auto"/>
                                                  </w:divBdr>
                                                  <w:divsChild>
                                                    <w:div w:id="399713100">
                                                      <w:marLeft w:val="0"/>
                                                      <w:marRight w:val="0"/>
                                                      <w:marTop w:val="0"/>
                                                      <w:marBottom w:val="0"/>
                                                      <w:divBdr>
                                                        <w:top w:val="none" w:sz="0" w:space="0" w:color="auto"/>
                                                        <w:left w:val="none" w:sz="0" w:space="0" w:color="auto"/>
                                                        <w:bottom w:val="none" w:sz="0" w:space="0" w:color="auto"/>
                                                        <w:right w:val="none" w:sz="0" w:space="0" w:color="auto"/>
                                                      </w:divBdr>
                                                      <w:divsChild>
                                                        <w:div w:id="123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0800144">
      <w:bodyDiv w:val="1"/>
      <w:marLeft w:val="0"/>
      <w:marRight w:val="0"/>
      <w:marTop w:val="0"/>
      <w:marBottom w:val="0"/>
      <w:divBdr>
        <w:top w:val="none" w:sz="0" w:space="0" w:color="auto"/>
        <w:left w:val="none" w:sz="0" w:space="0" w:color="auto"/>
        <w:bottom w:val="none" w:sz="0" w:space="0" w:color="auto"/>
        <w:right w:val="none" w:sz="0" w:space="0" w:color="auto"/>
      </w:divBdr>
      <w:divsChild>
        <w:div w:id="162009901">
          <w:marLeft w:val="0"/>
          <w:marRight w:val="0"/>
          <w:marTop w:val="0"/>
          <w:marBottom w:val="0"/>
          <w:divBdr>
            <w:top w:val="none" w:sz="0" w:space="0" w:color="auto"/>
            <w:left w:val="none" w:sz="0" w:space="0" w:color="auto"/>
            <w:bottom w:val="none" w:sz="0" w:space="0" w:color="auto"/>
            <w:right w:val="none" w:sz="0" w:space="0" w:color="auto"/>
          </w:divBdr>
          <w:divsChild>
            <w:div w:id="1427968545">
              <w:marLeft w:val="0"/>
              <w:marRight w:val="0"/>
              <w:marTop w:val="0"/>
              <w:marBottom w:val="0"/>
              <w:divBdr>
                <w:top w:val="none" w:sz="0" w:space="0" w:color="auto"/>
                <w:left w:val="none" w:sz="0" w:space="0" w:color="auto"/>
                <w:bottom w:val="none" w:sz="0" w:space="0" w:color="auto"/>
                <w:right w:val="none" w:sz="0" w:space="0" w:color="auto"/>
              </w:divBdr>
              <w:divsChild>
                <w:div w:id="394085910">
                  <w:marLeft w:val="0"/>
                  <w:marRight w:val="0"/>
                  <w:marTop w:val="0"/>
                  <w:marBottom w:val="0"/>
                  <w:divBdr>
                    <w:top w:val="none" w:sz="0" w:space="0" w:color="auto"/>
                    <w:left w:val="none" w:sz="0" w:space="0" w:color="auto"/>
                    <w:bottom w:val="none" w:sz="0" w:space="0" w:color="auto"/>
                    <w:right w:val="none" w:sz="0" w:space="0" w:color="auto"/>
                  </w:divBdr>
                  <w:divsChild>
                    <w:div w:id="722753416">
                      <w:marLeft w:val="0"/>
                      <w:marRight w:val="0"/>
                      <w:marTop w:val="0"/>
                      <w:marBottom w:val="0"/>
                      <w:divBdr>
                        <w:top w:val="none" w:sz="0" w:space="0" w:color="auto"/>
                        <w:left w:val="none" w:sz="0" w:space="0" w:color="auto"/>
                        <w:bottom w:val="none" w:sz="0" w:space="0" w:color="auto"/>
                        <w:right w:val="none" w:sz="0" w:space="0" w:color="auto"/>
                      </w:divBdr>
                      <w:divsChild>
                        <w:div w:id="109472716">
                          <w:marLeft w:val="0"/>
                          <w:marRight w:val="0"/>
                          <w:marTop w:val="0"/>
                          <w:marBottom w:val="0"/>
                          <w:divBdr>
                            <w:top w:val="none" w:sz="0" w:space="0" w:color="auto"/>
                            <w:left w:val="none" w:sz="0" w:space="0" w:color="auto"/>
                            <w:bottom w:val="none" w:sz="0" w:space="0" w:color="auto"/>
                            <w:right w:val="none" w:sz="0" w:space="0" w:color="auto"/>
                          </w:divBdr>
                          <w:divsChild>
                            <w:div w:id="1726561805">
                              <w:marLeft w:val="0"/>
                              <w:marRight w:val="0"/>
                              <w:marTop w:val="0"/>
                              <w:marBottom w:val="0"/>
                              <w:divBdr>
                                <w:top w:val="single" w:sz="6" w:space="0" w:color="828282"/>
                                <w:left w:val="single" w:sz="6" w:space="0" w:color="828282"/>
                                <w:bottom w:val="single" w:sz="6" w:space="0" w:color="828282"/>
                                <w:right w:val="single" w:sz="6" w:space="0" w:color="828282"/>
                              </w:divBdr>
                              <w:divsChild>
                                <w:div w:id="2119641771">
                                  <w:marLeft w:val="0"/>
                                  <w:marRight w:val="0"/>
                                  <w:marTop w:val="0"/>
                                  <w:marBottom w:val="0"/>
                                  <w:divBdr>
                                    <w:top w:val="none" w:sz="0" w:space="0" w:color="auto"/>
                                    <w:left w:val="none" w:sz="0" w:space="0" w:color="auto"/>
                                    <w:bottom w:val="none" w:sz="0" w:space="0" w:color="auto"/>
                                    <w:right w:val="none" w:sz="0" w:space="0" w:color="auto"/>
                                  </w:divBdr>
                                  <w:divsChild>
                                    <w:div w:id="1676229743">
                                      <w:marLeft w:val="0"/>
                                      <w:marRight w:val="0"/>
                                      <w:marTop w:val="0"/>
                                      <w:marBottom w:val="0"/>
                                      <w:divBdr>
                                        <w:top w:val="none" w:sz="0" w:space="0" w:color="auto"/>
                                        <w:left w:val="none" w:sz="0" w:space="0" w:color="auto"/>
                                        <w:bottom w:val="none" w:sz="0" w:space="0" w:color="auto"/>
                                        <w:right w:val="none" w:sz="0" w:space="0" w:color="auto"/>
                                      </w:divBdr>
                                      <w:divsChild>
                                        <w:div w:id="102849141">
                                          <w:marLeft w:val="0"/>
                                          <w:marRight w:val="0"/>
                                          <w:marTop w:val="0"/>
                                          <w:marBottom w:val="0"/>
                                          <w:divBdr>
                                            <w:top w:val="none" w:sz="0" w:space="0" w:color="auto"/>
                                            <w:left w:val="none" w:sz="0" w:space="0" w:color="auto"/>
                                            <w:bottom w:val="none" w:sz="0" w:space="0" w:color="auto"/>
                                            <w:right w:val="none" w:sz="0" w:space="0" w:color="auto"/>
                                          </w:divBdr>
                                          <w:divsChild>
                                            <w:div w:id="529731812">
                                              <w:marLeft w:val="0"/>
                                              <w:marRight w:val="0"/>
                                              <w:marTop w:val="0"/>
                                              <w:marBottom w:val="0"/>
                                              <w:divBdr>
                                                <w:top w:val="none" w:sz="0" w:space="0" w:color="auto"/>
                                                <w:left w:val="none" w:sz="0" w:space="0" w:color="auto"/>
                                                <w:bottom w:val="none" w:sz="0" w:space="0" w:color="auto"/>
                                                <w:right w:val="none" w:sz="0" w:space="0" w:color="auto"/>
                                              </w:divBdr>
                                              <w:divsChild>
                                                <w:div w:id="1735272668">
                                                  <w:marLeft w:val="0"/>
                                                  <w:marRight w:val="0"/>
                                                  <w:marTop w:val="0"/>
                                                  <w:marBottom w:val="0"/>
                                                  <w:divBdr>
                                                    <w:top w:val="none" w:sz="0" w:space="0" w:color="auto"/>
                                                    <w:left w:val="none" w:sz="0" w:space="0" w:color="auto"/>
                                                    <w:bottom w:val="none" w:sz="0" w:space="0" w:color="auto"/>
                                                    <w:right w:val="none" w:sz="0" w:space="0" w:color="auto"/>
                                                  </w:divBdr>
                                                  <w:divsChild>
                                                    <w:div w:id="1926724946">
                                                      <w:marLeft w:val="0"/>
                                                      <w:marRight w:val="0"/>
                                                      <w:marTop w:val="0"/>
                                                      <w:marBottom w:val="0"/>
                                                      <w:divBdr>
                                                        <w:top w:val="none" w:sz="0" w:space="0" w:color="auto"/>
                                                        <w:left w:val="none" w:sz="0" w:space="0" w:color="auto"/>
                                                        <w:bottom w:val="none" w:sz="0" w:space="0" w:color="auto"/>
                                                        <w:right w:val="none" w:sz="0" w:space="0" w:color="auto"/>
                                                      </w:divBdr>
                                                      <w:divsChild>
                                                        <w:div w:id="13176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3022038">
      <w:bodyDiv w:val="1"/>
      <w:marLeft w:val="0"/>
      <w:marRight w:val="0"/>
      <w:marTop w:val="0"/>
      <w:marBottom w:val="0"/>
      <w:divBdr>
        <w:top w:val="none" w:sz="0" w:space="0" w:color="auto"/>
        <w:left w:val="none" w:sz="0" w:space="0" w:color="auto"/>
        <w:bottom w:val="none" w:sz="0" w:space="0" w:color="auto"/>
        <w:right w:val="none" w:sz="0" w:space="0" w:color="auto"/>
      </w:divBdr>
      <w:divsChild>
        <w:div w:id="1706979544">
          <w:marLeft w:val="0"/>
          <w:marRight w:val="0"/>
          <w:marTop w:val="0"/>
          <w:marBottom w:val="0"/>
          <w:divBdr>
            <w:top w:val="none" w:sz="0" w:space="0" w:color="auto"/>
            <w:left w:val="none" w:sz="0" w:space="0" w:color="auto"/>
            <w:bottom w:val="none" w:sz="0" w:space="0" w:color="auto"/>
            <w:right w:val="none" w:sz="0" w:space="0" w:color="auto"/>
          </w:divBdr>
          <w:divsChild>
            <w:div w:id="1425885345">
              <w:marLeft w:val="0"/>
              <w:marRight w:val="0"/>
              <w:marTop w:val="0"/>
              <w:marBottom w:val="0"/>
              <w:divBdr>
                <w:top w:val="none" w:sz="0" w:space="0" w:color="auto"/>
                <w:left w:val="none" w:sz="0" w:space="0" w:color="auto"/>
                <w:bottom w:val="none" w:sz="0" w:space="0" w:color="auto"/>
                <w:right w:val="none" w:sz="0" w:space="0" w:color="auto"/>
              </w:divBdr>
              <w:divsChild>
                <w:div w:id="1199660087">
                  <w:marLeft w:val="0"/>
                  <w:marRight w:val="0"/>
                  <w:marTop w:val="0"/>
                  <w:marBottom w:val="0"/>
                  <w:divBdr>
                    <w:top w:val="none" w:sz="0" w:space="0" w:color="auto"/>
                    <w:left w:val="none" w:sz="0" w:space="0" w:color="auto"/>
                    <w:bottom w:val="none" w:sz="0" w:space="0" w:color="auto"/>
                    <w:right w:val="none" w:sz="0" w:space="0" w:color="auto"/>
                  </w:divBdr>
                  <w:divsChild>
                    <w:div w:id="1113595554">
                      <w:marLeft w:val="0"/>
                      <w:marRight w:val="0"/>
                      <w:marTop w:val="0"/>
                      <w:marBottom w:val="0"/>
                      <w:divBdr>
                        <w:top w:val="none" w:sz="0" w:space="0" w:color="auto"/>
                        <w:left w:val="none" w:sz="0" w:space="0" w:color="auto"/>
                        <w:bottom w:val="none" w:sz="0" w:space="0" w:color="auto"/>
                        <w:right w:val="none" w:sz="0" w:space="0" w:color="auto"/>
                      </w:divBdr>
                      <w:divsChild>
                        <w:div w:id="1989745434">
                          <w:marLeft w:val="0"/>
                          <w:marRight w:val="0"/>
                          <w:marTop w:val="0"/>
                          <w:marBottom w:val="0"/>
                          <w:divBdr>
                            <w:top w:val="none" w:sz="0" w:space="0" w:color="auto"/>
                            <w:left w:val="none" w:sz="0" w:space="0" w:color="auto"/>
                            <w:bottom w:val="none" w:sz="0" w:space="0" w:color="auto"/>
                            <w:right w:val="none" w:sz="0" w:space="0" w:color="auto"/>
                          </w:divBdr>
                          <w:divsChild>
                            <w:div w:id="563219493">
                              <w:marLeft w:val="0"/>
                              <w:marRight w:val="0"/>
                              <w:marTop w:val="0"/>
                              <w:marBottom w:val="0"/>
                              <w:divBdr>
                                <w:top w:val="single" w:sz="6" w:space="0" w:color="828282"/>
                                <w:left w:val="single" w:sz="6" w:space="0" w:color="828282"/>
                                <w:bottom w:val="single" w:sz="6" w:space="0" w:color="828282"/>
                                <w:right w:val="single" w:sz="6" w:space="0" w:color="828282"/>
                              </w:divBdr>
                              <w:divsChild>
                                <w:div w:id="1140994899">
                                  <w:marLeft w:val="0"/>
                                  <w:marRight w:val="0"/>
                                  <w:marTop w:val="0"/>
                                  <w:marBottom w:val="0"/>
                                  <w:divBdr>
                                    <w:top w:val="none" w:sz="0" w:space="0" w:color="auto"/>
                                    <w:left w:val="none" w:sz="0" w:space="0" w:color="auto"/>
                                    <w:bottom w:val="none" w:sz="0" w:space="0" w:color="auto"/>
                                    <w:right w:val="none" w:sz="0" w:space="0" w:color="auto"/>
                                  </w:divBdr>
                                  <w:divsChild>
                                    <w:div w:id="1224679768">
                                      <w:marLeft w:val="0"/>
                                      <w:marRight w:val="0"/>
                                      <w:marTop w:val="0"/>
                                      <w:marBottom w:val="0"/>
                                      <w:divBdr>
                                        <w:top w:val="none" w:sz="0" w:space="0" w:color="auto"/>
                                        <w:left w:val="none" w:sz="0" w:space="0" w:color="auto"/>
                                        <w:bottom w:val="none" w:sz="0" w:space="0" w:color="auto"/>
                                        <w:right w:val="none" w:sz="0" w:space="0" w:color="auto"/>
                                      </w:divBdr>
                                      <w:divsChild>
                                        <w:div w:id="1988319977">
                                          <w:marLeft w:val="0"/>
                                          <w:marRight w:val="0"/>
                                          <w:marTop w:val="0"/>
                                          <w:marBottom w:val="0"/>
                                          <w:divBdr>
                                            <w:top w:val="none" w:sz="0" w:space="0" w:color="auto"/>
                                            <w:left w:val="none" w:sz="0" w:space="0" w:color="auto"/>
                                            <w:bottom w:val="none" w:sz="0" w:space="0" w:color="auto"/>
                                            <w:right w:val="none" w:sz="0" w:space="0" w:color="auto"/>
                                          </w:divBdr>
                                          <w:divsChild>
                                            <w:div w:id="464858368">
                                              <w:marLeft w:val="0"/>
                                              <w:marRight w:val="0"/>
                                              <w:marTop w:val="0"/>
                                              <w:marBottom w:val="0"/>
                                              <w:divBdr>
                                                <w:top w:val="none" w:sz="0" w:space="0" w:color="auto"/>
                                                <w:left w:val="none" w:sz="0" w:space="0" w:color="auto"/>
                                                <w:bottom w:val="none" w:sz="0" w:space="0" w:color="auto"/>
                                                <w:right w:val="none" w:sz="0" w:space="0" w:color="auto"/>
                                              </w:divBdr>
                                              <w:divsChild>
                                                <w:div w:id="1779525927">
                                                  <w:marLeft w:val="0"/>
                                                  <w:marRight w:val="0"/>
                                                  <w:marTop w:val="0"/>
                                                  <w:marBottom w:val="0"/>
                                                  <w:divBdr>
                                                    <w:top w:val="none" w:sz="0" w:space="0" w:color="auto"/>
                                                    <w:left w:val="none" w:sz="0" w:space="0" w:color="auto"/>
                                                    <w:bottom w:val="none" w:sz="0" w:space="0" w:color="auto"/>
                                                    <w:right w:val="none" w:sz="0" w:space="0" w:color="auto"/>
                                                  </w:divBdr>
                                                  <w:divsChild>
                                                    <w:div w:id="1418677409">
                                                      <w:marLeft w:val="0"/>
                                                      <w:marRight w:val="0"/>
                                                      <w:marTop w:val="0"/>
                                                      <w:marBottom w:val="0"/>
                                                      <w:divBdr>
                                                        <w:top w:val="none" w:sz="0" w:space="0" w:color="auto"/>
                                                        <w:left w:val="none" w:sz="0" w:space="0" w:color="auto"/>
                                                        <w:bottom w:val="none" w:sz="0" w:space="0" w:color="auto"/>
                                                        <w:right w:val="none" w:sz="0" w:space="0" w:color="auto"/>
                                                      </w:divBdr>
                                                      <w:divsChild>
                                                        <w:div w:id="19499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793672970">
      <w:bodyDiv w:val="1"/>
      <w:marLeft w:val="0"/>
      <w:marRight w:val="0"/>
      <w:marTop w:val="0"/>
      <w:marBottom w:val="0"/>
      <w:divBdr>
        <w:top w:val="none" w:sz="0" w:space="0" w:color="auto"/>
        <w:left w:val="none" w:sz="0" w:space="0" w:color="auto"/>
        <w:bottom w:val="none" w:sz="0" w:space="0" w:color="auto"/>
        <w:right w:val="none" w:sz="0" w:space="0" w:color="auto"/>
      </w:divBdr>
    </w:div>
    <w:div w:id="182219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F4AFA-8932-4EDC-B028-068FF2051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2023</Words>
  <Characters>11535</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Ryan Damien</cp:lastModifiedBy>
  <cp:revision>2</cp:revision>
  <cp:lastPrinted>2016-04-12T01:27:00Z</cp:lastPrinted>
  <dcterms:created xsi:type="dcterms:W3CDTF">2016-05-03T01:29:00Z</dcterms:created>
  <dcterms:modified xsi:type="dcterms:W3CDTF">2016-05-03T01:29:00Z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