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862B" w14:textId="77777777" w:rsidR="004C3006" w:rsidRDefault="003529DE" w:rsidP="0077556E">
      <w:pPr>
        <w:tabs>
          <w:tab w:val="left" w:pos="900"/>
        </w:tabs>
      </w:pPr>
      <w:bookmarkStart w:id="0" w:name="_GoBack"/>
      <w:bookmarkEnd w:id="0"/>
    </w:p>
    <w:p w14:paraId="0A37862C" w14:textId="77777777" w:rsidR="00301539" w:rsidRDefault="003529DE" w:rsidP="0077556E">
      <w:pPr>
        <w:tabs>
          <w:tab w:val="left" w:pos="900"/>
        </w:tabs>
      </w:pPr>
    </w:p>
    <w:p w14:paraId="0A37862D" w14:textId="77777777" w:rsidR="00301539" w:rsidRPr="00301539" w:rsidRDefault="003529DE" w:rsidP="00F46E9F">
      <w:pPr>
        <w:tabs>
          <w:tab w:val="left" w:pos="900"/>
        </w:tabs>
        <w:jc w:val="center"/>
      </w:pPr>
      <w:r w:rsidRPr="00301539">
        <w:rPr>
          <w:b/>
          <w:sz w:val="40"/>
        </w:rPr>
        <w:t>Vehicle Standard (Australian Design Rule </w:t>
      </w:r>
      <w:r>
        <w:rPr>
          <w:b/>
          <w:sz w:val="40"/>
        </w:rPr>
        <w:t>– Definitions and Vehicle Categories</w:t>
      </w:r>
      <w:r w:rsidRPr="00F46E9F">
        <w:rPr>
          <w:b/>
          <w:sz w:val="40"/>
        </w:rPr>
        <w:t>) 200</w:t>
      </w:r>
      <w:r>
        <w:rPr>
          <w:b/>
          <w:sz w:val="40"/>
        </w:rPr>
        <w:t>5</w:t>
      </w:r>
      <w:r w:rsidRPr="00F46E9F">
        <w:rPr>
          <w:b/>
          <w:sz w:val="40"/>
        </w:rPr>
        <w:t xml:space="preserve"> Amendment </w:t>
      </w:r>
      <w:r>
        <w:rPr>
          <w:b/>
          <w:sz w:val="40"/>
        </w:rPr>
        <w:t>9</w:t>
      </w:r>
    </w:p>
    <w:p w14:paraId="0A37862E" w14:textId="77777777" w:rsidR="00301539" w:rsidRDefault="003529DE" w:rsidP="0077556E">
      <w:pPr>
        <w:tabs>
          <w:tab w:val="left" w:pos="900"/>
        </w:tabs>
      </w:pPr>
    </w:p>
    <w:p w14:paraId="0A37862F" w14:textId="77777777" w:rsidR="00301539" w:rsidRDefault="003529DE" w:rsidP="00301539">
      <w:pPr>
        <w:tabs>
          <w:tab w:val="left" w:pos="900"/>
        </w:tabs>
        <w:jc w:val="center"/>
      </w:pPr>
      <w:r>
        <w:t xml:space="preserve">Made under section 7 of the </w:t>
      </w:r>
      <w:r w:rsidRPr="00BC675B">
        <w:rPr>
          <w:i/>
        </w:rPr>
        <w:t>Motor Vehicle Standards Act 1989</w:t>
      </w:r>
    </w:p>
    <w:p w14:paraId="0A378630" w14:textId="77777777" w:rsidR="00301539" w:rsidRDefault="003529DE" w:rsidP="0077556E">
      <w:pPr>
        <w:tabs>
          <w:tab w:val="left" w:pos="900"/>
        </w:tabs>
      </w:pPr>
    </w:p>
    <w:p w14:paraId="0A378631" w14:textId="77777777" w:rsidR="00301539" w:rsidRDefault="003529DE" w:rsidP="0077556E">
      <w:pPr>
        <w:tabs>
          <w:tab w:val="left" w:pos="900"/>
        </w:tabs>
      </w:pPr>
    </w:p>
    <w:p w14:paraId="0A378632" w14:textId="77777777" w:rsidR="00301539" w:rsidRDefault="003529DE" w:rsidP="0077556E">
      <w:pPr>
        <w:tabs>
          <w:tab w:val="left" w:pos="900"/>
        </w:tabs>
      </w:pPr>
    </w:p>
    <w:p w14:paraId="0A378633" w14:textId="77777777" w:rsidR="00301539" w:rsidRDefault="003529DE" w:rsidP="0077556E">
      <w:pPr>
        <w:tabs>
          <w:tab w:val="left" w:pos="900"/>
        </w:tabs>
      </w:pPr>
    </w:p>
    <w:p w14:paraId="0A378634" w14:textId="77777777" w:rsidR="00301539" w:rsidRDefault="003529DE" w:rsidP="0077556E">
      <w:pPr>
        <w:tabs>
          <w:tab w:val="left" w:pos="900"/>
        </w:tabs>
      </w:pPr>
    </w:p>
    <w:p w14:paraId="0A378635" w14:textId="77777777" w:rsidR="00301539" w:rsidRDefault="003529DE" w:rsidP="00301539">
      <w:pPr>
        <w:pStyle w:val="ADRTitle"/>
        <w:tabs>
          <w:tab w:val="left" w:pos="900"/>
        </w:tabs>
        <w:jc w:val="center"/>
      </w:pPr>
      <w:r>
        <w:t>Explanatory Statement</w:t>
      </w:r>
    </w:p>
    <w:p w14:paraId="0A378636" w14:textId="77777777" w:rsidR="00301539" w:rsidRDefault="003529DE" w:rsidP="0077556E">
      <w:pPr>
        <w:tabs>
          <w:tab w:val="left" w:pos="900"/>
        </w:tabs>
      </w:pPr>
    </w:p>
    <w:p w14:paraId="0A378637" w14:textId="77777777" w:rsidR="00301539" w:rsidRDefault="003529DE" w:rsidP="0077556E">
      <w:pPr>
        <w:tabs>
          <w:tab w:val="left" w:pos="900"/>
        </w:tabs>
      </w:pPr>
    </w:p>
    <w:p w14:paraId="0A378638" w14:textId="77777777" w:rsidR="00301539" w:rsidRDefault="003529DE" w:rsidP="0077556E">
      <w:pPr>
        <w:tabs>
          <w:tab w:val="left" w:pos="900"/>
        </w:tabs>
      </w:pPr>
    </w:p>
    <w:p w14:paraId="0A378639" w14:textId="77777777" w:rsidR="00301539" w:rsidRDefault="003529DE" w:rsidP="0077556E">
      <w:pPr>
        <w:tabs>
          <w:tab w:val="left" w:pos="900"/>
        </w:tabs>
      </w:pPr>
    </w:p>
    <w:p w14:paraId="0A37863A" w14:textId="77777777" w:rsidR="00301539" w:rsidRDefault="003529DE" w:rsidP="0077556E">
      <w:pPr>
        <w:tabs>
          <w:tab w:val="left" w:pos="900"/>
        </w:tabs>
      </w:pPr>
    </w:p>
    <w:p w14:paraId="0A37863B" w14:textId="77777777" w:rsidR="00301539" w:rsidRDefault="003529DE" w:rsidP="0077556E">
      <w:pPr>
        <w:tabs>
          <w:tab w:val="left" w:pos="900"/>
        </w:tabs>
      </w:pPr>
    </w:p>
    <w:p w14:paraId="0A37863C" w14:textId="77777777" w:rsidR="00301539" w:rsidRDefault="003529DE" w:rsidP="0077556E">
      <w:pPr>
        <w:tabs>
          <w:tab w:val="left" w:pos="900"/>
        </w:tabs>
      </w:pPr>
    </w:p>
    <w:p w14:paraId="0A37863D" w14:textId="77777777" w:rsidR="00301539" w:rsidRDefault="003529DE" w:rsidP="00301539">
      <w:pPr>
        <w:tabs>
          <w:tab w:val="left" w:pos="900"/>
        </w:tabs>
        <w:jc w:val="center"/>
      </w:pPr>
      <w:r>
        <w:t xml:space="preserve">Issued by the authority of the Minister for Territories, </w:t>
      </w:r>
      <w:r>
        <w:t>Local Government and Major Projects</w:t>
      </w:r>
    </w:p>
    <w:p w14:paraId="0A37863E" w14:textId="77777777" w:rsidR="00301539" w:rsidRDefault="003529DE" w:rsidP="0077556E">
      <w:pPr>
        <w:tabs>
          <w:tab w:val="left" w:pos="900"/>
        </w:tabs>
      </w:pPr>
    </w:p>
    <w:p w14:paraId="0A37863F" w14:textId="77777777" w:rsidR="00301539" w:rsidRDefault="003529DE" w:rsidP="0077556E">
      <w:pPr>
        <w:tabs>
          <w:tab w:val="left" w:pos="900"/>
        </w:tabs>
      </w:pPr>
    </w:p>
    <w:p w14:paraId="0A378640" w14:textId="77777777" w:rsidR="00301539" w:rsidRDefault="003529DE" w:rsidP="0077556E">
      <w:pPr>
        <w:tabs>
          <w:tab w:val="left" w:pos="900"/>
        </w:tabs>
      </w:pPr>
    </w:p>
    <w:p w14:paraId="0A378641" w14:textId="77777777" w:rsidR="00301539" w:rsidRDefault="003529DE" w:rsidP="0077556E">
      <w:pPr>
        <w:tabs>
          <w:tab w:val="left" w:pos="900"/>
        </w:tabs>
      </w:pPr>
    </w:p>
    <w:p w14:paraId="0A378642" w14:textId="77777777" w:rsidR="00301539" w:rsidRDefault="003529DE" w:rsidP="0077556E">
      <w:pPr>
        <w:tabs>
          <w:tab w:val="left" w:pos="900"/>
        </w:tabs>
      </w:pPr>
    </w:p>
    <w:p w14:paraId="0A378643" w14:textId="77777777" w:rsidR="00301539" w:rsidRDefault="003529DE" w:rsidP="0077556E">
      <w:pPr>
        <w:tabs>
          <w:tab w:val="left" w:pos="900"/>
        </w:tabs>
      </w:pPr>
    </w:p>
    <w:p w14:paraId="0A378644" w14:textId="77777777" w:rsidR="00301539" w:rsidRPr="00301539" w:rsidRDefault="003529DE" w:rsidP="00301539">
      <w:pPr>
        <w:pStyle w:val="ADRTitle"/>
        <w:tabs>
          <w:tab w:val="left" w:pos="900"/>
        </w:tabs>
        <w:jc w:val="center"/>
      </w:pPr>
      <w:r>
        <w:t>April 2016</w:t>
      </w:r>
    </w:p>
    <w:p w14:paraId="0A378645" w14:textId="77777777" w:rsidR="006B6EA7" w:rsidRDefault="003529DE" w:rsidP="0077556E">
      <w:pPr>
        <w:tabs>
          <w:tab w:val="left" w:pos="900"/>
        </w:tabs>
      </w:pPr>
    </w:p>
    <w:p w14:paraId="0A378646" w14:textId="77777777" w:rsidR="006B6EA7" w:rsidRDefault="003529DE" w:rsidP="0077556E">
      <w:pPr>
        <w:tabs>
          <w:tab w:val="left" w:pos="900"/>
        </w:tabs>
      </w:pPr>
    </w:p>
    <w:p w14:paraId="0A378647" w14:textId="77777777" w:rsidR="0014782B" w:rsidRDefault="003529DE" w:rsidP="0077556E">
      <w:pPr>
        <w:tabs>
          <w:tab w:val="left" w:pos="900"/>
        </w:tabs>
        <w:sectPr w:rsidR="0014782B" w:rsidSect="00FB7720">
          <w:headerReference w:type="default" r:id="rId11"/>
          <w:footerReference w:type="default" r:id="rId12"/>
          <w:pgSz w:w="11906" w:h="16838"/>
          <w:pgMar w:top="1440" w:right="1701" w:bottom="1440" w:left="1701" w:header="709" w:footer="709" w:gutter="0"/>
          <w:cols w:space="708"/>
          <w:titlePg/>
          <w:docGrid w:linePitch="360"/>
        </w:sectPr>
      </w:pPr>
    </w:p>
    <w:p w14:paraId="0A378648" w14:textId="77777777" w:rsidR="00271DB8" w:rsidRDefault="003529DE" w:rsidP="00EF5654">
      <w:pPr>
        <w:tabs>
          <w:tab w:val="left" w:pos="900"/>
        </w:tabs>
        <w:jc w:val="center"/>
        <w:rPr>
          <w:b/>
        </w:rPr>
      </w:pPr>
    </w:p>
    <w:p w14:paraId="0A378649" w14:textId="77777777" w:rsidR="001028EA" w:rsidRDefault="003529DE" w:rsidP="00EF5654">
      <w:pPr>
        <w:tabs>
          <w:tab w:val="left" w:pos="900"/>
        </w:tabs>
        <w:jc w:val="center"/>
        <w:rPr>
          <w:b/>
        </w:rPr>
      </w:pPr>
      <w:r w:rsidRPr="00550132">
        <w:rPr>
          <w:b/>
        </w:rPr>
        <w:t>CONTENTS</w:t>
      </w:r>
    </w:p>
    <w:p w14:paraId="0A37864A" w14:textId="77777777" w:rsidR="002058AB" w:rsidRPr="00550132" w:rsidRDefault="003529DE" w:rsidP="0077556E">
      <w:pPr>
        <w:tabs>
          <w:tab w:val="left" w:pos="900"/>
        </w:tabs>
        <w:rPr>
          <w:b/>
        </w:rPr>
      </w:pPr>
    </w:p>
    <w:p w14:paraId="0A37864B" w14:textId="77777777" w:rsidR="00C024B9" w:rsidRDefault="003529DE">
      <w:pPr>
        <w:pStyle w:val="TOC1"/>
        <w:rPr>
          <w:rFonts w:asciiTheme="minorHAnsi" w:hAnsiTheme="minorHAnsi"/>
          <w:noProof/>
          <w:sz w:val="22"/>
        </w:rPr>
      </w:pPr>
      <w:r>
        <w:fldChar w:fldCharType="begin"/>
      </w:r>
      <w:r>
        <w:instrText xml:space="preserve"> TOC \o "1-2" \F \h \z </w:instrText>
      </w:r>
      <w:r>
        <w:fldChar w:fldCharType="separate"/>
      </w:r>
      <w:hyperlink w:anchor="_Toc256000077" w:history="1">
        <w:r>
          <w:rPr>
            <w:rStyle w:val="Hyperlink"/>
          </w:rPr>
          <w:t>1.</w:t>
        </w:r>
        <w:r>
          <w:rPr>
            <w:rStyle w:val="Hyperlink"/>
            <w:rFonts w:asciiTheme="minorHAnsi" w:hAnsiTheme="minorHAnsi"/>
            <w:noProof/>
            <w:sz w:val="22"/>
          </w:rPr>
          <w:tab/>
        </w:r>
        <w:r w:rsidRPr="000537E9">
          <w:rPr>
            <w:rStyle w:val="Hyperlink"/>
          </w:rPr>
          <w:t>legislative context</w:t>
        </w:r>
        <w:r>
          <w:rPr>
            <w:rStyle w:val="Hyperlink"/>
          </w:rPr>
          <w:tab/>
        </w:r>
        <w:r>
          <w:fldChar w:fldCharType="begin"/>
        </w:r>
        <w:r>
          <w:rPr>
            <w:rStyle w:val="Hyperlink"/>
          </w:rPr>
          <w:instrText xml:space="preserve"> PAGEREF _Toc256000077 \h </w:instrText>
        </w:r>
        <w:r>
          <w:fldChar w:fldCharType="separate"/>
        </w:r>
        <w:r>
          <w:rPr>
            <w:rStyle w:val="Hyperlink"/>
          </w:rPr>
          <w:t>3</w:t>
        </w:r>
        <w:r>
          <w:fldChar w:fldCharType="end"/>
        </w:r>
      </w:hyperlink>
    </w:p>
    <w:p w14:paraId="0A37864C" w14:textId="77777777" w:rsidR="00C024B9" w:rsidRDefault="003529DE">
      <w:pPr>
        <w:pStyle w:val="TOC1"/>
        <w:rPr>
          <w:rFonts w:asciiTheme="minorHAnsi" w:hAnsiTheme="minorHAnsi"/>
          <w:noProof/>
          <w:sz w:val="22"/>
        </w:rPr>
      </w:pPr>
      <w:hyperlink w:anchor="_Toc256000078" w:history="1">
        <w:r>
          <w:rPr>
            <w:rStyle w:val="Hyperlink"/>
          </w:rPr>
          <w:t>2.</w:t>
        </w:r>
        <w:r>
          <w:rPr>
            <w:rStyle w:val="Hyperlink"/>
            <w:rFonts w:asciiTheme="minorHAnsi" w:hAnsiTheme="minorHAnsi"/>
            <w:noProof/>
            <w:sz w:val="22"/>
          </w:rPr>
          <w:tab/>
        </w:r>
        <w:r w:rsidRPr="005451D4">
          <w:rPr>
            <w:rStyle w:val="Hyperlink"/>
          </w:rPr>
          <w:t xml:space="preserve">content and effect of ADR </w:t>
        </w:r>
        <w:r>
          <w:rPr>
            <w:rStyle w:val="Hyperlink"/>
          </w:rPr>
          <w:t xml:space="preserve">– </w:t>
        </w:r>
        <w:r w:rsidRPr="000973B6">
          <w:rPr>
            <w:rStyle w:val="Hyperlink"/>
          </w:rPr>
          <w:t>DEFINITIONS AND VEHICLE CATEGORIES AND AMENDMENTS</w:t>
        </w:r>
        <w:r>
          <w:rPr>
            <w:rStyle w:val="Hyperlink"/>
          </w:rPr>
          <w:tab/>
        </w:r>
        <w:r>
          <w:fldChar w:fldCharType="begin"/>
        </w:r>
        <w:r>
          <w:rPr>
            <w:rStyle w:val="Hyperlink"/>
          </w:rPr>
          <w:instrText xml:space="preserve"> PAGEREF _Toc256000078 \h </w:instrText>
        </w:r>
        <w:r>
          <w:fldChar w:fldCharType="separate"/>
        </w:r>
        <w:r>
          <w:rPr>
            <w:rStyle w:val="Hyperlink"/>
          </w:rPr>
          <w:t>3</w:t>
        </w:r>
        <w:r>
          <w:fldChar w:fldCharType="end"/>
        </w:r>
      </w:hyperlink>
    </w:p>
    <w:p w14:paraId="0A37864D" w14:textId="77777777" w:rsidR="00C024B9" w:rsidRDefault="003529DE">
      <w:pPr>
        <w:pStyle w:val="TOC2"/>
        <w:tabs>
          <w:tab w:val="left" w:pos="880"/>
          <w:tab w:val="right" w:leader="dot" w:pos="8494"/>
        </w:tabs>
        <w:rPr>
          <w:rFonts w:asciiTheme="minorHAnsi" w:hAnsiTheme="minorHAnsi"/>
          <w:noProof/>
          <w:sz w:val="22"/>
        </w:rPr>
      </w:pPr>
      <w:hyperlink w:anchor="_Toc256000079" w:history="1">
        <w:r>
          <w:rPr>
            <w:rStyle w:val="Hyperlink"/>
          </w:rPr>
          <w:t>2.1.</w:t>
        </w:r>
        <w:r>
          <w:rPr>
            <w:rStyle w:val="Hyperlink"/>
            <w:rFonts w:asciiTheme="minorHAnsi" w:hAnsiTheme="minorHAnsi"/>
            <w:noProof/>
            <w:sz w:val="22"/>
          </w:rPr>
          <w:tab/>
        </w:r>
        <w:r w:rsidRPr="005451D4">
          <w:rPr>
            <w:rStyle w:val="Hyperlink"/>
          </w:rPr>
          <w:t>Overview of the ADR</w:t>
        </w:r>
        <w:r>
          <w:rPr>
            <w:rStyle w:val="Hyperlink"/>
          </w:rPr>
          <w:tab/>
        </w:r>
        <w:r>
          <w:fldChar w:fldCharType="begin"/>
        </w:r>
        <w:r>
          <w:rPr>
            <w:rStyle w:val="Hyperlink"/>
          </w:rPr>
          <w:instrText xml:space="preserve"> PAGEREF _Toc256000079 \h </w:instrText>
        </w:r>
        <w:r>
          <w:fldChar w:fldCharType="separate"/>
        </w:r>
        <w:r>
          <w:rPr>
            <w:rStyle w:val="Hyperlink"/>
          </w:rPr>
          <w:t>3</w:t>
        </w:r>
        <w:r>
          <w:fldChar w:fldCharType="end"/>
        </w:r>
      </w:hyperlink>
    </w:p>
    <w:p w14:paraId="0A37864E" w14:textId="77777777" w:rsidR="00C024B9" w:rsidRDefault="003529DE">
      <w:pPr>
        <w:pStyle w:val="TOC2"/>
        <w:tabs>
          <w:tab w:val="left" w:pos="880"/>
          <w:tab w:val="right" w:leader="dot" w:pos="8494"/>
        </w:tabs>
        <w:rPr>
          <w:rFonts w:asciiTheme="minorHAnsi" w:hAnsiTheme="minorHAnsi"/>
          <w:noProof/>
          <w:sz w:val="22"/>
        </w:rPr>
      </w:pPr>
      <w:hyperlink w:anchor="_Toc256000080" w:history="1">
        <w:r>
          <w:rPr>
            <w:rStyle w:val="Hyperlink"/>
          </w:rPr>
          <w:t>2.2.</w:t>
        </w:r>
        <w:r>
          <w:rPr>
            <w:rStyle w:val="Hyperlink"/>
            <w:rFonts w:asciiTheme="minorHAnsi" w:hAnsiTheme="minorHAnsi"/>
            <w:noProof/>
            <w:sz w:val="22"/>
          </w:rPr>
          <w:tab/>
        </w:r>
        <w:r w:rsidRPr="005451D4">
          <w:rPr>
            <w:rStyle w:val="Hyperlink"/>
          </w:rPr>
          <w:t>Effect of the ADR Amendment</w:t>
        </w:r>
        <w:r>
          <w:rPr>
            <w:rStyle w:val="Hyperlink"/>
          </w:rPr>
          <w:tab/>
        </w:r>
        <w:r>
          <w:fldChar w:fldCharType="begin"/>
        </w:r>
        <w:r>
          <w:rPr>
            <w:rStyle w:val="Hyperlink"/>
          </w:rPr>
          <w:instrText xml:space="preserve"> PAGEREF _Toc2560</w:instrText>
        </w:r>
        <w:r>
          <w:rPr>
            <w:rStyle w:val="Hyperlink"/>
          </w:rPr>
          <w:instrText xml:space="preserve">00080 \h </w:instrText>
        </w:r>
        <w:r>
          <w:fldChar w:fldCharType="separate"/>
        </w:r>
        <w:r>
          <w:rPr>
            <w:rStyle w:val="Hyperlink"/>
          </w:rPr>
          <w:t>3</w:t>
        </w:r>
        <w:r>
          <w:fldChar w:fldCharType="end"/>
        </w:r>
      </w:hyperlink>
    </w:p>
    <w:p w14:paraId="0A37864F" w14:textId="77777777" w:rsidR="00C024B9" w:rsidRDefault="003529DE">
      <w:pPr>
        <w:pStyle w:val="TOC1"/>
        <w:rPr>
          <w:rFonts w:asciiTheme="minorHAnsi" w:hAnsiTheme="minorHAnsi"/>
          <w:noProof/>
          <w:sz w:val="22"/>
        </w:rPr>
      </w:pPr>
      <w:hyperlink w:anchor="_Toc256000081" w:history="1">
        <w:r>
          <w:rPr>
            <w:rStyle w:val="Hyperlink"/>
          </w:rPr>
          <w:t>3.</w:t>
        </w:r>
        <w:r>
          <w:rPr>
            <w:rStyle w:val="Hyperlink"/>
            <w:rFonts w:asciiTheme="minorHAnsi" w:hAnsiTheme="minorHAnsi"/>
            <w:noProof/>
            <w:sz w:val="22"/>
          </w:rPr>
          <w:tab/>
        </w:r>
        <w:r>
          <w:rPr>
            <w:rStyle w:val="Hyperlink"/>
          </w:rPr>
          <w:t>BEST PRACTICE REGULATION</w:t>
        </w:r>
        <w:r>
          <w:rPr>
            <w:rStyle w:val="Hyperlink"/>
          </w:rPr>
          <w:tab/>
        </w:r>
        <w:r>
          <w:fldChar w:fldCharType="begin"/>
        </w:r>
        <w:r>
          <w:rPr>
            <w:rStyle w:val="Hyperlink"/>
          </w:rPr>
          <w:instrText xml:space="preserve"> PAGEREF _Toc256000081 \h </w:instrText>
        </w:r>
        <w:r>
          <w:fldChar w:fldCharType="separate"/>
        </w:r>
        <w:r>
          <w:rPr>
            <w:rStyle w:val="Hyperlink"/>
          </w:rPr>
          <w:t>3</w:t>
        </w:r>
        <w:r>
          <w:fldChar w:fldCharType="end"/>
        </w:r>
      </w:hyperlink>
    </w:p>
    <w:p w14:paraId="0A378650" w14:textId="77777777" w:rsidR="00C024B9" w:rsidRDefault="003529DE">
      <w:pPr>
        <w:pStyle w:val="TOC2"/>
        <w:tabs>
          <w:tab w:val="left" w:pos="880"/>
          <w:tab w:val="right" w:leader="dot" w:pos="8494"/>
        </w:tabs>
        <w:rPr>
          <w:rFonts w:asciiTheme="minorHAnsi" w:hAnsiTheme="minorHAnsi"/>
          <w:noProof/>
          <w:sz w:val="22"/>
        </w:rPr>
      </w:pPr>
      <w:hyperlink w:anchor="_Toc256000082" w:history="1">
        <w:r>
          <w:rPr>
            <w:rStyle w:val="Hyperlink"/>
          </w:rPr>
          <w:t>3.1.</w:t>
        </w:r>
        <w:r>
          <w:rPr>
            <w:rStyle w:val="Hyperlink"/>
            <w:rFonts w:asciiTheme="minorHAnsi" w:hAnsiTheme="minorHAnsi"/>
            <w:noProof/>
            <w:sz w:val="22"/>
          </w:rPr>
          <w:tab/>
        </w:r>
        <w:r w:rsidRPr="008670A3">
          <w:rPr>
            <w:rStyle w:val="Hyperlink"/>
          </w:rPr>
          <w:t>Business Cost Calculator</w:t>
        </w:r>
        <w:r>
          <w:rPr>
            <w:rStyle w:val="Hyperlink"/>
          </w:rPr>
          <w:tab/>
        </w:r>
        <w:r>
          <w:fldChar w:fldCharType="begin"/>
        </w:r>
        <w:r>
          <w:rPr>
            <w:rStyle w:val="Hyperlink"/>
          </w:rPr>
          <w:instrText xml:space="preserve"> PAGEREF _Toc256000082 \h </w:instrText>
        </w:r>
        <w:r>
          <w:fldChar w:fldCharType="separate"/>
        </w:r>
        <w:r>
          <w:rPr>
            <w:rStyle w:val="Hyperlink"/>
          </w:rPr>
          <w:t>3</w:t>
        </w:r>
        <w:r>
          <w:fldChar w:fldCharType="end"/>
        </w:r>
      </w:hyperlink>
    </w:p>
    <w:p w14:paraId="0A378651" w14:textId="77777777" w:rsidR="00C024B9" w:rsidRDefault="003529DE">
      <w:pPr>
        <w:pStyle w:val="TOC2"/>
        <w:tabs>
          <w:tab w:val="left" w:pos="880"/>
          <w:tab w:val="right" w:leader="dot" w:pos="8494"/>
        </w:tabs>
        <w:rPr>
          <w:rFonts w:asciiTheme="minorHAnsi" w:hAnsiTheme="minorHAnsi"/>
          <w:noProof/>
          <w:sz w:val="22"/>
        </w:rPr>
      </w:pPr>
      <w:hyperlink w:anchor="_Toc256000083" w:history="1">
        <w:r>
          <w:rPr>
            <w:rStyle w:val="Hyperlink"/>
          </w:rPr>
          <w:t>3.2.</w:t>
        </w:r>
        <w:r>
          <w:rPr>
            <w:rStyle w:val="Hyperlink"/>
            <w:rFonts w:asciiTheme="minorHAnsi" w:hAnsiTheme="minorHAnsi"/>
            <w:noProof/>
            <w:sz w:val="22"/>
          </w:rPr>
          <w:tab/>
        </w:r>
        <w:r w:rsidRPr="00933AA9">
          <w:rPr>
            <w:rStyle w:val="Hyperlink"/>
          </w:rPr>
          <w:t>General Consultation Arrangements</w:t>
        </w:r>
        <w:r>
          <w:rPr>
            <w:rStyle w:val="Hyperlink"/>
          </w:rPr>
          <w:tab/>
        </w:r>
        <w:r>
          <w:fldChar w:fldCharType="begin"/>
        </w:r>
        <w:r>
          <w:rPr>
            <w:rStyle w:val="Hyperlink"/>
          </w:rPr>
          <w:instrText xml:space="preserve"> PAGEREF _Toc256000083 \h </w:instrText>
        </w:r>
        <w:r>
          <w:fldChar w:fldCharType="separate"/>
        </w:r>
        <w:r>
          <w:rPr>
            <w:rStyle w:val="Hyperlink"/>
          </w:rPr>
          <w:t>3</w:t>
        </w:r>
        <w:r>
          <w:fldChar w:fldCharType="end"/>
        </w:r>
      </w:hyperlink>
    </w:p>
    <w:p w14:paraId="0A378652" w14:textId="77777777" w:rsidR="00C024B9" w:rsidRDefault="003529DE">
      <w:pPr>
        <w:pStyle w:val="TOC2"/>
        <w:tabs>
          <w:tab w:val="left" w:pos="880"/>
          <w:tab w:val="right" w:leader="dot" w:pos="8494"/>
        </w:tabs>
        <w:rPr>
          <w:rFonts w:asciiTheme="minorHAnsi" w:hAnsiTheme="minorHAnsi"/>
          <w:noProof/>
          <w:sz w:val="22"/>
        </w:rPr>
      </w:pPr>
      <w:hyperlink w:anchor="_Toc256000084" w:history="1">
        <w:r>
          <w:rPr>
            <w:rStyle w:val="Hyperlink"/>
          </w:rPr>
          <w:t>3.3.</w:t>
        </w:r>
        <w:r>
          <w:rPr>
            <w:rStyle w:val="Hyperlink"/>
            <w:rFonts w:asciiTheme="minorHAnsi" w:hAnsiTheme="minorHAnsi"/>
            <w:noProof/>
            <w:sz w:val="22"/>
          </w:rPr>
          <w:tab/>
        </w:r>
        <w:r>
          <w:rPr>
            <w:rStyle w:val="Hyperlink"/>
          </w:rPr>
          <w:t>Specific Consultation Arrangements for this Vehicle Standard</w:t>
        </w:r>
        <w:r>
          <w:rPr>
            <w:rStyle w:val="Hyperlink"/>
          </w:rPr>
          <w:tab/>
        </w:r>
        <w:r>
          <w:fldChar w:fldCharType="begin"/>
        </w:r>
        <w:r>
          <w:rPr>
            <w:rStyle w:val="Hyperlink"/>
          </w:rPr>
          <w:instrText xml:space="preserve"> PAGEREF _Toc256000084 \h </w:instrText>
        </w:r>
        <w:r>
          <w:fldChar w:fldCharType="separate"/>
        </w:r>
        <w:r>
          <w:rPr>
            <w:rStyle w:val="Hyperlink"/>
          </w:rPr>
          <w:t>5</w:t>
        </w:r>
        <w:r>
          <w:fldChar w:fldCharType="end"/>
        </w:r>
      </w:hyperlink>
    </w:p>
    <w:p w14:paraId="0A378653" w14:textId="77777777" w:rsidR="00C024B9" w:rsidRDefault="003529DE">
      <w:pPr>
        <w:pStyle w:val="TOC2"/>
        <w:tabs>
          <w:tab w:val="left" w:pos="880"/>
          <w:tab w:val="right" w:leader="dot" w:pos="8494"/>
        </w:tabs>
        <w:rPr>
          <w:rFonts w:asciiTheme="minorHAnsi" w:hAnsiTheme="minorHAnsi"/>
          <w:noProof/>
          <w:sz w:val="22"/>
        </w:rPr>
      </w:pPr>
      <w:hyperlink w:anchor="_Toc256000085" w:history="1">
        <w:r>
          <w:rPr>
            <w:rStyle w:val="Hyperlink"/>
          </w:rPr>
          <w:t>3.4.</w:t>
        </w:r>
        <w:r>
          <w:rPr>
            <w:rStyle w:val="Hyperlink"/>
            <w:rFonts w:asciiTheme="minorHAnsi" w:hAnsiTheme="minorHAnsi"/>
            <w:noProof/>
            <w:sz w:val="22"/>
          </w:rPr>
          <w:tab/>
        </w:r>
        <w:r>
          <w:rPr>
            <w:rStyle w:val="Hyperlink"/>
          </w:rPr>
          <w:t>Regulation Impact Statement</w:t>
        </w:r>
        <w:r>
          <w:rPr>
            <w:rStyle w:val="Hyperlink"/>
          </w:rPr>
          <w:tab/>
        </w:r>
        <w:r>
          <w:fldChar w:fldCharType="begin"/>
        </w:r>
        <w:r>
          <w:rPr>
            <w:rStyle w:val="Hyperlink"/>
          </w:rPr>
          <w:instrText xml:space="preserve"> PAGEREF _Toc256000085 \h </w:instrText>
        </w:r>
        <w:r>
          <w:fldChar w:fldCharType="separate"/>
        </w:r>
        <w:r>
          <w:rPr>
            <w:rStyle w:val="Hyperlink"/>
          </w:rPr>
          <w:t>5</w:t>
        </w:r>
        <w:r>
          <w:fldChar w:fldCharType="end"/>
        </w:r>
      </w:hyperlink>
    </w:p>
    <w:p w14:paraId="0A378654" w14:textId="77777777" w:rsidR="00C024B9" w:rsidRDefault="003529DE">
      <w:pPr>
        <w:pStyle w:val="TOC1"/>
        <w:rPr>
          <w:rFonts w:asciiTheme="minorHAnsi" w:hAnsiTheme="minorHAnsi"/>
          <w:noProof/>
          <w:sz w:val="22"/>
        </w:rPr>
      </w:pPr>
      <w:hyperlink w:anchor="_Toc256000086" w:history="1">
        <w:r>
          <w:rPr>
            <w:rStyle w:val="Hyperlink"/>
          </w:rPr>
          <w:t>4.</w:t>
        </w:r>
        <w:r>
          <w:rPr>
            <w:rStyle w:val="Hyperlink"/>
            <w:rFonts w:asciiTheme="minorHAnsi" w:hAnsiTheme="minorHAnsi"/>
            <w:noProof/>
            <w:sz w:val="22"/>
          </w:rPr>
          <w:tab/>
        </w:r>
        <w:r w:rsidRPr="00CA7971">
          <w:rPr>
            <w:rStyle w:val="Hyperlink"/>
          </w:rPr>
          <w:t>STATEMENT OF COMPATIBILITY WITH HUMAN RIGHTS</w:t>
        </w:r>
        <w:r>
          <w:rPr>
            <w:rStyle w:val="Hyperlink"/>
          </w:rPr>
          <w:tab/>
        </w:r>
        <w:r>
          <w:fldChar w:fldCharType="begin"/>
        </w:r>
        <w:r>
          <w:rPr>
            <w:rStyle w:val="Hyperlink"/>
          </w:rPr>
          <w:instrText xml:space="preserve"> PAGEREF _Toc256000086 \h </w:instrText>
        </w:r>
        <w:r>
          <w:fldChar w:fldCharType="separate"/>
        </w:r>
        <w:r>
          <w:rPr>
            <w:rStyle w:val="Hyperlink"/>
          </w:rPr>
          <w:t>5</w:t>
        </w:r>
        <w:r>
          <w:fldChar w:fldCharType="end"/>
        </w:r>
      </w:hyperlink>
    </w:p>
    <w:p w14:paraId="0A378655" w14:textId="77777777" w:rsidR="00C024B9" w:rsidRDefault="003529DE">
      <w:pPr>
        <w:pStyle w:val="TOC2"/>
        <w:tabs>
          <w:tab w:val="left" w:pos="880"/>
          <w:tab w:val="right" w:leader="dot" w:pos="8494"/>
        </w:tabs>
        <w:rPr>
          <w:rFonts w:asciiTheme="minorHAnsi" w:hAnsiTheme="minorHAnsi"/>
          <w:noProof/>
          <w:sz w:val="22"/>
        </w:rPr>
      </w:pPr>
      <w:hyperlink w:anchor="_Toc256000087" w:history="1">
        <w:r>
          <w:rPr>
            <w:rStyle w:val="Hyperlink"/>
          </w:rPr>
          <w:t>4.1.</w:t>
        </w:r>
        <w:r>
          <w:rPr>
            <w:rStyle w:val="Hyperlink"/>
            <w:rFonts w:asciiTheme="minorHAnsi" w:hAnsiTheme="minorHAnsi"/>
            <w:noProof/>
            <w:sz w:val="22"/>
          </w:rPr>
          <w:tab/>
        </w:r>
        <w:r w:rsidRPr="00CA7971">
          <w:rPr>
            <w:rStyle w:val="Hyperlink"/>
          </w:rPr>
          <w:t>Overview of the Legislative Instrument</w:t>
        </w:r>
        <w:r>
          <w:rPr>
            <w:rStyle w:val="Hyperlink"/>
          </w:rPr>
          <w:tab/>
        </w:r>
        <w:r>
          <w:fldChar w:fldCharType="begin"/>
        </w:r>
        <w:r>
          <w:rPr>
            <w:rStyle w:val="Hyperlink"/>
          </w:rPr>
          <w:instrText xml:space="preserve"> PAGEREF _Toc256000087 \h </w:instrText>
        </w:r>
        <w:r>
          <w:fldChar w:fldCharType="separate"/>
        </w:r>
        <w:r>
          <w:rPr>
            <w:rStyle w:val="Hyperlink"/>
          </w:rPr>
          <w:t>5</w:t>
        </w:r>
        <w:r>
          <w:fldChar w:fldCharType="end"/>
        </w:r>
      </w:hyperlink>
    </w:p>
    <w:p w14:paraId="0A378656" w14:textId="77777777" w:rsidR="00C024B9" w:rsidRDefault="003529DE">
      <w:pPr>
        <w:pStyle w:val="TOC2"/>
        <w:tabs>
          <w:tab w:val="left" w:pos="880"/>
          <w:tab w:val="right" w:leader="dot" w:pos="8494"/>
        </w:tabs>
        <w:rPr>
          <w:rFonts w:asciiTheme="minorHAnsi" w:hAnsiTheme="minorHAnsi"/>
          <w:noProof/>
          <w:sz w:val="22"/>
        </w:rPr>
      </w:pPr>
      <w:hyperlink w:anchor="_Toc256000088" w:history="1">
        <w:r>
          <w:rPr>
            <w:rStyle w:val="Hyperlink"/>
          </w:rPr>
          <w:t>4.2.</w:t>
        </w:r>
        <w:r>
          <w:rPr>
            <w:rStyle w:val="Hyperlink"/>
            <w:rFonts w:asciiTheme="minorHAnsi" w:hAnsiTheme="minorHAnsi"/>
            <w:noProof/>
            <w:sz w:val="22"/>
          </w:rPr>
          <w:tab/>
        </w:r>
        <w:r w:rsidRPr="00CA7971">
          <w:rPr>
            <w:rStyle w:val="Hyperlink"/>
          </w:rPr>
          <w:t>Human Rights Implications</w:t>
        </w:r>
        <w:r>
          <w:rPr>
            <w:rStyle w:val="Hyperlink"/>
          </w:rPr>
          <w:tab/>
        </w:r>
        <w:r>
          <w:fldChar w:fldCharType="begin"/>
        </w:r>
        <w:r>
          <w:rPr>
            <w:rStyle w:val="Hyperlink"/>
          </w:rPr>
          <w:instrText xml:space="preserve"> PAGEREF _Toc256000088 \h </w:instrText>
        </w:r>
        <w:r>
          <w:fldChar w:fldCharType="separate"/>
        </w:r>
        <w:r>
          <w:rPr>
            <w:rStyle w:val="Hyperlink"/>
          </w:rPr>
          <w:t>5</w:t>
        </w:r>
        <w:r>
          <w:fldChar w:fldCharType="end"/>
        </w:r>
      </w:hyperlink>
    </w:p>
    <w:p w14:paraId="0A378657" w14:textId="77777777" w:rsidR="00C024B9" w:rsidRDefault="003529DE">
      <w:pPr>
        <w:pStyle w:val="TOC2"/>
        <w:tabs>
          <w:tab w:val="left" w:pos="880"/>
          <w:tab w:val="right" w:leader="dot" w:pos="8494"/>
        </w:tabs>
        <w:rPr>
          <w:rFonts w:asciiTheme="minorHAnsi" w:hAnsiTheme="minorHAnsi"/>
          <w:noProof/>
          <w:sz w:val="22"/>
        </w:rPr>
      </w:pPr>
      <w:hyperlink w:anchor="_Toc256000089" w:history="1">
        <w:r>
          <w:rPr>
            <w:rStyle w:val="Hyperlink"/>
          </w:rPr>
          <w:t>4.3.</w:t>
        </w:r>
        <w:r>
          <w:rPr>
            <w:rStyle w:val="Hyperlink"/>
            <w:rFonts w:asciiTheme="minorHAnsi" w:hAnsiTheme="minorHAnsi"/>
            <w:noProof/>
            <w:sz w:val="22"/>
          </w:rPr>
          <w:tab/>
        </w:r>
        <w:r w:rsidRPr="00CA7971">
          <w:rPr>
            <w:rStyle w:val="Hyperlink"/>
          </w:rPr>
          <w:t>Conclusion</w:t>
        </w:r>
        <w:r>
          <w:rPr>
            <w:rStyle w:val="Hyperlink"/>
          </w:rPr>
          <w:tab/>
        </w:r>
        <w:r>
          <w:fldChar w:fldCharType="begin"/>
        </w:r>
        <w:r>
          <w:rPr>
            <w:rStyle w:val="Hyperlink"/>
          </w:rPr>
          <w:instrText xml:space="preserve"> PAGEREF _Toc256000089 \h </w:instrText>
        </w:r>
        <w:r>
          <w:fldChar w:fldCharType="separate"/>
        </w:r>
        <w:r>
          <w:rPr>
            <w:rStyle w:val="Hyperlink"/>
          </w:rPr>
          <w:t>5</w:t>
        </w:r>
        <w:r>
          <w:fldChar w:fldCharType="end"/>
        </w:r>
      </w:hyperlink>
    </w:p>
    <w:p w14:paraId="0A378658" w14:textId="77777777" w:rsidR="00C024B9" w:rsidRDefault="003529DE" w:rsidP="0077556E">
      <w:pPr>
        <w:tabs>
          <w:tab w:val="left" w:pos="900"/>
        </w:tabs>
      </w:pPr>
      <w:r>
        <w:fldChar w:fldCharType="end"/>
      </w:r>
    </w:p>
    <w:p w14:paraId="0A378659" w14:textId="77777777" w:rsidR="008F5656" w:rsidRPr="000537E9" w:rsidRDefault="003529DE" w:rsidP="002D2D87">
      <w:pPr>
        <w:pStyle w:val="Heading1"/>
      </w:pPr>
      <w:r>
        <w:br w:type="page"/>
      </w:r>
      <w:bookmarkStart w:id="1" w:name="_Toc256000077"/>
      <w:bookmarkStart w:id="2" w:name="_Toc256000064"/>
      <w:bookmarkStart w:id="3" w:name="_Toc256000052"/>
      <w:bookmarkStart w:id="4" w:name="_Toc256000039"/>
      <w:bookmarkStart w:id="5" w:name="_Toc256000026"/>
      <w:bookmarkStart w:id="6" w:name="_Toc256000004"/>
      <w:bookmarkStart w:id="7" w:name="_Toc256000000"/>
      <w:bookmarkStart w:id="8" w:name="_Toc427841513"/>
      <w:bookmarkStart w:id="9" w:name="_Toc438116622"/>
      <w:bookmarkStart w:id="10" w:name="_Toc447629190"/>
      <w:bookmarkStart w:id="11" w:name="_Toc447868494"/>
      <w:bookmarkStart w:id="12" w:name="_Toc447879578"/>
      <w:r w:rsidRPr="000537E9">
        <w:lastRenderedPageBreak/>
        <w:t>legislative context</w:t>
      </w:r>
      <w:bookmarkEnd w:id="1"/>
      <w:bookmarkEnd w:id="2"/>
      <w:bookmarkEnd w:id="3"/>
      <w:bookmarkEnd w:id="4"/>
      <w:bookmarkEnd w:id="5"/>
      <w:bookmarkEnd w:id="6"/>
      <w:bookmarkEnd w:id="7"/>
      <w:bookmarkEnd w:id="8"/>
      <w:bookmarkEnd w:id="9"/>
      <w:bookmarkEnd w:id="10"/>
      <w:bookmarkEnd w:id="11"/>
      <w:bookmarkEnd w:id="12"/>
    </w:p>
    <w:p w14:paraId="0A37865A" w14:textId="77777777" w:rsidR="003C5E51" w:rsidRPr="00061FBE" w:rsidRDefault="003529DE" w:rsidP="00A01A9E">
      <w:pPr>
        <w:spacing w:after="240"/>
        <w:rPr>
          <w:rFonts w:cs="Arial"/>
          <w:i/>
        </w:rPr>
      </w:pPr>
      <w:r w:rsidRPr="00061FBE">
        <w:rPr>
          <w:rFonts w:cs="Arial"/>
        </w:rPr>
        <w:t xml:space="preserve">Vehicle Standard (Australian Design Rule </w:t>
      </w:r>
      <w:r>
        <w:rPr>
          <w:rFonts w:cs="Arial"/>
        </w:rPr>
        <w:t>– Definitions and Vehicle Categories</w:t>
      </w:r>
      <w:r w:rsidRPr="00F46E9F">
        <w:rPr>
          <w:rFonts w:cs="Arial"/>
        </w:rPr>
        <w:t>) 200</w:t>
      </w:r>
      <w:r>
        <w:rPr>
          <w:rFonts w:cs="Arial"/>
        </w:rPr>
        <w:t>5</w:t>
      </w:r>
      <w:r w:rsidRPr="00F46E9F">
        <w:rPr>
          <w:rFonts w:cs="Arial"/>
        </w:rPr>
        <w:t xml:space="preserve"> Amendment </w:t>
      </w:r>
      <w:r>
        <w:rPr>
          <w:rFonts w:cs="Arial"/>
        </w:rPr>
        <w:t xml:space="preserve">9 </w:t>
      </w:r>
      <w:r w:rsidRPr="00B40D68">
        <w:rPr>
          <w:rFonts w:cs="Arial"/>
        </w:rPr>
        <w:t>is</w:t>
      </w:r>
      <w:r w:rsidRPr="00061FBE">
        <w:rPr>
          <w:rFonts w:cs="Arial"/>
        </w:rPr>
        <w:t xml:space="preserve"> made under the </w:t>
      </w:r>
      <w:r w:rsidRPr="00061FBE">
        <w:rPr>
          <w:rFonts w:cs="Arial"/>
          <w:i/>
        </w:rPr>
        <w:t>Motor Vehicle Standards Act 1989</w:t>
      </w:r>
      <w:r w:rsidRPr="00061FBE">
        <w:rPr>
          <w:rFonts w:cs="Arial"/>
        </w:rPr>
        <w:t xml:space="preserve"> (the Act).  The Act enables the Australian Government to establish nationally uniform standards for road vehicles when they are first supplied to the market in </w:t>
      </w:r>
      <w:smartTag w:uri="urn:schemas-microsoft-com:office:smarttags" w:element="place">
        <w:smartTag w:uri="urn:schemas-microsoft-com:office:smarttags" w:element="country-region">
          <w:r w:rsidRPr="00061FBE">
            <w:rPr>
              <w:rFonts w:cs="Arial"/>
            </w:rPr>
            <w:t>Australia</w:t>
          </w:r>
        </w:smartTag>
      </w:smartTag>
      <w:r w:rsidRPr="00061FBE">
        <w:rPr>
          <w:rFonts w:cs="Arial"/>
        </w:rPr>
        <w:t>.  The Act applies to such vehicles whether they are m</w:t>
      </w:r>
      <w:r w:rsidRPr="00061FBE">
        <w:rPr>
          <w:rFonts w:cs="Arial"/>
        </w:rPr>
        <w:t>anufactu</w:t>
      </w:r>
      <w:r>
        <w:rPr>
          <w:rFonts w:cs="Arial"/>
        </w:rPr>
        <w:t>red in Australia or are imported</w:t>
      </w:r>
      <w:r w:rsidRPr="00061FBE">
        <w:rPr>
          <w:rFonts w:cs="Arial"/>
        </w:rPr>
        <w:t>.</w:t>
      </w:r>
    </w:p>
    <w:p w14:paraId="0A37865B" w14:textId="77777777" w:rsidR="003C5E51" w:rsidRPr="00061FBE" w:rsidRDefault="003529DE" w:rsidP="00A01A9E">
      <w:pPr>
        <w:pStyle w:val="dot"/>
        <w:spacing w:after="240"/>
        <w:ind w:left="0" w:firstLine="0"/>
        <w:rPr>
          <w:rFonts w:ascii="Times New Roman" w:hAnsi="Times New Roman"/>
        </w:rPr>
      </w:pPr>
      <w:r w:rsidRPr="00061FBE">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14:paraId="0A37865C" w14:textId="77777777" w:rsidR="00B27A92" w:rsidRPr="005451D4" w:rsidRDefault="003529DE" w:rsidP="00B27A92">
      <w:pPr>
        <w:spacing w:after="240"/>
        <w:rPr>
          <w:rFonts w:cs="Arial"/>
        </w:rPr>
      </w:pPr>
      <w:r w:rsidRPr="000973B6">
        <w:rPr>
          <w:rFonts w:cs="Arial"/>
        </w:rPr>
        <w:t>Veh</w:t>
      </w:r>
      <w:r w:rsidRPr="000973B6">
        <w:rPr>
          <w:rFonts w:cs="Arial"/>
        </w:rPr>
        <w:t>icle Standard (Australian Design Rule — Definitions and Vehicle Categories) 2005 (ADR – Definitions and Vehicle Categories) was originally determined in 2005 and was subsequently amended in 2006, 2007, 2011, 2012</w:t>
      </w:r>
      <w:r>
        <w:rPr>
          <w:rFonts w:cs="Arial"/>
        </w:rPr>
        <w:t>,</w:t>
      </w:r>
      <w:r w:rsidRPr="000973B6">
        <w:rPr>
          <w:rFonts w:cs="Arial"/>
        </w:rPr>
        <w:t xml:space="preserve"> 2014</w:t>
      </w:r>
      <w:r>
        <w:rPr>
          <w:rFonts w:cs="Arial"/>
        </w:rPr>
        <w:t xml:space="preserve"> and February 2016.</w:t>
      </w:r>
    </w:p>
    <w:p w14:paraId="0A37865D" w14:textId="77777777" w:rsidR="003C5E51" w:rsidRPr="005451D4" w:rsidRDefault="003529DE" w:rsidP="000973B6">
      <w:pPr>
        <w:pStyle w:val="Heading1"/>
      </w:pPr>
      <w:bookmarkStart w:id="13" w:name="_Toc256000001"/>
      <w:bookmarkStart w:id="14" w:name="_Toc427841514"/>
      <w:bookmarkStart w:id="15" w:name="_Toc256000040"/>
      <w:bookmarkStart w:id="16" w:name="_Toc256000027"/>
      <w:bookmarkStart w:id="17" w:name="_Toc256000014"/>
      <w:bookmarkStart w:id="18" w:name="_Toc438116623"/>
      <w:bookmarkStart w:id="19" w:name="_Toc447629191"/>
      <w:bookmarkStart w:id="20" w:name="_Toc256000078"/>
      <w:bookmarkStart w:id="21" w:name="_Toc256000065"/>
      <w:bookmarkStart w:id="22" w:name="_Toc256000053"/>
      <w:bookmarkStart w:id="23" w:name="_Toc447868495"/>
      <w:bookmarkStart w:id="24" w:name="_Toc447879579"/>
      <w:r w:rsidRPr="005451D4">
        <w:t xml:space="preserve">content and effect of ADR </w:t>
      </w:r>
      <w:bookmarkEnd w:id="13"/>
      <w:bookmarkEnd w:id="14"/>
      <w:bookmarkEnd w:id="15"/>
      <w:bookmarkEnd w:id="16"/>
      <w:bookmarkEnd w:id="17"/>
      <w:bookmarkEnd w:id="18"/>
      <w:bookmarkEnd w:id="19"/>
      <w:r>
        <w:t xml:space="preserve">– </w:t>
      </w:r>
      <w:r w:rsidRPr="000973B6">
        <w:t>DEFINITIONS AND VEHICLE CATEGORIES AND AMENDMENTS</w:t>
      </w:r>
      <w:bookmarkEnd w:id="20"/>
      <w:bookmarkEnd w:id="21"/>
      <w:bookmarkEnd w:id="22"/>
      <w:bookmarkEnd w:id="23"/>
      <w:bookmarkEnd w:id="24"/>
    </w:p>
    <w:p w14:paraId="0A37865E" w14:textId="77777777" w:rsidR="005D1AA0" w:rsidRPr="005451D4" w:rsidRDefault="003529DE" w:rsidP="002D2D87">
      <w:pPr>
        <w:pStyle w:val="Heading2"/>
      </w:pPr>
      <w:bookmarkStart w:id="25" w:name="_Toc256000079"/>
      <w:bookmarkStart w:id="26" w:name="_Toc256000066"/>
      <w:bookmarkStart w:id="27" w:name="_Toc256000054"/>
      <w:bookmarkStart w:id="28" w:name="_Toc256000041"/>
      <w:bookmarkStart w:id="29" w:name="_Toc256000028"/>
      <w:bookmarkStart w:id="30" w:name="_Toc256000015"/>
      <w:bookmarkStart w:id="31" w:name="_Toc256000002"/>
      <w:bookmarkStart w:id="32" w:name="_Toc427841515"/>
      <w:bookmarkStart w:id="33" w:name="_Toc438116624"/>
      <w:bookmarkStart w:id="34" w:name="_Toc447629192"/>
      <w:bookmarkStart w:id="35" w:name="_Toc447868496"/>
      <w:bookmarkStart w:id="36" w:name="_Toc447879580"/>
      <w:r w:rsidRPr="005451D4">
        <w:t>Overview of the ADR</w:t>
      </w:r>
      <w:bookmarkEnd w:id="25"/>
      <w:bookmarkEnd w:id="26"/>
      <w:bookmarkEnd w:id="27"/>
      <w:bookmarkEnd w:id="28"/>
      <w:bookmarkEnd w:id="29"/>
      <w:bookmarkEnd w:id="30"/>
      <w:bookmarkEnd w:id="31"/>
      <w:bookmarkEnd w:id="32"/>
      <w:bookmarkEnd w:id="33"/>
      <w:bookmarkEnd w:id="34"/>
      <w:bookmarkEnd w:id="35"/>
      <w:bookmarkEnd w:id="36"/>
    </w:p>
    <w:p w14:paraId="0A37865F" w14:textId="77777777" w:rsidR="009D62A5" w:rsidRPr="005451D4" w:rsidRDefault="003529DE" w:rsidP="009D62A5">
      <w:r w:rsidRPr="000973B6">
        <w:t xml:space="preserve">The function of ADR – Definitions and Vehicle Categories is to specify matters, such as definitions of key terms, which apply in common to particular </w:t>
      </w:r>
      <w:r>
        <w:t>ADRs</w:t>
      </w:r>
      <w:r w:rsidRPr="000973B6">
        <w:t>.  I</w:t>
      </w:r>
      <w:r w:rsidRPr="000973B6">
        <w:t>t contains material that needs to be read in conjunction with particular ADRs in order to establish rights and obligations to which those rules give rise.</w:t>
      </w:r>
    </w:p>
    <w:p w14:paraId="0A378660" w14:textId="77777777" w:rsidR="008607BD" w:rsidRPr="005451D4" w:rsidRDefault="003529DE" w:rsidP="000537E9">
      <w:pPr>
        <w:pStyle w:val="Heading2"/>
      </w:pPr>
      <w:bookmarkStart w:id="37" w:name="_Toc256000080"/>
      <w:bookmarkStart w:id="38" w:name="_Toc256000067"/>
      <w:bookmarkStart w:id="39" w:name="_Toc256000055"/>
      <w:bookmarkStart w:id="40" w:name="_Toc256000042"/>
      <w:bookmarkStart w:id="41" w:name="_Toc256000029"/>
      <w:bookmarkStart w:id="42" w:name="_Toc256000016"/>
      <w:bookmarkStart w:id="43" w:name="_Toc256000003"/>
      <w:bookmarkStart w:id="44" w:name="_Toc427841516"/>
      <w:bookmarkStart w:id="45" w:name="_Toc438116625"/>
      <w:bookmarkStart w:id="46" w:name="_Toc447629193"/>
      <w:bookmarkStart w:id="47" w:name="_Toc447868497"/>
      <w:bookmarkStart w:id="48" w:name="_Toc447879581"/>
      <w:r w:rsidRPr="005451D4">
        <w:t>Effect of the ADR Amendment</w:t>
      </w:r>
      <w:bookmarkEnd w:id="37"/>
      <w:bookmarkEnd w:id="38"/>
      <w:bookmarkEnd w:id="39"/>
      <w:bookmarkEnd w:id="40"/>
      <w:bookmarkEnd w:id="41"/>
      <w:bookmarkEnd w:id="42"/>
      <w:bookmarkEnd w:id="43"/>
      <w:bookmarkEnd w:id="44"/>
      <w:bookmarkEnd w:id="45"/>
      <w:bookmarkEnd w:id="46"/>
      <w:bookmarkEnd w:id="47"/>
      <w:bookmarkEnd w:id="48"/>
    </w:p>
    <w:p w14:paraId="0A378661" w14:textId="77777777" w:rsidR="00B27A92" w:rsidRPr="000973B6" w:rsidRDefault="003529DE" w:rsidP="005152F7">
      <w:pPr>
        <w:spacing w:after="120"/>
      </w:pPr>
      <w:r w:rsidRPr="000973B6">
        <w:t>This amendment aligns the definition for ‘</w:t>
      </w:r>
      <w:r w:rsidRPr="000973B6">
        <w:rPr>
          <w:i/>
        </w:rPr>
        <w:t>Point of Articulation</w:t>
      </w:r>
      <w:r w:rsidRPr="000973B6">
        <w:t>’ (general</w:t>
      </w:r>
      <w:r w:rsidRPr="000973B6">
        <w:t>ly used to describe the configuration and dimensions of heavy trailers and heavy vehicle combinations) with the definition used in-service by the National Heavy Vehicle Regulator and other State and Territory registration authorities. This amendment suppor</w:t>
      </w:r>
      <w:r w:rsidRPr="000973B6">
        <w:t>ts a parallel amendment of ADR 43/04 – Vehicle Configuration and Dimensions, which clarifies the dimensional requirements on vehicles, and improve</w:t>
      </w:r>
      <w:r>
        <w:t>s</w:t>
      </w:r>
      <w:r w:rsidRPr="000973B6">
        <w:t xml:space="preserve"> alignment with in-service requirements, including with regard to refrigerated trailers and drawbar length.</w:t>
      </w:r>
    </w:p>
    <w:p w14:paraId="0A378662" w14:textId="77777777" w:rsidR="00FB7720" w:rsidRPr="00544A63" w:rsidRDefault="003529DE" w:rsidP="005152F7">
      <w:pPr>
        <w:spacing w:after="120"/>
      </w:pPr>
      <w:r w:rsidRPr="000973B6">
        <w:t>T</w:t>
      </w:r>
      <w:r w:rsidRPr="000973B6">
        <w:t>he amendment to ADR 43/04</w:t>
      </w:r>
      <w:r>
        <w:t xml:space="preserve"> which this amendment supports</w:t>
      </w:r>
      <w:r w:rsidRPr="000973B6">
        <w:t xml:space="preserve"> was requested by the industry to improve the clarity of the vehicle standard, and improve its alignment with in-service requirements, especially regarding heavy trailer and refrigerated trailer dimens</w:t>
      </w:r>
      <w:r w:rsidRPr="000973B6">
        <w:t>ions.  This amendment to ADR – Definitions and Vehicle Categories is minor in nature, and does not work to increase the stringency of the vehicle standard.</w:t>
      </w:r>
    </w:p>
    <w:p w14:paraId="0A378663" w14:textId="77777777" w:rsidR="00A42C1E" w:rsidRDefault="003529DE" w:rsidP="002D2D87">
      <w:pPr>
        <w:pStyle w:val="Heading1"/>
      </w:pPr>
      <w:bookmarkStart w:id="49" w:name="_Toc256000081"/>
      <w:bookmarkStart w:id="50" w:name="_Toc256000068"/>
      <w:bookmarkStart w:id="51" w:name="_Toc256000056"/>
      <w:bookmarkStart w:id="52" w:name="_Toc256000043"/>
      <w:bookmarkStart w:id="53" w:name="_Toc256000030"/>
      <w:bookmarkStart w:id="54" w:name="_Toc256000017"/>
      <w:bookmarkStart w:id="55" w:name="_Toc256000005"/>
      <w:bookmarkStart w:id="56" w:name="_Toc427841518"/>
      <w:bookmarkStart w:id="57" w:name="_Toc438116626"/>
      <w:bookmarkStart w:id="58" w:name="_Toc447629194"/>
      <w:bookmarkStart w:id="59" w:name="_Toc447868498"/>
      <w:bookmarkStart w:id="60" w:name="_Toc447879582"/>
      <w:r>
        <w:t>BEST PRACTICE REGULATION</w:t>
      </w:r>
      <w:bookmarkEnd w:id="49"/>
      <w:bookmarkEnd w:id="50"/>
      <w:bookmarkEnd w:id="51"/>
      <w:bookmarkEnd w:id="52"/>
      <w:bookmarkEnd w:id="53"/>
      <w:bookmarkEnd w:id="54"/>
      <w:bookmarkEnd w:id="55"/>
      <w:bookmarkEnd w:id="56"/>
      <w:bookmarkEnd w:id="57"/>
      <w:bookmarkEnd w:id="58"/>
      <w:bookmarkEnd w:id="59"/>
      <w:bookmarkEnd w:id="60"/>
    </w:p>
    <w:p w14:paraId="0A378664" w14:textId="77777777" w:rsidR="00933AA9" w:rsidRPr="008670A3" w:rsidRDefault="003529DE" w:rsidP="00F02054">
      <w:pPr>
        <w:pStyle w:val="Heading2"/>
      </w:pPr>
      <w:bookmarkStart w:id="61" w:name="_Toc256000082"/>
      <w:bookmarkStart w:id="62" w:name="_Toc256000069"/>
      <w:bookmarkStart w:id="63" w:name="_Toc256000057"/>
      <w:bookmarkStart w:id="64" w:name="_Toc256000044"/>
      <w:bookmarkStart w:id="65" w:name="_Toc256000031"/>
      <w:bookmarkStart w:id="66" w:name="_Toc256000018"/>
      <w:bookmarkStart w:id="67" w:name="_Toc256000006"/>
      <w:bookmarkStart w:id="68" w:name="_Toc427841519"/>
      <w:bookmarkStart w:id="69" w:name="_Toc438116627"/>
      <w:bookmarkStart w:id="70" w:name="_Toc447629195"/>
      <w:bookmarkStart w:id="71" w:name="_Toc447868499"/>
      <w:bookmarkStart w:id="72" w:name="_Toc447879583"/>
      <w:bookmarkStart w:id="73" w:name="_Toc167864617"/>
      <w:bookmarkStart w:id="74" w:name="_Toc317171388"/>
      <w:bookmarkStart w:id="75" w:name="_Toc317171514"/>
      <w:bookmarkStart w:id="76" w:name="_Toc377388631"/>
      <w:bookmarkStart w:id="77" w:name="_Toc393194585"/>
      <w:bookmarkStart w:id="78" w:name="_Toc409446969"/>
      <w:r w:rsidRPr="008670A3">
        <w:t>Business Cost Calculator</w:t>
      </w:r>
      <w:bookmarkEnd w:id="61"/>
      <w:bookmarkEnd w:id="62"/>
      <w:bookmarkEnd w:id="63"/>
      <w:bookmarkEnd w:id="64"/>
      <w:bookmarkEnd w:id="65"/>
      <w:bookmarkEnd w:id="66"/>
      <w:bookmarkEnd w:id="67"/>
      <w:bookmarkEnd w:id="68"/>
      <w:bookmarkEnd w:id="69"/>
      <w:bookmarkEnd w:id="70"/>
      <w:bookmarkEnd w:id="71"/>
      <w:bookmarkEnd w:id="72"/>
    </w:p>
    <w:p w14:paraId="0A378665" w14:textId="77777777" w:rsidR="00544A63" w:rsidRDefault="003529DE" w:rsidP="00544A63">
      <w:pPr>
        <w:spacing w:before="120" w:after="120"/>
      </w:pPr>
      <w:bookmarkStart w:id="79" w:name="_Toc256000045"/>
      <w:bookmarkStart w:id="80" w:name="_Toc256000032"/>
      <w:bookmarkStart w:id="81" w:name="_Toc256000019"/>
      <w:bookmarkStart w:id="82" w:name="_Toc256000007"/>
      <w:bookmarkStart w:id="83" w:name="_Toc427841520"/>
      <w:bookmarkStart w:id="84" w:name="_Toc438116628"/>
      <w:bookmarkStart w:id="85" w:name="_Toc447629196"/>
      <w:r>
        <w:t xml:space="preserve">There will be no significant regulatory saving </w:t>
      </w:r>
      <w:r>
        <w:t>associated with this amendment,</w:t>
      </w:r>
      <w:r w:rsidRPr="00BC675B">
        <w:t xml:space="preserve"> as the change aligns the vehicle standard with in-service requirements and improves clarity.</w:t>
      </w:r>
    </w:p>
    <w:p w14:paraId="0A378666" w14:textId="77777777" w:rsidR="00933AA9" w:rsidRPr="00933AA9" w:rsidRDefault="003529DE" w:rsidP="00491F89">
      <w:pPr>
        <w:pStyle w:val="Heading2"/>
      </w:pPr>
      <w:bookmarkStart w:id="86" w:name="_Toc256000083"/>
      <w:bookmarkStart w:id="87" w:name="_Toc256000070"/>
      <w:bookmarkStart w:id="88" w:name="_Toc447879584"/>
      <w:r w:rsidRPr="00933AA9">
        <w:t>General Consultation Arrangements</w:t>
      </w:r>
      <w:bookmarkEnd w:id="86"/>
      <w:bookmarkEnd w:id="87"/>
      <w:bookmarkEnd w:id="73"/>
      <w:bookmarkEnd w:id="74"/>
      <w:bookmarkEnd w:id="75"/>
      <w:bookmarkEnd w:id="76"/>
      <w:bookmarkEnd w:id="77"/>
      <w:bookmarkEnd w:id="78"/>
      <w:bookmarkEnd w:id="79"/>
      <w:bookmarkEnd w:id="80"/>
      <w:bookmarkEnd w:id="81"/>
      <w:bookmarkEnd w:id="82"/>
      <w:bookmarkEnd w:id="83"/>
      <w:bookmarkEnd w:id="84"/>
      <w:bookmarkEnd w:id="85"/>
      <w:bookmarkEnd w:id="88"/>
    </w:p>
    <w:p w14:paraId="0A378667" w14:textId="77777777" w:rsidR="00933AA9" w:rsidRPr="00933AA9" w:rsidRDefault="003529DE" w:rsidP="00933AA9">
      <w:pPr>
        <w:spacing w:after="240"/>
        <w:rPr>
          <w:rFonts w:cs="Arial"/>
        </w:rPr>
      </w:pPr>
      <w:r w:rsidRPr="00933AA9">
        <w:rPr>
          <w:rFonts w:cs="Arial"/>
        </w:rPr>
        <w:t>It has been longstanding practice to consult widely on proposed new or amended vehicle standards.</w:t>
      </w:r>
      <w:r w:rsidRPr="00933AA9">
        <w:rPr>
          <w:rFonts w:cs="Arial"/>
        </w:rPr>
        <w:t xml:space="preserve">  For many years there has been active collaboration between the Federal Government and the state/territory governments, as well as consultation with </w:t>
      </w:r>
      <w:r w:rsidRPr="00933AA9">
        <w:rPr>
          <w:rFonts w:cs="Arial"/>
        </w:rPr>
        <w:lastRenderedPageBreak/>
        <w:t>industry and consumer groups.  Much of the consultation takes place within institutional arrangements esta</w:t>
      </w:r>
      <w:r w:rsidRPr="00933AA9">
        <w:rPr>
          <w:rFonts w:cs="Arial"/>
        </w:rPr>
        <w:t>blished for this purpose.  The analysis and documentation prepared in a particular case, and the bodies consulted, depend on the degree of impact the new or amended standard is expected to have on industry or road users.</w:t>
      </w:r>
    </w:p>
    <w:p w14:paraId="0A378668" w14:textId="77777777" w:rsidR="00933AA9" w:rsidRPr="00933AA9" w:rsidRDefault="003529DE" w:rsidP="00933AA9">
      <w:pPr>
        <w:spacing w:after="160"/>
        <w:rPr>
          <w:rFonts w:cs="Arial"/>
        </w:rPr>
      </w:pPr>
      <w:r w:rsidRPr="00933AA9">
        <w:rPr>
          <w:rFonts w:cs="Arial"/>
        </w:rPr>
        <w:t>Depending on the nature of the prop</w:t>
      </w:r>
      <w:r w:rsidRPr="00933AA9">
        <w:rPr>
          <w:rFonts w:cs="Arial"/>
        </w:rPr>
        <w:t>osed changes, consultation could involve the Strategic Vehicle Safety and Environment Group (SVSEG), Australian Motor Vehicle Certification Board (AMVCB), Technical Liaison Group (TLG), Transport and Infrastructure Senior Officials’ Committee (TISOC) and t</w:t>
      </w:r>
      <w:r w:rsidRPr="00933AA9">
        <w:rPr>
          <w:rFonts w:cs="Arial"/>
        </w:rPr>
        <w:t>he Transport and Infrastructure Council</w:t>
      </w:r>
      <w:r>
        <w:rPr>
          <w:rFonts w:cs="Arial"/>
        </w:rPr>
        <w:t xml:space="preserve"> (TIC)</w:t>
      </w:r>
      <w:r w:rsidRPr="00933AA9">
        <w:rPr>
          <w:rFonts w:cs="Arial"/>
        </w:rPr>
        <w:t>.</w:t>
      </w:r>
    </w:p>
    <w:p w14:paraId="0A378669" w14:textId="77777777" w:rsidR="00933AA9" w:rsidRPr="00933AA9" w:rsidRDefault="003529DE" w:rsidP="00933AA9">
      <w:pPr>
        <w:numPr>
          <w:ilvl w:val="0"/>
          <w:numId w:val="23"/>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w:t>
      </w:r>
      <w:r w:rsidRPr="00933AA9">
        <w:rPr>
          <w:rFonts w:cs="Arial"/>
        </w:rPr>
        <w:t>rms of the industry (including organisations such as the Federal Chamber of Automotive Industries and the Australian Trucking Association) and of representative organisations of consumers and road users (particularly through the Australian Automobile Assoc</w:t>
      </w:r>
      <w:r w:rsidRPr="00933AA9">
        <w:rPr>
          <w:rFonts w:cs="Arial"/>
        </w:rPr>
        <w:t>iation).</w:t>
      </w:r>
    </w:p>
    <w:p w14:paraId="0A37866A" w14:textId="77777777" w:rsidR="00933AA9" w:rsidRPr="00933AA9" w:rsidRDefault="003529DE" w:rsidP="00933AA9">
      <w:pPr>
        <w:numPr>
          <w:ilvl w:val="0"/>
          <w:numId w:val="23"/>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0A37866B" w14:textId="77777777" w:rsidR="00933AA9" w:rsidRPr="00933AA9" w:rsidRDefault="003529DE" w:rsidP="00933AA9">
      <w:pPr>
        <w:numPr>
          <w:ilvl w:val="0"/>
          <w:numId w:val="23"/>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w:t>
      </w:r>
      <w:r w:rsidRPr="00933AA9">
        <w:rPr>
          <w:rFonts w:cs="Arial"/>
        </w:rPr>
        <w:t>nisations of consumers and road users (the same organisations as represented in SVSEG).</w:t>
      </w:r>
    </w:p>
    <w:p w14:paraId="0A37866C" w14:textId="77777777" w:rsidR="007A3C52" w:rsidRPr="00933AA9" w:rsidRDefault="003529DE" w:rsidP="007A3C52">
      <w:pPr>
        <w:numPr>
          <w:ilvl w:val="0"/>
          <w:numId w:val="23"/>
        </w:numPr>
        <w:spacing w:after="160"/>
        <w:rPr>
          <w:rFonts w:cs="Arial"/>
        </w:rPr>
      </w:pPr>
      <w:r w:rsidRPr="00933AA9">
        <w:rPr>
          <w:rFonts w:cs="Arial"/>
        </w:rPr>
        <w:t xml:space="preserve">TISOC consists of state and territory transport and/or infrastructure Chief Executive Officers (CEO) (or equivalents), the CEO of the National Transport Commission, </w:t>
      </w:r>
      <w:r>
        <w:rPr>
          <w:rFonts w:cs="Arial"/>
        </w:rPr>
        <w:t>Min</w:t>
      </w:r>
      <w:r>
        <w:rPr>
          <w:rFonts w:cs="Arial"/>
        </w:rPr>
        <w:t xml:space="preserve">istry of Transport in </w:t>
      </w:r>
      <w:r w:rsidRPr="00933AA9">
        <w:rPr>
          <w:rFonts w:cs="Arial"/>
        </w:rPr>
        <w:t>New Zealand and the Australian Local Government Association.</w:t>
      </w:r>
    </w:p>
    <w:p w14:paraId="0A37866D" w14:textId="77777777" w:rsidR="00933AA9" w:rsidRPr="00933AA9" w:rsidRDefault="003529DE" w:rsidP="00933AA9">
      <w:pPr>
        <w:numPr>
          <w:ilvl w:val="0"/>
          <w:numId w:val="23"/>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0A37866E" w14:textId="77777777" w:rsidR="00933AA9" w:rsidRPr="00933AA9" w:rsidRDefault="003529DE" w:rsidP="00933AA9">
      <w:pPr>
        <w:spacing w:after="240"/>
        <w:rPr>
          <w:rFonts w:cs="Arial"/>
        </w:rPr>
      </w:pPr>
      <w:r w:rsidRPr="00933AA9">
        <w:rPr>
          <w:rFonts w:cs="Arial"/>
        </w:rPr>
        <w:t>Editorial changes and changes to c</w:t>
      </w:r>
      <w:r w:rsidRPr="00933AA9">
        <w:rPr>
          <w:rFonts w:cs="Arial"/>
        </w:rPr>
        <w:t xml:space="preserve">orrect errors are processed by the </w:t>
      </w:r>
      <w:r>
        <w:rPr>
          <w:rFonts w:cs="Arial"/>
        </w:rPr>
        <w:t>Department</w:t>
      </w:r>
      <w:r w:rsidRPr="00933AA9">
        <w:rPr>
          <w:rFonts w:cs="Arial"/>
        </w:rPr>
        <w:t>.  This approach is only used where the amendments do not vary the intent of the vehicle standard.</w:t>
      </w:r>
    </w:p>
    <w:p w14:paraId="0A37866F" w14:textId="77777777" w:rsidR="00933AA9" w:rsidRPr="00933AA9" w:rsidRDefault="003529DE" w:rsidP="00933AA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w:t>
      </w:r>
      <w:r w:rsidRPr="00933AA9">
        <w:rPr>
          <w:rFonts w:cs="Arial"/>
        </w:rPr>
        <w:t xml:space="preserve">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0A378670" w14:textId="77777777" w:rsidR="00351AE7" w:rsidRDefault="003529DE">
      <w:bookmarkStart w:id="89" w:name="_Toc256000046"/>
      <w:bookmarkStart w:id="90" w:name="_Toc256000033"/>
      <w:bookmarkStart w:id="91" w:name="_Toc256000020"/>
      <w:bookmarkStart w:id="92" w:name="_Toc256000008"/>
      <w:bookmarkStart w:id="93" w:name="_Toc427841521"/>
      <w:bookmarkStart w:id="94" w:name="_Toc438116629"/>
      <w:bookmarkStart w:id="95" w:name="_Toc447629197"/>
      <w:bookmarkStart w:id="96" w:name="_Toc447868500"/>
      <w:r>
        <w:br w:type="page"/>
      </w:r>
    </w:p>
    <w:p w14:paraId="0A378671" w14:textId="77777777" w:rsidR="0012676A" w:rsidRDefault="003529DE" w:rsidP="000537E9">
      <w:pPr>
        <w:pStyle w:val="Heading2"/>
      </w:pPr>
      <w:bookmarkStart w:id="97" w:name="_Toc256000084"/>
      <w:bookmarkStart w:id="98" w:name="_Toc256000071"/>
      <w:bookmarkStart w:id="99" w:name="_Toc256000058"/>
      <w:bookmarkStart w:id="100" w:name="_Toc447879585"/>
      <w:r>
        <w:lastRenderedPageBreak/>
        <w:t>Specific Consultation Arrangements for this Vehicle Standard</w:t>
      </w:r>
      <w:bookmarkEnd w:id="97"/>
      <w:bookmarkEnd w:id="98"/>
      <w:bookmarkEnd w:id="99"/>
      <w:bookmarkEnd w:id="89"/>
      <w:bookmarkEnd w:id="90"/>
      <w:bookmarkEnd w:id="91"/>
      <w:bookmarkEnd w:id="92"/>
      <w:bookmarkEnd w:id="93"/>
      <w:bookmarkEnd w:id="94"/>
      <w:bookmarkEnd w:id="95"/>
      <w:bookmarkEnd w:id="96"/>
      <w:bookmarkEnd w:id="100"/>
    </w:p>
    <w:p w14:paraId="0A378672" w14:textId="77777777" w:rsidR="00254354" w:rsidRPr="003F4115" w:rsidRDefault="003529DE" w:rsidP="00933AA9">
      <w:pPr>
        <w:spacing w:after="240"/>
        <w:rPr>
          <w:highlight w:val="yellow"/>
        </w:rPr>
      </w:pPr>
      <w:r w:rsidRPr="00351AE7">
        <w:rPr>
          <w:rFonts w:cs="Arial"/>
        </w:rPr>
        <w:t xml:space="preserve">The amendment to ADR 43/04 </w:t>
      </w:r>
      <w:r>
        <w:rPr>
          <w:rFonts w:cs="Arial"/>
        </w:rPr>
        <w:t xml:space="preserve">which this amendment supports </w:t>
      </w:r>
      <w:r w:rsidRPr="00351AE7">
        <w:rPr>
          <w:rFonts w:cs="Arial"/>
        </w:rPr>
        <w:t xml:space="preserve">was requested by the </w:t>
      </w:r>
      <w:r>
        <w:rPr>
          <w:rFonts w:cs="Arial"/>
        </w:rPr>
        <w:t>Austral</w:t>
      </w:r>
      <w:r>
        <w:rPr>
          <w:rFonts w:cs="Arial"/>
        </w:rPr>
        <w:t>ian Trucking Association</w:t>
      </w:r>
      <w:r w:rsidRPr="00351AE7">
        <w:rPr>
          <w:rFonts w:cs="Arial"/>
        </w:rPr>
        <w:t>.  The request was agreed in-principle by the AMVCB and TLG in October 2015.  Following full consideration of technical issues and more detailed consultation, it was determined that the proposal would also require the amendment of A</w:t>
      </w:r>
      <w:r w:rsidRPr="00351AE7">
        <w:rPr>
          <w:rFonts w:cs="Arial"/>
        </w:rPr>
        <w:t>DR – Definitions and Vehicle Categories, and this proposal was finally agreed in March 2016.</w:t>
      </w:r>
    </w:p>
    <w:p w14:paraId="0A378673" w14:textId="77777777" w:rsidR="00FB7720" w:rsidRPr="00FB7720" w:rsidRDefault="003529DE" w:rsidP="00933AA9">
      <w:pPr>
        <w:spacing w:after="240"/>
      </w:pPr>
      <w:r w:rsidRPr="000973B6">
        <w:t xml:space="preserve">As the amendment is minor in nature, and does not increase the stringency of the ADR, there is no need for further consultation through TISOC, the Council, or the </w:t>
      </w:r>
      <w:r w:rsidRPr="000973B6">
        <w:t>public comment process.</w:t>
      </w:r>
    </w:p>
    <w:p w14:paraId="0A378674" w14:textId="77777777" w:rsidR="00933AA9" w:rsidRDefault="003529DE" w:rsidP="00933AA9">
      <w:pPr>
        <w:pStyle w:val="Heading2"/>
      </w:pPr>
      <w:bookmarkStart w:id="101" w:name="_Toc256000085"/>
      <w:bookmarkStart w:id="102" w:name="_Toc256000072"/>
      <w:bookmarkStart w:id="103" w:name="_Toc256000059"/>
      <w:bookmarkStart w:id="104" w:name="_Toc256000047"/>
      <w:bookmarkStart w:id="105" w:name="_Toc256000034"/>
      <w:bookmarkStart w:id="106" w:name="_Toc256000021"/>
      <w:bookmarkStart w:id="107" w:name="_Toc256000009"/>
      <w:bookmarkStart w:id="108" w:name="_Toc427841522"/>
      <w:bookmarkStart w:id="109" w:name="_Toc438116630"/>
      <w:bookmarkStart w:id="110" w:name="_Toc447629198"/>
      <w:bookmarkStart w:id="111" w:name="_Toc447868501"/>
      <w:bookmarkStart w:id="112" w:name="_Toc447879586"/>
      <w:r>
        <w:t>Regulation Impact Statement</w:t>
      </w:r>
      <w:bookmarkEnd w:id="101"/>
      <w:bookmarkEnd w:id="102"/>
      <w:bookmarkEnd w:id="103"/>
      <w:bookmarkEnd w:id="104"/>
      <w:bookmarkEnd w:id="105"/>
      <w:bookmarkEnd w:id="106"/>
      <w:bookmarkEnd w:id="107"/>
      <w:bookmarkEnd w:id="108"/>
      <w:bookmarkEnd w:id="109"/>
      <w:bookmarkEnd w:id="110"/>
      <w:bookmarkEnd w:id="111"/>
      <w:bookmarkEnd w:id="112"/>
    </w:p>
    <w:p w14:paraId="0A378675" w14:textId="77777777" w:rsidR="005152F7" w:rsidRPr="008670A3" w:rsidRDefault="003529DE" w:rsidP="005152F7">
      <w:pPr>
        <w:spacing w:after="120"/>
        <w:rPr>
          <w:rFonts w:cs="Arial"/>
        </w:rPr>
      </w:pPr>
      <w:r w:rsidRPr="008670A3">
        <w:rPr>
          <w:rFonts w:cs="Arial"/>
        </w:rPr>
        <w:t>As the proposed amendment does not increase the stringency of the ADR, a Regulation Impact Statement is not required.</w:t>
      </w:r>
    </w:p>
    <w:p w14:paraId="0A378676" w14:textId="77777777" w:rsidR="001613E5" w:rsidRPr="00933AA9" w:rsidRDefault="003529DE" w:rsidP="005152F7">
      <w:pPr>
        <w:spacing w:after="120"/>
        <w:rPr>
          <w:rFonts w:cs="Arial"/>
        </w:rPr>
      </w:pPr>
      <w:r w:rsidRPr="00BC675B">
        <w:rPr>
          <w:rFonts w:cs="Arial"/>
        </w:rPr>
        <w:t>Since the decision is made by the Minister for Territories, Local Government and Major</w:t>
      </w:r>
      <w:r w:rsidRPr="00BC675B">
        <w:rPr>
          <w:rFonts w:cs="Arial"/>
        </w:rPr>
        <w:t xml:space="preserve"> Projects without reference to the Council and the proposal is not considered significant, the Office of Best Practice Regulation (OBPR) requirements have been met for this regulatory proposal (OBPR reference ID 20663).</w:t>
      </w:r>
    </w:p>
    <w:p w14:paraId="0A378677" w14:textId="77777777" w:rsidR="000537E9" w:rsidRPr="00CA7971" w:rsidRDefault="003529DE" w:rsidP="002D2D87">
      <w:pPr>
        <w:pStyle w:val="Heading1"/>
      </w:pPr>
      <w:bookmarkStart w:id="113" w:name="_Toc256000086"/>
      <w:bookmarkStart w:id="114" w:name="_Toc256000073"/>
      <w:bookmarkStart w:id="115" w:name="_Toc256000060"/>
      <w:bookmarkStart w:id="116" w:name="_Toc256000048"/>
      <w:bookmarkStart w:id="117" w:name="_Toc256000035"/>
      <w:bookmarkStart w:id="118" w:name="_Toc256000022"/>
      <w:bookmarkStart w:id="119" w:name="_Toc256000010"/>
      <w:bookmarkStart w:id="120" w:name="_Toc409446972"/>
      <w:bookmarkStart w:id="121" w:name="_Toc427841523"/>
      <w:bookmarkStart w:id="122" w:name="_Toc438116631"/>
      <w:bookmarkStart w:id="123" w:name="_Toc447629199"/>
      <w:bookmarkStart w:id="124" w:name="_Toc447868502"/>
      <w:bookmarkStart w:id="125" w:name="_Toc447879587"/>
      <w:r w:rsidRPr="00CA7971">
        <w:t>STATEMENT OF COMPATIBILITY WITH HUMA</w:t>
      </w:r>
      <w:r w:rsidRPr="00CA7971">
        <w:t>N RIGHTS</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A378678" w14:textId="77777777" w:rsidR="000537E9" w:rsidRPr="00CA7971" w:rsidRDefault="003529DE" w:rsidP="000537E9">
      <w:r w:rsidRPr="00CA7971">
        <w:t xml:space="preserve">The following Statement is prepared in accordance with Part 3 of the </w:t>
      </w:r>
      <w:r w:rsidRPr="00CA7971">
        <w:rPr>
          <w:i/>
          <w:iCs/>
        </w:rPr>
        <w:t>Human Rights (Parliamentary Scrutiny) Act 2011.</w:t>
      </w:r>
      <w:r w:rsidRPr="00CA7971">
        <w:t xml:space="preserve"> </w:t>
      </w:r>
    </w:p>
    <w:p w14:paraId="0A378679" w14:textId="77777777" w:rsidR="000537E9" w:rsidRPr="00CA7971" w:rsidRDefault="003529DE" w:rsidP="000537E9">
      <w:pPr>
        <w:pStyle w:val="Heading2"/>
      </w:pPr>
      <w:bookmarkStart w:id="126" w:name="_Toc256000087"/>
      <w:bookmarkStart w:id="127" w:name="_Toc256000074"/>
      <w:bookmarkStart w:id="128" w:name="_Toc256000061"/>
      <w:bookmarkStart w:id="129" w:name="_Toc256000049"/>
      <w:bookmarkStart w:id="130" w:name="_Toc256000036"/>
      <w:bookmarkStart w:id="131" w:name="_Toc256000023"/>
      <w:bookmarkStart w:id="132" w:name="_Toc256000011"/>
      <w:bookmarkStart w:id="133" w:name="_Toc318271646"/>
      <w:bookmarkStart w:id="134" w:name="_Toc317171518"/>
      <w:bookmarkStart w:id="135" w:name="_Toc317171392"/>
      <w:bookmarkStart w:id="136" w:name="_Toc318272905"/>
      <w:bookmarkStart w:id="137" w:name="_Toc319402530"/>
      <w:bookmarkStart w:id="138" w:name="_Toc390430620"/>
      <w:bookmarkStart w:id="139" w:name="_Toc409446973"/>
      <w:bookmarkStart w:id="140" w:name="_Toc427841524"/>
      <w:bookmarkStart w:id="141" w:name="_Toc438116632"/>
      <w:bookmarkStart w:id="142" w:name="_Toc447629200"/>
      <w:bookmarkStart w:id="143" w:name="_Toc447868503"/>
      <w:bookmarkStart w:id="144" w:name="_Toc447879588"/>
      <w:r w:rsidRPr="00CA7971">
        <w:t>Overview of the Legislative Instrument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A37867A" w14:textId="77777777" w:rsidR="000537E9" w:rsidRPr="00CA7971" w:rsidRDefault="003529DE" w:rsidP="000537E9">
      <w:r w:rsidRPr="008670A3">
        <w:t xml:space="preserve">This amendment </w:t>
      </w:r>
      <w:r>
        <w:t>updates the definition of ‘</w:t>
      </w:r>
      <w:r w:rsidRPr="00483540">
        <w:rPr>
          <w:i/>
        </w:rPr>
        <w:t>Point of Articulation</w:t>
      </w:r>
      <w:r>
        <w:t>’, aligning it with the def</w:t>
      </w:r>
      <w:r>
        <w:t>inition used in-service</w:t>
      </w:r>
      <w:r w:rsidRPr="008670A3">
        <w:t>.</w:t>
      </w:r>
      <w:r>
        <w:t xml:space="preserve">  </w:t>
      </w:r>
    </w:p>
    <w:p w14:paraId="0A37867B" w14:textId="77777777" w:rsidR="000537E9" w:rsidRPr="00CA7971" w:rsidRDefault="003529DE" w:rsidP="000537E9">
      <w:pPr>
        <w:pStyle w:val="Heading2"/>
      </w:pPr>
      <w:bookmarkStart w:id="145" w:name="_Toc256000088"/>
      <w:bookmarkStart w:id="146" w:name="_Toc256000075"/>
      <w:bookmarkStart w:id="147" w:name="_Toc256000062"/>
      <w:bookmarkStart w:id="148" w:name="_Toc256000050"/>
      <w:bookmarkStart w:id="149" w:name="_Toc256000037"/>
      <w:bookmarkStart w:id="150" w:name="_Toc256000024"/>
      <w:bookmarkStart w:id="151" w:name="_Toc256000012"/>
      <w:bookmarkStart w:id="152" w:name="_Toc318271647"/>
      <w:bookmarkStart w:id="153" w:name="_Toc317171519"/>
      <w:bookmarkStart w:id="154" w:name="_Toc317171393"/>
      <w:bookmarkStart w:id="155" w:name="_Toc318272906"/>
      <w:bookmarkStart w:id="156" w:name="_Toc319402531"/>
      <w:bookmarkStart w:id="157" w:name="_Toc390430621"/>
      <w:bookmarkStart w:id="158" w:name="_Toc409446974"/>
      <w:bookmarkStart w:id="159" w:name="_Toc427841525"/>
      <w:bookmarkStart w:id="160" w:name="_Toc438116633"/>
      <w:bookmarkStart w:id="161" w:name="_Toc447629201"/>
      <w:bookmarkStart w:id="162" w:name="_Toc447868504"/>
      <w:bookmarkStart w:id="163" w:name="_Toc447879589"/>
      <w:r w:rsidRPr="00CA7971">
        <w:t>Human Rights Implications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A37867C" w14:textId="77777777" w:rsidR="000537E9" w:rsidRDefault="003529DE" w:rsidP="000537E9">
      <w:bookmarkStart w:id="164" w:name="_Toc319402532"/>
      <w:r w:rsidRPr="000014C0">
        <w:t xml:space="preserve">This amendment to ADR </w:t>
      </w:r>
      <w:r>
        <w:t>– Definitions and Vehicle Categories</w:t>
      </w:r>
      <w:r w:rsidRPr="000014C0">
        <w:t xml:space="preserve"> does not engage any of the human rights and freedoms recognised or declared in the international instruments listed in section 3 of the </w:t>
      </w:r>
      <w:r w:rsidRPr="000014C0">
        <w:rPr>
          <w:i/>
        </w:rPr>
        <w:t>Human Ri</w:t>
      </w:r>
      <w:r w:rsidRPr="000014C0">
        <w:rPr>
          <w:i/>
        </w:rPr>
        <w:t>ghts (Parliamentary Scrutiny) Act 2011</w:t>
      </w:r>
      <w:r w:rsidRPr="000014C0">
        <w:t>.</w:t>
      </w:r>
    </w:p>
    <w:p w14:paraId="0A37867D" w14:textId="77777777" w:rsidR="000537E9" w:rsidRPr="00CA7971" w:rsidRDefault="003529DE" w:rsidP="000537E9">
      <w:pPr>
        <w:pStyle w:val="Heading2"/>
      </w:pPr>
      <w:bookmarkStart w:id="165" w:name="_Toc256000089"/>
      <w:bookmarkStart w:id="166" w:name="_Toc256000076"/>
      <w:bookmarkStart w:id="167" w:name="_Toc256000063"/>
      <w:bookmarkStart w:id="168" w:name="_Toc256000051"/>
      <w:bookmarkStart w:id="169" w:name="_Toc256000038"/>
      <w:bookmarkStart w:id="170" w:name="_Toc256000025"/>
      <w:bookmarkStart w:id="171" w:name="_Toc256000013"/>
      <w:bookmarkStart w:id="172" w:name="_Toc409446975"/>
      <w:bookmarkStart w:id="173" w:name="_Toc427841526"/>
      <w:bookmarkStart w:id="174" w:name="_Toc438116634"/>
      <w:bookmarkStart w:id="175" w:name="_Toc447629202"/>
      <w:bookmarkStart w:id="176" w:name="_Toc447868505"/>
      <w:bookmarkStart w:id="177" w:name="_Toc447879590"/>
      <w:r w:rsidRPr="00CA7971">
        <w:t>Conclusion</w:t>
      </w:r>
      <w:bookmarkEnd w:id="165"/>
      <w:bookmarkEnd w:id="166"/>
      <w:bookmarkEnd w:id="167"/>
      <w:bookmarkEnd w:id="164"/>
      <w:bookmarkEnd w:id="168"/>
      <w:bookmarkEnd w:id="169"/>
      <w:bookmarkEnd w:id="170"/>
      <w:bookmarkEnd w:id="171"/>
      <w:bookmarkEnd w:id="172"/>
      <w:bookmarkEnd w:id="173"/>
      <w:bookmarkEnd w:id="174"/>
      <w:bookmarkEnd w:id="175"/>
      <w:bookmarkEnd w:id="176"/>
      <w:bookmarkEnd w:id="177"/>
    </w:p>
    <w:p w14:paraId="0A37867E" w14:textId="77777777" w:rsidR="008607BD" w:rsidRPr="008607BD" w:rsidRDefault="003529DE" w:rsidP="008607BD">
      <w:r w:rsidRPr="000014C0">
        <w:t xml:space="preserve">This amendment to ADR </w:t>
      </w:r>
      <w:r>
        <w:t>– Definitions and Vehicle Categories</w:t>
      </w:r>
      <w:r w:rsidRPr="000014C0">
        <w:t xml:space="preserve"> is compatible with human rights as it does not raise any human rights issues.</w:t>
      </w:r>
    </w:p>
    <w:sectPr w:rsidR="008607BD" w:rsidRPr="008607BD"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7868D" w14:textId="77777777" w:rsidR="00000000" w:rsidRDefault="003529DE">
      <w:r>
        <w:separator/>
      </w:r>
    </w:p>
  </w:endnote>
  <w:endnote w:type="continuationSeparator" w:id="0">
    <w:p w14:paraId="0A37868F" w14:textId="77777777" w:rsidR="00000000" w:rsidRDefault="0035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C024B9" w14:paraId="0A378687" w14:textId="77777777" w:rsidTr="00D36026">
      <w:tc>
        <w:tcPr>
          <w:tcW w:w="2906" w:type="dxa"/>
          <w:shd w:val="clear" w:color="auto" w:fill="auto"/>
        </w:tcPr>
        <w:p w14:paraId="0A378684" w14:textId="77777777" w:rsidR="00B153DF" w:rsidRDefault="003529DE">
          <w:pPr>
            <w:pStyle w:val="Footer"/>
          </w:pPr>
        </w:p>
      </w:tc>
      <w:tc>
        <w:tcPr>
          <w:tcW w:w="2907" w:type="dxa"/>
          <w:shd w:val="clear" w:color="auto" w:fill="auto"/>
        </w:tcPr>
        <w:p w14:paraId="0A378685" w14:textId="77777777" w:rsidR="00B153DF" w:rsidRDefault="003529DE">
          <w:pPr>
            <w:pStyle w:val="Footer"/>
          </w:pPr>
        </w:p>
      </w:tc>
      <w:tc>
        <w:tcPr>
          <w:tcW w:w="2907" w:type="dxa"/>
          <w:shd w:val="clear" w:color="auto" w:fill="auto"/>
        </w:tcPr>
        <w:p w14:paraId="0A378686" w14:textId="77777777" w:rsidR="00B153DF" w:rsidRDefault="003529DE">
          <w:pPr>
            <w:pStyle w:val="Footer"/>
          </w:pPr>
        </w:p>
      </w:tc>
    </w:tr>
  </w:tbl>
  <w:p w14:paraId="0A378688" w14:textId="77777777" w:rsidR="00B153DF" w:rsidRDefault="00352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78689" w14:textId="77777777" w:rsidR="00000000" w:rsidRDefault="003529DE">
      <w:r>
        <w:separator/>
      </w:r>
    </w:p>
  </w:footnote>
  <w:footnote w:type="continuationSeparator" w:id="0">
    <w:p w14:paraId="0A37868B" w14:textId="77777777" w:rsidR="00000000" w:rsidRDefault="0035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C024B9" w14:paraId="0A378682" w14:textId="77777777" w:rsidTr="00D36026">
      <w:tc>
        <w:tcPr>
          <w:tcW w:w="7668" w:type="dxa"/>
          <w:shd w:val="clear" w:color="auto" w:fill="auto"/>
        </w:tcPr>
        <w:p w14:paraId="0A37867F" w14:textId="77777777" w:rsidR="00B153DF" w:rsidRPr="00D36026" w:rsidRDefault="003529DE" w:rsidP="008E7AAC">
          <w:pPr>
            <w:pStyle w:val="Header"/>
            <w:rPr>
              <w:szCs w:val="20"/>
            </w:rPr>
          </w:pPr>
          <w:r w:rsidRPr="00D36026">
            <w:rPr>
              <w:szCs w:val="20"/>
            </w:rPr>
            <w:t>Explanatory Statement</w:t>
          </w:r>
        </w:p>
        <w:p w14:paraId="0A378680" w14:textId="77777777" w:rsidR="00B153DF" w:rsidRPr="00D36026" w:rsidRDefault="003529DE" w:rsidP="003F4115">
          <w:pPr>
            <w:pStyle w:val="Header"/>
            <w:rPr>
              <w:szCs w:val="20"/>
            </w:rPr>
          </w:pPr>
          <w:r>
            <w:rPr>
              <w:szCs w:val="20"/>
            </w:rPr>
            <w:t>Vehicle Standard (</w:t>
          </w:r>
          <w:r w:rsidRPr="00D36026">
            <w:rPr>
              <w:szCs w:val="20"/>
            </w:rPr>
            <w:t xml:space="preserve">Australian Design Rule </w:t>
          </w:r>
          <w:r>
            <w:rPr>
              <w:szCs w:val="20"/>
            </w:rPr>
            <w:t>– Definitions and Vehicle Categories</w:t>
          </w:r>
          <w:r w:rsidRPr="00F46E9F">
            <w:rPr>
              <w:szCs w:val="20"/>
            </w:rPr>
            <w:t>) 200</w:t>
          </w:r>
          <w:r>
            <w:rPr>
              <w:szCs w:val="20"/>
            </w:rPr>
            <w:t>5</w:t>
          </w:r>
          <w:r w:rsidRPr="00F46E9F">
            <w:rPr>
              <w:szCs w:val="20"/>
            </w:rPr>
            <w:t xml:space="preserve"> </w:t>
          </w:r>
          <w:r>
            <w:rPr>
              <w:szCs w:val="20"/>
            </w:rPr>
            <w:t>Amendment 9</w:t>
          </w:r>
        </w:p>
      </w:tc>
      <w:tc>
        <w:tcPr>
          <w:tcW w:w="1052" w:type="dxa"/>
          <w:shd w:val="clear" w:color="auto" w:fill="auto"/>
        </w:tcPr>
        <w:p w14:paraId="0A378681" w14:textId="77777777" w:rsidR="00B153DF" w:rsidRPr="00D36026" w:rsidRDefault="003529DE" w:rsidP="00D36026">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0A378683" w14:textId="77777777" w:rsidR="00B153DF" w:rsidRPr="00791D27" w:rsidRDefault="003529DE"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nsid w:val="12311F18"/>
    <w:multiLevelType w:val="hybridMultilevel"/>
    <w:tmpl w:val="1480BE92"/>
    <w:lvl w:ilvl="0" w:tplc="1CFAF234">
      <w:start w:val="1"/>
      <w:numFmt w:val="bullet"/>
      <w:lvlText w:val=""/>
      <w:lvlJc w:val="left"/>
      <w:pPr>
        <w:tabs>
          <w:tab w:val="num" w:pos="720"/>
        </w:tabs>
        <w:ind w:left="720" w:hanging="360"/>
      </w:pPr>
      <w:rPr>
        <w:rFonts w:ascii="Symbol" w:hAnsi="Symbol" w:hint="default"/>
      </w:rPr>
    </w:lvl>
    <w:lvl w:ilvl="1" w:tplc="3C8669DA" w:tentative="1">
      <w:start w:val="1"/>
      <w:numFmt w:val="bullet"/>
      <w:lvlText w:val="o"/>
      <w:lvlJc w:val="left"/>
      <w:pPr>
        <w:tabs>
          <w:tab w:val="num" w:pos="1440"/>
        </w:tabs>
        <w:ind w:left="1440" w:hanging="360"/>
      </w:pPr>
      <w:rPr>
        <w:rFonts w:ascii="Courier New" w:hAnsi="Courier New" w:cs="Courier New" w:hint="default"/>
      </w:rPr>
    </w:lvl>
    <w:lvl w:ilvl="2" w:tplc="53926D6C" w:tentative="1">
      <w:start w:val="1"/>
      <w:numFmt w:val="bullet"/>
      <w:lvlText w:val=""/>
      <w:lvlJc w:val="left"/>
      <w:pPr>
        <w:tabs>
          <w:tab w:val="num" w:pos="2160"/>
        </w:tabs>
        <w:ind w:left="2160" w:hanging="360"/>
      </w:pPr>
      <w:rPr>
        <w:rFonts w:ascii="Wingdings" w:hAnsi="Wingdings" w:hint="default"/>
      </w:rPr>
    </w:lvl>
    <w:lvl w:ilvl="3" w:tplc="2CB6B91C" w:tentative="1">
      <w:start w:val="1"/>
      <w:numFmt w:val="bullet"/>
      <w:lvlText w:val=""/>
      <w:lvlJc w:val="left"/>
      <w:pPr>
        <w:tabs>
          <w:tab w:val="num" w:pos="2880"/>
        </w:tabs>
        <w:ind w:left="2880" w:hanging="360"/>
      </w:pPr>
      <w:rPr>
        <w:rFonts w:ascii="Symbol" w:hAnsi="Symbol" w:hint="default"/>
      </w:rPr>
    </w:lvl>
    <w:lvl w:ilvl="4" w:tplc="FEB02CEC" w:tentative="1">
      <w:start w:val="1"/>
      <w:numFmt w:val="bullet"/>
      <w:lvlText w:val="o"/>
      <w:lvlJc w:val="left"/>
      <w:pPr>
        <w:tabs>
          <w:tab w:val="num" w:pos="3600"/>
        </w:tabs>
        <w:ind w:left="3600" w:hanging="360"/>
      </w:pPr>
      <w:rPr>
        <w:rFonts w:ascii="Courier New" w:hAnsi="Courier New" w:cs="Courier New" w:hint="default"/>
      </w:rPr>
    </w:lvl>
    <w:lvl w:ilvl="5" w:tplc="C80AD9F4" w:tentative="1">
      <w:start w:val="1"/>
      <w:numFmt w:val="bullet"/>
      <w:lvlText w:val=""/>
      <w:lvlJc w:val="left"/>
      <w:pPr>
        <w:tabs>
          <w:tab w:val="num" w:pos="4320"/>
        </w:tabs>
        <w:ind w:left="4320" w:hanging="360"/>
      </w:pPr>
      <w:rPr>
        <w:rFonts w:ascii="Wingdings" w:hAnsi="Wingdings" w:hint="default"/>
      </w:rPr>
    </w:lvl>
    <w:lvl w:ilvl="6" w:tplc="E9143452" w:tentative="1">
      <w:start w:val="1"/>
      <w:numFmt w:val="bullet"/>
      <w:lvlText w:val=""/>
      <w:lvlJc w:val="left"/>
      <w:pPr>
        <w:tabs>
          <w:tab w:val="num" w:pos="5040"/>
        </w:tabs>
        <w:ind w:left="5040" w:hanging="360"/>
      </w:pPr>
      <w:rPr>
        <w:rFonts w:ascii="Symbol" w:hAnsi="Symbol" w:hint="default"/>
      </w:rPr>
    </w:lvl>
    <w:lvl w:ilvl="7" w:tplc="9A80CB8E" w:tentative="1">
      <w:start w:val="1"/>
      <w:numFmt w:val="bullet"/>
      <w:lvlText w:val="o"/>
      <w:lvlJc w:val="left"/>
      <w:pPr>
        <w:tabs>
          <w:tab w:val="num" w:pos="5760"/>
        </w:tabs>
        <w:ind w:left="5760" w:hanging="360"/>
      </w:pPr>
      <w:rPr>
        <w:rFonts w:ascii="Courier New" w:hAnsi="Courier New" w:cs="Courier New" w:hint="default"/>
      </w:rPr>
    </w:lvl>
    <w:lvl w:ilvl="8" w:tplc="8B4A1E0C" w:tentative="1">
      <w:start w:val="1"/>
      <w:numFmt w:val="bullet"/>
      <w:lvlText w:val=""/>
      <w:lvlJc w:val="left"/>
      <w:pPr>
        <w:tabs>
          <w:tab w:val="num" w:pos="6480"/>
        </w:tabs>
        <w:ind w:left="6480" w:hanging="360"/>
      </w:pPr>
      <w:rPr>
        <w:rFonts w:ascii="Wingdings" w:hAnsi="Wingdings" w:hint="default"/>
      </w:rPr>
    </w:lvl>
  </w:abstractNum>
  <w:abstractNum w:abstractNumId="2">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1F204C5C"/>
    <w:multiLevelType w:val="hybridMultilevel"/>
    <w:tmpl w:val="94947282"/>
    <w:lvl w:ilvl="0" w:tplc="445AC604">
      <w:start w:val="1"/>
      <w:numFmt w:val="bullet"/>
      <w:lvlText w:val=""/>
      <w:lvlJc w:val="left"/>
      <w:pPr>
        <w:tabs>
          <w:tab w:val="num" w:pos="720"/>
        </w:tabs>
        <w:ind w:left="720" w:hanging="360"/>
      </w:pPr>
      <w:rPr>
        <w:rFonts w:ascii="Symbol" w:hAnsi="Symbol" w:hint="default"/>
      </w:rPr>
    </w:lvl>
    <w:lvl w:ilvl="1" w:tplc="38AC90FC">
      <w:start w:val="1"/>
      <w:numFmt w:val="bullet"/>
      <w:lvlText w:val="o"/>
      <w:lvlJc w:val="left"/>
      <w:pPr>
        <w:tabs>
          <w:tab w:val="num" w:pos="1440"/>
        </w:tabs>
        <w:ind w:left="1440" w:hanging="360"/>
      </w:pPr>
      <w:rPr>
        <w:rFonts w:ascii="Courier New" w:hAnsi="Courier New" w:cs="Courier New" w:hint="default"/>
      </w:rPr>
    </w:lvl>
    <w:lvl w:ilvl="2" w:tplc="868E613A">
      <w:start w:val="1"/>
      <w:numFmt w:val="bullet"/>
      <w:lvlText w:val=""/>
      <w:lvlJc w:val="left"/>
      <w:pPr>
        <w:tabs>
          <w:tab w:val="num" w:pos="2160"/>
        </w:tabs>
        <w:ind w:left="2160" w:hanging="360"/>
      </w:pPr>
      <w:rPr>
        <w:rFonts w:ascii="Wingdings" w:hAnsi="Wingdings" w:hint="default"/>
      </w:rPr>
    </w:lvl>
    <w:lvl w:ilvl="3" w:tplc="61766430">
      <w:start w:val="1"/>
      <w:numFmt w:val="bullet"/>
      <w:lvlText w:val=""/>
      <w:lvlJc w:val="left"/>
      <w:pPr>
        <w:tabs>
          <w:tab w:val="num" w:pos="2880"/>
        </w:tabs>
        <w:ind w:left="2880" w:hanging="360"/>
      </w:pPr>
      <w:rPr>
        <w:rFonts w:ascii="Symbol" w:hAnsi="Symbol" w:hint="default"/>
      </w:rPr>
    </w:lvl>
    <w:lvl w:ilvl="4" w:tplc="F07688E2" w:tentative="1">
      <w:start w:val="1"/>
      <w:numFmt w:val="bullet"/>
      <w:lvlText w:val="o"/>
      <w:lvlJc w:val="left"/>
      <w:pPr>
        <w:tabs>
          <w:tab w:val="num" w:pos="3600"/>
        </w:tabs>
        <w:ind w:left="3600" w:hanging="360"/>
      </w:pPr>
      <w:rPr>
        <w:rFonts w:ascii="Courier New" w:hAnsi="Courier New" w:cs="Courier New" w:hint="default"/>
      </w:rPr>
    </w:lvl>
    <w:lvl w:ilvl="5" w:tplc="BE681764" w:tentative="1">
      <w:start w:val="1"/>
      <w:numFmt w:val="bullet"/>
      <w:lvlText w:val=""/>
      <w:lvlJc w:val="left"/>
      <w:pPr>
        <w:tabs>
          <w:tab w:val="num" w:pos="4320"/>
        </w:tabs>
        <w:ind w:left="4320" w:hanging="360"/>
      </w:pPr>
      <w:rPr>
        <w:rFonts w:ascii="Wingdings" w:hAnsi="Wingdings" w:hint="default"/>
      </w:rPr>
    </w:lvl>
    <w:lvl w:ilvl="6" w:tplc="B11855C2" w:tentative="1">
      <w:start w:val="1"/>
      <w:numFmt w:val="bullet"/>
      <w:lvlText w:val=""/>
      <w:lvlJc w:val="left"/>
      <w:pPr>
        <w:tabs>
          <w:tab w:val="num" w:pos="5040"/>
        </w:tabs>
        <w:ind w:left="5040" w:hanging="360"/>
      </w:pPr>
      <w:rPr>
        <w:rFonts w:ascii="Symbol" w:hAnsi="Symbol" w:hint="default"/>
      </w:rPr>
    </w:lvl>
    <w:lvl w:ilvl="7" w:tplc="4790D53C" w:tentative="1">
      <w:start w:val="1"/>
      <w:numFmt w:val="bullet"/>
      <w:lvlText w:val="o"/>
      <w:lvlJc w:val="left"/>
      <w:pPr>
        <w:tabs>
          <w:tab w:val="num" w:pos="5760"/>
        </w:tabs>
        <w:ind w:left="5760" w:hanging="360"/>
      </w:pPr>
      <w:rPr>
        <w:rFonts w:ascii="Courier New" w:hAnsi="Courier New" w:cs="Courier New" w:hint="default"/>
      </w:rPr>
    </w:lvl>
    <w:lvl w:ilvl="8" w:tplc="1F88FE0E" w:tentative="1">
      <w:start w:val="1"/>
      <w:numFmt w:val="bullet"/>
      <w:lvlText w:val=""/>
      <w:lvlJc w:val="left"/>
      <w:pPr>
        <w:tabs>
          <w:tab w:val="num" w:pos="6480"/>
        </w:tabs>
        <w:ind w:left="6480" w:hanging="360"/>
      </w:pPr>
      <w:rPr>
        <w:rFonts w:ascii="Wingdings" w:hAnsi="Wingdings" w:hint="default"/>
      </w:rPr>
    </w:lvl>
  </w:abstractNum>
  <w:abstractNum w:abstractNumId="4">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6">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4D16058E"/>
    <w:multiLevelType w:val="hybridMultilevel"/>
    <w:tmpl w:val="8B2A490A"/>
    <w:lvl w:ilvl="0" w:tplc="F27630F0">
      <w:start w:val="1"/>
      <w:numFmt w:val="bullet"/>
      <w:lvlText w:val=""/>
      <w:lvlJc w:val="left"/>
      <w:pPr>
        <w:ind w:left="720" w:hanging="360"/>
      </w:pPr>
      <w:rPr>
        <w:rFonts w:ascii="Symbol" w:hAnsi="Symbol" w:hint="default"/>
      </w:rPr>
    </w:lvl>
    <w:lvl w:ilvl="1" w:tplc="CD1EA55C" w:tentative="1">
      <w:start w:val="1"/>
      <w:numFmt w:val="bullet"/>
      <w:lvlText w:val="o"/>
      <w:lvlJc w:val="left"/>
      <w:pPr>
        <w:ind w:left="1440" w:hanging="360"/>
      </w:pPr>
      <w:rPr>
        <w:rFonts w:ascii="Courier New" w:hAnsi="Courier New" w:cs="Courier New" w:hint="default"/>
      </w:rPr>
    </w:lvl>
    <w:lvl w:ilvl="2" w:tplc="34609FE2" w:tentative="1">
      <w:start w:val="1"/>
      <w:numFmt w:val="bullet"/>
      <w:lvlText w:val=""/>
      <w:lvlJc w:val="left"/>
      <w:pPr>
        <w:ind w:left="2160" w:hanging="360"/>
      </w:pPr>
      <w:rPr>
        <w:rFonts w:ascii="Wingdings" w:hAnsi="Wingdings" w:hint="default"/>
      </w:rPr>
    </w:lvl>
    <w:lvl w:ilvl="3" w:tplc="15360940" w:tentative="1">
      <w:start w:val="1"/>
      <w:numFmt w:val="bullet"/>
      <w:lvlText w:val=""/>
      <w:lvlJc w:val="left"/>
      <w:pPr>
        <w:ind w:left="2880" w:hanging="360"/>
      </w:pPr>
      <w:rPr>
        <w:rFonts w:ascii="Symbol" w:hAnsi="Symbol" w:hint="default"/>
      </w:rPr>
    </w:lvl>
    <w:lvl w:ilvl="4" w:tplc="4F0CD38E" w:tentative="1">
      <w:start w:val="1"/>
      <w:numFmt w:val="bullet"/>
      <w:lvlText w:val="o"/>
      <w:lvlJc w:val="left"/>
      <w:pPr>
        <w:ind w:left="3600" w:hanging="360"/>
      </w:pPr>
      <w:rPr>
        <w:rFonts w:ascii="Courier New" w:hAnsi="Courier New" w:cs="Courier New" w:hint="default"/>
      </w:rPr>
    </w:lvl>
    <w:lvl w:ilvl="5" w:tplc="9240233C" w:tentative="1">
      <w:start w:val="1"/>
      <w:numFmt w:val="bullet"/>
      <w:lvlText w:val=""/>
      <w:lvlJc w:val="left"/>
      <w:pPr>
        <w:ind w:left="4320" w:hanging="360"/>
      </w:pPr>
      <w:rPr>
        <w:rFonts w:ascii="Wingdings" w:hAnsi="Wingdings" w:hint="default"/>
      </w:rPr>
    </w:lvl>
    <w:lvl w:ilvl="6" w:tplc="3B42A2FA" w:tentative="1">
      <w:start w:val="1"/>
      <w:numFmt w:val="bullet"/>
      <w:lvlText w:val=""/>
      <w:lvlJc w:val="left"/>
      <w:pPr>
        <w:ind w:left="5040" w:hanging="360"/>
      </w:pPr>
      <w:rPr>
        <w:rFonts w:ascii="Symbol" w:hAnsi="Symbol" w:hint="default"/>
      </w:rPr>
    </w:lvl>
    <w:lvl w:ilvl="7" w:tplc="BC08312E" w:tentative="1">
      <w:start w:val="1"/>
      <w:numFmt w:val="bullet"/>
      <w:lvlText w:val="o"/>
      <w:lvlJc w:val="left"/>
      <w:pPr>
        <w:ind w:left="5760" w:hanging="360"/>
      </w:pPr>
      <w:rPr>
        <w:rFonts w:ascii="Courier New" w:hAnsi="Courier New" w:cs="Courier New" w:hint="default"/>
      </w:rPr>
    </w:lvl>
    <w:lvl w:ilvl="8" w:tplc="0E6EE6B6" w:tentative="1">
      <w:start w:val="1"/>
      <w:numFmt w:val="bullet"/>
      <w:lvlText w:val=""/>
      <w:lvlJc w:val="left"/>
      <w:pPr>
        <w:ind w:left="6480" w:hanging="360"/>
      </w:pPr>
      <w:rPr>
        <w:rFonts w:ascii="Wingdings" w:hAnsi="Wingdings" w:hint="default"/>
      </w:rPr>
    </w:lvl>
  </w:abstractNum>
  <w:abstractNum w:abstractNumId="8">
    <w:nsid w:val="58F7506F"/>
    <w:multiLevelType w:val="multilevel"/>
    <w:tmpl w:val="C1DC8DD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5F3D6657"/>
    <w:multiLevelType w:val="hybridMultilevel"/>
    <w:tmpl w:val="ECCA8118"/>
    <w:lvl w:ilvl="0" w:tplc="E0F0FB38">
      <w:start w:val="1"/>
      <w:numFmt w:val="bullet"/>
      <w:lvlText w:val=""/>
      <w:lvlJc w:val="left"/>
      <w:pPr>
        <w:tabs>
          <w:tab w:val="num" w:pos="720"/>
        </w:tabs>
        <w:ind w:left="720" w:hanging="360"/>
      </w:pPr>
      <w:rPr>
        <w:rFonts w:ascii="Symbol" w:hAnsi="Symbol" w:hint="default"/>
      </w:rPr>
    </w:lvl>
    <w:lvl w:ilvl="1" w:tplc="14E0534C">
      <w:start w:val="1"/>
      <w:numFmt w:val="bullet"/>
      <w:lvlText w:val="o"/>
      <w:lvlJc w:val="left"/>
      <w:pPr>
        <w:tabs>
          <w:tab w:val="num" w:pos="1440"/>
        </w:tabs>
        <w:ind w:left="1440" w:hanging="360"/>
      </w:pPr>
      <w:rPr>
        <w:rFonts w:ascii="Courier New" w:hAnsi="Courier New" w:cs="Courier New" w:hint="default"/>
      </w:rPr>
    </w:lvl>
    <w:lvl w:ilvl="2" w:tplc="E80A5632" w:tentative="1">
      <w:start w:val="1"/>
      <w:numFmt w:val="bullet"/>
      <w:lvlText w:val=""/>
      <w:lvlJc w:val="left"/>
      <w:pPr>
        <w:tabs>
          <w:tab w:val="num" w:pos="2160"/>
        </w:tabs>
        <w:ind w:left="2160" w:hanging="360"/>
      </w:pPr>
      <w:rPr>
        <w:rFonts w:ascii="Wingdings" w:hAnsi="Wingdings" w:hint="default"/>
      </w:rPr>
    </w:lvl>
    <w:lvl w:ilvl="3" w:tplc="45B0D094" w:tentative="1">
      <w:start w:val="1"/>
      <w:numFmt w:val="bullet"/>
      <w:lvlText w:val=""/>
      <w:lvlJc w:val="left"/>
      <w:pPr>
        <w:tabs>
          <w:tab w:val="num" w:pos="2880"/>
        </w:tabs>
        <w:ind w:left="2880" w:hanging="360"/>
      </w:pPr>
      <w:rPr>
        <w:rFonts w:ascii="Symbol" w:hAnsi="Symbol" w:hint="default"/>
      </w:rPr>
    </w:lvl>
    <w:lvl w:ilvl="4" w:tplc="53CAD92C" w:tentative="1">
      <w:start w:val="1"/>
      <w:numFmt w:val="bullet"/>
      <w:lvlText w:val="o"/>
      <w:lvlJc w:val="left"/>
      <w:pPr>
        <w:tabs>
          <w:tab w:val="num" w:pos="3600"/>
        </w:tabs>
        <w:ind w:left="3600" w:hanging="360"/>
      </w:pPr>
      <w:rPr>
        <w:rFonts w:ascii="Courier New" w:hAnsi="Courier New" w:cs="Courier New" w:hint="default"/>
      </w:rPr>
    </w:lvl>
    <w:lvl w:ilvl="5" w:tplc="F864D878" w:tentative="1">
      <w:start w:val="1"/>
      <w:numFmt w:val="bullet"/>
      <w:lvlText w:val=""/>
      <w:lvlJc w:val="left"/>
      <w:pPr>
        <w:tabs>
          <w:tab w:val="num" w:pos="4320"/>
        </w:tabs>
        <w:ind w:left="4320" w:hanging="360"/>
      </w:pPr>
      <w:rPr>
        <w:rFonts w:ascii="Wingdings" w:hAnsi="Wingdings" w:hint="default"/>
      </w:rPr>
    </w:lvl>
    <w:lvl w:ilvl="6" w:tplc="1EB09B86" w:tentative="1">
      <w:start w:val="1"/>
      <w:numFmt w:val="bullet"/>
      <w:lvlText w:val=""/>
      <w:lvlJc w:val="left"/>
      <w:pPr>
        <w:tabs>
          <w:tab w:val="num" w:pos="5040"/>
        </w:tabs>
        <w:ind w:left="5040" w:hanging="360"/>
      </w:pPr>
      <w:rPr>
        <w:rFonts w:ascii="Symbol" w:hAnsi="Symbol" w:hint="default"/>
      </w:rPr>
    </w:lvl>
    <w:lvl w:ilvl="7" w:tplc="03448F5A" w:tentative="1">
      <w:start w:val="1"/>
      <w:numFmt w:val="bullet"/>
      <w:lvlText w:val="o"/>
      <w:lvlJc w:val="left"/>
      <w:pPr>
        <w:tabs>
          <w:tab w:val="num" w:pos="5760"/>
        </w:tabs>
        <w:ind w:left="5760" w:hanging="360"/>
      </w:pPr>
      <w:rPr>
        <w:rFonts w:ascii="Courier New" w:hAnsi="Courier New" w:cs="Courier New" w:hint="default"/>
      </w:rPr>
    </w:lvl>
    <w:lvl w:ilvl="8" w:tplc="023043FC" w:tentative="1">
      <w:start w:val="1"/>
      <w:numFmt w:val="bullet"/>
      <w:lvlText w:val=""/>
      <w:lvlJc w:val="left"/>
      <w:pPr>
        <w:tabs>
          <w:tab w:val="num" w:pos="6480"/>
        </w:tabs>
        <w:ind w:left="6480" w:hanging="360"/>
      </w:pPr>
      <w:rPr>
        <w:rFonts w:ascii="Wingdings" w:hAnsi="Wingdings" w:hint="default"/>
      </w:rPr>
    </w:lvl>
  </w:abstractNum>
  <w:abstractNum w:abstractNumId="10">
    <w:nsid w:val="782503B6"/>
    <w:multiLevelType w:val="hybridMultilevel"/>
    <w:tmpl w:val="2B0A834C"/>
    <w:lvl w:ilvl="0" w:tplc="FE7460BA">
      <w:start w:val="1"/>
      <w:numFmt w:val="bullet"/>
      <w:lvlText w:val=""/>
      <w:lvlJc w:val="left"/>
      <w:pPr>
        <w:tabs>
          <w:tab w:val="num" w:pos="720"/>
        </w:tabs>
        <w:ind w:left="720" w:hanging="360"/>
      </w:pPr>
      <w:rPr>
        <w:rFonts w:ascii="Symbol" w:hAnsi="Symbol" w:hint="default"/>
      </w:rPr>
    </w:lvl>
    <w:lvl w:ilvl="1" w:tplc="5BDC7F66" w:tentative="1">
      <w:start w:val="1"/>
      <w:numFmt w:val="bullet"/>
      <w:lvlText w:val="o"/>
      <w:lvlJc w:val="left"/>
      <w:pPr>
        <w:tabs>
          <w:tab w:val="num" w:pos="1440"/>
        </w:tabs>
        <w:ind w:left="1440" w:hanging="360"/>
      </w:pPr>
      <w:rPr>
        <w:rFonts w:ascii="Courier New" w:hAnsi="Courier New" w:cs="Courier New" w:hint="default"/>
      </w:rPr>
    </w:lvl>
    <w:lvl w:ilvl="2" w:tplc="09CC14E6" w:tentative="1">
      <w:start w:val="1"/>
      <w:numFmt w:val="bullet"/>
      <w:lvlText w:val=""/>
      <w:lvlJc w:val="left"/>
      <w:pPr>
        <w:tabs>
          <w:tab w:val="num" w:pos="2160"/>
        </w:tabs>
        <w:ind w:left="2160" w:hanging="360"/>
      </w:pPr>
      <w:rPr>
        <w:rFonts w:ascii="Wingdings" w:hAnsi="Wingdings" w:hint="default"/>
      </w:rPr>
    </w:lvl>
    <w:lvl w:ilvl="3" w:tplc="0F463546" w:tentative="1">
      <w:start w:val="1"/>
      <w:numFmt w:val="bullet"/>
      <w:lvlText w:val=""/>
      <w:lvlJc w:val="left"/>
      <w:pPr>
        <w:tabs>
          <w:tab w:val="num" w:pos="2880"/>
        </w:tabs>
        <w:ind w:left="2880" w:hanging="360"/>
      </w:pPr>
      <w:rPr>
        <w:rFonts w:ascii="Symbol" w:hAnsi="Symbol" w:hint="default"/>
      </w:rPr>
    </w:lvl>
    <w:lvl w:ilvl="4" w:tplc="3098A1C0" w:tentative="1">
      <w:start w:val="1"/>
      <w:numFmt w:val="bullet"/>
      <w:lvlText w:val="o"/>
      <w:lvlJc w:val="left"/>
      <w:pPr>
        <w:tabs>
          <w:tab w:val="num" w:pos="3600"/>
        </w:tabs>
        <w:ind w:left="3600" w:hanging="360"/>
      </w:pPr>
      <w:rPr>
        <w:rFonts w:ascii="Courier New" w:hAnsi="Courier New" w:cs="Courier New" w:hint="default"/>
      </w:rPr>
    </w:lvl>
    <w:lvl w:ilvl="5" w:tplc="EA7E68A6" w:tentative="1">
      <w:start w:val="1"/>
      <w:numFmt w:val="bullet"/>
      <w:lvlText w:val=""/>
      <w:lvlJc w:val="left"/>
      <w:pPr>
        <w:tabs>
          <w:tab w:val="num" w:pos="4320"/>
        </w:tabs>
        <w:ind w:left="4320" w:hanging="360"/>
      </w:pPr>
      <w:rPr>
        <w:rFonts w:ascii="Wingdings" w:hAnsi="Wingdings" w:hint="default"/>
      </w:rPr>
    </w:lvl>
    <w:lvl w:ilvl="6" w:tplc="18EEE23E" w:tentative="1">
      <w:start w:val="1"/>
      <w:numFmt w:val="bullet"/>
      <w:lvlText w:val=""/>
      <w:lvlJc w:val="left"/>
      <w:pPr>
        <w:tabs>
          <w:tab w:val="num" w:pos="5040"/>
        </w:tabs>
        <w:ind w:left="5040" w:hanging="360"/>
      </w:pPr>
      <w:rPr>
        <w:rFonts w:ascii="Symbol" w:hAnsi="Symbol" w:hint="default"/>
      </w:rPr>
    </w:lvl>
    <w:lvl w:ilvl="7" w:tplc="0F92C34E" w:tentative="1">
      <w:start w:val="1"/>
      <w:numFmt w:val="bullet"/>
      <w:lvlText w:val="o"/>
      <w:lvlJc w:val="left"/>
      <w:pPr>
        <w:tabs>
          <w:tab w:val="num" w:pos="5760"/>
        </w:tabs>
        <w:ind w:left="5760" w:hanging="360"/>
      </w:pPr>
      <w:rPr>
        <w:rFonts w:ascii="Courier New" w:hAnsi="Courier New" w:cs="Courier New" w:hint="default"/>
      </w:rPr>
    </w:lvl>
    <w:lvl w:ilvl="8" w:tplc="3C447800" w:tentative="1">
      <w:start w:val="1"/>
      <w:numFmt w:val="bullet"/>
      <w:lvlText w:val=""/>
      <w:lvlJc w:val="left"/>
      <w:pPr>
        <w:tabs>
          <w:tab w:val="num" w:pos="6480"/>
        </w:tabs>
        <w:ind w:left="6480" w:hanging="360"/>
      </w:pPr>
      <w:rPr>
        <w:rFonts w:ascii="Wingdings" w:hAnsi="Wingdings" w:hint="default"/>
      </w:rPr>
    </w:lvl>
  </w:abstractNum>
  <w:abstractNum w:abstractNumId="11">
    <w:nsid w:val="7D161530"/>
    <w:multiLevelType w:val="hybridMultilevel"/>
    <w:tmpl w:val="F9CCAC8C"/>
    <w:lvl w:ilvl="0" w:tplc="28466FB8">
      <w:start w:val="1"/>
      <w:numFmt w:val="bullet"/>
      <w:lvlText w:val=""/>
      <w:lvlJc w:val="left"/>
      <w:pPr>
        <w:tabs>
          <w:tab w:val="num" w:pos="720"/>
        </w:tabs>
        <w:ind w:left="720" w:hanging="360"/>
      </w:pPr>
      <w:rPr>
        <w:rFonts w:ascii="Symbol" w:hAnsi="Symbol" w:hint="default"/>
      </w:rPr>
    </w:lvl>
    <w:lvl w:ilvl="1" w:tplc="3F9CAC8A" w:tentative="1">
      <w:start w:val="1"/>
      <w:numFmt w:val="bullet"/>
      <w:lvlText w:val="o"/>
      <w:lvlJc w:val="left"/>
      <w:pPr>
        <w:tabs>
          <w:tab w:val="num" w:pos="1440"/>
        </w:tabs>
        <w:ind w:left="1440" w:hanging="360"/>
      </w:pPr>
      <w:rPr>
        <w:rFonts w:ascii="Courier New" w:hAnsi="Courier New" w:cs="Courier New" w:hint="default"/>
      </w:rPr>
    </w:lvl>
    <w:lvl w:ilvl="2" w:tplc="CDB885A2" w:tentative="1">
      <w:start w:val="1"/>
      <w:numFmt w:val="bullet"/>
      <w:lvlText w:val=""/>
      <w:lvlJc w:val="left"/>
      <w:pPr>
        <w:tabs>
          <w:tab w:val="num" w:pos="2160"/>
        </w:tabs>
        <w:ind w:left="2160" w:hanging="360"/>
      </w:pPr>
      <w:rPr>
        <w:rFonts w:ascii="Wingdings" w:hAnsi="Wingdings" w:hint="default"/>
      </w:rPr>
    </w:lvl>
    <w:lvl w:ilvl="3" w:tplc="10746F68" w:tentative="1">
      <w:start w:val="1"/>
      <w:numFmt w:val="bullet"/>
      <w:lvlText w:val=""/>
      <w:lvlJc w:val="left"/>
      <w:pPr>
        <w:tabs>
          <w:tab w:val="num" w:pos="2880"/>
        </w:tabs>
        <w:ind w:left="2880" w:hanging="360"/>
      </w:pPr>
      <w:rPr>
        <w:rFonts w:ascii="Symbol" w:hAnsi="Symbol" w:hint="default"/>
      </w:rPr>
    </w:lvl>
    <w:lvl w:ilvl="4" w:tplc="8AA0AE64" w:tentative="1">
      <w:start w:val="1"/>
      <w:numFmt w:val="bullet"/>
      <w:lvlText w:val="o"/>
      <w:lvlJc w:val="left"/>
      <w:pPr>
        <w:tabs>
          <w:tab w:val="num" w:pos="3600"/>
        </w:tabs>
        <w:ind w:left="3600" w:hanging="360"/>
      </w:pPr>
      <w:rPr>
        <w:rFonts w:ascii="Courier New" w:hAnsi="Courier New" w:cs="Courier New" w:hint="default"/>
      </w:rPr>
    </w:lvl>
    <w:lvl w:ilvl="5" w:tplc="9F22765E" w:tentative="1">
      <w:start w:val="1"/>
      <w:numFmt w:val="bullet"/>
      <w:lvlText w:val=""/>
      <w:lvlJc w:val="left"/>
      <w:pPr>
        <w:tabs>
          <w:tab w:val="num" w:pos="4320"/>
        </w:tabs>
        <w:ind w:left="4320" w:hanging="360"/>
      </w:pPr>
      <w:rPr>
        <w:rFonts w:ascii="Wingdings" w:hAnsi="Wingdings" w:hint="default"/>
      </w:rPr>
    </w:lvl>
    <w:lvl w:ilvl="6" w:tplc="7AAE0490" w:tentative="1">
      <w:start w:val="1"/>
      <w:numFmt w:val="bullet"/>
      <w:lvlText w:val=""/>
      <w:lvlJc w:val="left"/>
      <w:pPr>
        <w:tabs>
          <w:tab w:val="num" w:pos="5040"/>
        </w:tabs>
        <w:ind w:left="5040" w:hanging="360"/>
      </w:pPr>
      <w:rPr>
        <w:rFonts w:ascii="Symbol" w:hAnsi="Symbol" w:hint="default"/>
      </w:rPr>
    </w:lvl>
    <w:lvl w:ilvl="7" w:tplc="8B001762" w:tentative="1">
      <w:start w:val="1"/>
      <w:numFmt w:val="bullet"/>
      <w:lvlText w:val="o"/>
      <w:lvlJc w:val="left"/>
      <w:pPr>
        <w:tabs>
          <w:tab w:val="num" w:pos="5760"/>
        </w:tabs>
        <w:ind w:left="5760" w:hanging="360"/>
      </w:pPr>
      <w:rPr>
        <w:rFonts w:ascii="Courier New" w:hAnsi="Courier New" w:cs="Courier New" w:hint="default"/>
      </w:rPr>
    </w:lvl>
    <w:lvl w:ilvl="8" w:tplc="47FAD93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B9"/>
    <w:rsid w:val="003529DE"/>
    <w:rsid w:val="00C024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3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B1F067A72244B2F4ED101882E4AB" ma:contentTypeVersion="" ma:contentTypeDescription="PDMS Document Site Content Type" ma:contentTypeScope="" ma:versionID="a7bc45af4cfe958b0b36b0708b1d9e6a">
  <xsd:schema xmlns:xsd="http://www.w3.org/2001/XMLSchema" xmlns:xs="http://www.w3.org/2001/XMLSchema" xmlns:p="http://schemas.microsoft.com/office/2006/metadata/properties" xmlns:ns2="8E5260BD-25AE-4F9E-8FC0-8384CB2839B1" targetNamespace="http://schemas.microsoft.com/office/2006/metadata/properties" ma:root="true" ma:fieldsID="b69c6c2e1ec9eb8d9a39ce30d4b18c52" ns2:_="">
    <xsd:import namespace="8E5260BD-25AE-4F9E-8FC0-8384CB2839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60BD-25AE-4F9E-8FC0-8384CB2839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D5EA-4B73-4F6A-A2FC-1273CE83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60BD-25AE-4F9E-8FC0-8384CB28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86ECF-1468-4453-934B-759EC90171CD}">
  <ds:schemaRefs>
    <ds:schemaRef ds:uri="http://schemas.microsoft.com/sharepoint/v3/contenttype/forms"/>
  </ds:schemaRefs>
</ds:datastoreItem>
</file>

<file path=customXml/itemProps3.xml><?xml version="1.0" encoding="utf-8"?>
<ds:datastoreItem xmlns:ds="http://schemas.openxmlformats.org/officeDocument/2006/customXml" ds:itemID="{53D8B1AC-BD16-4D83-B978-26248F9B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0</TotalTime>
  <Pages>5</Pages>
  <Words>1350</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BSR</dc:creator>
  <cp:lastModifiedBy>Bernard Smith-Roberts</cp:lastModifiedBy>
  <cp:revision>2</cp:revision>
  <cp:lastPrinted>2015-06-08T22:49:00Z</cp:lastPrinted>
  <dcterms:created xsi:type="dcterms:W3CDTF">2016-05-12T02:20:00Z</dcterms:created>
  <dcterms:modified xsi:type="dcterms:W3CDTF">2016-05-12T02:20:00Z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13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Sharon Nyakuengama</vt:lpwstr>
  </property>
  <property fmtid="{D5CDD505-2E9C-101B-9397-08002B2CF9AE}" pid="10" name="Ministers">
    <vt:lpwstr>Paul Fletcher</vt:lpwstr>
  </property>
  <property fmtid="{D5CDD505-2E9C-101B-9397-08002B2CF9AE}" pid="11" name="PdrId">
    <vt:lpwstr>MS16-000606</vt:lpwstr>
  </property>
  <property fmtid="{D5CDD505-2E9C-101B-9397-08002B2CF9AE}" pid="12" name="Principal">
    <vt:lpwstr>Minister Fletcher</vt:lpwstr>
  </property>
  <property fmtid="{D5CDD505-2E9C-101B-9397-08002B2CF9AE}" pid="13" name="ReasonForSensitivity">
    <vt:lpwstr/>
  </property>
  <property fmtid="{D5CDD505-2E9C-101B-9397-08002B2CF9AE}" pid="14" name="RegisteredDate">
    <vt:lpwstr>08 April 2016</vt:lpwstr>
  </property>
  <property fmtid="{D5CDD505-2E9C-101B-9397-08002B2CF9AE}" pid="15" name="RequestedAction">
    <vt:lpwstr>Agree/sign</vt:lpwstr>
  </property>
  <property fmtid="{D5CDD505-2E9C-101B-9397-08002B2CF9AE}" pid="16" name="ResponsibleMinister">
    <vt:lpwstr>Paul Fletcher</vt:lpwstr>
  </property>
  <property fmtid="{D5CDD505-2E9C-101B-9397-08002B2CF9AE}" pid="17" name="SecurityClassification">
    <vt:lpwstr>UNCLASSIFIED  </vt:lpwstr>
  </property>
  <property fmtid="{D5CDD505-2E9C-101B-9397-08002B2CF9AE}" pid="18" name="Subject">
    <vt:lpwstr>Determination of Vehicle Standard - Amendment to Australian Design Rule - Definitions and Vehicle Categories to align definitions</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