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19" w:rsidRPr="00CA6F05" w:rsidRDefault="00940C19" w:rsidP="00940C19">
      <w:pPr>
        <w:jc w:val="center"/>
        <w:rPr>
          <w:rFonts w:asciiTheme="minorHAnsi" w:hAnsiTheme="minorHAnsi"/>
          <w:b/>
          <w:sz w:val="22"/>
          <w:szCs w:val="22"/>
        </w:rPr>
      </w:pPr>
      <w:bookmarkStart w:id="0" w:name="_GoBack"/>
      <w:bookmarkEnd w:id="0"/>
      <w:r w:rsidRPr="00CA6F05">
        <w:rPr>
          <w:rFonts w:asciiTheme="minorHAnsi" w:hAnsiTheme="minorHAnsi"/>
          <w:noProof/>
          <w:lang w:eastAsia="en-AU"/>
        </w:rPr>
        <w:drawing>
          <wp:inline distT="0" distB="0" distL="0" distR="0" wp14:anchorId="594CAC27" wp14:editId="6D752FE1">
            <wp:extent cx="898525" cy="659765"/>
            <wp:effectExtent l="0" t="0" r="0" b="6985"/>
            <wp:docPr id="1" name="Picture 1" descr="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525" cy="659765"/>
                    </a:xfrm>
                    <a:prstGeom prst="rect">
                      <a:avLst/>
                    </a:prstGeom>
                    <a:noFill/>
                    <a:ln>
                      <a:noFill/>
                    </a:ln>
                  </pic:spPr>
                </pic:pic>
              </a:graphicData>
            </a:graphic>
          </wp:inline>
        </w:drawing>
      </w:r>
    </w:p>
    <w:p w:rsidR="00940C19" w:rsidRPr="00CA6F05" w:rsidRDefault="00940C19" w:rsidP="00940C19">
      <w:pPr>
        <w:jc w:val="center"/>
        <w:rPr>
          <w:rFonts w:asciiTheme="minorHAnsi" w:hAnsiTheme="minorHAnsi"/>
          <w:b/>
          <w:sz w:val="22"/>
          <w:szCs w:val="22"/>
        </w:rPr>
      </w:pPr>
    </w:p>
    <w:p w:rsidR="00940C19" w:rsidRPr="00CA6F05" w:rsidRDefault="00940C19" w:rsidP="00940C19">
      <w:pPr>
        <w:pStyle w:val="Magistrate"/>
        <w:jc w:val="center"/>
        <w:rPr>
          <w:rFonts w:asciiTheme="minorHAnsi" w:hAnsiTheme="minorHAnsi"/>
          <w:b/>
          <w:caps w:val="0"/>
          <w:color w:val="000000"/>
          <w:sz w:val="24"/>
        </w:rPr>
      </w:pPr>
      <w:r w:rsidRPr="00CA6F05">
        <w:rPr>
          <w:rFonts w:asciiTheme="minorHAnsi" w:hAnsiTheme="minorHAnsi"/>
          <w:b/>
          <w:caps w:val="0"/>
          <w:color w:val="000000"/>
          <w:sz w:val="24"/>
        </w:rPr>
        <w:t>FEDERAL CIRCUIT COURT OF AUSTRALIA</w:t>
      </w:r>
    </w:p>
    <w:p w:rsidR="00CA6F05" w:rsidRPr="00CA6F05" w:rsidRDefault="00CA6F05" w:rsidP="00CA6F05">
      <w:pPr>
        <w:autoSpaceDE w:val="0"/>
        <w:autoSpaceDN w:val="0"/>
        <w:adjustRightInd w:val="0"/>
        <w:rPr>
          <w:rFonts w:asciiTheme="minorHAnsi" w:eastAsiaTheme="minorHAnsi" w:hAnsiTheme="minorHAnsi"/>
          <w:b/>
          <w:bCs/>
          <w:color w:val="000000"/>
          <w:szCs w:val="24"/>
        </w:rPr>
      </w:pPr>
    </w:p>
    <w:p w:rsidR="00CA6F05" w:rsidRPr="00CA6F05" w:rsidRDefault="00CA6F05" w:rsidP="00CA6F05">
      <w:pPr>
        <w:autoSpaceDE w:val="0"/>
        <w:autoSpaceDN w:val="0"/>
        <w:adjustRightInd w:val="0"/>
        <w:jc w:val="center"/>
        <w:rPr>
          <w:rFonts w:asciiTheme="minorHAnsi" w:eastAsiaTheme="minorHAnsi" w:hAnsiTheme="minorHAnsi" w:cs="Helv"/>
          <w:b/>
          <w:bCs/>
          <w:color w:val="000000"/>
          <w:sz w:val="22"/>
          <w:szCs w:val="22"/>
        </w:rPr>
      </w:pPr>
      <w:r w:rsidRPr="00CA6F05">
        <w:rPr>
          <w:rFonts w:asciiTheme="minorHAnsi" w:eastAsiaTheme="minorHAnsi" w:hAnsiTheme="minorHAnsi" w:cs="Helv"/>
          <w:b/>
          <w:bCs/>
          <w:color w:val="000000"/>
          <w:sz w:val="22"/>
          <w:szCs w:val="22"/>
        </w:rPr>
        <w:t>EXPLANATORY STATEMENT</w:t>
      </w:r>
    </w:p>
    <w:p w:rsidR="00CA6F05" w:rsidRPr="00CA6F05" w:rsidRDefault="00CA6F05" w:rsidP="00CA6F05">
      <w:pPr>
        <w:autoSpaceDE w:val="0"/>
        <w:autoSpaceDN w:val="0"/>
        <w:adjustRightInd w:val="0"/>
        <w:rPr>
          <w:rFonts w:asciiTheme="minorHAnsi" w:eastAsiaTheme="minorHAnsi" w:hAnsiTheme="minorHAnsi" w:cs="Helv"/>
          <w:b/>
          <w:bCs/>
          <w:color w:val="000000"/>
          <w:sz w:val="22"/>
          <w:szCs w:val="22"/>
        </w:rPr>
      </w:pPr>
    </w:p>
    <w:p w:rsidR="00CA6F05" w:rsidRPr="00CA6F05" w:rsidRDefault="00CA6F05" w:rsidP="00CA6F05">
      <w:pPr>
        <w:autoSpaceDE w:val="0"/>
        <w:autoSpaceDN w:val="0"/>
        <w:adjustRightInd w:val="0"/>
        <w:jc w:val="center"/>
        <w:rPr>
          <w:rFonts w:asciiTheme="minorHAnsi" w:eastAsiaTheme="minorHAnsi" w:hAnsiTheme="minorHAnsi" w:cs="Helv"/>
          <w:b/>
          <w:bCs/>
          <w:color w:val="000000"/>
          <w:sz w:val="22"/>
          <w:szCs w:val="22"/>
        </w:rPr>
      </w:pPr>
    </w:p>
    <w:p w:rsidR="00CA6F05" w:rsidRPr="00CA6F05" w:rsidRDefault="00CA6F05" w:rsidP="00CA6F05">
      <w:pPr>
        <w:keepNext/>
        <w:autoSpaceDE w:val="0"/>
        <w:autoSpaceDN w:val="0"/>
        <w:adjustRightInd w:val="0"/>
        <w:jc w:val="center"/>
        <w:rPr>
          <w:rFonts w:asciiTheme="minorHAnsi" w:eastAsiaTheme="minorHAnsi" w:hAnsiTheme="minorHAnsi" w:cs="Helv"/>
          <w:b/>
          <w:bCs/>
          <w:color w:val="000000"/>
          <w:sz w:val="22"/>
          <w:szCs w:val="22"/>
        </w:rPr>
      </w:pPr>
      <w:r w:rsidRPr="00CA6F05">
        <w:rPr>
          <w:rFonts w:asciiTheme="minorHAnsi" w:eastAsiaTheme="minorHAnsi" w:hAnsiTheme="minorHAnsi" w:cs="Helv"/>
          <w:b/>
          <w:bCs/>
          <w:color w:val="000000"/>
          <w:sz w:val="22"/>
          <w:szCs w:val="22"/>
        </w:rPr>
        <w:t xml:space="preserve">Issued by the authority of the Judges of the Federal Circuit Court of Australia </w:t>
      </w:r>
    </w:p>
    <w:p w:rsidR="00CA6F05" w:rsidRPr="00CA6F05" w:rsidRDefault="00CA6F05" w:rsidP="00CA6F05">
      <w:pPr>
        <w:autoSpaceDE w:val="0"/>
        <w:autoSpaceDN w:val="0"/>
        <w:adjustRightInd w:val="0"/>
        <w:jc w:val="center"/>
        <w:rPr>
          <w:rFonts w:asciiTheme="minorHAnsi" w:eastAsiaTheme="minorHAnsi" w:hAnsiTheme="minorHAnsi" w:cs="Helv"/>
          <w:b/>
          <w:bCs/>
          <w:color w:val="000000"/>
          <w:sz w:val="22"/>
          <w:szCs w:val="22"/>
        </w:rPr>
      </w:pPr>
    </w:p>
    <w:p w:rsidR="00CA6F05" w:rsidRPr="00CA6F05" w:rsidRDefault="00CA6F05" w:rsidP="00CA6F05">
      <w:pPr>
        <w:autoSpaceDE w:val="0"/>
        <w:autoSpaceDN w:val="0"/>
        <w:adjustRightInd w:val="0"/>
        <w:jc w:val="center"/>
        <w:rPr>
          <w:rFonts w:asciiTheme="minorHAnsi" w:eastAsiaTheme="minorHAnsi" w:hAnsiTheme="minorHAnsi" w:cs="Helv"/>
          <w:b/>
          <w:bCs/>
          <w:color w:val="000000"/>
          <w:sz w:val="22"/>
          <w:szCs w:val="22"/>
        </w:rPr>
      </w:pPr>
    </w:p>
    <w:p w:rsidR="00CA6F05" w:rsidRPr="00CA6F05" w:rsidRDefault="00CA6F05" w:rsidP="00CA6F05">
      <w:pPr>
        <w:autoSpaceDE w:val="0"/>
        <w:autoSpaceDN w:val="0"/>
        <w:adjustRightInd w:val="0"/>
        <w:jc w:val="center"/>
        <w:rPr>
          <w:rFonts w:asciiTheme="minorHAnsi" w:eastAsiaTheme="minorHAnsi" w:hAnsiTheme="minorHAnsi" w:cs="Helv"/>
          <w:b/>
          <w:bCs/>
          <w:i/>
          <w:iCs/>
          <w:sz w:val="22"/>
          <w:szCs w:val="22"/>
        </w:rPr>
      </w:pPr>
      <w:r w:rsidRPr="00CA6F05">
        <w:rPr>
          <w:rFonts w:asciiTheme="minorHAnsi" w:eastAsiaTheme="minorHAnsi" w:hAnsiTheme="minorHAnsi" w:cs="Helv"/>
          <w:b/>
          <w:bCs/>
          <w:i/>
          <w:iCs/>
          <w:sz w:val="22"/>
          <w:szCs w:val="22"/>
        </w:rPr>
        <w:t>Federal Circuit Court Amendment (Costs and Other Measures) Rules 2016</w:t>
      </w:r>
    </w:p>
    <w:p w:rsidR="00CA6F05" w:rsidRPr="00CA6F05" w:rsidRDefault="00CA6F05" w:rsidP="00CA6F05">
      <w:pPr>
        <w:autoSpaceDE w:val="0"/>
        <w:autoSpaceDN w:val="0"/>
        <w:adjustRightInd w:val="0"/>
        <w:jc w:val="center"/>
        <w:rPr>
          <w:rFonts w:asciiTheme="minorHAnsi" w:eastAsiaTheme="minorHAnsi" w:hAnsiTheme="minorHAnsi" w:cs="Helv"/>
          <w:b/>
          <w:bCs/>
          <w:i/>
          <w:iCs/>
          <w:color w:val="FF0000"/>
          <w:sz w:val="22"/>
          <w:szCs w:val="22"/>
        </w:rPr>
      </w:pPr>
    </w:p>
    <w:p w:rsidR="00CA6F05" w:rsidRPr="00AE2185" w:rsidRDefault="00CA6F05" w:rsidP="00CA6F05">
      <w:pPr>
        <w:autoSpaceDE w:val="0"/>
        <w:autoSpaceDN w:val="0"/>
        <w:adjustRightInd w:val="0"/>
        <w:spacing w:after="120"/>
        <w:rPr>
          <w:rFonts w:asciiTheme="minorHAnsi" w:eastAsiaTheme="minorHAnsi" w:hAnsiTheme="minorHAnsi" w:cs="Helv"/>
          <w:b/>
          <w:bCs/>
          <w:color w:val="000000"/>
          <w:sz w:val="22"/>
          <w:szCs w:val="22"/>
        </w:rPr>
      </w:pPr>
      <w:r w:rsidRPr="00AE2185">
        <w:rPr>
          <w:rFonts w:asciiTheme="minorHAnsi" w:eastAsiaTheme="minorHAnsi" w:hAnsiTheme="minorHAnsi" w:cs="Helv"/>
          <w:b/>
          <w:bCs/>
          <w:color w:val="000000"/>
          <w:sz w:val="22"/>
          <w:szCs w:val="22"/>
        </w:rPr>
        <w:t xml:space="preserve">Authority for </w:t>
      </w:r>
      <w:r w:rsidRPr="00A21082">
        <w:rPr>
          <w:rFonts w:asciiTheme="minorHAnsi" w:eastAsiaTheme="minorHAnsi" w:hAnsiTheme="minorHAnsi" w:cs="Helv"/>
          <w:b/>
          <w:bCs/>
          <w:i/>
          <w:color w:val="000000"/>
          <w:sz w:val="22"/>
          <w:szCs w:val="22"/>
        </w:rPr>
        <w:t>Federal Circuit Court Rules</w:t>
      </w:r>
    </w:p>
    <w:p w:rsidR="00CA6F05" w:rsidRPr="00AE2185" w:rsidRDefault="00CA6F05" w:rsidP="005C1265">
      <w:pPr>
        <w:autoSpaceDE w:val="0"/>
        <w:autoSpaceDN w:val="0"/>
        <w:adjustRightInd w:val="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Section 81 of the </w:t>
      </w:r>
      <w:r w:rsidRPr="00AE2185">
        <w:rPr>
          <w:rFonts w:asciiTheme="minorHAnsi" w:eastAsiaTheme="minorHAnsi" w:hAnsiTheme="minorHAnsi" w:cs="Helv"/>
          <w:i/>
          <w:iCs/>
          <w:color w:val="000000"/>
          <w:sz w:val="22"/>
          <w:szCs w:val="22"/>
        </w:rPr>
        <w:t xml:space="preserve">Federal Circuit Court of Australia Act 1999 </w:t>
      </w:r>
      <w:r w:rsidRPr="00AE2185">
        <w:rPr>
          <w:rFonts w:asciiTheme="minorHAnsi" w:eastAsiaTheme="minorHAnsi" w:hAnsiTheme="minorHAnsi" w:cs="Helv"/>
          <w:color w:val="000000"/>
          <w:sz w:val="22"/>
          <w:szCs w:val="22"/>
        </w:rPr>
        <w:t>permits the Judges of the Federal Circuit Court of Australia (Federal Circuit Court) or a majority of them, to make Rules of Court not inconsistent with the Act. These rules may provide for the practice and procedure to be followed in the Court and may extend to all matters incidental to any such practice or procedure that are necessary or convenient to be prescribed for the conduct of any business of the Court.</w:t>
      </w:r>
    </w:p>
    <w:p w:rsidR="00CA6F05" w:rsidRPr="00AE2185" w:rsidRDefault="00CA6F05" w:rsidP="005C1265">
      <w:pPr>
        <w:autoSpaceDE w:val="0"/>
        <w:autoSpaceDN w:val="0"/>
        <w:adjustRightInd w:val="0"/>
        <w:jc w:val="both"/>
        <w:rPr>
          <w:rFonts w:asciiTheme="minorHAnsi" w:eastAsiaTheme="minorHAnsi" w:hAnsiTheme="minorHAnsi" w:cs="Helv"/>
          <w:color w:val="000000"/>
          <w:sz w:val="22"/>
          <w:szCs w:val="22"/>
        </w:rPr>
      </w:pPr>
    </w:p>
    <w:p w:rsidR="00CA6F05" w:rsidRPr="00AE2185" w:rsidRDefault="00CA6F05" w:rsidP="005C1265">
      <w:pPr>
        <w:autoSpaceDE w:val="0"/>
        <w:autoSpaceDN w:val="0"/>
        <w:adjustRightInd w:val="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Under sub-section 81(3) of the </w:t>
      </w:r>
      <w:r w:rsidRPr="00AE2185">
        <w:rPr>
          <w:rFonts w:asciiTheme="minorHAnsi" w:eastAsiaTheme="minorHAnsi" w:hAnsiTheme="minorHAnsi" w:cs="Helv"/>
          <w:i/>
          <w:iCs/>
          <w:color w:val="000000"/>
          <w:sz w:val="22"/>
          <w:szCs w:val="22"/>
        </w:rPr>
        <w:t>Federal Circuit Court of Australia Act</w:t>
      </w:r>
      <w:r w:rsidRPr="00AE2185">
        <w:rPr>
          <w:rFonts w:asciiTheme="minorHAnsi" w:eastAsiaTheme="minorHAnsi" w:hAnsiTheme="minorHAnsi" w:cs="Helv"/>
          <w:color w:val="000000"/>
          <w:sz w:val="22"/>
          <w:szCs w:val="22"/>
        </w:rPr>
        <w:t xml:space="preserve"> </w:t>
      </w:r>
      <w:r w:rsidRPr="00AE2185">
        <w:rPr>
          <w:rFonts w:asciiTheme="minorHAnsi" w:eastAsiaTheme="minorHAnsi" w:hAnsiTheme="minorHAnsi" w:cs="Helv"/>
          <w:i/>
          <w:iCs/>
          <w:color w:val="000000"/>
          <w:sz w:val="22"/>
          <w:szCs w:val="22"/>
        </w:rPr>
        <w:t>1999</w:t>
      </w:r>
      <w:r w:rsidRPr="00AE2185">
        <w:rPr>
          <w:rFonts w:asciiTheme="minorHAnsi" w:eastAsiaTheme="minorHAnsi" w:hAnsiTheme="minorHAnsi" w:cs="Helv"/>
          <w:color w:val="000000"/>
          <w:sz w:val="22"/>
          <w:szCs w:val="22"/>
        </w:rPr>
        <w:t xml:space="preserve">, the </w:t>
      </w:r>
      <w:r w:rsidRPr="00AE2185">
        <w:rPr>
          <w:rFonts w:asciiTheme="minorHAnsi" w:eastAsiaTheme="minorHAnsi" w:hAnsiTheme="minorHAnsi" w:cs="Helv"/>
          <w:i/>
          <w:iCs/>
          <w:color w:val="000000"/>
          <w:sz w:val="22"/>
          <w:szCs w:val="22"/>
        </w:rPr>
        <w:t xml:space="preserve">Legislation Act 2003 </w:t>
      </w:r>
      <w:r w:rsidRPr="00AE2185">
        <w:rPr>
          <w:rFonts w:asciiTheme="minorHAnsi" w:eastAsiaTheme="minorHAnsi" w:hAnsiTheme="minorHAnsi" w:cs="Helv"/>
          <w:color w:val="000000"/>
          <w:sz w:val="22"/>
          <w:szCs w:val="22"/>
        </w:rPr>
        <w:t xml:space="preserve">(other than sections 8, 9, 10 and 16 of that Act) applies in relation to rules of court made by the Court under the </w:t>
      </w:r>
      <w:r w:rsidRPr="00AE2185">
        <w:rPr>
          <w:rFonts w:asciiTheme="minorHAnsi" w:eastAsiaTheme="minorHAnsi" w:hAnsiTheme="minorHAnsi" w:cs="Helv"/>
          <w:i/>
          <w:iCs/>
          <w:color w:val="000000"/>
          <w:sz w:val="22"/>
          <w:szCs w:val="22"/>
        </w:rPr>
        <w:t>Federal Circuit Court of Australia Act</w:t>
      </w:r>
      <w:r w:rsidRPr="00AE2185">
        <w:rPr>
          <w:rFonts w:asciiTheme="minorHAnsi" w:eastAsiaTheme="minorHAnsi" w:hAnsiTheme="minorHAnsi" w:cs="Helv"/>
          <w:color w:val="000000"/>
          <w:sz w:val="22"/>
          <w:szCs w:val="22"/>
        </w:rPr>
        <w:t xml:space="preserve"> </w:t>
      </w:r>
      <w:r w:rsidRPr="00AE2185">
        <w:rPr>
          <w:rFonts w:asciiTheme="minorHAnsi" w:eastAsiaTheme="minorHAnsi" w:hAnsiTheme="minorHAnsi" w:cs="Helv"/>
          <w:i/>
          <w:iCs/>
          <w:color w:val="000000"/>
          <w:sz w:val="22"/>
          <w:szCs w:val="22"/>
        </w:rPr>
        <w:t xml:space="preserve">1999 </w:t>
      </w:r>
      <w:r w:rsidRPr="00AE2185">
        <w:rPr>
          <w:rFonts w:asciiTheme="minorHAnsi" w:eastAsiaTheme="minorHAnsi" w:hAnsiTheme="minorHAnsi" w:cs="Helv"/>
          <w:color w:val="000000"/>
          <w:sz w:val="22"/>
          <w:szCs w:val="22"/>
        </w:rPr>
        <w:t xml:space="preserve">or another Act: </w:t>
      </w:r>
    </w:p>
    <w:p w:rsidR="005C1265" w:rsidRPr="00AE2185" w:rsidRDefault="005C1265" w:rsidP="005C1265">
      <w:pPr>
        <w:autoSpaceDE w:val="0"/>
        <w:autoSpaceDN w:val="0"/>
        <w:adjustRightInd w:val="0"/>
        <w:jc w:val="both"/>
        <w:rPr>
          <w:rFonts w:asciiTheme="minorHAnsi" w:eastAsiaTheme="minorHAnsi" w:hAnsiTheme="minorHAnsi" w:cs="Helv"/>
          <w:color w:val="000000"/>
          <w:sz w:val="22"/>
          <w:szCs w:val="22"/>
        </w:rPr>
      </w:pPr>
    </w:p>
    <w:p w:rsidR="00CA6F05" w:rsidRPr="00AE2185" w:rsidRDefault="00CA6F05" w:rsidP="005C1265">
      <w:pPr>
        <w:tabs>
          <w:tab w:val="left" w:pos="567"/>
        </w:tabs>
        <w:autoSpaceDE w:val="0"/>
        <w:autoSpaceDN w:val="0"/>
        <w:adjustRightInd w:val="0"/>
        <w:ind w:left="567" w:hanging="567"/>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(a)</w:t>
      </w:r>
      <w:r w:rsidRPr="00AE2185">
        <w:rPr>
          <w:rFonts w:asciiTheme="minorHAnsi" w:eastAsiaTheme="minorHAnsi" w:hAnsiTheme="minorHAnsi" w:cs="Helv"/>
          <w:color w:val="000000"/>
          <w:sz w:val="22"/>
          <w:szCs w:val="22"/>
        </w:rPr>
        <w:tab/>
      </w:r>
      <w:proofErr w:type="gramStart"/>
      <w:r w:rsidRPr="00AE2185">
        <w:rPr>
          <w:rFonts w:asciiTheme="minorHAnsi" w:eastAsiaTheme="minorHAnsi" w:hAnsiTheme="minorHAnsi" w:cs="Helv"/>
          <w:color w:val="000000"/>
          <w:sz w:val="22"/>
          <w:szCs w:val="22"/>
        </w:rPr>
        <w:t>as</w:t>
      </w:r>
      <w:proofErr w:type="gramEnd"/>
      <w:r w:rsidRPr="00AE2185">
        <w:rPr>
          <w:rFonts w:asciiTheme="minorHAnsi" w:eastAsiaTheme="minorHAnsi" w:hAnsiTheme="minorHAnsi" w:cs="Helv"/>
          <w:color w:val="000000"/>
          <w:sz w:val="22"/>
          <w:szCs w:val="22"/>
        </w:rPr>
        <w:t xml:space="preserve"> if a reference to a legislative instrument were a reference to a rule of court; and </w:t>
      </w:r>
    </w:p>
    <w:p w:rsidR="00CA6F05" w:rsidRPr="00AE2185" w:rsidRDefault="00CA6F05" w:rsidP="005C1265">
      <w:pPr>
        <w:tabs>
          <w:tab w:val="left" w:pos="567"/>
        </w:tabs>
        <w:autoSpaceDE w:val="0"/>
        <w:autoSpaceDN w:val="0"/>
        <w:adjustRightInd w:val="0"/>
        <w:ind w:left="567" w:hanging="567"/>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(b)</w:t>
      </w:r>
      <w:r w:rsidRPr="00AE2185">
        <w:rPr>
          <w:rFonts w:asciiTheme="minorHAnsi" w:eastAsiaTheme="minorHAnsi" w:hAnsiTheme="minorHAnsi" w:cs="Helv"/>
          <w:color w:val="000000"/>
          <w:sz w:val="22"/>
          <w:szCs w:val="22"/>
        </w:rPr>
        <w:tab/>
        <w:t xml:space="preserve">as if a reference to a rule-maker were a reference to the Chief Judge acting on behalf of the Judges of the Court; and </w:t>
      </w:r>
    </w:p>
    <w:p w:rsidR="00CA6F05" w:rsidRPr="00AE2185" w:rsidRDefault="00CA6F05" w:rsidP="005C1265">
      <w:pPr>
        <w:tabs>
          <w:tab w:val="left" w:pos="567"/>
        </w:tabs>
        <w:autoSpaceDE w:val="0"/>
        <w:autoSpaceDN w:val="0"/>
        <w:adjustRightInd w:val="0"/>
        <w:ind w:left="567" w:hanging="567"/>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(c)</w:t>
      </w:r>
      <w:r w:rsidRPr="00AE2185">
        <w:rPr>
          <w:rFonts w:asciiTheme="minorHAnsi" w:eastAsiaTheme="minorHAnsi" w:hAnsiTheme="minorHAnsi" w:cs="Helv"/>
          <w:color w:val="000000"/>
          <w:sz w:val="22"/>
          <w:szCs w:val="22"/>
        </w:rPr>
        <w:tab/>
        <w:t xml:space="preserve">subject to such further modifications or adaptations as are provided for in regulations made under section 120 of the </w:t>
      </w:r>
      <w:r w:rsidRPr="00AE2185">
        <w:rPr>
          <w:rFonts w:asciiTheme="minorHAnsi" w:eastAsiaTheme="minorHAnsi" w:hAnsiTheme="minorHAnsi" w:cs="Helv"/>
          <w:i/>
          <w:iCs/>
          <w:color w:val="000000"/>
          <w:sz w:val="22"/>
          <w:szCs w:val="22"/>
        </w:rPr>
        <w:t>Federal Circuit Court of Australia Act</w:t>
      </w:r>
      <w:r w:rsidRPr="00AE2185">
        <w:rPr>
          <w:rFonts w:asciiTheme="minorHAnsi" w:eastAsiaTheme="minorHAnsi" w:hAnsiTheme="minorHAnsi" w:cs="Helv"/>
          <w:color w:val="000000"/>
          <w:sz w:val="22"/>
          <w:szCs w:val="22"/>
        </w:rPr>
        <w:t xml:space="preserve"> </w:t>
      </w:r>
      <w:r w:rsidRPr="00AE2185">
        <w:rPr>
          <w:rFonts w:asciiTheme="minorHAnsi" w:eastAsiaTheme="minorHAnsi" w:hAnsiTheme="minorHAnsi" w:cs="Helv"/>
          <w:i/>
          <w:iCs/>
          <w:color w:val="000000"/>
          <w:sz w:val="22"/>
          <w:szCs w:val="22"/>
        </w:rPr>
        <w:t>1999</w:t>
      </w:r>
      <w:r w:rsidRPr="00AE2185">
        <w:rPr>
          <w:rFonts w:asciiTheme="minorHAnsi" w:eastAsiaTheme="minorHAnsi" w:hAnsiTheme="minorHAnsi" w:cs="Helv"/>
          <w:color w:val="000000"/>
          <w:sz w:val="22"/>
          <w:szCs w:val="22"/>
        </w:rPr>
        <w:t>.</w:t>
      </w:r>
    </w:p>
    <w:p w:rsidR="00CA6F05" w:rsidRPr="00AE2185" w:rsidRDefault="00CA6F05" w:rsidP="00CA6F05">
      <w:pPr>
        <w:tabs>
          <w:tab w:val="left" w:pos="567"/>
        </w:tabs>
        <w:autoSpaceDE w:val="0"/>
        <w:autoSpaceDN w:val="0"/>
        <w:adjustRightInd w:val="0"/>
        <w:ind w:left="567" w:hanging="567"/>
        <w:rPr>
          <w:rFonts w:asciiTheme="minorHAnsi" w:eastAsiaTheme="minorHAnsi" w:hAnsiTheme="minorHAnsi" w:cs="Helv"/>
          <w:color w:val="000000"/>
          <w:sz w:val="22"/>
          <w:szCs w:val="22"/>
        </w:rPr>
      </w:pPr>
    </w:p>
    <w:p w:rsidR="00CA6F05" w:rsidRPr="00AE2185" w:rsidRDefault="00CA6F05" w:rsidP="00CA6F05">
      <w:pPr>
        <w:tabs>
          <w:tab w:val="left" w:pos="567"/>
        </w:tabs>
        <w:autoSpaceDE w:val="0"/>
        <w:autoSpaceDN w:val="0"/>
        <w:adjustRightInd w:val="0"/>
        <w:ind w:left="567" w:hanging="567"/>
        <w:rPr>
          <w:rFonts w:asciiTheme="minorHAnsi" w:eastAsiaTheme="minorHAnsi" w:hAnsiTheme="minorHAnsi" w:cs="Helv"/>
          <w:b/>
          <w:bCs/>
          <w:color w:val="000000"/>
          <w:sz w:val="22"/>
          <w:szCs w:val="22"/>
        </w:rPr>
      </w:pPr>
      <w:r w:rsidRPr="00AE2185">
        <w:rPr>
          <w:rFonts w:asciiTheme="minorHAnsi" w:eastAsiaTheme="minorHAnsi" w:hAnsiTheme="minorHAnsi" w:cs="Helv"/>
          <w:b/>
          <w:bCs/>
          <w:color w:val="000000"/>
          <w:sz w:val="22"/>
          <w:szCs w:val="22"/>
        </w:rPr>
        <w:t>General outline of amendments</w:t>
      </w:r>
    </w:p>
    <w:p w:rsidR="00CA6F05" w:rsidRPr="00AE2185" w:rsidRDefault="00CA6F05" w:rsidP="00CA6F05">
      <w:pPr>
        <w:tabs>
          <w:tab w:val="left" w:pos="567"/>
        </w:tabs>
        <w:autoSpaceDE w:val="0"/>
        <w:autoSpaceDN w:val="0"/>
        <w:adjustRightInd w:val="0"/>
        <w:ind w:left="567" w:hanging="567"/>
        <w:rPr>
          <w:rFonts w:asciiTheme="minorHAnsi" w:eastAsiaTheme="minorHAnsi" w:hAnsiTheme="minorHAnsi" w:cs="Helv"/>
          <w:b/>
          <w:bCs/>
          <w:color w:val="000000"/>
          <w:sz w:val="22"/>
          <w:szCs w:val="22"/>
        </w:rPr>
      </w:pPr>
    </w:p>
    <w:p w:rsidR="005C1265" w:rsidRPr="00AE2185" w:rsidRDefault="00CA6F05" w:rsidP="005C1265">
      <w:pPr>
        <w:tabs>
          <w:tab w:val="left" w:pos="567"/>
        </w:tabs>
        <w:autoSpaceDE w:val="0"/>
        <w:autoSpaceDN w:val="0"/>
        <w:adjustRightInd w:val="0"/>
        <w:ind w:left="567" w:hanging="567"/>
        <w:jc w:val="both"/>
        <w:rPr>
          <w:rFonts w:asciiTheme="minorHAnsi" w:eastAsiaTheme="minorHAnsi" w:hAnsiTheme="minorHAnsi" w:cs="Helv"/>
          <w:bCs/>
          <w:color w:val="000000"/>
          <w:sz w:val="22"/>
          <w:szCs w:val="22"/>
        </w:rPr>
      </w:pPr>
      <w:r w:rsidRPr="00AE2185">
        <w:rPr>
          <w:rFonts w:asciiTheme="minorHAnsi" w:eastAsiaTheme="minorHAnsi" w:hAnsiTheme="minorHAnsi" w:cs="Helv"/>
          <w:color w:val="000000"/>
          <w:sz w:val="22"/>
          <w:szCs w:val="22"/>
        </w:rPr>
        <w:t xml:space="preserve">The </w:t>
      </w:r>
      <w:r w:rsidRPr="00AE2185">
        <w:rPr>
          <w:rFonts w:asciiTheme="minorHAnsi" w:eastAsiaTheme="minorHAnsi" w:hAnsiTheme="minorHAnsi" w:cs="Helv"/>
          <w:i/>
          <w:iCs/>
          <w:color w:val="000000"/>
          <w:sz w:val="22"/>
          <w:szCs w:val="22"/>
        </w:rPr>
        <w:t>F</w:t>
      </w:r>
      <w:r w:rsidRPr="00AE2185">
        <w:rPr>
          <w:rFonts w:asciiTheme="minorHAnsi" w:eastAsiaTheme="minorHAnsi" w:hAnsiTheme="minorHAnsi" w:cs="Helv"/>
          <w:bCs/>
          <w:i/>
          <w:iCs/>
          <w:color w:val="000000"/>
          <w:sz w:val="22"/>
          <w:szCs w:val="22"/>
        </w:rPr>
        <w:t>ederal Circuit Court Rules 2001</w:t>
      </w:r>
      <w:r w:rsidR="00AE2185" w:rsidRPr="00AE2185">
        <w:rPr>
          <w:rFonts w:asciiTheme="minorHAnsi" w:eastAsiaTheme="minorHAnsi" w:hAnsiTheme="minorHAnsi" w:cs="Helv"/>
          <w:bCs/>
          <w:color w:val="000000"/>
          <w:sz w:val="22"/>
          <w:szCs w:val="22"/>
        </w:rPr>
        <w:t xml:space="preserve"> (</w:t>
      </w:r>
      <w:r w:rsidR="000F5D84">
        <w:rPr>
          <w:rFonts w:asciiTheme="minorHAnsi" w:eastAsiaTheme="minorHAnsi" w:hAnsiTheme="minorHAnsi" w:cs="Helv"/>
          <w:bCs/>
          <w:color w:val="000000"/>
          <w:sz w:val="22"/>
          <w:szCs w:val="22"/>
        </w:rPr>
        <w:t>“</w:t>
      </w:r>
      <w:r w:rsidR="00AE2185" w:rsidRPr="00AE2185">
        <w:rPr>
          <w:rFonts w:asciiTheme="minorHAnsi" w:eastAsiaTheme="minorHAnsi" w:hAnsiTheme="minorHAnsi" w:cs="Helv"/>
          <w:bCs/>
          <w:color w:val="000000"/>
          <w:sz w:val="22"/>
          <w:szCs w:val="22"/>
        </w:rPr>
        <w:t>the Rules</w:t>
      </w:r>
      <w:r w:rsidR="000F5D84">
        <w:rPr>
          <w:rFonts w:asciiTheme="minorHAnsi" w:eastAsiaTheme="minorHAnsi" w:hAnsiTheme="minorHAnsi" w:cs="Helv"/>
          <w:bCs/>
          <w:color w:val="000000"/>
          <w:sz w:val="22"/>
          <w:szCs w:val="22"/>
        </w:rPr>
        <w:t>”</w:t>
      </w:r>
      <w:r w:rsidRPr="00AE2185">
        <w:rPr>
          <w:rFonts w:asciiTheme="minorHAnsi" w:eastAsiaTheme="minorHAnsi" w:hAnsiTheme="minorHAnsi" w:cs="Helv"/>
          <w:bCs/>
          <w:color w:val="000000"/>
          <w:sz w:val="22"/>
          <w:szCs w:val="22"/>
        </w:rPr>
        <w:t>) are reviewed regularly. The judges have</w:t>
      </w:r>
    </w:p>
    <w:p w:rsidR="00CA6F05" w:rsidRPr="00AE2185" w:rsidRDefault="005C1265" w:rsidP="005C1265">
      <w:pPr>
        <w:tabs>
          <w:tab w:val="left" w:pos="567"/>
        </w:tabs>
        <w:autoSpaceDE w:val="0"/>
        <w:autoSpaceDN w:val="0"/>
        <w:adjustRightInd w:val="0"/>
        <w:ind w:left="567" w:hanging="567"/>
        <w:jc w:val="both"/>
        <w:rPr>
          <w:rFonts w:asciiTheme="minorHAnsi" w:eastAsiaTheme="minorHAnsi" w:hAnsiTheme="minorHAnsi" w:cs="Helv"/>
          <w:bCs/>
          <w:color w:val="000000"/>
          <w:sz w:val="22"/>
          <w:szCs w:val="22"/>
        </w:rPr>
      </w:pPr>
      <w:proofErr w:type="gramStart"/>
      <w:r w:rsidRPr="00AE2185">
        <w:rPr>
          <w:rFonts w:asciiTheme="minorHAnsi" w:eastAsiaTheme="minorHAnsi" w:hAnsiTheme="minorHAnsi" w:cs="Helv"/>
          <w:bCs/>
          <w:color w:val="000000"/>
          <w:sz w:val="22"/>
          <w:szCs w:val="22"/>
        </w:rPr>
        <w:t>agreed</w:t>
      </w:r>
      <w:proofErr w:type="gramEnd"/>
      <w:r w:rsidRPr="00AE2185">
        <w:rPr>
          <w:rFonts w:asciiTheme="minorHAnsi" w:eastAsiaTheme="minorHAnsi" w:hAnsiTheme="minorHAnsi" w:cs="Helv"/>
          <w:bCs/>
          <w:color w:val="000000"/>
          <w:sz w:val="22"/>
          <w:szCs w:val="22"/>
        </w:rPr>
        <w:t xml:space="preserve"> </w:t>
      </w:r>
      <w:r w:rsidR="00CA6F05" w:rsidRPr="00AE2185">
        <w:rPr>
          <w:rFonts w:asciiTheme="minorHAnsi" w:eastAsiaTheme="minorHAnsi" w:hAnsiTheme="minorHAnsi" w:cs="Helv"/>
          <w:bCs/>
          <w:color w:val="000000"/>
          <w:sz w:val="22"/>
          <w:szCs w:val="22"/>
        </w:rPr>
        <w:t>to a number of miscellaneous amendments which are comprised in these Amendment</w:t>
      </w:r>
    </w:p>
    <w:p w:rsidR="00CA6F05" w:rsidRPr="00AE2185" w:rsidRDefault="00CA6F05" w:rsidP="005C1265">
      <w:pPr>
        <w:tabs>
          <w:tab w:val="left" w:pos="567"/>
        </w:tabs>
        <w:autoSpaceDE w:val="0"/>
        <w:autoSpaceDN w:val="0"/>
        <w:adjustRightInd w:val="0"/>
        <w:ind w:left="567" w:hanging="567"/>
        <w:jc w:val="both"/>
        <w:rPr>
          <w:rFonts w:asciiTheme="minorHAnsi" w:eastAsiaTheme="minorHAnsi" w:hAnsiTheme="minorHAnsi" w:cs="Helv"/>
          <w:bCs/>
          <w:color w:val="000000"/>
          <w:sz w:val="22"/>
          <w:szCs w:val="22"/>
        </w:rPr>
      </w:pPr>
      <w:proofErr w:type="gramStart"/>
      <w:r w:rsidRPr="00AE2185">
        <w:rPr>
          <w:rFonts w:asciiTheme="minorHAnsi" w:eastAsiaTheme="minorHAnsi" w:hAnsiTheme="minorHAnsi" w:cs="Helv"/>
          <w:bCs/>
          <w:color w:val="000000"/>
          <w:sz w:val="22"/>
          <w:szCs w:val="22"/>
        </w:rPr>
        <w:t>Rules.</w:t>
      </w:r>
      <w:proofErr w:type="gramEnd"/>
    </w:p>
    <w:p w:rsidR="00CA6F05" w:rsidRPr="00AE2185" w:rsidRDefault="00CA6F05" w:rsidP="005C1265">
      <w:pPr>
        <w:tabs>
          <w:tab w:val="left" w:pos="567"/>
        </w:tabs>
        <w:autoSpaceDE w:val="0"/>
        <w:autoSpaceDN w:val="0"/>
        <w:adjustRightInd w:val="0"/>
        <w:ind w:left="567" w:hanging="567"/>
        <w:rPr>
          <w:rFonts w:asciiTheme="minorHAnsi" w:eastAsiaTheme="minorHAnsi" w:hAnsiTheme="minorHAnsi" w:cs="Helv"/>
          <w:b/>
          <w:bCs/>
          <w:color w:val="000000"/>
          <w:sz w:val="22"/>
          <w:szCs w:val="22"/>
        </w:rPr>
      </w:pPr>
    </w:p>
    <w:p w:rsidR="00CA6F05" w:rsidRPr="00AE2185" w:rsidRDefault="00CA6F05" w:rsidP="005C1265">
      <w:pPr>
        <w:tabs>
          <w:tab w:val="left" w:pos="567"/>
        </w:tabs>
        <w:autoSpaceDE w:val="0"/>
        <w:autoSpaceDN w:val="0"/>
        <w:adjustRightInd w:val="0"/>
        <w:ind w:left="567" w:hanging="567"/>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The amendments in</w:t>
      </w:r>
      <w:r w:rsidRPr="00AE2185">
        <w:rPr>
          <w:rFonts w:asciiTheme="minorHAnsi" w:eastAsiaTheme="minorHAnsi" w:hAnsiTheme="minorHAnsi" w:cs="Helv"/>
          <w:b/>
          <w:bCs/>
          <w:color w:val="000000"/>
          <w:sz w:val="22"/>
          <w:szCs w:val="22"/>
        </w:rPr>
        <w:t xml:space="preserve"> </w:t>
      </w:r>
      <w:r w:rsidRPr="00AE2185">
        <w:rPr>
          <w:rFonts w:asciiTheme="minorHAnsi" w:eastAsiaTheme="minorHAnsi" w:hAnsiTheme="minorHAnsi" w:cs="Helv"/>
          <w:color w:val="000000"/>
          <w:sz w:val="22"/>
          <w:szCs w:val="22"/>
        </w:rPr>
        <w:t>Part 1 increase the itemised amounts of costs comprised in Schedule 1 of</w:t>
      </w:r>
    </w:p>
    <w:p w:rsidR="005C1265" w:rsidRPr="00AE2185" w:rsidRDefault="00CA6F05" w:rsidP="005C1265">
      <w:pPr>
        <w:tabs>
          <w:tab w:val="left" w:pos="567"/>
        </w:tabs>
        <w:autoSpaceDE w:val="0"/>
        <w:autoSpaceDN w:val="0"/>
        <w:adjustRightInd w:val="0"/>
        <w:ind w:left="567" w:hanging="567"/>
        <w:rPr>
          <w:rFonts w:asciiTheme="minorHAnsi" w:eastAsiaTheme="minorHAnsi" w:hAnsiTheme="minorHAnsi" w:cs="Helv"/>
          <w:color w:val="000000"/>
          <w:sz w:val="22"/>
          <w:szCs w:val="22"/>
        </w:rPr>
      </w:pPr>
      <w:proofErr w:type="gramStart"/>
      <w:r w:rsidRPr="00AE2185">
        <w:rPr>
          <w:rFonts w:asciiTheme="minorHAnsi" w:eastAsiaTheme="minorHAnsi" w:hAnsiTheme="minorHAnsi" w:cs="Helv"/>
          <w:color w:val="000000"/>
          <w:sz w:val="22"/>
          <w:szCs w:val="22"/>
        </w:rPr>
        <w:t>the</w:t>
      </w:r>
      <w:proofErr w:type="gramEnd"/>
      <w:r w:rsidRPr="00AE2185">
        <w:rPr>
          <w:rFonts w:asciiTheme="minorHAnsi" w:eastAsiaTheme="minorHAnsi" w:hAnsiTheme="minorHAnsi" w:cs="Helv"/>
          <w:color w:val="000000"/>
          <w:sz w:val="22"/>
          <w:szCs w:val="22"/>
        </w:rPr>
        <w:t xml:space="preserve"> Rules. These increases follow recommendations made by the Joint Costs Advisory</w:t>
      </w:r>
    </w:p>
    <w:p w:rsidR="00CA6F05" w:rsidRPr="00AE2185" w:rsidRDefault="00CA6F05" w:rsidP="005C1265">
      <w:pPr>
        <w:tabs>
          <w:tab w:val="left" w:pos="567"/>
        </w:tabs>
        <w:autoSpaceDE w:val="0"/>
        <w:autoSpaceDN w:val="0"/>
        <w:adjustRightInd w:val="0"/>
        <w:ind w:left="567" w:hanging="567"/>
        <w:rPr>
          <w:rFonts w:asciiTheme="minorHAnsi" w:eastAsiaTheme="minorHAnsi" w:hAnsiTheme="minorHAnsi" w:cs="Helv"/>
          <w:color w:val="000000"/>
          <w:sz w:val="22"/>
          <w:szCs w:val="22"/>
        </w:rPr>
      </w:pPr>
      <w:proofErr w:type="gramStart"/>
      <w:r w:rsidRPr="00AE2185">
        <w:rPr>
          <w:rFonts w:asciiTheme="minorHAnsi" w:eastAsiaTheme="minorHAnsi" w:hAnsiTheme="minorHAnsi" w:cs="Helv"/>
          <w:color w:val="000000"/>
          <w:sz w:val="22"/>
          <w:szCs w:val="22"/>
        </w:rPr>
        <w:t>Committee in their 7th and 8th report.</w:t>
      </w:r>
      <w:proofErr w:type="gramEnd"/>
      <w:r w:rsidRPr="00AE2185">
        <w:rPr>
          <w:rFonts w:asciiTheme="minorHAnsi" w:eastAsiaTheme="minorHAnsi" w:hAnsiTheme="minorHAnsi" w:cs="Helv"/>
          <w:color w:val="000000"/>
          <w:sz w:val="22"/>
          <w:szCs w:val="22"/>
        </w:rPr>
        <w:t xml:space="preserve"> </w:t>
      </w:r>
    </w:p>
    <w:p w:rsidR="00CA6F05" w:rsidRPr="00AE2185" w:rsidRDefault="00CA6F05" w:rsidP="00CA6F05">
      <w:pPr>
        <w:tabs>
          <w:tab w:val="left" w:pos="567"/>
        </w:tabs>
        <w:autoSpaceDE w:val="0"/>
        <w:autoSpaceDN w:val="0"/>
        <w:adjustRightInd w:val="0"/>
        <w:ind w:left="567" w:hanging="567"/>
        <w:rPr>
          <w:rFonts w:asciiTheme="minorHAnsi" w:eastAsiaTheme="minorHAnsi" w:hAnsiTheme="minorHAnsi" w:cs="Helv"/>
          <w:color w:val="000000"/>
          <w:sz w:val="22"/>
          <w:szCs w:val="22"/>
        </w:rPr>
      </w:pPr>
    </w:p>
    <w:p w:rsidR="00CA6F05" w:rsidRPr="00AE2185" w:rsidRDefault="00CA6F05" w:rsidP="00AE2185">
      <w:pPr>
        <w:tabs>
          <w:tab w:val="left" w:pos="567"/>
        </w:tabs>
        <w:autoSpaceDE w:val="0"/>
        <w:autoSpaceDN w:val="0"/>
        <w:adjustRightInd w:val="0"/>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The amendments in Part 2 comprise other miscellaneous amendments to the Rules including</w:t>
      </w:r>
      <w:r w:rsidR="00E1049E">
        <w:rPr>
          <w:rFonts w:asciiTheme="minorHAnsi" w:eastAsiaTheme="minorHAnsi" w:hAnsiTheme="minorHAnsi" w:cs="Helv"/>
          <w:color w:val="000000"/>
          <w:sz w:val="22"/>
          <w:szCs w:val="22"/>
        </w:rPr>
        <w:t>:</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p>
    <w:p w:rsidR="00CA6F05" w:rsidRPr="00AE2185" w:rsidRDefault="00CA6F05" w:rsidP="005C1265">
      <w:pPr>
        <w:numPr>
          <w:ilvl w:val="0"/>
          <w:numId w:val="39"/>
        </w:numPr>
        <w:autoSpaceDE w:val="0"/>
        <w:autoSpaceDN w:val="0"/>
        <w:adjustRightInd w:val="0"/>
        <w:ind w:left="360" w:hanging="36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An amendment which inserts a new paragraph (</w:t>
      </w:r>
      <w:proofErr w:type="spellStart"/>
      <w:r w:rsidRPr="00AE2185">
        <w:rPr>
          <w:rFonts w:asciiTheme="minorHAnsi" w:eastAsiaTheme="minorHAnsi" w:hAnsiTheme="minorHAnsi" w:cs="Helv"/>
          <w:color w:val="000000"/>
          <w:sz w:val="22"/>
          <w:szCs w:val="22"/>
        </w:rPr>
        <w:t>ba</w:t>
      </w:r>
      <w:proofErr w:type="spellEnd"/>
      <w:r w:rsidRPr="00AE2185">
        <w:rPr>
          <w:rFonts w:asciiTheme="minorHAnsi" w:eastAsiaTheme="minorHAnsi" w:hAnsiTheme="minorHAnsi" w:cs="Helv"/>
          <w:color w:val="000000"/>
          <w:sz w:val="22"/>
          <w:szCs w:val="22"/>
        </w:rPr>
        <w:t xml:space="preserve">) to </w:t>
      </w:r>
      <w:proofErr w:type="spellStart"/>
      <w:r w:rsidRPr="00AE2185">
        <w:rPr>
          <w:rFonts w:asciiTheme="minorHAnsi" w:eastAsiaTheme="minorHAnsi" w:hAnsiTheme="minorHAnsi" w:cs="Helv"/>
          <w:color w:val="000000"/>
          <w:sz w:val="22"/>
          <w:szCs w:val="22"/>
        </w:rPr>
        <w:t>subrule</w:t>
      </w:r>
      <w:proofErr w:type="spellEnd"/>
      <w:r w:rsidRPr="00AE2185">
        <w:rPr>
          <w:rFonts w:asciiTheme="minorHAnsi" w:eastAsiaTheme="minorHAnsi" w:hAnsiTheme="minorHAnsi" w:cs="Helv"/>
          <w:color w:val="000000"/>
          <w:sz w:val="22"/>
          <w:szCs w:val="22"/>
        </w:rPr>
        <w:t xml:space="preserve"> 2.08(1)(b) extending the list of person</w:t>
      </w:r>
      <w:r w:rsidR="00B577FC">
        <w:rPr>
          <w:rFonts w:asciiTheme="minorHAnsi" w:eastAsiaTheme="minorHAnsi" w:hAnsiTheme="minorHAnsi" w:cs="Helv"/>
          <w:color w:val="000000"/>
          <w:sz w:val="22"/>
          <w:szCs w:val="22"/>
        </w:rPr>
        <w:t xml:space="preserve"> </w:t>
      </w:r>
      <w:r w:rsidRPr="00AE2185">
        <w:rPr>
          <w:rFonts w:asciiTheme="minorHAnsi" w:eastAsiaTheme="minorHAnsi" w:hAnsiTheme="minorHAnsi" w:cs="Helv"/>
          <w:color w:val="000000"/>
          <w:sz w:val="22"/>
          <w:szCs w:val="22"/>
        </w:rPr>
        <w:t>who</w:t>
      </w:r>
      <w:r w:rsidR="00B577FC">
        <w:rPr>
          <w:rFonts w:asciiTheme="minorHAnsi" w:eastAsiaTheme="minorHAnsi" w:hAnsiTheme="minorHAnsi" w:cs="Helv"/>
          <w:color w:val="000000"/>
          <w:sz w:val="22"/>
          <w:szCs w:val="22"/>
        </w:rPr>
        <w:t>, in family law/child support proceedings,</w:t>
      </w:r>
      <w:r w:rsidRPr="00AE2185">
        <w:rPr>
          <w:rFonts w:asciiTheme="minorHAnsi" w:eastAsiaTheme="minorHAnsi" w:hAnsiTheme="minorHAnsi" w:cs="Helv"/>
          <w:color w:val="000000"/>
          <w:sz w:val="22"/>
          <w:szCs w:val="22"/>
        </w:rPr>
        <w:t xml:space="preserve"> can search the court records to a child welfare officer of a State or Territory, if the case affects or may affect the welfare of a child. This amendment is consistent with a recent amendment to section 121(9) of the </w:t>
      </w:r>
      <w:r w:rsidR="00B577FC">
        <w:rPr>
          <w:rFonts w:asciiTheme="minorHAnsi" w:eastAsiaTheme="minorHAnsi" w:hAnsiTheme="minorHAnsi" w:cs="Helv"/>
          <w:i/>
          <w:iCs/>
          <w:color w:val="000000"/>
          <w:sz w:val="22"/>
          <w:szCs w:val="22"/>
        </w:rPr>
        <w:lastRenderedPageBreak/>
        <w:t xml:space="preserve">Family Law Act 1975 </w:t>
      </w:r>
      <w:r w:rsidRPr="00AE2185">
        <w:rPr>
          <w:rFonts w:asciiTheme="minorHAnsi" w:eastAsiaTheme="minorHAnsi" w:hAnsiTheme="minorHAnsi" w:cs="Helv"/>
          <w:color w:val="000000"/>
          <w:sz w:val="22"/>
          <w:szCs w:val="22"/>
        </w:rPr>
        <w:t xml:space="preserve">which now specifically </w:t>
      </w:r>
      <w:r w:rsidR="00B577FC">
        <w:rPr>
          <w:rFonts w:asciiTheme="minorHAnsi" w:eastAsiaTheme="minorHAnsi" w:hAnsiTheme="minorHAnsi" w:cs="Helv"/>
          <w:color w:val="000000"/>
          <w:sz w:val="22"/>
          <w:szCs w:val="22"/>
        </w:rPr>
        <w:t xml:space="preserve">exempts from the general restriction on publication of family law proceedings </w:t>
      </w:r>
      <w:r w:rsidRPr="00AE2185">
        <w:rPr>
          <w:rFonts w:asciiTheme="minorHAnsi" w:eastAsiaTheme="minorHAnsi" w:hAnsiTheme="minorHAnsi" w:cs="Helv"/>
          <w:color w:val="000000"/>
          <w:sz w:val="22"/>
          <w:szCs w:val="22"/>
        </w:rPr>
        <w:t xml:space="preserve">the communication of certain documents to prescribed welfare authorities. The amendment to </w:t>
      </w:r>
      <w:proofErr w:type="spellStart"/>
      <w:r w:rsidRPr="00AE2185">
        <w:rPr>
          <w:rFonts w:asciiTheme="minorHAnsi" w:eastAsiaTheme="minorHAnsi" w:hAnsiTheme="minorHAnsi" w:cs="Helv"/>
          <w:color w:val="000000"/>
          <w:sz w:val="22"/>
          <w:szCs w:val="22"/>
        </w:rPr>
        <w:t>subrule</w:t>
      </w:r>
      <w:proofErr w:type="spellEnd"/>
      <w:r w:rsidRPr="00AE2185">
        <w:rPr>
          <w:rFonts w:asciiTheme="minorHAnsi" w:eastAsiaTheme="minorHAnsi" w:hAnsiTheme="minorHAnsi" w:cs="Helv"/>
          <w:color w:val="000000"/>
          <w:sz w:val="22"/>
          <w:szCs w:val="22"/>
        </w:rPr>
        <w:t xml:space="preserve"> 2.08 is intended to facilitate the sharing of relevant court records with child welfare officers and is consistent with amendments previously m</w:t>
      </w:r>
      <w:r w:rsidR="00B577FC">
        <w:rPr>
          <w:rFonts w:asciiTheme="minorHAnsi" w:eastAsiaTheme="minorHAnsi" w:hAnsiTheme="minorHAnsi" w:cs="Helv"/>
          <w:color w:val="000000"/>
          <w:sz w:val="22"/>
          <w:szCs w:val="22"/>
        </w:rPr>
        <w:t xml:space="preserve">ade to paragraph </w:t>
      </w:r>
      <w:proofErr w:type="gramStart"/>
      <w:r w:rsidR="00B577FC">
        <w:rPr>
          <w:rFonts w:asciiTheme="minorHAnsi" w:eastAsiaTheme="minorHAnsi" w:hAnsiTheme="minorHAnsi" w:cs="Helv"/>
          <w:color w:val="000000"/>
          <w:sz w:val="22"/>
          <w:szCs w:val="22"/>
        </w:rPr>
        <w:t>23.01A(</w:t>
      </w:r>
      <w:proofErr w:type="gramEnd"/>
      <w:r w:rsidR="00B577FC">
        <w:rPr>
          <w:rFonts w:asciiTheme="minorHAnsi" w:eastAsiaTheme="minorHAnsi" w:hAnsiTheme="minorHAnsi" w:cs="Helv"/>
          <w:color w:val="000000"/>
          <w:sz w:val="22"/>
          <w:szCs w:val="22"/>
        </w:rPr>
        <w:t>5)(a)(iii</w:t>
      </w:r>
      <w:r w:rsidRPr="00AE2185">
        <w:rPr>
          <w:rFonts w:asciiTheme="minorHAnsi" w:eastAsiaTheme="minorHAnsi" w:hAnsiTheme="minorHAnsi" w:cs="Helv"/>
          <w:color w:val="000000"/>
          <w:sz w:val="22"/>
          <w:szCs w:val="22"/>
        </w:rPr>
        <w:t xml:space="preserve">) </w:t>
      </w:r>
      <w:r w:rsidR="00E1049E">
        <w:rPr>
          <w:rFonts w:asciiTheme="minorHAnsi" w:eastAsiaTheme="minorHAnsi" w:hAnsiTheme="minorHAnsi" w:cs="Helv"/>
          <w:color w:val="000000"/>
          <w:sz w:val="22"/>
          <w:szCs w:val="22"/>
        </w:rPr>
        <w:t xml:space="preserve">of the </w:t>
      </w:r>
      <w:r w:rsidR="000F5D84">
        <w:rPr>
          <w:rFonts w:asciiTheme="minorHAnsi" w:eastAsiaTheme="minorHAnsi" w:hAnsiTheme="minorHAnsi" w:cs="Helv"/>
          <w:i/>
          <w:color w:val="000000"/>
          <w:sz w:val="22"/>
          <w:szCs w:val="22"/>
        </w:rPr>
        <w:t xml:space="preserve">Rules </w:t>
      </w:r>
      <w:r w:rsidRPr="00AE2185">
        <w:rPr>
          <w:rFonts w:asciiTheme="minorHAnsi" w:eastAsiaTheme="minorHAnsi" w:hAnsiTheme="minorHAnsi" w:cs="Helv"/>
          <w:color w:val="000000"/>
          <w:sz w:val="22"/>
          <w:szCs w:val="22"/>
        </w:rPr>
        <w:t>to facilitate the sharing of family reports.</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p>
    <w:p w:rsidR="00CA6F05" w:rsidRPr="00AE2185" w:rsidRDefault="00AE2185" w:rsidP="005C1265">
      <w:pPr>
        <w:numPr>
          <w:ilvl w:val="0"/>
          <w:numId w:val="39"/>
        </w:numPr>
        <w:autoSpaceDE w:val="0"/>
        <w:autoSpaceDN w:val="0"/>
        <w:adjustRightInd w:val="0"/>
        <w:ind w:left="360" w:hanging="360"/>
        <w:jc w:val="both"/>
        <w:rPr>
          <w:rFonts w:asciiTheme="minorHAnsi" w:eastAsiaTheme="minorHAnsi" w:hAnsiTheme="minorHAnsi" w:cs="Arial"/>
          <w:color w:val="000000"/>
          <w:sz w:val="22"/>
          <w:szCs w:val="22"/>
        </w:rPr>
      </w:pPr>
      <w:r>
        <w:rPr>
          <w:rFonts w:asciiTheme="minorHAnsi" w:eastAsiaTheme="minorHAnsi" w:hAnsiTheme="minorHAnsi" w:cs="Arial"/>
          <w:color w:val="000000"/>
          <w:sz w:val="22"/>
          <w:szCs w:val="22"/>
        </w:rPr>
        <w:t>A</w:t>
      </w:r>
      <w:r w:rsidR="00CA6F05" w:rsidRPr="00AE2185">
        <w:rPr>
          <w:rFonts w:asciiTheme="minorHAnsi" w:eastAsiaTheme="minorHAnsi" w:hAnsiTheme="minorHAnsi" w:cs="Arial"/>
          <w:color w:val="000000"/>
          <w:sz w:val="22"/>
          <w:szCs w:val="22"/>
        </w:rPr>
        <w:t>n amendment to the response rules. The amendment makes no substantive change to the rules but better clarifies the procedural requirements by combining the requirements previously set out in repealed rules 4.03 and 4.04</w:t>
      </w:r>
      <w:r w:rsidR="005C1265" w:rsidRPr="00AE2185">
        <w:rPr>
          <w:rFonts w:asciiTheme="minorHAnsi" w:eastAsiaTheme="minorHAnsi" w:hAnsiTheme="minorHAnsi" w:cs="Arial"/>
          <w:color w:val="000000"/>
          <w:sz w:val="22"/>
          <w:szCs w:val="22"/>
        </w:rPr>
        <w:t xml:space="preserve"> into a consolidated rule 4.03.</w:t>
      </w:r>
    </w:p>
    <w:p w:rsidR="00CA6F05" w:rsidRPr="00AE2185" w:rsidRDefault="00CA6F05" w:rsidP="005C1265">
      <w:pPr>
        <w:keepLines/>
        <w:numPr>
          <w:ilvl w:val="0"/>
          <w:numId w:val="39"/>
        </w:numPr>
        <w:autoSpaceDE w:val="0"/>
        <w:autoSpaceDN w:val="0"/>
        <w:adjustRightInd w:val="0"/>
        <w:spacing w:before="240"/>
        <w:ind w:left="360" w:hanging="360"/>
        <w:jc w:val="both"/>
        <w:rPr>
          <w:rFonts w:asciiTheme="minorHAnsi" w:eastAsiaTheme="minorHAnsi" w:hAnsiTheme="minorHAnsi" w:cs="Arial"/>
          <w:color w:val="000000"/>
          <w:sz w:val="22"/>
          <w:szCs w:val="22"/>
        </w:rPr>
      </w:pPr>
      <w:r w:rsidRPr="00AE2185">
        <w:rPr>
          <w:rFonts w:asciiTheme="minorHAnsi" w:eastAsiaTheme="minorHAnsi" w:hAnsiTheme="minorHAnsi" w:cs="Arial"/>
          <w:color w:val="000000"/>
          <w:sz w:val="22"/>
          <w:szCs w:val="22"/>
        </w:rPr>
        <w:t>Rules 13.11 and 13.11A set out procedural requirements in respect of certificate of vexatious proceedings orders and applications for leave to institute proceedings in respec</w:t>
      </w:r>
      <w:r w:rsidR="00B577FC">
        <w:rPr>
          <w:rFonts w:asciiTheme="minorHAnsi" w:eastAsiaTheme="minorHAnsi" w:hAnsiTheme="minorHAnsi" w:cs="Arial"/>
          <w:color w:val="000000"/>
          <w:sz w:val="22"/>
          <w:szCs w:val="22"/>
        </w:rPr>
        <w:t>t of such orders. The amendment</w:t>
      </w:r>
      <w:r w:rsidRPr="00AE2185">
        <w:rPr>
          <w:rFonts w:asciiTheme="minorHAnsi" w:eastAsiaTheme="minorHAnsi" w:hAnsiTheme="minorHAnsi" w:cs="Arial"/>
          <w:color w:val="000000"/>
          <w:sz w:val="22"/>
          <w:szCs w:val="22"/>
        </w:rPr>
        <w:t xml:space="preserve"> made by these items is the inclusion of a reference to the relevant </w:t>
      </w:r>
      <w:r w:rsidR="00B577FC">
        <w:rPr>
          <w:rFonts w:asciiTheme="minorHAnsi" w:eastAsiaTheme="minorHAnsi" w:hAnsiTheme="minorHAnsi" w:cs="Arial"/>
          <w:color w:val="000000"/>
          <w:sz w:val="22"/>
          <w:szCs w:val="22"/>
        </w:rPr>
        <w:t xml:space="preserve">Family Law </w:t>
      </w:r>
      <w:r w:rsidR="00504D2E">
        <w:rPr>
          <w:rFonts w:asciiTheme="minorHAnsi" w:eastAsiaTheme="minorHAnsi" w:hAnsiTheme="minorHAnsi" w:cs="Arial"/>
          <w:color w:val="000000"/>
          <w:sz w:val="22"/>
          <w:szCs w:val="22"/>
        </w:rPr>
        <w:t xml:space="preserve">Act </w:t>
      </w:r>
      <w:r w:rsidRPr="00AE2185">
        <w:rPr>
          <w:rFonts w:asciiTheme="minorHAnsi" w:eastAsiaTheme="minorHAnsi" w:hAnsiTheme="minorHAnsi" w:cs="Arial"/>
          <w:color w:val="000000"/>
          <w:sz w:val="22"/>
          <w:szCs w:val="22"/>
        </w:rPr>
        <w:t xml:space="preserve">provisions whenever reference is made to the relevant </w:t>
      </w:r>
      <w:r w:rsidRPr="00A21082">
        <w:rPr>
          <w:rFonts w:asciiTheme="minorHAnsi" w:eastAsiaTheme="minorHAnsi" w:hAnsiTheme="minorHAnsi" w:cs="Arial"/>
          <w:i/>
          <w:color w:val="000000"/>
          <w:sz w:val="22"/>
          <w:szCs w:val="22"/>
        </w:rPr>
        <w:t>Federal Circuit Court of Australia Act</w:t>
      </w:r>
      <w:r w:rsidR="00B577FC">
        <w:rPr>
          <w:rFonts w:asciiTheme="minorHAnsi" w:eastAsiaTheme="minorHAnsi" w:hAnsiTheme="minorHAnsi" w:cs="Arial"/>
          <w:color w:val="000000"/>
          <w:sz w:val="22"/>
          <w:szCs w:val="22"/>
        </w:rPr>
        <w:t xml:space="preserve"> provision.  This ensures</w:t>
      </w:r>
      <w:r w:rsidRPr="00AE2185">
        <w:rPr>
          <w:rFonts w:asciiTheme="minorHAnsi" w:eastAsiaTheme="minorHAnsi" w:hAnsiTheme="minorHAnsi" w:cs="Arial"/>
          <w:color w:val="000000"/>
          <w:sz w:val="22"/>
          <w:szCs w:val="22"/>
        </w:rPr>
        <w:t xml:space="preserve"> the a</w:t>
      </w:r>
      <w:r w:rsidR="005C1265" w:rsidRPr="00AE2185">
        <w:rPr>
          <w:rFonts w:asciiTheme="minorHAnsi" w:eastAsiaTheme="minorHAnsi" w:hAnsiTheme="minorHAnsi" w:cs="Arial"/>
          <w:color w:val="000000"/>
          <w:sz w:val="22"/>
          <w:szCs w:val="22"/>
        </w:rPr>
        <w:t>pplication of these rule</w:t>
      </w:r>
      <w:r w:rsidR="002F3BC8">
        <w:rPr>
          <w:rFonts w:asciiTheme="minorHAnsi" w:eastAsiaTheme="minorHAnsi" w:hAnsiTheme="minorHAnsi" w:cs="Arial"/>
          <w:color w:val="000000"/>
          <w:sz w:val="22"/>
          <w:szCs w:val="22"/>
        </w:rPr>
        <w:t>s</w:t>
      </w:r>
      <w:r w:rsidR="005C1265" w:rsidRPr="00AE2185">
        <w:rPr>
          <w:rFonts w:asciiTheme="minorHAnsi" w:eastAsiaTheme="minorHAnsi" w:hAnsiTheme="minorHAnsi" w:cs="Arial"/>
          <w:color w:val="000000"/>
          <w:sz w:val="22"/>
          <w:szCs w:val="22"/>
        </w:rPr>
        <w:t xml:space="preserve"> to </w:t>
      </w:r>
      <w:r w:rsidRPr="00AE2185">
        <w:rPr>
          <w:rFonts w:asciiTheme="minorHAnsi" w:eastAsiaTheme="minorHAnsi" w:hAnsiTheme="minorHAnsi" w:cs="Arial"/>
          <w:color w:val="000000"/>
          <w:sz w:val="22"/>
          <w:szCs w:val="22"/>
        </w:rPr>
        <w:t>family law proceedings as well as general federal law proceedings.</w:t>
      </w:r>
    </w:p>
    <w:p w:rsidR="00CA6F05" w:rsidRPr="00AE2185" w:rsidRDefault="00CA6F05" w:rsidP="005C1265">
      <w:pPr>
        <w:keepNext/>
        <w:keepLines/>
        <w:numPr>
          <w:ilvl w:val="0"/>
          <w:numId w:val="39"/>
        </w:numPr>
        <w:autoSpaceDE w:val="0"/>
        <w:autoSpaceDN w:val="0"/>
        <w:adjustRightInd w:val="0"/>
        <w:spacing w:before="240"/>
        <w:ind w:left="360" w:hanging="360"/>
        <w:jc w:val="both"/>
        <w:rPr>
          <w:rFonts w:asciiTheme="minorHAnsi" w:eastAsiaTheme="minorHAnsi" w:hAnsiTheme="minorHAnsi" w:cs="Arial"/>
          <w:color w:val="000000"/>
          <w:sz w:val="22"/>
          <w:szCs w:val="22"/>
        </w:rPr>
      </w:pPr>
      <w:r w:rsidRPr="00AE2185">
        <w:rPr>
          <w:rFonts w:asciiTheme="minorHAnsi" w:eastAsiaTheme="minorHAnsi" w:hAnsiTheme="minorHAnsi" w:cs="Arial"/>
          <w:color w:val="000000"/>
          <w:sz w:val="22"/>
          <w:szCs w:val="22"/>
        </w:rPr>
        <w:t xml:space="preserve">Rule 22.01 applies the prescribed rate of interest for certain </w:t>
      </w:r>
      <w:r w:rsidR="00B577FC">
        <w:rPr>
          <w:rFonts w:asciiTheme="minorHAnsi" w:eastAsiaTheme="minorHAnsi" w:hAnsiTheme="minorHAnsi" w:cs="Arial"/>
          <w:color w:val="000000"/>
          <w:sz w:val="22"/>
          <w:szCs w:val="22"/>
        </w:rPr>
        <w:t xml:space="preserve">Family Law </w:t>
      </w:r>
      <w:r w:rsidR="00504D2E">
        <w:rPr>
          <w:rFonts w:asciiTheme="minorHAnsi" w:eastAsiaTheme="minorHAnsi" w:hAnsiTheme="minorHAnsi" w:cs="Arial"/>
          <w:color w:val="000000"/>
          <w:sz w:val="22"/>
          <w:szCs w:val="22"/>
        </w:rPr>
        <w:t xml:space="preserve">Act </w:t>
      </w:r>
      <w:r w:rsidRPr="00AE2185">
        <w:rPr>
          <w:rFonts w:asciiTheme="minorHAnsi" w:eastAsiaTheme="minorHAnsi" w:hAnsiTheme="minorHAnsi" w:cs="Arial"/>
          <w:color w:val="000000"/>
          <w:sz w:val="22"/>
          <w:szCs w:val="22"/>
        </w:rPr>
        <w:t xml:space="preserve">provisions as the rate prescribed by the </w:t>
      </w:r>
      <w:r w:rsidRPr="00A21082">
        <w:rPr>
          <w:rFonts w:asciiTheme="minorHAnsi" w:eastAsiaTheme="minorHAnsi" w:hAnsiTheme="minorHAnsi" w:cs="Arial"/>
          <w:i/>
          <w:color w:val="000000"/>
          <w:sz w:val="22"/>
          <w:szCs w:val="22"/>
        </w:rPr>
        <w:t>Family Law Rules</w:t>
      </w:r>
      <w:r w:rsidRPr="00AE2185">
        <w:rPr>
          <w:rFonts w:asciiTheme="minorHAnsi" w:eastAsiaTheme="minorHAnsi" w:hAnsiTheme="minorHAnsi" w:cs="Arial"/>
          <w:color w:val="000000"/>
          <w:sz w:val="22"/>
          <w:szCs w:val="22"/>
        </w:rPr>
        <w:t xml:space="preserve"> for those provisions. The amendment to this rule reflects a recent amendment to rule 17.03 of the </w:t>
      </w:r>
      <w:r w:rsidRPr="00A21082">
        <w:rPr>
          <w:rFonts w:asciiTheme="minorHAnsi" w:eastAsiaTheme="minorHAnsi" w:hAnsiTheme="minorHAnsi" w:cs="Arial"/>
          <w:i/>
          <w:color w:val="000000"/>
          <w:sz w:val="22"/>
          <w:szCs w:val="22"/>
        </w:rPr>
        <w:t>Family Law Rules</w:t>
      </w:r>
      <w:r w:rsidRPr="00AE2185">
        <w:rPr>
          <w:rFonts w:asciiTheme="minorHAnsi" w:eastAsiaTheme="minorHAnsi" w:hAnsiTheme="minorHAnsi" w:cs="Arial"/>
          <w:color w:val="000000"/>
          <w:sz w:val="22"/>
          <w:szCs w:val="22"/>
        </w:rPr>
        <w:t xml:space="preserve"> by referring to paragraphs 87(11</w:t>
      </w:r>
      <w:proofErr w:type="gramStart"/>
      <w:r w:rsidRPr="00AE2185">
        <w:rPr>
          <w:rFonts w:asciiTheme="minorHAnsi" w:eastAsiaTheme="minorHAnsi" w:hAnsiTheme="minorHAnsi" w:cs="Arial"/>
          <w:color w:val="000000"/>
          <w:sz w:val="22"/>
          <w:szCs w:val="22"/>
        </w:rPr>
        <w:t>)(</w:t>
      </w:r>
      <w:proofErr w:type="gramEnd"/>
      <w:r w:rsidRPr="00AE2185">
        <w:rPr>
          <w:rFonts w:asciiTheme="minorHAnsi" w:eastAsiaTheme="minorHAnsi" w:hAnsiTheme="minorHAnsi" w:cs="Arial"/>
          <w:color w:val="000000"/>
          <w:sz w:val="22"/>
          <w:szCs w:val="22"/>
        </w:rPr>
        <w:t>b), 90KA(b) and 90UN(b) as well as subsection 117B(1) of the</w:t>
      </w:r>
      <w:r w:rsidR="00504D2E">
        <w:rPr>
          <w:rFonts w:asciiTheme="minorHAnsi" w:eastAsiaTheme="minorHAnsi" w:hAnsiTheme="minorHAnsi" w:cs="Arial"/>
          <w:color w:val="000000"/>
          <w:sz w:val="22"/>
          <w:szCs w:val="22"/>
        </w:rPr>
        <w:t xml:space="preserve"> Act</w:t>
      </w:r>
      <w:r w:rsidRPr="00AE2185">
        <w:rPr>
          <w:rFonts w:asciiTheme="minorHAnsi" w:eastAsiaTheme="minorHAnsi" w:hAnsiTheme="minorHAnsi" w:cs="Arial"/>
          <w:color w:val="000000"/>
          <w:sz w:val="22"/>
          <w:szCs w:val="22"/>
        </w:rPr>
        <w:t>.</w:t>
      </w:r>
    </w:p>
    <w:p w:rsidR="00CA6F05" w:rsidRPr="00AE2185" w:rsidRDefault="00CA6F05" w:rsidP="00CA6F05">
      <w:pPr>
        <w:autoSpaceDE w:val="0"/>
        <w:autoSpaceDN w:val="0"/>
        <w:adjustRightInd w:val="0"/>
        <w:rPr>
          <w:rFonts w:asciiTheme="minorHAnsi" w:eastAsiaTheme="minorHAnsi" w:hAnsiTheme="minorHAnsi" w:cs="Arial"/>
          <w:color w:val="000000"/>
          <w:sz w:val="22"/>
          <w:szCs w:val="22"/>
        </w:rPr>
      </w:pPr>
    </w:p>
    <w:p w:rsidR="00CA6F05" w:rsidRPr="002F3BC8" w:rsidRDefault="00CA6F05" w:rsidP="00CA6F05">
      <w:pPr>
        <w:numPr>
          <w:ilvl w:val="0"/>
          <w:numId w:val="39"/>
        </w:numPr>
        <w:autoSpaceDE w:val="0"/>
        <w:autoSpaceDN w:val="0"/>
        <w:adjustRightInd w:val="0"/>
        <w:ind w:left="360" w:hanging="360"/>
        <w:jc w:val="both"/>
        <w:rPr>
          <w:rFonts w:asciiTheme="minorHAnsi" w:eastAsiaTheme="minorHAnsi" w:hAnsiTheme="minorHAnsi" w:cs="Helv"/>
          <w:i/>
          <w:iCs/>
          <w:color w:val="000000"/>
          <w:sz w:val="22"/>
          <w:szCs w:val="22"/>
        </w:rPr>
      </w:pPr>
      <w:r w:rsidRPr="002F3BC8">
        <w:rPr>
          <w:rFonts w:asciiTheme="minorHAnsi" w:eastAsiaTheme="minorHAnsi" w:hAnsiTheme="minorHAnsi" w:cs="Helv"/>
          <w:color w:val="000000"/>
          <w:sz w:val="22"/>
          <w:szCs w:val="22"/>
        </w:rPr>
        <w:t xml:space="preserve">Amendments to </w:t>
      </w:r>
      <w:r w:rsidR="00B577FC" w:rsidRPr="002F3BC8">
        <w:rPr>
          <w:rFonts w:asciiTheme="minorHAnsi" w:eastAsiaTheme="minorHAnsi" w:hAnsiTheme="minorHAnsi" w:cs="Helv"/>
          <w:color w:val="000000"/>
          <w:sz w:val="22"/>
          <w:szCs w:val="22"/>
        </w:rPr>
        <w:t>P</w:t>
      </w:r>
      <w:r w:rsidRPr="002F3BC8">
        <w:rPr>
          <w:rFonts w:asciiTheme="minorHAnsi" w:eastAsiaTheme="minorHAnsi" w:hAnsiTheme="minorHAnsi" w:cs="Helv"/>
          <w:color w:val="000000"/>
          <w:sz w:val="22"/>
          <w:szCs w:val="22"/>
        </w:rPr>
        <w:t xml:space="preserve">art 25A (rules in respect of child support and child maintenance) as a consequence of the amendments made by the </w:t>
      </w:r>
      <w:r w:rsidRPr="002F3BC8">
        <w:rPr>
          <w:rFonts w:asciiTheme="minorHAnsi" w:eastAsiaTheme="minorHAnsi" w:hAnsiTheme="minorHAnsi" w:cs="Helv"/>
          <w:i/>
          <w:color w:val="000000"/>
          <w:sz w:val="22"/>
          <w:szCs w:val="22"/>
        </w:rPr>
        <w:t>Tribunals Amalgamation Act 2015</w:t>
      </w:r>
      <w:r w:rsidR="00B577FC" w:rsidRPr="002F3BC8">
        <w:rPr>
          <w:rFonts w:asciiTheme="minorHAnsi" w:eastAsiaTheme="minorHAnsi" w:hAnsiTheme="minorHAnsi" w:cs="Helv"/>
          <w:color w:val="000000"/>
          <w:sz w:val="22"/>
          <w:szCs w:val="22"/>
        </w:rPr>
        <w:t>.  This Act</w:t>
      </w:r>
      <w:r w:rsidRPr="002F3BC8">
        <w:rPr>
          <w:rFonts w:asciiTheme="minorHAnsi" w:eastAsiaTheme="minorHAnsi" w:hAnsiTheme="minorHAnsi" w:cs="Helv"/>
          <w:color w:val="000000"/>
          <w:sz w:val="22"/>
          <w:szCs w:val="22"/>
        </w:rPr>
        <w:t xml:space="preserve"> merged a number of Tribunals under the Administrative Appeals Tribunal. The merger established the Social Services and Child Support Division of the AAT which took over the jurisdiction of the </w:t>
      </w:r>
      <w:r w:rsidR="00B577FC" w:rsidRPr="002F3BC8">
        <w:rPr>
          <w:rFonts w:asciiTheme="minorHAnsi" w:eastAsiaTheme="minorHAnsi" w:hAnsiTheme="minorHAnsi" w:cs="Helv"/>
          <w:color w:val="000000"/>
          <w:sz w:val="22"/>
          <w:szCs w:val="22"/>
        </w:rPr>
        <w:t>Social Security Appeals Tribunal (</w:t>
      </w:r>
      <w:r w:rsidRPr="002F3BC8">
        <w:rPr>
          <w:rFonts w:asciiTheme="minorHAnsi" w:eastAsiaTheme="minorHAnsi" w:hAnsiTheme="minorHAnsi" w:cs="Helv"/>
          <w:color w:val="000000"/>
          <w:sz w:val="22"/>
          <w:szCs w:val="22"/>
        </w:rPr>
        <w:t>SSAT</w:t>
      </w:r>
      <w:r w:rsidR="00B577FC" w:rsidRPr="002F3BC8">
        <w:rPr>
          <w:rFonts w:asciiTheme="minorHAnsi" w:eastAsiaTheme="minorHAnsi" w:hAnsiTheme="minorHAnsi" w:cs="Helv"/>
          <w:color w:val="000000"/>
          <w:sz w:val="22"/>
          <w:szCs w:val="22"/>
        </w:rPr>
        <w:t>)</w:t>
      </w:r>
      <w:r w:rsidRPr="002F3BC8">
        <w:rPr>
          <w:rFonts w:asciiTheme="minorHAnsi" w:eastAsiaTheme="minorHAnsi" w:hAnsiTheme="minorHAnsi" w:cs="Helv"/>
          <w:color w:val="000000"/>
          <w:sz w:val="22"/>
          <w:szCs w:val="22"/>
        </w:rPr>
        <w:t xml:space="preserve">. The SSAT was abolished at the commencement of the </w:t>
      </w:r>
      <w:r w:rsidR="00A21082" w:rsidRPr="002F3BC8">
        <w:rPr>
          <w:rFonts w:asciiTheme="minorHAnsi" w:eastAsiaTheme="minorHAnsi" w:hAnsiTheme="minorHAnsi" w:cs="Helv"/>
          <w:i/>
          <w:color w:val="000000"/>
          <w:sz w:val="22"/>
          <w:szCs w:val="22"/>
        </w:rPr>
        <w:t>Tribunals Amalgamation Act 2015</w:t>
      </w:r>
      <w:r w:rsidRPr="002F3BC8">
        <w:rPr>
          <w:rFonts w:asciiTheme="minorHAnsi" w:eastAsiaTheme="minorHAnsi" w:hAnsiTheme="minorHAnsi" w:cs="Helv"/>
          <w:color w:val="000000"/>
          <w:sz w:val="22"/>
          <w:szCs w:val="22"/>
        </w:rPr>
        <w:t>.</w:t>
      </w:r>
      <w:r w:rsidR="001054EB" w:rsidRPr="002F3BC8">
        <w:rPr>
          <w:rFonts w:asciiTheme="minorHAnsi" w:eastAsiaTheme="minorHAnsi" w:hAnsiTheme="minorHAnsi" w:cs="Helv"/>
          <w:color w:val="000000"/>
          <w:sz w:val="22"/>
          <w:szCs w:val="22"/>
        </w:rPr>
        <w:t xml:space="preserve"> </w:t>
      </w:r>
      <w:r w:rsidR="002F3BC8" w:rsidRPr="002F3BC8">
        <w:rPr>
          <w:rFonts w:asciiTheme="minorHAnsi" w:eastAsiaTheme="minorHAnsi" w:hAnsiTheme="minorHAnsi" w:cs="Helv"/>
          <w:color w:val="000000"/>
          <w:sz w:val="22"/>
          <w:szCs w:val="22"/>
        </w:rPr>
        <w:t xml:space="preserve"> T</w:t>
      </w:r>
      <w:r w:rsidRPr="002F3BC8">
        <w:rPr>
          <w:rFonts w:asciiTheme="minorHAnsi" w:eastAsiaTheme="minorHAnsi" w:hAnsiTheme="minorHAnsi" w:cs="Helv"/>
          <w:color w:val="000000"/>
          <w:sz w:val="22"/>
          <w:szCs w:val="22"/>
        </w:rPr>
        <w:t>he source of jurisdiction of the Federal Circuit Court in relation to judicial review of chi</w:t>
      </w:r>
      <w:r w:rsidR="002F3BC8" w:rsidRPr="002F3BC8">
        <w:rPr>
          <w:rFonts w:asciiTheme="minorHAnsi" w:eastAsiaTheme="minorHAnsi" w:hAnsiTheme="minorHAnsi" w:cs="Helv"/>
          <w:color w:val="000000"/>
          <w:sz w:val="22"/>
          <w:szCs w:val="22"/>
        </w:rPr>
        <w:t>ld support matters is now found in section 44AAA of the AAT Act</w:t>
      </w:r>
      <w:r w:rsidR="00B577FC" w:rsidRPr="002F3BC8">
        <w:rPr>
          <w:rFonts w:asciiTheme="minorHAnsi" w:eastAsiaTheme="minorHAnsi" w:hAnsiTheme="minorHAnsi" w:cs="Helv"/>
          <w:color w:val="000000"/>
          <w:sz w:val="22"/>
          <w:szCs w:val="22"/>
        </w:rPr>
        <w:t xml:space="preserve">. </w:t>
      </w:r>
      <w:r w:rsidRPr="002F3BC8">
        <w:rPr>
          <w:rFonts w:asciiTheme="minorHAnsi" w:eastAsiaTheme="minorHAnsi" w:hAnsiTheme="minorHAnsi" w:cs="Helv"/>
          <w:color w:val="000000"/>
          <w:sz w:val="22"/>
          <w:szCs w:val="22"/>
        </w:rPr>
        <w:t xml:space="preserve"> New paragraph 25A.01(1)(aa) now makes specific reference to section 44AAA to clarify the application of rules in respect of judicial review of child support matters within </w:t>
      </w:r>
      <w:r w:rsidR="00B577FC" w:rsidRPr="002F3BC8">
        <w:rPr>
          <w:rFonts w:asciiTheme="minorHAnsi" w:eastAsiaTheme="minorHAnsi" w:hAnsiTheme="minorHAnsi" w:cs="Helv"/>
          <w:color w:val="000000"/>
          <w:sz w:val="22"/>
          <w:szCs w:val="22"/>
        </w:rPr>
        <w:t>P</w:t>
      </w:r>
      <w:r w:rsidRPr="002F3BC8">
        <w:rPr>
          <w:rFonts w:asciiTheme="minorHAnsi" w:eastAsiaTheme="minorHAnsi" w:hAnsiTheme="minorHAnsi" w:cs="Helv"/>
          <w:color w:val="000000"/>
          <w:sz w:val="22"/>
          <w:szCs w:val="22"/>
        </w:rPr>
        <w:t xml:space="preserve">art 25A. References in rules 25A.03, 25A.05, 25A.06 and 25A.07 to the SSAT have been replaced with reference to the </w:t>
      </w:r>
      <w:r w:rsidRPr="002F3BC8">
        <w:rPr>
          <w:rFonts w:asciiTheme="minorHAnsi" w:eastAsiaTheme="minorHAnsi" w:hAnsiTheme="minorHAnsi" w:cs="Helv"/>
          <w:i/>
          <w:iCs/>
          <w:color w:val="000000"/>
          <w:sz w:val="22"/>
          <w:szCs w:val="22"/>
        </w:rPr>
        <w:t>Tribunal</w:t>
      </w:r>
      <w:r w:rsidRPr="002F3BC8">
        <w:rPr>
          <w:rFonts w:asciiTheme="minorHAnsi" w:eastAsiaTheme="minorHAnsi" w:hAnsiTheme="minorHAnsi" w:cs="Helv"/>
          <w:color w:val="000000"/>
          <w:sz w:val="22"/>
          <w:szCs w:val="22"/>
        </w:rPr>
        <w:t xml:space="preserve"> which is de</w:t>
      </w:r>
      <w:r w:rsidR="00B577FC" w:rsidRPr="002F3BC8">
        <w:rPr>
          <w:rFonts w:asciiTheme="minorHAnsi" w:eastAsiaTheme="minorHAnsi" w:hAnsiTheme="minorHAnsi" w:cs="Helv"/>
          <w:color w:val="000000"/>
          <w:sz w:val="22"/>
          <w:szCs w:val="22"/>
        </w:rPr>
        <w:t xml:space="preserve">fined in the dictionary </w:t>
      </w:r>
      <w:r w:rsidRPr="002F3BC8">
        <w:rPr>
          <w:rFonts w:asciiTheme="minorHAnsi" w:eastAsiaTheme="minorHAnsi" w:hAnsiTheme="minorHAnsi" w:cs="Helv"/>
          <w:color w:val="000000"/>
          <w:sz w:val="22"/>
          <w:szCs w:val="22"/>
        </w:rPr>
        <w:t xml:space="preserve">to mean the AAT. Paragraph </w:t>
      </w:r>
      <w:proofErr w:type="gramStart"/>
      <w:r w:rsidRPr="002F3BC8">
        <w:rPr>
          <w:rFonts w:asciiTheme="minorHAnsi" w:eastAsiaTheme="minorHAnsi" w:hAnsiTheme="minorHAnsi" w:cs="Helv"/>
          <w:color w:val="000000"/>
          <w:sz w:val="22"/>
          <w:szCs w:val="22"/>
        </w:rPr>
        <w:t>25A.07(</w:t>
      </w:r>
      <w:proofErr w:type="gramEnd"/>
      <w:r w:rsidRPr="002F3BC8">
        <w:rPr>
          <w:rFonts w:asciiTheme="minorHAnsi" w:eastAsiaTheme="minorHAnsi" w:hAnsiTheme="minorHAnsi" w:cs="Helv"/>
          <w:color w:val="000000"/>
          <w:sz w:val="22"/>
          <w:szCs w:val="22"/>
        </w:rPr>
        <w:t xml:space="preserve">1)(d) has been amended to remove reference to the Executive Director of the SSAT. The position of Executive Director of the SSAT has been abolished and accordingly paragraph </w:t>
      </w:r>
      <w:proofErr w:type="gramStart"/>
      <w:r w:rsidRPr="002F3BC8">
        <w:rPr>
          <w:rFonts w:asciiTheme="minorHAnsi" w:eastAsiaTheme="minorHAnsi" w:hAnsiTheme="minorHAnsi" w:cs="Helv"/>
          <w:color w:val="000000"/>
          <w:sz w:val="22"/>
          <w:szCs w:val="22"/>
        </w:rPr>
        <w:t>25A.07(</w:t>
      </w:r>
      <w:proofErr w:type="gramEnd"/>
      <w:r w:rsidRPr="002F3BC8">
        <w:rPr>
          <w:rFonts w:asciiTheme="minorHAnsi" w:eastAsiaTheme="minorHAnsi" w:hAnsiTheme="minorHAnsi" w:cs="Helv"/>
          <w:color w:val="000000"/>
          <w:sz w:val="22"/>
          <w:szCs w:val="22"/>
        </w:rPr>
        <w:t xml:space="preserve">1)(d) now prescribes the </w:t>
      </w:r>
      <w:r w:rsidRPr="002F3BC8">
        <w:rPr>
          <w:rFonts w:asciiTheme="minorHAnsi" w:eastAsiaTheme="minorHAnsi" w:hAnsiTheme="minorHAnsi" w:cs="Helv"/>
          <w:i/>
          <w:iCs/>
          <w:color w:val="000000"/>
          <w:sz w:val="22"/>
          <w:szCs w:val="22"/>
        </w:rPr>
        <w:t>Registrar of the Tribunal</w:t>
      </w:r>
      <w:r w:rsidRPr="002F3BC8">
        <w:rPr>
          <w:rFonts w:asciiTheme="minorHAnsi" w:eastAsiaTheme="minorHAnsi" w:hAnsiTheme="minorHAnsi" w:cs="Helv"/>
          <w:color w:val="000000"/>
          <w:sz w:val="22"/>
          <w:szCs w:val="22"/>
        </w:rPr>
        <w:t xml:space="preserve"> as the person on whom a notice should be served. </w:t>
      </w:r>
    </w:p>
    <w:p w:rsidR="002F3BC8" w:rsidRPr="002F3BC8" w:rsidRDefault="002F3BC8" w:rsidP="002F3BC8">
      <w:pPr>
        <w:autoSpaceDE w:val="0"/>
        <w:autoSpaceDN w:val="0"/>
        <w:adjustRightInd w:val="0"/>
        <w:ind w:left="360"/>
        <w:jc w:val="both"/>
        <w:rPr>
          <w:rFonts w:asciiTheme="minorHAnsi" w:eastAsiaTheme="minorHAnsi" w:hAnsiTheme="minorHAnsi" w:cs="Helv"/>
          <w:i/>
          <w:iCs/>
          <w:color w:val="000000"/>
          <w:sz w:val="22"/>
          <w:szCs w:val="22"/>
        </w:rPr>
      </w:pPr>
    </w:p>
    <w:p w:rsidR="00CA6F05" w:rsidRDefault="00CA6F05" w:rsidP="005C1265">
      <w:pPr>
        <w:numPr>
          <w:ilvl w:val="0"/>
          <w:numId w:val="39"/>
        </w:numPr>
        <w:autoSpaceDE w:val="0"/>
        <w:autoSpaceDN w:val="0"/>
        <w:adjustRightInd w:val="0"/>
        <w:ind w:left="360" w:hanging="36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Rule 43.01 has </w:t>
      </w:r>
      <w:r w:rsidR="00B577FC">
        <w:rPr>
          <w:rFonts w:asciiTheme="minorHAnsi" w:eastAsiaTheme="minorHAnsi" w:hAnsiTheme="minorHAnsi" w:cs="Helv"/>
          <w:color w:val="000000"/>
          <w:sz w:val="22"/>
          <w:szCs w:val="22"/>
        </w:rPr>
        <w:t xml:space="preserve">also </w:t>
      </w:r>
      <w:r w:rsidRPr="00AE2185">
        <w:rPr>
          <w:rFonts w:asciiTheme="minorHAnsi" w:eastAsiaTheme="minorHAnsi" w:hAnsiTheme="minorHAnsi" w:cs="Helv"/>
          <w:color w:val="000000"/>
          <w:sz w:val="22"/>
          <w:szCs w:val="22"/>
        </w:rPr>
        <w:t xml:space="preserve">been amended to reflect the structural changes to the AAT following the merger of the </w:t>
      </w:r>
      <w:r w:rsidR="00B577FC">
        <w:rPr>
          <w:rFonts w:asciiTheme="minorHAnsi" w:eastAsiaTheme="minorHAnsi" w:hAnsiTheme="minorHAnsi" w:cs="Helv"/>
          <w:color w:val="000000"/>
          <w:sz w:val="22"/>
          <w:szCs w:val="22"/>
        </w:rPr>
        <w:t xml:space="preserve">Tribunals. Previously the term </w:t>
      </w:r>
      <w:r w:rsidRPr="00B577FC">
        <w:rPr>
          <w:rFonts w:asciiTheme="minorHAnsi" w:eastAsiaTheme="minorHAnsi" w:hAnsiTheme="minorHAnsi" w:cs="Helv"/>
          <w:i/>
          <w:color w:val="000000"/>
          <w:sz w:val="22"/>
          <w:szCs w:val="22"/>
        </w:rPr>
        <w:t>Reg</w:t>
      </w:r>
      <w:r w:rsidR="00B577FC" w:rsidRPr="00B577FC">
        <w:rPr>
          <w:rFonts w:asciiTheme="minorHAnsi" w:eastAsiaTheme="minorHAnsi" w:hAnsiTheme="minorHAnsi" w:cs="Helv"/>
          <w:i/>
          <w:color w:val="000000"/>
          <w:sz w:val="22"/>
          <w:szCs w:val="22"/>
        </w:rPr>
        <w:t>istrar of the Tribunal</w:t>
      </w:r>
      <w:r w:rsidRPr="00AE2185">
        <w:rPr>
          <w:rFonts w:asciiTheme="minorHAnsi" w:eastAsiaTheme="minorHAnsi" w:hAnsiTheme="minorHAnsi" w:cs="Helv"/>
          <w:color w:val="000000"/>
          <w:sz w:val="22"/>
          <w:szCs w:val="22"/>
        </w:rPr>
        <w:t xml:space="preserve"> for the purposes of Part 42 was defined to include the District Registrar or Deputy Registrar of the AAT or an officer for the time being performing the duties of such. The amendments made to the structure of the AAT removed references to D</w:t>
      </w:r>
      <w:r w:rsidR="00756C5F">
        <w:rPr>
          <w:rFonts w:asciiTheme="minorHAnsi" w:eastAsiaTheme="minorHAnsi" w:hAnsiTheme="minorHAnsi" w:cs="Helv"/>
          <w:color w:val="000000"/>
          <w:sz w:val="22"/>
          <w:szCs w:val="22"/>
        </w:rPr>
        <w:t>istrict and Deputy Registrars</w:t>
      </w:r>
      <w:r w:rsidR="00A21082">
        <w:rPr>
          <w:rFonts w:asciiTheme="minorHAnsi" w:eastAsiaTheme="minorHAnsi" w:hAnsiTheme="minorHAnsi" w:cs="Helv"/>
          <w:color w:val="000000"/>
          <w:sz w:val="22"/>
          <w:szCs w:val="22"/>
        </w:rPr>
        <w:t>.</w:t>
      </w:r>
      <w:r w:rsidR="00756C5F">
        <w:rPr>
          <w:rFonts w:asciiTheme="minorHAnsi" w:eastAsiaTheme="minorHAnsi" w:hAnsiTheme="minorHAnsi" w:cs="Helv"/>
          <w:color w:val="000000"/>
          <w:sz w:val="22"/>
          <w:szCs w:val="22"/>
        </w:rPr>
        <w:t xml:space="preserve"> </w:t>
      </w:r>
      <w:r w:rsidRPr="00AE2185">
        <w:rPr>
          <w:rFonts w:asciiTheme="minorHAnsi" w:eastAsiaTheme="minorHAnsi" w:hAnsiTheme="minorHAnsi" w:cs="Helv"/>
          <w:color w:val="000000"/>
          <w:sz w:val="22"/>
          <w:szCs w:val="22"/>
        </w:rPr>
        <w:t xml:space="preserve">Accordingly it has been necessary to make amendments to </w:t>
      </w:r>
      <w:r w:rsidR="00A16F04">
        <w:rPr>
          <w:rFonts w:asciiTheme="minorHAnsi" w:eastAsiaTheme="minorHAnsi" w:hAnsiTheme="minorHAnsi" w:cs="Helv"/>
          <w:color w:val="000000"/>
          <w:sz w:val="22"/>
          <w:szCs w:val="22"/>
        </w:rPr>
        <w:t>r</w:t>
      </w:r>
      <w:r w:rsidRPr="00AE2185">
        <w:rPr>
          <w:rFonts w:asciiTheme="minorHAnsi" w:eastAsiaTheme="minorHAnsi" w:hAnsiTheme="minorHAnsi" w:cs="Helv"/>
          <w:color w:val="000000"/>
          <w:sz w:val="22"/>
          <w:szCs w:val="22"/>
        </w:rPr>
        <w:t xml:space="preserve">ule 43.01 and insert a new definition of </w:t>
      </w:r>
      <w:r w:rsidRPr="00AE2185">
        <w:rPr>
          <w:rFonts w:asciiTheme="minorHAnsi" w:eastAsiaTheme="minorHAnsi" w:hAnsiTheme="minorHAnsi" w:cs="Helv"/>
          <w:i/>
          <w:iCs/>
          <w:color w:val="000000"/>
          <w:sz w:val="22"/>
          <w:szCs w:val="22"/>
        </w:rPr>
        <w:t>Registrar of the Tribunal</w:t>
      </w:r>
      <w:r w:rsidRPr="00AE2185">
        <w:rPr>
          <w:rFonts w:asciiTheme="minorHAnsi" w:eastAsiaTheme="minorHAnsi" w:hAnsiTheme="minorHAnsi" w:cs="Helv"/>
          <w:color w:val="000000"/>
          <w:sz w:val="22"/>
          <w:szCs w:val="22"/>
        </w:rPr>
        <w:t xml:space="preserve"> within the dictionary to the Rules to preserve consistency with the new legal framework of the AAT follow</w:t>
      </w:r>
      <w:r w:rsidR="00B577FC">
        <w:rPr>
          <w:rFonts w:asciiTheme="minorHAnsi" w:eastAsiaTheme="minorHAnsi" w:hAnsiTheme="minorHAnsi" w:cs="Helv"/>
          <w:color w:val="000000"/>
          <w:sz w:val="22"/>
          <w:szCs w:val="22"/>
        </w:rPr>
        <w:t>ing the merger of the Tribunals.</w:t>
      </w:r>
    </w:p>
    <w:p w:rsidR="00E70C28" w:rsidRDefault="00E70C28" w:rsidP="00E70C28">
      <w:pPr>
        <w:pStyle w:val="ListParagraph"/>
        <w:rPr>
          <w:rFonts w:asciiTheme="minorHAnsi" w:eastAsiaTheme="minorHAnsi" w:hAnsiTheme="minorHAnsi" w:cs="Helv"/>
          <w:color w:val="000000"/>
          <w:sz w:val="22"/>
          <w:szCs w:val="22"/>
        </w:rPr>
      </w:pPr>
    </w:p>
    <w:p w:rsidR="00E70C28" w:rsidRPr="00E70C28" w:rsidRDefault="00E70C28" w:rsidP="00E70C28">
      <w:pPr>
        <w:numPr>
          <w:ilvl w:val="0"/>
          <w:numId w:val="39"/>
        </w:numPr>
        <w:autoSpaceDE w:val="0"/>
        <w:autoSpaceDN w:val="0"/>
        <w:adjustRightInd w:val="0"/>
        <w:ind w:left="360" w:hanging="360"/>
        <w:jc w:val="both"/>
        <w:rPr>
          <w:rFonts w:asciiTheme="minorHAnsi" w:eastAsiaTheme="minorHAnsi" w:hAnsiTheme="minorHAnsi" w:cs="Helv"/>
          <w:color w:val="000000"/>
          <w:sz w:val="22"/>
          <w:szCs w:val="22"/>
        </w:rPr>
      </w:pPr>
      <w:r w:rsidRPr="00E70C28">
        <w:rPr>
          <w:rFonts w:asciiTheme="minorHAnsi" w:eastAsiaTheme="minorHAnsi" w:hAnsiTheme="minorHAnsi" w:cs="Arial"/>
          <w:color w:val="000000"/>
          <w:sz w:val="22"/>
          <w:szCs w:val="22"/>
        </w:rPr>
        <w:lastRenderedPageBreak/>
        <w:t>Rule 44.15 which provides for costs in relation to migration proceedings has been repealed and</w:t>
      </w:r>
      <w:r>
        <w:rPr>
          <w:rFonts w:asciiTheme="minorHAnsi" w:eastAsiaTheme="minorHAnsi" w:hAnsiTheme="minorHAnsi" w:cs="Helv"/>
          <w:color w:val="000000"/>
          <w:sz w:val="22"/>
          <w:szCs w:val="22"/>
        </w:rPr>
        <w:t xml:space="preserve"> </w:t>
      </w:r>
      <w:r w:rsidRPr="00E70C28">
        <w:rPr>
          <w:rFonts w:asciiTheme="minorHAnsi" w:eastAsiaTheme="minorHAnsi" w:hAnsiTheme="minorHAnsi" w:cs="Arial"/>
          <w:color w:val="000000"/>
          <w:sz w:val="22"/>
          <w:szCs w:val="22"/>
        </w:rPr>
        <w:t>replaced to better clarify the processes when a notice of discontinuance is filed in a proceeding</w:t>
      </w:r>
      <w:r>
        <w:rPr>
          <w:rFonts w:asciiTheme="minorHAnsi" w:eastAsiaTheme="minorHAnsi" w:hAnsiTheme="minorHAnsi" w:cs="Helv"/>
          <w:color w:val="000000"/>
          <w:sz w:val="22"/>
          <w:szCs w:val="22"/>
        </w:rPr>
        <w:t xml:space="preserve"> </w:t>
      </w:r>
      <w:r w:rsidRPr="00E70C28">
        <w:rPr>
          <w:rFonts w:asciiTheme="minorHAnsi" w:eastAsiaTheme="minorHAnsi" w:hAnsiTheme="minorHAnsi" w:cs="Arial"/>
          <w:color w:val="000000"/>
          <w:sz w:val="22"/>
          <w:szCs w:val="22"/>
        </w:rPr>
        <w:t>in which a respondent has sought costs in the response. The amendment is intended to</w:t>
      </w:r>
      <w:r>
        <w:rPr>
          <w:rFonts w:asciiTheme="minorHAnsi" w:eastAsiaTheme="minorHAnsi" w:hAnsiTheme="minorHAnsi" w:cs="Helv"/>
          <w:color w:val="000000"/>
          <w:sz w:val="22"/>
          <w:szCs w:val="22"/>
        </w:rPr>
        <w:t xml:space="preserve"> </w:t>
      </w:r>
      <w:r w:rsidRPr="00E70C28">
        <w:rPr>
          <w:rFonts w:asciiTheme="minorHAnsi" w:eastAsiaTheme="minorHAnsi" w:hAnsiTheme="minorHAnsi" w:cs="Arial"/>
          <w:color w:val="000000"/>
          <w:sz w:val="22"/>
          <w:szCs w:val="22"/>
        </w:rPr>
        <w:t>facilitate the current procedures by providing for orders for costs in accordance with Division 2</w:t>
      </w:r>
      <w:r>
        <w:rPr>
          <w:rFonts w:asciiTheme="minorHAnsi" w:eastAsiaTheme="minorHAnsi" w:hAnsiTheme="minorHAnsi" w:cs="Helv"/>
          <w:color w:val="000000"/>
          <w:sz w:val="22"/>
          <w:szCs w:val="22"/>
        </w:rPr>
        <w:t xml:space="preserve"> </w:t>
      </w:r>
      <w:r w:rsidRPr="00E70C28">
        <w:rPr>
          <w:rFonts w:asciiTheme="minorHAnsi" w:eastAsiaTheme="minorHAnsi" w:hAnsiTheme="minorHAnsi" w:cs="Arial"/>
          <w:color w:val="000000"/>
          <w:sz w:val="22"/>
          <w:szCs w:val="22"/>
        </w:rPr>
        <w:t xml:space="preserve">of Part 3 of Schedule </w:t>
      </w:r>
      <w:proofErr w:type="gramStart"/>
      <w:r w:rsidRPr="00E70C28">
        <w:rPr>
          <w:rFonts w:asciiTheme="minorHAnsi" w:eastAsiaTheme="minorHAnsi" w:hAnsiTheme="minorHAnsi" w:cs="Arial"/>
          <w:color w:val="000000"/>
          <w:sz w:val="22"/>
          <w:szCs w:val="22"/>
        </w:rPr>
        <w:t>1  to</w:t>
      </w:r>
      <w:proofErr w:type="gramEnd"/>
      <w:r w:rsidRPr="00E70C28">
        <w:rPr>
          <w:rFonts w:asciiTheme="minorHAnsi" w:eastAsiaTheme="minorHAnsi" w:hAnsiTheme="minorHAnsi" w:cs="Arial"/>
          <w:color w:val="000000"/>
          <w:sz w:val="22"/>
          <w:szCs w:val="22"/>
        </w:rPr>
        <w:t xml:space="preserve"> be made in chambers without hearing the parties</w:t>
      </w:r>
      <w:r w:rsidR="002F3BC8">
        <w:rPr>
          <w:rFonts w:asciiTheme="minorHAnsi" w:eastAsiaTheme="minorHAnsi" w:hAnsiTheme="minorHAnsi" w:cs="Arial"/>
          <w:color w:val="000000"/>
          <w:sz w:val="22"/>
          <w:szCs w:val="22"/>
        </w:rPr>
        <w:t>.</w:t>
      </w:r>
    </w:p>
    <w:p w:rsidR="00CA6F05" w:rsidRPr="00AE2185" w:rsidRDefault="00CA6F05" w:rsidP="00CA6F05">
      <w:pPr>
        <w:tabs>
          <w:tab w:val="left" w:pos="567"/>
        </w:tabs>
        <w:autoSpaceDE w:val="0"/>
        <w:autoSpaceDN w:val="0"/>
        <w:adjustRightInd w:val="0"/>
        <w:ind w:left="567" w:hanging="567"/>
        <w:rPr>
          <w:rFonts w:asciiTheme="minorHAnsi" w:eastAsiaTheme="minorHAnsi" w:hAnsiTheme="minorHAnsi" w:cs="Helv"/>
          <w:color w:val="000000"/>
          <w:sz w:val="22"/>
          <w:szCs w:val="22"/>
        </w:rPr>
      </w:pPr>
    </w:p>
    <w:p w:rsidR="00CA6F05" w:rsidRPr="00B577FC" w:rsidRDefault="00CA6F05" w:rsidP="00CA6F05">
      <w:pPr>
        <w:autoSpaceDE w:val="0"/>
        <w:autoSpaceDN w:val="0"/>
        <w:adjustRightInd w:val="0"/>
        <w:rPr>
          <w:rFonts w:asciiTheme="minorHAnsi" w:eastAsiaTheme="minorHAnsi" w:hAnsiTheme="minorHAnsi" w:cs="Helv"/>
          <w:b/>
          <w:bCs/>
          <w:sz w:val="22"/>
          <w:szCs w:val="22"/>
        </w:rPr>
      </w:pPr>
      <w:r w:rsidRPr="00B577FC">
        <w:rPr>
          <w:rFonts w:asciiTheme="minorHAnsi" w:eastAsiaTheme="minorHAnsi" w:hAnsiTheme="minorHAnsi" w:cs="Helv"/>
          <w:b/>
          <w:bCs/>
          <w:sz w:val="22"/>
          <w:szCs w:val="22"/>
        </w:rPr>
        <w:t>Consultation</w:t>
      </w:r>
    </w:p>
    <w:p w:rsidR="00CA6F05" w:rsidRDefault="00CA6F05" w:rsidP="00CA6F05">
      <w:pPr>
        <w:autoSpaceDE w:val="0"/>
        <w:autoSpaceDN w:val="0"/>
        <w:adjustRightInd w:val="0"/>
        <w:rPr>
          <w:rFonts w:asciiTheme="minorHAnsi" w:eastAsiaTheme="minorHAnsi" w:hAnsiTheme="minorHAnsi" w:cs="Helv"/>
          <w:b/>
          <w:bCs/>
          <w:color w:val="0000FF"/>
          <w:sz w:val="22"/>
          <w:szCs w:val="22"/>
        </w:rPr>
      </w:pPr>
    </w:p>
    <w:p w:rsidR="00B577FC" w:rsidRPr="00B577FC" w:rsidRDefault="00B577FC" w:rsidP="00B577FC">
      <w:pPr>
        <w:autoSpaceDE w:val="0"/>
        <w:autoSpaceDN w:val="0"/>
        <w:adjustRightInd w:val="0"/>
        <w:jc w:val="both"/>
        <w:rPr>
          <w:rFonts w:asciiTheme="minorHAnsi" w:eastAsiaTheme="minorHAnsi" w:hAnsiTheme="minorHAnsi" w:cs="Helv"/>
          <w:color w:val="000000"/>
          <w:sz w:val="22"/>
          <w:szCs w:val="22"/>
        </w:rPr>
      </w:pPr>
      <w:r w:rsidRPr="00B577FC">
        <w:rPr>
          <w:rFonts w:asciiTheme="minorHAnsi" w:eastAsiaTheme="minorHAnsi" w:hAnsiTheme="minorHAnsi" w:cs="Helv"/>
          <w:color w:val="000000"/>
          <w:sz w:val="22"/>
          <w:szCs w:val="22"/>
        </w:rPr>
        <w:t>The Federal Circuit Court consulted with the Federal Court and relevant officers from the AAT in relation to the changes as a consequence of the merger of the Tribunals. In respect of</w:t>
      </w:r>
      <w:r>
        <w:rPr>
          <w:rFonts w:asciiTheme="minorHAnsi" w:eastAsiaTheme="minorHAnsi" w:hAnsiTheme="minorHAnsi" w:cs="Helv"/>
          <w:color w:val="000000"/>
          <w:sz w:val="22"/>
          <w:szCs w:val="22"/>
        </w:rPr>
        <w:t xml:space="preserve"> the amendments to increase the</w:t>
      </w:r>
      <w:r w:rsidRPr="00B577FC">
        <w:rPr>
          <w:rFonts w:asciiTheme="minorHAnsi" w:eastAsiaTheme="minorHAnsi" w:hAnsiTheme="minorHAnsi" w:cs="Helv"/>
          <w:color w:val="000000"/>
          <w:sz w:val="22"/>
          <w:szCs w:val="22"/>
        </w:rPr>
        <w:t xml:space="preserve"> amount of itemised costs set out in Schedule 1 of the Rules, there was no consultation as the increases were consistent with the recommendations of the</w:t>
      </w:r>
      <w:r>
        <w:rPr>
          <w:rFonts w:asciiTheme="minorHAnsi" w:eastAsiaTheme="minorHAnsi" w:hAnsiTheme="minorHAnsi" w:cs="Helv"/>
          <w:color w:val="000000"/>
          <w:sz w:val="22"/>
          <w:szCs w:val="22"/>
        </w:rPr>
        <w:t xml:space="preserve"> Joint Costs Advisory Committee</w:t>
      </w:r>
      <w:r w:rsidRPr="00B577FC">
        <w:rPr>
          <w:rFonts w:asciiTheme="minorHAnsi" w:eastAsiaTheme="minorHAnsi" w:hAnsiTheme="minorHAnsi" w:cs="Helv"/>
          <w:color w:val="000000"/>
          <w:sz w:val="22"/>
          <w:szCs w:val="22"/>
        </w:rPr>
        <w:t xml:space="preserve"> as set out in their 7th and 8th Reports. That Committee consults as part of its annual review of costs. The amendment to rule 44.15 which provides for costs in relation to migration proceedings followed consultation with members of the profession and registrars of the Federal Court who had been experiencing difficulties with the practical implementation of</w:t>
      </w:r>
      <w:r w:rsidR="002F3BC8">
        <w:rPr>
          <w:rFonts w:asciiTheme="minorHAnsi" w:eastAsiaTheme="minorHAnsi" w:hAnsiTheme="minorHAnsi" w:cs="Helv"/>
          <w:color w:val="000000"/>
          <w:sz w:val="22"/>
          <w:szCs w:val="22"/>
        </w:rPr>
        <w:t xml:space="preserve"> the previously prescribed rule. </w:t>
      </w:r>
      <w:r w:rsidRPr="00B577FC">
        <w:rPr>
          <w:rFonts w:asciiTheme="minorHAnsi" w:eastAsiaTheme="minorHAnsi" w:hAnsiTheme="minorHAnsi" w:cs="Helv"/>
          <w:color w:val="000000"/>
          <w:sz w:val="22"/>
          <w:szCs w:val="22"/>
        </w:rPr>
        <w:t>As</w:t>
      </w:r>
      <w:r w:rsidR="002F3BC8">
        <w:rPr>
          <w:rFonts w:asciiTheme="minorHAnsi" w:eastAsiaTheme="minorHAnsi" w:hAnsiTheme="minorHAnsi" w:cs="Helv"/>
          <w:color w:val="000000"/>
          <w:sz w:val="22"/>
          <w:szCs w:val="22"/>
        </w:rPr>
        <w:t xml:space="preserve"> the other amendments introduce</w:t>
      </w:r>
      <w:r w:rsidRPr="00B577FC">
        <w:rPr>
          <w:rFonts w:asciiTheme="minorHAnsi" w:eastAsiaTheme="minorHAnsi" w:hAnsiTheme="minorHAnsi" w:cs="Helv"/>
          <w:color w:val="000000"/>
          <w:sz w:val="22"/>
          <w:szCs w:val="22"/>
        </w:rPr>
        <w:t xml:space="preserve"> no substantive changes to the practices and procedures</w:t>
      </w:r>
      <w:r w:rsidR="002F3BC8">
        <w:rPr>
          <w:rFonts w:asciiTheme="minorHAnsi" w:eastAsiaTheme="minorHAnsi" w:hAnsiTheme="minorHAnsi" w:cs="Helv"/>
          <w:color w:val="000000"/>
          <w:sz w:val="22"/>
          <w:szCs w:val="22"/>
        </w:rPr>
        <w:t>,</w:t>
      </w:r>
      <w:r w:rsidRPr="00B577FC">
        <w:rPr>
          <w:rFonts w:asciiTheme="minorHAnsi" w:eastAsiaTheme="minorHAnsi" w:hAnsiTheme="minorHAnsi" w:cs="Helv"/>
          <w:color w:val="000000"/>
          <w:sz w:val="22"/>
          <w:szCs w:val="22"/>
        </w:rPr>
        <w:t xml:space="preserve"> detailed consultation was unnecessary.</w:t>
      </w:r>
    </w:p>
    <w:p w:rsidR="00CA6F05" w:rsidRPr="00AE2185" w:rsidRDefault="00CA6F05" w:rsidP="00CA6F05">
      <w:pPr>
        <w:autoSpaceDE w:val="0"/>
        <w:autoSpaceDN w:val="0"/>
        <w:adjustRightInd w:val="0"/>
        <w:rPr>
          <w:rFonts w:asciiTheme="minorHAnsi" w:eastAsiaTheme="minorHAnsi" w:hAnsiTheme="minorHAnsi" w:cs="Helv"/>
          <w:b/>
          <w:bCs/>
          <w:color w:val="0000FF"/>
          <w:sz w:val="22"/>
          <w:szCs w:val="22"/>
        </w:rPr>
      </w:pP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r w:rsidRPr="00AE2185">
        <w:rPr>
          <w:rFonts w:asciiTheme="minorHAnsi" w:eastAsiaTheme="minorHAnsi" w:hAnsiTheme="minorHAnsi" w:cs="Helv"/>
          <w:b/>
          <w:bCs/>
          <w:color w:val="000000"/>
          <w:sz w:val="22"/>
          <w:szCs w:val="22"/>
        </w:rPr>
        <w:t>Human Rights Scrutiny</w:t>
      </w: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p>
    <w:p w:rsidR="00CA6F05" w:rsidRPr="00AE2185" w:rsidRDefault="00CA6F05" w:rsidP="00A21082">
      <w:pPr>
        <w:autoSpaceDE w:val="0"/>
        <w:autoSpaceDN w:val="0"/>
        <w:adjustRightInd w:val="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Subsection 8(8) of the </w:t>
      </w:r>
      <w:r w:rsidRPr="00A21082">
        <w:rPr>
          <w:rFonts w:asciiTheme="minorHAnsi" w:eastAsiaTheme="minorHAnsi" w:hAnsiTheme="minorHAnsi" w:cs="Helv"/>
          <w:i/>
          <w:color w:val="000000"/>
          <w:sz w:val="22"/>
          <w:szCs w:val="22"/>
        </w:rPr>
        <w:t>Legislation Act</w:t>
      </w:r>
      <w:r w:rsidRPr="00AE2185">
        <w:rPr>
          <w:rFonts w:asciiTheme="minorHAnsi" w:eastAsiaTheme="minorHAnsi" w:hAnsiTheme="minorHAnsi" w:cs="Helv"/>
          <w:color w:val="000000"/>
          <w:sz w:val="22"/>
          <w:szCs w:val="22"/>
        </w:rPr>
        <w:t xml:space="preserve"> provides that Rules of Court made for the Federal Circuit Court are not legislative instruments for the purposes of that Act. As a result the </w:t>
      </w:r>
      <w:r w:rsidRPr="00AE2185">
        <w:rPr>
          <w:rFonts w:asciiTheme="minorHAnsi" w:eastAsiaTheme="minorHAnsi" w:hAnsiTheme="minorHAnsi" w:cs="Helv"/>
          <w:i/>
          <w:iCs/>
          <w:color w:val="000000"/>
          <w:sz w:val="22"/>
          <w:szCs w:val="22"/>
        </w:rPr>
        <w:t>Human Rights (Parliamentary Scrutiny) Act 2011</w:t>
      </w:r>
      <w:r w:rsidRPr="00AE2185">
        <w:rPr>
          <w:rFonts w:asciiTheme="minorHAnsi" w:eastAsiaTheme="minorHAnsi" w:hAnsiTheme="minorHAnsi" w:cs="Helv"/>
          <w:color w:val="000000"/>
          <w:sz w:val="22"/>
          <w:szCs w:val="22"/>
        </w:rPr>
        <w:t xml:space="preserve"> does not apply to any such Rules of Court and no statement of compatibility for the purposes of that latter Act is included in this Explanatory Statement.</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r w:rsidRPr="00AE2185">
        <w:rPr>
          <w:rFonts w:asciiTheme="minorHAnsi" w:eastAsiaTheme="minorHAnsi" w:hAnsiTheme="minorHAnsi" w:cs="Helv"/>
          <w:b/>
          <w:bCs/>
          <w:color w:val="000000"/>
          <w:sz w:val="22"/>
          <w:szCs w:val="22"/>
        </w:rPr>
        <w:t xml:space="preserve">Explanation and Commencement of the Rules </w:t>
      </w: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Details of the Rules are in the Attachment. </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The Rules commence on the day after registration</w:t>
      </w:r>
      <w:r w:rsidR="00141F76">
        <w:rPr>
          <w:rFonts w:asciiTheme="minorHAnsi" w:eastAsiaTheme="minorHAnsi" w:hAnsiTheme="minorHAnsi" w:cs="Helv"/>
          <w:color w:val="000000"/>
          <w:sz w:val="22"/>
          <w:szCs w:val="22"/>
        </w:rPr>
        <w:t>.</w:t>
      </w:r>
    </w:p>
    <w:p w:rsidR="00CA6F05" w:rsidRPr="00AE2185" w:rsidRDefault="00CA6F05">
      <w:pPr>
        <w:spacing w:after="200" w:line="276" w:lineRule="auto"/>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br w:type="page"/>
      </w:r>
    </w:p>
    <w:p w:rsidR="005C1265" w:rsidRPr="00AE2185" w:rsidRDefault="005C1265" w:rsidP="005C1265">
      <w:pPr>
        <w:autoSpaceDE w:val="0"/>
        <w:autoSpaceDN w:val="0"/>
        <w:adjustRightInd w:val="0"/>
        <w:jc w:val="center"/>
        <w:rPr>
          <w:rFonts w:asciiTheme="minorHAnsi" w:eastAsiaTheme="minorHAnsi" w:hAnsiTheme="minorHAnsi" w:cs="Helv"/>
          <w:b/>
          <w:bCs/>
          <w:i/>
          <w:iCs/>
          <w:sz w:val="22"/>
          <w:szCs w:val="22"/>
        </w:rPr>
      </w:pPr>
      <w:r w:rsidRPr="00AE2185">
        <w:rPr>
          <w:rFonts w:asciiTheme="minorHAnsi" w:eastAsiaTheme="minorHAnsi" w:hAnsiTheme="minorHAnsi" w:cs="Helv"/>
          <w:b/>
          <w:bCs/>
          <w:i/>
          <w:iCs/>
          <w:sz w:val="22"/>
          <w:szCs w:val="22"/>
        </w:rPr>
        <w:lastRenderedPageBreak/>
        <w:t>Federal Circuit Court Amendment (Costs and Other Measures) Rules 2016</w:t>
      </w:r>
    </w:p>
    <w:p w:rsidR="00CA6F05" w:rsidRPr="00AE2185" w:rsidRDefault="00CA6F05" w:rsidP="005C1265">
      <w:pPr>
        <w:autoSpaceDE w:val="0"/>
        <w:autoSpaceDN w:val="0"/>
        <w:adjustRightInd w:val="0"/>
        <w:jc w:val="center"/>
        <w:rPr>
          <w:rFonts w:asciiTheme="minorHAnsi" w:eastAsiaTheme="minorHAnsi" w:hAnsiTheme="minorHAnsi" w:cs="Helv"/>
          <w:color w:val="000000"/>
          <w:sz w:val="22"/>
          <w:szCs w:val="22"/>
        </w:rPr>
      </w:pP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r w:rsidRPr="00AE2185">
        <w:rPr>
          <w:rFonts w:asciiTheme="minorHAnsi" w:eastAsiaTheme="minorHAnsi" w:hAnsiTheme="minorHAnsi" w:cs="Helv"/>
          <w:b/>
          <w:bCs/>
          <w:color w:val="000000"/>
          <w:sz w:val="22"/>
          <w:szCs w:val="22"/>
        </w:rPr>
        <w:t>ATTACHMENT</w:t>
      </w: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p>
    <w:p w:rsidR="00CA6F05" w:rsidRPr="002F3BC8" w:rsidRDefault="00CA6F05" w:rsidP="00CA6F05">
      <w:pPr>
        <w:autoSpaceDE w:val="0"/>
        <w:autoSpaceDN w:val="0"/>
        <w:adjustRightInd w:val="0"/>
        <w:rPr>
          <w:rFonts w:asciiTheme="minorHAnsi" w:eastAsiaTheme="minorHAnsi" w:hAnsiTheme="minorHAnsi" w:cs="Helv"/>
          <w:b/>
          <w:bCs/>
          <w:color w:val="000000"/>
          <w:sz w:val="28"/>
          <w:szCs w:val="28"/>
        </w:rPr>
      </w:pPr>
      <w:r w:rsidRPr="002F3BC8">
        <w:rPr>
          <w:rFonts w:asciiTheme="minorHAnsi" w:eastAsiaTheme="minorHAnsi" w:hAnsiTheme="minorHAnsi" w:cs="Helv"/>
          <w:b/>
          <w:bCs/>
          <w:color w:val="000000"/>
          <w:sz w:val="28"/>
          <w:szCs w:val="28"/>
        </w:rPr>
        <w:t>Part 1 - Costs</w:t>
      </w: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p>
    <w:p w:rsidR="002F3BC8" w:rsidRDefault="00CA6F05" w:rsidP="00CA6F05">
      <w:pPr>
        <w:autoSpaceDE w:val="0"/>
        <w:autoSpaceDN w:val="0"/>
        <w:adjustRightInd w:val="0"/>
        <w:rPr>
          <w:rFonts w:asciiTheme="minorHAnsi" w:eastAsiaTheme="minorHAnsi" w:hAnsiTheme="minorHAnsi" w:cs="Helv"/>
          <w:b/>
          <w:bCs/>
          <w:color w:val="000000"/>
          <w:sz w:val="22"/>
          <w:szCs w:val="22"/>
        </w:rPr>
      </w:pPr>
      <w:r w:rsidRPr="00AE2185">
        <w:rPr>
          <w:rFonts w:asciiTheme="minorHAnsi" w:eastAsiaTheme="minorHAnsi" w:hAnsiTheme="minorHAnsi" w:cs="Helv"/>
          <w:b/>
          <w:bCs/>
          <w:color w:val="000000"/>
          <w:sz w:val="22"/>
          <w:szCs w:val="22"/>
        </w:rPr>
        <w:t xml:space="preserve">[1] </w:t>
      </w:r>
      <w:r w:rsidR="002F3BC8">
        <w:rPr>
          <w:rFonts w:asciiTheme="minorHAnsi" w:eastAsiaTheme="minorHAnsi" w:hAnsiTheme="minorHAnsi" w:cs="Helv"/>
          <w:b/>
          <w:bCs/>
          <w:color w:val="000000"/>
          <w:sz w:val="22"/>
          <w:szCs w:val="22"/>
        </w:rPr>
        <w:t>Repeal the Schedule</w:t>
      </w:r>
    </w:p>
    <w:p w:rsidR="002F3BC8" w:rsidRPr="002F3BC8" w:rsidRDefault="002F3BC8" w:rsidP="00CA6F05">
      <w:pPr>
        <w:autoSpaceDE w:val="0"/>
        <w:autoSpaceDN w:val="0"/>
        <w:adjustRightInd w:val="0"/>
        <w:rPr>
          <w:rFonts w:asciiTheme="minorHAnsi" w:eastAsiaTheme="minorHAnsi" w:hAnsiTheme="minorHAnsi" w:cs="Helv"/>
          <w:b/>
          <w:bCs/>
          <w:color w:val="000000"/>
          <w:sz w:val="22"/>
          <w:szCs w:val="22"/>
        </w:rPr>
      </w:pPr>
    </w:p>
    <w:p w:rsidR="002F3BC8" w:rsidRDefault="002F3BC8" w:rsidP="002F3BC8">
      <w:pPr>
        <w:autoSpaceDE w:val="0"/>
        <w:autoSpaceDN w:val="0"/>
        <w:adjustRightInd w:val="0"/>
        <w:jc w:val="both"/>
        <w:rPr>
          <w:rFonts w:asciiTheme="minorHAnsi" w:eastAsiaTheme="minorHAnsi" w:hAnsiTheme="minorHAnsi" w:cs="Helv"/>
          <w:color w:val="000000"/>
          <w:sz w:val="22"/>
          <w:szCs w:val="22"/>
        </w:rPr>
      </w:pPr>
      <w:r w:rsidRPr="002F3BC8">
        <w:rPr>
          <w:rFonts w:asciiTheme="minorHAnsi" w:eastAsiaTheme="minorHAnsi" w:hAnsiTheme="minorHAnsi" w:cs="Helv"/>
          <w:bCs/>
          <w:color w:val="000000"/>
          <w:sz w:val="22"/>
          <w:szCs w:val="22"/>
        </w:rPr>
        <w:t xml:space="preserve">Schedule 1 is repealed and a new costs schedule which </w:t>
      </w:r>
      <w:r>
        <w:rPr>
          <w:rFonts w:asciiTheme="minorHAnsi" w:eastAsiaTheme="minorHAnsi" w:hAnsiTheme="minorHAnsi" w:cs="Helv"/>
          <w:color w:val="000000"/>
          <w:sz w:val="22"/>
          <w:szCs w:val="22"/>
        </w:rPr>
        <w:t>increases</w:t>
      </w:r>
      <w:r w:rsidR="00CA6F05" w:rsidRPr="00AE2185">
        <w:rPr>
          <w:rFonts w:asciiTheme="minorHAnsi" w:eastAsiaTheme="minorHAnsi" w:hAnsiTheme="minorHAnsi" w:cs="Helv"/>
          <w:color w:val="000000"/>
          <w:sz w:val="22"/>
          <w:szCs w:val="22"/>
        </w:rPr>
        <w:t xml:space="preserve"> the itemised amounts of costs as recommended by the Joint Costs Advisory Committee in their 7</w:t>
      </w:r>
      <w:r w:rsidR="00CA6F05" w:rsidRPr="00AE2185">
        <w:rPr>
          <w:rFonts w:asciiTheme="minorHAnsi" w:eastAsiaTheme="minorHAnsi" w:hAnsiTheme="minorHAnsi" w:cs="Helv"/>
          <w:color w:val="000000"/>
          <w:sz w:val="22"/>
          <w:szCs w:val="22"/>
          <w:vertAlign w:val="superscript"/>
        </w:rPr>
        <w:t>th</w:t>
      </w:r>
      <w:r w:rsidR="00CA6F05" w:rsidRPr="00AE2185">
        <w:rPr>
          <w:rFonts w:asciiTheme="minorHAnsi" w:eastAsiaTheme="minorHAnsi" w:hAnsiTheme="minorHAnsi" w:cs="Helv"/>
          <w:color w:val="000000"/>
          <w:sz w:val="22"/>
          <w:szCs w:val="22"/>
        </w:rPr>
        <w:t xml:space="preserve"> report (which recommended a 2.7% increase) and their 8</w:t>
      </w:r>
      <w:r w:rsidR="00CA6F05" w:rsidRPr="00AE2185">
        <w:rPr>
          <w:rFonts w:asciiTheme="minorHAnsi" w:eastAsiaTheme="minorHAnsi" w:hAnsiTheme="minorHAnsi" w:cs="Helv"/>
          <w:color w:val="000000"/>
          <w:sz w:val="22"/>
          <w:szCs w:val="22"/>
          <w:vertAlign w:val="superscript"/>
        </w:rPr>
        <w:t>th</w:t>
      </w:r>
      <w:r w:rsidR="00CA6F05" w:rsidRPr="00AE2185">
        <w:rPr>
          <w:rFonts w:asciiTheme="minorHAnsi" w:eastAsiaTheme="minorHAnsi" w:hAnsiTheme="minorHAnsi" w:cs="Helv"/>
          <w:color w:val="000000"/>
          <w:sz w:val="22"/>
          <w:szCs w:val="22"/>
        </w:rPr>
        <w:t xml:space="preserve"> report (which recommended a 2.8% increase).</w:t>
      </w:r>
    </w:p>
    <w:p w:rsidR="002F3BC8" w:rsidRDefault="002F3BC8" w:rsidP="002F3BC8">
      <w:pPr>
        <w:autoSpaceDE w:val="0"/>
        <w:autoSpaceDN w:val="0"/>
        <w:adjustRightInd w:val="0"/>
        <w:rPr>
          <w:rFonts w:asciiTheme="minorHAnsi" w:eastAsiaTheme="minorHAnsi" w:hAnsiTheme="minorHAnsi" w:cs="Helv"/>
          <w:color w:val="000000"/>
          <w:sz w:val="22"/>
          <w:szCs w:val="22"/>
        </w:rPr>
      </w:pPr>
    </w:p>
    <w:p w:rsidR="00CA6F05" w:rsidRPr="002F3BC8" w:rsidRDefault="00CA6F05" w:rsidP="002F3BC8">
      <w:pPr>
        <w:autoSpaceDE w:val="0"/>
        <w:autoSpaceDN w:val="0"/>
        <w:adjustRightInd w:val="0"/>
        <w:rPr>
          <w:rFonts w:asciiTheme="minorHAnsi" w:eastAsiaTheme="minorHAnsi" w:hAnsiTheme="minorHAnsi" w:cs="Helv"/>
          <w:bCs/>
          <w:color w:val="000000"/>
          <w:sz w:val="22"/>
          <w:szCs w:val="22"/>
        </w:rPr>
      </w:pPr>
      <w:r w:rsidRPr="00AE2185">
        <w:rPr>
          <w:rFonts w:asciiTheme="minorHAnsi" w:eastAsiaTheme="minorHAnsi" w:hAnsiTheme="minorHAnsi" w:cs="Helv"/>
          <w:color w:val="000000"/>
          <w:sz w:val="22"/>
          <w:szCs w:val="22"/>
        </w:rPr>
        <w:t>Part 1A provides that these increases apply to work done or services performed after the commencement of the Schedule.</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p>
    <w:p w:rsidR="00CA6F05" w:rsidRPr="002F3BC8" w:rsidRDefault="00CA6F05" w:rsidP="00CA6F05">
      <w:pPr>
        <w:autoSpaceDE w:val="0"/>
        <w:autoSpaceDN w:val="0"/>
        <w:adjustRightInd w:val="0"/>
        <w:rPr>
          <w:rFonts w:asciiTheme="minorHAnsi" w:eastAsiaTheme="minorHAnsi" w:hAnsiTheme="minorHAnsi" w:cs="Helv"/>
          <w:b/>
          <w:bCs/>
          <w:color w:val="000000"/>
          <w:sz w:val="28"/>
          <w:szCs w:val="28"/>
        </w:rPr>
      </w:pPr>
      <w:r w:rsidRPr="002F3BC8">
        <w:rPr>
          <w:rFonts w:asciiTheme="minorHAnsi" w:eastAsiaTheme="minorHAnsi" w:hAnsiTheme="minorHAnsi" w:cs="Helv"/>
          <w:b/>
          <w:bCs/>
          <w:color w:val="000000"/>
          <w:sz w:val="28"/>
          <w:szCs w:val="28"/>
        </w:rPr>
        <w:t>Part 2 - Other Amendments</w:t>
      </w:r>
    </w:p>
    <w:p w:rsidR="00CA6F05" w:rsidRPr="00AE2185" w:rsidRDefault="00CA6F05" w:rsidP="00CA6F05">
      <w:pPr>
        <w:autoSpaceDE w:val="0"/>
        <w:autoSpaceDN w:val="0"/>
        <w:adjustRightInd w:val="0"/>
        <w:rPr>
          <w:rFonts w:asciiTheme="minorHAnsi" w:eastAsiaTheme="minorHAnsi" w:hAnsiTheme="minorHAnsi" w:cs="Helv"/>
          <w:b/>
          <w:bCs/>
          <w:color w:val="000000"/>
          <w:sz w:val="22"/>
          <w:szCs w:val="22"/>
        </w:rPr>
      </w:pPr>
    </w:p>
    <w:p w:rsidR="00CA6F05" w:rsidRDefault="00CA6F05" w:rsidP="00CA6F05">
      <w:pPr>
        <w:autoSpaceDE w:val="0"/>
        <w:autoSpaceDN w:val="0"/>
        <w:adjustRightInd w:val="0"/>
        <w:rPr>
          <w:rFonts w:asciiTheme="minorHAnsi" w:eastAsiaTheme="minorHAnsi" w:hAnsiTheme="minorHAnsi" w:cs="Helv"/>
          <w:b/>
          <w:bCs/>
          <w:color w:val="000000"/>
          <w:sz w:val="22"/>
          <w:szCs w:val="22"/>
        </w:rPr>
      </w:pPr>
      <w:r w:rsidRPr="00AE2185">
        <w:rPr>
          <w:rFonts w:asciiTheme="minorHAnsi" w:eastAsiaTheme="minorHAnsi" w:hAnsiTheme="minorHAnsi" w:cs="Helv"/>
          <w:b/>
          <w:bCs/>
          <w:color w:val="000000"/>
          <w:sz w:val="22"/>
          <w:szCs w:val="22"/>
        </w:rPr>
        <w:t>[2] After paragraph 2.08(1</w:t>
      </w:r>
      <w:proofErr w:type="gramStart"/>
      <w:r w:rsidRPr="00AE2185">
        <w:rPr>
          <w:rFonts w:asciiTheme="minorHAnsi" w:eastAsiaTheme="minorHAnsi" w:hAnsiTheme="minorHAnsi" w:cs="Helv"/>
          <w:b/>
          <w:bCs/>
          <w:color w:val="000000"/>
          <w:sz w:val="22"/>
          <w:szCs w:val="22"/>
        </w:rPr>
        <w:t>)(</w:t>
      </w:r>
      <w:proofErr w:type="gramEnd"/>
      <w:r w:rsidRPr="00AE2185">
        <w:rPr>
          <w:rFonts w:asciiTheme="minorHAnsi" w:eastAsiaTheme="minorHAnsi" w:hAnsiTheme="minorHAnsi" w:cs="Helv"/>
          <w:b/>
          <w:bCs/>
          <w:color w:val="000000"/>
          <w:sz w:val="22"/>
          <w:szCs w:val="22"/>
        </w:rPr>
        <w:t>b)</w:t>
      </w:r>
    </w:p>
    <w:p w:rsidR="00E70C28" w:rsidRPr="00AE2185" w:rsidRDefault="00E70C28" w:rsidP="00CA6F05">
      <w:pPr>
        <w:autoSpaceDE w:val="0"/>
        <w:autoSpaceDN w:val="0"/>
        <w:adjustRightInd w:val="0"/>
        <w:rPr>
          <w:rFonts w:asciiTheme="minorHAnsi" w:eastAsiaTheme="minorHAnsi" w:hAnsiTheme="minorHAnsi" w:cs="Helv"/>
          <w:b/>
          <w:bCs/>
          <w:color w:val="000000"/>
          <w:sz w:val="22"/>
          <w:szCs w:val="22"/>
        </w:rPr>
      </w:pPr>
    </w:p>
    <w:p w:rsidR="00BE6875" w:rsidRPr="00AE2185" w:rsidRDefault="00BE6875" w:rsidP="00BE6875">
      <w:pPr>
        <w:autoSpaceDE w:val="0"/>
        <w:autoSpaceDN w:val="0"/>
        <w:adjustRightInd w:val="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An amendment which inserts a new paragraph (</w:t>
      </w:r>
      <w:proofErr w:type="spellStart"/>
      <w:r w:rsidRPr="00AE2185">
        <w:rPr>
          <w:rFonts w:asciiTheme="minorHAnsi" w:eastAsiaTheme="minorHAnsi" w:hAnsiTheme="minorHAnsi" w:cs="Helv"/>
          <w:color w:val="000000"/>
          <w:sz w:val="22"/>
          <w:szCs w:val="22"/>
        </w:rPr>
        <w:t>ba</w:t>
      </w:r>
      <w:proofErr w:type="spellEnd"/>
      <w:r w:rsidRPr="00AE2185">
        <w:rPr>
          <w:rFonts w:asciiTheme="minorHAnsi" w:eastAsiaTheme="minorHAnsi" w:hAnsiTheme="minorHAnsi" w:cs="Helv"/>
          <w:color w:val="000000"/>
          <w:sz w:val="22"/>
          <w:szCs w:val="22"/>
        </w:rPr>
        <w:t xml:space="preserve">) to </w:t>
      </w:r>
      <w:proofErr w:type="spellStart"/>
      <w:r w:rsidRPr="00AE2185">
        <w:rPr>
          <w:rFonts w:asciiTheme="minorHAnsi" w:eastAsiaTheme="minorHAnsi" w:hAnsiTheme="minorHAnsi" w:cs="Helv"/>
          <w:color w:val="000000"/>
          <w:sz w:val="22"/>
          <w:szCs w:val="22"/>
        </w:rPr>
        <w:t>subrule</w:t>
      </w:r>
      <w:proofErr w:type="spellEnd"/>
      <w:r w:rsidRPr="00AE2185">
        <w:rPr>
          <w:rFonts w:asciiTheme="minorHAnsi" w:eastAsiaTheme="minorHAnsi" w:hAnsiTheme="minorHAnsi" w:cs="Helv"/>
          <w:color w:val="000000"/>
          <w:sz w:val="22"/>
          <w:szCs w:val="22"/>
        </w:rPr>
        <w:t xml:space="preserve"> 2.08(1)(b) extending the list of person</w:t>
      </w:r>
      <w:r>
        <w:rPr>
          <w:rFonts w:asciiTheme="minorHAnsi" w:eastAsiaTheme="minorHAnsi" w:hAnsiTheme="minorHAnsi" w:cs="Helv"/>
          <w:color w:val="000000"/>
          <w:sz w:val="22"/>
          <w:szCs w:val="22"/>
        </w:rPr>
        <w:t xml:space="preserve"> </w:t>
      </w:r>
      <w:r w:rsidRPr="00AE2185">
        <w:rPr>
          <w:rFonts w:asciiTheme="minorHAnsi" w:eastAsiaTheme="minorHAnsi" w:hAnsiTheme="minorHAnsi" w:cs="Helv"/>
          <w:color w:val="000000"/>
          <w:sz w:val="22"/>
          <w:szCs w:val="22"/>
        </w:rPr>
        <w:t>who</w:t>
      </w:r>
      <w:r>
        <w:rPr>
          <w:rFonts w:asciiTheme="minorHAnsi" w:eastAsiaTheme="minorHAnsi" w:hAnsiTheme="minorHAnsi" w:cs="Helv"/>
          <w:color w:val="000000"/>
          <w:sz w:val="22"/>
          <w:szCs w:val="22"/>
        </w:rPr>
        <w:t>, in family law/child support proceedings,</w:t>
      </w:r>
      <w:r w:rsidRPr="00AE2185">
        <w:rPr>
          <w:rFonts w:asciiTheme="minorHAnsi" w:eastAsiaTheme="minorHAnsi" w:hAnsiTheme="minorHAnsi" w:cs="Helv"/>
          <w:color w:val="000000"/>
          <w:sz w:val="22"/>
          <w:szCs w:val="22"/>
        </w:rPr>
        <w:t xml:space="preserve"> can search the court records to a child welfare officer of a State or Territory, if the case affects or may affect the welfare of a child. This amendment is consistent with a recent amendment to section 121(9) of the </w:t>
      </w:r>
      <w:r>
        <w:rPr>
          <w:rFonts w:asciiTheme="minorHAnsi" w:eastAsiaTheme="minorHAnsi" w:hAnsiTheme="minorHAnsi" w:cs="Helv"/>
          <w:i/>
          <w:iCs/>
          <w:color w:val="000000"/>
          <w:sz w:val="22"/>
          <w:szCs w:val="22"/>
        </w:rPr>
        <w:t xml:space="preserve">Family Law Act 1975 </w:t>
      </w:r>
      <w:r w:rsidRPr="00AE2185">
        <w:rPr>
          <w:rFonts w:asciiTheme="minorHAnsi" w:eastAsiaTheme="minorHAnsi" w:hAnsiTheme="minorHAnsi" w:cs="Helv"/>
          <w:color w:val="000000"/>
          <w:sz w:val="22"/>
          <w:szCs w:val="22"/>
        </w:rPr>
        <w:t xml:space="preserve">which now specifically </w:t>
      </w:r>
      <w:r>
        <w:rPr>
          <w:rFonts w:asciiTheme="minorHAnsi" w:eastAsiaTheme="minorHAnsi" w:hAnsiTheme="minorHAnsi" w:cs="Helv"/>
          <w:color w:val="000000"/>
          <w:sz w:val="22"/>
          <w:szCs w:val="22"/>
        </w:rPr>
        <w:t xml:space="preserve">exempts from the general restriction on publication of family law proceedings </w:t>
      </w:r>
      <w:r w:rsidRPr="00AE2185">
        <w:rPr>
          <w:rFonts w:asciiTheme="minorHAnsi" w:eastAsiaTheme="minorHAnsi" w:hAnsiTheme="minorHAnsi" w:cs="Helv"/>
          <w:color w:val="000000"/>
          <w:sz w:val="22"/>
          <w:szCs w:val="22"/>
        </w:rPr>
        <w:t xml:space="preserve">the communication of certain documents to prescribed welfare authorities. The amendment to </w:t>
      </w:r>
      <w:proofErr w:type="spellStart"/>
      <w:r w:rsidRPr="00AE2185">
        <w:rPr>
          <w:rFonts w:asciiTheme="minorHAnsi" w:eastAsiaTheme="minorHAnsi" w:hAnsiTheme="minorHAnsi" w:cs="Helv"/>
          <w:color w:val="000000"/>
          <w:sz w:val="22"/>
          <w:szCs w:val="22"/>
        </w:rPr>
        <w:t>subrule</w:t>
      </w:r>
      <w:proofErr w:type="spellEnd"/>
      <w:r w:rsidRPr="00AE2185">
        <w:rPr>
          <w:rFonts w:asciiTheme="minorHAnsi" w:eastAsiaTheme="minorHAnsi" w:hAnsiTheme="minorHAnsi" w:cs="Helv"/>
          <w:color w:val="000000"/>
          <w:sz w:val="22"/>
          <w:szCs w:val="22"/>
        </w:rPr>
        <w:t xml:space="preserve"> 2.08 is intended to facilitate the sharing of relevant court records with child welfare officers and is consistent with amendments previously m</w:t>
      </w:r>
      <w:r>
        <w:rPr>
          <w:rFonts w:asciiTheme="minorHAnsi" w:eastAsiaTheme="minorHAnsi" w:hAnsiTheme="minorHAnsi" w:cs="Helv"/>
          <w:color w:val="000000"/>
          <w:sz w:val="22"/>
          <w:szCs w:val="22"/>
        </w:rPr>
        <w:t xml:space="preserve">ade to paragraph </w:t>
      </w:r>
      <w:proofErr w:type="gramStart"/>
      <w:r>
        <w:rPr>
          <w:rFonts w:asciiTheme="minorHAnsi" w:eastAsiaTheme="minorHAnsi" w:hAnsiTheme="minorHAnsi" w:cs="Helv"/>
          <w:color w:val="000000"/>
          <w:sz w:val="22"/>
          <w:szCs w:val="22"/>
        </w:rPr>
        <w:t>23.01A(</w:t>
      </w:r>
      <w:proofErr w:type="gramEnd"/>
      <w:r>
        <w:rPr>
          <w:rFonts w:asciiTheme="minorHAnsi" w:eastAsiaTheme="minorHAnsi" w:hAnsiTheme="minorHAnsi" w:cs="Helv"/>
          <w:color w:val="000000"/>
          <w:sz w:val="22"/>
          <w:szCs w:val="22"/>
        </w:rPr>
        <w:t>5)(a)(iii</w:t>
      </w:r>
      <w:r w:rsidRPr="00AE2185">
        <w:rPr>
          <w:rFonts w:asciiTheme="minorHAnsi" w:eastAsiaTheme="minorHAnsi" w:hAnsiTheme="minorHAnsi" w:cs="Helv"/>
          <w:color w:val="000000"/>
          <w:sz w:val="22"/>
          <w:szCs w:val="22"/>
        </w:rPr>
        <w:t xml:space="preserve">) </w:t>
      </w:r>
      <w:r>
        <w:rPr>
          <w:rFonts w:asciiTheme="minorHAnsi" w:eastAsiaTheme="minorHAnsi" w:hAnsiTheme="minorHAnsi" w:cs="Helv"/>
          <w:color w:val="000000"/>
          <w:sz w:val="22"/>
          <w:szCs w:val="22"/>
        </w:rPr>
        <w:t xml:space="preserve">of the </w:t>
      </w:r>
      <w:r>
        <w:rPr>
          <w:rFonts w:asciiTheme="minorHAnsi" w:eastAsiaTheme="minorHAnsi" w:hAnsiTheme="minorHAnsi" w:cs="Helv"/>
          <w:i/>
          <w:color w:val="000000"/>
          <w:sz w:val="22"/>
          <w:szCs w:val="22"/>
        </w:rPr>
        <w:t xml:space="preserve">Rules </w:t>
      </w:r>
      <w:r w:rsidRPr="00AE2185">
        <w:rPr>
          <w:rFonts w:asciiTheme="minorHAnsi" w:eastAsiaTheme="minorHAnsi" w:hAnsiTheme="minorHAnsi" w:cs="Helv"/>
          <w:color w:val="000000"/>
          <w:sz w:val="22"/>
          <w:szCs w:val="22"/>
        </w:rPr>
        <w:t>to facilitate the sharing of family reports.</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p>
    <w:p w:rsidR="00CA6F05" w:rsidRDefault="005C1265" w:rsidP="00CA6F05">
      <w:pPr>
        <w:autoSpaceDE w:val="0"/>
        <w:autoSpaceDN w:val="0"/>
        <w:adjustRightInd w:val="0"/>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 xml:space="preserve">[3] </w:t>
      </w:r>
      <w:r w:rsidR="00CA6F05" w:rsidRPr="00AE2185">
        <w:rPr>
          <w:rFonts w:asciiTheme="minorHAnsi" w:eastAsiaTheme="minorHAnsi" w:hAnsiTheme="minorHAnsi" w:cs="Arial"/>
          <w:b/>
          <w:bCs/>
          <w:color w:val="000000"/>
          <w:sz w:val="22"/>
          <w:szCs w:val="22"/>
        </w:rPr>
        <w:t>Rules 4.03 and 4.04</w:t>
      </w:r>
    </w:p>
    <w:p w:rsidR="00E70C28" w:rsidRDefault="00E70C28" w:rsidP="00CA6F05">
      <w:pPr>
        <w:autoSpaceDE w:val="0"/>
        <w:autoSpaceDN w:val="0"/>
        <w:adjustRightInd w:val="0"/>
        <w:rPr>
          <w:rFonts w:asciiTheme="minorHAnsi" w:eastAsiaTheme="minorHAnsi" w:hAnsiTheme="minorHAnsi" w:cs="Arial"/>
          <w:b/>
          <w:bCs/>
          <w:color w:val="000000"/>
          <w:sz w:val="22"/>
          <w:szCs w:val="22"/>
        </w:rPr>
      </w:pPr>
    </w:p>
    <w:p w:rsidR="00BE6875" w:rsidRPr="00AE2185" w:rsidRDefault="00BE6875" w:rsidP="00BE6875">
      <w:pPr>
        <w:autoSpaceDE w:val="0"/>
        <w:autoSpaceDN w:val="0"/>
        <w:adjustRightInd w:val="0"/>
        <w:jc w:val="both"/>
        <w:rPr>
          <w:rFonts w:asciiTheme="minorHAnsi" w:eastAsiaTheme="minorHAnsi" w:hAnsiTheme="minorHAnsi" w:cs="Arial"/>
          <w:color w:val="000000"/>
          <w:sz w:val="22"/>
          <w:szCs w:val="22"/>
        </w:rPr>
      </w:pPr>
      <w:proofErr w:type="gramStart"/>
      <w:r>
        <w:rPr>
          <w:rFonts w:asciiTheme="minorHAnsi" w:eastAsiaTheme="minorHAnsi" w:hAnsiTheme="minorHAnsi" w:cs="Arial"/>
          <w:color w:val="000000"/>
          <w:sz w:val="22"/>
          <w:szCs w:val="22"/>
        </w:rPr>
        <w:t>A</w:t>
      </w:r>
      <w:r w:rsidRPr="00AE2185">
        <w:rPr>
          <w:rFonts w:asciiTheme="minorHAnsi" w:eastAsiaTheme="minorHAnsi" w:hAnsiTheme="minorHAnsi" w:cs="Arial"/>
          <w:color w:val="000000"/>
          <w:sz w:val="22"/>
          <w:szCs w:val="22"/>
        </w:rPr>
        <w:t>n amendment to the response rules.</w:t>
      </w:r>
      <w:proofErr w:type="gramEnd"/>
      <w:r w:rsidRPr="00AE2185">
        <w:rPr>
          <w:rFonts w:asciiTheme="minorHAnsi" w:eastAsiaTheme="minorHAnsi" w:hAnsiTheme="minorHAnsi" w:cs="Arial"/>
          <w:color w:val="000000"/>
          <w:sz w:val="22"/>
          <w:szCs w:val="22"/>
        </w:rPr>
        <w:t xml:space="preserve"> The amendment makes no substantive change to the rules but better clarifies the procedural requirements by combining the requirements previously set out in repealed rules 4.03 and 4.04 into a consolidated rule 4.03.</w:t>
      </w:r>
    </w:p>
    <w:p w:rsidR="00CA6F05" w:rsidRPr="00AE2185" w:rsidRDefault="00CA6F05" w:rsidP="00CA6F05">
      <w:pPr>
        <w:autoSpaceDE w:val="0"/>
        <w:autoSpaceDN w:val="0"/>
        <w:adjustRightInd w:val="0"/>
        <w:rPr>
          <w:rFonts w:asciiTheme="minorHAnsi" w:eastAsiaTheme="minorHAnsi" w:hAnsiTheme="minorHAnsi" w:cs="Arial"/>
          <w:color w:val="000000"/>
          <w:sz w:val="22"/>
          <w:szCs w:val="22"/>
        </w:rPr>
      </w:pPr>
    </w:p>
    <w:p w:rsidR="00CA6F05" w:rsidRPr="00AE2185" w:rsidRDefault="005C1265" w:rsidP="00B577FC">
      <w:pPr>
        <w:keepNext/>
        <w:keepLines/>
        <w:autoSpaceDE w:val="0"/>
        <w:autoSpaceDN w:val="0"/>
        <w:adjustRightInd w:val="0"/>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4</w:t>
      </w: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w:t>
      </w:r>
      <w:proofErr w:type="spellStart"/>
      <w:r w:rsidR="00CA6F05" w:rsidRPr="00AE2185">
        <w:rPr>
          <w:rFonts w:asciiTheme="minorHAnsi" w:eastAsiaTheme="minorHAnsi" w:hAnsiTheme="minorHAnsi" w:cs="Arial"/>
          <w:b/>
          <w:bCs/>
          <w:color w:val="000000"/>
          <w:sz w:val="22"/>
          <w:szCs w:val="22"/>
        </w:rPr>
        <w:t>Subrule</w:t>
      </w:r>
      <w:proofErr w:type="spellEnd"/>
      <w:r w:rsidR="00CA6F05" w:rsidRPr="00AE2185">
        <w:rPr>
          <w:rFonts w:asciiTheme="minorHAnsi" w:eastAsiaTheme="minorHAnsi" w:hAnsiTheme="minorHAnsi" w:cs="Arial"/>
          <w:b/>
          <w:bCs/>
          <w:color w:val="000000"/>
          <w:sz w:val="22"/>
          <w:szCs w:val="22"/>
        </w:rPr>
        <w:t xml:space="preserve"> 13.11(1) </w:t>
      </w:r>
    </w:p>
    <w:p w:rsidR="00CA6F05" w:rsidRPr="00AE2185" w:rsidRDefault="005C1265" w:rsidP="00B577FC">
      <w:pPr>
        <w:keepLines/>
        <w:autoSpaceDE w:val="0"/>
        <w:autoSpaceDN w:val="0"/>
        <w:adjustRightInd w:val="0"/>
        <w:ind w:left="709" w:hanging="709"/>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5</w:t>
      </w:r>
      <w:proofErr w:type="gramStart"/>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Rule</w:t>
      </w:r>
      <w:proofErr w:type="gramEnd"/>
      <w:r w:rsidR="00CA6F05" w:rsidRPr="00AE2185">
        <w:rPr>
          <w:rFonts w:asciiTheme="minorHAnsi" w:eastAsiaTheme="minorHAnsi" w:hAnsiTheme="minorHAnsi" w:cs="Arial"/>
          <w:b/>
          <w:bCs/>
          <w:color w:val="000000"/>
          <w:sz w:val="22"/>
          <w:szCs w:val="22"/>
        </w:rPr>
        <w:t xml:space="preserve"> 13.11A</w:t>
      </w:r>
    </w:p>
    <w:p w:rsidR="00CA6F05" w:rsidRPr="00AE2185" w:rsidRDefault="005C1265" w:rsidP="00B577FC">
      <w:pPr>
        <w:keepLines/>
        <w:autoSpaceDE w:val="0"/>
        <w:autoSpaceDN w:val="0"/>
        <w:adjustRightInd w:val="0"/>
        <w:ind w:left="709" w:hanging="709"/>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6</w:t>
      </w:r>
      <w:proofErr w:type="gramStart"/>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Rule</w:t>
      </w:r>
      <w:proofErr w:type="gramEnd"/>
      <w:r w:rsidR="00CA6F05" w:rsidRPr="00AE2185">
        <w:rPr>
          <w:rFonts w:asciiTheme="minorHAnsi" w:eastAsiaTheme="minorHAnsi" w:hAnsiTheme="minorHAnsi" w:cs="Arial"/>
          <w:b/>
          <w:bCs/>
          <w:color w:val="000000"/>
          <w:sz w:val="22"/>
          <w:szCs w:val="22"/>
        </w:rPr>
        <w:t xml:space="preserve"> 13.11A (note 1)</w:t>
      </w:r>
    </w:p>
    <w:p w:rsidR="00AE2185" w:rsidRDefault="00AE2185" w:rsidP="00B577FC">
      <w:pPr>
        <w:keepLines/>
        <w:autoSpaceDE w:val="0"/>
        <w:autoSpaceDN w:val="0"/>
        <w:adjustRightInd w:val="0"/>
        <w:ind w:left="709" w:hanging="709"/>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7</w:t>
      </w:r>
      <w:proofErr w:type="gramStart"/>
      <w:r w:rsidRPr="00AE2185">
        <w:rPr>
          <w:rFonts w:asciiTheme="minorHAnsi" w:eastAsiaTheme="minorHAnsi" w:hAnsiTheme="minorHAnsi" w:cs="Arial"/>
          <w:b/>
          <w:bCs/>
          <w:color w:val="000000"/>
          <w:sz w:val="22"/>
          <w:szCs w:val="22"/>
        </w:rPr>
        <w:t>]</w:t>
      </w:r>
      <w:r>
        <w:rPr>
          <w:rFonts w:asciiTheme="minorHAnsi" w:eastAsiaTheme="minorHAnsi" w:hAnsiTheme="minorHAnsi" w:cs="Arial"/>
          <w:b/>
          <w:bCs/>
          <w:color w:val="000000"/>
          <w:sz w:val="22"/>
          <w:szCs w:val="22"/>
        </w:rPr>
        <w:t xml:space="preserve">  Rule</w:t>
      </w:r>
      <w:proofErr w:type="gramEnd"/>
      <w:r>
        <w:rPr>
          <w:rFonts w:asciiTheme="minorHAnsi" w:eastAsiaTheme="minorHAnsi" w:hAnsiTheme="minorHAnsi" w:cs="Arial"/>
          <w:b/>
          <w:bCs/>
          <w:color w:val="000000"/>
          <w:sz w:val="22"/>
          <w:szCs w:val="22"/>
        </w:rPr>
        <w:t xml:space="preserve"> 13.11A (note 2)</w:t>
      </w:r>
    </w:p>
    <w:p w:rsidR="00BE6875" w:rsidRPr="00AE2185" w:rsidRDefault="00BE6875" w:rsidP="00BE6875">
      <w:pPr>
        <w:keepLines/>
        <w:autoSpaceDE w:val="0"/>
        <w:autoSpaceDN w:val="0"/>
        <w:adjustRightInd w:val="0"/>
        <w:spacing w:before="240"/>
        <w:jc w:val="both"/>
        <w:rPr>
          <w:rFonts w:asciiTheme="minorHAnsi" w:eastAsiaTheme="minorHAnsi" w:hAnsiTheme="minorHAnsi" w:cs="Arial"/>
          <w:color w:val="000000"/>
          <w:sz w:val="22"/>
          <w:szCs w:val="22"/>
        </w:rPr>
      </w:pPr>
      <w:r w:rsidRPr="00AE2185">
        <w:rPr>
          <w:rFonts w:asciiTheme="minorHAnsi" w:eastAsiaTheme="minorHAnsi" w:hAnsiTheme="minorHAnsi" w:cs="Arial"/>
          <w:color w:val="000000"/>
          <w:sz w:val="22"/>
          <w:szCs w:val="22"/>
        </w:rPr>
        <w:t>Rules 13.11 and 13.11A set out procedural requirements in respect of certificate of vexatious proceedings orders and applications for leave to institute proceedings in respec</w:t>
      </w:r>
      <w:r>
        <w:rPr>
          <w:rFonts w:asciiTheme="minorHAnsi" w:eastAsiaTheme="minorHAnsi" w:hAnsiTheme="minorHAnsi" w:cs="Arial"/>
          <w:color w:val="000000"/>
          <w:sz w:val="22"/>
          <w:szCs w:val="22"/>
        </w:rPr>
        <w:t>t of such orders. The amendment</w:t>
      </w:r>
      <w:r w:rsidRPr="00AE2185">
        <w:rPr>
          <w:rFonts w:asciiTheme="minorHAnsi" w:eastAsiaTheme="minorHAnsi" w:hAnsiTheme="minorHAnsi" w:cs="Arial"/>
          <w:color w:val="000000"/>
          <w:sz w:val="22"/>
          <w:szCs w:val="22"/>
        </w:rPr>
        <w:t xml:space="preserve"> made by these items is the inclusion of a reference to the relevant </w:t>
      </w:r>
      <w:r>
        <w:rPr>
          <w:rFonts w:asciiTheme="minorHAnsi" w:eastAsiaTheme="minorHAnsi" w:hAnsiTheme="minorHAnsi" w:cs="Arial"/>
          <w:color w:val="000000"/>
          <w:sz w:val="22"/>
          <w:szCs w:val="22"/>
        </w:rPr>
        <w:t xml:space="preserve">Family Law Act </w:t>
      </w:r>
      <w:r w:rsidRPr="00AE2185">
        <w:rPr>
          <w:rFonts w:asciiTheme="minorHAnsi" w:eastAsiaTheme="minorHAnsi" w:hAnsiTheme="minorHAnsi" w:cs="Arial"/>
          <w:color w:val="000000"/>
          <w:sz w:val="22"/>
          <w:szCs w:val="22"/>
        </w:rPr>
        <w:t xml:space="preserve">provisions whenever reference is made to the relevant </w:t>
      </w:r>
      <w:r w:rsidRPr="00A21082">
        <w:rPr>
          <w:rFonts w:asciiTheme="minorHAnsi" w:eastAsiaTheme="minorHAnsi" w:hAnsiTheme="minorHAnsi" w:cs="Arial"/>
          <w:i/>
          <w:color w:val="000000"/>
          <w:sz w:val="22"/>
          <w:szCs w:val="22"/>
        </w:rPr>
        <w:t>Federal Circuit Court of Australia Act</w:t>
      </w:r>
      <w:r>
        <w:rPr>
          <w:rFonts w:asciiTheme="minorHAnsi" w:eastAsiaTheme="minorHAnsi" w:hAnsiTheme="minorHAnsi" w:cs="Arial"/>
          <w:color w:val="000000"/>
          <w:sz w:val="22"/>
          <w:szCs w:val="22"/>
        </w:rPr>
        <w:t xml:space="preserve"> provision.  This ensures</w:t>
      </w:r>
      <w:r w:rsidRPr="00AE2185">
        <w:rPr>
          <w:rFonts w:asciiTheme="minorHAnsi" w:eastAsiaTheme="minorHAnsi" w:hAnsiTheme="minorHAnsi" w:cs="Arial"/>
          <w:color w:val="000000"/>
          <w:sz w:val="22"/>
          <w:szCs w:val="22"/>
        </w:rPr>
        <w:t xml:space="preserve"> the application of these rule</w:t>
      </w:r>
      <w:r>
        <w:rPr>
          <w:rFonts w:asciiTheme="minorHAnsi" w:eastAsiaTheme="minorHAnsi" w:hAnsiTheme="minorHAnsi" w:cs="Arial"/>
          <w:color w:val="000000"/>
          <w:sz w:val="22"/>
          <w:szCs w:val="22"/>
        </w:rPr>
        <w:t>s</w:t>
      </w:r>
      <w:r w:rsidRPr="00AE2185">
        <w:rPr>
          <w:rFonts w:asciiTheme="minorHAnsi" w:eastAsiaTheme="minorHAnsi" w:hAnsiTheme="minorHAnsi" w:cs="Arial"/>
          <w:color w:val="000000"/>
          <w:sz w:val="22"/>
          <w:szCs w:val="22"/>
        </w:rPr>
        <w:t xml:space="preserve"> to family law proceedings as well as general federal law proceedings.</w:t>
      </w:r>
    </w:p>
    <w:p w:rsidR="00504D2E" w:rsidRPr="00AE2185" w:rsidRDefault="00504D2E" w:rsidP="00A21082">
      <w:pPr>
        <w:keepLines/>
        <w:autoSpaceDE w:val="0"/>
        <w:autoSpaceDN w:val="0"/>
        <w:adjustRightInd w:val="0"/>
        <w:jc w:val="both"/>
        <w:rPr>
          <w:rFonts w:asciiTheme="minorHAnsi" w:eastAsiaTheme="minorHAnsi" w:hAnsiTheme="minorHAnsi" w:cs="Arial"/>
          <w:color w:val="000000"/>
          <w:sz w:val="22"/>
          <w:szCs w:val="22"/>
        </w:rPr>
      </w:pPr>
    </w:p>
    <w:p w:rsidR="00504D2E" w:rsidRDefault="00504D2E" w:rsidP="00A21082">
      <w:pPr>
        <w:keepNext/>
        <w:keepLines/>
        <w:autoSpaceDE w:val="0"/>
        <w:autoSpaceDN w:val="0"/>
        <w:adjustRightInd w:val="0"/>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lastRenderedPageBreak/>
        <w:t>[8] Rule 22.01</w:t>
      </w:r>
    </w:p>
    <w:p w:rsidR="00BE6875" w:rsidRPr="00AE2185" w:rsidRDefault="00BE6875" w:rsidP="00BE6875">
      <w:pPr>
        <w:keepNext/>
        <w:keepLines/>
        <w:autoSpaceDE w:val="0"/>
        <w:autoSpaceDN w:val="0"/>
        <w:adjustRightInd w:val="0"/>
        <w:spacing w:before="240"/>
        <w:jc w:val="both"/>
        <w:rPr>
          <w:rFonts w:asciiTheme="minorHAnsi" w:eastAsiaTheme="minorHAnsi" w:hAnsiTheme="minorHAnsi" w:cs="Arial"/>
          <w:color w:val="000000"/>
          <w:sz w:val="22"/>
          <w:szCs w:val="22"/>
        </w:rPr>
      </w:pPr>
      <w:r w:rsidRPr="00AE2185">
        <w:rPr>
          <w:rFonts w:asciiTheme="minorHAnsi" w:eastAsiaTheme="minorHAnsi" w:hAnsiTheme="minorHAnsi" w:cs="Arial"/>
          <w:color w:val="000000"/>
          <w:sz w:val="22"/>
          <w:szCs w:val="22"/>
        </w:rPr>
        <w:t xml:space="preserve">Rule 22.01 applies the prescribed rate of interest for certain </w:t>
      </w:r>
      <w:r>
        <w:rPr>
          <w:rFonts w:asciiTheme="minorHAnsi" w:eastAsiaTheme="minorHAnsi" w:hAnsiTheme="minorHAnsi" w:cs="Arial"/>
          <w:color w:val="000000"/>
          <w:sz w:val="22"/>
          <w:szCs w:val="22"/>
        </w:rPr>
        <w:t xml:space="preserve">Family Law Act </w:t>
      </w:r>
      <w:r w:rsidRPr="00AE2185">
        <w:rPr>
          <w:rFonts w:asciiTheme="minorHAnsi" w:eastAsiaTheme="minorHAnsi" w:hAnsiTheme="minorHAnsi" w:cs="Arial"/>
          <w:color w:val="000000"/>
          <w:sz w:val="22"/>
          <w:szCs w:val="22"/>
        </w:rPr>
        <w:t xml:space="preserve">provisions as the rate prescribed by the </w:t>
      </w:r>
      <w:r w:rsidRPr="00A21082">
        <w:rPr>
          <w:rFonts w:asciiTheme="minorHAnsi" w:eastAsiaTheme="minorHAnsi" w:hAnsiTheme="minorHAnsi" w:cs="Arial"/>
          <w:i/>
          <w:color w:val="000000"/>
          <w:sz w:val="22"/>
          <w:szCs w:val="22"/>
        </w:rPr>
        <w:t>Family Law Rules</w:t>
      </w:r>
      <w:r w:rsidRPr="00AE2185">
        <w:rPr>
          <w:rFonts w:asciiTheme="minorHAnsi" w:eastAsiaTheme="minorHAnsi" w:hAnsiTheme="minorHAnsi" w:cs="Arial"/>
          <w:color w:val="000000"/>
          <w:sz w:val="22"/>
          <w:szCs w:val="22"/>
        </w:rPr>
        <w:t xml:space="preserve"> for those provisions. The amendment to this rule reflects a recent amendment to rule 17.03 of the </w:t>
      </w:r>
      <w:r w:rsidRPr="00A21082">
        <w:rPr>
          <w:rFonts w:asciiTheme="minorHAnsi" w:eastAsiaTheme="minorHAnsi" w:hAnsiTheme="minorHAnsi" w:cs="Arial"/>
          <w:i/>
          <w:color w:val="000000"/>
          <w:sz w:val="22"/>
          <w:szCs w:val="22"/>
        </w:rPr>
        <w:t>Family Law Rules</w:t>
      </w:r>
      <w:r w:rsidRPr="00AE2185">
        <w:rPr>
          <w:rFonts w:asciiTheme="minorHAnsi" w:eastAsiaTheme="minorHAnsi" w:hAnsiTheme="minorHAnsi" w:cs="Arial"/>
          <w:color w:val="000000"/>
          <w:sz w:val="22"/>
          <w:szCs w:val="22"/>
        </w:rPr>
        <w:t xml:space="preserve"> by referring to paragraphs 87(11</w:t>
      </w:r>
      <w:proofErr w:type="gramStart"/>
      <w:r w:rsidRPr="00AE2185">
        <w:rPr>
          <w:rFonts w:asciiTheme="minorHAnsi" w:eastAsiaTheme="minorHAnsi" w:hAnsiTheme="minorHAnsi" w:cs="Arial"/>
          <w:color w:val="000000"/>
          <w:sz w:val="22"/>
          <w:szCs w:val="22"/>
        </w:rPr>
        <w:t>)(</w:t>
      </w:r>
      <w:proofErr w:type="gramEnd"/>
      <w:r w:rsidRPr="00AE2185">
        <w:rPr>
          <w:rFonts w:asciiTheme="minorHAnsi" w:eastAsiaTheme="minorHAnsi" w:hAnsiTheme="minorHAnsi" w:cs="Arial"/>
          <w:color w:val="000000"/>
          <w:sz w:val="22"/>
          <w:szCs w:val="22"/>
        </w:rPr>
        <w:t>b), 90KA(b) and 90UN(b) as well as subsection 117B(1) of the</w:t>
      </w:r>
      <w:r>
        <w:rPr>
          <w:rFonts w:asciiTheme="minorHAnsi" w:eastAsiaTheme="minorHAnsi" w:hAnsiTheme="minorHAnsi" w:cs="Arial"/>
          <w:color w:val="000000"/>
          <w:sz w:val="22"/>
          <w:szCs w:val="22"/>
        </w:rPr>
        <w:t xml:space="preserve"> Act</w:t>
      </w:r>
      <w:r w:rsidRPr="00AE2185">
        <w:rPr>
          <w:rFonts w:asciiTheme="minorHAnsi" w:eastAsiaTheme="minorHAnsi" w:hAnsiTheme="minorHAnsi" w:cs="Arial"/>
          <w:color w:val="000000"/>
          <w:sz w:val="22"/>
          <w:szCs w:val="22"/>
        </w:rPr>
        <w:t>.</w:t>
      </w:r>
    </w:p>
    <w:p w:rsidR="00E70C28" w:rsidRPr="00E70C28" w:rsidRDefault="00E70C28" w:rsidP="00E70C28">
      <w:pPr>
        <w:keepNext/>
        <w:keepLines/>
        <w:autoSpaceDE w:val="0"/>
        <w:autoSpaceDN w:val="0"/>
        <w:adjustRightInd w:val="0"/>
        <w:jc w:val="both"/>
        <w:rPr>
          <w:rFonts w:asciiTheme="minorHAnsi" w:eastAsiaTheme="minorHAnsi" w:hAnsiTheme="minorHAnsi" w:cs="Arial"/>
          <w:b/>
          <w:bCs/>
          <w:color w:val="000000"/>
          <w:sz w:val="22"/>
          <w:szCs w:val="22"/>
        </w:rPr>
      </w:pPr>
    </w:p>
    <w:p w:rsidR="00CA6F05" w:rsidRPr="00AE2185" w:rsidRDefault="00AE2185" w:rsidP="00FE5470">
      <w:pPr>
        <w:keepNext/>
        <w:keepLines/>
        <w:autoSpaceDE w:val="0"/>
        <w:autoSpaceDN w:val="0"/>
        <w:adjustRightInd w:val="0"/>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9</w:t>
      </w:r>
      <w:proofErr w:type="gramStart"/>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After</w:t>
      </w:r>
      <w:proofErr w:type="gramEnd"/>
      <w:r w:rsidR="00CA6F05" w:rsidRPr="00AE2185">
        <w:rPr>
          <w:rFonts w:asciiTheme="minorHAnsi" w:eastAsiaTheme="minorHAnsi" w:hAnsiTheme="minorHAnsi" w:cs="Arial"/>
          <w:b/>
          <w:bCs/>
          <w:color w:val="000000"/>
          <w:sz w:val="22"/>
          <w:szCs w:val="22"/>
        </w:rPr>
        <w:t xml:space="preserve"> paragraph 25A.01(1)(a)</w:t>
      </w:r>
    </w:p>
    <w:p w:rsidR="00CA6F05" w:rsidRPr="00AE2185" w:rsidRDefault="00AE218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10</w:t>
      </w:r>
      <w:proofErr w:type="gramStart"/>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Subparagraph</w:t>
      </w:r>
      <w:proofErr w:type="gramEnd"/>
      <w:r w:rsidR="00CA6F05" w:rsidRPr="00AE2185">
        <w:rPr>
          <w:rFonts w:asciiTheme="minorHAnsi" w:eastAsiaTheme="minorHAnsi" w:hAnsiTheme="minorHAnsi" w:cs="Arial"/>
          <w:b/>
          <w:bCs/>
          <w:color w:val="000000"/>
          <w:sz w:val="22"/>
          <w:szCs w:val="22"/>
        </w:rPr>
        <w:t xml:space="preserve"> 25A.03(1)(a)(ii)</w:t>
      </w:r>
    </w:p>
    <w:p w:rsidR="00CA6F05" w:rsidRPr="00AE2185" w:rsidRDefault="00AE218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11</w:t>
      </w:r>
      <w:proofErr w:type="gramStart"/>
      <w:r w:rsidRPr="00AE2185">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Paragraph</w:t>
      </w:r>
      <w:proofErr w:type="gramEnd"/>
      <w:r w:rsidR="00CA6F05" w:rsidRPr="00AE2185">
        <w:rPr>
          <w:rFonts w:asciiTheme="minorHAnsi" w:eastAsiaTheme="minorHAnsi" w:hAnsiTheme="minorHAnsi" w:cs="Arial"/>
          <w:b/>
          <w:bCs/>
          <w:color w:val="000000"/>
          <w:sz w:val="22"/>
          <w:szCs w:val="22"/>
        </w:rPr>
        <w:t xml:space="preserve"> 25A.03(2)(a)</w:t>
      </w:r>
    </w:p>
    <w:p w:rsidR="00CA6F05" w:rsidRPr="00AE2185" w:rsidRDefault="00AE218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12</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Rule</w:t>
      </w:r>
      <w:proofErr w:type="gramEnd"/>
      <w:r w:rsidR="00CA6F05" w:rsidRPr="00AE2185">
        <w:rPr>
          <w:rFonts w:asciiTheme="minorHAnsi" w:eastAsiaTheme="minorHAnsi" w:hAnsiTheme="minorHAnsi" w:cs="Arial"/>
          <w:b/>
          <w:bCs/>
          <w:color w:val="000000"/>
          <w:sz w:val="22"/>
          <w:szCs w:val="22"/>
        </w:rPr>
        <w:t xml:space="preserve"> 25A.05 (heading)</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13</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w:t>
      </w:r>
      <w:proofErr w:type="spellStart"/>
      <w:r w:rsidR="00CA6F05" w:rsidRPr="00AE2185">
        <w:rPr>
          <w:rFonts w:asciiTheme="minorHAnsi" w:eastAsiaTheme="minorHAnsi" w:hAnsiTheme="minorHAnsi" w:cs="Arial"/>
          <w:b/>
          <w:bCs/>
          <w:color w:val="000000"/>
          <w:sz w:val="22"/>
          <w:szCs w:val="22"/>
        </w:rPr>
        <w:t>Subrule</w:t>
      </w:r>
      <w:proofErr w:type="spellEnd"/>
      <w:proofErr w:type="gramEnd"/>
      <w:r w:rsidR="00CA6F05" w:rsidRPr="00AE2185">
        <w:rPr>
          <w:rFonts w:asciiTheme="minorHAnsi" w:eastAsiaTheme="minorHAnsi" w:hAnsiTheme="minorHAnsi" w:cs="Arial"/>
          <w:b/>
          <w:bCs/>
          <w:color w:val="000000"/>
          <w:sz w:val="22"/>
          <w:szCs w:val="22"/>
        </w:rPr>
        <w:t xml:space="preserve"> 25A.05(1)</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14</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Paragraph</w:t>
      </w:r>
      <w:proofErr w:type="gramEnd"/>
      <w:r w:rsidR="00CA6F05" w:rsidRPr="00AE2185">
        <w:rPr>
          <w:rFonts w:asciiTheme="minorHAnsi" w:eastAsiaTheme="minorHAnsi" w:hAnsiTheme="minorHAnsi" w:cs="Arial"/>
          <w:b/>
          <w:bCs/>
          <w:color w:val="000000"/>
          <w:sz w:val="22"/>
          <w:szCs w:val="22"/>
        </w:rPr>
        <w:t xml:space="preserve"> 25A.05(1)(a)</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15</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w:t>
      </w:r>
      <w:proofErr w:type="spellStart"/>
      <w:r w:rsidR="00CA6F05" w:rsidRPr="00AE2185">
        <w:rPr>
          <w:rFonts w:asciiTheme="minorHAnsi" w:eastAsiaTheme="minorHAnsi" w:hAnsiTheme="minorHAnsi" w:cs="Arial"/>
          <w:b/>
          <w:bCs/>
          <w:color w:val="000000"/>
          <w:sz w:val="22"/>
          <w:szCs w:val="22"/>
        </w:rPr>
        <w:t>Subrule</w:t>
      </w:r>
      <w:proofErr w:type="spellEnd"/>
      <w:proofErr w:type="gramEnd"/>
      <w:r w:rsidR="00CA6F05" w:rsidRPr="00AE2185">
        <w:rPr>
          <w:rFonts w:asciiTheme="minorHAnsi" w:eastAsiaTheme="minorHAnsi" w:hAnsiTheme="minorHAnsi" w:cs="Arial"/>
          <w:b/>
          <w:bCs/>
          <w:color w:val="000000"/>
          <w:sz w:val="22"/>
          <w:szCs w:val="22"/>
        </w:rPr>
        <w:t xml:space="preserve"> 25A.05(3)</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16</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w:t>
      </w:r>
      <w:proofErr w:type="spellStart"/>
      <w:r w:rsidR="00CA6F05" w:rsidRPr="00AE2185">
        <w:rPr>
          <w:rFonts w:asciiTheme="minorHAnsi" w:eastAsiaTheme="minorHAnsi" w:hAnsiTheme="minorHAnsi" w:cs="Arial"/>
          <w:b/>
          <w:bCs/>
          <w:color w:val="000000"/>
          <w:sz w:val="22"/>
          <w:szCs w:val="22"/>
        </w:rPr>
        <w:t>Subrule</w:t>
      </w:r>
      <w:proofErr w:type="spellEnd"/>
      <w:proofErr w:type="gramEnd"/>
      <w:r w:rsidR="00CA6F05" w:rsidRPr="00AE2185">
        <w:rPr>
          <w:rFonts w:asciiTheme="minorHAnsi" w:eastAsiaTheme="minorHAnsi" w:hAnsiTheme="minorHAnsi" w:cs="Arial"/>
          <w:b/>
          <w:bCs/>
          <w:color w:val="000000"/>
          <w:sz w:val="22"/>
          <w:szCs w:val="22"/>
        </w:rPr>
        <w:t xml:space="preserve"> 25A.06(1)</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17</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w:t>
      </w:r>
      <w:proofErr w:type="spellStart"/>
      <w:r w:rsidR="00CA6F05" w:rsidRPr="00AE2185">
        <w:rPr>
          <w:rFonts w:asciiTheme="minorHAnsi" w:eastAsiaTheme="minorHAnsi" w:hAnsiTheme="minorHAnsi" w:cs="Arial"/>
          <w:b/>
          <w:bCs/>
          <w:color w:val="000000"/>
          <w:sz w:val="22"/>
          <w:szCs w:val="22"/>
        </w:rPr>
        <w:t>Subrule</w:t>
      </w:r>
      <w:proofErr w:type="spellEnd"/>
      <w:proofErr w:type="gramEnd"/>
      <w:r w:rsidR="00CA6F05" w:rsidRPr="00AE2185">
        <w:rPr>
          <w:rFonts w:asciiTheme="minorHAnsi" w:eastAsiaTheme="minorHAnsi" w:hAnsiTheme="minorHAnsi" w:cs="Arial"/>
          <w:b/>
          <w:bCs/>
          <w:color w:val="000000"/>
          <w:sz w:val="22"/>
          <w:szCs w:val="22"/>
        </w:rPr>
        <w:t xml:space="preserve"> 25A.06(2)</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 xml:space="preserve">[18] </w:t>
      </w:r>
      <w:r w:rsidR="00CA6F05" w:rsidRPr="00AE2185">
        <w:rPr>
          <w:rFonts w:asciiTheme="minorHAnsi" w:eastAsiaTheme="minorHAnsi" w:hAnsiTheme="minorHAnsi" w:cs="Arial"/>
          <w:b/>
          <w:bCs/>
          <w:color w:val="000000"/>
          <w:sz w:val="22"/>
          <w:szCs w:val="22"/>
        </w:rPr>
        <w:t>At the end of rule 25A.06</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19</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Paragraph</w:t>
      </w:r>
      <w:proofErr w:type="gramEnd"/>
      <w:r w:rsidR="00CA6F05" w:rsidRPr="00AE2185">
        <w:rPr>
          <w:rFonts w:asciiTheme="minorHAnsi" w:eastAsiaTheme="minorHAnsi" w:hAnsiTheme="minorHAnsi" w:cs="Arial"/>
          <w:b/>
          <w:bCs/>
          <w:color w:val="000000"/>
          <w:sz w:val="22"/>
          <w:szCs w:val="22"/>
        </w:rPr>
        <w:t xml:space="preserve"> 25A.07(1)(d)</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20</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w:t>
      </w:r>
      <w:proofErr w:type="spellStart"/>
      <w:r w:rsidR="00CA6F05" w:rsidRPr="00AE2185">
        <w:rPr>
          <w:rFonts w:asciiTheme="minorHAnsi" w:eastAsiaTheme="minorHAnsi" w:hAnsiTheme="minorHAnsi" w:cs="Arial"/>
          <w:b/>
          <w:bCs/>
          <w:color w:val="000000"/>
          <w:sz w:val="22"/>
          <w:szCs w:val="22"/>
        </w:rPr>
        <w:t>Subrule</w:t>
      </w:r>
      <w:proofErr w:type="spellEnd"/>
      <w:proofErr w:type="gramEnd"/>
      <w:r w:rsidR="00CA6F05" w:rsidRPr="00AE2185">
        <w:rPr>
          <w:rFonts w:asciiTheme="minorHAnsi" w:eastAsiaTheme="minorHAnsi" w:hAnsiTheme="minorHAnsi" w:cs="Arial"/>
          <w:b/>
          <w:bCs/>
          <w:color w:val="000000"/>
          <w:sz w:val="22"/>
          <w:szCs w:val="22"/>
        </w:rPr>
        <w:t xml:space="preserve"> 25A.07(3)</w:t>
      </w:r>
    </w:p>
    <w:p w:rsidR="00CA6F05" w:rsidRPr="00AE2185" w:rsidRDefault="00C169B5" w:rsidP="00FE5470">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21</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Rule</w:t>
      </w:r>
      <w:proofErr w:type="gramEnd"/>
      <w:r w:rsidR="00CA6F05" w:rsidRPr="00AE2185">
        <w:rPr>
          <w:rFonts w:asciiTheme="minorHAnsi" w:eastAsiaTheme="minorHAnsi" w:hAnsiTheme="minorHAnsi" w:cs="Arial"/>
          <w:b/>
          <w:bCs/>
          <w:color w:val="000000"/>
          <w:sz w:val="22"/>
          <w:szCs w:val="22"/>
        </w:rPr>
        <w:t xml:space="preserve"> 25A.07 (note 3)</w:t>
      </w:r>
    </w:p>
    <w:p w:rsidR="00E70C28" w:rsidRDefault="00C169B5"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22</w:t>
      </w:r>
      <w:r>
        <w:rPr>
          <w:rFonts w:asciiTheme="minorHAnsi" w:eastAsiaTheme="minorHAnsi" w:hAnsiTheme="minorHAnsi" w:cs="Arial"/>
          <w:b/>
          <w:bCs/>
          <w:color w:val="000000"/>
          <w:sz w:val="22"/>
          <w:szCs w:val="22"/>
        </w:rPr>
        <w:t xml:space="preserve">] </w:t>
      </w:r>
      <w:r w:rsidR="00CA6F05" w:rsidRPr="00AE2185">
        <w:rPr>
          <w:rFonts w:asciiTheme="minorHAnsi" w:eastAsiaTheme="minorHAnsi" w:hAnsiTheme="minorHAnsi" w:cs="Arial"/>
          <w:b/>
          <w:bCs/>
          <w:color w:val="000000"/>
          <w:sz w:val="22"/>
          <w:szCs w:val="22"/>
        </w:rPr>
        <w:t xml:space="preserve">At the end of paragraph </w:t>
      </w:r>
      <w:proofErr w:type="gramStart"/>
      <w:r w:rsidR="00CA6F05" w:rsidRPr="00AE2185">
        <w:rPr>
          <w:rFonts w:asciiTheme="minorHAnsi" w:eastAsiaTheme="minorHAnsi" w:hAnsiTheme="minorHAnsi" w:cs="Arial"/>
          <w:b/>
          <w:bCs/>
          <w:color w:val="000000"/>
          <w:sz w:val="22"/>
          <w:szCs w:val="22"/>
        </w:rPr>
        <w:t>25B.10(</w:t>
      </w:r>
      <w:proofErr w:type="gramEnd"/>
      <w:r w:rsidR="00CA6F05" w:rsidRPr="00AE2185">
        <w:rPr>
          <w:rFonts w:asciiTheme="minorHAnsi" w:eastAsiaTheme="minorHAnsi" w:hAnsiTheme="minorHAnsi" w:cs="Arial"/>
          <w:b/>
          <w:bCs/>
          <w:color w:val="000000"/>
          <w:sz w:val="22"/>
          <w:szCs w:val="22"/>
        </w:rPr>
        <w:t>d)</w:t>
      </w:r>
    </w:p>
    <w:p w:rsidR="00CA6F05" w:rsidRDefault="00C169B5"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 xml:space="preserve">[23] </w:t>
      </w:r>
      <w:r w:rsidR="00CA6F05" w:rsidRPr="00AE2185">
        <w:rPr>
          <w:rFonts w:asciiTheme="minorHAnsi" w:eastAsiaTheme="minorHAnsi" w:hAnsiTheme="minorHAnsi" w:cs="Arial"/>
          <w:b/>
          <w:bCs/>
          <w:color w:val="000000"/>
          <w:sz w:val="22"/>
          <w:szCs w:val="22"/>
        </w:rPr>
        <w:t>Rule 25B.10 (at the end of the note)</w:t>
      </w:r>
    </w:p>
    <w:p w:rsidR="00E70C28" w:rsidRPr="00AE2185" w:rsidRDefault="00E70C28"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p>
    <w:p w:rsidR="00CA6F05" w:rsidRDefault="00CA6F05" w:rsidP="00AE2185">
      <w:pPr>
        <w:autoSpaceDE w:val="0"/>
        <w:autoSpaceDN w:val="0"/>
        <w:adjustRightInd w:val="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The amendments </w:t>
      </w:r>
      <w:r w:rsidR="00BE6875">
        <w:rPr>
          <w:rFonts w:asciiTheme="minorHAnsi" w:eastAsiaTheme="minorHAnsi" w:hAnsiTheme="minorHAnsi" w:cs="Helv"/>
          <w:color w:val="000000"/>
          <w:sz w:val="22"/>
          <w:szCs w:val="22"/>
        </w:rPr>
        <w:t xml:space="preserve">contained </w:t>
      </w:r>
      <w:r w:rsidRPr="00AE2185">
        <w:rPr>
          <w:rFonts w:asciiTheme="minorHAnsi" w:eastAsiaTheme="minorHAnsi" w:hAnsiTheme="minorHAnsi" w:cs="Helv"/>
          <w:color w:val="000000"/>
          <w:sz w:val="22"/>
          <w:szCs w:val="22"/>
        </w:rPr>
        <w:t xml:space="preserve">in items [9-23] </w:t>
      </w:r>
      <w:r w:rsidR="00BE6875">
        <w:rPr>
          <w:rFonts w:asciiTheme="minorHAnsi" w:eastAsiaTheme="minorHAnsi" w:hAnsiTheme="minorHAnsi" w:cs="Helv"/>
          <w:color w:val="000000"/>
          <w:sz w:val="22"/>
          <w:szCs w:val="22"/>
        </w:rPr>
        <w:t>are to P</w:t>
      </w:r>
      <w:r w:rsidRPr="00AE2185">
        <w:rPr>
          <w:rFonts w:asciiTheme="minorHAnsi" w:eastAsiaTheme="minorHAnsi" w:hAnsiTheme="minorHAnsi" w:cs="Helv"/>
          <w:color w:val="000000"/>
          <w:sz w:val="22"/>
          <w:szCs w:val="22"/>
        </w:rPr>
        <w:t xml:space="preserve">art 25A (rules in respect of child support and child maintenance) as a consequence of the </w:t>
      </w:r>
      <w:r w:rsidRPr="00A21082">
        <w:rPr>
          <w:rFonts w:asciiTheme="minorHAnsi" w:eastAsiaTheme="minorHAnsi" w:hAnsiTheme="minorHAnsi" w:cs="Helv"/>
          <w:i/>
          <w:color w:val="000000"/>
          <w:sz w:val="22"/>
          <w:szCs w:val="22"/>
        </w:rPr>
        <w:t>Tribunals Amalgamation Act 2015</w:t>
      </w:r>
      <w:r w:rsidRPr="00AE2185">
        <w:rPr>
          <w:rFonts w:asciiTheme="minorHAnsi" w:eastAsiaTheme="minorHAnsi" w:hAnsiTheme="minorHAnsi" w:cs="Helv"/>
          <w:color w:val="000000"/>
          <w:sz w:val="22"/>
          <w:szCs w:val="22"/>
        </w:rPr>
        <w:t xml:space="preserve"> which merged a number of Tribunals under the Administrative Appeals Tribunal. The merger established the Social Services and Child Support Division of the AAT which took over the jurisdiction of the </w:t>
      </w:r>
      <w:r w:rsidR="00EC53D3">
        <w:rPr>
          <w:rFonts w:asciiTheme="minorHAnsi" w:eastAsiaTheme="minorHAnsi" w:hAnsiTheme="minorHAnsi" w:cs="Helv"/>
          <w:color w:val="000000"/>
          <w:sz w:val="22"/>
          <w:szCs w:val="22"/>
        </w:rPr>
        <w:t>Social Security Appeals Tribunal (</w:t>
      </w:r>
      <w:r w:rsidRPr="00AE2185">
        <w:rPr>
          <w:rFonts w:asciiTheme="minorHAnsi" w:eastAsiaTheme="minorHAnsi" w:hAnsiTheme="minorHAnsi" w:cs="Helv"/>
          <w:color w:val="000000"/>
          <w:sz w:val="22"/>
          <w:szCs w:val="22"/>
        </w:rPr>
        <w:t>SSAT</w:t>
      </w:r>
      <w:r w:rsidR="00EC53D3">
        <w:rPr>
          <w:rFonts w:asciiTheme="minorHAnsi" w:eastAsiaTheme="minorHAnsi" w:hAnsiTheme="minorHAnsi" w:cs="Helv"/>
          <w:color w:val="000000"/>
          <w:sz w:val="22"/>
          <w:szCs w:val="22"/>
        </w:rPr>
        <w:t>)</w:t>
      </w:r>
      <w:r w:rsidRPr="00AE2185">
        <w:rPr>
          <w:rFonts w:asciiTheme="minorHAnsi" w:eastAsiaTheme="minorHAnsi" w:hAnsiTheme="minorHAnsi" w:cs="Helv"/>
          <w:color w:val="000000"/>
          <w:sz w:val="22"/>
          <w:szCs w:val="22"/>
        </w:rPr>
        <w:t xml:space="preserve">. The SSAT was abolished at the commencement of the </w:t>
      </w:r>
      <w:r w:rsidR="00EC53D3">
        <w:rPr>
          <w:rFonts w:asciiTheme="minorHAnsi" w:eastAsiaTheme="minorHAnsi" w:hAnsiTheme="minorHAnsi" w:cs="Helv"/>
          <w:color w:val="000000"/>
          <w:sz w:val="22"/>
          <w:szCs w:val="22"/>
        </w:rPr>
        <w:t>Act.  T</w:t>
      </w:r>
      <w:r w:rsidRPr="00AE2185">
        <w:rPr>
          <w:rFonts w:asciiTheme="minorHAnsi" w:eastAsiaTheme="minorHAnsi" w:hAnsiTheme="minorHAnsi" w:cs="Helv"/>
          <w:color w:val="000000"/>
          <w:sz w:val="22"/>
          <w:szCs w:val="22"/>
        </w:rPr>
        <w:t xml:space="preserve">he source of jurisdiction of the Federal Circuit Court in relation to judicial review of child support matters </w:t>
      </w:r>
      <w:r w:rsidR="00EC53D3">
        <w:rPr>
          <w:rFonts w:asciiTheme="minorHAnsi" w:eastAsiaTheme="minorHAnsi" w:hAnsiTheme="minorHAnsi" w:cs="Helv"/>
          <w:color w:val="000000"/>
          <w:sz w:val="22"/>
          <w:szCs w:val="22"/>
        </w:rPr>
        <w:t xml:space="preserve">is now found in new section 44AAA of </w:t>
      </w:r>
      <w:r w:rsidRPr="00AE2185">
        <w:rPr>
          <w:rFonts w:asciiTheme="minorHAnsi" w:eastAsiaTheme="minorHAnsi" w:hAnsiTheme="minorHAnsi" w:cs="Helv"/>
          <w:color w:val="000000"/>
          <w:sz w:val="22"/>
          <w:szCs w:val="22"/>
        </w:rPr>
        <w:t xml:space="preserve">the </w:t>
      </w:r>
      <w:r w:rsidR="00EC53D3">
        <w:rPr>
          <w:rFonts w:asciiTheme="minorHAnsi" w:eastAsiaTheme="minorHAnsi" w:hAnsiTheme="minorHAnsi" w:cs="Helv"/>
          <w:color w:val="000000"/>
          <w:sz w:val="22"/>
          <w:szCs w:val="22"/>
        </w:rPr>
        <w:t>AAT Act.  Accordingly n</w:t>
      </w:r>
      <w:r w:rsidRPr="00AE2185">
        <w:rPr>
          <w:rFonts w:asciiTheme="minorHAnsi" w:eastAsiaTheme="minorHAnsi" w:hAnsiTheme="minorHAnsi" w:cs="Helv"/>
          <w:color w:val="000000"/>
          <w:sz w:val="22"/>
          <w:szCs w:val="22"/>
        </w:rPr>
        <w:t xml:space="preserve">ew paragraph 25A.01(1)(aa) now makes specific reference to section 44AAA to clarify the application of rules in respect of judicial review of child support matters within Part 25A. References in rules 25A.03, 25A.05, 25A.06 and 25A.07 to the SSAT have been replaced with reference to the </w:t>
      </w:r>
      <w:r w:rsidRPr="00AE2185">
        <w:rPr>
          <w:rFonts w:asciiTheme="minorHAnsi" w:eastAsiaTheme="minorHAnsi" w:hAnsiTheme="minorHAnsi" w:cs="Helv"/>
          <w:i/>
          <w:iCs/>
          <w:color w:val="000000"/>
          <w:sz w:val="22"/>
          <w:szCs w:val="22"/>
        </w:rPr>
        <w:t>Tribunal</w:t>
      </w:r>
      <w:r w:rsidRPr="00AE2185">
        <w:rPr>
          <w:rFonts w:asciiTheme="minorHAnsi" w:eastAsiaTheme="minorHAnsi" w:hAnsiTheme="minorHAnsi" w:cs="Helv"/>
          <w:color w:val="000000"/>
          <w:sz w:val="22"/>
          <w:szCs w:val="22"/>
        </w:rPr>
        <w:t xml:space="preserve"> which is defined in the dictionary to the rules to mean the AAT.</w:t>
      </w:r>
    </w:p>
    <w:p w:rsidR="00AE2185" w:rsidRPr="00AE2185" w:rsidRDefault="00AE2185" w:rsidP="00AE2185">
      <w:pPr>
        <w:autoSpaceDE w:val="0"/>
        <w:autoSpaceDN w:val="0"/>
        <w:adjustRightInd w:val="0"/>
        <w:jc w:val="both"/>
        <w:rPr>
          <w:rFonts w:asciiTheme="minorHAnsi" w:eastAsiaTheme="minorHAnsi" w:hAnsiTheme="minorHAnsi" w:cs="Helv"/>
          <w:color w:val="000000"/>
          <w:sz w:val="22"/>
          <w:szCs w:val="22"/>
        </w:rPr>
      </w:pPr>
    </w:p>
    <w:p w:rsidR="00CA6F05" w:rsidRPr="00AE2185" w:rsidRDefault="00CA6F05" w:rsidP="00AE2185">
      <w:pPr>
        <w:autoSpaceDE w:val="0"/>
        <w:autoSpaceDN w:val="0"/>
        <w:adjustRightInd w:val="0"/>
        <w:jc w:val="both"/>
        <w:rPr>
          <w:rFonts w:asciiTheme="minorHAnsi" w:eastAsiaTheme="minorHAnsi" w:hAnsiTheme="minorHAnsi" w:cs="Helv"/>
          <w:i/>
          <w:iCs/>
          <w:color w:val="000000"/>
          <w:sz w:val="22"/>
          <w:szCs w:val="22"/>
        </w:rPr>
      </w:pPr>
      <w:r w:rsidRPr="00AE2185">
        <w:rPr>
          <w:rFonts w:asciiTheme="minorHAnsi" w:eastAsiaTheme="minorHAnsi" w:hAnsiTheme="minorHAnsi" w:cs="Helv"/>
          <w:color w:val="000000"/>
          <w:sz w:val="22"/>
          <w:szCs w:val="22"/>
        </w:rPr>
        <w:t xml:space="preserve">Paragraph </w:t>
      </w:r>
      <w:proofErr w:type="gramStart"/>
      <w:r w:rsidRPr="00AE2185">
        <w:rPr>
          <w:rFonts w:asciiTheme="minorHAnsi" w:eastAsiaTheme="minorHAnsi" w:hAnsiTheme="minorHAnsi" w:cs="Helv"/>
          <w:color w:val="000000"/>
          <w:sz w:val="22"/>
          <w:szCs w:val="22"/>
        </w:rPr>
        <w:t>25A.07(</w:t>
      </w:r>
      <w:proofErr w:type="gramEnd"/>
      <w:r w:rsidRPr="00AE2185">
        <w:rPr>
          <w:rFonts w:asciiTheme="minorHAnsi" w:eastAsiaTheme="minorHAnsi" w:hAnsiTheme="minorHAnsi" w:cs="Helv"/>
          <w:color w:val="000000"/>
          <w:sz w:val="22"/>
          <w:szCs w:val="22"/>
        </w:rPr>
        <w:t xml:space="preserve">1)(d) has been amended to remove reference to the Executive Director of the SSAT. The position of Executive Director of the SSAT has been abolished and accordingly paragraph </w:t>
      </w:r>
      <w:proofErr w:type="gramStart"/>
      <w:r w:rsidRPr="00AE2185">
        <w:rPr>
          <w:rFonts w:asciiTheme="minorHAnsi" w:eastAsiaTheme="minorHAnsi" w:hAnsiTheme="minorHAnsi" w:cs="Helv"/>
          <w:color w:val="000000"/>
          <w:sz w:val="22"/>
          <w:szCs w:val="22"/>
        </w:rPr>
        <w:t>25A.07(</w:t>
      </w:r>
      <w:proofErr w:type="gramEnd"/>
      <w:r w:rsidRPr="00AE2185">
        <w:rPr>
          <w:rFonts w:asciiTheme="minorHAnsi" w:eastAsiaTheme="minorHAnsi" w:hAnsiTheme="minorHAnsi" w:cs="Helv"/>
          <w:color w:val="000000"/>
          <w:sz w:val="22"/>
          <w:szCs w:val="22"/>
        </w:rPr>
        <w:t xml:space="preserve">1)(d) now prescribes the </w:t>
      </w:r>
      <w:r w:rsidRPr="00AE2185">
        <w:rPr>
          <w:rFonts w:asciiTheme="minorHAnsi" w:eastAsiaTheme="minorHAnsi" w:hAnsiTheme="minorHAnsi" w:cs="Helv"/>
          <w:i/>
          <w:iCs/>
          <w:color w:val="000000"/>
          <w:sz w:val="22"/>
          <w:szCs w:val="22"/>
        </w:rPr>
        <w:t>Registrar of the Tribunal</w:t>
      </w:r>
      <w:r w:rsidRPr="00AE2185">
        <w:rPr>
          <w:rFonts w:asciiTheme="minorHAnsi" w:eastAsiaTheme="minorHAnsi" w:hAnsiTheme="minorHAnsi" w:cs="Helv"/>
          <w:color w:val="000000"/>
          <w:sz w:val="22"/>
          <w:szCs w:val="22"/>
        </w:rPr>
        <w:t xml:space="preserve"> as the person on whom a notice should be served. </w:t>
      </w:r>
      <w:proofErr w:type="gramStart"/>
      <w:r w:rsidRPr="00AE2185">
        <w:rPr>
          <w:rFonts w:asciiTheme="minorHAnsi" w:eastAsiaTheme="minorHAnsi" w:hAnsiTheme="minorHAnsi" w:cs="Helv"/>
          <w:color w:val="000000"/>
          <w:sz w:val="22"/>
          <w:szCs w:val="22"/>
        </w:rPr>
        <w:t>This items</w:t>
      </w:r>
      <w:proofErr w:type="gramEnd"/>
      <w:r w:rsidRPr="00AE2185">
        <w:rPr>
          <w:rFonts w:asciiTheme="minorHAnsi" w:eastAsiaTheme="minorHAnsi" w:hAnsiTheme="minorHAnsi" w:cs="Helv"/>
          <w:color w:val="000000"/>
          <w:sz w:val="22"/>
          <w:szCs w:val="22"/>
        </w:rPr>
        <w:t xml:space="preserve"> should be read</w:t>
      </w:r>
      <w:r w:rsidR="00AE2185">
        <w:rPr>
          <w:rFonts w:asciiTheme="minorHAnsi" w:eastAsiaTheme="minorHAnsi" w:hAnsiTheme="minorHAnsi" w:cs="Helv"/>
          <w:color w:val="000000"/>
          <w:sz w:val="22"/>
          <w:szCs w:val="22"/>
        </w:rPr>
        <w:t xml:space="preserve"> in conjunction with item [30] </w:t>
      </w:r>
      <w:r w:rsidRPr="00AE2185">
        <w:rPr>
          <w:rFonts w:asciiTheme="minorHAnsi" w:eastAsiaTheme="minorHAnsi" w:hAnsiTheme="minorHAnsi" w:cs="Helv"/>
          <w:color w:val="000000"/>
          <w:sz w:val="22"/>
          <w:szCs w:val="22"/>
        </w:rPr>
        <w:t xml:space="preserve">which introduces a new dictionary definition of </w:t>
      </w:r>
      <w:r w:rsidRPr="00AE2185">
        <w:rPr>
          <w:rFonts w:asciiTheme="minorHAnsi" w:eastAsiaTheme="minorHAnsi" w:hAnsiTheme="minorHAnsi" w:cs="Helv"/>
          <w:i/>
          <w:iCs/>
          <w:color w:val="000000"/>
          <w:sz w:val="22"/>
          <w:szCs w:val="22"/>
        </w:rPr>
        <w:t>Registrar of the Tribunal.</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 </w:t>
      </w:r>
    </w:p>
    <w:p w:rsidR="00E70C28" w:rsidRDefault="000F5D84" w:rsidP="00A21082">
      <w:pPr>
        <w:autoSpaceDE w:val="0"/>
        <w:autoSpaceDN w:val="0"/>
        <w:adjustRightInd w:val="0"/>
        <w:jc w:val="both"/>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Pr="00AE2185">
        <w:rPr>
          <w:rFonts w:asciiTheme="minorHAnsi" w:eastAsiaTheme="minorHAnsi" w:hAnsiTheme="minorHAnsi" w:cs="Arial"/>
          <w:b/>
          <w:bCs/>
          <w:color w:val="000000"/>
          <w:sz w:val="22"/>
          <w:szCs w:val="22"/>
        </w:rPr>
        <w:t>24</w:t>
      </w:r>
      <w:r>
        <w:rPr>
          <w:rFonts w:asciiTheme="minorHAnsi" w:eastAsiaTheme="minorHAnsi" w:hAnsiTheme="minorHAnsi" w:cs="Arial"/>
          <w:b/>
          <w:bCs/>
          <w:color w:val="000000"/>
          <w:sz w:val="22"/>
          <w:szCs w:val="22"/>
        </w:rPr>
        <w:t>]</w:t>
      </w:r>
      <w:r w:rsidRPr="00AE2185">
        <w:rPr>
          <w:rFonts w:asciiTheme="minorHAnsi" w:eastAsiaTheme="minorHAnsi" w:hAnsiTheme="minorHAnsi" w:cs="Arial"/>
          <w:b/>
          <w:bCs/>
          <w:color w:val="000000"/>
          <w:sz w:val="22"/>
          <w:szCs w:val="22"/>
        </w:rPr>
        <w:t xml:space="preserve"> Part 43 (before the note to Part heading</w:t>
      </w:r>
      <w:r w:rsidR="00BE6875">
        <w:rPr>
          <w:rFonts w:asciiTheme="minorHAnsi" w:eastAsiaTheme="minorHAnsi" w:hAnsiTheme="minorHAnsi" w:cs="Arial"/>
          <w:b/>
          <w:bCs/>
          <w:color w:val="000000"/>
          <w:sz w:val="22"/>
          <w:szCs w:val="22"/>
        </w:rPr>
        <w:t>)</w:t>
      </w:r>
      <w:r w:rsidDel="000F5D84">
        <w:rPr>
          <w:rFonts w:asciiTheme="minorHAnsi" w:eastAsiaTheme="minorHAnsi" w:hAnsiTheme="minorHAnsi" w:cs="Arial"/>
          <w:b/>
          <w:bCs/>
          <w:color w:val="000000"/>
          <w:sz w:val="22"/>
          <w:szCs w:val="22"/>
        </w:rPr>
        <w:t xml:space="preserve"> </w:t>
      </w:r>
    </w:p>
    <w:p w:rsidR="00E70C28" w:rsidRDefault="00E70C28" w:rsidP="00A21082">
      <w:pPr>
        <w:autoSpaceDE w:val="0"/>
        <w:autoSpaceDN w:val="0"/>
        <w:adjustRightInd w:val="0"/>
        <w:jc w:val="both"/>
        <w:rPr>
          <w:rFonts w:asciiTheme="minorHAnsi" w:eastAsiaTheme="minorHAnsi" w:hAnsiTheme="minorHAnsi" w:cs="Arial"/>
          <w:b/>
          <w:bCs/>
          <w:color w:val="000000"/>
          <w:sz w:val="22"/>
          <w:szCs w:val="22"/>
        </w:rPr>
      </w:pPr>
    </w:p>
    <w:p w:rsidR="00CA6F05" w:rsidRDefault="00CA6F05" w:rsidP="00A21082">
      <w:pPr>
        <w:autoSpaceDE w:val="0"/>
        <w:autoSpaceDN w:val="0"/>
        <w:adjustRightInd w:val="0"/>
        <w:jc w:val="both"/>
        <w:rPr>
          <w:rFonts w:asciiTheme="minorHAnsi" w:eastAsiaTheme="minorHAnsi" w:hAnsiTheme="minorHAnsi" w:cs="Arial"/>
          <w:color w:val="000000"/>
          <w:sz w:val="22"/>
          <w:szCs w:val="22"/>
        </w:rPr>
      </w:pPr>
      <w:r w:rsidRPr="00AE2185">
        <w:rPr>
          <w:rFonts w:asciiTheme="minorHAnsi" w:eastAsiaTheme="minorHAnsi" w:hAnsiTheme="minorHAnsi" w:cs="Arial"/>
          <w:color w:val="000000"/>
          <w:sz w:val="22"/>
          <w:szCs w:val="22"/>
        </w:rPr>
        <w:t xml:space="preserve">The amendment inserts a new </w:t>
      </w:r>
      <w:r w:rsidR="000F5D84">
        <w:rPr>
          <w:rFonts w:asciiTheme="minorHAnsi" w:eastAsiaTheme="minorHAnsi" w:hAnsiTheme="minorHAnsi" w:cs="Arial"/>
          <w:color w:val="000000"/>
          <w:sz w:val="22"/>
          <w:szCs w:val="22"/>
        </w:rPr>
        <w:t>n</w:t>
      </w:r>
      <w:r w:rsidRPr="00AE2185">
        <w:rPr>
          <w:rFonts w:asciiTheme="minorHAnsi" w:eastAsiaTheme="minorHAnsi" w:hAnsiTheme="minorHAnsi" w:cs="Arial"/>
          <w:color w:val="000000"/>
          <w:sz w:val="22"/>
          <w:szCs w:val="22"/>
        </w:rPr>
        <w:t xml:space="preserve">ote under the heading of </w:t>
      </w:r>
      <w:r w:rsidR="000F5D84">
        <w:rPr>
          <w:rFonts w:asciiTheme="minorHAnsi" w:eastAsiaTheme="minorHAnsi" w:hAnsiTheme="minorHAnsi" w:cs="Arial"/>
          <w:color w:val="000000"/>
          <w:sz w:val="22"/>
          <w:szCs w:val="22"/>
        </w:rPr>
        <w:t>p</w:t>
      </w:r>
      <w:r w:rsidRPr="00AE2185">
        <w:rPr>
          <w:rFonts w:asciiTheme="minorHAnsi" w:eastAsiaTheme="minorHAnsi" w:hAnsiTheme="minorHAnsi" w:cs="Arial"/>
          <w:color w:val="000000"/>
          <w:sz w:val="22"/>
          <w:szCs w:val="22"/>
        </w:rPr>
        <w:t xml:space="preserve">art 43 to clarify that </w:t>
      </w:r>
      <w:r w:rsidR="000F5D84">
        <w:rPr>
          <w:rFonts w:asciiTheme="minorHAnsi" w:eastAsiaTheme="minorHAnsi" w:hAnsiTheme="minorHAnsi" w:cs="Arial"/>
          <w:color w:val="000000"/>
          <w:sz w:val="22"/>
          <w:szCs w:val="22"/>
        </w:rPr>
        <w:t>p</w:t>
      </w:r>
      <w:r w:rsidRPr="00AE2185">
        <w:rPr>
          <w:rFonts w:asciiTheme="minorHAnsi" w:eastAsiaTheme="minorHAnsi" w:hAnsiTheme="minorHAnsi" w:cs="Arial"/>
          <w:color w:val="000000"/>
          <w:sz w:val="22"/>
          <w:szCs w:val="22"/>
        </w:rPr>
        <w:t>art 25A applies to appeals under section 44AAA of the AAT Act</w:t>
      </w:r>
      <w:r w:rsidR="000F5D84">
        <w:rPr>
          <w:rFonts w:asciiTheme="minorHAnsi" w:eastAsiaTheme="minorHAnsi" w:hAnsiTheme="minorHAnsi" w:cs="Arial"/>
          <w:color w:val="000000"/>
          <w:sz w:val="22"/>
          <w:szCs w:val="22"/>
        </w:rPr>
        <w:t>.</w:t>
      </w:r>
    </w:p>
    <w:p w:rsidR="00E70C28" w:rsidRPr="00AE2185" w:rsidRDefault="00E70C28" w:rsidP="00A21082">
      <w:pPr>
        <w:autoSpaceDE w:val="0"/>
        <w:autoSpaceDN w:val="0"/>
        <w:adjustRightInd w:val="0"/>
        <w:jc w:val="both"/>
        <w:rPr>
          <w:rFonts w:asciiTheme="minorHAnsi" w:eastAsiaTheme="minorHAnsi" w:hAnsiTheme="minorHAnsi" w:cs="Arial"/>
          <w:b/>
          <w:bCs/>
          <w:color w:val="000000"/>
          <w:sz w:val="22"/>
          <w:szCs w:val="22"/>
        </w:rPr>
      </w:pPr>
    </w:p>
    <w:p w:rsidR="00CA6F05" w:rsidRPr="00AE2185" w:rsidRDefault="00756C5F" w:rsidP="00CA6F05">
      <w:pPr>
        <w:autoSpaceDE w:val="0"/>
        <w:autoSpaceDN w:val="0"/>
        <w:adjustRightInd w:val="0"/>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169B5">
        <w:rPr>
          <w:rFonts w:asciiTheme="minorHAnsi" w:eastAsiaTheme="minorHAnsi" w:hAnsiTheme="minorHAnsi" w:cs="Arial"/>
          <w:b/>
          <w:bCs/>
          <w:color w:val="000000"/>
          <w:sz w:val="22"/>
          <w:szCs w:val="22"/>
        </w:rPr>
        <w:t>25</w:t>
      </w:r>
      <w:r>
        <w:rPr>
          <w:rFonts w:asciiTheme="minorHAnsi" w:eastAsiaTheme="minorHAnsi" w:hAnsiTheme="minorHAnsi" w:cs="Arial"/>
          <w:b/>
          <w:bCs/>
          <w:color w:val="000000"/>
          <w:sz w:val="22"/>
          <w:szCs w:val="22"/>
        </w:rPr>
        <w:t>]</w:t>
      </w:r>
      <w:r w:rsidR="00C169B5">
        <w:rPr>
          <w:rFonts w:asciiTheme="minorHAnsi" w:eastAsiaTheme="minorHAnsi" w:hAnsiTheme="minorHAnsi" w:cs="Arial"/>
          <w:b/>
          <w:bCs/>
          <w:color w:val="000000"/>
          <w:sz w:val="22"/>
          <w:szCs w:val="22"/>
        </w:rPr>
        <w:t xml:space="preserve"> </w:t>
      </w:r>
      <w:r w:rsidR="00CA6F05" w:rsidRPr="00AE2185">
        <w:rPr>
          <w:rFonts w:asciiTheme="minorHAnsi" w:eastAsiaTheme="minorHAnsi" w:hAnsiTheme="minorHAnsi" w:cs="Arial"/>
          <w:b/>
          <w:bCs/>
          <w:color w:val="000000"/>
          <w:sz w:val="22"/>
          <w:szCs w:val="22"/>
        </w:rPr>
        <w:t>Part 43 (note to Part heading)</w:t>
      </w:r>
    </w:p>
    <w:p w:rsidR="00CA6F05" w:rsidRPr="00AE2185" w:rsidRDefault="00CA6F05" w:rsidP="00A21082">
      <w:pPr>
        <w:autoSpaceDE w:val="0"/>
        <w:autoSpaceDN w:val="0"/>
        <w:adjustRightInd w:val="0"/>
        <w:jc w:val="both"/>
        <w:rPr>
          <w:rFonts w:asciiTheme="minorHAnsi" w:eastAsiaTheme="minorHAnsi" w:hAnsiTheme="minorHAnsi" w:cs="Arial"/>
          <w:color w:val="000000"/>
          <w:sz w:val="22"/>
          <w:szCs w:val="22"/>
        </w:rPr>
      </w:pPr>
      <w:r w:rsidRPr="00AE2185">
        <w:rPr>
          <w:rFonts w:asciiTheme="minorHAnsi" w:eastAsiaTheme="minorHAnsi" w:hAnsiTheme="minorHAnsi" w:cs="Arial"/>
          <w:color w:val="000000"/>
          <w:sz w:val="22"/>
          <w:szCs w:val="22"/>
        </w:rPr>
        <w:t xml:space="preserve">This is a minor drafting amendment in light of the additional </w:t>
      </w:r>
      <w:r w:rsidR="000F5D84">
        <w:rPr>
          <w:rFonts w:asciiTheme="minorHAnsi" w:eastAsiaTheme="minorHAnsi" w:hAnsiTheme="minorHAnsi" w:cs="Arial"/>
          <w:color w:val="000000"/>
          <w:sz w:val="22"/>
          <w:szCs w:val="22"/>
        </w:rPr>
        <w:t>n</w:t>
      </w:r>
      <w:r w:rsidRPr="00AE2185">
        <w:rPr>
          <w:rFonts w:asciiTheme="minorHAnsi" w:eastAsiaTheme="minorHAnsi" w:hAnsiTheme="minorHAnsi" w:cs="Arial"/>
          <w:color w:val="000000"/>
          <w:sz w:val="22"/>
          <w:szCs w:val="22"/>
        </w:rPr>
        <w:t>ot</w:t>
      </w:r>
      <w:r w:rsidR="00EC53D3">
        <w:rPr>
          <w:rFonts w:asciiTheme="minorHAnsi" w:eastAsiaTheme="minorHAnsi" w:hAnsiTheme="minorHAnsi" w:cs="Arial"/>
          <w:color w:val="000000"/>
          <w:sz w:val="22"/>
          <w:szCs w:val="22"/>
        </w:rPr>
        <w:t>e referred to in the above item.</w:t>
      </w:r>
    </w:p>
    <w:p w:rsidR="00CA6F05" w:rsidRDefault="00FE5470"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lastRenderedPageBreak/>
        <w:t>[</w:t>
      </w:r>
      <w:r w:rsidR="00CA6F05" w:rsidRPr="00AE2185">
        <w:rPr>
          <w:rFonts w:asciiTheme="minorHAnsi" w:eastAsiaTheme="minorHAnsi" w:hAnsiTheme="minorHAnsi" w:cs="Arial"/>
          <w:b/>
          <w:bCs/>
          <w:color w:val="000000"/>
          <w:sz w:val="22"/>
          <w:szCs w:val="22"/>
        </w:rPr>
        <w:t>26</w:t>
      </w: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Rule 43.01</w:t>
      </w:r>
    </w:p>
    <w:p w:rsidR="00E70C28" w:rsidRDefault="00E70C28"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p>
    <w:p w:rsidR="00BE6875" w:rsidRDefault="00BE6875" w:rsidP="00BE6875">
      <w:pPr>
        <w:autoSpaceDE w:val="0"/>
        <w:autoSpaceDN w:val="0"/>
        <w:adjustRightInd w:val="0"/>
        <w:jc w:val="both"/>
        <w:rPr>
          <w:rFonts w:asciiTheme="minorHAnsi" w:eastAsiaTheme="minorHAnsi" w:hAnsiTheme="minorHAnsi" w:cs="Helv"/>
          <w:color w:val="000000"/>
          <w:sz w:val="22"/>
          <w:szCs w:val="22"/>
        </w:rPr>
      </w:pPr>
      <w:r w:rsidRPr="00AE2185">
        <w:rPr>
          <w:rFonts w:asciiTheme="minorHAnsi" w:eastAsiaTheme="minorHAnsi" w:hAnsiTheme="minorHAnsi" w:cs="Helv"/>
          <w:color w:val="000000"/>
          <w:sz w:val="22"/>
          <w:szCs w:val="22"/>
        </w:rPr>
        <w:t xml:space="preserve">Rule 43.01 has </w:t>
      </w:r>
      <w:r>
        <w:rPr>
          <w:rFonts w:asciiTheme="minorHAnsi" w:eastAsiaTheme="minorHAnsi" w:hAnsiTheme="minorHAnsi" w:cs="Helv"/>
          <w:color w:val="000000"/>
          <w:sz w:val="22"/>
          <w:szCs w:val="22"/>
        </w:rPr>
        <w:t xml:space="preserve">also </w:t>
      </w:r>
      <w:r w:rsidRPr="00AE2185">
        <w:rPr>
          <w:rFonts w:asciiTheme="minorHAnsi" w:eastAsiaTheme="minorHAnsi" w:hAnsiTheme="minorHAnsi" w:cs="Helv"/>
          <w:color w:val="000000"/>
          <w:sz w:val="22"/>
          <w:szCs w:val="22"/>
        </w:rPr>
        <w:t xml:space="preserve">been amended to reflect the structural changes to the AAT following the merger of the </w:t>
      </w:r>
      <w:r>
        <w:rPr>
          <w:rFonts w:asciiTheme="minorHAnsi" w:eastAsiaTheme="minorHAnsi" w:hAnsiTheme="minorHAnsi" w:cs="Helv"/>
          <w:color w:val="000000"/>
          <w:sz w:val="22"/>
          <w:szCs w:val="22"/>
        </w:rPr>
        <w:t xml:space="preserve">Tribunals. Previously the term </w:t>
      </w:r>
      <w:r w:rsidRPr="00B577FC">
        <w:rPr>
          <w:rFonts w:asciiTheme="minorHAnsi" w:eastAsiaTheme="minorHAnsi" w:hAnsiTheme="minorHAnsi" w:cs="Helv"/>
          <w:i/>
          <w:color w:val="000000"/>
          <w:sz w:val="22"/>
          <w:szCs w:val="22"/>
        </w:rPr>
        <w:t>Registrar of the Tribunal</w:t>
      </w:r>
      <w:r w:rsidRPr="00AE2185">
        <w:rPr>
          <w:rFonts w:asciiTheme="minorHAnsi" w:eastAsiaTheme="minorHAnsi" w:hAnsiTheme="minorHAnsi" w:cs="Helv"/>
          <w:color w:val="000000"/>
          <w:sz w:val="22"/>
          <w:szCs w:val="22"/>
        </w:rPr>
        <w:t xml:space="preserve"> for the purposes of Part 42 was defined to include the District Registrar or Deputy Registrar of the AAT or an officer for the time being performing the duties of such. The amendments made to the structure of the AAT removed references to D</w:t>
      </w:r>
      <w:r>
        <w:rPr>
          <w:rFonts w:asciiTheme="minorHAnsi" w:eastAsiaTheme="minorHAnsi" w:hAnsiTheme="minorHAnsi" w:cs="Helv"/>
          <w:color w:val="000000"/>
          <w:sz w:val="22"/>
          <w:szCs w:val="22"/>
        </w:rPr>
        <w:t xml:space="preserve">istrict and Deputy Registrars. </w:t>
      </w:r>
      <w:r w:rsidRPr="00AE2185">
        <w:rPr>
          <w:rFonts w:asciiTheme="minorHAnsi" w:eastAsiaTheme="minorHAnsi" w:hAnsiTheme="minorHAnsi" w:cs="Helv"/>
          <w:color w:val="000000"/>
          <w:sz w:val="22"/>
          <w:szCs w:val="22"/>
        </w:rPr>
        <w:t xml:space="preserve">Accordingly it has been necessary to make amendments to </w:t>
      </w:r>
      <w:r>
        <w:rPr>
          <w:rFonts w:asciiTheme="minorHAnsi" w:eastAsiaTheme="minorHAnsi" w:hAnsiTheme="minorHAnsi" w:cs="Helv"/>
          <w:color w:val="000000"/>
          <w:sz w:val="22"/>
          <w:szCs w:val="22"/>
        </w:rPr>
        <w:t>r</w:t>
      </w:r>
      <w:r w:rsidRPr="00AE2185">
        <w:rPr>
          <w:rFonts w:asciiTheme="minorHAnsi" w:eastAsiaTheme="minorHAnsi" w:hAnsiTheme="minorHAnsi" w:cs="Helv"/>
          <w:color w:val="000000"/>
          <w:sz w:val="22"/>
          <w:szCs w:val="22"/>
        </w:rPr>
        <w:t xml:space="preserve">ule 43.01 and insert a new definition of </w:t>
      </w:r>
      <w:r w:rsidRPr="00AE2185">
        <w:rPr>
          <w:rFonts w:asciiTheme="minorHAnsi" w:eastAsiaTheme="minorHAnsi" w:hAnsiTheme="minorHAnsi" w:cs="Helv"/>
          <w:i/>
          <w:iCs/>
          <w:color w:val="000000"/>
          <w:sz w:val="22"/>
          <w:szCs w:val="22"/>
        </w:rPr>
        <w:t>Registrar of the Tribunal</w:t>
      </w:r>
      <w:r w:rsidR="00EC53D3">
        <w:rPr>
          <w:rFonts w:asciiTheme="minorHAnsi" w:eastAsiaTheme="minorHAnsi" w:hAnsiTheme="minorHAnsi" w:cs="Helv"/>
          <w:color w:val="000000"/>
          <w:sz w:val="22"/>
          <w:szCs w:val="22"/>
        </w:rPr>
        <w:t xml:space="preserve"> which is now defined in the dictionary to the Rules.  This</w:t>
      </w:r>
      <w:r w:rsidRPr="00AE2185">
        <w:rPr>
          <w:rFonts w:asciiTheme="minorHAnsi" w:eastAsiaTheme="minorHAnsi" w:hAnsiTheme="minorHAnsi" w:cs="Helv"/>
          <w:color w:val="000000"/>
          <w:sz w:val="22"/>
          <w:szCs w:val="22"/>
        </w:rPr>
        <w:t xml:space="preserve"> preserve</w:t>
      </w:r>
      <w:r w:rsidR="00EC53D3">
        <w:rPr>
          <w:rFonts w:asciiTheme="minorHAnsi" w:eastAsiaTheme="minorHAnsi" w:hAnsiTheme="minorHAnsi" w:cs="Helv"/>
          <w:color w:val="000000"/>
          <w:sz w:val="22"/>
          <w:szCs w:val="22"/>
        </w:rPr>
        <w:t>s</w:t>
      </w:r>
      <w:r w:rsidRPr="00AE2185">
        <w:rPr>
          <w:rFonts w:asciiTheme="minorHAnsi" w:eastAsiaTheme="minorHAnsi" w:hAnsiTheme="minorHAnsi" w:cs="Helv"/>
          <w:color w:val="000000"/>
          <w:sz w:val="22"/>
          <w:szCs w:val="22"/>
        </w:rPr>
        <w:t xml:space="preserve"> consistency with the new legal framework of the AAT follow</w:t>
      </w:r>
      <w:r>
        <w:rPr>
          <w:rFonts w:asciiTheme="minorHAnsi" w:eastAsiaTheme="minorHAnsi" w:hAnsiTheme="minorHAnsi" w:cs="Helv"/>
          <w:color w:val="000000"/>
          <w:sz w:val="22"/>
          <w:szCs w:val="22"/>
        </w:rPr>
        <w:t>ing the merger of the Tribunals.</w:t>
      </w:r>
    </w:p>
    <w:p w:rsidR="00CA6F05" w:rsidRPr="00AE2185" w:rsidRDefault="00CA6F05" w:rsidP="00CA6F05">
      <w:pPr>
        <w:autoSpaceDE w:val="0"/>
        <w:autoSpaceDN w:val="0"/>
        <w:adjustRightInd w:val="0"/>
        <w:rPr>
          <w:rFonts w:asciiTheme="minorHAnsi" w:eastAsiaTheme="minorHAnsi" w:hAnsiTheme="minorHAnsi" w:cs="Helv"/>
          <w:color w:val="000000"/>
          <w:sz w:val="22"/>
          <w:szCs w:val="22"/>
        </w:rPr>
      </w:pPr>
    </w:p>
    <w:p w:rsidR="00CA6F05" w:rsidRDefault="00FE5470" w:rsidP="00CA6F05">
      <w:pPr>
        <w:autoSpaceDE w:val="0"/>
        <w:autoSpaceDN w:val="0"/>
        <w:adjustRightInd w:val="0"/>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27</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w:t>
      </w:r>
      <w:proofErr w:type="spellStart"/>
      <w:r w:rsidR="00CA6F05" w:rsidRPr="00AE2185">
        <w:rPr>
          <w:rFonts w:asciiTheme="minorHAnsi" w:eastAsiaTheme="minorHAnsi" w:hAnsiTheme="minorHAnsi" w:cs="Arial"/>
          <w:b/>
          <w:bCs/>
          <w:color w:val="000000"/>
          <w:sz w:val="22"/>
          <w:szCs w:val="22"/>
        </w:rPr>
        <w:t>Subrule</w:t>
      </w:r>
      <w:proofErr w:type="spellEnd"/>
      <w:proofErr w:type="gramEnd"/>
      <w:r w:rsidR="00CA6F05" w:rsidRPr="00AE2185">
        <w:rPr>
          <w:rFonts w:asciiTheme="minorHAnsi" w:eastAsiaTheme="minorHAnsi" w:hAnsiTheme="minorHAnsi" w:cs="Arial"/>
          <w:b/>
          <w:bCs/>
          <w:color w:val="000000"/>
          <w:sz w:val="22"/>
          <w:szCs w:val="22"/>
        </w:rPr>
        <w:t xml:space="preserve"> 44.06(2) (note)</w:t>
      </w:r>
    </w:p>
    <w:p w:rsidR="00BE6875" w:rsidRDefault="00BE6875" w:rsidP="00CA6F05">
      <w:pPr>
        <w:autoSpaceDE w:val="0"/>
        <w:autoSpaceDN w:val="0"/>
        <w:adjustRightInd w:val="0"/>
        <w:rPr>
          <w:rFonts w:asciiTheme="minorHAnsi" w:eastAsiaTheme="minorHAnsi" w:hAnsiTheme="minorHAnsi" w:cs="Arial"/>
          <w:b/>
          <w:bCs/>
          <w:color w:val="000000"/>
          <w:sz w:val="22"/>
          <w:szCs w:val="22"/>
        </w:rPr>
      </w:pPr>
    </w:p>
    <w:p w:rsidR="00BE6875" w:rsidRPr="00BE6875" w:rsidRDefault="00BE6875" w:rsidP="00CA6F05">
      <w:pPr>
        <w:autoSpaceDE w:val="0"/>
        <w:autoSpaceDN w:val="0"/>
        <w:adjustRightInd w:val="0"/>
        <w:rPr>
          <w:rFonts w:asciiTheme="minorHAnsi" w:eastAsiaTheme="minorHAnsi" w:hAnsiTheme="minorHAnsi" w:cs="Arial"/>
          <w:bCs/>
          <w:color w:val="000000"/>
          <w:sz w:val="22"/>
          <w:szCs w:val="22"/>
        </w:rPr>
      </w:pPr>
      <w:r>
        <w:rPr>
          <w:rFonts w:asciiTheme="minorHAnsi" w:eastAsiaTheme="minorHAnsi" w:hAnsiTheme="minorHAnsi" w:cs="Arial"/>
          <w:bCs/>
          <w:color w:val="000000"/>
          <w:sz w:val="22"/>
          <w:szCs w:val="22"/>
        </w:rPr>
        <w:t>This amendment to the Note is as a consequence of the consolidation of the rules in relation to the response in item [3]</w:t>
      </w:r>
      <w:r w:rsidR="00EC53D3">
        <w:rPr>
          <w:rFonts w:asciiTheme="minorHAnsi" w:eastAsiaTheme="minorHAnsi" w:hAnsiTheme="minorHAnsi" w:cs="Arial"/>
          <w:bCs/>
          <w:color w:val="000000"/>
          <w:sz w:val="22"/>
          <w:szCs w:val="22"/>
        </w:rPr>
        <w:t>.</w:t>
      </w:r>
    </w:p>
    <w:p w:rsidR="00E70C28" w:rsidRPr="00AE2185" w:rsidRDefault="00E70C28" w:rsidP="00CA6F05">
      <w:pPr>
        <w:autoSpaceDE w:val="0"/>
        <w:autoSpaceDN w:val="0"/>
        <w:adjustRightInd w:val="0"/>
        <w:rPr>
          <w:rFonts w:asciiTheme="minorHAnsi" w:eastAsiaTheme="minorHAnsi" w:hAnsiTheme="minorHAnsi" w:cs="Arial"/>
          <w:b/>
          <w:bCs/>
          <w:color w:val="000000"/>
          <w:sz w:val="22"/>
          <w:szCs w:val="22"/>
        </w:rPr>
      </w:pPr>
    </w:p>
    <w:p w:rsidR="00E70C28" w:rsidRDefault="00FE5470"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[28]</w:t>
      </w:r>
      <w:r w:rsidR="00CA6F05" w:rsidRPr="00AE2185">
        <w:rPr>
          <w:rFonts w:asciiTheme="minorHAnsi" w:eastAsiaTheme="minorHAnsi" w:hAnsiTheme="minorHAnsi" w:cs="Arial"/>
          <w:b/>
          <w:bCs/>
          <w:color w:val="000000"/>
          <w:sz w:val="22"/>
          <w:szCs w:val="22"/>
        </w:rPr>
        <w:t xml:space="preserve"> Rule 44.15</w:t>
      </w:r>
    </w:p>
    <w:p w:rsidR="00E70C28" w:rsidRDefault="00E70C28"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p>
    <w:p w:rsidR="00E70C28" w:rsidRDefault="00E70C28" w:rsidP="00E70C28">
      <w:pPr>
        <w:keepNext/>
        <w:keepLines/>
        <w:autoSpaceDE w:val="0"/>
        <w:autoSpaceDN w:val="0"/>
        <w:adjustRightInd w:val="0"/>
        <w:ind w:left="709" w:hanging="709"/>
        <w:rPr>
          <w:rFonts w:asciiTheme="minorHAnsi" w:eastAsiaTheme="minorHAnsi" w:hAnsiTheme="minorHAnsi" w:cs="Arial"/>
          <w:color w:val="000000"/>
          <w:sz w:val="22"/>
          <w:szCs w:val="22"/>
        </w:rPr>
      </w:pPr>
      <w:r w:rsidRPr="00E70C28">
        <w:rPr>
          <w:rFonts w:asciiTheme="minorHAnsi" w:eastAsiaTheme="minorHAnsi" w:hAnsiTheme="minorHAnsi" w:cs="Arial"/>
          <w:color w:val="000000"/>
          <w:sz w:val="22"/>
          <w:szCs w:val="22"/>
        </w:rPr>
        <w:t>Rule 44.15 which provides for costs in relation to migration proceedings has been repealed and</w:t>
      </w:r>
    </w:p>
    <w:p w:rsidR="00E70C28" w:rsidRDefault="00E70C28" w:rsidP="00E70C28">
      <w:pPr>
        <w:keepNext/>
        <w:keepLines/>
        <w:autoSpaceDE w:val="0"/>
        <w:autoSpaceDN w:val="0"/>
        <w:adjustRightInd w:val="0"/>
        <w:ind w:left="709" w:hanging="709"/>
        <w:rPr>
          <w:rFonts w:asciiTheme="minorHAnsi" w:eastAsiaTheme="minorHAnsi" w:hAnsiTheme="minorHAnsi" w:cs="Arial"/>
          <w:color w:val="000000"/>
          <w:sz w:val="22"/>
          <w:szCs w:val="22"/>
        </w:rPr>
      </w:pPr>
      <w:r w:rsidRPr="00E70C28">
        <w:rPr>
          <w:rFonts w:asciiTheme="minorHAnsi" w:eastAsiaTheme="minorHAnsi" w:hAnsiTheme="minorHAnsi" w:cs="Arial"/>
          <w:color w:val="000000"/>
          <w:sz w:val="22"/>
          <w:szCs w:val="22"/>
        </w:rPr>
        <w:t xml:space="preserve"> </w:t>
      </w:r>
      <w:proofErr w:type="gramStart"/>
      <w:r w:rsidRPr="00E70C28">
        <w:rPr>
          <w:rFonts w:asciiTheme="minorHAnsi" w:eastAsiaTheme="minorHAnsi" w:hAnsiTheme="minorHAnsi" w:cs="Arial"/>
          <w:color w:val="000000"/>
          <w:sz w:val="22"/>
          <w:szCs w:val="22"/>
        </w:rPr>
        <w:t>replaced</w:t>
      </w:r>
      <w:proofErr w:type="gramEnd"/>
      <w:r w:rsidRPr="00E70C28">
        <w:rPr>
          <w:rFonts w:asciiTheme="minorHAnsi" w:eastAsiaTheme="minorHAnsi" w:hAnsiTheme="minorHAnsi" w:cs="Arial"/>
          <w:color w:val="000000"/>
          <w:sz w:val="22"/>
          <w:szCs w:val="22"/>
        </w:rPr>
        <w:t xml:space="preserve"> to better clarify the processes when a notice of discontinuance is filed in a proceeding</w:t>
      </w:r>
    </w:p>
    <w:p w:rsidR="00E70C28" w:rsidRDefault="00E70C28" w:rsidP="00E70C28">
      <w:pPr>
        <w:keepNext/>
        <w:keepLines/>
        <w:autoSpaceDE w:val="0"/>
        <w:autoSpaceDN w:val="0"/>
        <w:adjustRightInd w:val="0"/>
        <w:ind w:left="709" w:hanging="709"/>
        <w:rPr>
          <w:rFonts w:asciiTheme="minorHAnsi" w:eastAsiaTheme="minorHAnsi" w:hAnsiTheme="minorHAnsi" w:cs="Arial"/>
          <w:color w:val="000000"/>
          <w:sz w:val="22"/>
          <w:szCs w:val="22"/>
        </w:rPr>
      </w:pPr>
      <w:r w:rsidRPr="00E70C28">
        <w:rPr>
          <w:rFonts w:asciiTheme="minorHAnsi" w:eastAsiaTheme="minorHAnsi" w:hAnsiTheme="minorHAnsi" w:cs="Arial"/>
          <w:color w:val="000000"/>
          <w:sz w:val="22"/>
          <w:szCs w:val="22"/>
        </w:rPr>
        <w:t xml:space="preserve"> </w:t>
      </w:r>
      <w:proofErr w:type="gramStart"/>
      <w:r w:rsidRPr="00E70C28">
        <w:rPr>
          <w:rFonts w:asciiTheme="minorHAnsi" w:eastAsiaTheme="minorHAnsi" w:hAnsiTheme="minorHAnsi" w:cs="Arial"/>
          <w:color w:val="000000"/>
          <w:sz w:val="22"/>
          <w:szCs w:val="22"/>
        </w:rPr>
        <w:t>in</w:t>
      </w:r>
      <w:proofErr w:type="gramEnd"/>
      <w:r w:rsidRPr="00E70C28">
        <w:rPr>
          <w:rFonts w:asciiTheme="minorHAnsi" w:eastAsiaTheme="minorHAnsi" w:hAnsiTheme="minorHAnsi" w:cs="Arial"/>
          <w:color w:val="000000"/>
          <w:sz w:val="22"/>
          <w:szCs w:val="22"/>
        </w:rPr>
        <w:t xml:space="preserve"> which a respondent has sought costs in the response. The amendment is intended to</w:t>
      </w:r>
    </w:p>
    <w:p w:rsidR="00E70C28" w:rsidRDefault="00E70C28" w:rsidP="00E70C28">
      <w:pPr>
        <w:keepNext/>
        <w:keepLines/>
        <w:autoSpaceDE w:val="0"/>
        <w:autoSpaceDN w:val="0"/>
        <w:adjustRightInd w:val="0"/>
        <w:ind w:left="709" w:hanging="709"/>
        <w:rPr>
          <w:rFonts w:asciiTheme="minorHAnsi" w:eastAsiaTheme="minorHAnsi" w:hAnsiTheme="minorHAnsi" w:cs="Arial"/>
          <w:color w:val="000000"/>
          <w:sz w:val="22"/>
          <w:szCs w:val="22"/>
        </w:rPr>
      </w:pPr>
      <w:r w:rsidRPr="00E70C28">
        <w:rPr>
          <w:rFonts w:asciiTheme="minorHAnsi" w:eastAsiaTheme="minorHAnsi" w:hAnsiTheme="minorHAnsi" w:cs="Arial"/>
          <w:color w:val="000000"/>
          <w:sz w:val="22"/>
          <w:szCs w:val="22"/>
        </w:rPr>
        <w:t xml:space="preserve"> </w:t>
      </w:r>
      <w:proofErr w:type="gramStart"/>
      <w:r w:rsidRPr="00E70C28">
        <w:rPr>
          <w:rFonts w:asciiTheme="minorHAnsi" w:eastAsiaTheme="minorHAnsi" w:hAnsiTheme="minorHAnsi" w:cs="Arial"/>
          <w:color w:val="000000"/>
          <w:sz w:val="22"/>
          <w:szCs w:val="22"/>
        </w:rPr>
        <w:t>facilitate</w:t>
      </w:r>
      <w:proofErr w:type="gramEnd"/>
      <w:r w:rsidRPr="00E70C28">
        <w:rPr>
          <w:rFonts w:asciiTheme="minorHAnsi" w:eastAsiaTheme="minorHAnsi" w:hAnsiTheme="minorHAnsi" w:cs="Arial"/>
          <w:color w:val="000000"/>
          <w:sz w:val="22"/>
          <w:szCs w:val="22"/>
        </w:rPr>
        <w:t xml:space="preserve"> the current procedures by providing for orders for costs in accordance with Division 2</w:t>
      </w:r>
    </w:p>
    <w:p w:rsidR="00E70C28" w:rsidRPr="00E70C28" w:rsidRDefault="00E70C28"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r w:rsidRPr="00E70C28">
        <w:rPr>
          <w:rFonts w:asciiTheme="minorHAnsi" w:eastAsiaTheme="minorHAnsi" w:hAnsiTheme="minorHAnsi" w:cs="Arial"/>
          <w:color w:val="000000"/>
          <w:sz w:val="22"/>
          <w:szCs w:val="22"/>
        </w:rPr>
        <w:t xml:space="preserve"> </w:t>
      </w:r>
      <w:proofErr w:type="gramStart"/>
      <w:r w:rsidRPr="00E70C28">
        <w:rPr>
          <w:rFonts w:asciiTheme="minorHAnsi" w:eastAsiaTheme="minorHAnsi" w:hAnsiTheme="minorHAnsi" w:cs="Arial"/>
          <w:color w:val="000000"/>
          <w:sz w:val="22"/>
          <w:szCs w:val="22"/>
        </w:rPr>
        <w:t>of</w:t>
      </w:r>
      <w:proofErr w:type="gramEnd"/>
      <w:r w:rsidRPr="00E70C28">
        <w:rPr>
          <w:rFonts w:asciiTheme="minorHAnsi" w:eastAsiaTheme="minorHAnsi" w:hAnsiTheme="minorHAnsi" w:cs="Arial"/>
          <w:color w:val="000000"/>
          <w:sz w:val="22"/>
          <w:szCs w:val="22"/>
        </w:rPr>
        <w:t xml:space="preserve"> Part 3 of Schedule 1  to be made in chambers without hearing the parties</w:t>
      </w:r>
      <w:r w:rsidR="00EC53D3">
        <w:rPr>
          <w:rFonts w:asciiTheme="minorHAnsi" w:eastAsiaTheme="minorHAnsi" w:hAnsiTheme="minorHAnsi" w:cs="Arial"/>
          <w:color w:val="000000"/>
          <w:sz w:val="22"/>
          <w:szCs w:val="22"/>
        </w:rPr>
        <w:t>.</w:t>
      </w:r>
    </w:p>
    <w:p w:rsidR="00E70C28" w:rsidRDefault="00E70C28"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p>
    <w:p w:rsidR="00CA6F05" w:rsidRPr="00AE2185" w:rsidRDefault="00FE5470" w:rsidP="00E70C28">
      <w:pPr>
        <w:keepNext/>
        <w:keepLines/>
        <w:autoSpaceDE w:val="0"/>
        <w:autoSpaceDN w:val="0"/>
        <w:adjustRightInd w:val="0"/>
        <w:ind w:left="709" w:hanging="709"/>
        <w:rPr>
          <w:rFonts w:asciiTheme="minorHAnsi" w:eastAsiaTheme="minorHAnsi" w:hAnsiTheme="minorHAnsi" w:cs="Arial"/>
          <w:b/>
          <w:bCs/>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29</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Dictionary</w:t>
      </w:r>
      <w:proofErr w:type="gramEnd"/>
      <w:r w:rsidR="00CA6F05" w:rsidRPr="00AE2185">
        <w:rPr>
          <w:rFonts w:asciiTheme="minorHAnsi" w:eastAsiaTheme="minorHAnsi" w:hAnsiTheme="minorHAnsi" w:cs="Arial"/>
          <w:b/>
          <w:bCs/>
          <w:color w:val="000000"/>
          <w:sz w:val="22"/>
          <w:szCs w:val="22"/>
        </w:rPr>
        <w:t xml:space="preserve"> (definition of </w:t>
      </w:r>
      <w:r w:rsidR="00CA6F05" w:rsidRPr="00AE2185">
        <w:rPr>
          <w:rFonts w:asciiTheme="minorHAnsi" w:eastAsiaTheme="minorHAnsi" w:hAnsiTheme="minorHAnsi" w:cs="Arial"/>
          <w:b/>
          <w:bCs/>
          <w:i/>
          <w:iCs/>
          <w:color w:val="000000"/>
          <w:sz w:val="22"/>
          <w:szCs w:val="22"/>
        </w:rPr>
        <w:t>child support proceeding</w:t>
      </w:r>
      <w:r w:rsidR="00CA6F05" w:rsidRPr="00AE2185">
        <w:rPr>
          <w:rFonts w:asciiTheme="minorHAnsi" w:eastAsiaTheme="minorHAnsi" w:hAnsiTheme="minorHAnsi" w:cs="Arial"/>
          <w:b/>
          <w:bCs/>
          <w:color w:val="000000"/>
          <w:sz w:val="22"/>
          <w:szCs w:val="22"/>
        </w:rPr>
        <w:t>)</w:t>
      </w:r>
    </w:p>
    <w:p w:rsidR="00CA6F05" w:rsidRPr="00E70C28" w:rsidRDefault="00FE5470" w:rsidP="00E70C28">
      <w:pPr>
        <w:autoSpaceDE w:val="0"/>
        <w:autoSpaceDN w:val="0"/>
        <w:adjustRightInd w:val="0"/>
        <w:rPr>
          <w:rFonts w:asciiTheme="minorHAnsi" w:eastAsiaTheme="minorHAnsi" w:hAnsiTheme="minorHAnsi" w:cs="Arial"/>
          <w:b/>
          <w:bCs/>
          <w:i/>
          <w:color w:val="000000"/>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30</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Dictionary</w:t>
      </w:r>
      <w:proofErr w:type="gramEnd"/>
      <w:r w:rsidR="00E70C28">
        <w:rPr>
          <w:rFonts w:asciiTheme="minorHAnsi" w:eastAsiaTheme="minorHAnsi" w:hAnsiTheme="minorHAnsi" w:cs="Arial"/>
          <w:b/>
          <w:bCs/>
          <w:color w:val="000000"/>
          <w:sz w:val="22"/>
          <w:szCs w:val="22"/>
        </w:rPr>
        <w:t xml:space="preserve"> (definition of </w:t>
      </w:r>
      <w:r w:rsidR="00E70C28">
        <w:rPr>
          <w:rFonts w:asciiTheme="minorHAnsi" w:eastAsiaTheme="minorHAnsi" w:hAnsiTheme="minorHAnsi" w:cs="Arial"/>
          <w:b/>
          <w:bCs/>
          <w:i/>
          <w:color w:val="000000"/>
          <w:sz w:val="22"/>
          <w:szCs w:val="22"/>
        </w:rPr>
        <w:t>Registrar of the Tribunal)</w:t>
      </w:r>
    </w:p>
    <w:p w:rsidR="002B3B91" w:rsidRPr="00AE2185" w:rsidRDefault="00FE5470" w:rsidP="00E70C28">
      <w:pPr>
        <w:rPr>
          <w:rFonts w:asciiTheme="minorHAnsi" w:hAnsiTheme="minorHAnsi"/>
          <w:sz w:val="22"/>
          <w:szCs w:val="22"/>
        </w:rPr>
      </w:pPr>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31</w:t>
      </w:r>
      <w:proofErr w:type="gramStart"/>
      <w:r>
        <w:rPr>
          <w:rFonts w:asciiTheme="minorHAnsi" w:eastAsiaTheme="minorHAnsi" w:hAnsiTheme="minorHAnsi" w:cs="Arial"/>
          <w:b/>
          <w:bCs/>
          <w:color w:val="000000"/>
          <w:sz w:val="22"/>
          <w:szCs w:val="22"/>
        </w:rPr>
        <w:t>]</w:t>
      </w:r>
      <w:r w:rsidR="00CA6F05" w:rsidRPr="00AE2185">
        <w:rPr>
          <w:rFonts w:asciiTheme="minorHAnsi" w:eastAsiaTheme="minorHAnsi" w:hAnsiTheme="minorHAnsi" w:cs="Arial"/>
          <w:b/>
          <w:bCs/>
          <w:color w:val="000000"/>
          <w:sz w:val="22"/>
          <w:szCs w:val="22"/>
        </w:rPr>
        <w:t xml:space="preserve">  Dictionary</w:t>
      </w:r>
      <w:proofErr w:type="gramEnd"/>
      <w:r w:rsidR="00CA6F05" w:rsidRPr="00AE2185">
        <w:rPr>
          <w:rFonts w:asciiTheme="minorHAnsi" w:eastAsiaTheme="minorHAnsi" w:hAnsiTheme="minorHAnsi" w:cs="Arial"/>
          <w:b/>
          <w:bCs/>
          <w:color w:val="000000"/>
          <w:sz w:val="22"/>
          <w:szCs w:val="22"/>
        </w:rPr>
        <w:t xml:space="preserve"> (definition of </w:t>
      </w:r>
      <w:r w:rsidR="00CA6F05" w:rsidRPr="00AE2185">
        <w:rPr>
          <w:rFonts w:asciiTheme="minorHAnsi" w:eastAsiaTheme="minorHAnsi" w:hAnsiTheme="minorHAnsi" w:cs="Arial"/>
          <w:b/>
          <w:bCs/>
          <w:i/>
          <w:iCs/>
          <w:color w:val="000000"/>
          <w:sz w:val="22"/>
          <w:szCs w:val="22"/>
        </w:rPr>
        <w:t>SSAT</w:t>
      </w:r>
      <w:r w:rsidR="00CA6F05" w:rsidRPr="00AE2185">
        <w:rPr>
          <w:rFonts w:asciiTheme="minorHAnsi" w:eastAsiaTheme="minorHAnsi" w:hAnsiTheme="minorHAnsi" w:cs="Arial"/>
          <w:b/>
          <w:bCs/>
          <w:color w:val="000000"/>
          <w:sz w:val="22"/>
          <w:szCs w:val="22"/>
        </w:rPr>
        <w:t>)</w:t>
      </w:r>
    </w:p>
    <w:p w:rsidR="002B3B91" w:rsidRPr="00AE2185" w:rsidRDefault="005C1265" w:rsidP="005C1265">
      <w:pPr>
        <w:pStyle w:val="Heading1"/>
        <w:tabs>
          <w:tab w:val="clear" w:pos="-720"/>
          <w:tab w:val="clear" w:pos="0"/>
        </w:tabs>
        <w:suppressAutoHyphens w:val="0"/>
        <w:spacing w:line="240" w:lineRule="auto"/>
        <w:rPr>
          <w:rFonts w:asciiTheme="minorHAnsi" w:hAnsiTheme="minorHAnsi"/>
          <w:sz w:val="22"/>
          <w:szCs w:val="22"/>
        </w:rPr>
      </w:pPr>
      <w:r w:rsidRPr="00AE2185">
        <w:rPr>
          <w:rFonts w:asciiTheme="minorHAnsi" w:hAnsiTheme="minorHAnsi"/>
          <w:sz w:val="22"/>
          <w:szCs w:val="22"/>
        </w:rPr>
        <w:t xml:space="preserve"> </w:t>
      </w:r>
    </w:p>
    <w:p w:rsidR="00E70C28" w:rsidRDefault="00E70C28" w:rsidP="002B3B91">
      <w:pPr>
        <w:pStyle w:val="Heading1"/>
        <w:tabs>
          <w:tab w:val="clear" w:pos="-720"/>
          <w:tab w:val="clear" w:pos="0"/>
        </w:tabs>
        <w:suppressAutoHyphens w:val="0"/>
        <w:spacing w:line="240" w:lineRule="auto"/>
        <w:ind w:left="1560" w:hanging="1560"/>
        <w:rPr>
          <w:rFonts w:asciiTheme="minorHAnsi" w:hAnsiTheme="minorHAnsi"/>
          <w:spacing w:val="0"/>
          <w:sz w:val="22"/>
          <w:szCs w:val="22"/>
        </w:rPr>
      </w:pPr>
      <w:r>
        <w:rPr>
          <w:rFonts w:asciiTheme="minorHAnsi" w:hAnsiTheme="minorHAnsi"/>
          <w:spacing w:val="0"/>
          <w:sz w:val="22"/>
          <w:szCs w:val="22"/>
        </w:rPr>
        <w:t xml:space="preserve">Items [29-31] amend the dictionary to redefine </w:t>
      </w:r>
      <w:r>
        <w:rPr>
          <w:rFonts w:asciiTheme="minorHAnsi" w:hAnsiTheme="minorHAnsi"/>
          <w:i/>
          <w:spacing w:val="0"/>
          <w:sz w:val="22"/>
          <w:szCs w:val="22"/>
        </w:rPr>
        <w:t>child support proceeding</w:t>
      </w:r>
      <w:r>
        <w:rPr>
          <w:rFonts w:asciiTheme="minorHAnsi" w:hAnsiTheme="minorHAnsi"/>
          <w:spacing w:val="0"/>
          <w:sz w:val="22"/>
          <w:szCs w:val="22"/>
        </w:rPr>
        <w:t>, include a new</w:t>
      </w:r>
    </w:p>
    <w:p w:rsidR="00BE6875" w:rsidRDefault="00E70C28" w:rsidP="002B3B91">
      <w:pPr>
        <w:pStyle w:val="Heading1"/>
        <w:tabs>
          <w:tab w:val="clear" w:pos="-720"/>
          <w:tab w:val="clear" w:pos="0"/>
        </w:tabs>
        <w:suppressAutoHyphens w:val="0"/>
        <w:spacing w:line="240" w:lineRule="auto"/>
        <w:ind w:left="1560" w:hanging="1560"/>
        <w:rPr>
          <w:rFonts w:asciiTheme="minorHAnsi" w:hAnsiTheme="minorHAnsi"/>
          <w:spacing w:val="0"/>
          <w:sz w:val="22"/>
          <w:szCs w:val="22"/>
        </w:rPr>
      </w:pPr>
      <w:proofErr w:type="gramStart"/>
      <w:r>
        <w:rPr>
          <w:rFonts w:asciiTheme="minorHAnsi" w:hAnsiTheme="minorHAnsi"/>
          <w:spacing w:val="0"/>
          <w:sz w:val="22"/>
          <w:szCs w:val="22"/>
        </w:rPr>
        <w:t>definition</w:t>
      </w:r>
      <w:proofErr w:type="gramEnd"/>
      <w:r>
        <w:rPr>
          <w:rFonts w:asciiTheme="minorHAnsi" w:hAnsiTheme="minorHAnsi"/>
          <w:spacing w:val="0"/>
          <w:sz w:val="22"/>
          <w:szCs w:val="22"/>
        </w:rPr>
        <w:t xml:space="preserve"> of </w:t>
      </w:r>
      <w:r>
        <w:rPr>
          <w:rFonts w:asciiTheme="minorHAnsi" w:hAnsiTheme="minorHAnsi"/>
          <w:i/>
          <w:spacing w:val="0"/>
          <w:sz w:val="22"/>
          <w:szCs w:val="22"/>
        </w:rPr>
        <w:t xml:space="preserve">Registrar of the Tribunal, </w:t>
      </w:r>
      <w:r>
        <w:rPr>
          <w:rFonts w:asciiTheme="minorHAnsi" w:hAnsiTheme="minorHAnsi"/>
          <w:spacing w:val="0"/>
          <w:sz w:val="22"/>
          <w:szCs w:val="22"/>
        </w:rPr>
        <w:t>and re</w:t>
      </w:r>
      <w:r w:rsidR="00BE6875">
        <w:rPr>
          <w:rFonts w:asciiTheme="minorHAnsi" w:hAnsiTheme="minorHAnsi"/>
          <w:spacing w:val="0"/>
          <w:sz w:val="22"/>
          <w:szCs w:val="22"/>
        </w:rPr>
        <w:t>peal the definition of the SSAT as a consequence of</w:t>
      </w:r>
    </w:p>
    <w:p w:rsidR="008D21B0" w:rsidRPr="00E70C28" w:rsidRDefault="00BE6875" w:rsidP="002B3B91">
      <w:pPr>
        <w:pStyle w:val="Heading1"/>
        <w:tabs>
          <w:tab w:val="clear" w:pos="-720"/>
          <w:tab w:val="clear" w:pos="0"/>
        </w:tabs>
        <w:suppressAutoHyphens w:val="0"/>
        <w:spacing w:line="240" w:lineRule="auto"/>
        <w:ind w:left="1560" w:hanging="1560"/>
        <w:rPr>
          <w:rFonts w:asciiTheme="minorHAnsi" w:hAnsiTheme="minorHAnsi"/>
          <w:spacing w:val="0"/>
          <w:sz w:val="22"/>
          <w:szCs w:val="22"/>
        </w:rPr>
      </w:pPr>
      <w:proofErr w:type="gramStart"/>
      <w:r>
        <w:rPr>
          <w:rFonts w:asciiTheme="minorHAnsi" w:hAnsiTheme="minorHAnsi"/>
          <w:spacing w:val="0"/>
          <w:sz w:val="22"/>
          <w:szCs w:val="22"/>
        </w:rPr>
        <w:t>the</w:t>
      </w:r>
      <w:proofErr w:type="gramEnd"/>
      <w:r>
        <w:rPr>
          <w:rFonts w:asciiTheme="minorHAnsi" w:hAnsiTheme="minorHAnsi"/>
          <w:spacing w:val="0"/>
          <w:sz w:val="22"/>
          <w:szCs w:val="22"/>
        </w:rPr>
        <w:t xml:space="preserve"> merger of the Tribunals.</w:t>
      </w:r>
    </w:p>
    <w:sectPr w:rsidR="008D21B0" w:rsidRPr="00E70C28" w:rsidSect="00B459B0">
      <w:footerReference w:type="even" r:id="rId10"/>
      <w:footerReference w:type="default" r:id="rId11"/>
      <w:headerReference w:type="first" r:id="rId12"/>
      <w:pgSz w:w="12240" w:h="15840"/>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4A" w:rsidRDefault="00BE694A">
      <w:r>
        <w:separator/>
      </w:r>
    </w:p>
  </w:endnote>
  <w:endnote w:type="continuationSeparator" w:id="0">
    <w:p w:rsidR="00BE694A" w:rsidRDefault="00BE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BE694A" w:rsidP="00B45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94A" w:rsidRDefault="00BE694A" w:rsidP="00B459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Pr="001D7C43" w:rsidRDefault="00BE694A" w:rsidP="00B459B0">
    <w:pPr>
      <w:pStyle w:val="Footer"/>
      <w:framePr w:wrap="around" w:vAnchor="text" w:hAnchor="margin" w:xAlign="right" w:y="1"/>
      <w:rPr>
        <w:rStyle w:val="PageNumber"/>
        <w:rFonts w:ascii="Arial" w:hAnsi="Arial" w:cs="Arial"/>
        <w:sz w:val="20"/>
      </w:rPr>
    </w:pPr>
    <w:r w:rsidRPr="001D7C43">
      <w:rPr>
        <w:rStyle w:val="PageNumber"/>
        <w:rFonts w:ascii="Arial" w:hAnsi="Arial" w:cs="Arial"/>
        <w:sz w:val="20"/>
      </w:rPr>
      <w:fldChar w:fldCharType="begin"/>
    </w:r>
    <w:r w:rsidRPr="001D7C43">
      <w:rPr>
        <w:rStyle w:val="PageNumber"/>
        <w:rFonts w:ascii="Arial" w:hAnsi="Arial" w:cs="Arial"/>
        <w:sz w:val="20"/>
      </w:rPr>
      <w:instrText xml:space="preserve">PAGE  </w:instrText>
    </w:r>
    <w:r w:rsidRPr="001D7C43">
      <w:rPr>
        <w:rStyle w:val="PageNumber"/>
        <w:rFonts w:ascii="Arial" w:hAnsi="Arial" w:cs="Arial"/>
        <w:sz w:val="20"/>
      </w:rPr>
      <w:fldChar w:fldCharType="separate"/>
    </w:r>
    <w:r w:rsidR="0035426E">
      <w:rPr>
        <w:rStyle w:val="PageNumber"/>
        <w:rFonts w:ascii="Arial" w:hAnsi="Arial" w:cs="Arial"/>
        <w:noProof/>
        <w:sz w:val="20"/>
      </w:rPr>
      <w:t>2</w:t>
    </w:r>
    <w:r w:rsidRPr="001D7C43">
      <w:rPr>
        <w:rStyle w:val="PageNumber"/>
        <w:rFonts w:ascii="Arial" w:hAnsi="Arial" w:cs="Arial"/>
        <w:sz w:val="20"/>
      </w:rPr>
      <w:fldChar w:fldCharType="end"/>
    </w:r>
  </w:p>
  <w:p w:rsidR="00BE694A" w:rsidRPr="00BA0C4E" w:rsidRDefault="00BE694A" w:rsidP="00B459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4A" w:rsidRDefault="00BE694A">
      <w:r>
        <w:separator/>
      </w:r>
    </w:p>
  </w:footnote>
  <w:footnote w:type="continuationSeparator" w:id="0">
    <w:p w:rsidR="00BE694A" w:rsidRDefault="00BE6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94A" w:rsidRDefault="0035426E">
    <w:pPr>
      <w:pStyle w:val="Header"/>
    </w:pPr>
    <w:r>
      <w:t>Federal Circuit Court Amendment (Costs and Other Measures) Rules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6C23DC"/>
    <w:lvl w:ilvl="0">
      <w:numFmt w:val="bullet"/>
      <w:lvlText w:val="*"/>
      <w:lvlJc w:val="left"/>
    </w:lvl>
  </w:abstractNum>
  <w:abstractNum w:abstractNumId="1">
    <w:nsid w:val="04AE482F"/>
    <w:multiLevelType w:val="hybridMultilevel"/>
    <w:tmpl w:val="D57EEAF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4D5103D"/>
    <w:multiLevelType w:val="hybridMultilevel"/>
    <w:tmpl w:val="65BC6BC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nsid w:val="0DC2762C"/>
    <w:multiLevelType w:val="hybridMultilevel"/>
    <w:tmpl w:val="611E1B3A"/>
    <w:lvl w:ilvl="0" w:tplc="10BA1316">
      <w:start w:val="1"/>
      <w:numFmt w:val="bullet"/>
      <w:lvlText w:val=""/>
      <w:lvlJc w:val="left"/>
      <w:pPr>
        <w:tabs>
          <w:tab w:val="num" w:pos="567"/>
        </w:tabs>
        <w:ind w:left="567" w:hanging="567"/>
      </w:pPr>
      <w:rPr>
        <w:rFonts w:ascii="Symbol" w:hAnsi="Symbol" w:hint="default"/>
      </w:rPr>
    </w:lvl>
    <w:lvl w:ilvl="1" w:tplc="DF90510C">
      <w:start w:val="1"/>
      <w:numFmt w:val="bullet"/>
      <w:lvlText w:val=""/>
      <w:lvlJc w:val="left"/>
      <w:pPr>
        <w:tabs>
          <w:tab w:val="num" w:pos="1647"/>
        </w:tabs>
        <w:ind w:left="1647" w:hanging="567"/>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CFE6379"/>
    <w:multiLevelType w:val="hybridMultilevel"/>
    <w:tmpl w:val="AADAFAA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EA8550B"/>
    <w:multiLevelType w:val="hybridMultilevel"/>
    <w:tmpl w:val="86EA3AB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2A414A1"/>
    <w:multiLevelType w:val="hybridMultilevel"/>
    <w:tmpl w:val="187C8F52"/>
    <w:lvl w:ilvl="0" w:tplc="0C090003">
      <w:start w:val="1"/>
      <w:numFmt w:val="bullet"/>
      <w:lvlText w:val="o"/>
      <w:lvlJc w:val="left"/>
      <w:pPr>
        <w:tabs>
          <w:tab w:val="num" w:pos="987"/>
        </w:tabs>
        <w:ind w:left="987" w:hanging="567"/>
      </w:pPr>
      <w:rPr>
        <w:rFonts w:ascii="Courier New" w:hAnsi="Courier New" w:cs="Courier New"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7">
    <w:nsid w:val="22ED18EC"/>
    <w:multiLevelType w:val="hybridMultilevel"/>
    <w:tmpl w:val="951C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D420BA"/>
    <w:multiLevelType w:val="hybridMultilevel"/>
    <w:tmpl w:val="BB9A84CC"/>
    <w:lvl w:ilvl="0" w:tplc="0C090001">
      <w:start w:val="1"/>
      <w:numFmt w:val="bullet"/>
      <w:lvlText w:val=""/>
      <w:lvlJc w:val="left"/>
      <w:pPr>
        <w:tabs>
          <w:tab w:val="num" w:pos="987"/>
        </w:tabs>
        <w:ind w:left="987" w:hanging="567"/>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9">
    <w:nsid w:val="25B24E93"/>
    <w:multiLevelType w:val="hybridMultilevel"/>
    <w:tmpl w:val="50C03EA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4C641F"/>
    <w:multiLevelType w:val="hybridMultilevel"/>
    <w:tmpl w:val="7B20EE6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8A27CD4"/>
    <w:multiLevelType w:val="hybridMultilevel"/>
    <w:tmpl w:val="28C67B68"/>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2">
    <w:nsid w:val="2BED5D94"/>
    <w:multiLevelType w:val="hybridMultilevel"/>
    <w:tmpl w:val="7F1E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90196"/>
    <w:multiLevelType w:val="hybridMultilevel"/>
    <w:tmpl w:val="2AD6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CD62A2"/>
    <w:multiLevelType w:val="hybridMultilevel"/>
    <w:tmpl w:val="4C62BBE2"/>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nsid w:val="33561C14"/>
    <w:multiLevelType w:val="hybridMultilevel"/>
    <w:tmpl w:val="BCAEDC5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35B708C"/>
    <w:multiLevelType w:val="hybridMultilevel"/>
    <w:tmpl w:val="DBB64E2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5BE073B"/>
    <w:multiLevelType w:val="hybridMultilevel"/>
    <w:tmpl w:val="1B8E711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A800D84"/>
    <w:multiLevelType w:val="hybridMultilevel"/>
    <w:tmpl w:val="873ED848"/>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B95783A"/>
    <w:multiLevelType w:val="hybridMultilevel"/>
    <w:tmpl w:val="1D3AA136"/>
    <w:lvl w:ilvl="0" w:tplc="21A0807A">
      <w:start w:val="1"/>
      <w:numFmt w:val="lowerLetter"/>
      <w:lvlText w:val="(%1)"/>
      <w:lvlJc w:val="left"/>
      <w:pPr>
        <w:tabs>
          <w:tab w:val="num" w:pos="567"/>
        </w:tabs>
        <w:ind w:left="567" w:hanging="567"/>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4868CF"/>
    <w:multiLevelType w:val="hybridMultilevel"/>
    <w:tmpl w:val="2A6CC5D6"/>
    <w:lvl w:ilvl="0" w:tplc="37BC9C1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D30261B"/>
    <w:multiLevelType w:val="hybridMultilevel"/>
    <w:tmpl w:val="10669C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41FE6911"/>
    <w:multiLevelType w:val="hybridMultilevel"/>
    <w:tmpl w:val="11E28B1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34A381E"/>
    <w:multiLevelType w:val="hybridMultilevel"/>
    <w:tmpl w:val="104C6ED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3D61D90"/>
    <w:multiLevelType w:val="hybridMultilevel"/>
    <w:tmpl w:val="839C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292643"/>
    <w:multiLevelType w:val="hybridMultilevel"/>
    <w:tmpl w:val="13C003E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7C80F88"/>
    <w:multiLevelType w:val="hybridMultilevel"/>
    <w:tmpl w:val="EA32345A"/>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7">
    <w:nsid w:val="4F9B22EE"/>
    <w:multiLevelType w:val="hybridMultilevel"/>
    <w:tmpl w:val="6D641FCA"/>
    <w:lvl w:ilvl="0" w:tplc="DF90510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0917E3A"/>
    <w:multiLevelType w:val="hybridMultilevel"/>
    <w:tmpl w:val="7D6AEE1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DFC52BF"/>
    <w:multiLevelType w:val="hybridMultilevel"/>
    <w:tmpl w:val="798A24BC"/>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F172CF8"/>
    <w:multiLevelType w:val="hybridMultilevel"/>
    <w:tmpl w:val="D7EE4EB0"/>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0C40FFC"/>
    <w:multiLevelType w:val="hybridMultilevel"/>
    <w:tmpl w:val="DBCCB8F0"/>
    <w:lvl w:ilvl="0" w:tplc="10BA1316">
      <w:start w:val="1"/>
      <w:numFmt w:val="bullet"/>
      <w:lvlText w:val=""/>
      <w:lvlJc w:val="left"/>
      <w:pPr>
        <w:tabs>
          <w:tab w:val="num" w:pos="627"/>
        </w:tabs>
        <w:ind w:left="627" w:hanging="567"/>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2">
    <w:nsid w:val="610A0000"/>
    <w:multiLevelType w:val="hybridMultilevel"/>
    <w:tmpl w:val="5F22235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E964653"/>
    <w:multiLevelType w:val="hybridMultilevel"/>
    <w:tmpl w:val="38AA1B6E"/>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18A78FC"/>
    <w:multiLevelType w:val="hybridMultilevel"/>
    <w:tmpl w:val="80CEBD42"/>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4983E9F"/>
    <w:multiLevelType w:val="hybridMultilevel"/>
    <w:tmpl w:val="001C69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BA1316">
      <w:start w:val="1"/>
      <w:numFmt w:val="bullet"/>
      <w:lvlText w:val=""/>
      <w:lvlJc w:val="left"/>
      <w:pPr>
        <w:tabs>
          <w:tab w:val="num" w:pos="567"/>
        </w:tabs>
        <w:ind w:left="567" w:hanging="56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5243E01"/>
    <w:multiLevelType w:val="hybridMultilevel"/>
    <w:tmpl w:val="FD5EB8D8"/>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70842E7"/>
    <w:multiLevelType w:val="hybridMultilevel"/>
    <w:tmpl w:val="961E9E6A"/>
    <w:lvl w:ilvl="0" w:tplc="B5982302">
      <w:start w:val="1"/>
      <w:numFmt w:val="decimal"/>
      <w:lvlText w:val="%1."/>
      <w:lvlJc w:val="left"/>
      <w:pPr>
        <w:tabs>
          <w:tab w:val="num" w:pos="2127"/>
        </w:tabs>
        <w:ind w:left="2127" w:hanging="567"/>
      </w:pPr>
      <w:rPr>
        <w:rFonts w:hint="default"/>
        <w:sz w:val="24"/>
        <w:szCs w:val="24"/>
      </w:rPr>
    </w:lvl>
    <w:lvl w:ilvl="1" w:tplc="04090003">
      <w:start w:val="1"/>
      <w:numFmt w:val="decimal"/>
      <w:lvlText w:val="%2."/>
      <w:lvlJc w:val="left"/>
      <w:pPr>
        <w:tabs>
          <w:tab w:val="num" w:pos="3000"/>
        </w:tabs>
        <w:ind w:left="3000" w:hanging="360"/>
      </w:pPr>
    </w:lvl>
    <w:lvl w:ilvl="2" w:tplc="04090005">
      <w:start w:val="1"/>
      <w:numFmt w:val="decimal"/>
      <w:lvlText w:val="%3."/>
      <w:lvlJc w:val="left"/>
      <w:pPr>
        <w:tabs>
          <w:tab w:val="num" w:pos="3720"/>
        </w:tabs>
        <w:ind w:left="3720" w:hanging="360"/>
      </w:pPr>
    </w:lvl>
    <w:lvl w:ilvl="3" w:tplc="04090001">
      <w:start w:val="1"/>
      <w:numFmt w:val="decimal"/>
      <w:lvlText w:val="%4."/>
      <w:lvlJc w:val="left"/>
      <w:pPr>
        <w:tabs>
          <w:tab w:val="num" w:pos="4440"/>
        </w:tabs>
        <w:ind w:left="4440" w:hanging="360"/>
      </w:pPr>
    </w:lvl>
    <w:lvl w:ilvl="4" w:tplc="04090003">
      <w:start w:val="1"/>
      <w:numFmt w:val="decimal"/>
      <w:lvlText w:val="%5."/>
      <w:lvlJc w:val="left"/>
      <w:pPr>
        <w:tabs>
          <w:tab w:val="num" w:pos="5160"/>
        </w:tabs>
        <w:ind w:left="5160" w:hanging="360"/>
      </w:pPr>
    </w:lvl>
    <w:lvl w:ilvl="5" w:tplc="04090005">
      <w:start w:val="1"/>
      <w:numFmt w:val="decimal"/>
      <w:lvlText w:val="%6."/>
      <w:lvlJc w:val="left"/>
      <w:pPr>
        <w:tabs>
          <w:tab w:val="num" w:pos="5880"/>
        </w:tabs>
        <w:ind w:left="5880" w:hanging="360"/>
      </w:pPr>
    </w:lvl>
    <w:lvl w:ilvl="6" w:tplc="04090001">
      <w:start w:val="1"/>
      <w:numFmt w:val="decimal"/>
      <w:lvlText w:val="%7."/>
      <w:lvlJc w:val="left"/>
      <w:pPr>
        <w:tabs>
          <w:tab w:val="num" w:pos="6600"/>
        </w:tabs>
        <w:ind w:left="6600" w:hanging="360"/>
      </w:pPr>
    </w:lvl>
    <w:lvl w:ilvl="7" w:tplc="04090003">
      <w:start w:val="1"/>
      <w:numFmt w:val="decimal"/>
      <w:lvlText w:val="%8."/>
      <w:lvlJc w:val="left"/>
      <w:pPr>
        <w:tabs>
          <w:tab w:val="num" w:pos="7320"/>
        </w:tabs>
        <w:ind w:left="7320" w:hanging="360"/>
      </w:pPr>
    </w:lvl>
    <w:lvl w:ilvl="8" w:tplc="04090005">
      <w:start w:val="1"/>
      <w:numFmt w:val="decimal"/>
      <w:lvlText w:val="%9."/>
      <w:lvlJc w:val="left"/>
      <w:pPr>
        <w:tabs>
          <w:tab w:val="num" w:pos="8040"/>
        </w:tabs>
        <w:ind w:left="8040" w:hanging="360"/>
      </w:pPr>
    </w:lvl>
  </w:abstractNum>
  <w:abstractNum w:abstractNumId="38">
    <w:nsid w:val="7805303C"/>
    <w:multiLevelType w:val="hybridMultilevel"/>
    <w:tmpl w:val="57FCCFC6"/>
    <w:lvl w:ilvl="0" w:tplc="10BA1316">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7"/>
  </w:num>
  <w:num w:numId="3">
    <w:abstractNumId w:val="13"/>
  </w:num>
  <w:num w:numId="4">
    <w:abstractNumId w:val="7"/>
  </w:num>
  <w:num w:numId="5">
    <w:abstractNumId w:val="27"/>
  </w:num>
  <w:num w:numId="6">
    <w:abstractNumId w:val="20"/>
  </w:num>
  <w:num w:numId="7">
    <w:abstractNumId w:val="8"/>
  </w:num>
  <w:num w:numId="8">
    <w:abstractNumId w:val="18"/>
  </w:num>
  <w:num w:numId="9">
    <w:abstractNumId w:val="35"/>
  </w:num>
  <w:num w:numId="10">
    <w:abstractNumId w:val="17"/>
  </w:num>
  <w:num w:numId="11">
    <w:abstractNumId w:val="3"/>
  </w:num>
  <w:num w:numId="12">
    <w:abstractNumId w:val="38"/>
  </w:num>
  <w:num w:numId="13">
    <w:abstractNumId w:val="25"/>
  </w:num>
  <w:num w:numId="14">
    <w:abstractNumId w:val="36"/>
  </w:num>
  <w:num w:numId="15">
    <w:abstractNumId w:val="34"/>
  </w:num>
  <w:num w:numId="16">
    <w:abstractNumId w:val="16"/>
  </w:num>
  <w:num w:numId="17">
    <w:abstractNumId w:val="5"/>
  </w:num>
  <w:num w:numId="18">
    <w:abstractNumId w:val="2"/>
  </w:num>
  <w:num w:numId="19">
    <w:abstractNumId w:val="4"/>
  </w:num>
  <w:num w:numId="20">
    <w:abstractNumId w:val="15"/>
  </w:num>
  <w:num w:numId="21">
    <w:abstractNumId w:val="29"/>
  </w:num>
  <w:num w:numId="22">
    <w:abstractNumId w:val="23"/>
  </w:num>
  <w:num w:numId="23">
    <w:abstractNumId w:val="33"/>
  </w:num>
  <w:num w:numId="24">
    <w:abstractNumId w:val="30"/>
  </w:num>
  <w:num w:numId="25">
    <w:abstractNumId w:val="1"/>
  </w:num>
  <w:num w:numId="26">
    <w:abstractNumId w:val="26"/>
  </w:num>
  <w:num w:numId="27">
    <w:abstractNumId w:val="32"/>
  </w:num>
  <w:num w:numId="28">
    <w:abstractNumId w:val="11"/>
  </w:num>
  <w:num w:numId="29">
    <w:abstractNumId w:val="28"/>
  </w:num>
  <w:num w:numId="30">
    <w:abstractNumId w:val="31"/>
  </w:num>
  <w:num w:numId="31">
    <w:abstractNumId w:val="14"/>
  </w:num>
  <w:num w:numId="32">
    <w:abstractNumId w:val="22"/>
  </w:num>
  <w:num w:numId="33">
    <w:abstractNumId w:val="9"/>
  </w:num>
  <w:num w:numId="34">
    <w:abstractNumId w:val="10"/>
  </w:num>
  <w:num w:numId="35">
    <w:abstractNumId w:val="21"/>
  </w:num>
  <w:num w:numId="36">
    <w:abstractNumId w:val="6"/>
  </w:num>
  <w:num w:numId="37">
    <w:abstractNumId w:val="12"/>
  </w:num>
  <w:num w:numId="38">
    <w:abstractNumId w:val="24"/>
  </w:num>
  <w:num w:numId="3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91"/>
    <w:rsid w:val="00003194"/>
    <w:rsid w:val="000173EB"/>
    <w:rsid w:val="000204AD"/>
    <w:rsid w:val="00030A67"/>
    <w:rsid w:val="00046022"/>
    <w:rsid w:val="000526D7"/>
    <w:rsid w:val="000576E1"/>
    <w:rsid w:val="00094A0A"/>
    <w:rsid w:val="00096BBF"/>
    <w:rsid w:val="000B63A0"/>
    <w:rsid w:val="000C6E0C"/>
    <w:rsid w:val="000C7379"/>
    <w:rsid w:val="000D0928"/>
    <w:rsid w:val="000F5D84"/>
    <w:rsid w:val="001054EB"/>
    <w:rsid w:val="0012051F"/>
    <w:rsid w:val="00133200"/>
    <w:rsid w:val="00141F76"/>
    <w:rsid w:val="00161B49"/>
    <w:rsid w:val="00163DE7"/>
    <w:rsid w:val="00192147"/>
    <w:rsid w:val="0019551F"/>
    <w:rsid w:val="001F4285"/>
    <w:rsid w:val="002158AB"/>
    <w:rsid w:val="002268A0"/>
    <w:rsid w:val="002314CA"/>
    <w:rsid w:val="00236712"/>
    <w:rsid w:val="00272450"/>
    <w:rsid w:val="00275938"/>
    <w:rsid w:val="00277217"/>
    <w:rsid w:val="002A3D0C"/>
    <w:rsid w:val="002A61E0"/>
    <w:rsid w:val="002A6341"/>
    <w:rsid w:val="002B3B91"/>
    <w:rsid w:val="002B644A"/>
    <w:rsid w:val="002D3212"/>
    <w:rsid w:val="002D70C5"/>
    <w:rsid w:val="002E1263"/>
    <w:rsid w:val="002E7354"/>
    <w:rsid w:val="002F3BC8"/>
    <w:rsid w:val="002F42FB"/>
    <w:rsid w:val="003157F8"/>
    <w:rsid w:val="00320DAA"/>
    <w:rsid w:val="0035426E"/>
    <w:rsid w:val="003603C9"/>
    <w:rsid w:val="00386D8D"/>
    <w:rsid w:val="003D4B80"/>
    <w:rsid w:val="00485495"/>
    <w:rsid w:val="004A5AD5"/>
    <w:rsid w:val="004C1F52"/>
    <w:rsid w:val="004C700B"/>
    <w:rsid w:val="004D220E"/>
    <w:rsid w:val="004E49AF"/>
    <w:rsid w:val="004F6AFE"/>
    <w:rsid w:val="005005D8"/>
    <w:rsid w:val="00504D2E"/>
    <w:rsid w:val="0051109A"/>
    <w:rsid w:val="005153F8"/>
    <w:rsid w:val="00516E5B"/>
    <w:rsid w:val="0052272E"/>
    <w:rsid w:val="005777A1"/>
    <w:rsid w:val="0058671F"/>
    <w:rsid w:val="005B01D9"/>
    <w:rsid w:val="005B0BD8"/>
    <w:rsid w:val="005C1265"/>
    <w:rsid w:val="005C3153"/>
    <w:rsid w:val="005E3C36"/>
    <w:rsid w:val="0060741E"/>
    <w:rsid w:val="00612499"/>
    <w:rsid w:val="00636D35"/>
    <w:rsid w:val="006843D7"/>
    <w:rsid w:val="006A5BC8"/>
    <w:rsid w:val="006F77B2"/>
    <w:rsid w:val="007075E5"/>
    <w:rsid w:val="00731FDA"/>
    <w:rsid w:val="00735AEE"/>
    <w:rsid w:val="0074317A"/>
    <w:rsid w:val="0075303B"/>
    <w:rsid w:val="00756C5F"/>
    <w:rsid w:val="007646CB"/>
    <w:rsid w:val="00771564"/>
    <w:rsid w:val="007767E3"/>
    <w:rsid w:val="00785494"/>
    <w:rsid w:val="0079194F"/>
    <w:rsid w:val="00795249"/>
    <w:rsid w:val="007979E3"/>
    <w:rsid w:val="007A51F3"/>
    <w:rsid w:val="007B61DB"/>
    <w:rsid w:val="007B662E"/>
    <w:rsid w:val="007D2613"/>
    <w:rsid w:val="007D6D93"/>
    <w:rsid w:val="007D6E59"/>
    <w:rsid w:val="007E1174"/>
    <w:rsid w:val="00816FD8"/>
    <w:rsid w:val="00824DD4"/>
    <w:rsid w:val="008338D1"/>
    <w:rsid w:val="00847DBE"/>
    <w:rsid w:val="00895C37"/>
    <w:rsid w:val="008B612C"/>
    <w:rsid w:val="008C7E63"/>
    <w:rsid w:val="008D21B0"/>
    <w:rsid w:val="008D4347"/>
    <w:rsid w:val="00902B30"/>
    <w:rsid w:val="00922250"/>
    <w:rsid w:val="00940C19"/>
    <w:rsid w:val="0094336E"/>
    <w:rsid w:val="00962D2C"/>
    <w:rsid w:val="009656BC"/>
    <w:rsid w:val="009730F2"/>
    <w:rsid w:val="00973B5A"/>
    <w:rsid w:val="00997336"/>
    <w:rsid w:val="009C7E8C"/>
    <w:rsid w:val="009E315A"/>
    <w:rsid w:val="00A020E9"/>
    <w:rsid w:val="00A16F04"/>
    <w:rsid w:val="00A21082"/>
    <w:rsid w:val="00A3103A"/>
    <w:rsid w:val="00A576DB"/>
    <w:rsid w:val="00A60946"/>
    <w:rsid w:val="00A616F3"/>
    <w:rsid w:val="00A85A12"/>
    <w:rsid w:val="00A90FF1"/>
    <w:rsid w:val="00AC06A6"/>
    <w:rsid w:val="00AE2185"/>
    <w:rsid w:val="00AE616A"/>
    <w:rsid w:val="00B05FA8"/>
    <w:rsid w:val="00B23907"/>
    <w:rsid w:val="00B2475D"/>
    <w:rsid w:val="00B31901"/>
    <w:rsid w:val="00B459B0"/>
    <w:rsid w:val="00B515B9"/>
    <w:rsid w:val="00B577FC"/>
    <w:rsid w:val="00B75C5B"/>
    <w:rsid w:val="00BA7DB1"/>
    <w:rsid w:val="00BA7DB6"/>
    <w:rsid w:val="00BC2125"/>
    <w:rsid w:val="00BC462C"/>
    <w:rsid w:val="00BE4DE1"/>
    <w:rsid w:val="00BE6875"/>
    <w:rsid w:val="00BE694A"/>
    <w:rsid w:val="00C10FD3"/>
    <w:rsid w:val="00C11753"/>
    <w:rsid w:val="00C169B5"/>
    <w:rsid w:val="00C23192"/>
    <w:rsid w:val="00C84D3E"/>
    <w:rsid w:val="00CA6F05"/>
    <w:rsid w:val="00CB5762"/>
    <w:rsid w:val="00CB6353"/>
    <w:rsid w:val="00CD7773"/>
    <w:rsid w:val="00CE2A8D"/>
    <w:rsid w:val="00D05478"/>
    <w:rsid w:val="00D0776C"/>
    <w:rsid w:val="00D07890"/>
    <w:rsid w:val="00D110BC"/>
    <w:rsid w:val="00D517DE"/>
    <w:rsid w:val="00D55E2B"/>
    <w:rsid w:val="00D64A55"/>
    <w:rsid w:val="00D66CB0"/>
    <w:rsid w:val="00D90BB3"/>
    <w:rsid w:val="00D92432"/>
    <w:rsid w:val="00DA28C9"/>
    <w:rsid w:val="00DB26BD"/>
    <w:rsid w:val="00DE25DD"/>
    <w:rsid w:val="00DE4431"/>
    <w:rsid w:val="00DF6108"/>
    <w:rsid w:val="00E0032E"/>
    <w:rsid w:val="00E04E66"/>
    <w:rsid w:val="00E1049E"/>
    <w:rsid w:val="00E25B67"/>
    <w:rsid w:val="00E2694A"/>
    <w:rsid w:val="00E37CE6"/>
    <w:rsid w:val="00E650EF"/>
    <w:rsid w:val="00E70C28"/>
    <w:rsid w:val="00E715F1"/>
    <w:rsid w:val="00EB25E5"/>
    <w:rsid w:val="00EC53D3"/>
    <w:rsid w:val="00EF2CAF"/>
    <w:rsid w:val="00F12634"/>
    <w:rsid w:val="00F16332"/>
    <w:rsid w:val="00F31031"/>
    <w:rsid w:val="00F33630"/>
    <w:rsid w:val="00F50809"/>
    <w:rsid w:val="00F54606"/>
    <w:rsid w:val="00F94ED4"/>
    <w:rsid w:val="00FA0880"/>
    <w:rsid w:val="00FC7C10"/>
    <w:rsid w:val="00FD6A18"/>
    <w:rsid w:val="00FE5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rsid w:val="002B3B91"/>
    <w:pPr>
      <w:tabs>
        <w:tab w:val="center" w:pos="4153"/>
        <w:tab w:val="right" w:pos="8306"/>
      </w:tabs>
    </w:pPr>
  </w:style>
  <w:style w:type="character" w:customStyle="1" w:styleId="FooterChar">
    <w:name w:val="Footer Char"/>
    <w:basedOn w:val="DefaultParagraphFont"/>
    <w:link w:val="Footer"/>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paragraph" w:customStyle="1" w:styleId="Magistrate">
    <w:name w:val="Magistrate"/>
    <w:basedOn w:val="Normal"/>
    <w:rsid w:val="00940C19"/>
    <w:pPr>
      <w:ind w:right="101"/>
      <w:jc w:val="right"/>
    </w:pPr>
    <w:rPr>
      <w:rFonts w:ascii="Arial" w:eastAsia="Times" w:hAnsi="Arial"/>
      <w:cap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B91"/>
    <w:pPr>
      <w:spacing w:after="0" w:line="240" w:lineRule="auto"/>
    </w:pPr>
    <w:rPr>
      <w:rFonts w:ascii="Times New Roman" w:eastAsia="Times New Roman" w:hAnsi="Times New Roman" w:cs="Times New Roman"/>
      <w:sz w:val="24"/>
      <w:szCs w:val="20"/>
    </w:rPr>
  </w:style>
  <w:style w:type="paragraph" w:styleId="Heading1">
    <w:name w:val="heading 1"/>
    <w:aliases w:val="h1,c"/>
    <w:basedOn w:val="Normal"/>
    <w:next w:val="Normal"/>
    <w:link w:val="Heading1Char"/>
    <w:qFormat/>
    <w:rsid w:val="002B3B91"/>
    <w:pPr>
      <w:keepNext/>
      <w:tabs>
        <w:tab w:val="left" w:pos="-1440"/>
        <w:tab w:val="left" w:pos="-720"/>
        <w:tab w:val="left" w:pos="0"/>
        <w:tab w:val="left" w:pos="720"/>
        <w:tab w:val="left" w:pos="1440"/>
        <w:tab w:val="left" w:pos="1728"/>
        <w:tab w:val="left" w:pos="2160"/>
        <w:tab w:val="left" w:pos="2448"/>
        <w:tab w:val="left" w:pos="2880"/>
        <w:tab w:val="left" w:pos="3600"/>
        <w:tab w:val="left" w:pos="4320"/>
        <w:tab w:val="left" w:pos="5040"/>
        <w:tab w:val="left" w:pos="5760"/>
        <w:tab w:val="left" w:pos="6480"/>
        <w:tab w:val="left" w:pos="7200"/>
        <w:tab w:val="left" w:pos="7920"/>
      </w:tabs>
      <w:suppressAutoHyphens/>
      <w:spacing w:line="480" w:lineRule="auto"/>
      <w:outlineLvl w:val="0"/>
    </w:pPr>
    <w:rPr>
      <w:spacing w:val="-3"/>
    </w:rPr>
  </w:style>
  <w:style w:type="paragraph" w:styleId="Heading2">
    <w:name w:val="heading 2"/>
    <w:aliases w:val="p,h2"/>
    <w:basedOn w:val="Normal"/>
    <w:next w:val="Normal"/>
    <w:link w:val="Heading2Char"/>
    <w:qFormat/>
    <w:rsid w:val="002B3B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style>
  <w:style w:type="paragraph" w:styleId="Heading3">
    <w:name w:val="heading 3"/>
    <w:basedOn w:val="Normal"/>
    <w:next w:val="Normal"/>
    <w:link w:val="Heading3Char"/>
    <w:qFormat/>
    <w:rsid w:val="002B3B91"/>
    <w:pPr>
      <w:keepNext/>
      <w:jc w:val="center"/>
      <w:outlineLvl w:val="2"/>
    </w:pPr>
    <w:rPr>
      <w:b/>
      <w:sz w:val="28"/>
    </w:rPr>
  </w:style>
  <w:style w:type="paragraph" w:styleId="Heading5">
    <w:name w:val="heading 5"/>
    <w:basedOn w:val="Normal"/>
    <w:next w:val="Normal"/>
    <w:link w:val="Heading5Char"/>
    <w:uiPriority w:val="9"/>
    <w:semiHidden/>
    <w:unhideWhenUsed/>
    <w:qFormat/>
    <w:rsid w:val="00B459B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rsid w:val="002B3B91"/>
    <w:rPr>
      <w:rFonts w:ascii="Times New Roman" w:eastAsia="Times New Roman" w:hAnsi="Times New Roman" w:cs="Times New Roman"/>
      <w:spacing w:val="-3"/>
      <w:sz w:val="24"/>
      <w:szCs w:val="20"/>
    </w:rPr>
  </w:style>
  <w:style w:type="character" w:customStyle="1" w:styleId="Heading2Char">
    <w:name w:val="Heading 2 Char"/>
    <w:aliases w:val="p Char,h2 Char"/>
    <w:basedOn w:val="DefaultParagraphFont"/>
    <w:link w:val="Heading2"/>
    <w:rsid w:val="002B3B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B3B91"/>
    <w:rPr>
      <w:rFonts w:ascii="Times New Roman" w:eastAsia="Times New Roman" w:hAnsi="Times New Roman" w:cs="Times New Roman"/>
      <w:b/>
      <w:sz w:val="28"/>
      <w:szCs w:val="20"/>
    </w:rPr>
  </w:style>
  <w:style w:type="paragraph" w:styleId="EndnoteText">
    <w:name w:val="endnote text"/>
    <w:basedOn w:val="Normal"/>
    <w:link w:val="EndnoteTextChar"/>
    <w:semiHidden/>
    <w:rsid w:val="002B3B91"/>
    <w:pPr>
      <w:suppressAutoHyphens/>
    </w:pPr>
  </w:style>
  <w:style w:type="character" w:customStyle="1" w:styleId="EndnoteTextChar">
    <w:name w:val="Endnote Text Char"/>
    <w:basedOn w:val="DefaultParagraphFont"/>
    <w:link w:val="EndnoteText"/>
    <w:semiHidden/>
    <w:rsid w:val="002B3B91"/>
    <w:rPr>
      <w:rFonts w:ascii="Times New Roman" w:eastAsia="Times New Roman" w:hAnsi="Times New Roman" w:cs="Times New Roman"/>
      <w:sz w:val="24"/>
      <w:szCs w:val="20"/>
    </w:rPr>
  </w:style>
  <w:style w:type="paragraph" w:styleId="Footer">
    <w:name w:val="footer"/>
    <w:basedOn w:val="Normal"/>
    <w:link w:val="FooterChar"/>
    <w:rsid w:val="002B3B91"/>
    <w:pPr>
      <w:tabs>
        <w:tab w:val="center" w:pos="4153"/>
        <w:tab w:val="right" w:pos="8306"/>
      </w:tabs>
    </w:pPr>
  </w:style>
  <w:style w:type="character" w:customStyle="1" w:styleId="FooterChar">
    <w:name w:val="Footer Char"/>
    <w:basedOn w:val="DefaultParagraphFont"/>
    <w:link w:val="Footer"/>
    <w:rsid w:val="002B3B91"/>
    <w:rPr>
      <w:rFonts w:ascii="Times New Roman" w:eastAsia="Times New Roman" w:hAnsi="Times New Roman" w:cs="Times New Roman"/>
      <w:sz w:val="24"/>
      <w:szCs w:val="20"/>
    </w:rPr>
  </w:style>
  <w:style w:type="character" w:styleId="PageNumber">
    <w:name w:val="page number"/>
    <w:basedOn w:val="DefaultParagraphFont"/>
    <w:rsid w:val="002B3B91"/>
  </w:style>
  <w:style w:type="paragraph" w:styleId="Header">
    <w:name w:val="header"/>
    <w:basedOn w:val="Normal"/>
    <w:link w:val="HeaderChar"/>
    <w:rsid w:val="002B3B91"/>
    <w:pPr>
      <w:tabs>
        <w:tab w:val="center" w:pos="4153"/>
        <w:tab w:val="right" w:pos="8306"/>
      </w:tabs>
    </w:pPr>
  </w:style>
  <w:style w:type="character" w:customStyle="1" w:styleId="HeaderChar">
    <w:name w:val="Header Char"/>
    <w:basedOn w:val="DefaultParagraphFont"/>
    <w:link w:val="Header"/>
    <w:rsid w:val="002B3B91"/>
    <w:rPr>
      <w:rFonts w:ascii="Times New Roman" w:eastAsia="Times New Roman" w:hAnsi="Times New Roman" w:cs="Times New Roman"/>
      <w:sz w:val="24"/>
      <w:szCs w:val="20"/>
    </w:rPr>
  </w:style>
  <w:style w:type="paragraph" w:styleId="ListParagraph">
    <w:name w:val="List Paragraph"/>
    <w:basedOn w:val="Normal"/>
    <w:uiPriority w:val="34"/>
    <w:qFormat/>
    <w:rsid w:val="00163DE7"/>
    <w:pPr>
      <w:ind w:left="720"/>
      <w:contextualSpacing/>
    </w:pPr>
  </w:style>
  <w:style w:type="character" w:styleId="Hyperlink">
    <w:name w:val="Hyperlink"/>
    <w:basedOn w:val="DefaultParagraphFont"/>
    <w:uiPriority w:val="99"/>
    <w:unhideWhenUsed/>
    <w:rsid w:val="00731FDA"/>
    <w:rPr>
      <w:color w:val="0000FF" w:themeColor="hyperlink"/>
      <w:u w:val="single"/>
    </w:rPr>
  </w:style>
  <w:style w:type="paragraph" w:styleId="BalloonText">
    <w:name w:val="Balloon Text"/>
    <w:basedOn w:val="Normal"/>
    <w:link w:val="BalloonTextChar"/>
    <w:uiPriority w:val="99"/>
    <w:semiHidden/>
    <w:unhideWhenUsed/>
    <w:rsid w:val="00D90BB3"/>
    <w:rPr>
      <w:rFonts w:ascii="Tahoma" w:hAnsi="Tahoma" w:cs="Tahoma"/>
      <w:sz w:val="16"/>
      <w:szCs w:val="16"/>
    </w:rPr>
  </w:style>
  <w:style w:type="character" w:customStyle="1" w:styleId="BalloonTextChar">
    <w:name w:val="Balloon Text Char"/>
    <w:basedOn w:val="DefaultParagraphFont"/>
    <w:link w:val="BalloonText"/>
    <w:uiPriority w:val="99"/>
    <w:semiHidden/>
    <w:rsid w:val="00D90BB3"/>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459B0"/>
    <w:rPr>
      <w:rFonts w:asciiTheme="majorHAnsi" w:eastAsiaTheme="majorEastAsia" w:hAnsiTheme="majorHAnsi" w:cstheme="majorBidi"/>
      <w:color w:val="243F60" w:themeColor="accent1" w:themeShade="7F"/>
      <w:sz w:val="24"/>
      <w:szCs w:val="20"/>
    </w:rPr>
  </w:style>
  <w:style w:type="paragraph" w:styleId="BodyTextIndent2">
    <w:name w:val="Body Text Indent 2"/>
    <w:basedOn w:val="Normal"/>
    <w:link w:val="BodyTextIndent2Char"/>
    <w:semiHidden/>
    <w:unhideWhenUsed/>
    <w:rsid w:val="00B459B0"/>
    <w:pPr>
      <w:ind w:left="1134" w:hanging="1134"/>
    </w:pPr>
    <w:rPr>
      <w:b/>
      <w:noProof/>
    </w:rPr>
  </w:style>
  <w:style w:type="character" w:customStyle="1" w:styleId="BodyTextIndent2Char">
    <w:name w:val="Body Text Indent 2 Char"/>
    <w:basedOn w:val="DefaultParagraphFont"/>
    <w:link w:val="BodyTextIndent2"/>
    <w:semiHidden/>
    <w:rsid w:val="00B459B0"/>
    <w:rPr>
      <w:rFonts w:ascii="Times New Roman" w:eastAsia="Times New Roman" w:hAnsi="Times New Roman" w:cs="Times New Roman"/>
      <w:b/>
      <w:noProof/>
      <w:sz w:val="24"/>
      <w:szCs w:val="20"/>
    </w:rPr>
  </w:style>
  <w:style w:type="character" w:styleId="CommentReference">
    <w:name w:val="annotation reference"/>
    <w:basedOn w:val="DefaultParagraphFont"/>
    <w:uiPriority w:val="99"/>
    <w:semiHidden/>
    <w:unhideWhenUsed/>
    <w:rsid w:val="002314CA"/>
    <w:rPr>
      <w:sz w:val="16"/>
      <w:szCs w:val="16"/>
    </w:rPr>
  </w:style>
  <w:style w:type="paragraph" w:styleId="CommentText">
    <w:name w:val="annotation text"/>
    <w:basedOn w:val="Normal"/>
    <w:link w:val="CommentTextChar"/>
    <w:uiPriority w:val="99"/>
    <w:semiHidden/>
    <w:unhideWhenUsed/>
    <w:rsid w:val="002314CA"/>
    <w:rPr>
      <w:sz w:val="20"/>
    </w:rPr>
  </w:style>
  <w:style w:type="character" w:customStyle="1" w:styleId="CommentTextChar">
    <w:name w:val="Comment Text Char"/>
    <w:basedOn w:val="DefaultParagraphFont"/>
    <w:link w:val="CommentText"/>
    <w:uiPriority w:val="99"/>
    <w:semiHidden/>
    <w:rsid w:val="002314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4CA"/>
    <w:rPr>
      <w:b/>
      <w:bCs/>
    </w:rPr>
  </w:style>
  <w:style w:type="character" w:customStyle="1" w:styleId="CommentSubjectChar">
    <w:name w:val="Comment Subject Char"/>
    <w:basedOn w:val="CommentTextChar"/>
    <w:link w:val="CommentSubject"/>
    <w:uiPriority w:val="99"/>
    <w:semiHidden/>
    <w:rsid w:val="002314CA"/>
    <w:rPr>
      <w:rFonts w:ascii="Times New Roman" w:eastAsia="Times New Roman" w:hAnsi="Times New Roman" w:cs="Times New Roman"/>
      <w:b/>
      <w:bCs/>
      <w:sz w:val="20"/>
      <w:szCs w:val="20"/>
    </w:rPr>
  </w:style>
  <w:style w:type="paragraph" w:customStyle="1" w:styleId="Magistrate">
    <w:name w:val="Magistrate"/>
    <w:basedOn w:val="Normal"/>
    <w:rsid w:val="00940C19"/>
    <w:pPr>
      <w:ind w:right="101"/>
      <w:jc w:val="right"/>
    </w:pPr>
    <w:rPr>
      <w:rFonts w:ascii="Arial" w:eastAsia="Times" w:hAnsi="Arial"/>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0E14-3B97-4231-98CA-51DAC6BB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750E8007.dotm</Template>
  <TotalTime>5</TotalTime>
  <Pages>6</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Cho</dc:creator>
  <cp:lastModifiedBy>Libby Cooper</cp:lastModifiedBy>
  <cp:revision>3</cp:revision>
  <cp:lastPrinted>2016-05-17T01:26:00Z</cp:lastPrinted>
  <dcterms:created xsi:type="dcterms:W3CDTF">2016-05-17T04:16:00Z</dcterms:created>
  <dcterms:modified xsi:type="dcterms:W3CDTF">2016-05-17T04:20:00Z</dcterms:modified>
</cp:coreProperties>
</file>