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89" w:rsidRPr="002405A0" w:rsidRDefault="00601789" w:rsidP="00601789">
      <w:pPr>
        <w:jc w:val="center"/>
        <w:rPr>
          <w:b/>
          <w:u w:val="single"/>
        </w:rPr>
      </w:pPr>
      <w:r w:rsidRPr="002405A0">
        <w:rPr>
          <w:b/>
          <w:u w:val="single"/>
        </w:rPr>
        <w:t>EXPLANATORY STATEMENT</w:t>
      </w:r>
    </w:p>
    <w:p w:rsidR="00601789" w:rsidRDefault="00601789" w:rsidP="00601789">
      <w:pPr>
        <w:jc w:val="center"/>
      </w:pPr>
    </w:p>
    <w:p w:rsidR="00601789" w:rsidRDefault="00601789" w:rsidP="00601789">
      <w:pPr>
        <w:jc w:val="center"/>
      </w:pPr>
      <w:r>
        <w:t>Issued by the Secretary of the Department of Agriculture and Water Resources</w:t>
      </w:r>
    </w:p>
    <w:p w:rsidR="00601789" w:rsidRDefault="00601789" w:rsidP="00601789">
      <w:pPr>
        <w:jc w:val="center"/>
      </w:pPr>
    </w:p>
    <w:p w:rsidR="00601789" w:rsidRDefault="00601789" w:rsidP="00601789">
      <w:pPr>
        <w:jc w:val="center"/>
        <w:rPr>
          <w:i/>
        </w:rPr>
      </w:pPr>
      <w:r>
        <w:rPr>
          <w:i/>
        </w:rPr>
        <w:t>Australian Meat and Live-stock Industry Act 1997</w:t>
      </w:r>
    </w:p>
    <w:p w:rsidR="00601789" w:rsidRDefault="00601789" w:rsidP="00601789">
      <w:pPr>
        <w:jc w:val="center"/>
        <w:rPr>
          <w:i/>
        </w:rPr>
      </w:pPr>
    </w:p>
    <w:p w:rsidR="00601789" w:rsidRDefault="00601789" w:rsidP="00601789">
      <w:pPr>
        <w:jc w:val="center"/>
        <w:rPr>
          <w:i/>
        </w:rPr>
      </w:pPr>
      <w:r>
        <w:rPr>
          <w:i/>
        </w:rPr>
        <w:t>Australian Meat and Live-stock Industry (Standards) Amendment Order 2016</w:t>
      </w:r>
    </w:p>
    <w:p w:rsidR="00601789" w:rsidRDefault="00601789" w:rsidP="00601789">
      <w:pPr>
        <w:jc w:val="center"/>
        <w:rPr>
          <w:i/>
        </w:rPr>
      </w:pPr>
    </w:p>
    <w:p w:rsidR="00601789" w:rsidRDefault="00601789" w:rsidP="00601789">
      <w:pPr>
        <w:jc w:val="center"/>
      </w:pPr>
    </w:p>
    <w:p w:rsidR="00601789" w:rsidRDefault="00601789" w:rsidP="00601789">
      <w:pPr>
        <w:rPr>
          <w:b/>
        </w:rPr>
      </w:pPr>
      <w:r>
        <w:rPr>
          <w:b/>
        </w:rPr>
        <w:t>Background</w:t>
      </w:r>
    </w:p>
    <w:p w:rsidR="00601789" w:rsidRDefault="00601789" w:rsidP="00601789"/>
    <w:p w:rsidR="00601789" w:rsidRDefault="00601789" w:rsidP="00601789">
      <w:r>
        <w:t>Paragraph 17(1</w:t>
      </w:r>
      <w:proofErr w:type="gramStart"/>
      <w:r>
        <w:t>)(</w:t>
      </w:r>
      <w:proofErr w:type="gramEnd"/>
      <w:r>
        <w:t xml:space="preserve">a) of the </w:t>
      </w:r>
      <w:r>
        <w:rPr>
          <w:i/>
        </w:rPr>
        <w:t>Australian Meat and Live-stock Industry Act 1997</w:t>
      </w:r>
      <w:r>
        <w:t xml:space="preserve"> (‘</w:t>
      </w:r>
      <w:r w:rsidRPr="002C4B15">
        <w:rPr>
          <w:b/>
        </w:rPr>
        <w:t>the Act</w:t>
      </w:r>
      <w:r>
        <w:t xml:space="preserve">’) provides that the Secretary may make written orders to be complied with by holders of export licences.  One order </w:t>
      </w:r>
      <w:r w:rsidR="00B75FFC">
        <w:t xml:space="preserve">made under this provision </w:t>
      </w:r>
      <w:r>
        <w:t xml:space="preserve">is the </w:t>
      </w:r>
      <w:r>
        <w:rPr>
          <w:i/>
        </w:rPr>
        <w:t>Australian Meat and Live-stock Industry (Standards) Order 2005</w:t>
      </w:r>
      <w:r>
        <w:t xml:space="preserve"> (‘</w:t>
      </w:r>
      <w:r w:rsidRPr="002C4B15">
        <w:rPr>
          <w:b/>
        </w:rPr>
        <w:t>the</w:t>
      </w:r>
      <w:r>
        <w:t xml:space="preserve"> </w:t>
      </w:r>
      <w:r>
        <w:rPr>
          <w:b/>
        </w:rPr>
        <w:t>Standards Order’</w:t>
      </w:r>
      <w:r>
        <w:t xml:space="preserve">).   </w:t>
      </w:r>
    </w:p>
    <w:p w:rsidR="00601789" w:rsidRDefault="00601789" w:rsidP="00601789"/>
    <w:p w:rsidR="00601789" w:rsidRDefault="00601789" w:rsidP="00601789">
      <w:r>
        <w:t xml:space="preserve">The </w:t>
      </w:r>
      <w:r w:rsidRPr="002405A0">
        <w:rPr>
          <w:i/>
        </w:rPr>
        <w:t xml:space="preserve">Australian Standards for the Export of Livestock (Version 2.3) 2011 </w:t>
      </w:r>
      <w:r>
        <w:t>(‘</w:t>
      </w:r>
      <w:r w:rsidRPr="002405A0">
        <w:rPr>
          <w:b/>
        </w:rPr>
        <w:t>ASEL</w:t>
      </w:r>
      <w:r>
        <w:t>’) sets out the basic standards for the conduct of the live</w:t>
      </w:r>
      <w:r w:rsidR="009240E2">
        <w:t>-</w:t>
      </w:r>
      <w:r>
        <w:t xml:space="preserve">stock export trade, as required by Australian </w:t>
      </w:r>
      <w:r w:rsidR="00001FDE">
        <w:t>Federal, S</w:t>
      </w:r>
      <w:r>
        <w:t xml:space="preserve">tate and </w:t>
      </w:r>
      <w:r w:rsidR="00001FDE">
        <w:t>T</w:t>
      </w:r>
      <w:r>
        <w:t>erritory governments</w:t>
      </w:r>
      <w:r w:rsidR="00B75FFC">
        <w:t xml:space="preserve"> and as decided upon following consultation with industry bodies and other stakeholders.</w:t>
      </w:r>
      <w:r>
        <w:t xml:space="preserve"> </w:t>
      </w:r>
    </w:p>
    <w:p w:rsidR="00601789" w:rsidRDefault="00601789" w:rsidP="00601789"/>
    <w:p w:rsidR="00601789" w:rsidRDefault="00601789" w:rsidP="00601789">
      <w:r>
        <w:t>ASEL covers the sourcing and on-farm preparation of live</w:t>
      </w:r>
      <w:r w:rsidR="009240E2">
        <w:t>-</w:t>
      </w:r>
      <w:r>
        <w:t>stock, land transport of live</w:t>
      </w:r>
      <w:r w:rsidR="009240E2">
        <w:t>-</w:t>
      </w:r>
      <w:r>
        <w:t>stock for export, management of live</w:t>
      </w:r>
      <w:r w:rsidR="009240E2">
        <w:t>-</w:t>
      </w:r>
      <w:r>
        <w:t>stock in registered premises, vessel preparation and loading, on-board management of live</w:t>
      </w:r>
      <w:r w:rsidR="009240E2">
        <w:t>-</w:t>
      </w:r>
      <w:r>
        <w:t>stock and air transport of live</w:t>
      </w:r>
      <w:r w:rsidR="009240E2">
        <w:t>-</w:t>
      </w:r>
      <w:r>
        <w:t xml:space="preserve">stock. Species covered by ASEL include cattle, sheep, goats, buffalo, deer and camelids (camels, llama, alpacas and vicunas). </w:t>
      </w:r>
    </w:p>
    <w:p w:rsidR="00601789" w:rsidRDefault="00601789" w:rsidP="00601789"/>
    <w:p w:rsidR="00601789" w:rsidRDefault="00601789" w:rsidP="00601789">
      <w:r>
        <w:t xml:space="preserve">Section 3 of the Standards Order provides that the holder of a live-stock export licence must not export live-stock except in accordance with ASEL.  </w:t>
      </w:r>
    </w:p>
    <w:p w:rsidR="00601789" w:rsidRDefault="00601789" w:rsidP="00601789"/>
    <w:p w:rsidR="00601789" w:rsidRDefault="00601789" w:rsidP="00601789">
      <w:pPr>
        <w:rPr>
          <w:b/>
        </w:rPr>
      </w:pPr>
      <w:r>
        <w:rPr>
          <w:b/>
        </w:rPr>
        <w:t>Purpose and operation</w:t>
      </w:r>
    </w:p>
    <w:p w:rsidR="00601789" w:rsidRDefault="00601789" w:rsidP="00601789"/>
    <w:p w:rsidR="00BC3DA6" w:rsidRDefault="0067458B" w:rsidP="00BC3DA6">
      <w:r>
        <w:t xml:space="preserve">The recently-inserted </w:t>
      </w:r>
      <w:r w:rsidR="00BC3DA6">
        <w:t xml:space="preserve">Part </w:t>
      </w:r>
      <w:r w:rsidR="005430C1">
        <w:t xml:space="preserve">1A </w:t>
      </w:r>
      <w:r w:rsidR="00BC3DA6">
        <w:t xml:space="preserve">of the </w:t>
      </w:r>
      <w:r w:rsidR="00BC3DA6" w:rsidRPr="002C4B15">
        <w:rPr>
          <w:i/>
        </w:rPr>
        <w:t>Export Control (Animals) Order 2004</w:t>
      </w:r>
      <w:r w:rsidR="00BC3DA6" w:rsidRPr="005358DA">
        <w:t xml:space="preserve"> </w:t>
      </w:r>
      <w:r w:rsidR="00B75FFC">
        <w:t>(‘</w:t>
      </w:r>
      <w:r w:rsidR="00B75FFC" w:rsidRPr="00DF4080">
        <w:rPr>
          <w:b/>
        </w:rPr>
        <w:t>the Animals Order</w:t>
      </w:r>
      <w:r w:rsidR="00B75FFC">
        <w:t xml:space="preserve">’) </w:t>
      </w:r>
      <w:r w:rsidR="00BC3DA6">
        <w:t>provides for approved arrangements (‘</w:t>
      </w:r>
      <w:r w:rsidR="00BC3DA6" w:rsidRPr="002C4B15">
        <w:rPr>
          <w:b/>
        </w:rPr>
        <w:t>approved arrangements</w:t>
      </w:r>
      <w:r>
        <w:t>’)</w:t>
      </w:r>
      <w:r w:rsidR="00BC3DA6">
        <w:t xml:space="preserve"> to streamline the process o</w:t>
      </w:r>
      <w:r w:rsidR="009240E2">
        <w:t>f</w:t>
      </w:r>
      <w:r w:rsidR="00BC3DA6">
        <w:t xml:space="preserve"> preparing and certifying live-stock exports from Australia.     </w:t>
      </w:r>
    </w:p>
    <w:p w:rsidR="00BC3DA6" w:rsidRDefault="00BC3DA6" w:rsidP="00601789"/>
    <w:p w:rsidR="00BC3DA6" w:rsidRDefault="00601789" w:rsidP="00601789">
      <w:r>
        <w:t xml:space="preserve">The </w:t>
      </w:r>
      <w:r>
        <w:rPr>
          <w:i/>
        </w:rPr>
        <w:t>Australian Meat and Live-stock Industry (Standards) Amendment Order 2016</w:t>
      </w:r>
      <w:r>
        <w:t xml:space="preserve"> (‘</w:t>
      </w:r>
      <w:r w:rsidRPr="002C4B15">
        <w:rPr>
          <w:b/>
        </w:rPr>
        <w:t>the</w:t>
      </w:r>
      <w:r>
        <w:t xml:space="preserve"> </w:t>
      </w:r>
      <w:r w:rsidRPr="00C64C87">
        <w:rPr>
          <w:b/>
        </w:rPr>
        <w:t>Amendment Order</w:t>
      </w:r>
      <w:r w:rsidRPr="00C64C87">
        <w:t>’</w:t>
      </w:r>
      <w:r>
        <w:t xml:space="preserve">) amends </w:t>
      </w:r>
      <w:r w:rsidR="00B75FFC">
        <w:t xml:space="preserve">section 3 of the </w:t>
      </w:r>
      <w:r w:rsidRPr="002C4B15">
        <w:t>Standards Order</w:t>
      </w:r>
      <w:r>
        <w:t xml:space="preserve"> to provide that </w:t>
      </w:r>
      <w:r w:rsidR="00B75FFC">
        <w:t>plans of the export of live-stock made under approved arrangements in Part 1A</w:t>
      </w:r>
      <w:r w:rsidR="007E677A">
        <w:t xml:space="preserve"> of the Animals Order will be taken to be included within the scope of all references to consignment risk management plans and Notices of Intention to export which are contained in </w:t>
      </w:r>
      <w:r>
        <w:t>ASEL</w:t>
      </w:r>
      <w:r w:rsidR="007E677A">
        <w:t>.  This has the practical effect of incorporating approved arrangements within the scope of ASEL.</w:t>
      </w:r>
      <w:r>
        <w:t xml:space="preserve"> </w:t>
      </w:r>
    </w:p>
    <w:p w:rsidR="00601789" w:rsidRDefault="00601789" w:rsidP="00601789">
      <w:r>
        <w:t xml:space="preserve">  </w:t>
      </w:r>
    </w:p>
    <w:p w:rsidR="00601789" w:rsidRDefault="00601789" w:rsidP="00601789">
      <w:pPr>
        <w:rPr>
          <w:b/>
        </w:rPr>
      </w:pPr>
      <w:r>
        <w:rPr>
          <w:b/>
        </w:rPr>
        <w:t>Consultation</w:t>
      </w:r>
    </w:p>
    <w:p w:rsidR="00601789" w:rsidRDefault="00601789" w:rsidP="00601789"/>
    <w:p w:rsidR="005430C1" w:rsidRDefault="005430C1" w:rsidP="00601789">
      <w:pPr>
        <w:tabs>
          <w:tab w:val="left" w:pos="1701"/>
          <w:tab w:val="right" w:pos="9072"/>
        </w:tabs>
      </w:pPr>
      <w:r>
        <w:t xml:space="preserve">Consultation was not undertaken specifically for the making of the Amendment Order because it was undertaken for the making of the </w:t>
      </w:r>
      <w:r w:rsidRPr="00DF4080">
        <w:rPr>
          <w:i/>
        </w:rPr>
        <w:t>Export Control (Animals) Amendment (Approved Arrangements) Order 2015</w:t>
      </w:r>
      <w:r w:rsidR="009240E2">
        <w:rPr>
          <w:i/>
        </w:rPr>
        <w:t>,</w:t>
      </w:r>
      <w:r>
        <w:t xml:space="preserve"> which implemented approved arrangements for live-stock exports. The Amendment Order </w:t>
      </w:r>
      <w:r w:rsidR="007E677A">
        <w:t xml:space="preserve">alters </w:t>
      </w:r>
      <w:r>
        <w:t xml:space="preserve">the Standards Order </w:t>
      </w:r>
      <w:r w:rsidR="007E677A">
        <w:t xml:space="preserve">in a manner merely consequential </w:t>
      </w:r>
      <w:r>
        <w:t xml:space="preserve">to the implementation of approved arrangements for live-stock exports. </w:t>
      </w:r>
    </w:p>
    <w:p w:rsidR="005430C1" w:rsidRDefault="005430C1" w:rsidP="00601789">
      <w:pPr>
        <w:tabs>
          <w:tab w:val="left" w:pos="1701"/>
          <w:tab w:val="right" w:pos="9072"/>
        </w:tabs>
      </w:pPr>
    </w:p>
    <w:p w:rsidR="00601789" w:rsidRPr="00A52120" w:rsidRDefault="00601789" w:rsidP="00601789">
      <w:pPr>
        <w:tabs>
          <w:tab w:val="left" w:pos="1701"/>
          <w:tab w:val="right" w:pos="9072"/>
        </w:tabs>
      </w:pPr>
      <w:r w:rsidRPr="00A52120">
        <w:lastRenderedPageBreak/>
        <w:t>Representative</w:t>
      </w:r>
      <w:r>
        <w:t>s</w:t>
      </w:r>
      <w:r w:rsidRPr="00A52120">
        <w:t>, service provider</w:t>
      </w:r>
      <w:r>
        <w:t>s</w:t>
      </w:r>
      <w:r w:rsidRPr="00A52120">
        <w:t xml:space="preserve"> and research and development bodies in the</w:t>
      </w:r>
      <w:r>
        <w:t xml:space="preserve"> live-stock </w:t>
      </w:r>
      <w:r w:rsidRPr="00A52120">
        <w:t>producer and export industries (Australian</w:t>
      </w:r>
      <w:r>
        <w:t xml:space="preserve"> Livestock </w:t>
      </w:r>
      <w:r w:rsidRPr="00A52120">
        <w:t xml:space="preserve">Exporters' Council, </w:t>
      </w:r>
      <w:proofErr w:type="spellStart"/>
      <w:r w:rsidRPr="00A52120">
        <w:t>LiveCorp</w:t>
      </w:r>
      <w:proofErr w:type="spellEnd"/>
      <w:r w:rsidRPr="00A52120">
        <w:t xml:space="preserve"> and Meat &amp;</w:t>
      </w:r>
      <w:r>
        <w:t xml:space="preserve"> Livestock </w:t>
      </w:r>
      <w:r w:rsidRPr="00A52120">
        <w:t>Australia)</w:t>
      </w:r>
      <w:r w:rsidR="00001FDE">
        <w:t xml:space="preserve">, as well as </w:t>
      </w:r>
      <w:r w:rsidR="005430C1">
        <w:t>live-stock exporters</w:t>
      </w:r>
      <w:r w:rsidR="00001FDE">
        <w:t>,</w:t>
      </w:r>
      <w:r w:rsidR="005430C1">
        <w:t xml:space="preserve"> were</w:t>
      </w:r>
      <w:r w:rsidRPr="00A52120">
        <w:t xml:space="preserve"> consulted on the reform project to introduce approved arrangements for</w:t>
      </w:r>
      <w:r>
        <w:t xml:space="preserve"> exports of live-stock</w:t>
      </w:r>
      <w:r w:rsidRPr="00A52120">
        <w:t>.</w:t>
      </w:r>
    </w:p>
    <w:p w:rsidR="007E677A" w:rsidRPr="00A52120" w:rsidRDefault="007E677A" w:rsidP="00601789">
      <w:pPr>
        <w:tabs>
          <w:tab w:val="left" w:pos="1701"/>
          <w:tab w:val="right" w:pos="9072"/>
        </w:tabs>
      </w:pPr>
    </w:p>
    <w:p w:rsidR="00601789" w:rsidRPr="00A52120" w:rsidRDefault="00601789" w:rsidP="00601789">
      <w:pPr>
        <w:tabs>
          <w:tab w:val="left" w:pos="1701"/>
          <w:tab w:val="right" w:pos="9072"/>
        </w:tabs>
      </w:pPr>
      <w:r w:rsidRPr="00A52120">
        <w:t xml:space="preserve">The Office of Best Practice Regulation (OBPR) has been consulted and </w:t>
      </w:r>
      <w:r w:rsidR="005430C1">
        <w:t>agree</w:t>
      </w:r>
      <w:r w:rsidR="00A95501">
        <w:t>s</w:t>
      </w:r>
      <w:r w:rsidR="005430C1">
        <w:t xml:space="preserve"> </w:t>
      </w:r>
      <w:r w:rsidR="00A95501">
        <w:t xml:space="preserve">that </w:t>
      </w:r>
      <w:r w:rsidR="007E677A">
        <w:t xml:space="preserve">in light of their acceptance of </w:t>
      </w:r>
      <w:r w:rsidR="005430C1">
        <w:t>the</w:t>
      </w:r>
      <w:r w:rsidRPr="00A52120">
        <w:t xml:space="preserve"> Standard Form Regulation Impact Statement (RIS) prepared </w:t>
      </w:r>
      <w:r w:rsidR="005430C1">
        <w:t>for the implementation of approved arrangements for live-stock exports</w:t>
      </w:r>
      <w:r w:rsidR="009240E2">
        <w:t xml:space="preserve"> (RIS ID: 18455)</w:t>
      </w:r>
      <w:r w:rsidR="007E677A">
        <w:t>, the amendments contained in the Amendment Order are machinery in nature and no further input from them is required.</w:t>
      </w:r>
    </w:p>
    <w:p w:rsidR="00601789" w:rsidRDefault="00601789" w:rsidP="00601789">
      <w:pPr>
        <w:tabs>
          <w:tab w:val="left" w:pos="1701"/>
          <w:tab w:val="right" w:pos="9072"/>
        </w:tabs>
      </w:pPr>
    </w:p>
    <w:p w:rsidR="00601789" w:rsidRPr="0055247E" w:rsidRDefault="00601789" w:rsidP="00601789">
      <w:pPr>
        <w:tabs>
          <w:tab w:val="left" w:pos="1701"/>
          <w:tab w:val="right" w:pos="9072"/>
        </w:tabs>
      </w:pPr>
      <w:r>
        <w:t xml:space="preserve">Details of the Amendment Order are at </w:t>
      </w:r>
      <w:r>
        <w:rPr>
          <w:u w:val="single"/>
        </w:rPr>
        <w:t>Attachment A</w:t>
      </w:r>
      <w:r w:rsidRPr="00711286">
        <w:t>.</w:t>
      </w:r>
    </w:p>
    <w:p w:rsidR="00601789" w:rsidRPr="00A52120" w:rsidRDefault="00601789" w:rsidP="00601789">
      <w:pPr>
        <w:tabs>
          <w:tab w:val="left" w:pos="1701"/>
          <w:tab w:val="right" w:pos="9072"/>
        </w:tabs>
      </w:pPr>
    </w:p>
    <w:p w:rsidR="00601789" w:rsidRDefault="00601789" w:rsidP="00601789">
      <w:pPr>
        <w:contextualSpacing/>
        <w:rPr>
          <w:iCs/>
        </w:rPr>
      </w:pPr>
      <w:r>
        <w:rPr>
          <w:iCs/>
        </w:rPr>
        <w:t xml:space="preserve">The Amendment Order is compatible with human rights and freedoms recognised or declared under section 3 of the </w:t>
      </w:r>
      <w:r>
        <w:rPr>
          <w:i/>
          <w:iCs/>
        </w:rPr>
        <w:t>Human Rights (Parliamentary Scrutiny) Act 2011</w:t>
      </w:r>
      <w:r>
        <w:rPr>
          <w:iCs/>
        </w:rPr>
        <w:t xml:space="preserve">.  A full statement of compatibility is set out in </w:t>
      </w:r>
      <w:r w:rsidRPr="00B51C0B">
        <w:rPr>
          <w:iCs/>
          <w:u w:val="single"/>
        </w:rPr>
        <w:t xml:space="preserve">Attachment </w:t>
      </w:r>
      <w:r>
        <w:rPr>
          <w:iCs/>
          <w:u w:val="single"/>
        </w:rPr>
        <w:t>B</w:t>
      </w:r>
      <w:r>
        <w:rPr>
          <w:iCs/>
        </w:rPr>
        <w:t>.</w:t>
      </w:r>
    </w:p>
    <w:p w:rsidR="00601789" w:rsidRDefault="00601789" w:rsidP="00601789">
      <w:pPr>
        <w:tabs>
          <w:tab w:val="left" w:pos="1701"/>
          <w:tab w:val="right" w:pos="9072"/>
        </w:tabs>
      </w:pPr>
    </w:p>
    <w:p w:rsidR="00601789" w:rsidRPr="00203AAB" w:rsidRDefault="00601789" w:rsidP="00601789">
      <w:pPr>
        <w:tabs>
          <w:tab w:val="left" w:pos="1701"/>
          <w:tab w:val="right" w:pos="9072"/>
        </w:tabs>
      </w:pPr>
      <w:r w:rsidRPr="00470EB9">
        <w:t xml:space="preserve">The </w:t>
      </w:r>
      <w:r>
        <w:t xml:space="preserve">Amendment </w:t>
      </w:r>
      <w:r w:rsidRPr="00470EB9">
        <w:t xml:space="preserve">Order is a legislative instrument for the purposes of the </w:t>
      </w:r>
      <w:r w:rsidR="007C10ED">
        <w:rPr>
          <w:i/>
        </w:rPr>
        <w:t>Legislation</w:t>
      </w:r>
      <w:r w:rsidRPr="00711286">
        <w:rPr>
          <w:i/>
        </w:rPr>
        <w:t xml:space="preserve"> Act 2003</w:t>
      </w:r>
      <w:r w:rsidRPr="00470EB9">
        <w:t>.</w:t>
      </w:r>
      <w:bookmarkStart w:id="0" w:name="_GoBack"/>
      <w:bookmarkEnd w:id="0"/>
    </w:p>
    <w:p w:rsidR="00601789" w:rsidRDefault="00601789" w:rsidP="00601789"/>
    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="009A57ED" w:rsidRDefault="00601789" w:rsidP="00601789">
      <w:pPr>
        <w:rPr>
          <w:vanish/>
        </w:rPr>
      </w:pPr>
    </w:p>
    <w:p w:rsidR="00601789" w:rsidRDefault="00601789" w:rsidP="00601789"/>
    <w:p w:rsidR="00601789" w:rsidRDefault="00601789" w:rsidP="00601789">
      <w:r>
        <w:br w:type="page"/>
      </w:r>
    </w:p>
    <w:p w:rsidR="00601789" w:rsidRPr="002405A0" w:rsidRDefault="00601789" w:rsidP="00601789">
      <w:pPr>
        <w:jc w:val="right"/>
        <w:rPr>
          <w:b/>
        </w:rPr>
      </w:pPr>
      <w:r w:rsidRPr="002405A0">
        <w:rPr>
          <w:b/>
        </w:rPr>
        <w:lastRenderedPageBreak/>
        <w:t>ATTACHMENT A</w:t>
      </w:r>
    </w:p>
    <w:p w:rsidR="00601789" w:rsidRDefault="00601789" w:rsidP="00601789">
      <w:pPr>
        <w:rPr>
          <w:b/>
        </w:rPr>
      </w:pPr>
      <w:r>
        <w:rPr>
          <w:b/>
        </w:rPr>
        <w:t>Section 1</w:t>
      </w:r>
    </w:p>
    <w:p w:rsidR="00601789" w:rsidRDefault="00601789" w:rsidP="00601789"/>
    <w:p w:rsidR="00601789" w:rsidRDefault="00601789" w:rsidP="00601789">
      <w:r>
        <w:t xml:space="preserve">Section 1 provides that the name of the Amendment Order is the </w:t>
      </w:r>
      <w:r>
        <w:rPr>
          <w:i/>
        </w:rPr>
        <w:t>Australian Meat and Live-stock Industry (Standards) Amendment Order 2016</w:t>
      </w:r>
      <w:r>
        <w:t xml:space="preserve">. </w:t>
      </w:r>
    </w:p>
    <w:p w:rsidR="00601789" w:rsidRDefault="00601789" w:rsidP="00601789"/>
    <w:p w:rsidR="00601789" w:rsidRDefault="00601789" w:rsidP="00601789">
      <w:pPr>
        <w:rPr>
          <w:b/>
        </w:rPr>
      </w:pPr>
      <w:r>
        <w:rPr>
          <w:b/>
        </w:rPr>
        <w:t>Section 2</w:t>
      </w:r>
    </w:p>
    <w:p w:rsidR="00601789" w:rsidRDefault="00601789" w:rsidP="00601789"/>
    <w:p w:rsidR="00601789" w:rsidRDefault="00601789" w:rsidP="00601789">
      <w:r>
        <w:t>Section 2 provides that the Amendment Order is to commence the day after it is registered in the Federal Register of Legislation.</w:t>
      </w:r>
    </w:p>
    <w:p w:rsidR="00601789" w:rsidRDefault="00601789" w:rsidP="00601789"/>
    <w:p w:rsidR="00601789" w:rsidRDefault="00601789" w:rsidP="00601789">
      <w:pPr>
        <w:rPr>
          <w:b/>
        </w:rPr>
      </w:pPr>
      <w:r>
        <w:rPr>
          <w:b/>
        </w:rPr>
        <w:t>Section 3</w:t>
      </w:r>
    </w:p>
    <w:p w:rsidR="00601789" w:rsidRDefault="00601789" w:rsidP="00601789"/>
    <w:p w:rsidR="00601789" w:rsidRDefault="00601789" w:rsidP="00601789">
      <w:pPr>
        <w:pStyle w:val="Header"/>
        <w:widowControl w:val="0"/>
        <w:tabs>
          <w:tab w:val="clear" w:pos="4153"/>
          <w:tab w:val="clear" w:pos="8306"/>
        </w:tabs>
        <w:rPr>
          <w:b/>
          <w:bCs/>
          <w:snapToGrid w:val="0"/>
        </w:rPr>
      </w:pPr>
      <w:r>
        <w:rPr>
          <w:snapToGrid w:val="0"/>
        </w:rPr>
        <w:t>Section 3 provides that the Amendment Order is made under section 17 of the Act.</w:t>
      </w:r>
      <w:r>
        <w:rPr>
          <w:bCs/>
          <w:snapToGrid w:val="0"/>
        </w:rPr>
        <w:t xml:space="preserve"> </w:t>
      </w:r>
    </w:p>
    <w:p w:rsidR="00601789" w:rsidRDefault="00601789" w:rsidP="00601789"/>
    <w:p w:rsidR="00601789" w:rsidRDefault="00601789" w:rsidP="00601789">
      <w:pPr>
        <w:rPr>
          <w:b/>
        </w:rPr>
      </w:pPr>
      <w:r>
        <w:rPr>
          <w:b/>
        </w:rPr>
        <w:t>Section 4</w:t>
      </w:r>
    </w:p>
    <w:p w:rsidR="00601789" w:rsidRDefault="00601789" w:rsidP="00601789"/>
    <w:p w:rsidR="00601789" w:rsidRDefault="00601789" w:rsidP="00601789">
      <w:pPr>
        <w:pStyle w:val="Header"/>
        <w:widowControl w:val="0"/>
        <w:tabs>
          <w:tab w:val="clear" w:pos="4153"/>
          <w:tab w:val="clear" w:pos="8306"/>
        </w:tabs>
        <w:rPr>
          <w:b/>
          <w:bCs/>
          <w:snapToGrid w:val="0"/>
        </w:rPr>
      </w:pPr>
      <w:r>
        <w:rPr>
          <w:snapToGrid w:val="0"/>
        </w:rPr>
        <w:t>Section 4 provides that each instrument set out in the Schedule is amended as per the terms of the Schedule itself.</w:t>
      </w:r>
      <w:r>
        <w:rPr>
          <w:bCs/>
          <w:snapToGrid w:val="0"/>
        </w:rPr>
        <w:t xml:space="preserve"> </w:t>
      </w:r>
    </w:p>
    <w:p w:rsidR="00601789" w:rsidRDefault="00601789" w:rsidP="00601789">
      <w:pPr>
        <w:keepNext/>
        <w:rPr>
          <w:b/>
        </w:rPr>
      </w:pPr>
    </w:p>
    <w:p w:rsidR="00601789" w:rsidRDefault="00601789" w:rsidP="00601789">
      <w:pPr>
        <w:keepNext/>
        <w:rPr>
          <w:b/>
        </w:rPr>
      </w:pPr>
      <w:r>
        <w:rPr>
          <w:b/>
        </w:rPr>
        <w:t>Schedule 1 Amendments</w:t>
      </w:r>
    </w:p>
    <w:p w:rsidR="00601789" w:rsidRDefault="00601789" w:rsidP="00601789">
      <w:pPr>
        <w:rPr>
          <w:i/>
        </w:rPr>
      </w:pPr>
    </w:p>
    <w:p w:rsidR="00601789" w:rsidRDefault="00601789" w:rsidP="00601789">
      <w:pPr>
        <w:rPr>
          <w:i/>
        </w:rPr>
      </w:pPr>
      <w:r>
        <w:rPr>
          <w:i/>
        </w:rPr>
        <w:t>Item 1</w:t>
      </w:r>
    </w:p>
    <w:p w:rsidR="00601789" w:rsidRDefault="00601789" w:rsidP="00601789"/>
    <w:p w:rsidR="00601789" w:rsidRDefault="00601789" w:rsidP="00601789">
      <w:r>
        <w:t>Item 1 inserts a ‘sub-section 1’ marker into the text of section 3 of the Standards Order.</w:t>
      </w:r>
    </w:p>
    <w:p w:rsidR="00601789" w:rsidRDefault="00601789" w:rsidP="00601789"/>
    <w:p w:rsidR="00601789" w:rsidRPr="002405A0" w:rsidRDefault="00601789" w:rsidP="00601789">
      <w:pPr>
        <w:rPr>
          <w:i/>
        </w:rPr>
      </w:pPr>
      <w:r w:rsidRPr="002405A0">
        <w:rPr>
          <w:i/>
        </w:rPr>
        <w:t>Item 2</w:t>
      </w:r>
    </w:p>
    <w:p w:rsidR="00601789" w:rsidRDefault="00601789" w:rsidP="00601789"/>
    <w:p w:rsidR="00601789" w:rsidRDefault="00601789" w:rsidP="00601789">
      <w:r>
        <w:t>Item 2 repeals the existing note to section 3 of the Standards Order and inserts a new note which provides that ASEL could in 2016 be viewed on the Department’s website.</w:t>
      </w:r>
    </w:p>
    <w:p w:rsidR="00601789" w:rsidRDefault="00601789" w:rsidP="00601789"/>
    <w:p w:rsidR="00601789" w:rsidRPr="002405A0" w:rsidRDefault="00601789" w:rsidP="00601789">
      <w:pPr>
        <w:rPr>
          <w:i/>
        </w:rPr>
      </w:pPr>
      <w:r w:rsidRPr="002405A0">
        <w:rPr>
          <w:i/>
        </w:rPr>
        <w:t>Item 3</w:t>
      </w:r>
    </w:p>
    <w:p w:rsidR="00601789" w:rsidRDefault="00601789" w:rsidP="00601789"/>
    <w:p w:rsidR="00601789" w:rsidRDefault="00601789" w:rsidP="00601789">
      <w:r>
        <w:t xml:space="preserve">Item 3 inserts a new sub-section 2 into section 3 of the Standards Order.  The existing provision in section 3, which becomes sub-section 3(1), provides that holders of live-stock export licences must not export live-stock except in accordance with ASEL. The new sub-section 2 provides that all references in ASEL to: </w:t>
      </w:r>
    </w:p>
    <w:p w:rsidR="00601789" w:rsidRDefault="00601789" w:rsidP="00601789"/>
    <w:p w:rsidR="00601789" w:rsidRDefault="00601789" w:rsidP="00601789">
      <w:pPr>
        <w:pStyle w:val="ListParagraph"/>
        <w:numPr>
          <w:ilvl w:val="0"/>
          <w:numId w:val="1"/>
        </w:numPr>
      </w:pPr>
      <w:r>
        <w:t>consignment risk management plans (CRMPs), which are variously described;</w:t>
      </w:r>
    </w:p>
    <w:p w:rsidR="00601789" w:rsidRDefault="00601789" w:rsidP="00601789">
      <w:pPr>
        <w:pStyle w:val="ListParagraph"/>
        <w:numPr>
          <w:ilvl w:val="0"/>
          <w:numId w:val="1"/>
        </w:numPr>
      </w:pPr>
      <w:r>
        <w:t xml:space="preserve">Notices of Intention (NOIs) to export; and </w:t>
      </w:r>
    </w:p>
    <w:p w:rsidR="00601789" w:rsidRDefault="00601789" w:rsidP="00601789">
      <w:pPr>
        <w:pStyle w:val="ListParagraph"/>
        <w:numPr>
          <w:ilvl w:val="0"/>
          <w:numId w:val="1"/>
        </w:numPr>
      </w:pPr>
      <w:r>
        <w:t>Approved NOI</w:t>
      </w:r>
      <w:r w:rsidR="007E677A">
        <w:t>s</w:t>
      </w:r>
      <w:r>
        <w:t xml:space="preserve"> and CRMP</w:t>
      </w:r>
      <w:r w:rsidR="007E677A">
        <w:t>s</w:t>
      </w:r>
      <w:r>
        <w:t xml:space="preserve">;    </w:t>
      </w:r>
    </w:p>
    <w:p w:rsidR="00601789" w:rsidRDefault="00601789" w:rsidP="00601789"/>
    <w:p w:rsidR="00601789" w:rsidRDefault="00601789" w:rsidP="00601789">
      <w:proofErr w:type="gramStart"/>
      <w:r>
        <w:t>are</w:t>
      </w:r>
      <w:proofErr w:type="gramEnd"/>
      <w:r>
        <w:t xml:space="preserve"> to be taken to include references to plan</w:t>
      </w:r>
      <w:r w:rsidR="00AC6373">
        <w:t>s</w:t>
      </w:r>
      <w:r>
        <w:t xml:space="preserve"> for the export of live-stock prepared by holder</w:t>
      </w:r>
      <w:r w:rsidR="00AC6373">
        <w:t>s</w:t>
      </w:r>
      <w:r>
        <w:t xml:space="preserve"> of live-stock export licence</w:t>
      </w:r>
      <w:r w:rsidR="00AC6373">
        <w:t>s</w:t>
      </w:r>
      <w:r>
        <w:t xml:space="preserve"> under approved arrangements. </w:t>
      </w:r>
      <w:r w:rsidR="005430C1">
        <w:t xml:space="preserve">This is because exporters with an approved arrangement no longer prepare CRMPs or have their NOIs approved by the </w:t>
      </w:r>
      <w:r w:rsidR="00001FDE">
        <w:t>D</w:t>
      </w:r>
      <w:r w:rsidR="005430C1">
        <w:t>epartment – instead</w:t>
      </w:r>
      <w:r w:rsidR="00001FDE">
        <w:t>,</w:t>
      </w:r>
      <w:r w:rsidR="005430C1">
        <w:t xml:space="preserve"> their approved arrangement contains a plan for the export of live-stock which describes how ASEL</w:t>
      </w:r>
      <w:r w:rsidR="00001FDE">
        <w:t xml:space="preserve"> will be complied with</w:t>
      </w:r>
      <w:r w:rsidR="005430C1">
        <w:t>.</w:t>
      </w:r>
    </w:p>
    <w:p w:rsidR="00601789" w:rsidRDefault="00601789">
      <w:pPr>
        <w:spacing w:after="160" w:line="259" w:lineRule="auto"/>
      </w:pPr>
      <w:r>
        <w:br w:type="page"/>
      </w:r>
    </w:p>
    <w:p w:rsidR="00601789" w:rsidRDefault="00601789" w:rsidP="00601789"/>
    <w:p w:rsidR="00601789" w:rsidRDefault="00601789" w:rsidP="00601789"/>
    <w:p w:rsidR="00601789" w:rsidRPr="007409E6" w:rsidRDefault="00601789" w:rsidP="00601789">
      <w:pPr>
        <w:jc w:val="right"/>
        <w:rPr>
          <w:b/>
        </w:rPr>
      </w:pPr>
      <w:r w:rsidRPr="007409E6">
        <w:rPr>
          <w:b/>
        </w:rPr>
        <w:t>ATTACHMENT B</w:t>
      </w:r>
    </w:p>
    <w:p w:rsidR="00601789" w:rsidRPr="00E4135E" w:rsidRDefault="00601789" w:rsidP="00601789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601789" w:rsidRPr="00E4135E" w:rsidRDefault="00601789" w:rsidP="00601789">
      <w:pPr>
        <w:spacing w:before="120" w:after="120"/>
        <w:jc w:val="center"/>
      </w:pPr>
      <w:r w:rsidRPr="00E4135E">
        <w:rPr>
          <w:i/>
        </w:rPr>
        <w:t xml:space="preserve">Prepared in accordance with </w:t>
      </w:r>
      <w:r>
        <w:rPr>
          <w:i/>
        </w:rPr>
        <w:t>Part</w:t>
      </w:r>
      <w:r w:rsidRPr="00E4135E">
        <w:rPr>
          <w:i/>
        </w:rPr>
        <w:t xml:space="preserve"> 3 of the Human Rights (Parliamentary Scrutiny) Act 2011</w:t>
      </w:r>
    </w:p>
    <w:p w:rsidR="00601789" w:rsidRPr="00E4135E" w:rsidRDefault="00601789" w:rsidP="00601789">
      <w:pPr>
        <w:spacing w:before="120" w:after="120"/>
        <w:jc w:val="center"/>
      </w:pPr>
    </w:p>
    <w:p w:rsidR="00601789" w:rsidRPr="00910157" w:rsidRDefault="00601789" w:rsidP="00601789">
      <w:pPr>
        <w:spacing w:before="120"/>
        <w:jc w:val="center"/>
        <w:rPr>
          <w:b/>
          <w:i/>
        </w:rPr>
      </w:pPr>
      <w:r>
        <w:rPr>
          <w:b/>
          <w:i/>
        </w:rPr>
        <w:t>Australian Meat and Live</w:t>
      </w:r>
      <w:r w:rsidR="007E677A">
        <w:rPr>
          <w:b/>
          <w:i/>
        </w:rPr>
        <w:t>-</w:t>
      </w:r>
      <w:r>
        <w:rPr>
          <w:b/>
          <w:i/>
        </w:rPr>
        <w:t>stock Industry (Standards) Amendments Order 2016</w:t>
      </w:r>
    </w:p>
    <w:p w:rsidR="00601789" w:rsidRDefault="00601789" w:rsidP="002405A0">
      <w:pPr>
        <w:rPr>
          <w:b/>
        </w:rPr>
      </w:pPr>
    </w:p>
    <w:p w:rsidR="00601789" w:rsidRPr="00601789" w:rsidRDefault="00601789" w:rsidP="002405A0">
      <w:pPr>
        <w:rPr>
          <w:b/>
        </w:rPr>
      </w:pPr>
      <w:r w:rsidRPr="00601789">
        <w:rPr>
          <w:b/>
        </w:rPr>
        <w:t xml:space="preserve">Overview of </w:t>
      </w:r>
      <w:r w:rsidR="009527F2">
        <w:rPr>
          <w:b/>
        </w:rPr>
        <w:t>Amending</w:t>
      </w:r>
      <w:r w:rsidRPr="00601789">
        <w:rPr>
          <w:b/>
        </w:rPr>
        <w:t xml:space="preserve"> Instrument</w:t>
      </w:r>
    </w:p>
    <w:p w:rsidR="00601789" w:rsidRDefault="00601789" w:rsidP="002405A0"/>
    <w:p w:rsidR="0067458B" w:rsidRDefault="00601789" w:rsidP="0067458B">
      <w:r w:rsidRPr="008D1F0F">
        <w:t>This Instrument amends</w:t>
      </w:r>
      <w:r w:rsidR="0067458B">
        <w:t xml:space="preserve"> the </w:t>
      </w:r>
      <w:r w:rsidR="0067458B" w:rsidRPr="002C4B15">
        <w:t>Standards Order</w:t>
      </w:r>
      <w:r w:rsidR="0067458B">
        <w:t xml:space="preserve"> to provide that </w:t>
      </w:r>
      <w:r w:rsidR="002546B5">
        <w:t xml:space="preserve">references in ASEL to </w:t>
      </w:r>
      <w:r w:rsidR="009240E2">
        <w:t>C</w:t>
      </w:r>
      <w:r w:rsidR="002546B5">
        <w:t xml:space="preserve">onsignment </w:t>
      </w:r>
      <w:r w:rsidR="009240E2">
        <w:t>R</w:t>
      </w:r>
      <w:r w:rsidR="002546B5">
        <w:t xml:space="preserve">isk </w:t>
      </w:r>
      <w:r w:rsidR="009240E2">
        <w:t>M</w:t>
      </w:r>
      <w:r w:rsidR="002546B5">
        <w:t xml:space="preserve">anagement </w:t>
      </w:r>
      <w:r w:rsidR="009240E2">
        <w:t>P</w:t>
      </w:r>
      <w:r w:rsidR="002546B5">
        <w:t xml:space="preserve">lans and Notices of Intention to export will be taken to include plans for live-stock export prepared under the new approved arrangements provisions contained in </w:t>
      </w:r>
      <w:r w:rsidR="0067458B">
        <w:t xml:space="preserve">Part 1A of the </w:t>
      </w:r>
      <w:r w:rsidR="0067458B" w:rsidRPr="0067458B">
        <w:rPr>
          <w:i/>
        </w:rPr>
        <w:t>Export Control (Animals) Order</w:t>
      </w:r>
      <w:r w:rsidR="0067458B" w:rsidRPr="002546B5">
        <w:rPr>
          <w:i/>
        </w:rPr>
        <w:t xml:space="preserve"> 2</w:t>
      </w:r>
      <w:r w:rsidR="0067458B" w:rsidRPr="00DF4080">
        <w:rPr>
          <w:i/>
        </w:rPr>
        <w:t>004</w:t>
      </w:r>
      <w:r w:rsidR="002546B5">
        <w:t xml:space="preserve">. </w:t>
      </w:r>
      <w:r w:rsidR="0067458B">
        <w:t xml:space="preserve"> </w:t>
      </w:r>
    </w:p>
    <w:p w:rsidR="00601789" w:rsidRPr="008D1F0F" w:rsidRDefault="00601789" w:rsidP="002405A0"/>
    <w:p w:rsidR="0067458B" w:rsidRDefault="0067458B" w:rsidP="0067458B">
      <w:r>
        <w:t xml:space="preserve">Approved arrangements </w:t>
      </w:r>
      <w:r w:rsidR="00AC6373">
        <w:t>a</w:t>
      </w:r>
      <w:r>
        <w:t xml:space="preserve">re designed to streamline </w:t>
      </w:r>
      <w:r w:rsidR="009527F2">
        <w:t>existing procedures</w:t>
      </w:r>
      <w:r>
        <w:t xml:space="preserve"> for </w:t>
      </w:r>
      <w:r w:rsidR="009527F2">
        <w:t xml:space="preserve">the </w:t>
      </w:r>
      <w:r w:rsidR="00AC6373">
        <w:t xml:space="preserve">export of </w:t>
      </w:r>
      <w:r>
        <w:t>live-stock from Australia.</w:t>
      </w:r>
      <w:r w:rsidR="009527F2">
        <w:t xml:space="preserve">  The existing procedures require compliance with ASEL.  This Amend</w:t>
      </w:r>
      <w:r w:rsidR="007E677A">
        <w:t>ment</w:t>
      </w:r>
      <w:r w:rsidR="009527F2">
        <w:t xml:space="preserve"> Instrument</w:t>
      </w:r>
      <w:r w:rsidR="002546B5">
        <w:t xml:space="preserve"> ensures that plans properly made under these streamlined procedures will also come within the scope of ASEL.</w:t>
      </w:r>
      <w:r w:rsidR="009527F2">
        <w:t xml:space="preserve">    </w:t>
      </w:r>
      <w:r>
        <w:t xml:space="preserve">       </w:t>
      </w:r>
    </w:p>
    <w:sdt>
      <w:sdtPr>
        <w:id w:val="-285505265"/>
        <w:lock w:val="contentLocked"/>
        <w:placeholder>
          <w:docPart w:val="467FD48A375C48CC9B947295789CE3FC"/>
        </w:placeholder>
        <w:group/>
      </w:sdtPr>
      <w:sdtEndPr/>
      <w:sdtContent>
        <w:p w:rsidR="00601789" w:rsidRPr="00E4135E" w:rsidRDefault="00601789" w:rsidP="002405A0"/>
        <w:p w:rsidR="00601789" w:rsidRPr="00E4135E" w:rsidRDefault="00601789" w:rsidP="002405A0">
          <w:pPr>
            <w:spacing w:after="120"/>
            <w:jc w:val="both"/>
            <w:rPr>
              <w:b/>
            </w:rPr>
          </w:pPr>
          <w:r w:rsidRPr="00E4135E">
            <w:rPr>
              <w:b/>
            </w:rPr>
            <w:t>Human rights implications</w:t>
          </w:r>
        </w:p>
        <w:p w:rsidR="00601789" w:rsidRPr="00E4135E" w:rsidRDefault="00601789" w:rsidP="002405A0">
          <w:r w:rsidRPr="00E4135E">
            <w:t>This Legislative Instrument does not engage any of the applicable rights or freedoms.</w:t>
          </w:r>
        </w:p>
        <w:p w:rsidR="00601789" w:rsidRPr="00E4135E" w:rsidRDefault="00601789" w:rsidP="002405A0"/>
        <w:p w:rsidR="00601789" w:rsidRPr="00E4135E" w:rsidRDefault="00601789" w:rsidP="002405A0">
          <w:pPr>
            <w:spacing w:after="120"/>
            <w:jc w:val="both"/>
            <w:rPr>
              <w:b/>
            </w:rPr>
          </w:pPr>
          <w:r w:rsidRPr="00E4135E">
            <w:rPr>
              <w:b/>
            </w:rPr>
            <w:t>Conclusion</w:t>
          </w:r>
        </w:p>
        <w:p w:rsidR="00601789" w:rsidRPr="00E4135E" w:rsidRDefault="00601789" w:rsidP="002405A0">
          <w:r w:rsidRPr="00E4135E">
            <w:t>This Legislative Instrument is compatible with human rights as it does not raise any human rights issues.</w:t>
          </w:r>
        </w:p>
        <w:p w:rsidR="00601789" w:rsidRDefault="00601789" w:rsidP="002405A0"/>
        <w:p w:rsidR="00601789" w:rsidRPr="00E4135E" w:rsidRDefault="007C10ED" w:rsidP="002405A0"/>
      </w:sdtContent>
    </w:sdt>
    <w:p w:rsidR="009240E2" w:rsidRDefault="009240E2" w:rsidP="00DF4080">
      <w:pPr>
        <w:jc w:val="right"/>
        <w:rPr>
          <w:b/>
          <w:bCs/>
        </w:rPr>
      </w:pPr>
    </w:p>
    <w:p w:rsidR="009240E2" w:rsidRDefault="009240E2" w:rsidP="00DF4080">
      <w:pPr>
        <w:jc w:val="right"/>
        <w:rPr>
          <w:b/>
          <w:bCs/>
        </w:rPr>
      </w:pPr>
    </w:p>
    <w:p w:rsidR="00601789" w:rsidRPr="00BE6861" w:rsidRDefault="00601789" w:rsidP="00DF4080">
      <w:pPr>
        <w:jc w:val="right"/>
        <w:rPr>
          <w:b/>
          <w:bCs/>
        </w:rPr>
      </w:pPr>
      <w:r>
        <w:rPr>
          <w:b/>
          <w:bCs/>
        </w:rPr>
        <w:t xml:space="preserve">Daryl </w:t>
      </w:r>
      <w:proofErr w:type="spellStart"/>
      <w:r>
        <w:rPr>
          <w:b/>
          <w:bCs/>
        </w:rPr>
        <w:t>Quinlivan</w:t>
      </w:r>
      <w:proofErr w:type="spellEnd"/>
    </w:p>
    <w:p w:rsidR="00326DE5" w:rsidRDefault="007C10ED"/>
    <w:sectPr w:rsidR="00326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80" w:rsidRDefault="00DF4080" w:rsidP="00DF4080">
      <w:r>
        <w:separator/>
      </w:r>
    </w:p>
  </w:endnote>
  <w:endnote w:type="continuationSeparator" w:id="0">
    <w:p w:rsidR="00DF4080" w:rsidRDefault="00DF4080" w:rsidP="00DF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80" w:rsidRDefault="00DF4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80" w:rsidRDefault="00DF4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80" w:rsidRDefault="00DF4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80" w:rsidRDefault="00DF4080" w:rsidP="00DF4080">
      <w:r>
        <w:separator/>
      </w:r>
    </w:p>
  </w:footnote>
  <w:footnote w:type="continuationSeparator" w:id="0">
    <w:p w:rsidR="00DF4080" w:rsidRDefault="00DF4080" w:rsidP="00DF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80" w:rsidRDefault="00DF4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80" w:rsidRDefault="00DF4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80" w:rsidRDefault="00DF4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108"/>
    <w:multiLevelType w:val="hybridMultilevel"/>
    <w:tmpl w:val="DB3663E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89"/>
    <w:rsid w:val="00001FDE"/>
    <w:rsid w:val="000C1A11"/>
    <w:rsid w:val="00186355"/>
    <w:rsid w:val="00194A56"/>
    <w:rsid w:val="002546B5"/>
    <w:rsid w:val="00482CDA"/>
    <w:rsid w:val="005430C1"/>
    <w:rsid w:val="00601789"/>
    <w:rsid w:val="0067458B"/>
    <w:rsid w:val="00714301"/>
    <w:rsid w:val="007C10ED"/>
    <w:rsid w:val="007E1B5C"/>
    <w:rsid w:val="007E677A"/>
    <w:rsid w:val="009240E2"/>
    <w:rsid w:val="009527F2"/>
    <w:rsid w:val="00A95501"/>
    <w:rsid w:val="00AC6373"/>
    <w:rsid w:val="00B75FFC"/>
    <w:rsid w:val="00BC3DA6"/>
    <w:rsid w:val="00BE6729"/>
    <w:rsid w:val="00DF4080"/>
    <w:rsid w:val="00E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rsid w:val="00601789"/>
    <w:rPr>
      <w:rFonts w:eastAsiaTheme="minorHAnsi"/>
      <w:b/>
      <w:bCs/>
      <w:sz w:val="40"/>
      <w:szCs w:val="40"/>
    </w:rPr>
  </w:style>
  <w:style w:type="paragraph" w:styleId="Header">
    <w:name w:val="header"/>
    <w:basedOn w:val="Normal"/>
    <w:link w:val="HeaderChar"/>
    <w:rsid w:val="006017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0178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0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5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56"/>
    <w:rPr>
      <w:rFonts w:ascii="Segoe UI" w:eastAsia="Times New Roman" w:hAnsi="Segoe UI" w:cs="Times New Roman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F40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80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7FD48A375C48CC9B947295789C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B958-31C8-42EE-A5FD-353F2BAE051C}"/>
      </w:docPartPr>
      <w:docPartBody>
        <w:p w:rsidR="005D3241" w:rsidRDefault="006D2FAF" w:rsidP="006D2FAF">
          <w:pPr>
            <w:pStyle w:val="467FD48A375C48CC9B947295789CE3FC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AF"/>
    <w:rsid w:val="005D3241"/>
    <w:rsid w:val="006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FAF"/>
    <w:rPr>
      <w:color w:val="808080"/>
    </w:rPr>
  </w:style>
  <w:style w:type="paragraph" w:customStyle="1" w:styleId="467FD48A375C48CC9B947295789CE3FC">
    <w:name w:val="467FD48A375C48CC9B947295789CE3FC"/>
    <w:rsid w:val="006D2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cp:lastPrinted>2016-05-25T01:13:00Z</cp:lastPrinted>
  <dcterms:created xsi:type="dcterms:W3CDTF">2016-05-25T01:13:00Z</dcterms:created>
  <dcterms:modified xsi:type="dcterms:W3CDTF">2016-05-25T01:27:00Z</dcterms:modified>
</cp:coreProperties>
</file>