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2AEDB" w14:textId="77777777" w:rsidR="002A380B" w:rsidRPr="00896442" w:rsidRDefault="002A380B" w:rsidP="00E275FD">
      <w:pPr>
        <w:pStyle w:val="Title"/>
        <w:contextualSpacing/>
        <w:rPr>
          <w:rFonts w:ascii="Times New Roman" w:hAnsi="Times New Roman"/>
          <w:szCs w:val="24"/>
          <w:u w:val="single"/>
        </w:rPr>
      </w:pPr>
      <w:r w:rsidRPr="00896442">
        <w:rPr>
          <w:rFonts w:ascii="Times New Roman" w:hAnsi="Times New Roman"/>
          <w:szCs w:val="24"/>
          <w:u w:val="single"/>
        </w:rPr>
        <w:t>EXPLANATORY STATEMENT</w:t>
      </w:r>
    </w:p>
    <w:p w14:paraId="5BA3A548" w14:textId="2C2DC87A" w:rsidR="002A380B" w:rsidRPr="00C45DE3" w:rsidRDefault="002A380B" w:rsidP="00E275FD">
      <w:pPr>
        <w:contextualSpacing/>
        <w:rPr>
          <w:rFonts w:ascii="Times New Roman" w:hAnsi="Times New Roman" w:cs="Times New Roman"/>
          <w:sz w:val="24"/>
          <w:u w:val="single"/>
        </w:rPr>
      </w:pPr>
    </w:p>
    <w:p w14:paraId="0A787621" w14:textId="1A17EE41" w:rsidR="008859E1" w:rsidRPr="0031091C" w:rsidRDefault="006613F3" w:rsidP="00282F9E">
      <w:pPr>
        <w:contextualSpacing/>
        <w:jc w:val="center"/>
        <w:rPr>
          <w:b/>
          <w:bCs/>
        </w:rPr>
      </w:pPr>
      <w:sdt>
        <w:sdtPr>
          <w:rPr>
            <w:rFonts w:ascii="Times New Roman" w:hAnsi="Times New Roman" w:cs="Times New Roman"/>
            <w:sz w:val="24"/>
            <w:u w:val="single"/>
          </w:rPr>
          <w:id w:val="962787087"/>
          <w:lock w:val="contentLocked"/>
          <w:placeholder>
            <w:docPart w:val="31D1656F0B4B4098B2CB4806FC04E7ED"/>
          </w:placeholder>
          <w:group/>
        </w:sdtPr>
        <w:sdtEndPr/>
        <w:sdtContent>
          <w:r w:rsidR="008859E1" w:rsidRPr="00096B91">
            <w:rPr>
              <w:rFonts w:ascii="Times New Roman" w:hAnsi="Times New Roman" w:cs="Times New Roman"/>
              <w:sz w:val="24"/>
              <w:u w:val="single"/>
            </w:rPr>
            <w:t>Issued by Authority of the</w:t>
          </w:r>
        </w:sdtContent>
      </w:sdt>
      <w:r w:rsidR="008859E1" w:rsidRPr="00096B91">
        <w:rPr>
          <w:rFonts w:ascii="Times New Roman" w:hAnsi="Times New Roman" w:cs="Times New Roman"/>
          <w:sz w:val="24"/>
          <w:u w:val="single"/>
        </w:rPr>
        <w:t xml:space="preserve"> </w:t>
      </w:r>
      <w:r w:rsidR="00037AA1">
        <w:rPr>
          <w:bCs/>
          <w:u w:val="single"/>
        </w:rPr>
        <w:t>Director of Biosecurity</w:t>
      </w:r>
    </w:p>
    <w:p w14:paraId="3008AF5F" w14:textId="77777777" w:rsidR="002A380B" w:rsidRPr="00896442" w:rsidRDefault="002A380B" w:rsidP="00E275FD">
      <w:pPr>
        <w:contextualSpacing/>
        <w:jc w:val="center"/>
        <w:rPr>
          <w:rFonts w:ascii="Times New Roman" w:hAnsi="Times New Roman" w:cs="Times New Roman"/>
          <w:sz w:val="24"/>
        </w:rPr>
      </w:pPr>
    </w:p>
    <w:p w14:paraId="583C9EC9" w14:textId="7370B314" w:rsidR="002A380B" w:rsidRPr="00896442" w:rsidRDefault="002A380B" w:rsidP="00E275FD">
      <w:pPr>
        <w:contextualSpacing/>
        <w:jc w:val="center"/>
        <w:rPr>
          <w:rFonts w:ascii="Times New Roman" w:hAnsi="Times New Roman" w:cs="Times New Roman"/>
          <w:i/>
          <w:snapToGrid w:val="0"/>
          <w:color w:val="000000" w:themeColor="text1"/>
          <w:sz w:val="24"/>
        </w:rPr>
      </w:pPr>
      <w:r w:rsidRPr="00896442">
        <w:rPr>
          <w:rFonts w:ascii="Times New Roman" w:hAnsi="Times New Roman" w:cs="Times New Roman"/>
          <w:i/>
          <w:snapToGrid w:val="0"/>
          <w:color w:val="000000" w:themeColor="text1"/>
          <w:sz w:val="24"/>
        </w:rPr>
        <w:t xml:space="preserve">Biosecurity Act 2015 </w:t>
      </w:r>
    </w:p>
    <w:p w14:paraId="28A4659B" w14:textId="77777777" w:rsidR="00D62E87" w:rsidRPr="00896442" w:rsidRDefault="00D62E87" w:rsidP="00E275FD">
      <w:pPr>
        <w:contextualSpacing/>
        <w:rPr>
          <w:rFonts w:ascii="Times New Roman" w:hAnsi="Times New Roman" w:cs="Times New Roman"/>
          <w:i/>
          <w:snapToGrid w:val="0"/>
          <w:color w:val="000000" w:themeColor="text1"/>
          <w:sz w:val="24"/>
        </w:rPr>
      </w:pPr>
    </w:p>
    <w:p w14:paraId="45DAA3F4" w14:textId="495177B1" w:rsidR="00D62E87" w:rsidRPr="00896442" w:rsidRDefault="00D62E87" w:rsidP="00E275FD">
      <w:pPr>
        <w:contextualSpacing/>
        <w:jc w:val="center"/>
        <w:rPr>
          <w:rFonts w:ascii="Times New Roman" w:hAnsi="Times New Roman" w:cs="Times New Roman"/>
          <w:i/>
          <w:color w:val="000000" w:themeColor="text1"/>
          <w:sz w:val="24"/>
        </w:rPr>
      </w:pPr>
      <w:r w:rsidRPr="00896442">
        <w:rPr>
          <w:rFonts w:ascii="Times New Roman" w:hAnsi="Times New Roman" w:cs="Times New Roman"/>
          <w:i/>
          <w:snapToGrid w:val="0"/>
          <w:color w:val="000000" w:themeColor="text1"/>
          <w:sz w:val="24"/>
        </w:rPr>
        <w:t xml:space="preserve">Biosecurity </w:t>
      </w:r>
      <w:r w:rsidR="00B50DA3" w:rsidRPr="00896442">
        <w:rPr>
          <w:rFonts w:ascii="Times New Roman" w:hAnsi="Times New Roman" w:cs="Times New Roman"/>
          <w:i/>
          <w:snapToGrid w:val="0"/>
          <w:color w:val="000000" w:themeColor="text1"/>
          <w:sz w:val="24"/>
        </w:rPr>
        <w:t>(Reportable Biosecurity Incidents) Determination</w:t>
      </w:r>
      <w:r w:rsidRPr="00896442">
        <w:rPr>
          <w:rFonts w:ascii="Times New Roman" w:hAnsi="Times New Roman" w:cs="Times New Roman"/>
          <w:i/>
          <w:snapToGrid w:val="0"/>
          <w:color w:val="000000" w:themeColor="text1"/>
          <w:sz w:val="24"/>
        </w:rPr>
        <w:t xml:space="preserve"> 2016</w:t>
      </w:r>
    </w:p>
    <w:p w14:paraId="6FD0ADC4" w14:textId="77777777" w:rsidR="002A380B" w:rsidRPr="00C45DE3" w:rsidRDefault="002A380B" w:rsidP="00E275FD">
      <w:pPr>
        <w:pStyle w:val="Normal-em"/>
        <w:contextualSpacing/>
        <w:rPr>
          <w:i/>
          <w:color w:val="auto"/>
          <w:szCs w:val="24"/>
        </w:rPr>
      </w:pPr>
    </w:p>
    <w:p w14:paraId="33A72826" w14:textId="77777777" w:rsidR="00D62E87" w:rsidRPr="00896442" w:rsidRDefault="00D62E87"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b/>
          <w:sz w:val="24"/>
        </w:rPr>
        <w:t>Legislative Authority</w:t>
      </w:r>
    </w:p>
    <w:p w14:paraId="2EBBFBAB" w14:textId="77777777" w:rsidR="00D62E87" w:rsidRPr="00896442" w:rsidRDefault="00D62E87" w:rsidP="00E275FD">
      <w:pPr>
        <w:tabs>
          <w:tab w:val="right" w:pos="9072"/>
        </w:tabs>
        <w:contextualSpacing/>
        <w:rPr>
          <w:rFonts w:ascii="Times New Roman" w:hAnsi="Times New Roman" w:cs="Times New Roman"/>
          <w:sz w:val="24"/>
        </w:rPr>
      </w:pPr>
    </w:p>
    <w:p w14:paraId="5A0003E4" w14:textId="77777777"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 xml:space="preserve">The </w:t>
      </w:r>
      <w:r w:rsidRPr="00896442">
        <w:rPr>
          <w:rFonts w:ascii="Times New Roman" w:hAnsi="Times New Roman" w:cs="Times New Roman"/>
          <w:i/>
          <w:sz w:val="24"/>
        </w:rPr>
        <w:t xml:space="preserve">Biosecurity Act 2015 </w:t>
      </w:r>
      <w:r w:rsidRPr="00896442">
        <w:rPr>
          <w:rFonts w:ascii="Times New Roman" w:hAnsi="Times New Roman" w:cs="Times New Roman"/>
          <w:sz w:val="24"/>
        </w:rPr>
        <w:t>(the Biosecurity Act) provides the Commonwealth with powers to assess and manage the risk of pests and diseases entering Australian territory and causing harm to animal, plant and human health, the environment and the economy.</w:t>
      </w:r>
    </w:p>
    <w:p w14:paraId="3077825E" w14:textId="77777777" w:rsidR="002A380B" w:rsidRPr="00896442" w:rsidRDefault="002A380B" w:rsidP="00E275FD">
      <w:pPr>
        <w:tabs>
          <w:tab w:val="left" w:pos="1701"/>
          <w:tab w:val="right" w:pos="9072"/>
        </w:tabs>
        <w:contextualSpacing/>
        <w:rPr>
          <w:rFonts w:ascii="Times New Roman" w:hAnsi="Times New Roman" w:cs="Times New Roman"/>
          <w:sz w:val="24"/>
        </w:rPr>
      </w:pPr>
    </w:p>
    <w:p w14:paraId="3D0C3D4B" w14:textId="43FC03B7" w:rsidR="00B6791E" w:rsidRPr="00896442" w:rsidRDefault="00B6791E"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sz w:val="24"/>
        </w:rPr>
        <w:t>Section 154 of the Biosecurity Act provides that the Director of Biosecurity may</w:t>
      </w:r>
      <w:r w:rsidR="00F7301B">
        <w:rPr>
          <w:rFonts w:ascii="Times New Roman" w:hAnsi="Times New Roman" w:cs="Times New Roman"/>
          <w:sz w:val="24"/>
        </w:rPr>
        <w:t>,</w:t>
      </w:r>
      <w:r w:rsidRPr="00896442">
        <w:rPr>
          <w:rFonts w:ascii="Times New Roman" w:hAnsi="Times New Roman" w:cs="Times New Roman"/>
          <w:sz w:val="24"/>
        </w:rPr>
        <w:t xml:space="preserve"> by legislative instrument, determine that an act, omission or event is a reportable biosecurity incident in relation to goods that are subject to biosecurity control.</w:t>
      </w:r>
    </w:p>
    <w:p w14:paraId="19D19A93"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7F153DD6" w14:textId="2A272AF2" w:rsidR="00B6791E" w:rsidRPr="00896442" w:rsidRDefault="00B6791E"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sz w:val="24"/>
        </w:rPr>
        <w:t>Section 157 of the Biosecurity Act provides that the Director of Biosecurity may</w:t>
      </w:r>
      <w:r w:rsidR="00F7301B">
        <w:rPr>
          <w:rFonts w:ascii="Times New Roman" w:hAnsi="Times New Roman" w:cs="Times New Roman"/>
          <w:sz w:val="24"/>
        </w:rPr>
        <w:t>,</w:t>
      </w:r>
      <w:r w:rsidRPr="00896442">
        <w:rPr>
          <w:rFonts w:ascii="Times New Roman" w:hAnsi="Times New Roman" w:cs="Times New Roman"/>
          <w:sz w:val="24"/>
        </w:rPr>
        <w:t xml:space="preserve"> by legislative instrument, determine the information tha</w:t>
      </w:r>
      <w:r w:rsidR="00604156" w:rsidRPr="00896442">
        <w:rPr>
          <w:rFonts w:ascii="Times New Roman" w:hAnsi="Times New Roman" w:cs="Times New Roman"/>
          <w:sz w:val="24"/>
        </w:rPr>
        <w:t xml:space="preserve">t must be included in a report required by </w:t>
      </w:r>
      <w:r w:rsidR="00737906">
        <w:rPr>
          <w:rFonts w:ascii="Times New Roman" w:hAnsi="Times New Roman" w:cs="Times New Roman"/>
          <w:sz w:val="24"/>
        </w:rPr>
        <w:t>sub</w:t>
      </w:r>
      <w:r w:rsidR="00604156" w:rsidRPr="00896442">
        <w:rPr>
          <w:rFonts w:ascii="Times New Roman" w:hAnsi="Times New Roman" w:cs="Times New Roman"/>
          <w:sz w:val="24"/>
        </w:rPr>
        <w:t>section 155</w:t>
      </w:r>
      <w:r w:rsidR="00737906">
        <w:rPr>
          <w:rFonts w:ascii="Times New Roman" w:hAnsi="Times New Roman" w:cs="Times New Roman"/>
          <w:sz w:val="24"/>
        </w:rPr>
        <w:t>(1)</w:t>
      </w:r>
      <w:r w:rsidR="00AE08B1">
        <w:rPr>
          <w:rFonts w:ascii="Times New Roman" w:hAnsi="Times New Roman" w:cs="Times New Roman"/>
          <w:sz w:val="24"/>
        </w:rPr>
        <w:t xml:space="preserve"> </w:t>
      </w:r>
      <w:r w:rsidRPr="00896442">
        <w:rPr>
          <w:rFonts w:ascii="Times New Roman" w:hAnsi="Times New Roman" w:cs="Times New Roman"/>
          <w:sz w:val="24"/>
        </w:rPr>
        <w:t>or 156</w:t>
      </w:r>
      <w:r w:rsidR="00737906">
        <w:rPr>
          <w:rFonts w:ascii="Times New Roman" w:hAnsi="Times New Roman" w:cs="Times New Roman"/>
          <w:sz w:val="24"/>
        </w:rPr>
        <w:t>(1)</w:t>
      </w:r>
      <w:r w:rsidR="00AE08B1">
        <w:rPr>
          <w:rFonts w:ascii="Times New Roman" w:hAnsi="Times New Roman" w:cs="Times New Roman"/>
          <w:sz w:val="24"/>
        </w:rPr>
        <w:t xml:space="preserve"> </w:t>
      </w:r>
      <w:r w:rsidRPr="00896442">
        <w:rPr>
          <w:rFonts w:ascii="Times New Roman" w:hAnsi="Times New Roman" w:cs="Times New Roman"/>
          <w:sz w:val="24"/>
        </w:rPr>
        <w:t>of the Act, and the way in which the report must be made.</w:t>
      </w:r>
    </w:p>
    <w:p w14:paraId="25FCAE85"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1923AFE1" w14:textId="1BEADB66" w:rsidR="00B6791E" w:rsidRPr="00896442" w:rsidRDefault="00F7301B" w:rsidP="00E275FD">
      <w:pPr>
        <w:tabs>
          <w:tab w:val="left" w:pos="1701"/>
          <w:tab w:val="right" w:pos="9072"/>
        </w:tabs>
        <w:contextualSpacing/>
        <w:rPr>
          <w:rFonts w:ascii="Times New Roman" w:hAnsi="Times New Roman" w:cs="Times New Roman"/>
          <w:sz w:val="24"/>
        </w:rPr>
      </w:pPr>
      <w:r>
        <w:rPr>
          <w:rFonts w:ascii="Times New Roman" w:hAnsi="Times New Roman" w:cs="Times New Roman"/>
          <w:sz w:val="24"/>
        </w:rPr>
        <w:t>S</w:t>
      </w:r>
      <w:r w:rsidR="00737906">
        <w:rPr>
          <w:rFonts w:ascii="Times New Roman" w:hAnsi="Times New Roman" w:cs="Times New Roman"/>
          <w:sz w:val="24"/>
        </w:rPr>
        <w:t>ubs</w:t>
      </w:r>
      <w:r w:rsidRPr="00896442">
        <w:rPr>
          <w:rFonts w:ascii="Times New Roman" w:hAnsi="Times New Roman" w:cs="Times New Roman"/>
          <w:sz w:val="24"/>
        </w:rPr>
        <w:t xml:space="preserve">ections </w:t>
      </w:r>
      <w:r w:rsidR="00B6791E" w:rsidRPr="00896442">
        <w:rPr>
          <w:rFonts w:ascii="Times New Roman" w:hAnsi="Times New Roman" w:cs="Times New Roman"/>
          <w:sz w:val="24"/>
        </w:rPr>
        <w:t>155</w:t>
      </w:r>
      <w:r w:rsidR="00737906">
        <w:rPr>
          <w:rFonts w:ascii="Times New Roman" w:hAnsi="Times New Roman" w:cs="Times New Roman"/>
          <w:sz w:val="24"/>
        </w:rPr>
        <w:t>(1)</w:t>
      </w:r>
      <w:r w:rsidR="006E7BDA">
        <w:rPr>
          <w:rFonts w:ascii="Times New Roman" w:hAnsi="Times New Roman" w:cs="Times New Roman"/>
          <w:sz w:val="24"/>
        </w:rPr>
        <w:t xml:space="preserve"> </w:t>
      </w:r>
      <w:r w:rsidR="00B6791E" w:rsidRPr="00896442">
        <w:rPr>
          <w:rFonts w:ascii="Times New Roman" w:hAnsi="Times New Roman" w:cs="Times New Roman"/>
          <w:sz w:val="24"/>
        </w:rPr>
        <w:t>and 156</w:t>
      </w:r>
      <w:r w:rsidR="00737906">
        <w:rPr>
          <w:rFonts w:ascii="Times New Roman" w:hAnsi="Times New Roman" w:cs="Times New Roman"/>
          <w:sz w:val="24"/>
        </w:rPr>
        <w:t>(1)</w:t>
      </w:r>
      <w:r w:rsidR="00B6791E" w:rsidRPr="00896442">
        <w:rPr>
          <w:rFonts w:ascii="Times New Roman" w:hAnsi="Times New Roman" w:cs="Times New Roman"/>
          <w:sz w:val="24"/>
        </w:rPr>
        <w:t xml:space="preserve"> of the Biosecurity Act provide that the person in charge of the aircraft or vessel carrying goods, and the person in charge of the goods, must report a reporta</w:t>
      </w:r>
      <w:r w:rsidR="00F45C26" w:rsidRPr="00896442">
        <w:rPr>
          <w:rFonts w:ascii="Times New Roman" w:hAnsi="Times New Roman" w:cs="Times New Roman"/>
          <w:sz w:val="24"/>
        </w:rPr>
        <w:t xml:space="preserve">ble biosecurity incident to </w:t>
      </w:r>
      <w:r w:rsidR="00B6791E" w:rsidRPr="00896442">
        <w:rPr>
          <w:rFonts w:ascii="Times New Roman" w:hAnsi="Times New Roman" w:cs="Times New Roman"/>
          <w:sz w:val="24"/>
        </w:rPr>
        <w:t xml:space="preserve">a biosecurity officer or the Director of Biosecurity, as soon as practicable after </w:t>
      </w:r>
      <w:r w:rsidR="002E37E7">
        <w:rPr>
          <w:rFonts w:ascii="Times New Roman" w:hAnsi="Times New Roman" w:cs="Times New Roman"/>
          <w:sz w:val="24"/>
        </w:rPr>
        <w:t>becoming aware of the incident.</w:t>
      </w:r>
    </w:p>
    <w:p w14:paraId="19983AB1" w14:textId="77777777" w:rsidR="00B6791E" w:rsidRPr="00896442" w:rsidRDefault="00B6791E" w:rsidP="00E275FD">
      <w:pPr>
        <w:tabs>
          <w:tab w:val="left" w:pos="1701"/>
          <w:tab w:val="right" w:pos="9072"/>
        </w:tabs>
        <w:contextualSpacing/>
        <w:rPr>
          <w:rFonts w:ascii="Times New Roman" w:hAnsi="Times New Roman" w:cs="Times New Roman"/>
          <w:sz w:val="24"/>
        </w:rPr>
      </w:pPr>
    </w:p>
    <w:p w14:paraId="73D1268A" w14:textId="77777777" w:rsidR="002A380B" w:rsidRPr="00896442" w:rsidRDefault="002A380B"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t>Purpose</w:t>
      </w:r>
    </w:p>
    <w:p w14:paraId="39C06688" w14:textId="77777777" w:rsidR="002A380B" w:rsidRPr="00896442" w:rsidRDefault="002A380B" w:rsidP="00E275FD">
      <w:pPr>
        <w:tabs>
          <w:tab w:val="right" w:pos="9072"/>
        </w:tabs>
        <w:contextualSpacing/>
        <w:rPr>
          <w:rFonts w:ascii="Times New Roman" w:hAnsi="Times New Roman" w:cs="Times New Roman"/>
          <w:sz w:val="24"/>
        </w:rPr>
      </w:pPr>
    </w:p>
    <w:p w14:paraId="252A468D" w14:textId="5C29A63D" w:rsidR="001C75A9" w:rsidRPr="00896442" w:rsidRDefault="002A380B" w:rsidP="00E275FD">
      <w:pPr>
        <w:pStyle w:val="ListNumber"/>
        <w:contextualSpacing/>
        <w:rPr>
          <w:rFonts w:ascii="Times New Roman" w:hAnsi="Times New Roman"/>
          <w:szCs w:val="24"/>
        </w:rPr>
      </w:pPr>
      <w:r w:rsidRPr="00896442">
        <w:rPr>
          <w:rFonts w:ascii="Times New Roman" w:hAnsi="Times New Roman"/>
          <w:szCs w:val="24"/>
        </w:rPr>
        <w:t xml:space="preserve">The purpose of the </w:t>
      </w:r>
      <w:r w:rsidR="00BE3A6D" w:rsidRPr="00896442">
        <w:rPr>
          <w:rFonts w:ascii="Times New Roman" w:hAnsi="Times New Roman"/>
          <w:i/>
          <w:szCs w:val="24"/>
        </w:rPr>
        <w:t xml:space="preserve">Biosecurity </w:t>
      </w:r>
      <w:r w:rsidR="00B6791E" w:rsidRPr="00896442">
        <w:rPr>
          <w:rFonts w:ascii="Times New Roman" w:hAnsi="Times New Roman"/>
          <w:i/>
          <w:szCs w:val="24"/>
        </w:rPr>
        <w:t>(Reportable Biosecurity Incidents) Determination</w:t>
      </w:r>
      <w:r w:rsidR="00BE3A6D" w:rsidRPr="00896442">
        <w:rPr>
          <w:rFonts w:ascii="Times New Roman" w:hAnsi="Times New Roman"/>
          <w:i/>
          <w:szCs w:val="24"/>
        </w:rPr>
        <w:t xml:space="preserve"> 2016</w:t>
      </w:r>
      <w:r w:rsidR="00B6791E" w:rsidRPr="00896442">
        <w:rPr>
          <w:rFonts w:ascii="Times New Roman" w:hAnsi="Times New Roman"/>
          <w:szCs w:val="24"/>
        </w:rPr>
        <w:t xml:space="preserve"> (the Determination</w:t>
      </w:r>
      <w:r w:rsidR="00BE3A6D" w:rsidRPr="00896442">
        <w:rPr>
          <w:rFonts w:ascii="Times New Roman" w:hAnsi="Times New Roman"/>
          <w:szCs w:val="24"/>
        </w:rPr>
        <w:t>)</w:t>
      </w:r>
      <w:r w:rsidR="00CD481B" w:rsidRPr="00896442">
        <w:rPr>
          <w:rFonts w:ascii="Times New Roman" w:hAnsi="Times New Roman"/>
          <w:szCs w:val="24"/>
        </w:rPr>
        <w:t xml:space="preserve"> is to </w:t>
      </w:r>
      <w:r w:rsidR="004C2407" w:rsidRPr="00896442">
        <w:rPr>
          <w:rFonts w:ascii="Times New Roman" w:hAnsi="Times New Roman"/>
          <w:szCs w:val="24"/>
        </w:rPr>
        <w:t xml:space="preserve">specify </w:t>
      </w:r>
      <w:r w:rsidR="00B6791E" w:rsidRPr="00896442">
        <w:rPr>
          <w:rFonts w:ascii="Times New Roman" w:hAnsi="Times New Roman"/>
          <w:szCs w:val="24"/>
        </w:rPr>
        <w:t>the events that are reportable biosecurity incidents</w:t>
      </w:r>
      <w:r w:rsidR="00373DFB" w:rsidRPr="00373DFB">
        <w:rPr>
          <w:rFonts w:ascii="Times New Roman" w:hAnsi="Times New Roman"/>
          <w:szCs w:val="24"/>
        </w:rPr>
        <w:t xml:space="preserve"> </w:t>
      </w:r>
      <w:r w:rsidR="00373DFB">
        <w:rPr>
          <w:rFonts w:ascii="Times New Roman" w:hAnsi="Times New Roman"/>
          <w:szCs w:val="24"/>
        </w:rPr>
        <w:t>in relation to</w:t>
      </w:r>
      <w:r w:rsidR="00373DFB" w:rsidRPr="00896442">
        <w:rPr>
          <w:rFonts w:ascii="Times New Roman" w:hAnsi="Times New Roman"/>
          <w:szCs w:val="24"/>
        </w:rPr>
        <w:t xml:space="preserve"> goods that are subject to biosecurity control</w:t>
      </w:r>
      <w:r w:rsidR="00B6791E" w:rsidRPr="00896442">
        <w:rPr>
          <w:rFonts w:ascii="Times New Roman" w:hAnsi="Times New Roman"/>
          <w:szCs w:val="24"/>
        </w:rPr>
        <w:t xml:space="preserve">. It also specifies the information that must be included </w:t>
      </w:r>
      <w:r w:rsidR="00373DFB">
        <w:rPr>
          <w:rFonts w:ascii="Times New Roman" w:hAnsi="Times New Roman"/>
          <w:szCs w:val="24"/>
        </w:rPr>
        <w:t>in a biosecurity incident report</w:t>
      </w:r>
      <w:r w:rsidR="00B6791E" w:rsidRPr="00896442">
        <w:rPr>
          <w:rFonts w:ascii="Times New Roman" w:hAnsi="Times New Roman"/>
          <w:szCs w:val="24"/>
        </w:rPr>
        <w:t xml:space="preserve"> and how the report must be made.</w:t>
      </w:r>
    </w:p>
    <w:p w14:paraId="5219F265" w14:textId="77777777" w:rsidR="00E419A4" w:rsidRPr="00896442" w:rsidRDefault="00E419A4" w:rsidP="00E275FD">
      <w:pPr>
        <w:tabs>
          <w:tab w:val="left" w:pos="1701"/>
          <w:tab w:val="right" w:pos="9072"/>
        </w:tabs>
        <w:contextualSpacing/>
        <w:rPr>
          <w:rFonts w:ascii="Times New Roman" w:hAnsi="Times New Roman" w:cs="Times New Roman"/>
          <w:b/>
          <w:sz w:val="24"/>
        </w:rPr>
      </w:pPr>
    </w:p>
    <w:p w14:paraId="1B35AE47" w14:textId="77777777" w:rsidR="00D62E87" w:rsidRPr="00896442" w:rsidRDefault="00D62E87"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t>Background</w:t>
      </w:r>
    </w:p>
    <w:p w14:paraId="756B9A87" w14:textId="77777777" w:rsidR="00D62E87" w:rsidRPr="00896442" w:rsidRDefault="00D62E87" w:rsidP="00E275FD">
      <w:pPr>
        <w:tabs>
          <w:tab w:val="right" w:pos="9072"/>
        </w:tabs>
        <w:contextualSpacing/>
        <w:rPr>
          <w:rFonts w:ascii="Times New Roman" w:hAnsi="Times New Roman" w:cs="Times New Roman"/>
          <w:sz w:val="24"/>
        </w:rPr>
      </w:pPr>
    </w:p>
    <w:p w14:paraId="3A79BB32" w14:textId="4A5C7B6D" w:rsidR="008144EC" w:rsidRPr="00896442" w:rsidRDefault="008144EC" w:rsidP="00E275FD">
      <w:pPr>
        <w:contextualSpacing/>
        <w:rPr>
          <w:rFonts w:ascii="Times New Roman" w:eastAsia="Times New Roman" w:hAnsi="Times New Roman" w:cs="Times New Roman"/>
          <w:sz w:val="24"/>
          <w:lang w:eastAsia="en-AU"/>
        </w:rPr>
      </w:pPr>
      <w:r w:rsidRPr="00896442">
        <w:rPr>
          <w:rFonts w:ascii="Times New Roman" w:hAnsi="Times New Roman" w:cs="Times New Roman"/>
          <w:sz w:val="24"/>
        </w:rPr>
        <w:t xml:space="preserve">The Biosecurity Act commenced on 16 June 2016 </w:t>
      </w:r>
      <w:r w:rsidRPr="00896442">
        <w:rPr>
          <w:rFonts w:ascii="Times New Roman" w:hAnsi="Times New Roman" w:cs="Times New Roman"/>
          <w:sz w:val="24"/>
        </w:rPr>
        <w:sym w:font="Symbol" w:char="F02D"/>
      </w:r>
      <w:r w:rsidRPr="00896442">
        <w:rPr>
          <w:rFonts w:ascii="Times New Roman" w:hAnsi="Times New Roman" w:cs="Times New Roman"/>
          <w:sz w:val="24"/>
        </w:rPr>
        <w:t xml:space="preserve">12 months after royal assent. The Biosecurity Act replaces the </w:t>
      </w:r>
      <w:r w:rsidRPr="00896442">
        <w:rPr>
          <w:rFonts w:ascii="Times New Roman" w:hAnsi="Times New Roman" w:cs="Times New Roman"/>
          <w:i/>
          <w:sz w:val="24"/>
        </w:rPr>
        <w:t>Quarantine Act 1908</w:t>
      </w:r>
      <w:r w:rsidRPr="00896442">
        <w:rPr>
          <w:rFonts w:ascii="Times New Roman" w:hAnsi="Times New Roman" w:cs="Times New Roman"/>
          <w:sz w:val="24"/>
        </w:rPr>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14:paraId="6B0F39E3" w14:textId="77777777" w:rsidR="008144EC" w:rsidRPr="00896442" w:rsidRDefault="008144EC" w:rsidP="00E275FD">
      <w:pPr>
        <w:keepLines/>
        <w:contextualSpacing/>
        <w:rPr>
          <w:rFonts w:ascii="Times New Roman" w:hAnsi="Times New Roman" w:cs="Times New Roman"/>
          <w:sz w:val="24"/>
        </w:rPr>
      </w:pPr>
    </w:p>
    <w:p w14:paraId="422CB9AB" w14:textId="73396F13" w:rsidR="008144EC" w:rsidRPr="00896442" w:rsidRDefault="008144EC"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The Biosecurity Act is principles-based and lays the foundation for biosecurity risk management. The detail and specific information requirements for certain activities under the Biosecurity Act are provided for in the </w:t>
      </w:r>
      <w:r w:rsidRPr="00896442">
        <w:rPr>
          <w:rFonts w:ascii="Times New Roman" w:hAnsi="Times New Roman" w:cs="Times New Roman"/>
          <w:i/>
          <w:sz w:val="24"/>
        </w:rPr>
        <w:t>Biosecurity Regulation 2016</w:t>
      </w:r>
      <w:r w:rsidRPr="00896442">
        <w:rPr>
          <w:rFonts w:ascii="Times New Roman" w:hAnsi="Times New Roman" w:cs="Times New Roman"/>
          <w:sz w:val="24"/>
        </w:rPr>
        <w:t xml:space="preserve"> and other delegated legislation, including this Determination. </w:t>
      </w:r>
      <w:r w:rsidR="00C15FDF">
        <w:rPr>
          <w:rFonts w:ascii="Times New Roman" w:hAnsi="Times New Roman" w:cs="Times New Roman"/>
          <w:sz w:val="24"/>
        </w:rPr>
        <w:t>This Determination sets out the information and reporting requirements for reportable biosecurity incidents under the Biosecurity Act.</w:t>
      </w:r>
    </w:p>
    <w:p w14:paraId="79D7AB54" w14:textId="77777777" w:rsidR="00D62E87" w:rsidRPr="00896442" w:rsidRDefault="00D62E87" w:rsidP="00E275FD">
      <w:pPr>
        <w:tabs>
          <w:tab w:val="right" w:pos="9072"/>
        </w:tabs>
        <w:contextualSpacing/>
        <w:rPr>
          <w:rFonts w:ascii="Times New Roman" w:hAnsi="Times New Roman" w:cs="Times New Roman"/>
          <w:sz w:val="24"/>
        </w:rPr>
      </w:pPr>
    </w:p>
    <w:p w14:paraId="61D4ACCD" w14:textId="77777777" w:rsidR="00D62E87" w:rsidRPr="00896442" w:rsidRDefault="00D62E87" w:rsidP="00E275FD">
      <w:pPr>
        <w:tabs>
          <w:tab w:val="left" w:pos="1701"/>
          <w:tab w:val="right" w:pos="9072"/>
        </w:tabs>
        <w:contextualSpacing/>
        <w:rPr>
          <w:rFonts w:ascii="Times New Roman" w:hAnsi="Times New Roman" w:cs="Times New Roman"/>
          <w:b/>
          <w:sz w:val="24"/>
        </w:rPr>
      </w:pPr>
      <w:r w:rsidRPr="00896442">
        <w:rPr>
          <w:rFonts w:ascii="Times New Roman" w:hAnsi="Times New Roman" w:cs="Times New Roman"/>
          <w:b/>
          <w:sz w:val="24"/>
        </w:rPr>
        <w:lastRenderedPageBreak/>
        <w:t>Impact and Effect</w:t>
      </w:r>
    </w:p>
    <w:p w14:paraId="36F614E8" w14:textId="77777777" w:rsidR="00D62E87" w:rsidRPr="00896442" w:rsidRDefault="00D62E87" w:rsidP="00E275FD">
      <w:pPr>
        <w:tabs>
          <w:tab w:val="right" w:pos="9072"/>
        </w:tabs>
        <w:contextualSpacing/>
        <w:rPr>
          <w:rFonts w:ascii="Times New Roman" w:hAnsi="Times New Roman" w:cs="Times New Roman"/>
          <w:sz w:val="24"/>
        </w:rPr>
      </w:pPr>
    </w:p>
    <w:p w14:paraId="70B3C96F" w14:textId="332D6913" w:rsidR="00611A5C" w:rsidRPr="00896442" w:rsidRDefault="00CD481B"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The </w:t>
      </w:r>
      <w:r w:rsidR="0027294F" w:rsidRPr="00896442">
        <w:rPr>
          <w:rFonts w:ascii="Times New Roman" w:hAnsi="Times New Roman" w:cs="Times New Roman"/>
          <w:sz w:val="24"/>
        </w:rPr>
        <w:t xml:space="preserve">Determination provides </w:t>
      </w:r>
      <w:r w:rsidR="002910C7" w:rsidRPr="00896442">
        <w:rPr>
          <w:rFonts w:ascii="Times New Roman" w:hAnsi="Times New Roman" w:cs="Times New Roman"/>
          <w:sz w:val="24"/>
        </w:rPr>
        <w:t xml:space="preserve">clarity to </w:t>
      </w:r>
      <w:r w:rsidR="00373DFB">
        <w:rPr>
          <w:rFonts w:ascii="Times New Roman" w:hAnsi="Times New Roman" w:cs="Times New Roman"/>
          <w:sz w:val="24"/>
        </w:rPr>
        <w:t xml:space="preserve">people who </w:t>
      </w:r>
      <w:r w:rsidR="00373DFB" w:rsidRPr="00896442">
        <w:rPr>
          <w:rFonts w:ascii="Times New Roman" w:hAnsi="Times New Roman" w:cs="Times New Roman"/>
          <w:sz w:val="24"/>
        </w:rPr>
        <w:t>may be required to report a reportable biosecurity incident under the Biosecurity Act</w:t>
      </w:r>
      <w:r w:rsidR="00373DFB">
        <w:rPr>
          <w:rFonts w:ascii="Times New Roman" w:hAnsi="Times New Roman" w:cs="Times New Roman"/>
          <w:sz w:val="24"/>
        </w:rPr>
        <w:t xml:space="preserve">. This includes a </w:t>
      </w:r>
      <w:r w:rsidR="0027294F" w:rsidRPr="00896442">
        <w:rPr>
          <w:rFonts w:ascii="Times New Roman" w:hAnsi="Times New Roman" w:cs="Times New Roman"/>
          <w:sz w:val="24"/>
        </w:rPr>
        <w:t xml:space="preserve">person in charge of goods subject to biosecurity control and person in charge of the aircraft or vessel carrying those goods. It provides </w:t>
      </w:r>
      <w:r w:rsidR="002F11AB" w:rsidRPr="00896442">
        <w:rPr>
          <w:rFonts w:ascii="Times New Roman" w:hAnsi="Times New Roman" w:cs="Times New Roman"/>
          <w:sz w:val="24"/>
        </w:rPr>
        <w:t>the details of what</w:t>
      </w:r>
      <w:r w:rsidR="0027294F" w:rsidRPr="00896442">
        <w:rPr>
          <w:rFonts w:ascii="Times New Roman" w:hAnsi="Times New Roman" w:cs="Times New Roman"/>
          <w:sz w:val="24"/>
        </w:rPr>
        <w:t xml:space="preserve"> </w:t>
      </w:r>
      <w:r w:rsidR="002F11AB" w:rsidRPr="00896442">
        <w:rPr>
          <w:rFonts w:ascii="Times New Roman" w:hAnsi="Times New Roman" w:cs="Times New Roman"/>
          <w:sz w:val="24"/>
        </w:rPr>
        <w:t xml:space="preserve">events </w:t>
      </w:r>
      <w:r w:rsidR="0027294F" w:rsidRPr="00896442">
        <w:rPr>
          <w:rFonts w:ascii="Times New Roman" w:hAnsi="Times New Roman" w:cs="Times New Roman"/>
          <w:sz w:val="24"/>
        </w:rPr>
        <w:t>are reportable biosecurity incidents, the type of information and how the information is to be provided</w:t>
      </w:r>
      <w:r w:rsidR="002F11AB" w:rsidRPr="00896442">
        <w:rPr>
          <w:rFonts w:ascii="Times New Roman" w:hAnsi="Times New Roman" w:cs="Times New Roman"/>
          <w:sz w:val="24"/>
        </w:rPr>
        <w:t xml:space="preserve"> in relation to</w:t>
      </w:r>
      <w:r w:rsidR="002910C7" w:rsidRPr="00896442">
        <w:rPr>
          <w:rFonts w:ascii="Times New Roman" w:hAnsi="Times New Roman" w:cs="Times New Roman"/>
          <w:sz w:val="24"/>
        </w:rPr>
        <w:t xml:space="preserve"> an incident</w:t>
      </w:r>
      <w:r w:rsidR="002E37E7">
        <w:rPr>
          <w:rFonts w:ascii="Times New Roman" w:hAnsi="Times New Roman" w:cs="Times New Roman"/>
          <w:sz w:val="24"/>
        </w:rPr>
        <w:t>.</w:t>
      </w:r>
    </w:p>
    <w:p w14:paraId="065CE763" w14:textId="77777777" w:rsidR="00611A5C" w:rsidRPr="00896442" w:rsidRDefault="00611A5C" w:rsidP="00E275FD">
      <w:pPr>
        <w:tabs>
          <w:tab w:val="right" w:pos="9072"/>
        </w:tabs>
        <w:contextualSpacing/>
        <w:rPr>
          <w:rFonts w:ascii="Times New Roman" w:hAnsi="Times New Roman" w:cs="Times New Roman"/>
          <w:sz w:val="24"/>
        </w:rPr>
      </w:pPr>
    </w:p>
    <w:p w14:paraId="198CD95B" w14:textId="78B023A7" w:rsidR="00D62E87" w:rsidRPr="00896442" w:rsidRDefault="00611A5C" w:rsidP="00E275FD">
      <w:pPr>
        <w:tabs>
          <w:tab w:val="right" w:pos="9072"/>
        </w:tabs>
        <w:contextualSpacing/>
        <w:rPr>
          <w:rFonts w:ascii="Times New Roman" w:hAnsi="Times New Roman" w:cs="Times New Roman"/>
          <w:sz w:val="24"/>
        </w:rPr>
      </w:pPr>
      <w:r w:rsidRPr="00896442">
        <w:rPr>
          <w:rFonts w:ascii="Times New Roman" w:hAnsi="Times New Roman" w:cs="Times New Roman"/>
          <w:sz w:val="24"/>
        </w:rPr>
        <w:t xml:space="preserve">While </w:t>
      </w:r>
      <w:r w:rsidR="00193BD2" w:rsidRPr="00896442">
        <w:rPr>
          <w:rFonts w:ascii="Times New Roman" w:hAnsi="Times New Roman" w:cs="Times New Roman"/>
          <w:sz w:val="24"/>
        </w:rPr>
        <w:t xml:space="preserve">reporting such incidents has </w:t>
      </w:r>
      <w:r w:rsidR="00373DFB">
        <w:rPr>
          <w:rFonts w:ascii="Times New Roman" w:hAnsi="Times New Roman" w:cs="Times New Roman"/>
          <w:sz w:val="24"/>
        </w:rPr>
        <w:t>previously been on</w:t>
      </w:r>
      <w:r w:rsidR="00193BD2" w:rsidRPr="00896442">
        <w:rPr>
          <w:rFonts w:ascii="Times New Roman" w:hAnsi="Times New Roman" w:cs="Times New Roman"/>
          <w:sz w:val="24"/>
        </w:rPr>
        <w:t xml:space="preserve"> a voluntary basis, </w:t>
      </w:r>
      <w:r w:rsidRPr="00896442">
        <w:rPr>
          <w:rFonts w:ascii="Times New Roman" w:hAnsi="Times New Roman" w:cs="Times New Roman"/>
          <w:sz w:val="24"/>
        </w:rPr>
        <w:t xml:space="preserve">the </w:t>
      </w:r>
      <w:r w:rsidR="002910C7" w:rsidRPr="00896442">
        <w:rPr>
          <w:rFonts w:ascii="Times New Roman" w:hAnsi="Times New Roman" w:cs="Times New Roman"/>
          <w:sz w:val="24"/>
        </w:rPr>
        <w:t>Biosecurity Act</w:t>
      </w:r>
      <w:r w:rsidR="00A651EB">
        <w:rPr>
          <w:rFonts w:ascii="Times New Roman" w:hAnsi="Times New Roman" w:cs="Times New Roman"/>
          <w:sz w:val="24"/>
        </w:rPr>
        <w:t xml:space="preserve"> </w:t>
      </w:r>
      <w:r w:rsidR="00193BD2" w:rsidRPr="00896442">
        <w:rPr>
          <w:rFonts w:ascii="Times New Roman" w:hAnsi="Times New Roman" w:cs="Times New Roman"/>
          <w:sz w:val="24"/>
        </w:rPr>
        <w:t>provide</w:t>
      </w:r>
      <w:r w:rsidR="00A651EB">
        <w:rPr>
          <w:rFonts w:ascii="Times New Roman" w:hAnsi="Times New Roman" w:cs="Times New Roman"/>
          <w:sz w:val="24"/>
        </w:rPr>
        <w:t>s</w:t>
      </w:r>
      <w:r w:rsidR="002910C7" w:rsidRPr="00896442">
        <w:rPr>
          <w:rFonts w:ascii="Times New Roman" w:hAnsi="Times New Roman" w:cs="Times New Roman"/>
          <w:sz w:val="24"/>
        </w:rPr>
        <w:t xml:space="preserve"> </w:t>
      </w:r>
      <w:r w:rsidR="00AE08B1">
        <w:rPr>
          <w:rFonts w:ascii="Times New Roman" w:hAnsi="Times New Roman" w:cs="Times New Roman"/>
          <w:sz w:val="24"/>
        </w:rPr>
        <w:t>a</w:t>
      </w:r>
      <w:r w:rsidR="002910C7" w:rsidRPr="00896442">
        <w:rPr>
          <w:rFonts w:ascii="Times New Roman" w:hAnsi="Times New Roman" w:cs="Times New Roman"/>
          <w:sz w:val="24"/>
        </w:rPr>
        <w:t xml:space="preserve"> legislative </w:t>
      </w:r>
      <w:r w:rsidR="00AE08B1">
        <w:rPr>
          <w:rFonts w:ascii="Times New Roman" w:hAnsi="Times New Roman" w:cs="Times New Roman"/>
          <w:sz w:val="24"/>
        </w:rPr>
        <w:t>requirement</w:t>
      </w:r>
      <w:r w:rsidR="002910C7" w:rsidRPr="00896442">
        <w:rPr>
          <w:rFonts w:ascii="Times New Roman" w:hAnsi="Times New Roman" w:cs="Times New Roman"/>
          <w:sz w:val="24"/>
        </w:rPr>
        <w:t xml:space="preserve"> for </w:t>
      </w:r>
      <w:r w:rsidR="00193BD2" w:rsidRPr="00896442">
        <w:rPr>
          <w:rFonts w:ascii="Times New Roman" w:hAnsi="Times New Roman" w:cs="Times New Roman"/>
          <w:sz w:val="24"/>
        </w:rPr>
        <w:t xml:space="preserve">reporting. This is </w:t>
      </w:r>
      <w:r w:rsidR="002F11AB" w:rsidRPr="00896442">
        <w:rPr>
          <w:rFonts w:ascii="Times New Roman" w:hAnsi="Times New Roman" w:cs="Times New Roman"/>
          <w:sz w:val="24"/>
        </w:rPr>
        <w:t xml:space="preserve">necessary </w:t>
      </w:r>
      <w:r w:rsidR="00193BD2" w:rsidRPr="00896442">
        <w:rPr>
          <w:rFonts w:ascii="Times New Roman" w:hAnsi="Times New Roman" w:cs="Times New Roman"/>
          <w:sz w:val="24"/>
        </w:rPr>
        <w:t>to provide for the relevant information to</w:t>
      </w:r>
      <w:r w:rsidR="002F11AB" w:rsidRPr="00896442">
        <w:rPr>
          <w:rFonts w:ascii="Times New Roman" w:hAnsi="Times New Roman" w:cs="Times New Roman"/>
          <w:sz w:val="24"/>
        </w:rPr>
        <w:t xml:space="preserve"> be collected in a timely manner</w:t>
      </w:r>
      <w:r w:rsidR="0027294F" w:rsidRPr="00896442">
        <w:rPr>
          <w:rFonts w:ascii="Times New Roman" w:hAnsi="Times New Roman" w:cs="Times New Roman"/>
          <w:sz w:val="24"/>
        </w:rPr>
        <w:t xml:space="preserve"> </w:t>
      </w:r>
      <w:r w:rsidR="002F11AB" w:rsidRPr="00896442">
        <w:rPr>
          <w:rFonts w:ascii="Times New Roman" w:hAnsi="Times New Roman" w:cs="Times New Roman"/>
          <w:sz w:val="24"/>
        </w:rPr>
        <w:t>to enable the assessment of biosecurity risks associated with the incidents and</w:t>
      </w:r>
      <w:r w:rsidR="00A651EB">
        <w:rPr>
          <w:rFonts w:ascii="Times New Roman" w:hAnsi="Times New Roman" w:cs="Times New Roman"/>
          <w:sz w:val="24"/>
        </w:rPr>
        <w:t>,</w:t>
      </w:r>
      <w:r w:rsidR="002F11AB" w:rsidRPr="00896442">
        <w:rPr>
          <w:rFonts w:ascii="Times New Roman" w:hAnsi="Times New Roman" w:cs="Times New Roman"/>
          <w:sz w:val="24"/>
        </w:rPr>
        <w:t xml:space="preserve"> if required, to manage those risks to prevent disease</w:t>
      </w:r>
      <w:r w:rsidR="00A651EB">
        <w:rPr>
          <w:rFonts w:ascii="Times New Roman" w:hAnsi="Times New Roman" w:cs="Times New Roman"/>
          <w:sz w:val="24"/>
        </w:rPr>
        <w:t>s</w:t>
      </w:r>
      <w:r w:rsidR="002F11AB" w:rsidRPr="00896442">
        <w:rPr>
          <w:rFonts w:ascii="Times New Roman" w:hAnsi="Times New Roman" w:cs="Times New Roman"/>
          <w:sz w:val="24"/>
        </w:rPr>
        <w:t xml:space="preserve"> or pest</w:t>
      </w:r>
      <w:r w:rsidR="00A651EB">
        <w:rPr>
          <w:rFonts w:ascii="Times New Roman" w:hAnsi="Times New Roman" w:cs="Times New Roman"/>
          <w:sz w:val="24"/>
        </w:rPr>
        <w:t>s</w:t>
      </w:r>
      <w:r w:rsidR="002F11AB" w:rsidRPr="00896442">
        <w:rPr>
          <w:rFonts w:ascii="Times New Roman" w:hAnsi="Times New Roman" w:cs="Times New Roman"/>
          <w:sz w:val="24"/>
        </w:rPr>
        <w:t xml:space="preserve"> from entering, establishing and spreading in Australian territory.</w:t>
      </w:r>
    </w:p>
    <w:p w14:paraId="78B9024D" w14:textId="77777777" w:rsidR="0027294F" w:rsidRPr="00896442" w:rsidRDefault="0027294F" w:rsidP="00E275FD">
      <w:pPr>
        <w:tabs>
          <w:tab w:val="right" w:pos="9072"/>
        </w:tabs>
        <w:contextualSpacing/>
        <w:rPr>
          <w:rFonts w:ascii="Times New Roman" w:hAnsi="Times New Roman" w:cs="Times New Roman"/>
          <w:sz w:val="24"/>
        </w:rPr>
      </w:pPr>
    </w:p>
    <w:p w14:paraId="52559501" w14:textId="77777777" w:rsidR="00D62E87" w:rsidRPr="00896442" w:rsidRDefault="00D62E87" w:rsidP="00E275FD">
      <w:pPr>
        <w:tabs>
          <w:tab w:val="left" w:pos="1701"/>
          <w:tab w:val="right" w:pos="9072"/>
        </w:tabs>
        <w:contextualSpacing/>
        <w:rPr>
          <w:rFonts w:ascii="Times New Roman" w:hAnsi="Times New Roman" w:cs="Times New Roman"/>
          <w:sz w:val="24"/>
        </w:rPr>
      </w:pPr>
      <w:r w:rsidRPr="00896442">
        <w:rPr>
          <w:rFonts w:ascii="Times New Roman" w:hAnsi="Times New Roman" w:cs="Times New Roman"/>
          <w:b/>
          <w:sz w:val="24"/>
        </w:rPr>
        <w:t>Consultation</w:t>
      </w:r>
    </w:p>
    <w:p w14:paraId="33C506FF" w14:textId="6DDA470C" w:rsidR="00F97BF0" w:rsidRPr="00896442" w:rsidRDefault="00F97BF0" w:rsidP="00E275FD">
      <w:pPr>
        <w:keepLines/>
        <w:contextualSpacing/>
        <w:rPr>
          <w:rFonts w:ascii="Times New Roman" w:hAnsi="Times New Roman" w:cs="Times New Roman"/>
          <w:sz w:val="24"/>
        </w:rPr>
      </w:pPr>
    </w:p>
    <w:p w14:paraId="72D7E9BE" w14:textId="353E36B1" w:rsidR="00F410D6" w:rsidRPr="00896442" w:rsidRDefault="00F410D6" w:rsidP="00E275FD">
      <w:pPr>
        <w:tabs>
          <w:tab w:val="left" w:pos="8080"/>
        </w:tabs>
        <w:ind w:right="-410"/>
        <w:contextualSpacing/>
        <w:rPr>
          <w:rFonts w:ascii="Times New Roman" w:hAnsi="Times New Roman" w:cs="Times New Roman"/>
          <w:sz w:val="24"/>
        </w:rPr>
      </w:pPr>
      <w:r w:rsidRPr="00896442">
        <w:rPr>
          <w:rFonts w:ascii="Times New Roman" w:hAnsi="Times New Roman" w:cs="Times New Roman"/>
          <w:sz w:val="24"/>
        </w:rPr>
        <w:t xml:space="preserve">During the 2015–16 implementation of the </w:t>
      </w:r>
      <w:r w:rsidR="002E37E7" w:rsidRPr="002E37E7">
        <w:rPr>
          <w:rFonts w:ascii="Times New Roman" w:hAnsi="Times New Roman" w:cs="Times New Roman"/>
          <w:sz w:val="24"/>
        </w:rPr>
        <w:t>Biosecurity Act</w:t>
      </w:r>
      <w:r w:rsidRPr="00896442">
        <w:rPr>
          <w:rFonts w:ascii="Times New Roman" w:hAnsi="Times New Roman" w:cs="Times New Roman"/>
          <w:i/>
          <w:sz w:val="24"/>
        </w:rPr>
        <w:t>,</w:t>
      </w:r>
      <w:r w:rsidRPr="00896442">
        <w:rPr>
          <w:rFonts w:ascii="Times New Roman" w:hAnsi="Times New Roman" w:cs="Times New Roman"/>
          <w:sz w:val="24"/>
        </w:rPr>
        <w:t xml:space="preserve"> the </w:t>
      </w:r>
      <w:r w:rsidR="00C22C69" w:rsidRPr="00896442">
        <w:rPr>
          <w:rFonts w:ascii="Times New Roman" w:hAnsi="Times New Roman" w:cs="Times New Roman"/>
          <w:sz w:val="24"/>
        </w:rPr>
        <w:t>Department of Agric</w:t>
      </w:r>
      <w:r w:rsidR="001E6011">
        <w:rPr>
          <w:rFonts w:ascii="Times New Roman" w:hAnsi="Times New Roman" w:cs="Times New Roman"/>
          <w:sz w:val="24"/>
        </w:rPr>
        <w:t>ulture and Water Resources</w:t>
      </w:r>
      <w:r w:rsidRPr="00896442">
        <w:rPr>
          <w:rFonts w:ascii="Times New Roman" w:hAnsi="Times New Roman" w:cs="Times New Roman"/>
          <w:sz w:val="24"/>
        </w:rPr>
        <w:t xml:space="preserve"> actively raised awareness among clients, stakeholders and the general public that new </w:t>
      </w:r>
      <w:r w:rsidR="00396078" w:rsidRPr="00896442">
        <w:rPr>
          <w:rFonts w:ascii="Times New Roman" w:hAnsi="Times New Roman" w:cs="Times New Roman"/>
          <w:sz w:val="24"/>
        </w:rPr>
        <w:t xml:space="preserve">legislation </w:t>
      </w:r>
      <w:r w:rsidR="00345A45" w:rsidRPr="00896442">
        <w:rPr>
          <w:rFonts w:ascii="Times New Roman" w:hAnsi="Times New Roman" w:cs="Times New Roman"/>
          <w:sz w:val="24"/>
        </w:rPr>
        <w:t>commence</w:t>
      </w:r>
      <w:r w:rsidR="00550F53">
        <w:rPr>
          <w:rFonts w:ascii="Times New Roman" w:hAnsi="Times New Roman" w:cs="Times New Roman"/>
          <w:sz w:val="24"/>
        </w:rPr>
        <w:t>d</w:t>
      </w:r>
      <w:r w:rsidRPr="00896442">
        <w:rPr>
          <w:rFonts w:ascii="Times New Roman" w:hAnsi="Times New Roman" w:cs="Times New Roman"/>
          <w:sz w:val="24"/>
        </w:rPr>
        <w:t xml:space="preserve"> on 16 June 2016.</w:t>
      </w:r>
    </w:p>
    <w:p w14:paraId="602F195B" w14:textId="77777777" w:rsidR="00F410D6" w:rsidRPr="00896442" w:rsidRDefault="00F410D6" w:rsidP="00E275FD">
      <w:pPr>
        <w:tabs>
          <w:tab w:val="left" w:pos="8080"/>
        </w:tabs>
        <w:ind w:right="-410"/>
        <w:contextualSpacing/>
        <w:rPr>
          <w:rFonts w:ascii="Times New Roman" w:hAnsi="Times New Roman" w:cs="Times New Roman"/>
          <w:sz w:val="24"/>
        </w:rPr>
      </w:pPr>
    </w:p>
    <w:p w14:paraId="1BDB107E" w14:textId="60AC991D" w:rsidR="00345A45" w:rsidRPr="00896442" w:rsidRDefault="00F410D6"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The department provided extensive opportunities for clients and stakeholders to be</w:t>
      </w:r>
      <w:r w:rsidR="00345A45" w:rsidRPr="00896442">
        <w:rPr>
          <w:rFonts w:ascii="Times New Roman" w:hAnsi="Times New Roman" w:cs="Times New Roman"/>
          <w:sz w:val="24"/>
        </w:rPr>
        <w:t>come</w:t>
      </w:r>
      <w:r w:rsidRPr="00896442">
        <w:rPr>
          <w:rFonts w:ascii="Times New Roman" w:hAnsi="Times New Roman" w:cs="Times New Roman"/>
          <w:sz w:val="24"/>
        </w:rPr>
        <w:t xml:space="preserve"> informed about the changes to the</w:t>
      </w:r>
      <w:r w:rsidR="00442678" w:rsidRPr="00896442">
        <w:rPr>
          <w:rFonts w:ascii="Times New Roman" w:hAnsi="Times New Roman" w:cs="Times New Roman"/>
          <w:sz w:val="24"/>
        </w:rPr>
        <w:t xml:space="preserve"> legislative framework so that</w:t>
      </w:r>
      <w:r w:rsidR="00345A45" w:rsidRPr="00896442">
        <w:rPr>
          <w:rFonts w:ascii="Times New Roman" w:hAnsi="Times New Roman" w:cs="Times New Roman"/>
          <w:sz w:val="24"/>
        </w:rPr>
        <w:t xml:space="preserve"> they understood</w:t>
      </w:r>
      <w:r w:rsidRPr="00896442">
        <w:rPr>
          <w:rFonts w:ascii="Times New Roman" w:hAnsi="Times New Roman" w:cs="Times New Roman"/>
          <w:sz w:val="24"/>
        </w:rPr>
        <w:t xml:space="preserve"> their obligation</w:t>
      </w:r>
      <w:r w:rsidR="00345A45" w:rsidRPr="00896442">
        <w:rPr>
          <w:rFonts w:ascii="Times New Roman" w:hAnsi="Times New Roman" w:cs="Times New Roman"/>
          <w:sz w:val="24"/>
        </w:rPr>
        <w:t>s</w:t>
      </w:r>
      <w:r w:rsidR="00396078" w:rsidRPr="00896442">
        <w:rPr>
          <w:rFonts w:ascii="Times New Roman" w:hAnsi="Times New Roman" w:cs="Times New Roman"/>
          <w:sz w:val="24"/>
        </w:rPr>
        <w:t xml:space="preserve"> and the implications of the</w:t>
      </w:r>
      <w:r w:rsidRPr="00896442">
        <w:rPr>
          <w:rFonts w:ascii="Times New Roman" w:hAnsi="Times New Roman" w:cs="Times New Roman"/>
          <w:sz w:val="24"/>
        </w:rPr>
        <w:t xml:space="preserve"> changes on their business. Stakeholders and clients were consulted and engaged throughout the development of the draft delegated legislation, and were e</w:t>
      </w:r>
      <w:r w:rsidR="00396078" w:rsidRPr="00896442">
        <w:rPr>
          <w:rFonts w:ascii="Times New Roman" w:hAnsi="Times New Roman" w:cs="Times New Roman"/>
          <w:sz w:val="24"/>
        </w:rPr>
        <w:t xml:space="preserve">ncouraged to provide feedback. </w:t>
      </w:r>
      <w:r w:rsidRPr="00896442">
        <w:rPr>
          <w:rFonts w:ascii="Times New Roman" w:hAnsi="Times New Roman" w:cs="Times New Roman"/>
          <w:sz w:val="24"/>
        </w:rPr>
        <w:t xml:space="preserve">Fact sheets supporting the release of draft </w:t>
      </w:r>
      <w:r w:rsidR="002E37E7">
        <w:rPr>
          <w:rFonts w:ascii="Times New Roman" w:hAnsi="Times New Roman" w:cs="Times New Roman"/>
          <w:sz w:val="24"/>
        </w:rPr>
        <w:t>delegated legislation</w:t>
      </w:r>
      <w:r w:rsidRPr="00896442">
        <w:rPr>
          <w:rFonts w:ascii="Times New Roman" w:hAnsi="Times New Roman" w:cs="Times New Roman"/>
          <w:sz w:val="24"/>
        </w:rPr>
        <w:t xml:space="preserve"> for public consultation were available on the department’s website, and were distributed to stakeholders to provide additional clarity.</w:t>
      </w:r>
    </w:p>
    <w:p w14:paraId="2FE77523" w14:textId="77777777" w:rsidR="00345A45" w:rsidRPr="00896442" w:rsidRDefault="00345A45" w:rsidP="00E275FD">
      <w:pPr>
        <w:suppressAutoHyphens/>
        <w:autoSpaceDN w:val="0"/>
        <w:contextualSpacing/>
        <w:textAlignment w:val="baseline"/>
        <w:rPr>
          <w:rFonts w:ascii="Times New Roman" w:hAnsi="Times New Roman" w:cs="Times New Roman"/>
          <w:sz w:val="24"/>
        </w:rPr>
      </w:pPr>
    </w:p>
    <w:p w14:paraId="09EC914D" w14:textId="31B0D56C" w:rsidR="00F410D6" w:rsidRPr="00896442" w:rsidRDefault="001D5FAD" w:rsidP="00E275FD">
      <w:pPr>
        <w:suppressAutoHyphens/>
        <w:autoSpaceDN w:val="0"/>
        <w:contextualSpacing/>
        <w:textAlignment w:val="baseline"/>
        <w:rPr>
          <w:rFonts w:ascii="Times New Roman" w:hAnsi="Times New Roman" w:cs="Times New Roman"/>
          <w:sz w:val="24"/>
        </w:rPr>
      </w:pPr>
      <w:r>
        <w:rPr>
          <w:rFonts w:ascii="Times New Roman" w:hAnsi="Times New Roman" w:cs="Times New Roman"/>
          <w:sz w:val="24"/>
        </w:rPr>
        <w:t>This Determination was released for</w:t>
      </w:r>
      <w:r w:rsidR="00345A45" w:rsidRPr="00896442">
        <w:rPr>
          <w:rFonts w:ascii="Times New Roman" w:hAnsi="Times New Roman" w:cs="Times New Roman"/>
          <w:sz w:val="24"/>
        </w:rPr>
        <w:t xml:space="preserve"> 60-day consulta</w:t>
      </w:r>
      <w:r>
        <w:rPr>
          <w:rFonts w:ascii="Times New Roman" w:hAnsi="Times New Roman" w:cs="Times New Roman"/>
          <w:sz w:val="24"/>
        </w:rPr>
        <w:t>tion period</w:t>
      </w:r>
      <w:r w:rsidR="00345A45" w:rsidRPr="00896442">
        <w:rPr>
          <w:rFonts w:ascii="Times New Roman" w:hAnsi="Times New Roman" w:cs="Times New Roman"/>
          <w:sz w:val="24"/>
        </w:rPr>
        <w:t>. The 60-day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538EF743" w14:textId="77777777" w:rsidR="00F410D6" w:rsidRPr="00896442" w:rsidRDefault="00F410D6" w:rsidP="00E275FD">
      <w:pPr>
        <w:suppressAutoHyphens/>
        <w:autoSpaceDN w:val="0"/>
        <w:contextualSpacing/>
        <w:textAlignment w:val="baseline"/>
        <w:rPr>
          <w:rFonts w:ascii="Times New Roman" w:hAnsi="Times New Roman" w:cs="Times New Roman"/>
          <w:sz w:val="24"/>
        </w:rPr>
      </w:pPr>
    </w:p>
    <w:p w14:paraId="2EB09956" w14:textId="77777777" w:rsidR="00F410D6" w:rsidRPr="00896442" w:rsidRDefault="00F410D6"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The department used a multi-faceted engagement approach, including:</w:t>
      </w:r>
    </w:p>
    <w:p w14:paraId="47F74378" w14:textId="1436C38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t</w:t>
      </w:r>
      <w:r w:rsidR="00F410D6" w:rsidRPr="00896442">
        <w:rPr>
          <w:rFonts w:ascii="Times New Roman" w:hAnsi="Times New Roman" w:cs="Times New Roman"/>
          <w:sz w:val="24"/>
        </w:rPr>
        <w:t xml:space="preserve">argeted and voluntary engagement </w:t>
      </w:r>
    </w:p>
    <w:p w14:paraId="73E43A84" w14:textId="1F36E0F8"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f</w:t>
      </w:r>
      <w:r w:rsidR="00F410D6" w:rsidRPr="00896442">
        <w:rPr>
          <w:rFonts w:ascii="Times New Roman" w:hAnsi="Times New Roman" w:cs="Times New Roman"/>
          <w:sz w:val="24"/>
        </w:rPr>
        <w:t>orums</w:t>
      </w:r>
    </w:p>
    <w:p w14:paraId="15A5D7B0" w14:textId="0D5AC3FA"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w</w:t>
      </w:r>
      <w:r w:rsidR="00F410D6" w:rsidRPr="00896442">
        <w:rPr>
          <w:rFonts w:ascii="Times New Roman" w:hAnsi="Times New Roman" w:cs="Times New Roman"/>
          <w:sz w:val="24"/>
        </w:rPr>
        <w:t>orkshops</w:t>
      </w:r>
    </w:p>
    <w:p w14:paraId="165026A0" w14:textId="67FE86D8"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nformation sessions</w:t>
      </w:r>
    </w:p>
    <w:p w14:paraId="1BE677A2" w14:textId="3B02B1B7"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ndustry notifications</w:t>
      </w:r>
    </w:p>
    <w:p w14:paraId="73883B78" w14:textId="549ABA71"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m</w:t>
      </w:r>
      <w:r w:rsidR="00F410D6" w:rsidRPr="00896442">
        <w:rPr>
          <w:rFonts w:ascii="Times New Roman" w:hAnsi="Times New Roman" w:cs="Times New Roman"/>
          <w:sz w:val="24"/>
        </w:rPr>
        <w:t>edia releases</w:t>
      </w:r>
    </w:p>
    <w:p w14:paraId="4C5E5E95" w14:textId="516198C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i</w:t>
      </w:r>
      <w:r w:rsidR="00F410D6" w:rsidRPr="00896442">
        <w:rPr>
          <w:rFonts w:ascii="Times New Roman" w:hAnsi="Times New Roman" w:cs="Times New Roman"/>
          <w:sz w:val="24"/>
        </w:rPr>
        <w:t>ndustry eLearning</w:t>
      </w:r>
    </w:p>
    <w:p w14:paraId="5B5F5ADC" w14:textId="526C73C6" w:rsidR="00F410D6" w:rsidRPr="00896442" w:rsidRDefault="00396078" w:rsidP="00E275FD">
      <w:pPr>
        <w:pStyle w:val="ListParagraph"/>
        <w:numPr>
          <w:ilvl w:val="0"/>
          <w:numId w:val="23"/>
        </w:numPr>
        <w:suppressAutoHyphens/>
        <w:autoSpaceDN w:val="0"/>
        <w:textAlignment w:val="baseline"/>
        <w:rPr>
          <w:rFonts w:ascii="Times New Roman" w:hAnsi="Times New Roman" w:cs="Times New Roman"/>
          <w:sz w:val="24"/>
        </w:rPr>
      </w:pPr>
      <w:r w:rsidRPr="00896442">
        <w:rPr>
          <w:rFonts w:ascii="Times New Roman" w:hAnsi="Times New Roman" w:cs="Times New Roman"/>
          <w:sz w:val="24"/>
        </w:rPr>
        <w:t>f</w:t>
      </w:r>
      <w:r w:rsidR="00F410D6" w:rsidRPr="00896442">
        <w:rPr>
          <w:rFonts w:ascii="Times New Roman" w:hAnsi="Times New Roman" w:cs="Times New Roman"/>
          <w:sz w:val="24"/>
        </w:rPr>
        <w:t>act</w:t>
      </w:r>
      <w:r w:rsidR="002E37E7">
        <w:rPr>
          <w:rFonts w:ascii="Times New Roman" w:hAnsi="Times New Roman" w:cs="Times New Roman"/>
          <w:sz w:val="24"/>
        </w:rPr>
        <w:t xml:space="preserve"> </w:t>
      </w:r>
      <w:r w:rsidR="00F410D6" w:rsidRPr="00896442">
        <w:rPr>
          <w:rFonts w:ascii="Times New Roman" w:hAnsi="Times New Roman" w:cs="Times New Roman"/>
          <w:sz w:val="24"/>
        </w:rPr>
        <w:t>sheets</w:t>
      </w:r>
      <w:r w:rsidRPr="00896442">
        <w:rPr>
          <w:rFonts w:ascii="Times New Roman" w:hAnsi="Times New Roman" w:cs="Times New Roman"/>
          <w:sz w:val="24"/>
        </w:rPr>
        <w:t>.</w:t>
      </w:r>
    </w:p>
    <w:p w14:paraId="742D96DD" w14:textId="77777777" w:rsidR="00F410D6" w:rsidRPr="00896442" w:rsidRDefault="00F410D6" w:rsidP="00E275FD">
      <w:pPr>
        <w:suppressAutoHyphens/>
        <w:autoSpaceDN w:val="0"/>
        <w:contextualSpacing/>
        <w:textAlignment w:val="baseline"/>
        <w:rPr>
          <w:rFonts w:ascii="Times New Roman" w:hAnsi="Times New Roman" w:cs="Times New Roman"/>
          <w:sz w:val="24"/>
        </w:rPr>
      </w:pPr>
    </w:p>
    <w:p w14:paraId="4C20E70E" w14:textId="23D7B328"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 xml:space="preserve">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w:t>
      </w:r>
      <w:r w:rsidRPr="00896442">
        <w:rPr>
          <w:rFonts w:ascii="Times New Roman" w:hAnsi="Times New Roman" w:cs="Times New Roman"/>
          <w:sz w:val="24"/>
        </w:rPr>
        <w:lastRenderedPageBreak/>
        <w:t>attended by approximately 30 representatives from a range of peak industry bodies including shipping, ports, petroleum, airlines, airports, freight, cargo, science, food and beverage, and animal health.</w:t>
      </w:r>
    </w:p>
    <w:p w14:paraId="254CF468" w14:textId="77777777" w:rsidR="00396078" w:rsidRPr="00896442" w:rsidRDefault="00396078" w:rsidP="00E275FD">
      <w:pPr>
        <w:suppressAutoHyphens/>
        <w:autoSpaceDN w:val="0"/>
        <w:contextualSpacing/>
        <w:textAlignment w:val="baseline"/>
        <w:rPr>
          <w:rFonts w:ascii="Times New Roman" w:hAnsi="Times New Roman" w:cs="Times New Roman"/>
          <w:sz w:val="24"/>
        </w:rPr>
      </w:pPr>
    </w:p>
    <w:p w14:paraId="1448F7FA" w14:textId="101DF315"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 xml:space="preserve">The Biosecurity Legislation Industry roadshow travelled to eight major city regions in Australia between 14 March and 6 April 2016. Each session provided participants with an overview of the new legislation and explained how the </w:t>
      </w:r>
      <w:r w:rsidR="002C7797" w:rsidRPr="00896442">
        <w:rPr>
          <w:rFonts w:ascii="Times New Roman" w:hAnsi="Times New Roman" w:cs="Times New Roman"/>
          <w:sz w:val="24"/>
        </w:rPr>
        <w:t xml:space="preserve">Biosecurity Act </w:t>
      </w:r>
      <w:r w:rsidRPr="00896442">
        <w:rPr>
          <w:rFonts w:ascii="Times New Roman" w:hAnsi="Times New Roman" w:cs="Times New Roman"/>
          <w:sz w:val="24"/>
        </w:rPr>
        <w:t>and the delegated legislation may affect industry in different regions. The sessions were attended by approximately 700 representatives overall from shipping, ports, petroleum, airlines, airports, freight, cargo, research, education, science, plant and animal health and state, terri</w:t>
      </w:r>
      <w:r w:rsidR="00E77760" w:rsidRPr="00896442">
        <w:rPr>
          <w:rFonts w:ascii="Times New Roman" w:hAnsi="Times New Roman" w:cs="Times New Roman"/>
          <w:sz w:val="24"/>
        </w:rPr>
        <w:t>tory and federal governments</w:t>
      </w:r>
      <w:r w:rsidR="00F007BD" w:rsidRPr="00896442">
        <w:rPr>
          <w:rFonts w:ascii="Times New Roman" w:hAnsi="Times New Roman" w:cs="Times New Roman"/>
          <w:sz w:val="24"/>
        </w:rPr>
        <w:t xml:space="preserve">. </w:t>
      </w:r>
      <w:r w:rsidRPr="00896442">
        <w:rPr>
          <w:rFonts w:ascii="Times New Roman" w:hAnsi="Times New Roman" w:cs="Times New Roman"/>
          <w:sz w:val="24"/>
        </w:rPr>
        <w:t>Invitations were sent via the department’s subscription lists and also to members of consultative committees encouraging them to share with their members.</w:t>
      </w:r>
    </w:p>
    <w:p w14:paraId="4E5DDC27" w14:textId="77777777" w:rsidR="00396078" w:rsidRPr="00896442" w:rsidRDefault="00396078" w:rsidP="00E275FD">
      <w:pPr>
        <w:suppressAutoHyphens/>
        <w:autoSpaceDN w:val="0"/>
        <w:contextualSpacing/>
        <w:textAlignment w:val="baseline"/>
        <w:rPr>
          <w:rFonts w:ascii="Times New Roman" w:hAnsi="Times New Roman" w:cs="Times New Roman"/>
          <w:sz w:val="24"/>
        </w:rPr>
      </w:pPr>
    </w:p>
    <w:p w14:paraId="070BA214" w14:textId="33C8168E" w:rsidR="00396078" w:rsidRPr="00896442" w:rsidRDefault="00396078" w:rsidP="00E275FD">
      <w:pPr>
        <w:suppressAutoHyphens/>
        <w:autoSpaceDN w:val="0"/>
        <w:contextualSpacing/>
        <w:textAlignment w:val="baseline"/>
        <w:rPr>
          <w:rFonts w:ascii="Times New Roman" w:hAnsi="Times New Roman" w:cs="Times New Roman"/>
          <w:sz w:val="24"/>
        </w:rPr>
      </w:pPr>
      <w:r w:rsidRPr="00896442">
        <w:rPr>
          <w:rFonts w:ascii="Times New Roman" w:hAnsi="Times New Roman" w:cs="Times New Roman"/>
          <w:sz w:val="24"/>
        </w:rPr>
        <w:t>During 2015–16</w:t>
      </w:r>
      <w:r w:rsidR="002E37E7">
        <w:rPr>
          <w:rFonts w:ascii="Times New Roman" w:hAnsi="Times New Roman" w:cs="Times New Roman"/>
          <w:sz w:val="24"/>
        </w:rPr>
        <w:t>,</w:t>
      </w:r>
      <w:r w:rsidRPr="00896442">
        <w:rPr>
          <w:rFonts w:ascii="Times New Roman" w:hAnsi="Times New Roman" w:cs="Times New Roman"/>
          <w:sz w:val="24"/>
        </w:rPr>
        <w:t xml:space="preserve"> the department also held me</w:t>
      </w:r>
      <w:r w:rsidR="002E37E7">
        <w:rPr>
          <w:rFonts w:ascii="Times New Roman" w:hAnsi="Times New Roman" w:cs="Times New Roman"/>
          <w:sz w:val="24"/>
        </w:rPr>
        <w:t xml:space="preserve">etings and workshops with state and </w:t>
      </w:r>
      <w:r w:rsidRPr="00896442">
        <w:rPr>
          <w:rFonts w:ascii="Times New Roman" w:hAnsi="Times New Roman" w:cs="Times New Roman"/>
          <w:sz w:val="24"/>
        </w:rPr>
        <w:t xml:space="preserve">territory governments, other government agencies (including the Department of Health, Department of Defence and the Department of Immigration and Border Protection), as well as with consultative committees, and environmental groups. Letters were sent to government agencies that the department had not already directly engaged with </w:t>
      </w:r>
      <w:r w:rsidR="002E37E7">
        <w:rPr>
          <w:rFonts w:ascii="Times New Roman" w:hAnsi="Times New Roman" w:cs="Times New Roman"/>
          <w:sz w:val="24"/>
        </w:rPr>
        <w:t>to advise that draft delegated legislation</w:t>
      </w:r>
      <w:r w:rsidRPr="00896442">
        <w:rPr>
          <w:rFonts w:ascii="Times New Roman" w:hAnsi="Times New Roman" w:cs="Times New Roman"/>
          <w:sz w:val="24"/>
        </w:rPr>
        <w:t xml:space="preserve"> had been released for public comment and </w:t>
      </w:r>
      <w:r w:rsidR="00E77760" w:rsidRPr="00896442">
        <w:rPr>
          <w:rFonts w:ascii="Times New Roman" w:hAnsi="Times New Roman" w:cs="Times New Roman"/>
          <w:sz w:val="24"/>
        </w:rPr>
        <w:t>to encourage them to</w:t>
      </w:r>
      <w:r w:rsidRPr="00896442">
        <w:rPr>
          <w:rFonts w:ascii="Times New Roman" w:hAnsi="Times New Roman" w:cs="Times New Roman"/>
          <w:sz w:val="24"/>
        </w:rPr>
        <w:t xml:space="preserve"> make a submission. Regular biosecurity legislation update notifications were distributed to subscribers across five of the department’s subscription lists. International trading partners were also notified via the World Trade Organization Sanitary </w:t>
      </w:r>
      <w:r w:rsidR="002E37E7">
        <w:rPr>
          <w:rFonts w:ascii="Times New Roman" w:hAnsi="Times New Roman" w:cs="Times New Roman"/>
          <w:sz w:val="24"/>
        </w:rPr>
        <w:t>and Phytosanitary notification.</w:t>
      </w:r>
    </w:p>
    <w:p w14:paraId="24AC837B" w14:textId="77777777" w:rsidR="00396078" w:rsidRPr="00896442" w:rsidRDefault="00396078" w:rsidP="00E275FD">
      <w:pPr>
        <w:contextualSpacing/>
        <w:rPr>
          <w:rFonts w:ascii="Times New Roman" w:hAnsi="Times New Roman" w:cs="Times New Roman"/>
          <w:sz w:val="24"/>
          <w:lang w:eastAsia="ja-JP"/>
        </w:rPr>
      </w:pPr>
    </w:p>
    <w:p w14:paraId="7E7A934E" w14:textId="4F36B28C" w:rsidR="00396078" w:rsidRPr="00896442" w:rsidRDefault="00396078" w:rsidP="00E275FD">
      <w:pPr>
        <w:contextualSpacing/>
        <w:rPr>
          <w:rFonts w:ascii="Times New Roman" w:hAnsi="Times New Roman" w:cs="Times New Roman"/>
          <w:color w:val="000000" w:themeColor="text1"/>
          <w:sz w:val="24"/>
        </w:rPr>
      </w:pPr>
      <w:r w:rsidRPr="00896442">
        <w:rPr>
          <w:rFonts w:ascii="Times New Roman" w:hAnsi="Times New Roman" w:cs="Times New Roman"/>
          <w:color w:val="000000" w:themeColor="text1"/>
          <w:sz w:val="24"/>
        </w:rPr>
        <w:t>The d</w:t>
      </w:r>
      <w:r w:rsidR="009362C5">
        <w:rPr>
          <w:rFonts w:ascii="Times New Roman" w:hAnsi="Times New Roman" w:cs="Times New Roman"/>
          <w:color w:val="000000" w:themeColor="text1"/>
          <w:sz w:val="24"/>
        </w:rPr>
        <w:t>epartment received four submissions in relation to this Determination during its release</w:t>
      </w:r>
      <w:r w:rsidRPr="00896442">
        <w:rPr>
          <w:rFonts w:ascii="Times New Roman" w:hAnsi="Times New Roman" w:cs="Times New Roman"/>
          <w:color w:val="000000" w:themeColor="text1"/>
          <w:sz w:val="24"/>
        </w:rPr>
        <w:t xml:space="preserve"> for public consultation.</w:t>
      </w:r>
      <w:r w:rsidR="00667DE9" w:rsidRPr="00896442">
        <w:rPr>
          <w:rFonts w:ascii="Times New Roman" w:hAnsi="Times New Roman" w:cs="Times New Roman"/>
          <w:color w:val="000000" w:themeColor="text1"/>
          <w:sz w:val="24"/>
        </w:rPr>
        <w:t xml:space="preserve"> </w:t>
      </w:r>
      <w:r w:rsidRPr="00896442">
        <w:rPr>
          <w:rFonts w:ascii="Times New Roman" w:hAnsi="Times New Roman" w:cs="Times New Roman"/>
          <w:color w:val="000000" w:themeColor="text1"/>
          <w:sz w:val="24"/>
        </w:rPr>
        <w:t xml:space="preserve">Submissions were received from </w:t>
      </w:r>
      <w:r w:rsidR="009362C5" w:rsidRPr="009362C5">
        <w:rPr>
          <w:rFonts w:ascii="Times New Roman" w:hAnsi="Times New Roman" w:cs="Times New Roman"/>
          <w:sz w:val="24"/>
        </w:rPr>
        <w:t>freight, shipping, government and research sectors</w:t>
      </w:r>
      <w:r w:rsidRPr="00896442">
        <w:rPr>
          <w:rFonts w:ascii="Times New Roman" w:hAnsi="Times New Roman" w:cs="Times New Roman"/>
          <w:color w:val="000000" w:themeColor="text1"/>
          <w:sz w:val="24"/>
        </w:rPr>
        <w:t>.</w:t>
      </w:r>
    </w:p>
    <w:p w14:paraId="5696911F" w14:textId="77777777" w:rsidR="00667DE9" w:rsidRPr="00896442" w:rsidRDefault="00667DE9" w:rsidP="00E275FD">
      <w:pPr>
        <w:contextualSpacing/>
        <w:rPr>
          <w:rFonts w:ascii="Times New Roman" w:hAnsi="Times New Roman" w:cs="Times New Roman"/>
          <w:color w:val="000000" w:themeColor="text1"/>
          <w:sz w:val="24"/>
        </w:rPr>
      </w:pPr>
    </w:p>
    <w:p w14:paraId="3F722181" w14:textId="680324C0" w:rsidR="00396078" w:rsidRPr="00896442" w:rsidRDefault="00396078" w:rsidP="00E275FD">
      <w:pPr>
        <w:keepLines/>
        <w:contextualSpacing/>
        <w:rPr>
          <w:rFonts w:ascii="Times New Roman" w:hAnsi="Times New Roman" w:cs="Times New Roman"/>
          <w:sz w:val="24"/>
        </w:rPr>
      </w:pPr>
      <w:r w:rsidRPr="00896442">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14:paraId="102EEA1C" w14:textId="77777777" w:rsidR="00F410D6" w:rsidRPr="00896442" w:rsidRDefault="00F410D6" w:rsidP="00E275FD">
      <w:pPr>
        <w:keepLines/>
        <w:contextualSpacing/>
        <w:rPr>
          <w:rFonts w:ascii="Times New Roman" w:hAnsi="Times New Roman" w:cs="Times New Roman"/>
          <w:sz w:val="24"/>
        </w:rPr>
      </w:pPr>
    </w:p>
    <w:p w14:paraId="204BB231" w14:textId="66CC6D6D" w:rsidR="007C76FA" w:rsidRPr="00896442" w:rsidRDefault="007C76FA" w:rsidP="00E275FD">
      <w:pPr>
        <w:keepLines/>
        <w:contextualSpacing/>
        <w:rPr>
          <w:rFonts w:ascii="Times New Roman" w:hAnsi="Times New Roman" w:cs="Times New Roman"/>
          <w:sz w:val="24"/>
        </w:rPr>
      </w:pPr>
      <w:r w:rsidRPr="00896442">
        <w:rPr>
          <w:rFonts w:ascii="Times New Roman" w:hAnsi="Times New Roman" w:cs="Times New Roman"/>
          <w:sz w:val="24"/>
        </w:rPr>
        <w:t>The Office of Best Practice Regulation (OBPR) was consulted in t</w:t>
      </w:r>
      <w:r w:rsidR="00982785">
        <w:rPr>
          <w:rFonts w:ascii="Times New Roman" w:hAnsi="Times New Roman" w:cs="Times New Roman"/>
          <w:sz w:val="24"/>
        </w:rPr>
        <w:t>he preparation of the Regulation</w:t>
      </w:r>
      <w:r w:rsidRPr="00896442">
        <w:rPr>
          <w:rFonts w:ascii="Times New Roman" w:hAnsi="Times New Roman" w:cs="Times New Roman"/>
          <w:sz w:val="24"/>
        </w:rPr>
        <w:t xml:space="preserve"> Impact Statement </w:t>
      </w:r>
      <w:r w:rsidR="00BE3A6D" w:rsidRPr="00896442">
        <w:rPr>
          <w:rFonts w:ascii="Times New Roman" w:hAnsi="Times New Roman" w:cs="Times New Roman"/>
          <w:sz w:val="24"/>
        </w:rPr>
        <w:t xml:space="preserve">(RIS) </w:t>
      </w:r>
      <w:r w:rsidRPr="00896442">
        <w:rPr>
          <w:rFonts w:ascii="Times New Roman" w:hAnsi="Times New Roman" w:cs="Times New Roman"/>
          <w:sz w:val="24"/>
        </w:rPr>
        <w:t xml:space="preserve">for </w:t>
      </w:r>
      <w:r w:rsidR="00BA7B96" w:rsidRPr="00896442">
        <w:rPr>
          <w:rFonts w:ascii="Times New Roman" w:hAnsi="Times New Roman" w:cs="Times New Roman"/>
          <w:sz w:val="24"/>
        </w:rPr>
        <w:t xml:space="preserve">the </w:t>
      </w:r>
      <w:r w:rsidR="00F007BD" w:rsidRPr="00896442">
        <w:rPr>
          <w:rFonts w:ascii="Times New Roman" w:hAnsi="Times New Roman" w:cs="Times New Roman"/>
          <w:sz w:val="24"/>
        </w:rPr>
        <w:t>Biosecurity Bill 2014</w:t>
      </w:r>
      <w:r w:rsidR="00674E63" w:rsidRPr="00896442">
        <w:rPr>
          <w:rFonts w:ascii="Times New Roman" w:hAnsi="Times New Roman" w:cs="Times New Roman"/>
          <w:sz w:val="24"/>
        </w:rPr>
        <w:t xml:space="preserve"> (ID: 16609)</w:t>
      </w:r>
      <w:r w:rsidRPr="00896442">
        <w:rPr>
          <w:rFonts w:ascii="Times New Roman" w:hAnsi="Times New Roman" w:cs="Times New Roman"/>
          <w:sz w:val="24"/>
        </w:rPr>
        <w:t xml:space="preserve">. </w:t>
      </w:r>
      <w:r w:rsidR="00BE3A6D" w:rsidRPr="00896442">
        <w:rPr>
          <w:rFonts w:ascii="Times New Roman" w:hAnsi="Times New Roman" w:cs="Times New Roman"/>
          <w:sz w:val="24"/>
        </w:rPr>
        <w:t xml:space="preserve">The OBPR advised </w:t>
      </w:r>
      <w:r w:rsidR="001D5C56" w:rsidRPr="00896442">
        <w:rPr>
          <w:rFonts w:ascii="Times New Roman" w:hAnsi="Times New Roman" w:cs="Times New Roman"/>
          <w:sz w:val="24"/>
        </w:rPr>
        <w:t>on 31 March 2016 that a further</w:t>
      </w:r>
      <w:r w:rsidR="00BE3A6D" w:rsidRPr="00896442">
        <w:rPr>
          <w:rFonts w:ascii="Times New Roman" w:hAnsi="Times New Roman" w:cs="Times New Roman"/>
          <w:sz w:val="24"/>
        </w:rPr>
        <w:t xml:space="preserve"> RIS is </w:t>
      </w:r>
      <w:r w:rsidR="001D5C56" w:rsidRPr="00896442">
        <w:rPr>
          <w:rFonts w:ascii="Times New Roman" w:hAnsi="Times New Roman" w:cs="Times New Roman"/>
          <w:sz w:val="24"/>
        </w:rPr>
        <w:t xml:space="preserve">not </w:t>
      </w:r>
      <w:r w:rsidR="00BE3A6D" w:rsidRPr="00896442">
        <w:rPr>
          <w:rFonts w:ascii="Times New Roman" w:hAnsi="Times New Roman" w:cs="Times New Roman"/>
          <w:sz w:val="24"/>
        </w:rPr>
        <w:t>required</w:t>
      </w:r>
      <w:r w:rsidR="009447A0">
        <w:rPr>
          <w:rFonts w:ascii="Times New Roman" w:hAnsi="Times New Roman" w:cs="Times New Roman"/>
          <w:sz w:val="24"/>
        </w:rPr>
        <w:t xml:space="preserve"> for the purpose</w:t>
      </w:r>
      <w:r w:rsidR="00981746">
        <w:rPr>
          <w:rFonts w:ascii="Times New Roman" w:hAnsi="Times New Roman" w:cs="Times New Roman"/>
          <w:sz w:val="24"/>
        </w:rPr>
        <w:t>s</w:t>
      </w:r>
      <w:r w:rsidR="009447A0">
        <w:rPr>
          <w:rFonts w:ascii="Times New Roman" w:hAnsi="Times New Roman" w:cs="Times New Roman"/>
          <w:sz w:val="24"/>
        </w:rPr>
        <w:t xml:space="preserve"> of Biosecurity delegated legislation</w:t>
      </w:r>
      <w:r w:rsidR="00BE3A6D" w:rsidRPr="00896442">
        <w:rPr>
          <w:rFonts w:ascii="Times New Roman" w:hAnsi="Times New Roman" w:cs="Times New Roman"/>
          <w:sz w:val="24"/>
        </w:rPr>
        <w:t xml:space="preserve">. </w:t>
      </w:r>
      <w:r w:rsidR="00DB52FB" w:rsidRPr="00896442">
        <w:rPr>
          <w:rFonts w:ascii="Times New Roman" w:hAnsi="Times New Roman" w:cs="Times New Roman"/>
          <w:sz w:val="24"/>
        </w:rPr>
        <w:t xml:space="preserve">The department consulted </w:t>
      </w:r>
      <w:r w:rsidR="00BE3A6D" w:rsidRPr="00896442">
        <w:rPr>
          <w:rFonts w:ascii="Times New Roman" w:hAnsi="Times New Roman" w:cs="Times New Roman"/>
          <w:sz w:val="24"/>
        </w:rPr>
        <w:t>the Office of Parliamentary C</w:t>
      </w:r>
      <w:r w:rsidR="00BA7B96" w:rsidRPr="00896442">
        <w:rPr>
          <w:rFonts w:ascii="Times New Roman" w:hAnsi="Times New Roman" w:cs="Times New Roman"/>
          <w:sz w:val="24"/>
        </w:rPr>
        <w:t xml:space="preserve">ounsel in the </w:t>
      </w:r>
      <w:r w:rsidR="002C7797" w:rsidRPr="00896442">
        <w:rPr>
          <w:rFonts w:ascii="Times New Roman" w:hAnsi="Times New Roman" w:cs="Times New Roman"/>
          <w:sz w:val="24"/>
        </w:rPr>
        <w:t>drafting of this Determination</w:t>
      </w:r>
      <w:r w:rsidR="00BE3A6D" w:rsidRPr="00896442">
        <w:rPr>
          <w:rFonts w:ascii="Times New Roman" w:hAnsi="Times New Roman" w:cs="Times New Roman"/>
          <w:sz w:val="24"/>
        </w:rPr>
        <w:t>.</w:t>
      </w:r>
    </w:p>
    <w:p w14:paraId="5D193B45" w14:textId="77777777" w:rsidR="00366BD0" w:rsidRPr="00896442" w:rsidRDefault="00366BD0" w:rsidP="00E275FD">
      <w:pPr>
        <w:contextualSpacing/>
        <w:rPr>
          <w:rFonts w:ascii="Times New Roman" w:hAnsi="Times New Roman" w:cs="Times New Roman"/>
          <w:sz w:val="24"/>
        </w:rPr>
      </w:pPr>
    </w:p>
    <w:p w14:paraId="79C874B5" w14:textId="4E352297" w:rsidR="007C76FA" w:rsidRPr="00896442" w:rsidRDefault="002C7797" w:rsidP="00E275FD">
      <w:pPr>
        <w:contextualSpacing/>
        <w:rPr>
          <w:rFonts w:ascii="Times New Roman" w:eastAsia="Times New Roman" w:hAnsi="Times New Roman" w:cs="Times New Roman"/>
          <w:sz w:val="24"/>
          <w:lang w:eastAsia="en-AU"/>
        </w:rPr>
      </w:pPr>
      <w:r w:rsidRPr="00896442">
        <w:rPr>
          <w:rFonts w:ascii="Times New Roman" w:hAnsi="Times New Roman" w:cs="Times New Roman"/>
          <w:sz w:val="24"/>
        </w:rPr>
        <w:t>The Determination</w:t>
      </w:r>
      <w:r w:rsidR="007C76FA" w:rsidRPr="00896442">
        <w:rPr>
          <w:rFonts w:ascii="Times New Roman" w:hAnsi="Times New Roman" w:cs="Times New Roman"/>
          <w:sz w:val="24"/>
        </w:rPr>
        <w:t xml:space="preserve"> is a legislative instrument for the purpose of the </w:t>
      </w:r>
      <w:r w:rsidR="007C76FA" w:rsidRPr="00896442">
        <w:rPr>
          <w:rFonts w:ascii="Times New Roman" w:hAnsi="Times New Roman" w:cs="Times New Roman"/>
          <w:i/>
          <w:sz w:val="24"/>
        </w:rPr>
        <w:t>Legislati</w:t>
      </w:r>
      <w:r w:rsidR="00584C36" w:rsidRPr="00896442">
        <w:rPr>
          <w:rFonts w:ascii="Times New Roman" w:hAnsi="Times New Roman" w:cs="Times New Roman"/>
          <w:i/>
          <w:sz w:val="24"/>
        </w:rPr>
        <w:t>on</w:t>
      </w:r>
      <w:r w:rsidR="007C76FA" w:rsidRPr="00896442">
        <w:rPr>
          <w:rFonts w:ascii="Times New Roman" w:hAnsi="Times New Roman" w:cs="Times New Roman"/>
          <w:i/>
          <w:sz w:val="24"/>
        </w:rPr>
        <w:t xml:space="preserve"> Act 2003</w:t>
      </w:r>
      <w:r w:rsidR="007C76FA" w:rsidRPr="00896442">
        <w:rPr>
          <w:rFonts w:ascii="Times New Roman" w:hAnsi="Times New Roman" w:cs="Times New Roman"/>
          <w:sz w:val="24"/>
        </w:rPr>
        <w:t>.</w:t>
      </w:r>
    </w:p>
    <w:p w14:paraId="1A324216" w14:textId="77777777" w:rsidR="007C76FA" w:rsidRPr="00896442" w:rsidRDefault="007C76FA" w:rsidP="00E275FD">
      <w:pPr>
        <w:tabs>
          <w:tab w:val="left" w:pos="1701"/>
          <w:tab w:val="right" w:pos="9072"/>
        </w:tabs>
        <w:contextualSpacing/>
        <w:rPr>
          <w:rFonts w:ascii="Times New Roman" w:hAnsi="Times New Roman" w:cs="Times New Roman"/>
          <w:sz w:val="24"/>
        </w:rPr>
      </w:pPr>
    </w:p>
    <w:p w14:paraId="151E0310" w14:textId="5B073121" w:rsidR="007C76FA" w:rsidRPr="00896442" w:rsidRDefault="002C7797" w:rsidP="00E275FD">
      <w:pPr>
        <w:contextualSpacing/>
        <w:rPr>
          <w:rFonts w:ascii="Times New Roman" w:eastAsia="Times New Roman" w:hAnsi="Times New Roman" w:cs="Times New Roman"/>
          <w:sz w:val="24"/>
          <w:lang w:eastAsia="en-AU"/>
        </w:rPr>
      </w:pPr>
      <w:r w:rsidRPr="00896442">
        <w:rPr>
          <w:rFonts w:ascii="Times New Roman" w:eastAsia="Times New Roman" w:hAnsi="Times New Roman" w:cs="Times New Roman"/>
          <w:sz w:val="24"/>
          <w:lang w:eastAsia="en-AU"/>
        </w:rPr>
        <w:t>The Determination</w:t>
      </w:r>
      <w:r w:rsidR="007C76FA" w:rsidRPr="00896442">
        <w:rPr>
          <w:rFonts w:ascii="Times New Roman" w:eastAsia="Times New Roman" w:hAnsi="Times New Roman" w:cs="Times New Roman"/>
          <w:sz w:val="24"/>
          <w:lang w:eastAsia="en-AU"/>
        </w:rPr>
        <w:t xml:space="preserve"> is compatible with human rights and freedoms recognised or declared under section 3 of the </w:t>
      </w:r>
      <w:r w:rsidR="007C76FA" w:rsidRPr="00896442">
        <w:rPr>
          <w:rFonts w:ascii="Times New Roman" w:eastAsia="Times New Roman" w:hAnsi="Times New Roman" w:cs="Times New Roman"/>
          <w:i/>
          <w:sz w:val="24"/>
          <w:lang w:eastAsia="en-AU"/>
        </w:rPr>
        <w:t>Human Rights (Parliamentary Scrutiny) Act 2011</w:t>
      </w:r>
      <w:r w:rsidR="00AB6173" w:rsidRPr="00896442">
        <w:rPr>
          <w:rFonts w:ascii="Times New Roman" w:eastAsia="Times New Roman" w:hAnsi="Times New Roman" w:cs="Times New Roman"/>
          <w:sz w:val="24"/>
          <w:lang w:eastAsia="en-AU"/>
        </w:rPr>
        <w:t>.</w:t>
      </w:r>
      <w:r w:rsidR="007C76FA" w:rsidRPr="00896442">
        <w:rPr>
          <w:rFonts w:ascii="Times New Roman" w:eastAsia="Times New Roman" w:hAnsi="Times New Roman" w:cs="Times New Roman"/>
          <w:sz w:val="24"/>
          <w:lang w:eastAsia="en-AU"/>
        </w:rPr>
        <w:t xml:space="preserve"> A full statement of compatibility is set out in</w:t>
      </w:r>
      <w:r w:rsidR="00671D5A">
        <w:rPr>
          <w:rFonts w:ascii="Times New Roman" w:eastAsia="Times New Roman" w:hAnsi="Times New Roman" w:cs="Times New Roman"/>
          <w:sz w:val="24"/>
          <w:lang w:eastAsia="en-AU"/>
        </w:rPr>
        <w:t xml:space="preserve"> the</w:t>
      </w:r>
      <w:r w:rsidR="007C76FA" w:rsidRPr="00896442">
        <w:rPr>
          <w:rFonts w:ascii="Times New Roman" w:eastAsia="Times New Roman" w:hAnsi="Times New Roman" w:cs="Times New Roman"/>
          <w:sz w:val="24"/>
          <w:lang w:eastAsia="en-AU"/>
        </w:rPr>
        <w:t xml:space="preserve"> </w:t>
      </w:r>
      <w:r w:rsidR="007C76FA" w:rsidRPr="00896442">
        <w:rPr>
          <w:rFonts w:ascii="Times New Roman" w:eastAsia="Times New Roman" w:hAnsi="Times New Roman" w:cs="Times New Roman"/>
          <w:sz w:val="24"/>
          <w:u w:val="single"/>
          <w:lang w:eastAsia="en-AU"/>
        </w:rPr>
        <w:t>Attachment</w:t>
      </w:r>
      <w:r w:rsidR="007C76FA" w:rsidRPr="00896442">
        <w:rPr>
          <w:rFonts w:ascii="Times New Roman" w:eastAsia="Times New Roman" w:hAnsi="Times New Roman" w:cs="Times New Roman"/>
          <w:sz w:val="24"/>
          <w:lang w:eastAsia="en-AU"/>
        </w:rPr>
        <w:t>.</w:t>
      </w:r>
    </w:p>
    <w:p w14:paraId="3B6831B6" w14:textId="77777777" w:rsidR="00D62E87" w:rsidRPr="00B6791E" w:rsidRDefault="00D62E87" w:rsidP="00E275FD">
      <w:pPr>
        <w:tabs>
          <w:tab w:val="left" w:pos="1701"/>
          <w:tab w:val="right" w:pos="9072"/>
        </w:tabs>
        <w:contextualSpacing/>
        <w:rPr>
          <w:rFonts w:ascii="Times New Roman" w:hAnsi="Times New Roman" w:cs="Times New Roman"/>
          <w:sz w:val="24"/>
        </w:rPr>
      </w:pPr>
    </w:p>
    <w:p w14:paraId="6897F0E5" w14:textId="72886F33" w:rsidR="002A380B" w:rsidRPr="00896442" w:rsidRDefault="002A380B" w:rsidP="00D73B3C">
      <w:pPr>
        <w:pStyle w:val="Normal-em"/>
        <w:keepNext/>
        <w:keepLines/>
        <w:contextualSpacing/>
        <w:rPr>
          <w:b/>
          <w:i/>
          <w:color w:val="000000" w:themeColor="text1"/>
          <w:szCs w:val="24"/>
          <w:u w:val="single"/>
        </w:rPr>
      </w:pPr>
      <w:r w:rsidRPr="00896442">
        <w:rPr>
          <w:b/>
          <w:iCs/>
          <w:color w:val="000000" w:themeColor="text1"/>
          <w:szCs w:val="24"/>
          <w:u w:val="single"/>
        </w:rPr>
        <w:lastRenderedPageBreak/>
        <w:t xml:space="preserve">Details of the </w:t>
      </w:r>
      <w:r w:rsidR="00130683" w:rsidRPr="00896442">
        <w:rPr>
          <w:b/>
          <w:i/>
          <w:color w:val="000000" w:themeColor="text1"/>
          <w:szCs w:val="24"/>
          <w:u w:val="single"/>
        </w:rPr>
        <w:t xml:space="preserve">Biosecurity </w:t>
      </w:r>
      <w:r w:rsidR="00D93AC8" w:rsidRPr="00896442">
        <w:rPr>
          <w:b/>
          <w:i/>
          <w:color w:val="000000" w:themeColor="text1"/>
          <w:szCs w:val="24"/>
          <w:u w:val="single"/>
        </w:rPr>
        <w:t>(Reportable Biosecurity Incidents) Determination</w:t>
      </w:r>
      <w:r w:rsidR="00130683" w:rsidRPr="00896442">
        <w:rPr>
          <w:b/>
          <w:i/>
          <w:color w:val="000000" w:themeColor="text1"/>
          <w:szCs w:val="24"/>
          <w:u w:val="single"/>
        </w:rPr>
        <w:t xml:space="preserve"> 2016</w:t>
      </w:r>
    </w:p>
    <w:p w14:paraId="687DDDB4" w14:textId="77777777" w:rsidR="0037601F" w:rsidRPr="00896442" w:rsidRDefault="0037601F" w:rsidP="00D73B3C">
      <w:pPr>
        <w:pStyle w:val="Normal-em"/>
        <w:keepNext/>
        <w:keepLines/>
        <w:contextualSpacing/>
        <w:rPr>
          <w:b/>
          <w:color w:val="auto"/>
          <w:szCs w:val="24"/>
        </w:rPr>
      </w:pPr>
    </w:p>
    <w:p w14:paraId="5C29F8BC" w14:textId="77777777" w:rsidR="002A380B" w:rsidRPr="00F1765B" w:rsidRDefault="002A380B" w:rsidP="00D73B3C">
      <w:pPr>
        <w:pStyle w:val="Normal-em"/>
        <w:keepNext/>
        <w:keepLines/>
        <w:ind w:left="1440" w:hanging="1440"/>
        <w:contextualSpacing/>
        <w:rPr>
          <w:color w:val="auto"/>
          <w:szCs w:val="24"/>
          <w:u w:val="single"/>
        </w:rPr>
      </w:pPr>
      <w:r w:rsidRPr="00F1765B">
        <w:rPr>
          <w:color w:val="auto"/>
          <w:szCs w:val="24"/>
          <w:u w:val="single"/>
        </w:rPr>
        <w:t xml:space="preserve">Section 1 – Name </w:t>
      </w:r>
    </w:p>
    <w:p w14:paraId="51382268" w14:textId="77777777" w:rsidR="002A380B" w:rsidRPr="00896442" w:rsidRDefault="002A380B" w:rsidP="00D73B3C">
      <w:pPr>
        <w:pStyle w:val="Normal-em"/>
        <w:keepNext/>
        <w:keepLines/>
        <w:ind w:left="1440" w:hanging="1440"/>
        <w:contextualSpacing/>
        <w:rPr>
          <w:b/>
          <w:color w:val="auto"/>
          <w:szCs w:val="24"/>
        </w:rPr>
      </w:pPr>
    </w:p>
    <w:p w14:paraId="718CCF03" w14:textId="5AD4A5C3" w:rsidR="002A380B" w:rsidRPr="00896442" w:rsidRDefault="00D62E87" w:rsidP="00E275FD">
      <w:pPr>
        <w:pStyle w:val="Normal-em"/>
        <w:contextualSpacing/>
        <w:rPr>
          <w:i/>
          <w:iCs/>
          <w:color w:val="auto"/>
          <w:szCs w:val="24"/>
        </w:rPr>
      </w:pPr>
      <w:r w:rsidRPr="00896442">
        <w:rPr>
          <w:color w:val="auto"/>
          <w:szCs w:val="24"/>
        </w:rPr>
        <w:t>This s</w:t>
      </w:r>
      <w:r w:rsidR="002A380B" w:rsidRPr="00896442">
        <w:rPr>
          <w:color w:val="auto"/>
          <w:szCs w:val="24"/>
        </w:rPr>
        <w:t xml:space="preserve">ection provides </w:t>
      </w:r>
      <w:r w:rsidR="00BA7B96" w:rsidRPr="00896442">
        <w:rPr>
          <w:color w:val="auto"/>
          <w:szCs w:val="24"/>
        </w:rPr>
        <w:t xml:space="preserve">that </w:t>
      </w:r>
      <w:r w:rsidR="002A380B" w:rsidRPr="00896442">
        <w:rPr>
          <w:color w:val="auto"/>
          <w:szCs w:val="24"/>
        </w:rPr>
        <w:t xml:space="preserve">the </w:t>
      </w:r>
      <w:r w:rsidR="0019581D" w:rsidRPr="00896442">
        <w:rPr>
          <w:color w:val="auto"/>
          <w:szCs w:val="24"/>
        </w:rPr>
        <w:t xml:space="preserve">name of the </w:t>
      </w:r>
      <w:r w:rsidR="00A3673E" w:rsidRPr="00896442">
        <w:rPr>
          <w:color w:val="auto"/>
          <w:szCs w:val="24"/>
        </w:rPr>
        <w:t>Determination</w:t>
      </w:r>
      <w:r w:rsidR="0019581D" w:rsidRPr="00896442">
        <w:rPr>
          <w:color w:val="auto"/>
          <w:szCs w:val="24"/>
        </w:rPr>
        <w:t xml:space="preserve"> is the </w:t>
      </w:r>
      <w:r w:rsidR="0019581D" w:rsidRPr="00896442">
        <w:rPr>
          <w:i/>
          <w:color w:val="auto"/>
          <w:szCs w:val="24"/>
        </w:rPr>
        <w:t xml:space="preserve">Biosecurity </w:t>
      </w:r>
      <w:r w:rsidR="00A3673E" w:rsidRPr="00896442">
        <w:rPr>
          <w:i/>
          <w:color w:val="auto"/>
          <w:szCs w:val="24"/>
        </w:rPr>
        <w:t>(Reportable Biosecurity Incidents) Determination</w:t>
      </w:r>
      <w:r w:rsidR="0019581D" w:rsidRPr="00896442">
        <w:rPr>
          <w:i/>
          <w:color w:val="auto"/>
          <w:szCs w:val="24"/>
        </w:rPr>
        <w:t xml:space="preserve"> 2016.</w:t>
      </w:r>
    </w:p>
    <w:p w14:paraId="41EEA11F" w14:textId="77777777" w:rsidR="002A380B" w:rsidRPr="00896442" w:rsidRDefault="002A380B" w:rsidP="00E275FD">
      <w:pPr>
        <w:pStyle w:val="Normal-em"/>
        <w:contextualSpacing/>
        <w:rPr>
          <w:b/>
          <w:color w:val="auto"/>
          <w:szCs w:val="24"/>
        </w:rPr>
      </w:pPr>
    </w:p>
    <w:p w14:paraId="7AA805FD" w14:textId="77777777" w:rsidR="002A380B" w:rsidRPr="00F1765B" w:rsidRDefault="002A380B" w:rsidP="00E275FD">
      <w:pPr>
        <w:pStyle w:val="Normal-em"/>
        <w:contextualSpacing/>
        <w:rPr>
          <w:color w:val="auto"/>
          <w:szCs w:val="24"/>
          <w:u w:val="single"/>
        </w:rPr>
      </w:pPr>
      <w:r w:rsidRPr="00F1765B">
        <w:rPr>
          <w:color w:val="auto"/>
          <w:szCs w:val="24"/>
          <w:u w:val="single"/>
        </w:rPr>
        <w:t>Section 2 – Commencement</w:t>
      </w:r>
    </w:p>
    <w:p w14:paraId="1AFAB20C" w14:textId="77777777" w:rsidR="002A380B" w:rsidRPr="00896442" w:rsidRDefault="002A380B" w:rsidP="00E275FD">
      <w:pPr>
        <w:pStyle w:val="Normal-em"/>
        <w:contextualSpacing/>
        <w:rPr>
          <w:b/>
          <w:color w:val="auto"/>
          <w:szCs w:val="24"/>
        </w:rPr>
      </w:pPr>
    </w:p>
    <w:p w14:paraId="1E8D4902" w14:textId="7C9214CE" w:rsidR="002A380B" w:rsidRPr="00896442" w:rsidRDefault="00D62E87" w:rsidP="00E275FD">
      <w:pPr>
        <w:pStyle w:val="Normal-em"/>
        <w:contextualSpacing/>
        <w:rPr>
          <w:color w:val="auto"/>
          <w:szCs w:val="24"/>
          <w:highlight w:val="yellow"/>
        </w:rPr>
      </w:pPr>
      <w:r w:rsidRPr="00896442">
        <w:rPr>
          <w:color w:val="auto"/>
          <w:szCs w:val="24"/>
        </w:rPr>
        <w:t>This s</w:t>
      </w:r>
      <w:r w:rsidR="002A380B" w:rsidRPr="00896442">
        <w:rPr>
          <w:color w:val="auto"/>
          <w:szCs w:val="24"/>
        </w:rPr>
        <w:t xml:space="preserve">ection provides for the </w:t>
      </w:r>
      <w:r w:rsidR="00FF0B5D" w:rsidRPr="00896442">
        <w:rPr>
          <w:color w:val="auto"/>
          <w:szCs w:val="24"/>
        </w:rPr>
        <w:t>Determination</w:t>
      </w:r>
      <w:r w:rsidR="00B57832" w:rsidRPr="00896442">
        <w:rPr>
          <w:color w:val="auto"/>
          <w:szCs w:val="24"/>
        </w:rPr>
        <w:t xml:space="preserve"> to commence at the same time as when section 3 of the </w:t>
      </w:r>
      <w:r w:rsidR="000442F6">
        <w:rPr>
          <w:color w:val="auto"/>
          <w:szCs w:val="24"/>
        </w:rPr>
        <w:t>Biosecurity Act</w:t>
      </w:r>
      <w:r w:rsidR="00FF0B5D" w:rsidRPr="00896442">
        <w:rPr>
          <w:color w:val="auto"/>
          <w:szCs w:val="24"/>
        </w:rPr>
        <w:t xml:space="preserve"> </w:t>
      </w:r>
      <w:r w:rsidR="00B57832" w:rsidRPr="00896442">
        <w:rPr>
          <w:color w:val="auto"/>
          <w:szCs w:val="24"/>
        </w:rPr>
        <w:t>commences</w:t>
      </w:r>
      <w:r w:rsidR="00B57832" w:rsidRPr="00896442">
        <w:rPr>
          <w:i/>
          <w:color w:val="auto"/>
          <w:szCs w:val="24"/>
        </w:rPr>
        <w:t>.</w:t>
      </w:r>
      <w:r w:rsidR="00380965" w:rsidRPr="00896442">
        <w:rPr>
          <w:color w:val="auto"/>
          <w:szCs w:val="24"/>
        </w:rPr>
        <w:t xml:space="preserve"> Section 3 of the </w:t>
      </w:r>
      <w:r w:rsidR="00FF0B5D" w:rsidRPr="00896442">
        <w:rPr>
          <w:color w:val="auto"/>
          <w:szCs w:val="24"/>
        </w:rPr>
        <w:t xml:space="preserve">Biosecurity Act </w:t>
      </w:r>
      <w:r w:rsidR="00380965" w:rsidRPr="00896442">
        <w:rPr>
          <w:color w:val="auto"/>
          <w:szCs w:val="24"/>
        </w:rPr>
        <w:t xml:space="preserve">commences on 16 June 2016. </w:t>
      </w:r>
    </w:p>
    <w:p w14:paraId="2D36929E" w14:textId="77777777" w:rsidR="002A380B" w:rsidRPr="00896442" w:rsidRDefault="002A380B" w:rsidP="00E275FD">
      <w:pPr>
        <w:pStyle w:val="Normal-em"/>
        <w:contextualSpacing/>
        <w:rPr>
          <w:b/>
          <w:color w:val="auto"/>
          <w:szCs w:val="24"/>
        </w:rPr>
      </w:pPr>
    </w:p>
    <w:p w14:paraId="21A3766A" w14:textId="77777777" w:rsidR="002A380B" w:rsidRPr="00F1765B" w:rsidRDefault="002A380B" w:rsidP="00E275FD">
      <w:pPr>
        <w:pStyle w:val="Normal-em"/>
        <w:ind w:left="1440" w:hanging="1440"/>
        <w:contextualSpacing/>
        <w:rPr>
          <w:color w:val="auto"/>
          <w:szCs w:val="24"/>
          <w:u w:val="single"/>
        </w:rPr>
      </w:pPr>
      <w:r w:rsidRPr="00F1765B">
        <w:rPr>
          <w:color w:val="auto"/>
          <w:szCs w:val="24"/>
          <w:u w:val="single"/>
        </w:rPr>
        <w:t xml:space="preserve">Section 3 – </w:t>
      </w:r>
      <w:r w:rsidR="00D62E87" w:rsidRPr="00F1765B">
        <w:rPr>
          <w:color w:val="auto"/>
          <w:szCs w:val="24"/>
          <w:u w:val="single"/>
        </w:rPr>
        <w:t>Authority</w:t>
      </w:r>
    </w:p>
    <w:p w14:paraId="17029122" w14:textId="77777777" w:rsidR="002A380B" w:rsidRPr="00896442" w:rsidRDefault="002A380B" w:rsidP="00E275FD">
      <w:pPr>
        <w:pStyle w:val="Normal-em"/>
        <w:contextualSpacing/>
        <w:rPr>
          <w:b/>
          <w:color w:val="auto"/>
          <w:szCs w:val="24"/>
        </w:rPr>
      </w:pPr>
    </w:p>
    <w:p w14:paraId="588689E9" w14:textId="49A63083" w:rsidR="002A380B" w:rsidRPr="00896442" w:rsidRDefault="00B57832" w:rsidP="00E275FD">
      <w:pPr>
        <w:contextualSpacing/>
        <w:rPr>
          <w:rFonts w:ascii="Times New Roman" w:hAnsi="Times New Roman" w:cs="Times New Roman"/>
          <w:i/>
          <w:sz w:val="24"/>
        </w:rPr>
      </w:pPr>
      <w:r w:rsidRPr="00896442">
        <w:rPr>
          <w:rFonts w:ascii="Times New Roman" w:hAnsi="Times New Roman" w:cs="Times New Roman"/>
          <w:sz w:val="24"/>
        </w:rPr>
        <w:t xml:space="preserve">This section provides that the </w:t>
      </w:r>
      <w:r w:rsidR="00FF0B5D" w:rsidRPr="00896442">
        <w:rPr>
          <w:rFonts w:ascii="Times New Roman" w:hAnsi="Times New Roman" w:cs="Times New Roman"/>
          <w:sz w:val="24"/>
        </w:rPr>
        <w:t>Determination</w:t>
      </w:r>
      <w:r w:rsidRPr="00896442">
        <w:rPr>
          <w:rFonts w:ascii="Times New Roman" w:hAnsi="Times New Roman" w:cs="Times New Roman"/>
          <w:sz w:val="24"/>
        </w:rPr>
        <w:t xml:space="preserve"> is made under</w:t>
      </w:r>
      <w:r w:rsidR="00FF0B5D" w:rsidRPr="00896442">
        <w:rPr>
          <w:rFonts w:ascii="Times New Roman" w:hAnsi="Times New Roman" w:cs="Times New Roman"/>
          <w:sz w:val="24"/>
        </w:rPr>
        <w:t xml:space="preserve"> sections 154 and 157 of</w:t>
      </w:r>
      <w:r w:rsidRPr="00896442">
        <w:rPr>
          <w:rFonts w:ascii="Times New Roman" w:hAnsi="Times New Roman" w:cs="Times New Roman"/>
          <w:sz w:val="24"/>
        </w:rPr>
        <w:t xml:space="preserve"> the Biosecurity </w:t>
      </w:r>
      <w:r w:rsidR="006D1783" w:rsidRPr="00896442">
        <w:rPr>
          <w:rFonts w:ascii="Times New Roman" w:hAnsi="Times New Roman" w:cs="Times New Roman"/>
          <w:sz w:val="24"/>
        </w:rPr>
        <w:t>Act</w:t>
      </w:r>
      <w:r w:rsidRPr="00896442">
        <w:rPr>
          <w:rFonts w:ascii="Times New Roman" w:hAnsi="Times New Roman" w:cs="Times New Roman"/>
          <w:sz w:val="24"/>
        </w:rPr>
        <w:t>.</w:t>
      </w:r>
    </w:p>
    <w:p w14:paraId="01C117F1" w14:textId="77777777" w:rsidR="00B57832" w:rsidRPr="00896442" w:rsidRDefault="00B57832" w:rsidP="00E275FD">
      <w:pPr>
        <w:contextualSpacing/>
        <w:rPr>
          <w:rFonts w:ascii="Times New Roman" w:hAnsi="Times New Roman" w:cs="Times New Roman"/>
          <w:b/>
          <w:sz w:val="24"/>
        </w:rPr>
      </w:pPr>
    </w:p>
    <w:p w14:paraId="67C0382A" w14:textId="34AC80B1" w:rsidR="00D62E87" w:rsidRPr="00F1765B" w:rsidRDefault="00FF0B5D" w:rsidP="00E275FD">
      <w:pPr>
        <w:contextualSpacing/>
        <w:rPr>
          <w:rFonts w:ascii="Times New Roman" w:hAnsi="Times New Roman" w:cs="Times New Roman"/>
          <w:sz w:val="24"/>
          <w:u w:val="single"/>
        </w:rPr>
      </w:pPr>
      <w:r w:rsidRPr="00F1765B">
        <w:rPr>
          <w:rFonts w:ascii="Times New Roman" w:hAnsi="Times New Roman" w:cs="Times New Roman"/>
          <w:sz w:val="24"/>
          <w:u w:val="single"/>
        </w:rPr>
        <w:t>Section 4</w:t>
      </w:r>
      <w:r w:rsidR="00D62E87" w:rsidRPr="00F1765B">
        <w:rPr>
          <w:rFonts w:ascii="Times New Roman" w:hAnsi="Times New Roman" w:cs="Times New Roman"/>
          <w:sz w:val="24"/>
          <w:u w:val="single"/>
        </w:rPr>
        <w:t xml:space="preserve"> – Definitions</w:t>
      </w:r>
    </w:p>
    <w:p w14:paraId="54378544" w14:textId="77777777" w:rsidR="00D62E87" w:rsidRPr="00896442" w:rsidRDefault="00D62E87" w:rsidP="00E275FD">
      <w:pPr>
        <w:contextualSpacing/>
        <w:rPr>
          <w:rFonts w:ascii="Times New Roman" w:hAnsi="Times New Roman" w:cs="Times New Roman"/>
          <w:b/>
          <w:sz w:val="24"/>
        </w:rPr>
      </w:pPr>
    </w:p>
    <w:p w14:paraId="710062A8" w14:textId="25412DD7" w:rsidR="00526EBF" w:rsidRPr="00896442" w:rsidRDefault="00526EBF" w:rsidP="00E275FD">
      <w:pPr>
        <w:rPr>
          <w:rFonts w:ascii="Times New Roman" w:hAnsi="Times New Roman" w:cs="Times New Roman"/>
          <w:sz w:val="24"/>
        </w:rPr>
      </w:pPr>
      <w:r w:rsidRPr="00896442">
        <w:rPr>
          <w:rFonts w:ascii="Times New Roman" w:hAnsi="Times New Roman" w:cs="Times New Roman"/>
          <w:sz w:val="24"/>
        </w:rPr>
        <w:t>This section provides the de</w:t>
      </w:r>
      <w:r w:rsidR="00FF0B5D" w:rsidRPr="00896442">
        <w:rPr>
          <w:rFonts w:ascii="Times New Roman" w:hAnsi="Times New Roman" w:cs="Times New Roman"/>
          <w:sz w:val="24"/>
        </w:rPr>
        <w:t>finitions used in the Determination</w:t>
      </w:r>
      <w:r w:rsidRPr="00896442">
        <w:rPr>
          <w:rFonts w:ascii="Times New Roman" w:hAnsi="Times New Roman" w:cs="Times New Roman"/>
          <w:sz w:val="24"/>
        </w:rPr>
        <w:t>.</w:t>
      </w:r>
      <w:r w:rsidR="000442F6">
        <w:rPr>
          <w:rFonts w:ascii="Times New Roman" w:hAnsi="Times New Roman" w:cs="Times New Roman"/>
          <w:sz w:val="24"/>
        </w:rPr>
        <w:t xml:space="preserve"> </w:t>
      </w:r>
      <w:r w:rsidR="000442F6" w:rsidRPr="000442F6">
        <w:rPr>
          <w:rFonts w:ascii="Times New Roman" w:hAnsi="Times New Roman" w:cs="Times New Roman"/>
          <w:sz w:val="24"/>
        </w:rPr>
        <w:t>Some of these definitions refer to defined te</w:t>
      </w:r>
      <w:r w:rsidR="000442F6">
        <w:rPr>
          <w:rFonts w:ascii="Times New Roman" w:hAnsi="Times New Roman" w:cs="Times New Roman"/>
          <w:sz w:val="24"/>
        </w:rPr>
        <w:t xml:space="preserve">rms used in the Biosecurity Act and the </w:t>
      </w:r>
      <w:r w:rsidR="000442F6" w:rsidRPr="00896442">
        <w:rPr>
          <w:rFonts w:ascii="Times New Roman" w:hAnsi="Times New Roman" w:cs="Times New Roman"/>
          <w:i/>
          <w:sz w:val="24"/>
        </w:rPr>
        <w:t>Biosecurity (</w:t>
      </w:r>
      <w:r w:rsidR="000442F6" w:rsidRPr="009362C5">
        <w:rPr>
          <w:rFonts w:ascii="Times New Roman" w:hAnsi="Times New Roman" w:cs="Times New Roman"/>
          <w:i/>
          <w:sz w:val="24"/>
        </w:rPr>
        <w:t>Prohibited and</w:t>
      </w:r>
      <w:r w:rsidR="000442F6" w:rsidRPr="00896442">
        <w:rPr>
          <w:rFonts w:ascii="Times New Roman" w:hAnsi="Times New Roman" w:cs="Times New Roman"/>
          <w:i/>
          <w:sz w:val="24"/>
        </w:rPr>
        <w:t xml:space="preserve"> Conditionally Non-prohibited Goods) Determination 2016</w:t>
      </w:r>
      <w:r w:rsidR="000442F6" w:rsidRPr="000442F6">
        <w:rPr>
          <w:rFonts w:ascii="Times New Roman" w:hAnsi="Times New Roman" w:cs="Times New Roman"/>
          <w:i/>
          <w:sz w:val="24"/>
        </w:rPr>
        <w:t xml:space="preserve">, </w:t>
      </w:r>
      <w:r w:rsidR="00CF0D9E" w:rsidRPr="000442F6">
        <w:rPr>
          <w:rFonts w:ascii="Times New Roman" w:hAnsi="Times New Roman" w:cs="Times New Roman"/>
          <w:sz w:val="24"/>
        </w:rPr>
        <w:t xml:space="preserve">as in </w:t>
      </w:r>
      <w:r w:rsidR="00D73B3C">
        <w:rPr>
          <w:rFonts w:ascii="Times New Roman" w:hAnsi="Times New Roman" w:cs="Times New Roman"/>
          <w:sz w:val="24"/>
        </w:rPr>
        <w:t xml:space="preserve">force </w:t>
      </w:r>
      <w:r w:rsidR="00D73B3C" w:rsidRPr="00D73B3C">
        <w:rPr>
          <w:rFonts w:ascii="Times New Roman" w:hAnsi="Times New Roman" w:cs="Times New Roman"/>
          <w:sz w:val="24"/>
        </w:rPr>
        <w:t>at the commencement</w:t>
      </w:r>
      <w:r w:rsidR="00D73B3C">
        <w:rPr>
          <w:rFonts w:ascii="Times New Roman" w:hAnsi="Times New Roman" w:cs="Times New Roman"/>
          <w:sz w:val="24"/>
        </w:rPr>
        <w:t xml:space="preserve"> of the</w:t>
      </w:r>
      <w:r w:rsidR="00B87D55">
        <w:rPr>
          <w:rFonts w:ascii="Times New Roman" w:hAnsi="Times New Roman" w:cs="Times New Roman"/>
          <w:sz w:val="24"/>
        </w:rPr>
        <w:t xml:space="preserve"> Determination</w:t>
      </w:r>
      <w:r w:rsidR="00D73B3C" w:rsidRPr="000442F6">
        <w:rPr>
          <w:rFonts w:ascii="Times New Roman" w:hAnsi="Times New Roman" w:cs="Times New Roman"/>
          <w:sz w:val="24"/>
        </w:rPr>
        <w:t xml:space="preserve">. </w:t>
      </w:r>
      <w:r w:rsidR="000442F6" w:rsidRPr="000442F6">
        <w:rPr>
          <w:rFonts w:ascii="Times New Roman" w:hAnsi="Times New Roman" w:cs="Times New Roman"/>
          <w:sz w:val="24"/>
        </w:rPr>
        <w:t>Th</w:t>
      </w:r>
      <w:r w:rsidR="00F7301B">
        <w:rPr>
          <w:rFonts w:ascii="Times New Roman" w:hAnsi="Times New Roman" w:cs="Times New Roman"/>
          <w:sz w:val="24"/>
        </w:rPr>
        <w:t>is</w:t>
      </w:r>
      <w:r w:rsidR="000442F6" w:rsidRPr="000442F6">
        <w:rPr>
          <w:rFonts w:ascii="Times New Roman" w:hAnsi="Times New Roman" w:cs="Times New Roman"/>
          <w:sz w:val="24"/>
        </w:rPr>
        <w:t xml:space="preserve"> </w:t>
      </w:r>
      <w:r w:rsidR="000442F6">
        <w:rPr>
          <w:rFonts w:ascii="Times New Roman" w:hAnsi="Times New Roman" w:cs="Times New Roman"/>
          <w:sz w:val="24"/>
        </w:rPr>
        <w:t>Act</w:t>
      </w:r>
      <w:r w:rsidR="000442F6" w:rsidRPr="000442F6">
        <w:rPr>
          <w:rFonts w:ascii="Times New Roman" w:hAnsi="Times New Roman" w:cs="Times New Roman"/>
          <w:sz w:val="24"/>
        </w:rPr>
        <w:t xml:space="preserve"> and </w:t>
      </w:r>
      <w:r w:rsidR="00CA303E">
        <w:rPr>
          <w:rFonts w:ascii="Times New Roman" w:hAnsi="Times New Roman" w:cs="Times New Roman"/>
          <w:sz w:val="24"/>
        </w:rPr>
        <w:t xml:space="preserve">the </w:t>
      </w:r>
      <w:r w:rsidR="000442F6" w:rsidRPr="000442F6">
        <w:rPr>
          <w:rFonts w:ascii="Times New Roman" w:hAnsi="Times New Roman" w:cs="Times New Roman"/>
          <w:sz w:val="24"/>
        </w:rPr>
        <w:t>legislative instrument are available on the Federal Register of Legislation</w:t>
      </w:r>
      <w:r w:rsidR="00F1765B">
        <w:rPr>
          <w:rFonts w:ascii="Times New Roman" w:hAnsi="Times New Roman" w:cs="Times New Roman"/>
          <w:sz w:val="24"/>
        </w:rPr>
        <w:t xml:space="preserve"> at </w:t>
      </w:r>
      <w:hyperlink r:id="rId8" w:history="1">
        <w:r w:rsidR="00F1765B" w:rsidRPr="00F1765B">
          <w:rPr>
            <w:rStyle w:val="Hyperlink"/>
            <w:rFonts w:ascii="Times New Roman" w:hAnsi="Times New Roman" w:cs="Times New Roman"/>
            <w:sz w:val="24"/>
          </w:rPr>
          <w:t>www.legislation.gov.au</w:t>
        </w:r>
      </w:hyperlink>
      <w:r w:rsidR="000442F6" w:rsidRPr="000442F6">
        <w:rPr>
          <w:rFonts w:ascii="Times New Roman" w:hAnsi="Times New Roman" w:cs="Times New Roman"/>
          <w:sz w:val="24"/>
        </w:rPr>
        <w:t>.</w:t>
      </w:r>
    </w:p>
    <w:p w14:paraId="36D5C8E2" w14:textId="77777777" w:rsidR="00526EBF" w:rsidRPr="00896442" w:rsidRDefault="00526EBF" w:rsidP="00E275FD">
      <w:pPr>
        <w:contextualSpacing/>
        <w:rPr>
          <w:rFonts w:ascii="Times New Roman" w:hAnsi="Times New Roman" w:cs="Times New Roman"/>
          <w:sz w:val="24"/>
        </w:rPr>
      </w:pPr>
    </w:p>
    <w:p w14:paraId="428857B3" w14:textId="77777777" w:rsidR="00526EBF" w:rsidRPr="00896442" w:rsidRDefault="00526EBF" w:rsidP="00E275FD">
      <w:pPr>
        <w:contextualSpacing/>
        <w:rPr>
          <w:rFonts w:ascii="Times New Roman" w:hAnsi="Times New Roman" w:cs="Times New Roman"/>
          <w:b/>
          <w:i/>
          <w:sz w:val="24"/>
        </w:rPr>
      </w:pPr>
      <w:r w:rsidRPr="00896442">
        <w:rPr>
          <w:rFonts w:ascii="Times New Roman" w:hAnsi="Times New Roman" w:cs="Times New Roman"/>
          <w:b/>
          <w:i/>
          <w:sz w:val="24"/>
        </w:rPr>
        <w:t>Act</w:t>
      </w:r>
    </w:p>
    <w:p w14:paraId="03994074" w14:textId="6BDA0743" w:rsidR="00526EBF" w:rsidRPr="00896442" w:rsidRDefault="00526EBF" w:rsidP="00E275FD">
      <w:pPr>
        <w:contextualSpacing/>
        <w:rPr>
          <w:rFonts w:ascii="Times New Roman" w:hAnsi="Times New Roman" w:cs="Times New Roman"/>
          <w:i/>
          <w:sz w:val="24"/>
        </w:rPr>
      </w:pPr>
      <w:r w:rsidRPr="00896442">
        <w:rPr>
          <w:rFonts w:ascii="Times New Roman" w:hAnsi="Times New Roman" w:cs="Times New Roman"/>
          <w:sz w:val="24"/>
        </w:rPr>
        <w:t xml:space="preserve">This definition provides that </w:t>
      </w:r>
      <w:r w:rsidR="00715E5A" w:rsidRPr="00896442">
        <w:rPr>
          <w:rFonts w:ascii="Times New Roman" w:hAnsi="Times New Roman" w:cs="Times New Roman"/>
          <w:sz w:val="24"/>
        </w:rPr>
        <w:t xml:space="preserve">references to </w:t>
      </w:r>
      <w:r w:rsidRPr="00896442">
        <w:rPr>
          <w:rFonts w:ascii="Times New Roman" w:hAnsi="Times New Roman" w:cs="Times New Roman"/>
          <w:sz w:val="24"/>
        </w:rPr>
        <w:t xml:space="preserve">‘Act’ means the </w:t>
      </w:r>
      <w:r w:rsidR="00FF0B5D" w:rsidRPr="00896442">
        <w:rPr>
          <w:rFonts w:ascii="Times New Roman" w:hAnsi="Times New Roman" w:cs="Times New Roman"/>
          <w:sz w:val="24"/>
        </w:rPr>
        <w:t>Biosecurity Act</w:t>
      </w:r>
      <w:r w:rsidRPr="00896442">
        <w:rPr>
          <w:rFonts w:ascii="Times New Roman" w:hAnsi="Times New Roman" w:cs="Times New Roman"/>
          <w:i/>
          <w:sz w:val="24"/>
        </w:rPr>
        <w:t>.</w:t>
      </w:r>
    </w:p>
    <w:p w14:paraId="294A4E20" w14:textId="77777777" w:rsidR="00526EBF" w:rsidRPr="00896442" w:rsidRDefault="00526EBF" w:rsidP="00E275FD">
      <w:pPr>
        <w:contextualSpacing/>
        <w:rPr>
          <w:rFonts w:ascii="Times New Roman" w:hAnsi="Times New Roman" w:cs="Times New Roman"/>
          <w:sz w:val="24"/>
        </w:rPr>
      </w:pPr>
    </w:p>
    <w:p w14:paraId="22A3ED01" w14:textId="2184F545" w:rsidR="00526EBF"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import permit</w:t>
      </w:r>
    </w:p>
    <w:p w14:paraId="207F201A" w14:textId="65734B58"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 xml:space="preserve">This definition provides that ‘import permit’ has the same meaning as in the </w:t>
      </w:r>
      <w:r w:rsidRPr="00896442">
        <w:rPr>
          <w:rFonts w:ascii="Times New Roman" w:hAnsi="Times New Roman" w:cs="Times New Roman"/>
          <w:i/>
          <w:sz w:val="24"/>
        </w:rPr>
        <w:t>Biosecurity (</w:t>
      </w:r>
      <w:r w:rsidRPr="009362C5">
        <w:rPr>
          <w:rFonts w:ascii="Times New Roman" w:hAnsi="Times New Roman" w:cs="Times New Roman"/>
          <w:i/>
          <w:sz w:val="24"/>
        </w:rPr>
        <w:t>Prohibited and</w:t>
      </w:r>
      <w:r w:rsidRPr="00896442">
        <w:rPr>
          <w:rFonts w:ascii="Times New Roman" w:hAnsi="Times New Roman" w:cs="Times New Roman"/>
          <w:i/>
          <w:sz w:val="24"/>
        </w:rPr>
        <w:t xml:space="preserve"> Conditionally Non-prohibited Goods) Determination 2016</w:t>
      </w:r>
      <w:r w:rsidRPr="00896442">
        <w:rPr>
          <w:rFonts w:ascii="Times New Roman" w:hAnsi="Times New Roman" w:cs="Times New Roman"/>
          <w:sz w:val="24"/>
        </w:rPr>
        <w:t>.</w:t>
      </w:r>
    </w:p>
    <w:p w14:paraId="031B572B" w14:textId="77777777" w:rsidR="00FF0B5D" w:rsidRPr="00896442" w:rsidRDefault="00FF0B5D" w:rsidP="00E275FD">
      <w:pPr>
        <w:contextualSpacing/>
        <w:rPr>
          <w:rFonts w:ascii="Times New Roman" w:hAnsi="Times New Roman" w:cs="Times New Roman"/>
          <w:b/>
          <w:i/>
          <w:sz w:val="24"/>
        </w:rPr>
      </w:pPr>
    </w:p>
    <w:p w14:paraId="258DC387" w14:textId="23FC7CC4"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manifest</w:t>
      </w:r>
    </w:p>
    <w:p w14:paraId="4A92E2E4" w14:textId="04B5318D"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This definition provides that ‘manifest’ means a list of goods that are intended to be brought or imported into Australian territory.</w:t>
      </w:r>
    </w:p>
    <w:p w14:paraId="4C0F5ED0" w14:textId="77777777" w:rsidR="00FF0B5D" w:rsidRPr="00896442" w:rsidRDefault="00FF0B5D" w:rsidP="00E275FD">
      <w:pPr>
        <w:contextualSpacing/>
        <w:rPr>
          <w:rFonts w:ascii="Times New Roman" w:hAnsi="Times New Roman" w:cs="Times New Roman"/>
          <w:b/>
          <w:i/>
          <w:sz w:val="24"/>
        </w:rPr>
      </w:pPr>
    </w:p>
    <w:p w14:paraId="48248156" w14:textId="64ED6A7E"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b/>
          <w:i/>
          <w:sz w:val="24"/>
        </w:rPr>
        <w:t>relevant goods</w:t>
      </w:r>
    </w:p>
    <w:p w14:paraId="02C96E1B" w14:textId="49A34092" w:rsidR="00FF0B5D" w:rsidRPr="00896442" w:rsidRDefault="00FF0B5D" w:rsidP="00E275FD">
      <w:pPr>
        <w:contextualSpacing/>
        <w:rPr>
          <w:rFonts w:ascii="Times New Roman" w:hAnsi="Times New Roman" w:cs="Times New Roman"/>
          <w:sz w:val="24"/>
        </w:rPr>
      </w:pPr>
      <w:r w:rsidRPr="00896442">
        <w:rPr>
          <w:rFonts w:ascii="Times New Roman" w:hAnsi="Times New Roman" w:cs="Times New Roman"/>
          <w:sz w:val="24"/>
        </w:rPr>
        <w:t>This definition provides that ‘relevant goods’ means goods in relation to which this Determination applies under section 5.</w:t>
      </w:r>
    </w:p>
    <w:p w14:paraId="3CFA4BC7" w14:textId="77777777" w:rsidR="00FF0B5D" w:rsidRPr="00896442" w:rsidRDefault="00FF0B5D" w:rsidP="00E275FD">
      <w:pPr>
        <w:contextualSpacing/>
        <w:rPr>
          <w:rFonts w:ascii="Times New Roman" w:hAnsi="Times New Roman" w:cs="Times New Roman"/>
          <w:sz w:val="24"/>
        </w:rPr>
      </w:pPr>
    </w:p>
    <w:p w14:paraId="6939EF1A" w14:textId="687B0AF3" w:rsidR="00FF0B5D" w:rsidRPr="00896442" w:rsidRDefault="00FF0B5D" w:rsidP="00E275FD">
      <w:pPr>
        <w:contextualSpacing/>
        <w:rPr>
          <w:rFonts w:ascii="Times New Roman" w:hAnsi="Times New Roman" w:cs="Times New Roman"/>
          <w:b/>
          <w:i/>
          <w:sz w:val="24"/>
        </w:rPr>
      </w:pPr>
      <w:r w:rsidRPr="00896442">
        <w:rPr>
          <w:rFonts w:ascii="Times New Roman" w:hAnsi="Times New Roman" w:cs="Times New Roman"/>
          <w:sz w:val="24"/>
        </w:rPr>
        <w:t xml:space="preserve">The note clarifies that there are a number of </w:t>
      </w:r>
      <w:r w:rsidR="003E54FE" w:rsidRPr="00896442">
        <w:rPr>
          <w:rFonts w:ascii="Times New Roman" w:hAnsi="Times New Roman" w:cs="Times New Roman"/>
          <w:sz w:val="24"/>
        </w:rPr>
        <w:t xml:space="preserve">other </w:t>
      </w:r>
      <w:r w:rsidRPr="00896442">
        <w:rPr>
          <w:rFonts w:ascii="Times New Roman" w:hAnsi="Times New Roman" w:cs="Times New Roman"/>
          <w:sz w:val="24"/>
        </w:rPr>
        <w:t>expressions used in this Determination that are defined in the Biosecurity Act</w:t>
      </w:r>
      <w:r w:rsidR="006D1783" w:rsidRPr="00896442">
        <w:rPr>
          <w:rFonts w:ascii="Times New Roman" w:hAnsi="Times New Roman" w:cs="Times New Roman"/>
          <w:sz w:val="24"/>
        </w:rPr>
        <w:t>, including conditionally non-prohibited goods, conveyance, goods, premises, prohibited goods, subject to biosecurity control and suspend</w:t>
      </w:r>
      <w:r w:rsidR="003E54FE" w:rsidRPr="00896442">
        <w:rPr>
          <w:rFonts w:ascii="Times New Roman" w:hAnsi="Times New Roman" w:cs="Times New Roman"/>
          <w:sz w:val="24"/>
        </w:rPr>
        <w:t>ed</w:t>
      </w:r>
      <w:r w:rsidR="006D1783" w:rsidRPr="00896442">
        <w:rPr>
          <w:rFonts w:ascii="Times New Roman" w:hAnsi="Times New Roman" w:cs="Times New Roman"/>
          <w:sz w:val="24"/>
        </w:rPr>
        <w:t xml:space="preserve"> goods.</w:t>
      </w:r>
    </w:p>
    <w:p w14:paraId="6FF1623E" w14:textId="77777777" w:rsidR="00845ECE" w:rsidRPr="00896442" w:rsidRDefault="00845ECE" w:rsidP="00E275FD">
      <w:pPr>
        <w:contextualSpacing/>
        <w:rPr>
          <w:rFonts w:ascii="Times New Roman" w:hAnsi="Times New Roman" w:cs="Times New Roman"/>
          <w:b/>
          <w:sz w:val="24"/>
        </w:rPr>
      </w:pPr>
    </w:p>
    <w:p w14:paraId="7A4BC0FE" w14:textId="2814B1EB" w:rsidR="00D62E87" w:rsidRPr="00896442" w:rsidRDefault="00FF0B5D" w:rsidP="00E275FD">
      <w:pPr>
        <w:contextualSpacing/>
        <w:rPr>
          <w:rFonts w:ascii="Times New Roman" w:hAnsi="Times New Roman" w:cs="Times New Roman"/>
          <w:b/>
          <w:sz w:val="24"/>
        </w:rPr>
      </w:pPr>
      <w:r w:rsidRPr="00896442">
        <w:rPr>
          <w:rFonts w:ascii="Times New Roman" w:hAnsi="Times New Roman" w:cs="Times New Roman"/>
          <w:b/>
          <w:sz w:val="24"/>
        </w:rPr>
        <w:t>Section 5</w:t>
      </w:r>
      <w:r w:rsidR="00D62E87" w:rsidRPr="00896442">
        <w:rPr>
          <w:rFonts w:ascii="Times New Roman" w:hAnsi="Times New Roman" w:cs="Times New Roman"/>
          <w:b/>
          <w:sz w:val="24"/>
        </w:rPr>
        <w:t xml:space="preserve"> – </w:t>
      </w:r>
      <w:r w:rsidRPr="00896442">
        <w:rPr>
          <w:rFonts w:ascii="Times New Roman" w:hAnsi="Times New Roman" w:cs="Times New Roman"/>
          <w:b/>
          <w:sz w:val="24"/>
        </w:rPr>
        <w:t>Application of this instrument</w:t>
      </w:r>
    </w:p>
    <w:p w14:paraId="7952CFED" w14:textId="77777777" w:rsidR="008144EC" w:rsidRPr="00896442" w:rsidRDefault="008144EC" w:rsidP="00E275FD">
      <w:pPr>
        <w:contextualSpacing/>
        <w:rPr>
          <w:rFonts w:ascii="Times New Roman" w:hAnsi="Times New Roman" w:cs="Times New Roman"/>
          <w:b/>
          <w:sz w:val="24"/>
        </w:rPr>
      </w:pPr>
    </w:p>
    <w:p w14:paraId="0C4FB271" w14:textId="77777777"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This section provides that this Determination applies in relation to:</w:t>
      </w:r>
    </w:p>
    <w:p w14:paraId="64B501C5" w14:textId="34FD4FDC" w:rsidR="005F4321" w:rsidRPr="00896442" w:rsidRDefault="008144EC" w:rsidP="00E275FD">
      <w:pPr>
        <w:pStyle w:val="ListParagraph"/>
        <w:numPr>
          <w:ilvl w:val="0"/>
          <w:numId w:val="27"/>
        </w:numPr>
        <w:rPr>
          <w:rFonts w:ascii="Times New Roman" w:hAnsi="Times New Roman" w:cs="Times New Roman"/>
          <w:sz w:val="24"/>
        </w:rPr>
      </w:pPr>
      <w:r w:rsidRPr="00896442">
        <w:rPr>
          <w:rFonts w:ascii="Times New Roman" w:hAnsi="Times New Roman" w:cs="Times New Roman"/>
          <w:sz w:val="24"/>
        </w:rPr>
        <w:t>goods that are subject to biosecurity control, and</w:t>
      </w:r>
    </w:p>
    <w:p w14:paraId="01DDCC90" w14:textId="54001890" w:rsidR="008144EC" w:rsidRPr="00896442" w:rsidRDefault="008144EC" w:rsidP="00E275FD">
      <w:pPr>
        <w:pStyle w:val="ListParagraph"/>
        <w:numPr>
          <w:ilvl w:val="0"/>
          <w:numId w:val="27"/>
        </w:numPr>
        <w:rPr>
          <w:rFonts w:ascii="Times New Roman" w:hAnsi="Times New Roman" w:cs="Times New Roman"/>
          <w:sz w:val="24"/>
        </w:rPr>
      </w:pPr>
      <w:r w:rsidRPr="00896442">
        <w:rPr>
          <w:rFonts w:ascii="Times New Roman" w:hAnsi="Times New Roman" w:cs="Times New Roman"/>
          <w:sz w:val="24"/>
        </w:rPr>
        <w:t>exposed goods in relation to which an exposed goods order is in force.</w:t>
      </w:r>
    </w:p>
    <w:p w14:paraId="74ED7074" w14:textId="77777777" w:rsidR="008144EC" w:rsidRPr="00896442" w:rsidRDefault="008144EC" w:rsidP="00E275FD">
      <w:pPr>
        <w:contextualSpacing/>
        <w:rPr>
          <w:rFonts w:ascii="Times New Roman" w:hAnsi="Times New Roman" w:cs="Times New Roman"/>
          <w:sz w:val="24"/>
        </w:rPr>
      </w:pPr>
    </w:p>
    <w:p w14:paraId="7D418F5C" w14:textId="4189ED2A" w:rsidR="008144EC" w:rsidRPr="00896442" w:rsidRDefault="008144EC" w:rsidP="00E275FD">
      <w:pPr>
        <w:contextualSpacing/>
        <w:rPr>
          <w:rFonts w:ascii="Times New Roman" w:hAnsi="Times New Roman" w:cs="Times New Roman"/>
          <w:sz w:val="24"/>
        </w:rPr>
      </w:pPr>
      <w:r w:rsidRPr="00896442">
        <w:rPr>
          <w:rFonts w:ascii="Times New Roman" w:hAnsi="Times New Roman" w:cs="Times New Roman"/>
          <w:sz w:val="24"/>
        </w:rPr>
        <w:t xml:space="preserve">The note refers to subsection 161(1) of the Biosecurity Act, which provides </w:t>
      </w:r>
      <w:r w:rsidR="005F7918">
        <w:rPr>
          <w:rFonts w:ascii="Times New Roman" w:hAnsi="Times New Roman" w:cs="Times New Roman"/>
          <w:sz w:val="24"/>
        </w:rPr>
        <w:t>that</w:t>
      </w:r>
      <w:r w:rsidR="005F7918" w:rsidRPr="00896442">
        <w:rPr>
          <w:rFonts w:ascii="Times New Roman" w:hAnsi="Times New Roman" w:cs="Times New Roman"/>
          <w:sz w:val="24"/>
        </w:rPr>
        <w:t xml:space="preserve"> </w:t>
      </w:r>
      <w:r w:rsidR="006520A9">
        <w:rPr>
          <w:rFonts w:ascii="Times New Roman" w:hAnsi="Times New Roman" w:cs="Times New Roman"/>
          <w:sz w:val="24"/>
        </w:rPr>
        <w:t xml:space="preserve">Divisions 4 to 8 and 10 of Chapter 3 of the </w:t>
      </w:r>
      <w:r w:rsidRPr="00896442">
        <w:rPr>
          <w:rFonts w:ascii="Times New Roman" w:hAnsi="Times New Roman" w:cs="Times New Roman"/>
          <w:sz w:val="24"/>
        </w:rPr>
        <w:t>Biosecurity Act appl</w:t>
      </w:r>
      <w:r w:rsidR="006520A9">
        <w:rPr>
          <w:rFonts w:ascii="Times New Roman" w:hAnsi="Times New Roman" w:cs="Times New Roman"/>
          <w:sz w:val="24"/>
        </w:rPr>
        <w:t>y</w:t>
      </w:r>
      <w:r w:rsidRPr="00896442">
        <w:rPr>
          <w:rFonts w:ascii="Times New Roman" w:hAnsi="Times New Roman" w:cs="Times New Roman"/>
          <w:sz w:val="24"/>
        </w:rPr>
        <w:t xml:space="preserve"> in relation to exposed goods in relation to which an exposed goods order is in force, as if those goods were subject to biosecurity control.</w:t>
      </w:r>
    </w:p>
    <w:p w14:paraId="57DC5CED" w14:textId="77777777" w:rsidR="008144EC" w:rsidRPr="00896442" w:rsidRDefault="008144EC" w:rsidP="00E275FD">
      <w:pPr>
        <w:contextualSpacing/>
        <w:rPr>
          <w:rFonts w:ascii="Times New Roman" w:hAnsi="Times New Roman" w:cs="Times New Roman"/>
          <w:sz w:val="24"/>
        </w:rPr>
      </w:pPr>
    </w:p>
    <w:p w14:paraId="3BE5C8BD" w14:textId="7446AA64" w:rsidR="008144EC" w:rsidRPr="00896442" w:rsidRDefault="008144EC" w:rsidP="00E275FD">
      <w:pPr>
        <w:contextualSpacing/>
        <w:rPr>
          <w:rFonts w:ascii="Times New Roman" w:hAnsi="Times New Roman" w:cs="Times New Roman"/>
          <w:b/>
          <w:sz w:val="24"/>
        </w:rPr>
      </w:pPr>
      <w:r w:rsidRPr="00896442">
        <w:rPr>
          <w:rFonts w:ascii="Times New Roman" w:hAnsi="Times New Roman" w:cs="Times New Roman"/>
          <w:b/>
          <w:sz w:val="24"/>
        </w:rPr>
        <w:t>Section 6 – Events that are reportable biosecurity incidents in relation to relevant goods</w:t>
      </w:r>
    </w:p>
    <w:p w14:paraId="2CBA445C" w14:textId="77777777" w:rsidR="008144EC" w:rsidRPr="00896442" w:rsidRDefault="008144EC" w:rsidP="00E275FD">
      <w:pPr>
        <w:contextualSpacing/>
        <w:rPr>
          <w:rFonts w:ascii="Times New Roman" w:hAnsi="Times New Roman" w:cs="Times New Roman"/>
          <w:b/>
          <w:sz w:val="24"/>
        </w:rPr>
      </w:pPr>
    </w:p>
    <w:p w14:paraId="71D85460" w14:textId="2A792B41" w:rsidR="004C2407" w:rsidRPr="00896442" w:rsidRDefault="004C2407" w:rsidP="00E275FD">
      <w:pPr>
        <w:contextualSpacing/>
        <w:rPr>
          <w:rFonts w:ascii="Times New Roman" w:hAnsi="Times New Roman" w:cs="Times New Roman"/>
          <w:sz w:val="24"/>
        </w:rPr>
      </w:pPr>
      <w:r w:rsidRPr="00896442">
        <w:rPr>
          <w:rFonts w:ascii="Times New Roman" w:hAnsi="Times New Roman" w:cs="Times New Roman"/>
          <w:sz w:val="24"/>
        </w:rPr>
        <w:t>This section provides for the events</w:t>
      </w:r>
      <w:r w:rsidR="005F7918">
        <w:rPr>
          <w:rFonts w:ascii="Times New Roman" w:hAnsi="Times New Roman" w:cs="Times New Roman"/>
          <w:sz w:val="24"/>
        </w:rPr>
        <w:t>,</w:t>
      </w:r>
      <w:r w:rsidRPr="00896442">
        <w:rPr>
          <w:rFonts w:ascii="Times New Roman" w:hAnsi="Times New Roman" w:cs="Times New Roman"/>
          <w:sz w:val="24"/>
        </w:rPr>
        <w:t xml:space="preserve"> in relation to goods subject to biosecurity control and exposed goods in which an exposed goods order is in force (relevant goods), which are reportable biosecurity incidents under section 154 of the Biosecurity Act.</w:t>
      </w:r>
    </w:p>
    <w:p w14:paraId="45A4A947" w14:textId="77777777" w:rsidR="004C2407" w:rsidRPr="00896442" w:rsidRDefault="004C2407" w:rsidP="00E275FD">
      <w:pPr>
        <w:contextualSpacing/>
        <w:rPr>
          <w:rFonts w:ascii="Times New Roman" w:hAnsi="Times New Roman" w:cs="Times New Roman"/>
          <w:sz w:val="24"/>
        </w:rPr>
      </w:pPr>
    </w:p>
    <w:p w14:paraId="19A49374" w14:textId="2EE11A59" w:rsidR="004C2407" w:rsidRPr="00896442" w:rsidRDefault="004C2407" w:rsidP="00E275FD">
      <w:pPr>
        <w:contextualSpacing/>
        <w:rPr>
          <w:rFonts w:ascii="Times New Roman" w:hAnsi="Times New Roman" w:cs="Times New Roman"/>
          <w:sz w:val="24"/>
        </w:rPr>
      </w:pPr>
      <w:r w:rsidRPr="00896442">
        <w:rPr>
          <w:rFonts w:ascii="Times New Roman" w:hAnsi="Times New Roman" w:cs="Times New Roman"/>
          <w:sz w:val="24"/>
        </w:rPr>
        <w:t xml:space="preserve">Subsection (1) lists the </w:t>
      </w:r>
      <w:r w:rsidR="003621EA">
        <w:rPr>
          <w:rFonts w:ascii="Times New Roman" w:hAnsi="Times New Roman" w:cs="Times New Roman"/>
          <w:sz w:val="24"/>
        </w:rPr>
        <w:t xml:space="preserve">following as </w:t>
      </w:r>
      <w:r w:rsidRPr="00896442">
        <w:rPr>
          <w:rFonts w:ascii="Times New Roman" w:hAnsi="Times New Roman" w:cs="Times New Roman"/>
          <w:sz w:val="24"/>
        </w:rPr>
        <w:t>events that are reportable biosecurity incidents</w:t>
      </w:r>
      <w:r w:rsidR="00BD3755" w:rsidRPr="00896442">
        <w:rPr>
          <w:rFonts w:ascii="Times New Roman" w:hAnsi="Times New Roman" w:cs="Times New Roman"/>
          <w:sz w:val="24"/>
        </w:rPr>
        <w:t xml:space="preserve"> if they </w:t>
      </w:r>
      <w:r w:rsidR="005F7918">
        <w:rPr>
          <w:rFonts w:ascii="Times New Roman" w:hAnsi="Times New Roman" w:cs="Times New Roman"/>
          <w:sz w:val="24"/>
        </w:rPr>
        <w:t>occur in relation</w:t>
      </w:r>
      <w:r w:rsidR="005F7918" w:rsidRPr="00896442">
        <w:rPr>
          <w:rFonts w:ascii="Times New Roman" w:hAnsi="Times New Roman" w:cs="Times New Roman"/>
          <w:sz w:val="24"/>
        </w:rPr>
        <w:t xml:space="preserve"> </w:t>
      </w:r>
      <w:r w:rsidRPr="00896442">
        <w:rPr>
          <w:rFonts w:ascii="Times New Roman" w:hAnsi="Times New Roman" w:cs="Times New Roman"/>
          <w:sz w:val="24"/>
        </w:rPr>
        <w:t>to relevant goods that are prohibited goods, conditionally non-prohibited goods or suspended goods:</w:t>
      </w:r>
    </w:p>
    <w:p w14:paraId="5BE09CBF" w14:textId="19772D91"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are in a container, a conveyance or other premises and are not as described on a manifest or an import permit relating to the goods</w:t>
      </w:r>
    </w:p>
    <w:p w14:paraId="34BB88AD" w14:textId="210FF0B4"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are in a container, a conveyance or other premises that is damaged and the goods are no longer secure</w:t>
      </w:r>
    </w:p>
    <w:p w14:paraId="0C1BC98D" w14:textId="28FD9DDA"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have been lost or stolen</w:t>
      </w:r>
    </w:p>
    <w:p w14:paraId="7B91F1FE" w14:textId="249D8259" w:rsidR="004C2407" w:rsidRPr="00896442" w:rsidRDefault="004C2407" w:rsidP="00E275FD">
      <w:pPr>
        <w:pStyle w:val="ListParagraph"/>
        <w:numPr>
          <w:ilvl w:val="0"/>
          <w:numId w:val="28"/>
        </w:numPr>
        <w:rPr>
          <w:rFonts w:ascii="Times New Roman" w:hAnsi="Times New Roman" w:cs="Times New Roman"/>
          <w:sz w:val="24"/>
        </w:rPr>
      </w:pPr>
      <w:r w:rsidRPr="00896442">
        <w:rPr>
          <w:rFonts w:ascii="Times New Roman" w:hAnsi="Times New Roman" w:cs="Times New Roman"/>
          <w:sz w:val="24"/>
        </w:rPr>
        <w:t>the goods have been destroyed in circumstances other than in compliance with a direction given by a biosecurity officer.</w:t>
      </w:r>
    </w:p>
    <w:p w14:paraId="1E7C8739" w14:textId="77777777" w:rsidR="00BD3755" w:rsidRPr="00896442" w:rsidRDefault="00BD3755" w:rsidP="00E275FD">
      <w:pPr>
        <w:contextualSpacing/>
        <w:rPr>
          <w:rFonts w:ascii="Times New Roman" w:hAnsi="Times New Roman" w:cs="Times New Roman"/>
          <w:sz w:val="24"/>
        </w:rPr>
      </w:pPr>
    </w:p>
    <w:p w14:paraId="745515E8" w14:textId="68ABA634" w:rsidR="001D4951" w:rsidRPr="00896442" w:rsidRDefault="00BD3755" w:rsidP="00E275FD">
      <w:pPr>
        <w:contextualSpacing/>
        <w:rPr>
          <w:rFonts w:ascii="Times New Roman" w:hAnsi="Times New Roman" w:cs="Times New Roman"/>
          <w:sz w:val="24"/>
        </w:rPr>
      </w:pPr>
      <w:r w:rsidRPr="00896442">
        <w:rPr>
          <w:rFonts w:ascii="Times New Roman" w:hAnsi="Times New Roman" w:cs="Times New Roman"/>
          <w:sz w:val="24"/>
        </w:rPr>
        <w:t>Subsection (2) provides that a change to the intended use of relevant goods that are conditional</w:t>
      </w:r>
      <w:r w:rsidR="00895A9B" w:rsidRPr="00896442">
        <w:rPr>
          <w:rFonts w:ascii="Times New Roman" w:hAnsi="Times New Roman" w:cs="Times New Roman"/>
          <w:sz w:val="24"/>
        </w:rPr>
        <w:t xml:space="preserve">ly non-prohibited goods is </w:t>
      </w:r>
      <w:r w:rsidRPr="00896442">
        <w:rPr>
          <w:rFonts w:ascii="Times New Roman" w:hAnsi="Times New Roman" w:cs="Times New Roman"/>
          <w:sz w:val="24"/>
        </w:rPr>
        <w:t>a reportable biosecurity incident.</w:t>
      </w:r>
      <w:r w:rsidR="001D4951" w:rsidRPr="00896442">
        <w:rPr>
          <w:rFonts w:ascii="Times New Roman" w:hAnsi="Times New Roman" w:cs="Times New Roman"/>
          <w:sz w:val="24"/>
        </w:rPr>
        <w:t xml:space="preserve"> For example, a meat product that was initially</w:t>
      </w:r>
      <w:r w:rsidR="00895A9B" w:rsidRPr="00896442">
        <w:rPr>
          <w:rFonts w:ascii="Times New Roman" w:hAnsi="Times New Roman" w:cs="Times New Roman"/>
          <w:sz w:val="24"/>
        </w:rPr>
        <w:t xml:space="preserve"> imported for human consumption but</w:t>
      </w:r>
      <w:r w:rsidR="001D4951" w:rsidRPr="00896442">
        <w:rPr>
          <w:rFonts w:ascii="Times New Roman" w:hAnsi="Times New Roman" w:cs="Times New Roman"/>
          <w:sz w:val="24"/>
        </w:rPr>
        <w:t xml:space="preserve"> is to be used instead in animal feed.</w:t>
      </w:r>
    </w:p>
    <w:p w14:paraId="656171E6" w14:textId="77777777" w:rsidR="001D4951" w:rsidRPr="00896442" w:rsidRDefault="001D4951" w:rsidP="00E275FD">
      <w:pPr>
        <w:contextualSpacing/>
        <w:rPr>
          <w:rFonts w:ascii="Times New Roman" w:hAnsi="Times New Roman" w:cs="Times New Roman"/>
          <w:sz w:val="24"/>
        </w:rPr>
      </w:pPr>
    </w:p>
    <w:p w14:paraId="7D4A4FAC" w14:textId="3C193E7C"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 xml:space="preserve">Subsection (3) lists the </w:t>
      </w:r>
      <w:r w:rsidR="003621EA">
        <w:rPr>
          <w:rFonts w:ascii="Times New Roman" w:hAnsi="Times New Roman" w:cs="Times New Roman"/>
          <w:sz w:val="24"/>
        </w:rPr>
        <w:t xml:space="preserve">following as </w:t>
      </w:r>
      <w:r w:rsidRPr="00896442">
        <w:rPr>
          <w:rFonts w:ascii="Times New Roman" w:hAnsi="Times New Roman" w:cs="Times New Roman"/>
          <w:sz w:val="24"/>
        </w:rPr>
        <w:t>events that are reportable biosecurity i</w:t>
      </w:r>
      <w:r w:rsidR="00895A9B" w:rsidRPr="00896442">
        <w:rPr>
          <w:rFonts w:ascii="Times New Roman" w:hAnsi="Times New Roman" w:cs="Times New Roman"/>
          <w:sz w:val="24"/>
        </w:rPr>
        <w:t xml:space="preserve">ncidents if they </w:t>
      </w:r>
      <w:r w:rsidR="003621EA">
        <w:rPr>
          <w:rFonts w:ascii="Times New Roman" w:hAnsi="Times New Roman" w:cs="Times New Roman"/>
          <w:sz w:val="24"/>
        </w:rPr>
        <w:t>occur in relation</w:t>
      </w:r>
      <w:r w:rsidR="003621EA" w:rsidRPr="00896442">
        <w:rPr>
          <w:rFonts w:ascii="Times New Roman" w:hAnsi="Times New Roman" w:cs="Times New Roman"/>
          <w:sz w:val="24"/>
        </w:rPr>
        <w:t xml:space="preserve"> </w:t>
      </w:r>
      <w:r w:rsidRPr="00896442">
        <w:rPr>
          <w:rFonts w:ascii="Times New Roman" w:hAnsi="Times New Roman" w:cs="Times New Roman"/>
          <w:sz w:val="24"/>
        </w:rPr>
        <w:t xml:space="preserve">to </w:t>
      </w:r>
      <w:r w:rsidR="00895A9B" w:rsidRPr="00896442">
        <w:rPr>
          <w:rFonts w:ascii="Times New Roman" w:hAnsi="Times New Roman" w:cs="Times New Roman"/>
          <w:sz w:val="24"/>
        </w:rPr>
        <w:t xml:space="preserve">any </w:t>
      </w:r>
      <w:r w:rsidRPr="00896442">
        <w:rPr>
          <w:rFonts w:ascii="Times New Roman" w:hAnsi="Times New Roman" w:cs="Times New Roman"/>
          <w:sz w:val="24"/>
        </w:rPr>
        <w:t>relevant goods:</w:t>
      </w:r>
    </w:p>
    <w:p w14:paraId="030BAA0B" w14:textId="15D18654" w:rsidR="00BD3755"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the goods or any container holdi</w:t>
      </w:r>
      <w:r w:rsidR="00895A9B" w:rsidRPr="00896442">
        <w:rPr>
          <w:rFonts w:ascii="Times New Roman" w:hAnsi="Times New Roman" w:cs="Times New Roman"/>
          <w:sz w:val="24"/>
        </w:rPr>
        <w:t>ng the goods, or the conveyance</w:t>
      </w:r>
      <w:r w:rsidRPr="00896442">
        <w:rPr>
          <w:rFonts w:ascii="Times New Roman" w:hAnsi="Times New Roman" w:cs="Times New Roman"/>
          <w:sz w:val="24"/>
        </w:rPr>
        <w:t xml:space="preserve"> or other premises in which the goods are being held, have been, or are likely to have been, exposed to contamination, infestation or infection from prohibited goods, conditionally non-prohibited goods or suspended goods</w:t>
      </w:r>
    </w:p>
    <w:p w14:paraId="6EFD798C" w14:textId="4666F6B2" w:rsidR="001D4951"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the goods are infested with a live pest (for example, an insect, invertebrate or other animal)</w:t>
      </w:r>
      <w:r w:rsidR="009362C5">
        <w:rPr>
          <w:rFonts w:ascii="Times New Roman" w:hAnsi="Times New Roman" w:cs="Times New Roman"/>
          <w:sz w:val="24"/>
        </w:rPr>
        <w:t xml:space="preserve"> except if the goods, as infested with the live pest were authorised to be brought or imported into Australian territory by an import permit</w:t>
      </w:r>
    </w:p>
    <w:p w14:paraId="0F029326" w14:textId="308EDC2C" w:rsidR="001D4951" w:rsidRPr="00896442" w:rsidRDefault="001D4951" w:rsidP="00E275FD">
      <w:pPr>
        <w:pStyle w:val="ListParagraph"/>
        <w:numPr>
          <w:ilvl w:val="0"/>
          <w:numId w:val="29"/>
        </w:numPr>
        <w:rPr>
          <w:rFonts w:ascii="Times New Roman" w:hAnsi="Times New Roman" w:cs="Times New Roman"/>
          <w:sz w:val="24"/>
        </w:rPr>
      </w:pPr>
      <w:r w:rsidRPr="00896442">
        <w:rPr>
          <w:rFonts w:ascii="Times New Roman" w:hAnsi="Times New Roman" w:cs="Times New Roman"/>
          <w:sz w:val="24"/>
        </w:rPr>
        <w:t>biosecurity measures that have been required to be taken in relation to the goods under Chapter 3 of the Biosecurity Act have been taken (including because it was not possible for the biosecurity measures to be taken in relation to the goods)</w:t>
      </w:r>
      <w:r w:rsidR="00F5258F" w:rsidRPr="00896442">
        <w:rPr>
          <w:rFonts w:ascii="Times New Roman" w:hAnsi="Times New Roman" w:cs="Times New Roman"/>
          <w:sz w:val="24"/>
        </w:rPr>
        <w:t xml:space="preserve"> – for example, the fumigation of fresh produce </w:t>
      </w:r>
      <w:r w:rsidR="00751FA3">
        <w:rPr>
          <w:rFonts w:ascii="Times New Roman" w:hAnsi="Times New Roman" w:cs="Times New Roman"/>
          <w:sz w:val="24"/>
        </w:rPr>
        <w:t xml:space="preserve">that </w:t>
      </w:r>
      <w:r w:rsidR="00F5258F" w:rsidRPr="00896442">
        <w:rPr>
          <w:rFonts w:ascii="Times New Roman" w:hAnsi="Times New Roman" w:cs="Times New Roman"/>
          <w:sz w:val="24"/>
        </w:rPr>
        <w:t>cannot be undertaken because the fumigator</w:t>
      </w:r>
      <w:r w:rsidR="00A35915" w:rsidRPr="00896442">
        <w:rPr>
          <w:rFonts w:ascii="Times New Roman" w:hAnsi="Times New Roman" w:cs="Times New Roman"/>
          <w:sz w:val="24"/>
        </w:rPr>
        <w:t xml:space="preserve"> at the treatment facility</w:t>
      </w:r>
      <w:r w:rsidR="00F5258F" w:rsidRPr="00896442">
        <w:rPr>
          <w:rFonts w:ascii="Times New Roman" w:hAnsi="Times New Roman" w:cs="Times New Roman"/>
          <w:sz w:val="24"/>
        </w:rPr>
        <w:t xml:space="preserve"> is </w:t>
      </w:r>
      <w:r w:rsidR="00751FA3">
        <w:rPr>
          <w:rFonts w:ascii="Times New Roman" w:hAnsi="Times New Roman" w:cs="Times New Roman"/>
          <w:sz w:val="24"/>
        </w:rPr>
        <w:t xml:space="preserve">temporary </w:t>
      </w:r>
      <w:r w:rsidR="008065AC" w:rsidRPr="00896442">
        <w:rPr>
          <w:rFonts w:ascii="Times New Roman" w:hAnsi="Times New Roman" w:cs="Times New Roman"/>
          <w:sz w:val="24"/>
        </w:rPr>
        <w:t>out of operation</w:t>
      </w:r>
      <w:r w:rsidRPr="00896442">
        <w:rPr>
          <w:rFonts w:ascii="Times New Roman" w:hAnsi="Times New Roman" w:cs="Times New Roman"/>
          <w:sz w:val="24"/>
        </w:rPr>
        <w:t>.</w:t>
      </w:r>
    </w:p>
    <w:p w14:paraId="5A00A40C" w14:textId="77777777" w:rsidR="00BD3755" w:rsidRPr="00896442" w:rsidRDefault="00BD3755" w:rsidP="00E275FD">
      <w:pPr>
        <w:contextualSpacing/>
        <w:rPr>
          <w:rFonts w:ascii="Times New Roman" w:hAnsi="Times New Roman" w:cs="Times New Roman"/>
          <w:sz w:val="24"/>
        </w:rPr>
      </w:pPr>
    </w:p>
    <w:p w14:paraId="6D4FC34B" w14:textId="7712E519" w:rsidR="00C22C69" w:rsidRPr="00896442" w:rsidRDefault="00C22C69" w:rsidP="00E275FD">
      <w:pPr>
        <w:contextualSpacing/>
        <w:rPr>
          <w:rFonts w:ascii="Times New Roman" w:hAnsi="Times New Roman" w:cs="Times New Roman"/>
          <w:sz w:val="24"/>
        </w:rPr>
      </w:pPr>
      <w:r w:rsidRPr="00896442">
        <w:rPr>
          <w:rFonts w:ascii="Times New Roman" w:hAnsi="Times New Roman" w:cs="Times New Roman"/>
          <w:sz w:val="24"/>
        </w:rPr>
        <w:t xml:space="preserve">The purpose of the section is to specify the events that must be reported to the department if they occur in relation to the relevant goods. These events relate to </w:t>
      </w:r>
      <w:r w:rsidR="003621EA">
        <w:rPr>
          <w:rFonts w:ascii="Times New Roman" w:hAnsi="Times New Roman" w:cs="Times New Roman"/>
          <w:sz w:val="24"/>
        </w:rPr>
        <w:t xml:space="preserve">where there has been a </w:t>
      </w:r>
      <w:r w:rsidRPr="00896442">
        <w:rPr>
          <w:rFonts w:ascii="Times New Roman" w:hAnsi="Times New Roman" w:cs="Times New Roman"/>
          <w:sz w:val="24"/>
        </w:rPr>
        <w:t>change in circumstanc</w:t>
      </w:r>
      <w:r w:rsidR="00396525" w:rsidRPr="00896442">
        <w:rPr>
          <w:rFonts w:ascii="Times New Roman" w:hAnsi="Times New Roman" w:cs="Times New Roman"/>
          <w:sz w:val="24"/>
        </w:rPr>
        <w:t xml:space="preserve">es of the relevant goods that </w:t>
      </w:r>
      <w:r w:rsidR="003621EA">
        <w:rPr>
          <w:rFonts w:ascii="Times New Roman" w:hAnsi="Times New Roman" w:cs="Times New Roman"/>
          <w:sz w:val="24"/>
        </w:rPr>
        <w:t xml:space="preserve">will </w:t>
      </w:r>
      <w:r w:rsidRPr="00896442">
        <w:rPr>
          <w:rFonts w:ascii="Times New Roman" w:hAnsi="Times New Roman" w:cs="Times New Roman"/>
          <w:sz w:val="24"/>
        </w:rPr>
        <w:t xml:space="preserve">require an assessment to inform if </w:t>
      </w:r>
      <w:r w:rsidR="005D0577" w:rsidRPr="00896442">
        <w:rPr>
          <w:rFonts w:ascii="Times New Roman" w:hAnsi="Times New Roman" w:cs="Times New Roman"/>
          <w:sz w:val="24"/>
        </w:rPr>
        <w:t>the biosecur</w:t>
      </w:r>
      <w:r w:rsidR="006E6324">
        <w:rPr>
          <w:rFonts w:ascii="Times New Roman" w:hAnsi="Times New Roman" w:cs="Times New Roman"/>
          <w:sz w:val="24"/>
        </w:rPr>
        <w:t>ity risk associated with those goods</w:t>
      </w:r>
      <w:r w:rsidR="005D0577" w:rsidRPr="00896442">
        <w:rPr>
          <w:rFonts w:ascii="Times New Roman" w:hAnsi="Times New Roman" w:cs="Times New Roman"/>
          <w:sz w:val="24"/>
        </w:rPr>
        <w:t xml:space="preserve"> will need to be managed.</w:t>
      </w:r>
    </w:p>
    <w:p w14:paraId="472325AD" w14:textId="77777777" w:rsidR="008144EC" w:rsidRPr="00896442" w:rsidRDefault="008144EC" w:rsidP="00E275FD">
      <w:pPr>
        <w:contextualSpacing/>
        <w:rPr>
          <w:rFonts w:ascii="Times New Roman" w:hAnsi="Times New Roman" w:cs="Times New Roman"/>
          <w:b/>
          <w:sz w:val="24"/>
        </w:rPr>
      </w:pPr>
    </w:p>
    <w:p w14:paraId="234D784F" w14:textId="04FD0FBE" w:rsidR="008144EC" w:rsidRPr="00896442" w:rsidRDefault="008144EC" w:rsidP="00D40B6B">
      <w:pPr>
        <w:keepNext/>
        <w:keepLines/>
        <w:contextualSpacing/>
        <w:rPr>
          <w:rFonts w:ascii="Times New Roman" w:hAnsi="Times New Roman" w:cs="Times New Roman"/>
          <w:b/>
          <w:sz w:val="24"/>
        </w:rPr>
      </w:pPr>
      <w:r w:rsidRPr="00896442">
        <w:rPr>
          <w:rFonts w:ascii="Times New Roman" w:hAnsi="Times New Roman" w:cs="Times New Roman"/>
          <w:b/>
          <w:sz w:val="24"/>
        </w:rPr>
        <w:lastRenderedPageBreak/>
        <w:t xml:space="preserve">Section 7 – Requirements for reporting </w:t>
      </w:r>
      <w:bookmarkStart w:id="0" w:name="_GoBack"/>
      <w:r w:rsidRPr="00896442">
        <w:rPr>
          <w:rFonts w:ascii="Times New Roman" w:hAnsi="Times New Roman" w:cs="Times New Roman"/>
          <w:b/>
          <w:sz w:val="24"/>
        </w:rPr>
        <w:t xml:space="preserve">reportable biosecurity incidents </w:t>
      </w:r>
    </w:p>
    <w:p w14:paraId="2D636242" w14:textId="77777777" w:rsidR="001D4951" w:rsidRPr="00896442" w:rsidRDefault="001D4951" w:rsidP="00D40B6B">
      <w:pPr>
        <w:keepNext/>
        <w:keepLines/>
        <w:contextualSpacing/>
        <w:rPr>
          <w:rFonts w:ascii="Times New Roman" w:hAnsi="Times New Roman" w:cs="Times New Roman"/>
          <w:sz w:val="24"/>
        </w:rPr>
      </w:pPr>
    </w:p>
    <w:bookmarkEnd w:id="0"/>
    <w:p w14:paraId="19BF3D23" w14:textId="0AA30040"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 xml:space="preserve">This section provides for the </w:t>
      </w:r>
      <w:r w:rsidR="00E85CAF">
        <w:rPr>
          <w:rFonts w:ascii="Times New Roman" w:hAnsi="Times New Roman" w:cs="Times New Roman"/>
          <w:sz w:val="24"/>
        </w:rPr>
        <w:t xml:space="preserve">reporting </w:t>
      </w:r>
      <w:r w:rsidRPr="00896442">
        <w:rPr>
          <w:rFonts w:ascii="Times New Roman" w:hAnsi="Times New Roman" w:cs="Times New Roman"/>
          <w:sz w:val="24"/>
        </w:rPr>
        <w:t xml:space="preserve">requirements </w:t>
      </w:r>
      <w:r w:rsidR="00E85CAF">
        <w:rPr>
          <w:rFonts w:ascii="Times New Roman" w:hAnsi="Times New Roman" w:cs="Times New Roman"/>
          <w:sz w:val="24"/>
        </w:rPr>
        <w:t xml:space="preserve">in relation to an incident </w:t>
      </w:r>
      <w:r w:rsidR="00200F40">
        <w:rPr>
          <w:rFonts w:ascii="Times New Roman" w:hAnsi="Times New Roman" w:cs="Times New Roman"/>
          <w:sz w:val="24"/>
        </w:rPr>
        <w:t>listed in section </w:t>
      </w:r>
      <w:r w:rsidR="00E85CAF">
        <w:rPr>
          <w:rFonts w:ascii="Times New Roman" w:hAnsi="Times New Roman" w:cs="Times New Roman"/>
          <w:sz w:val="24"/>
        </w:rPr>
        <w:t>6 of the Determination</w:t>
      </w:r>
      <w:r w:rsidR="00631004" w:rsidRPr="00896442">
        <w:rPr>
          <w:rFonts w:ascii="Times New Roman" w:hAnsi="Times New Roman" w:cs="Times New Roman"/>
          <w:sz w:val="24"/>
        </w:rPr>
        <w:t xml:space="preserve">. Subsection 155(1) and 156(1) of the Biosecurity Act provides that the person(s) liable to report the incident is </w:t>
      </w:r>
      <w:r w:rsidR="00E85CAF">
        <w:rPr>
          <w:rFonts w:ascii="Times New Roman" w:hAnsi="Times New Roman" w:cs="Times New Roman"/>
          <w:sz w:val="24"/>
        </w:rPr>
        <w:t xml:space="preserve">either </w:t>
      </w:r>
      <w:r w:rsidRPr="00896442">
        <w:rPr>
          <w:rFonts w:ascii="Times New Roman" w:hAnsi="Times New Roman" w:cs="Times New Roman"/>
          <w:sz w:val="24"/>
        </w:rPr>
        <w:t>the person in charge of the aircraft or vessel carrying the relevant goods and</w:t>
      </w:r>
      <w:r w:rsidR="00631004" w:rsidRPr="00896442">
        <w:rPr>
          <w:rFonts w:ascii="Times New Roman" w:hAnsi="Times New Roman" w:cs="Times New Roman"/>
          <w:sz w:val="24"/>
        </w:rPr>
        <w:t>/or</w:t>
      </w:r>
      <w:r w:rsidRPr="00896442">
        <w:rPr>
          <w:rFonts w:ascii="Times New Roman" w:hAnsi="Times New Roman" w:cs="Times New Roman"/>
          <w:sz w:val="24"/>
        </w:rPr>
        <w:t xml:space="preserve"> the person in ch</w:t>
      </w:r>
      <w:r w:rsidR="00631004" w:rsidRPr="00896442">
        <w:rPr>
          <w:rFonts w:ascii="Times New Roman" w:hAnsi="Times New Roman" w:cs="Times New Roman"/>
          <w:sz w:val="24"/>
        </w:rPr>
        <w:t xml:space="preserve">arge of the relevant goods, </w:t>
      </w:r>
      <w:r w:rsidR="00E85CAF">
        <w:rPr>
          <w:rFonts w:ascii="Times New Roman" w:hAnsi="Times New Roman" w:cs="Times New Roman"/>
          <w:sz w:val="24"/>
        </w:rPr>
        <w:t xml:space="preserve">where that person </w:t>
      </w:r>
      <w:r w:rsidR="00631004" w:rsidRPr="00896442">
        <w:rPr>
          <w:rFonts w:ascii="Times New Roman" w:hAnsi="Times New Roman" w:cs="Times New Roman"/>
          <w:sz w:val="24"/>
        </w:rPr>
        <w:t>has become aware of the incident</w:t>
      </w:r>
      <w:r w:rsidR="00C22C69" w:rsidRPr="00896442">
        <w:rPr>
          <w:rFonts w:ascii="Times New Roman" w:hAnsi="Times New Roman" w:cs="Times New Roman"/>
          <w:sz w:val="24"/>
        </w:rPr>
        <w:t>.</w:t>
      </w:r>
    </w:p>
    <w:p w14:paraId="08414F9C" w14:textId="77777777" w:rsidR="001D4951" w:rsidRPr="00896442" w:rsidRDefault="001D4951" w:rsidP="00E275FD">
      <w:pPr>
        <w:contextualSpacing/>
        <w:rPr>
          <w:rFonts w:ascii="Times New Roman" w:hAnsi="Times New Roman" w:cs="Times New Roman"/>
          <w:sz w:val="24"/>
        </w:rPr>
      </w:pPr>
    </w:p>
    <w:p w14:paraId="1D9AB3E1" w14:textId="77777777"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Subsection (1) provides that the following information must be included in a report of a reportable biosecurity incident:</w:t>
      </w:r>
    </w:p>
    <w:p w14:paraId="3EC14417" w14:textId="2C234B30"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details of the goods</w:t>
      </w:r>
    </w:p>
    <w:p w14:paraId="331AF484" w14:textId="15500064"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the location of the goods</w:t>
      </w:r>
    </w:p>
    <w:p w14:paraId="6108451B" w14:textId="5E5188FF"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a description of the incident</w:t>
      </w:r>
    </w:p>
    <w:p w14:paraId="392BBF2A" w14:textId="7B0C0397"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if know</w:t>
      </w:r>
      <w:r w:rsidR="00631004" w:rsidRPr="00896442">
        <w:rPr>
          <w:rFonts w:ascii="Times New Roman" w:hAnsi="Times New Roman" w:cs="Times New Roman"/>
          <w:sz w:val="24"/>
        </w:rPr>
        <w:t>n</w:t>
      </w:r>
      <w:r w:rsidRPr="00896442">
        <w:rPr>
          <w:rFonts w:ascii="Times New Roman" w:hAnsi="Times New Roman" w:cs="Times New Roman"/>
          <w:sz w:val="24"/>
        </w:rPr>
        <w:t>, when and where the incident occurred</w:t>
      </w:r>
    </w:p>
    <w:p w14:paraId="79017733" w14:textId="25D37269"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when the person making the report became aware of the incident</w:t>
      </w:r>
    </w:p>
    <w:p w14:paraId="60472E98" w14:textId="099FF4BF"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whether the goods have been moved since the incident occurred</w:t>
      </w:r>
    </w:p>
    <w:p w14:paraId="3BD8DCEB" w14:textId="4A13243B"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the name and contact details of the person making the report and any other person who may have information about the incident</w:t>
      </w:r>
    </w:p>
    <w:p w14:paraId="22484887" w14:textId="51021E4A" w:rsidR="001D4951" w:rsidRPr="00896442" w:rsidRDefault="001D4951" w:rsidP="00E275FD">
      <w:pPr>
        <w:pStyle w:val="ListParagraph"/>
        <w:numPr>
          <w:ilvl w:val="0"/>
          <w:numId w:val="32"/>
        </w:numPr>
        <w:rPr>
          <w:rFonts w:ascii="Times New Roman" w:hAnsi="Times New Roman" w:cs="Times New Roman"/>
          <w:sz w:val="24"/>
        </w:rPr>
      </w:pPr>
      <w:r w:rsidRPr="00896442">
        <w:rPr>
          <w:rFonts w:ascii="Times New Roman" w:hAnsi="Times New Roman" w:cs="Times New Roman"/>
          <w:sz w:val="24"/>
        </w:rPr>
        <w:t>details of any steps taken to manage the incident.</w:t>
      </w:r>
    </w:p>
    <w:p w14:paraId="5B61C652" w14:textId="77777777" w:rsidR="001D4951" w:rsidRPr="00896442" w:rsidRDefault="001D4951" w:rsidP="00E275FD">
      <w:pPr>
        <w:contextualSpacing/>
        <w:rPr>
          <w:rFonts w:ascii="Times New Roman" w:hAnsi="Times New Roman" w:cs="Times New Roman"/>
          <w:sz w:val="24"/>
        </w:rPr>
      </w:pPr>
    </w:p>
    <w:p w14:paraId="78B16B11" w14:textId="0B0416DA" w:rsidR="001D4951" w:rsidRPr="00896442" w:rsidRDefault="001D4951" w:rsidP="00E275FD">
      <w:pPr>
        <w:contextualSpacing/>
        <w:rPr>
          <w:rFonts w:ascii="Times New Roman" w:hAnsi="Times New Roman" w:cs="Times New Roman"/>
          <w:sz w:val="24"/>
        </w:rPr>
      </w:pPr>
      <w:r w:rsidRPr="00896442">
        <w:rPr>
          <w:rFonts w:ascii="Times New Roman" w:hAnsi="Times New Roman" w:cs="Times New Roman"/>
          <w:sz w:val="24"/>
        </w:rPr>
        <w:t>Subsection (2) provides that the report must be made orally or in writing.</w:t>
      </w:r>
      <w:r w:rsidR="000E4E8E" w:rsidRPr="00896442">
        <w:rPr>
          <w:rFonts w:ascii="Times New Roman" w:hAnsi="Times New Roman" w:cs="Times New Roman"/>
          <w:sz w:val="24"/>
        </w:rPr>
        <w:t xml:space="preserve"> </w:t>
      </w:r>
    </w:p>
    <w:p w14:paraId="686BCF7F" w14:textId="77777777" w:rsidR="000E4E8E" w:rsidRPr="00896442" w:rsidRDefault="000E4E8E" w:rsidP="00E275FD">
      <w:pPr>
        <w:contextualSpacing/>
        <w:rPr>
          <w:rFonts w:ascii="Times New Roman" w:hAnsi="Times New Roman" w:cs="Times New Roman"/>
          <w:sz w:val="24"/>
        </w:rPr>
      </w:pPr>
    </w:p>
    <w:p w14:paraId="36ED6943" w14:textId="0357664F" w:rsidR="000E4E8E" w:rsidRPr="00896442" w:rsidRDefault="000E4E8E" w:rsidP="00E275FD">
      <w:pPr>
        <w:contextualSpacing/>
        <w:rPr>
          <w:rFonts w:ascii="Times New Roman" w:hAnsi="Times New Roman" w:cs="Times New Roman"/>
          <w:sz w:val="24"/>
        </w:rPr>
      </w:pPr>
      <w:r w:rsidRPr="00896442">
        <w:rPr>
          <w:rFonts w:ascii="Times New Roman" w:hAnsi="Times New Roman" w:cs="Times New Roman"/>
          <w:sz w:val="24"/>
        </w:rPr>
        <w:t>Subsection (3) provides that if a report is made orally, and the Director of Biosecurity or a biosecurity officer asks that person who made the report to also provide the report in writing within a specified period, the</w:t>
      </w:r>
      <w:r w:rsidR="00207A85">
        <w:rPr>
          <w:rFonts w:ascii="Times New Roman" w:hAnsi="Times New Roman" w:cs="Times New Roman"/>
          <w:sz w:val="24"/>
        </w:rPr>
        <w:t>n the</w:t>
      </w:r>
      <w:r w:rsidRPr="00896442">
        <w:rPr>
          <w:rFonts w:ascii="Times New Roman" w:hAnsi="Times New Roman" w:cs="Times New Roman"/>
          <w:sz w:val="24"/>
        </w:rPr>
        <w:t xml:space="preserve"> report must also be made in writing within the period specified in the request. </w:t>
      </w:r>
    </w:p>
    <w:p w14:paraId="685D0606" w14:textId="77777777" w:rsidR="00C22C69" w:rsidRPr="00896442" w:rsidRDefault="00C22C69" w:rsidP="00E275FD">
      <w:pPr>
        <w:contextualSpacing/>
        <w:rPr>
          <w:rFonts w:ascii="Times New Roman" w:hAnsi="Times New Roman" w:cs="Times New Roman"/>
          <w:sz w:val="24"/>
        </w:rPr>
      </w:pPr>
    </w:p>
    <w:p w14:paraId="53BD0758" w14:textId="604055E3" w:rsidR="00C22C69" w:rsidRPr="00896442" w:rsidRDefault="00C22C69" w:rsidP="00E275FD">
      <w:pPr>
        <w:contextualSpacing/>
        <w:rPr>
          <w:rFonts w:ascii="Times New Roman" w:hAnsi="Times New Roman" w:cs="Times New Roman"/>
          <w:sz w:val="24"/>
        </w:rPr>
      </w:pPr>
      <w:r w:rsidRPr="00896442">
        <w:rPr>
          <w:rFonts w:ascii="Times New Roman" w:hAnsi="Times New Roman" w:cs="Times New Roman"/>
          <w:sz w:val="24"/>
        </w:rPr>
        <w:t xml:space="preserve">The purpose of the section is to </w:t>
      </w:r>
      <w:r w:rsidR="00824A09">
        <w:rPr>
          <w:rFonts w:ascii="Times New Roman" w:hAnsi="Times New Roman" w:cs="Times New Roman"/>
          <w:sz w:val="24"/>
        </w:rPr>
        <w:t>facilitate</w:t>
      </w:r>
      <w:r w:rsidR="00824A09" w:rsidRPr="00896442">
        <w:rPr>
          <w:rFonts w:ascii="Times New Roman" w:hAnsi="Times New Roman" w:cs="Times New Roman"/>
          <w:sz w:val="24"/>
        </w:rPr>
        <w:t xml:space="preserve"> </w:t>
      </w:r>
      <w:r w:rsidRPr="00896442">
        <w:rPr>
          <w:rFonts w:ascii="Times New Roman" w:hAnsi="Times New Roman" w:cs="Times New Roman"/>
          <w:sz w:val="24"/>
        </w:rPr>
        <w:t xml:space="preserve">the relevant information in relation to a reportable biosecurity incident </w:t>
      </w:r>
      <w:r w:rsidR="00824A09">
        <w:rPr>
          <w:rFonts w:ascii="Times New Roman" w:hAnsi="Times New Roman" w:cs="Times New Roman"/>
          <w:sz w:val="24"/>
        </w:rPr>
        <w:t xml:space="preserve">being </w:t>
      </w:r>
      <w:r w:rsidR="00207A85">
        <w:rPr>
          <w:rFonts w:ascii="Times New Roman" w:hAnsi="Times New Roman" w:cs="Times New Roman"/>
          <w:sz w:val="24"/>
        </w:rPr>
        <w:t xml:space="preserve">made available </w:t>
      </w:r>
      <w:r w:rsidRPr="00896442">
        <w:rPr>
          <w:rFonts w:ascii="Times New Roman" w:hAnsi="Times New Roman" w:cs="Times New Roman"/>
          <w:sz w:val="24"/>
        </w:rPr>
        <w:t>to enable the department to assess the biosecurity risk associated with the</w:t>
      </w:r>
      <w:r w:rsidR="006E6324">
        <w:rPr>
          <w:rFonts w:ascii="Times New Roman" w:hAnsi="Times New Roman" w:cs="Times New Roman"/>
          <w:sz w:val="24"/>
        </w:rPr>
        <w:t xml:space="preserve"> relevant goods and if necessary</w:t>
      </w:r>
      <w:r w:rsidRPr="00896442">
        <w:rPr>
          <w:rFonts w:ascii="Times New Roman" w:hAnsi="Times New Roman" w:cs="Times New Roman"/>
          <w:sz w:val="24"/>
        </w:rPr>
        <w:t>, to manage the biosecurity risk.</w:t>
      </w:r>
      <w:r w:rsidR="002A7FEC">
        <w:rPr>
          <w:rFonts w:ascii="Times New Roman" w:hAnsi="Times New Roman" w:cs="Times New Roman"/>
          <w:sz w:val="24"/>
        </w:rPr>
        <w:t xml:space="preserve"> The powers in Divisions 4 and 5 of Chapter 3 of the Biosecurity Act are available to assess and manage biosecurity risk.</w:t>
      </w:r>
    </w:p>
    <w:p w14:paraId="0F11BDFB" w14:textId="52F390B6" w:rsidR="002A380B" w:rsidRPr="00896442" w:rsidRDefault="002A380B" w:rsidP="00E275FD">
      <w:pPr>
        <w:contextualSpacing/>
        <w:rPr>
          <w:rFonts w:ascii="Times New Roman" w:hAnsi="Times New Roman" w:cs="Times New Roman"/>
          <w:sz w:val="24"/>
        </w:rPr>
      </w:pPr>
      <w:r w:rsidRPr="00896442">
        <w:rPr>
          <w:rFonts w:ascii="Times New Roman" w:hAnsi="Times New Roman" w:cs="Times New Roman"/>
          <w:sz w:val="24"/>
        </w:rPr>
        <w:br w:type="page"/>
      </w:r>
    </w:p>
    <w:p w14:paraId="6BB1BDE3" w14:textId="77777777" w:rsidR="002A380B" w:rsidRDefault="002A380B" w:rsidP="00E275FD">
      <w:pPr>
        <w:contextualSpacing/>
        <w:jc w:val="center"/>
        <w:rPr>
          <w:rFonts w:ascii="Times New Roman" w:hAnsi="Times New Roman"/>
          <w:b/>
          <w:sz w:val="28"/>
          <w:szCs w:val="28"/>
        </w:rPr>
      </w:pPr>
      <w:r w:rsidRPr="00671D5A">
        <w:rPr>
          <w:rFonts w:ascii="Times New Roman" w:hAnsi="Times New Roman"/>
          <w:b/>
          <w:sz w:val="28"/>
          <w:szCs w:val="28"/>
        </w:rPr>
        <w:lastRenderedPageBreak/>
        <w:t>Statement of Compatibility with Human Rights</w:t>
      </w:r>
    </w:p>
    <w:p w14:paraId="4EBF9F4A" w14:textId="77777777" w:rsidR="00005485" w:rsidRPr="00671D5A" w:rsidRDefault="00005485" w:rsidP="00E275FD">
      <w:pPr>
        <w:contextualSpacing/>
        <w:jc w:val="center"/>
        <w:rPr>
          <w:rFonts w:ascii="Times New Roman" w:hAnsi="Times New Roman"/>
          <w:b/>
          <w:sz w:val="28"/>
          <w:szCs w:val="28"/>
        </w:rPr>
      </w:pPr>
    </w:p>
    <w:p w14:paraId="1CCEA25B" w14:textId="77777777" w:rsidR="002A380B" w:rsidRPr="00E4135E" w:rsidRDefault="002A380B" w:rsidP="00E275FD">
      <w:pPr>
        <w:contextualSpacing/>
        <w:jc w:val="center"/>
        <w:rPr>
          <w:rFonts w:ascii="Times New Roman" w:hAnsi="Times New Roman"/>
          <w:sz w:val="24"/>
        </w:rPr>
      </w:pPr>
      <w:r w:rsidRPr="0030204B">
        <w:rPr>
          <w:rFonts w:ascii="Times New Roman" w:hAnsi="Times New Roman"/>
          <w:sz w:val="24"/>
        </w:rPr>
        <w:t>Prepared in accordance with Part 3 of the</w:t>
      </w:r>
      <w:r w:rsidRPr="00E4135E">
        <w:rPr>
          <w:rFonts w:ascii="Times New Roman" w:hAnsi="Times New Roman"/>
          <w:i/>
          <w:sz w:val="24"/>
        </w:rPr>
        <w:t xml:space="preserve"> Human Rights (Parliamentary Scrutiny) Act 2011</w:t>
      </w:r>
    </w:p>
    <w:p w14:paraId="3E373E52" w14:textId="77777777" w:rsidR="002A380B" w:rsidRPr="00E4135E" w:rsidRDefault="002A380B" w:rsidP="00E275FD">
      <w:pPr>
        <w:contextualSpacing/>
        <w:jc w:val="center"/>
        <w:rPr>
          <w:rFonts w:ascii="Times New Roman" w:hAnsi="Times New Roman"/>
          <w:sz w:val="24"/>
        </w:rPr>
      </w:pPr>
    </w:p>
    <w:p w14:paraId="685EB1A5" w14:textId="5B87602E" w:rsidR="00536FF5" w:rsidRPr="0030204B" w:rsidRDefault="00B50DA3" w:rsidP="00E275FD">
      <w:pPr>
        <w:contextualSpacing/>
        <w:jc w:val="center"/>
        <w:rPr>
          <w:rFonts w:ascii="Times New Roman" w:hAnsi="Times New Roman"/>
          <w:b/>
          <w:sz w:val="24"/>
          <w:u w:val="single"/>
        </w:rPr>
      </w:pPr>
      <w:r>
        <w:rPr>
          <w:rFonts w:ascii="Times New Roman" w:hAnsi="Times New Roman"/>
          <w:b/>
          <w:sz w:val="24"/>
        </w:rPr>
        <w:t>Biosecurity (Reportable Biosecurity Incidents) Determination</w:t>
      </w:r>
      <w:r w:rsidR="00F35D78" w:rsidRPr="0030204B">
        <w:rPr>
          <w:rFonts w:ascii="Times New Roman" w:hAnsi="Times New Roman"/>
          <w:b/>
          <w:sz w:val="24"/>
        </w:rPr>
        <w:t xml:space="preserve"> 2016</w:t>
      </w:r>
    </w:p>
    <w:p w14:paraId="13D1E953" w14:textId="27B39E3C" w:rsidR="002A380B" w:rsidRPr="00E4135E" w:rsidRDefault="002A380B" w:rsidP="00E275FD">
      <w:pPr>
        <w:contextualSpacing/>
        <w:jc w:val="center"/>
        <w:rPr>
          <w:rFonts w:ascii="Times New Roman" w:hAnsi="Times New Roman"/>
          <w:sz w:val="24"/>
        </w:rPr>
      </w:pPr>
    </w:p>
    <w:p w14:paraId="76F0DB95" w14:textId="77777777" w:rsidR="002A380B" w:rsidRPr="00E4135E" w:rsidRDefault="002A380B" w:rsidP="00E275FD">
      <w:pPr>
        <w:contextualSpacing/>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1124D972" w14:textId="77777777" w:rsidR="002A380B" w:rsidRPr="00E4135E" w:rsidRDefault="002A380B" w:rsidP="00E275FD">
      <w:pPr>
        <w:contextualSpacing/>
        <w:rPr>
          <w:rFonts w:ascii="Times New Roman" w:hAnsi="Times New Roman"/>
          <w:sz w:val="24"/>
        </w:rPr>
      </w:pPr>
    </w:p>
    <w:p w14:paraId="43F7D723" w14:textId="3BA1188E" w:rsidR="006E6324" w:rsidRPr="00872B66" w:rsidRDefault="002A380B" w:rsidP="00872B66">
      <w:pPr>
        <w:contextualSpacing/>
        <w:jc w:val="both"/>
        <w:rPr>
          <w:rFonts w:ascii="Times New Roman" w:hAnsi="Times New Roman" w:cs="Times New Roman"/>
          <w:b/>
          <w:sz w:val="24"/>
        </w:rPr>
      </w:pPr>
      <w:r w:rsidRPr="006E6324">
        <w:rPr>
          <w:rFonts w:ascii="Times New Roman" w:hAnsi="Times New Roman" w:cs="Times New Roman"/>
          <w:b/>
          <w:sz w:val="24"/>
        </w:rPr>
        <w:t>Overview of the Legislative Instrument</w:t>
      </w:r>
    </w:p>
    <w:p w14:paraId="2DC8D1CF" w14:textId="2AE76B99" w:rsidR="006E6324" w:rsidRPr="006E6324" w:rsidRDefault="006E6324" w:rsidP="00E275FD">
      <w:pPr>
        <w:pStyle w:val="ListNumber"/>
        <w:contextualSpacing/>
        <w:rPr>
          <w:rFonts w:ascii="Times New Roman" w:hAnsi="Times New Roman"/>
          <w:szCs w:val="24"/>
        </w:rPr>
      </w:pPr>
      <w:r w:rsidRPr="006E6324">
        <w:rPr>
          <w:rFonts w:ascii="Times New Roman" w:hAnsi="Times New Roman"/>
          <w:szCs w:val="24"/>
        </w:rPr>
        <w:t xml:space="preserve">This Legislative Instrument </w:t>
      </w:r>
      <w:r w:rsidR="00F31AA9">
        <w:rPr>
          <w:rFonts w:ascii="Times New Roman" w:hAnsi="Times New Roman"/>
          <w:szCs w:val="24"/>
        </w:rPr>
        <w:t xml:space="preserve">sets out the details for what are reportable biosecurity incidents and the reporting requirements under the </w:t>
      </w:r>
      <w:r w:rsidR="00F31AA9" w:rsidRPr="00F31AA9">
        <w:rPr>
          <w:rFonts w:ascii="Times New Roman" w:hAnsi="Times New Roman"/>
          <w:i/>
          <w:szCs w:val="24"/>
        </w:rPr>
        <w:t>Biosecurity Act 2015</w:t>
      </w:r>
      <w:r w:rsidR="00F31AA9">
        <w:rPr>
          <w:rFonts w:ascii="Times New Roman" w:hAnsi="Times New Roman"/>
          <w:szCs w:val="24"/>
        </w:rPr>
        <w:t xml:space="preserve">. It </w:t>
      </w:r>
      <w:r w:rsidRPr="006E6324">
        <w:rPr>
          <w:rFonts w:ascii="Times New Roman" w:hAnsi="Times New Roman"/>
          <w:szCs w:val="24"/>
        </w:rPr>
        <w:t>specifies the events relating to goods that are subject to biosecurity control that are reportable biosecurity incidents. It also specifies the information that must be included for reporting these reportable biosecurity incidents and how the report must be made.</w:t>
      </w:r>
    </w:p>
    <w:p w14:paraId="137C2364" w14:textId="63B72864" w:rsidR="002A380B" w:rsidRPr="006E6324" w:rsidRDefault="002A380B" w:rsidP="00E275FD">
      <w:pPr>
        <w:contextualSpacing/>
        <w:rPr>
          <w:rFonts w:ascii="Times New Roman" w:hAnsi="Times New Roman" w:cs="Times New Roman"/>
          <w:sz w:val="24"/>
        </w:rPr>
      </w:pPr>
    </w:p>
    <w:p w14:paraId="1C665DAA" w14:textId="77777777" w:rsidR="002A380B" w:rsidRDefault="002A380B" w:rsidP="00E275FD">
      <w:pPr>
        <w:contextualSpacing/>
        <w:jc w:val="both"/>
        <w:rPr>
          <w:rFonts w:ascii="Times New Roman" w:hAnsi="Times New Roman" w:cs="Times New Roman"/>
          <w:b/>
          <w:sz w:val="24"/>
        </w:rPr>
      </w:pPr>
      <w:r w:rsidRPr="006E6324">
        <w:rPr>
          <w:rFonts w:ascii="Times New Roman" w:hAnsi="Times New Roman" w:cs="Times New Roman"/>
          <w:b/>
          <w:sz w:val="24"/>
        </w:rPr>
        <w:t>Human rights implications</w:t>
      </w:r>
    </w:p>
    <w:p w14:paraId="761583CC" w14:textId="4986C13C" w:rsidR="00824A09" w:rsidRPr="00E275FD" w:rsidRDefault="00824A09" w:rsidP="00E275FD">
      <w:pPr>
        <w:contextualSpacing/>
        <w:rPr>
          <w:rFonts w:ascii="Times New Roman" w:hAnsi="Times New Roman" w:cs="Times New Roman"/>
          <w:sz w:val="24"/>
        </w:rPr>
      </w:pPr>
      <w:r w:rsidRPr="00E275FD">
        <w:rPr>
          <w:rFonts w:ascii="Times New Roman" w:hAnsi="Times New Roman" w:cs="Times New Roman"/>
          <w:sz w:val="24"/>
        </w:rPr>
        <w:t>This Legislative Instrument engages the following rights:</w:t>
      </w:r>
    </w:p>
    <w:p w14:paraId="1D8FE4DB" w14:textId="5A348DC6" w:rsidR="00824A09" w:rsidRPr="00E275FD" w:rsidRDefault="00824A09" w:rsidP="00E275FD">
      <w:pPr>
        <w:numPr>
          <w:ilvl w:val="0"/>
          <w:numId w:val="33"/>
        </w:numPr>
        <w:ind w:left="714" w:hanging="357"/>
        <w:contextualSpacing/>
        <w:rPr>
          <w:sz w:val="24"/>
        </w:rPr>
      </w:pPr>
      <w:r w:rsidRPr="00E275FD">
        <w:rPr>
          <w:rFonts w:ascii="Times New Roman" w:hAnsi="Times New Roman" w:cs="Times New Roman"/>
          <w:sz w:val="24"/>
        </w:rPr>
        <w:t xml:space="preserve">Article 17 of the </w:t>
      </w:r>
      <w:r w:rsidR="00143421" w:rsidRPr="006E6324">
        <w:rPr>
          <w:rFonts w:ascii="Times New Roman" w:hAnsi="Times New Roman" w:cs="Times New Roman"/>
          <w:sz w:val="24"/>
        </w:rPr>
        <w:t xml:space="preserve">International Covenant on Civil and Political Rights </w:t>
      </w:r>
      <w:r w:rsidR="00143421">
        <w:rPr>
          <w:rFonts w:ascii="Times New Roman" w:hAnsi="Times New Roman" w:cs="Times New Roman"/>
          <w:sz w:val="24"/>
        </w:rPr>
        <w:t>(</w:t>
      </w:r>
      <w:r w:rsidRPr="00E275FD">
        <w:rPr>
          <w:rFonts w:ascii="Times New Roman" w:hAnsi="Times New Roman" w:cs="Times New Roman"/>
          <w:sz w:val="24"/>
        </w:rPr>
        <w:t>ICCPR</w:t>
      </w:r>
      <w:r w:rsidR="00143421">
        <w:rPr>
          <w:rFonts w:ascii="Times New Roman" w:hAnsi="Times New Roman" w:cs="Times New Roman"/>
          <w:sz w:val="24"/>
        </w:rPr>
        <w:t>)</w:t>
      </w:r>
      <w:r w:rsidRPr="00E275FD">
        <w:rPr>
          <w:rFonts w:ascii="Times New Roman" w:hAnsi="Times New Roman" w:cs="Times New Roman"/>
          <w:sz w:val="24"/>
        </w:rPr>
        <w:t xml:space="preserve"> – Right to protection from arbitrary interference with privacy</w:t>
      </w:r>
      <w:r w:rsidR="00747B12">
        <w:rPr>
          <w:rFonts w:ascii="Times New Roman" w:hAnsi="Times New Roman" w:cs="Times New Roman"/>
          <w:sz w:val="24"/>
        </w:rPr>
        <w:t>.</w:t>
      </w:r>
    </w:p>
    <w:p w14:paraId="103803C8" w14:textId="77777777" w:rsidR="00824A09" w:rsidRDefault="00824A09" w:rsidP="00E275FD">
      <w:pPr>
        <w:contextualSpacing/>
        <w:rPr>
          <w:rFonts w:ascii="Times New Roman" w:hAnsi="Times New Roman" w:cs="Times New Roman"/>
          <w:sz w:val="24"/>
        </w:rPr>
      </w:pPr>
    </w:p>
    <w:p w14:paraId="4FF5C441" w14:textId="2276DF16" w:rsidR="00824A09" w:rsidRPr="00E275FD" w:rsidRDefault="00824A09" w:rsidP="00E275FD">
      <w:pPr>
        <w:contextualSpacing/>
        <w:rPr>
          <w:b/>
          <w:sz w:val="24"/>
        </w:rPr>
      </w:pPr>
      <w:r w:rsidRPr="00E275FD">
        <w:rPr>
          <w:rFonts w:ascii="Times New Roman" w:hAnsi="Times New Roman" w:cs="Times New Roman"/>
          <w:b/>
          <w:sz w:val="24"/>
        </w:rPr>
        <w:t>Right to protection from arbitrary interference with privacy</w:t>
      </w:r>
    </w:p>
    <w:p w14:paraId="16052F10" w14:textId="6F4FFAFA" w:rsidR="006E6324" w:rsidRDefault="006E6324" w:rsidP="00E275FD">
      <w:pPr>
        <w:contextualSpacing/>
        <w:rPr>
          <w:rFonts w:ascii="Times New Roman" w:hAnsi="Times New Roman" w:cs="Times New Roman"/>
          <w:sz w:val="24"/>
        </w:rPr>
      </w:pPr>
    </w:p>
    <w:p w14:paraId="088B9362" w14:textId="1F16955A" w:rsidR="005C01E9" w:rsidRPr="006E6324" w:rsidRDefault="002A380B" w:rsidP="00E275FD">
      <w:pPr>
        <w:contextualSpacing/>
        <w:rPr>
          <w:rFonts w:ascii="Times New Roman" w:hAnsi="Times New Roman" w:cs="Times New Roman"/>
          <w:sz w:val="24"/>
        </w:rPr>
      </w:pPr>
      <w:r w:rsidRPr="006E6324">
        <w:rPr>
          <w:rFonts w:ascii="Times New Roman" w:hAnsi="Times New Roman" w:cs="Times New Roman"/>
          <w:sz w:val="24"/>
        </w:rPr>
        <w:t>This Legislative Instrument engage</w:t>
      </w:r>
      <w:r w:rsidR="005C01E9" w:rsidRPr="006E6324">
        <w:rPr>
          <w:rFonts w:ascii="Times New Roman" w:hAnsi="Times New Roman" w:cs="Times New Roman"/>
          <w:sz w:val="24"/>
        </w:rPr>
        <w:t>s the right to protection from arbitrary interference with privacy</w:t>
      </w:r>
      <w:r w:rsidR="00B50DA3" w:rsidRPr="006E6324">
        <w:rPr>
          <w:rFonts w:ascii="Times New Roman" w:hAnsi="Times New Roman" w:cs="Times New Roman"/>
          <w:sz w:val="24"/>
        </w:rPr>
        <w:t>.</w:t>
      </w:r>
      <w:r w:rsidR="005C01E9" w:rsidRPr="006E6324">
        <w:rPr>
          <w:rFonts w:ascii="Times New Roman" w:hAnsi="Times New Roman" w:cs="Times New Roman"/>
          <w:sz w:val="24"/>
        </w:rPr>
        <w:t xml:space="preserve"> Article 17 of the I</w:t>
      </w:r>
      <w:r w:rsidR="00143421">
        <w:rPr>
          <w:rFonts w:ascii="Times New Roman" w:hAnsi="Times New Roman" w:cs="Times New Roman"/>
          <w:sz w:val="24"/>
        </w:rPr>
        <w:t>CCPR</w:t>
      </w:r>
      <w:r w:rsidR="005C01E9" w:rsidRPr="006E6324">
        <w:rPr>
          <w:rFonts w:ascii="Times New Roman" w:hAnsi="Times New Roman" w:cs="Times New Roman"/>
          <w:sz w:val="24"/>
        </w:rPr>
        <w:t xml:space="preserve"> protects the right to be free from arbitrary or unlawful interference with an individual’s privacy, family, home or correspondence. This right may be subject to permissible limitations where those limitations are provided by law and are non-arbitrary. In order for limitations not to be arbitrary, they must seek to achieve a legitimate objective and be reasonable, necessary and proportionate to this purpose.</w:t>
      </w:r>
    </w:p>
    <w:p w14:paraId="6299A3A7" w14:textId="77777777" w:rsidR="005C01E9" w:rsidRPr="006E6324" w:rsidRDefault="005C01E9" w:rsidP="00E275FD">
      <w:pPr>
        <w:contextualSpacing/>
        <w:rPr>
          <w:rFonts w:ascii="Times New Roman" w:hAnsi="Times New Roman" w:cs="Times New Roman"/>
          <w:sz w:val="24"/>
        </w:rPr>
      </w:pPr>
    </w:p>
    <w:p w14:paraId="1E240E4A" w14:textId="63A2488F" w:rsidR="002A380B" w:rsidRPr="006E6324" w:rsidRDefault="005C01E9" w:rsidP="00E275FD">
      <w:pPr>
        <w:contextualSpacing/>
        <w:rPr>
          <w:rFonts w:ascii="Times New Roman" w:eastAsia="Calibri" w:hAnsi="Times New Roman" w:cs="Times New Roman"/>
          <w:sz w:val="24"/>
        </w:rPr>
      </w:pPr>
      <w:r w:rsidRPr="006E6324">
        <w:rPr>
          <w:rFonts w:ascii="Times New Roman" w:hAnsi="Times New Roman" w:cs="Times New Roman"/>
          <w:sz w:val="24"/>
        </w:rPr>
        <w:t>This Legislative Instrument contain</w:t>
      </w:r>
      <w:r w:rsidR="006E6324" w:rsidRPr="006E6324">
        <w:rPr>
          <w:rFonts w:ascii="Times New Roman" w:hAnsi="Times New Roman" w:cs="Times New Roman"/>
          <w:sz w:val="24"/>
        </w:rPr>
        <w:t>s</w:t>
      </w:r>
      <w:r w:rsidRPr="006E6324">
        <w:rPr>
          <w:rFonts w:ascii="Times New Roman" w:hAnsi="Times New Roman" w:cs="Times New Roman"/>
          <w:sz w:val="24"/>
        </w:rPr>
        <w:t xml:space="preserve"> provisions which may operate to limit this right.</w:t>
      </w:r>
      <w:r w:rsidR="00022DC0" w:rsidRPr="006E6324">
        <w:rPr>
          <w:rFonts w:ascii="Times New Roman" w:hAnsi="Times New Roman" w:cs="Times New Roman"/>
          <w:sz w:val="24"/>
        </w:rPr>
        <w:t xml:space="preserve"> It provides the information that must be included in a report for reportable biosecurity incident</w:t>
      </w:r>
      <w:r w:rsidR="006E6324" w:rsidRPr="006E6324">
        <w:rPr>
          <w:rFonts w:ascii="Times New Roman" w:hAnsi="Times New Roman" w:cs="Times New Roman"/>
          <w:sz w:val="24"/>
        </w:rPr>
        <w:t>s</w:t>
      </w:r>
      <w:r w:rsidR="00022DC0" w:rsidRPr="006E6324">
        <w:rPr>
          <w:rFonts w:ascii="Times New Roman" w:hAnsi="Times New Roman" w:cs="Times New Roman"/>
          <w:sz w:val="24"/>
        </w:rPr>
        <w:t>, including information relating to the identity and contact details of the person making the report.</w:t>
      </w:r>
      <w:r w:rsidR="00022DC0" w:rsidRPr="006E6324">
        <w:rPr>
          <w:rFonts w:ascii="Times New Roman" w:eastAsia="Calibri" w:hAnsi="Times New Roman" w:cs="Times New Roman"/>
          <w:sz w:val="24"/>
        </w:rPr>
        <w:t xml:space="preserve"> The collection of information is necessary for the legitimate objective of assessing the level of biosecurity risk associated with reportable biosecurity incidents relating to goods that are subject to biosecurity control. To protect an individual’s privacy, the </w:t>
      </w:r>
      <w:r w:rsidR="006E6324" w:rsidRPr="006E6324">
        <w:rPr>
          <w:rFonts w:ascii="Times New Roman" w:eastAsia="Calibri" w:hAnsi="Times New Roman" w:cs="Times New Roman"/>
          <w:sz w:val="24"/>
        </w:rPr>
        <w:t>Legislative Instrument</w:t>
      </w:r>
      <w:r w:rsidR="00022DC0" w:rsidRPr="006E6324">
        <w:rPr>
          <w:rFonts w:ascii="Times New Roman" w:eastAsia="Calibri" w:hAnsi="Times New Roman" w:cs="Times New Roman"/>
          <w:sz w:val="24"/>
        </w:rPr>
        <w:t xml:space="preserve"> only request</w:t>
      </w:r>
      <w:r w:rsidR="006E6324" w:rsidRPr="006E6324">
        <w:rPr>
          <w:rFonts w:ascii="Times New Roman" w:eastAsia="Calibri" w:hAnsi="Times New Roman" w:cs="Times New Roman"/>
          <w:sz w:val="24"/>
        </w:rPr>
        <w:t>s</w:t>
      </w:r>
      <w:r w:rsidR="00022DC0" w:rsidRPr="006E6324">
        <w:rPr>
          <w:rFonts w:ascii="Times New Roman" w:eastAsia="Calibri" w:hAnsi="Times New Roman" w:cs="Times New Roman"/>
          <w:sz w:val="24"/>
        </w:rPr>
        <w:t xml:space="preserve"> information that is necessary </w:t>
      </w:r>
      <w:r w:rsidR="00022DC0" w:rsidRPr="006E6324">
        <w:rPr>
          <w:rFonts w:ascii="Times New Roman" w:hAnsi="Times New Roman" w:cs="Times New Roman"/>
          <w:sz w:val="24"/>
        </w:rPr>
        <w:t>to assess the level of biosecurity risk associated with the relevant goods and if necessary, manage any biosecurity risks appropriately (for example, the contact details of the person providing the report).</w:t>
      </w:r>
    </w:p>
    <w:p w14:paraId="6844E3F4" w14:textId="77777777" w:rsidR="002A380B" w:rsidRPr="006E6324" w:rsidRDefault="002A380B" w:rsidP="00E275FD">
      <w:pPr>
        <w:contextualSpacing/>
        <w:rPr>
          <w:rFonts w:ascii="Times New Roman" w:hAnsi="Times New Roman" w:cs="Times New Roman"/>
          <w:sz w:val="24"/>
        </w:rPr>
      </w:pPr>
    </w:p>
    <w:p w14:paraId="35E9F4E3" w14:textId="77777777" w:rsidR="002A380B" w:rsidRPr="006E6324" w:rsidRDefault="002A380B" w:rsidP="00E275FD">
      <w:pPr>
        <w:contextualSpacing/>
        <w:jc w:val="both"/>
        <w:rPr>
          <w:rFonts w:ascii="Times New Roman" w:hAnsi="Times New Roman" w:cs="Times New Roman"/>
          <w:b/>
          <w:sz w:val="24"/>
        </w:rPr>
      </w:pPr>
      <w:r w:rsidRPr="006E6324">
        <w:rPr>
          <w:rFonts w:ascii="Times New Roman" w:hAnsi="Times New Roman" w:cs="Times New Roman"/>
          <w:b/>
          <w:sz w:val="24"/>
        </w:rPr>
        <w:t>Conclusion</w:t>
      </w:r>
    </w:p>
    <w:p w14:paraId="5FEB2804" w14:textId="77777777" w:rsidR="006E6324" w:rsidRDefault="006E6324" w:rsidP="00E275FD">
      <w:pPr>
        <w:contextualSpacing/>
        <w:rPr>
          <w:rFonts w:ascii="Times New Roman" w:hAnsi="Times New Roman" w:cs="Times New Roman"/>
          <w:sz w:val="24"/>
        </w:rPr>
      </w:pPr>
    </w:p>
    <w:p w14:paraId="56A4687B" w14:textId="77777777" w:rsidR="005C01E9" w:rsidRPr="006E6324" w:rsidRDefault="002A380B" w:rsidP="00E275FD">
      <w:pPr>
        <w:contextualSpacing/>
        <w:rPr>
          <w:rFonts w:ascii="Times New Roman" w:hAnsi="Times New Roman" w:cs="Times New Roman"/>
          <w:sz w:val="24"/>
        </w:rPr>
      </w:pPr>
      <w:r w:rsidRPr="006E6324">
        <w:rPr>
          <w:rFonts w:ascii="Times New Roman" w:hAnsi="Times New Roman" w:cs="Times New Roman"/>
          <w:sz w:val="24"/>
        </w:rPr>
        <w:t xml:space="preserve">This Legislative Instrument is compatible with human rights </w:t>
      </w:r>
      <w:r w:rsidR="005C01E9" w:rsidRPr="006E6324">
        <w:rPr>
          <w:rFonts w:ascii="Times New Roman" w:hAnsi="Times New Roman" w:cs="Times New Roman"/>
          <w:sz w:val="24"/>
        </w:rPr>
        <w:t xml:space="preserve">because </w:t>
      </w:r>
      <w:r w:rsidR="005C01E9" w:rsidRPr="006E6324">
        <w:rPr>
          <w:rFonts w:ascii="Times New Roman" w:hAnsi="Times New Roman" w:cs="Times New Roman"/>
          <w:sz w:val="24"/>
          <w:lang w:val="en-GB"/>
        </w:rPr>
        <w:t xml:space="preserve">to the extent that it may limit human rights, those limitations are reasonable, necessary and </w:t>
      </w:r>
      <w:r w:rsidR="005C01E9" w:rsidRPr="006E6324">
        <w:rPr>
          <w:rFonts w:ascii="Times New Roman" w:hAnsi="Times New Roman" w:cs="Times New Roman"/>
          <w:sz w:val="24"/>
        </w:rPr>
        <w:t>proportionate.</w:t>
      </w:r>
    </w:p>
    <w:p w14:paraId="0E7CDF86" w14:textId="04EB4E4F" w:rsidR="002A380B" w:rsidRPr="00E4135E" w:rsidRDefault="002A380B" w:rsidP="00E275FD">
      <w:pPr>
        <w:contextualSpacing/>
        <w:rPr>
          <w:rFonts w:ascii="Times New Roman" w:hAnsi="Times New Roman"/>
          <w:sz w:val="24"/>
        </w:rPr>
      </w:pPr>
    </w:p>
    <w:p w14:paraId="6797C5AF" w14:textId="24B94A10" w:rsidR="002A380B" w:rsidRPr="00BE6861" w:rsidRDefault="00B50DA3" w:rsidP="00E275FD">
      <w:pPr>
        <w:contextualSpacing/>
        <w:jc w:val="center"/>
        <w:rPr>
          <w:rFonts w:ascii="Times New Roman" w:hAnsi="Times New Roman"/>
          <w:b/>
          <w:bCs/>
          <w:sz w:val="24"/>
        </w:rPr>
      </w:pPr>
      <w:r>
        <w:rPr>
          <w:rFonts w:ascii="Times New Roman" w:hAnsi="Times New Roman"/>
          <w:b/>
          <w:bCs/>
          <w:sz w:val="24"/>
        </w:rPr>
        <w:t>Daryl Quinlivan</w:t>
      </w:r>
    </w:p>
    <w:p w14:paraId="54109494" w14:textId="12CDD85F" w:rsidR="00FA26FF" w:rsidRPr="0031091C" w:rsidRDefault="00037AA1" w:rsidP="00E275FD">
      <w:pPr>
        <w:contextualSpacing/>
        <w:jc w:val="center"/>
        <w:rPr>
          <w:rFonts w:ascii="Times New Roman" w:hAnsi="Times New Roman"/>
          <w:b/>
          <w:bCs/>
          <w:sz w:val="24"/>
        </w:rPr>
      </w:pPr>
      <w:r>
        <w:rPr>
          <w:rFonts w:ascii="Times New Roman" w:hAnsi="Times New Roman"/>
          <w:b/>
          <w:bCs/>
          <w:sz w:val="24"/>
        </w:rPr>
        <w:t>Director of Biosecurity</w:t>
      </w:r>
    </w:p>
    <w:sectPr w:rsidR="00FA26FF" w:rsidRPr="0031091C" w:rsidSect="00896EBE">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C1D5" w14:textId="77777777" w:rsidR="006613F3" w:rsidRDefault="006613F3" w:rsidP="00151C54">
      <w:r>
        <w:separator/>
      </w:r>
    </w:p>
  </w:endnote>
  <w:endnote w:type="continuationSeparator" w:id="0">
    <w:p w14:paraId="75A67EA0" w14:textId="77777777" w:rsidR="006613F3" w:rsidRDefault="006613F3"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A7097C1" w14:textId="77777777" w:rsidR="00646EDD" w:rsidRPr="00896EBE" w:rsidRDefault="00646EDD">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D40B6B">
          <w:rPr>
            <w:rFonts w:ascii="Times New Roman" w:hAnsi="Times New Roman" w:cs="Times New Roman"/>
            <w:noProof/>
            <w:sz w:val="22"/>
            <w:szCs w:val="22"/>
          </w:rPr>
          <w:t>6</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051FD" w14:textId="77777777" w:rsidR="006613F3" w:rsidRDefault="006613F3" w:rsidP="00151C54">
      <w:r>
        <w:separator/>
      </w:r>
    </w:p>
  </w:footnote>
  <w:footnote w:type="continuationSeparator" w:id="0">
    <w:p w14:paraId="492E1933" w14:textId="77777777" w:rsidR="006613F3" w:rsidRDefault="006613F3"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81A13"/>
    <w:multiLevelType w:val="hybridMultilevel"/>
    <w:tmpl w:val="F9D0499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75D0DA1"/>
    <w:multiLevelType w:val="hybridMultilevel"/>
    <w:tmpl w:val="18EE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D6155"/>
    <w:multiLevelType w:val="hybridMultilevel"/>
    <w:tmpl w:val="7EB44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D40A2"/>
    <w:multiLevelType w:val="hybridMultilevel"/>
    <w:tmpl w:val="A3AA4A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3C7B6890"/>
    <w:multiLevelType w:val="hybridMultilevel"/>
    <w:tmpl w:val="719A7D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C9B56C7"/>
    <w:multiLevelType w:val="hybridMultilevel"/>
    <w:tmpl w:val="ABCAEDE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11F0B6D"/>
    <w:multiLevelType w:val="hybridMultilevel"/>
    <w:tmpl w:val="28CED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46545FB"/>
    <w:multiLevelType w:val="hybridMultilevel"/>
    <w:tmpl w:val="D5AEF6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5456429"/>
    <w:multiLevelType w:val="multilevel"/>
    <w:tmpl w:val="FB92CCD2"/>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01DC0"/>
    <w:multiLevelType w:val="hybridMultilevel"/>
    <w:tmpl w:val="0EEC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1E12A3"/>
    <w:multiLevelType w:val="hybridMultilevel"/>
    <w:tmpl w:val="35D0E33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7E253309"/>
    <w:multiLevelType w:val="hybridMultilevel"/>
    <w:tmpl w:val="56D20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20"/>
  </w:num>
  <w:num w:numId="4">
    <w:abstractNumId w:val="5"/>
  </w:num>
  <w:num w:numId="5">
    <w:abstractNumId w:val="1"/>
  </w:num>
  <w:num w:numId="6">
    <w:abstractNumId w:val="13"/>
  </w:num>
  <w:num w:numId="7">
    <w:abstractNumId w:val="3"/>
  </w:num>
  <w:num w:numId="8">
    <w:abstractNumId w:val="6"/>
  </w:num>
  <w:num w:numId="9">
    <w:abstractNumId w:val="12"/>
  </w:num>
  <w:num w:numId="10">
    <w:abstractNumId w:val="22"/>
  </w:num>
  <w:num w:numId="11">
    <w:abstractNumId w:val="25"/>
  </w:num>
  <w:num w:numId="12">
    <w:abstractNumId w:val="18"/>
  </w:num>
  <w:num w:numId="13">
    <w:abstractNumId w:val="18"/>
    <w:lvlOverride w:ilvl="0">
      <w:startOverride w:val="1"/>
    </w:lvlOverride>
  </w:num>
  <w:num w:numId="14">
    <w:abstractNumId w:val="0"/>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num>
  <w:num w:numId="21">
    <w:abstractNumId w:val="9"/>
  </w:num>
  <w:num w:numId="22">
    <w:abstractNumId w:val="19"/>
  </w:num>
  <w:num w:numId="23">
    <w:abstractNumId w:val="2"/>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11"/>
  </w:num>
  <w:num w:numId="28">
    <w:abstractNumId w:val="28"/>
  </w:num>
  <w:num w:numId="29">
    <w:abstractNumId w:val="23"/>
  </w:num>
  <w:num w:numId="30">
    <w:abstractNumId w:val="17"/>
  </w:num>
  <w:num w:numId="31">
    <w:abstractNumId w:val="27"/>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9E"/>
    <w:rsid w:val="00000611"/>
    <w:rsid w:val="00003619"/>
    <w:rsid w:val="00005485"/>
    <w:rsid w:val="00011193"/>
    <w:rsid w:val="00022DC0"/>
    <w:rsid w:val="00036F0E"/>
    <w:rsid w:val="00037AA1"/>
    <w:rsid w:val="000442F6"/>
    <w:rsid w:val="00045651"/>
    <w:rsid w:val="00045CEA"/>
    <w:rsid w:val="000503F4"/>
    <w:rsid w:val="00055508"/>
    <w:rsid w:val="000629B8"/>
    <w:rsid w:val="000719DD"/>
    <w:rsid w:val="0008735C"/>
    <w:rsid w:val="00092F2C"/>
    <w:rsid w:val="000962BA"/>
    <w:rsid w:val="000976DB"/>
    <w:rsid w:val="000A52A2"/>
    <w:rsid w:val="000A65F6"/>
    <w:rsid w:val="000B129E"/>
    <w:rsid w:val="000C3693"/>
    <w:rsid w:val="000C63C5"/>
    <w:rsid w:val="000C74DE"/>
    <w:rsid w:val="000D0592"/>
    <w:rsid w:val="000D07B5"/>
    <w:rsid w:val="000D78D6"/>
    <w:rsid w:val="000D7CE0"/>
    <w:rsid w:val="000E0B87"/>
    <w:rsid w:val="000E18D8"/>
    <w:rsid w:val="000E4E8E"/>
    <w:rsid w:val="000F08F2"/>
    <w:rsid w:val="000F7947"/>
    <w:rsid w:val="00102163"/>
    <w:rsid w:val="001125D9"/>
    <w:rsid w:val="0012062A"/>
    <w:rsid w:val="00127498"/>
    <w:rsid w:val="00130683"/>
    <w:rsid w:val="001312CC"/>
    <w:rsid w:val="00133588"/>
    <w:rsid w:val="00135D53"/>
    <w:rsid w:val="001372D1"/>
    <w:rsid w:val="00141172"/>
    <w:rsid w:val="00143421"/>
    <w:rsid w:val="0014698E"/>
    <w:rsid w:val="00151C54"/>
    <w:rsid w:val="00153032"/>
    <w:rsid w:val="001606CD"/>
    <w:rsid w:val="001669D6"/>
    <w:rsid w:val="001700D7"/>
    <w:rsid w:val="00172B31"/>
    <w:rsid w:val="001746B7"/>
    <w:rsid w:val="001756F7"/>
    <w:rsid w:val="00175BD8"/>
    <w:rsid w:val="001771C5"/>
    <w:rsid w:val="00180DEF"/>
    <w:rsid w:val="0018228A"/>
    <w:rsid w:val="00193BD2"/>
    <w:rsid w:val="0019581D"/>
    <w:rsid w:val="001A32F4"/>
    <w:rsid w:val="001A5CE3"/>
    <w:rsid w:val="001B3789"/>
    <w:rsid w:val="001C4536"/>
    <w:rsid w:val="001C4F31"/>
    <w:rsid w:val="001C75A9"/>
    <w:rsid w:val="001D006D"/>
    <w:rsid w:val="001D4951"/>
    <w:rsid w:val="001D5C56"/>
    <w:rsid w:val="001D5FAD"/>
    <w:rsid w:val="001E1A14"/>
    <w:rsid w:val="001E6011"/>
    <w:rsid w:val="001E6727"/>
    <w:rsid w:val="001F47AF"/>
    <w:rsid w:val="001F5A48"/>
    <w:rsid w:val="00200F40"/>
    <w:rsid w:val="00203AAB"/>
    <w:rsid w:val="0020712A"/>
    <w:rsid w:val="00207A85"/>
    <w:rsid w:val="00207D25"/>
    <w:rsid w:val="00213099"/>
    <w:rsid w:val="0022379E"/>
    <w:rsid w:val="00224D28"/>
    <w:rsid w:val="002340C2"/>
    <w:rsid w:val="0027294F"/>
    <w:rsid w:val="002737B5"/>
    <w:rsid w:val="002910C7"/>
    <w:rsid w:val="00291459"/>
    <w:rsid w:val="00292618"/>
    <w:rsid w:val="0029727D"/>
    <w:rsid w:val="00297802"/>
    <w:rsid w:val="002A380B"/>
    <w:rsid w:val="002A7FEC"/>
    <w:rsid w:val="002B1DB3"/>
    <w:rsid w:val="002B2B54"/>
    <w:rsid w:val="002B42FF"/>
    <w:rsid w:val="002C0507"/>
    <w:rsid w:val="002C7797"/>
    <w:rsid w:val="002D2972"/>
    <w:rsid w:val="002D3C46"/>
    <w:rsid w:val="002D3CE5"/>
    <w:rsid w:val="002D41BA"/>
    <w:rsid w:val="002E2072"/>
    <w:rsid w:val="002E37E7"/>
    <w:rsid w:val="002E5828"/>
    <w:rsid w:val="002F11AB"/>
    <w:rsid w:val="002F2F4C"/>
    <w:rsid w:val="002F7E77"/>
    <w:rsid w:val="003015AF"/>
    <w:rsid w:val="0030204B"/>
    <w:rsid w:val="003064B1"/>
    <w:rsid w:val="003104FF"/>
    <w:rsid w:val="0031091C"/>
    <w:rsid w:val="003228F6"/>
    <w:rsid w:val="00344CD2"/>
    <w:rsid w:val="00345A45"/>
    <w:rsid w:val="003479B7"/>
    <w:rsid w:val="003621EA"/>
    <w:rsid w:val="00366BD0"/>
    <w:rsid w:val="003710C0"/>
    <w:rsid w:val="00373DFB"/>
    <w:rsid w:val="003747B7"/>
    <w:rsid w:val="0037601F"/>
    <w:rsid w:val="00380965"/>
    <w:rsid w:val="003869BF"/>
    <w:rsid w:val="00393E5D"/>
    <w:rsid w:val="00396078"/>
    <w:rsid w:val="00396525"/>
    <w:rsid w:val="003A1593"/>
    <w:rsid w:val="003A2479"/>
    <w:rsid w:val="003B6EB4"/>
    <w:rsid w:val="003D6D6F"/>
    <w:rsid w:val="003E0906"/>
    <w:rsid w:val="003E43B8"/>
    <w:rsid w:val="003E54FE"/>
    <w:rsid w:val="003E5CA0"/>
    <w:rsid w:val="00402F72"/>
    <w:rsid w:val="00415347"/>
    <w:rsid w:val="00417598"/>
    <w:rsid w:val="00420745"/>
    <w:rsid w:val="004223EC"/>
    <w:rsid w:val="004320FD"/>
    <w:rsid w:val="004332A4"/>
    <w:rsid w:val="00442678"/>
    <w:rsid w:val="00442785"/>
    <w:rsid w:val="00450294"/>
    <w:rsid w:val="0045117D"/>
    <w:rsid w:val="004565E0"/>
    <w:rsid w:val="004607C8"/>
    <w:rsid w:val="00461420"/>
    <w:rsid w:val="00465DA1"/>
    <w:rsid w:val="0047483C"/>
    <w:rsid w:val="00481AEC"/>
    <w:rsid w:val="00483CF0"/>
    <w:rsid w:val="00485C1E"/>
    <w:rsid w:val="00485C42"/>
    <w:rsid w:val="00493720"/>
    <w:rsid w:val="00494313"/>
    <w:rsid w:val="004A3A20"/>
    <w:rsid w:val="004B0DD7"/>
    <w:rsid w:val="004C2407"/>
    <w:rsid w:val="004C276E"/>
    <w:rsid w:val="004C5892"/>
    <w:rsid w:val="004D0B42"/>
    <w:rsid w:val="004D257B"/>
    <w:rsid w:val="004E2B70"/>
    <w:rsid w:val="004E58A9"/>
    <w:rsid w:val="004F0F85"/>
    <w:rsid w:val="004F5F48"/>
    <w:rsid w:val="0050279C"/>
    <w:rsid w:val="00516FCE"/>
    <w:rsid w:val="0052363D"/>
    <w:rsid w:val="00524522"/>
    <w:rsid w:val="00526EBF"/>
    <w:rsid w:val="00536FF5"/>
    <w:rsid w:val="00543544"/>
    <w:rsid w:val="00545846"/>
    <w:rsid w:val="00545BAA"/>
    <w:rsid w:val="00547846"/>
    <w:rsid w:val="005505AB"/>
    <w:rsid w:val="00550F53"/>
    <w:rsid w:val="005577B9"/>
    <w:rsid w:val="005664BC"/>
    <w:rsid w:val="00571053"/>
    <w:rsid w:val="00571A2F"/>
    <w:rsid w:val="00581E98"/>
    <w:rsid w:val="00583D42"/>
    <w:rsid w:val="00584C36"/>
    <w:rsid w:val="00585F89"/>
    <w:rsid w:val="00586CB2"/>
    <w:rsid w:val="005961A5"/>
    <w:rsid w:val="005A26F3"/>
    <w:rsid w:val="005A6351"/>
    <w:rsid w:val="005B6B55"/>
    <w:rsid w:val="005B6DEB"/>
    <w:rsid w:val="005B759C"/>
    <w:rsid w:val="005C01E9"/>
    <w:rsid w:val="005C7337"/>
    <w:rsid w:val="005D0577"/>
    <w:rsid w:val="005D53EF"/>
    <w:rsid w:val="005E3D4B"/>
    <w:rsid w:val="005E6F0C"/>
    <w:rsid w:val="005E7C5D"/>
    <w:rsid w:val="005F0A4D"/>
    <w:rsid w:val="005F4321"/>
    <w:rsid w:val="005F66F2"/>
    <w:rsid w:val="005F7918"/>
    <w:rsid w:val="006022C4"/>
    <w:rsid w:val="00604156"/>
    <w:rsid w:val="00611A5C"/>
    <w:rsid w:val="00611E59"/>
    <w:rsid w:val="0062071B"/>
    <w:rsid w:val="006208DB"/>
    <w:rsid w:val="00620FDB"/>
    <w:rsid w:val="00631004"/>
    <w:rsid w:val="006327D8"/>
    <w:rsid w:val="006400BC"/>
    <w:rsid w:val="006467DF"/>
    <w:rsid w:val="00646EDD"/>
    <w:rsid w:val="0064772B"/>
    <w:rsid w:val="00650566"/>
    <w:rsid w:val="006520A9"/>
    <w:rsid w:val="00652426"/>
    <w:rsid w:val="0065489A"/>
    <w:rsid w:val="006553D3"/>
    <w:rsid w:val="006613F3"/>
    <w:rsid w:val="00667DE9"/>
    <w:rsid w:val="00671D5A"/>
    <w:rsid w:val="00672188"/>
    <w:rsid w:val="00674E63"/>
    <w:rsid w:val="00675C20"/>
    <w:rsid w:val="00686612"/>
    <w:rsid w:val="00690055"/>
    <w:rsid w:val="0069211E"/>
    <w:rsid w:val="00693DBD"/>
    <w:rsid w:val="006A320D"/>
    <w:rsid w:val="006B074E"/>
    <w:rsid w:val="006B482B"/>
    <w:rsid w:val="006C1163"/>
    <w:rsid w:val="006C308B"/>
    <w:rsid w:val="006C3E68"/>
    <w:rsid w:val="006D1783"/>
    <w:rsid w:val="006D3AE8"/>
    <w:rsid w:val="006E6178"/>
    <w:rsid w:val="006E6324"/>
    <w:rsid w:val="006E7BDA"/>
    <w:rsid w:val="00700F91"/>
    <w:rsid w:val="00713C99"/>
    <w:rsid w:val="0071427C"/>
    <w:rsid w:val="00715E5A"/>
    <w:rsid w:val="00717C44"/>
    <w:rsid w:val="007202F3"/>
    <w:rsid w:val="00725DC1"/>
    <w:rsid w:val="00727BC8"/>
    <w:rsid w:val="00734BCB"/>
    <w:rsid w:val="00737906"/>
    <w:rsid w:val="007408D4"/>
    <w:rsid w:val="00745BFD"/>
    <w:rsid w:val="00747B12"/>
    <w:rsid w:val="00751FA3"/>
    <w:rsid w:val="00753A7E"/>
    <w:rsid w:val="00767639"/>
    <w:rsid w:val="0077516B"/>
    <w:rsid w:val="00784976"/>
    <w:rsid w:val="007B1C0D"/>
    <w:rsid w:val="007B3C0B"/>
    <w:rsid w:val="007B3C56"/>
    <w:rsid w:val="007B50CC"/>
    <w:rsid w:val="007B67E0"/>
    <w:rsid w:val="007C45D8"/>
    <w:rsid w:val="007C5973"/>
    <w:rsid w:val="007C76FA"/>
    <w:rsid w:val="007D69BD"/>
    <w:rsid w:val="007E79B0"/>
    <w:rsid w:val="007F0578"/>
    <w:rsid w:val="007F21BF"/>
    <w:rsid w:val="0080206A"/>
    <w:rsid w:val="008065AC"/>
    <w:rsid w:val="00813B12"/>
    <w:rsid w:val="008144EC"/>
    <w:rsid w:val="008224BE"/>
    <w:rsid w:val="00824A09"/>
    <w:rsid w:val="00824E41"/>
    <w:rsid w:val="008300B9"/>
    <w:rsid w:val="008305AC"/>
    <w:rsid w:val="00834253"/>
    <w:rsid w:val="00845ECE"/>
    <w:rsid w:val="0085100D"/>
    <w:rsid w:val="00856A23"/>
    <w:rsid w:val="00872B66"/>
    <w:rsid w:val="00877C5B"/>
    <w:rsid w:val="00880541"/>
    <w:rsid w:val="00880E6F"/>
    <w:rsid w:val="008817F6"/>
    <w:rsid w:val="00882D9B"/>
    <w:rsid w:val="008859E1"/>
    <w:rsid w:val="00895A9B"/>
    <w:rsid w:val="00896442"/>
    <w:rsid w:val="00896EBE"/>
    <w:rsid w:val="0089780D"/>
    <w:rsid w:val="008A0BD9"/>
    <w:rsid w:val="008B0BFC"/>
    <w:rsid w:val="008B370D"/>
    <w:rsid w:val="008B4185"/>
    <w:rsid w:val="008B73F3"/>
    <w:rsid w:val="008C1C7B"/>
    <w:rsid w:val="008C3F1D"/>
    <w:rsid w:val="008C4BC2"/>
    <w:rsid w:val="008D29F0"/>
    <w:rsid w:val="008D3D68"/>
    <w:rsid w:val="008D4378"/>
    <w:rsid w:val="008D5625"/>
    <w:rsid w:val="008E1069"/>
    <w:rsid w:val="0090449D"/>
    <w:rsid w:val="0091396C"/>
    <w:rsid w:val="009152CA"/>
    <w:rsid w:val="00922C40"/>
    <w:rsid w:val="0092764E"/>
    <w:rsid w:val="00933D44"/>
    <w:rsid w:val="009362C5"/>
    <w:rsid w:val="009447A0"/>
    <w:rsid w:val="00952442"/>
    <w:rsid w:val="00961DA1"/>
    <w:rsid w:val="00961FB9"/>
    <w:rsid w:val="00973468"/>
    <w:rsid w:val="00974F69"/>
    <w:rsid w:val="00977F24"/>
    <w:rsid w:val="00980038"/>
    <w:rsid w:val="00981746"/>
    <w:rsid w:val="00982785"/>
    <w:rsid w:val="00983B06"/>
    <w:rsid w:val="009870F6"/>
    <w:rsid w:val="009908D6"/>
    <w:rsid w:val="00992814"/>
    <w:rsid w:val="00994E16"/>
    <w:rsid w:val="00995D93"/>
    <w:rsid w:val="009A11A2"/>
    <w:rsid w:val="009A38F6"/>
    <w:rsid w:val="009A53CB"/>
    <w:rsid w:val="009A70B3"/>
    <w:rsid w:val="009B3BDE"/>
    <w:rsid w:val="009B7D5A"/>
    <w:rsid w:val="009C72EE"/>
    <w:rsid w:val="009D493B"/>
    <w:rsid w:val="009E6124"/>
    <w:rsid w:val="009E61C5"/>
    <w:rsid w:val="009F65FF"/>
    <w:rsid w:val="00A06A7C"/>
    <w:rsid w:val="00A121E8"/>
    <w:rsid w:val="00A351C1"/>
    <w:rsid w:val="00A35915"/>
    <w:rsid w:val="00A3673E"/>
    <w:rsid w:val="00A371B5"/>
    <w:rsid w:val="00A37FDF"/>
    <w:rsid w:val="00A51528"/>
    <w:rsid w:val="00A605A9"/>
    <w:rsid w:val="00A6267E"/>
    <w:rsid w:val="00A651EB"/>
    <w:rsid w:val="00A771ED"/>
    <w:rsid w:val="00A806A9"/>
    <w:rsid w:val="00A84295"/>
    <w:rsid w:val="00A92EDB"/>
    <w:rsid w:val="00A93B8C"/>
    <w:rsid w:val="00A94F61"/>
    <w:rsid w:val="00AA2678"/>
    <w:rsid w:val="00AB5F28"/>
    <w:rsid w:val="00AB6173"/>
    <w:rsid w:val="00AC7F6A"/>
    <w:rsid w:val="00AD4432"/>
    <w:rsid w:val="00AD6320"/>
    <w:rsid w:val="00AE08B1"/>
    <w:rsid w:val="00AF28EA"/>
    <w:rsid w:val="00B030B7"/>
    <w:rsid w:val="00B1269C"/>
    <w:rsid w:val="00B20EBE"/>
    <w:rsid w:val="00B26C7F"/>
    <w:rsid w:val="00B37AB7"/>
    <w:rsid w:val="00B452D1"/>
    <w:rsid w:val="00B46D5B"/>
    <w:rsid w:val="00B50DA3"/>
    <w:rsid w:val="00B57443"/>
    <w:rsid w:val="00B57832"/>
    <w:rsid w:val="00B6085E"/>
    <w:rsid w:val="00B66DFF"/>
    <w:rsid w:val="00B6791E"/>
    <w:rsid w:val="00B75202"/>
    <w:rsid w:val="00B827FE"/>
    <w:rsid w:val="00B83491"/>
    <w:rsid w:val="00B87D55"/>
    <w:rsid w:val="00BA0B39"/>
    <w:rsid w:val="00BA7B96"/>
    <w:rsid w:val="00BB4AD3"/>
    <w:rsid w:val="00BB4CD3"/>
    <w:rsid w:val="00BB6A05"/>
    <w:rsid w:val="00BB7041"/>
    <w:rsid w:val="00BC0C21"/>
    <w:rsid w:val="00BC12A9"/>
    <w:rsid w:val="00BC6B2F"/>
    <w:rsid w:val="00BC7467"/>
    <w:rsid w:val="00BD34E3"/>
    <w:rsid w:val="00BD3594"/>
    <w:rsid w:val="00BD3755"/>
    <w:rsid w:val="00BE3A6D"/>
    <w:rsid w:val="00BE6861"/>
    <w:rsid w:val="00BE7415"/>
    <w:rsid w:val="00BF4335"/>
    <w:rsid w:val="00BF5DE3"/>
    <w:rsid w:val="00BF7C3C"/>
    <w:rsid w:val="00C06F49"/>
    <w:rsid w:val="00C142FA"/>
    <w:rsid w:val="00C154F5"/>
    <w:rsid w:val="00C15AB6"/>
    <w:rsid w:val="00C15FDF"/>
    <w:rsid w:val="00C22C69"/>
    <w:rsid w:val="00C26BE3"/>
    <w:rsid w:val="00C32367"/>
    <w:rsid w:val="00C36CC7"/>
    <w:rsid w:val="00C45DE3"/>
    <w:rsid w:val="00C463C2"/>
    <w:rsid w:val="00C52CC5"/>
    <w:rsid w:val="00C53FE1"/>
    <w:rsid w:val="00C55BA8"/>
    <w:rsid w:val="00C57334"/>
    <w:rsid w:val="00C61C75"/>
    <w:rsid w:val="00C63F1E"/>
    <w:rsid w:val="00C6590F"/>
    <w:rsid w:val="00C72B14"/>
    <w:rsid w:val="00C73131"/>
    <w:rsid w:val="00C81402"/>
    <w:rsid w:val="00C87C56"/>
    <w:rsid w:val="00C91687"/>
    <w:rsid w:val="00C9474A"/>
    <w:rsid w:val="00C97256"/>
    <w:rsid w:val="00CA303E"/>
    <w:rsid w:val="00CA4A78"/>
    <w:rsid w:val="00CA7C9C"/>
    <w:rsid w:val="00CB26E2"/>
    <w:rsid w:val="00CB6169"/>
    <w:rsid w:val="00CC388F"/>
    <w:rsid w:val="00CD481B"/>
    <w:rsid w:val="00CD7150"/>
    <w:rsid w:val="00CD76A1"/>
    <w:rsid w:val="00CE669A"/>
    <w:rsid w:val="00CE72E2"/>
    <w:rsid w:val="00CE73AE"/>
    <w:rsid w:val="00CF0D9E"/>
    <w:rsid w:val="00CF1E27"/>
    <w:rsid w:val="00CF2006"/>
    <w:rsid w:val="00CF7161"/>
    <w:rsid w:val="00CF7D79"/>
    <w:rsid w:val="00D031D2"/>
    <w:rsid w:val="00D0550D"/>
    <w:rsid w:val="00D065D9"/>
    <w:rsid w:val="00D076DD"/>
    <w:rsid w:val="00D121A6"/>
    <w:rsid w:val="00D17400"/>
    <w:rsid w:val="00D20535"/>
    <w:rsid w:val="00D26E44"/>
    <w:rsid w:val="00D32133"/>
    <w:rsid w:val="00D40B6B"/>
    <w:rsid w:val="00D45701"/>
    <w:rsid w:val="00D5439E"/>
    <w:rsid w:val="00D557BA"/>
    <w:rsid w:val="00D561C7"/>
    <w:rsid w:val="00D60355"/>
    <w:rsid w:val="00D62E87"/>
    <w:rsid w:val="00D63201"/>
    <w:rsid w:val="00D70F10"/>
    <w:rsid w:val="00D721FF"/>
    <w:rsid w:val="00D73B3C"/>
    <w:rsid w:val="00D74EDC"/>
    <w:rsid w:val="00D84021"/>
    <w:rsid w:val="00D93AC8"/>
    <w:rsid w:val="00DA2671"/>
    <w:rsid w:val="00DB52FB"/>
    <w:rsid w:val="00DB7010"/>
    <w:rsid w:val="00DC0A31"/>
    <w:rsid w:val="00DD2C31"/>
    <w:rsid w:val="00DE2764"/>
    <w:rsid w:val="00DE5BE9"/>
    <w:rsid w:val="00DE6B9D"/>
    <w:rsid w:val="00E05626"/>
    <w:rsid w:val="00E12B39"/>
    <w:rsid w:val="00E17A7C"/>
    <w:rsid w:val="00E26D2D"/>
    <w:rsid w:val="00E275FD"/>
    <w:rsid w:val="00E334FC"/>
    <w:rsid w:val="00E34976"/>
    <w:rsid w:val="00E36B98"/>
    <w:rsid w:val="00E419A4"/>
    <w:rsid w:val="00E428EC"/>
    <w:rsid w:val="00E555F7"/>
    <w:rsid w:val="00E70274"/>
    <w:rsid w:val="00E72275"/>
    <w:rsid w:val="00E77760"/>
    <w:rsid w:val="00E85CAF"/>
    <w:rsid w:val="00E922D3"/>
    <w:rsid w:val="00E9571B"/>
    <w:rsid w:val="00EA2E94"/>
    <w:rsid w:val="00EA7474"/>
    <w:rsid w:val="00EB2850"/>
    <w:rsid w:val="00EB4CD6"/>
    <w:rsid w:val="00EC4AD6"/>
    <w:rsid w:val="00EE0A3F"/>
    <w:rsid w:val="00F007BD"/>
    <w:rsid w:val="00F01474"/>
    <w:rsid w:val="00F11BB3"/>
    <w:rsid w:val="00F12365"/>
    <w:rsid w:val="00F1765B"/>
    <w:rsid w:val="00F23310"/>
    <w:rsid w:val="00F23330"/>
    <w:rsid w:val="00F2475D"/>
    <w:rsid w:val="00F26FA0"/>
    <w:rsid w:val="00F31AA9"/>
    <w:rsid w:val="00F35D78"/>
    <w:rsid w:val="00F37B80"/>
    <w:rsid w:val="00F410D6"/>
    <w:rsid w:val="00F45C26"/>
    <w:rsid w:val="00F5258F"/>
    <w:rsid w:val="00F558CE"/>
    <w:rsid w:val="00F55E47"/>
    <w:rsid w:val="00F61CBB"/>
    <w:rsid w:val="00F7301B"/>
    <w:rsid w:val="00F912C9"/>
    <w:rsid w:val="00F95723"/>
    <w:rsid w:val="00F97BF0"/>
    <w:rsid w:val="00FA0860"/>
    <w:rsid w:val="00FA2699"/>
    <w:rsid w:val="00FA26FF"/>
    <w:rsid w:val="00FA5C55"/>
    <w:rsid w:val="00FA65D3"/>
    <w:rsid w:val="00FA7C28"/>
    <w:rsid w:val="00FB1D3B"/>
    <w:rsid w:val="00FB398F"/>
    <w:rsid w:val="00FB4B41"/>
    <w:rsid w:val="00FC3520"/>
    <w:rsid w:val="00FC6567"/>
    <w:rsid w:val="00FD1018"/>
    <w:rsid w:val="00FD7311"/>
    <w:rsid w:val="00FE4D40"/>
    <w:rsid w:val="00FF0B5D"/>
    <w:rsid w:val="00FF0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FFDCF"/>
  <w15:docId w15:val="{177739EC-163B-45E4-BFAC-08AC7EE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1C4536"/>
    <w:rPr>
      <w:rFonts w:ascii="Calibri" w:eastAsia="Calibri" w:hAnsi="Calibri" w:cs="Times New Roman"/>
      <w:sz w:val="24"/>
      <w:szCs w:val="22"/>
    </w:rPr>
  </w:style>
  <w:style w:type="paragraph" w:styleId="ListNumber3">
    <w:name w:val="List Number 3"/>
    <w:basedOn w:val="Normal"/>
    <w:uiPriority w:val="99"/>
    <w:rsid w:val="00CD481B"/>
    <w:pPr>
      <w:numPr>
        <w:ilvl w:val="2"/>
        <w:numId w:val="16"/>
      </w:numPr>
      <w:spacing w:after="200"/>
    </w:pPr>
    <w:rPr>
      <w:rFonts w:ascii="Calibri" w:eastAsia="Calibri" w:hAnsi="Calibri" w:cs="Times New Roman"/>
      <w:sz w:val="24"/>
      <w:szCs w:val="22"/>
    </w:rPr>
  </w:style>
  <w:style w:type="paragraph" w:styleId="ListNumber4">
    <w:name w:val="List Number 4"/>
    <w:basedOn w:val="Normal"/>
    <w:uiPriority w:val="99"/>
    <w:rsid w:val="00CD481B"/>
    <w:pPr>
      <w:numPr>
        <w:ilvl w:val="3"/>
        <w:numId w:val="16"/>
      </w:numPr>
      <w:spacing w:after="200"/>
    </w:pPr>
    <w:rPr>
      <w:rFonts w:ascii="Calibri" w:eastAsia="Calibri" w:hAnsi="Calibri" w:cs="Times New Roman"/>
      <w:sz w:val="24"/>
      <w:szCs w:val="22"/>
    </w:rPr>
  </w:style>
  <w:style w:type="paragraph" w:styleId="ListNumber5">
    <w:name w:val="List Number 5"/>
    <w:basedOn w:val="Normal"/>
    <w:uiPriority w:val="99"/>
    <w:rsid w:val="00CD481B"/>
    <w:pPr>
      <w:numPr>
        <w:ilvl w:val="4"/>
        <w:numId w:val="16"/>
      </w:numPr>
      <w:spacing w:after="200"/>
    </w:pPr>
    <w:rPr>
      <w:rFonts w:ascii="Calibri" w:eastAsia="Calibri" w:hAnsi="Calibri" w:cs="Times New Roman"/>
      <w:sz w:val="24"/>
      <w:szCs w:val="22"/>
    </w:rPr>
  </w:style>
  <w:style w:type="paragraph" w:styleId="PlainText">
    <w:name w:val="Plain Text"/>
    <w:basedOn w:val="Normal"/>
    <w:link w:val="PlainTextChar"/>
    <w:uiPriority w:val="99"/>
    <w:unhideWhenUsed/>
    <w:rsid w:val="005A6351"/>
    <w:rPr>
      <w:rFonts w:ascii="Consolas" w:hAnsi="Consolas"/>
      <w:sz w:val="21"/>
      <w:szCs w:val="21"/>
      <w:lang w:eastAsia="en-AU"/>
    </w:rPr>
  </w:style>
  <w:style w:type="character" w:customStyle="1" w:styleId="PlainTextChar">
    <w:name w:val="Plain Text Char"/>
    <w:basedOn w:val="DefaultParagraphFont"/>
    <w:link w:val="PlainText"/>
    <w:uiPriority w:val="99"/>
    <w:rsid w:val="005A6351"/>
    <w:rPr>
      <w:rFonts w:ascii="Consolas" w:hAnsi="Consolas"/>
      <w:sz w:val="21"/>
      <w:szCs w:val="21"/>
      <w:lang w:eastAsia="en-AU"/>
    </w:rPr>
  </w:style>
  <w:style w:type="character" w:styleId="FollowedHyperlink">
    <w:name w:val="FollowedHyperlink"/>
    <w:basedOn w:val="DefaultParagraphFont"/>
    <w:uiPriority w:val="99"/>
    <w:semiHidden/>
    <w:unhideWhenUsed/>
    <w:rsid w:val="004F5F48"/>
    <w:rPr>
      <w:color w:val="800080" w:themeColor="followedHyperlink"/>
      <w:u w:val="single"/>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F410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rnes%20Kimberly\AppData\Local\Microsoft\Windows\Temporary%20Internet%20Files\Content.Outlook\KBNLIL7K\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D1656F0B4B4098B2CB4806FC04E7ED"/>
        <w:category>
          <w:name w:val="General"/>
          <w:gallery w:val="placeholder"/>
        </w:category>
        <w:types>
          <w:type w:val="bbPlcHdr"/>
        </w:types>
        <w:behaviors>
          <w:behavior w:val="content"/>
        </w:behaviors>
        <w:guid w:val="{66A1987F-90EE-4381-96D7-3DE3AA332EF5}"/>
      </w:docPartPr>
      <w:docPartBody>
        <w:p w:rsidR="00280262" w:rsidRDefault="006B433E" w:rsidP="006B433E">
          <w:pPr>
            <w:pStyle w:val="31D1656F0B4B4098B2CB4806FC04E7ED"/>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3E"/>
    <w:rsid w:val="00280262"/>
    <w:rsid w:val="0054421D"/>
    <w:rsid w:val="006B4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33E"/>
    <w:rPr>
      <w:color w:val="808080"/>
    </w:rPr>
  </w:style>
  <w:style w:type="paragraph" w:customStyle="1" w:styleId="31D1656F0B4B4098B2CB4806FC04E7ED">
    <w:name w:val="31D1656F0B4B4098B2CB4806FC04E7ED"/>
    <w:rsid w:val="006B4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C0F7-86C2-4663-AE0C-582D39D3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Statement 2014</Template>
  <TotalTime>4</TotalTime>
  <Pages>7</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Sternes</dc:creator>
  <cp:lastModifiedBy>Hurley, Denis</cp:lastModifiedBy>
  <cp:revision>4</cp:revision>
  <cp:lastPrinted>2016-05-19T01:12:00Z</cp:lastPrinted>
  <dcterms:created xsi:type="dcterms:W3CDTF">2016-12-07T23:58:00Z</dcterms:created>
  <dcterms:modified xsi:type="dcterms:W3CDTF">2016-12-13T00:53:00Z</dcterms:modified>
</cp:coreProperties>
</file>